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0E60" w14:textId="77777777" w:rsidR="00AE613D" w:rsidRPr="005F5BEA" w:rsidRDefault="00AE613D" w:rsidP="00AE613D">
      <w:pPr>
        <w:pStyle w:val="Heading1"/>
        <w:pBdr>
          <w:bottom w:val="none" w:sz="0" w:space="0" w:color="auto"/>
        </w:pBdr>
        <w:spacing w:before="0" w:after="0"/>
        <w:jc w:val="center"/>
        <w:rPr>
          <w:rFonts w:ascii="Arial" w:hAnsi="Arial" w:cs="Arial"/>
          <w:b/>
          <w:bCs/>
          <w:color w:val="000080"/>
          <w:sz w:val="36"/>
          <w:szCs w:val="36"/>
        </w:rPr>
      </w:pPr>
      <w:bookmarkStart w:id="0" w:name="_Toc72335173"/>
      <w:bookmarkStart w:id="1" w:name="_Toc115881517"/>
      <w:r w:rsidRPr="005F5BEA">
        <w:rPr>
          <w:rFonts w:ascii="Arial" w:hAnsi="Arial" w:cs="Arial"/>
          <w:b/>
          <w:bCs/>
          <w:color w:val="000080"/>
          <w:sz w:val="36"/>
          <w:szCs w:val="36"/>
        </w:rPr>
        <w:t>Medical Services Advisory Committee (MSAC)</w:t>
      </w:r>
    </w:p>
    <w:p w14:paraId="7477DA14" w14:textId="77D96DDC" w:rsidR="00AE613D" w:rsidRPr="005F5BEA" w:rsidRDefault="0063640F" w:rsidP="009F222A">
      <w:pPr>
        <w:pStyle w:val="Heading1"/>
        <w:pBdr>
          <w:bottom w:val="none" w:sz="0" w:space="0" w:color="auto"/>
        </w:pBdr>
        <w:spacing w:before="0" w:after="360"/>
        <w:jc w:val="center"/>
        <w:rPr>
          <w:rFonts w:ascii="Arial" w:hAnsi="Arial" w:cs="Arial"/>
          <w:b/>
          <w:bCs/>
          <w:color w:val="000080"/>
          <w:sz w:val="36"/>
          <w:szCs w:val="36"/>
        </w:rPr>
      </w:pPr>
      <w:r w:rsidRPr="005F5BEA">
        <w:rPr>
          <w:rFonts w:ascii="Arial" w:hAnsi="Arial" w:cs="Arial"/>
          <w:b/>
          <w:bCs/>
          <w:color w:val="000080"/>
          <w:sz w:val="36"/>
          <w:szCs w:val="36"/>
        </w:rPr>
        <w:t>Public Summary Document</w:t>
      </w:r>
    </w:p>
    <w:p w14:paraId="6BB5474E" w14:textId="5C098E7A" w:rsidR="0077202B" w:rsidRPr="005F5BEA" w:rsidRDefault="0077202B" w:rsidP="0077202B">
      <w:pPr>
        <w:pStyle w:val="Subtitle"/>
      </w:pPr>
      <w:r w:rsidRPr="005F5BEA">
        <w:t xml:space="preserve">Application No. 1724 – Cardiac technical support services provided by industry employed </w:t>
      </w:r>
      <w:proofErr w:type="gramStart"/>
      <w:r w:rsidR="000C231E" w:rsidRPr="005F5BEA">
        <w:t>technicians</w:t>
      </w:r>
      <w:proofErr w:type="gramEnd"/>
    </w:p>
    <w:p w14:paraId="247D6BBB" w14:textId="10E9CA26" w:rsidR="0077202B" w:rsidRPr="005F5BEA" w:rsidRDefault="0077202B" w:rsidP="00716830">
      <w:pPr>
        <w:tabs>
          <w:tab w:val="left" w:pos="3686"/>
        </w:tabs>
        <w:spacing w:after="240"/>
        <w:ind w:left="3600" w:hanging="3600"/>
        <w:rPr>
          <w:rFonts w:ascii="Arial" w:hAnsi="Arial" w:cs="Arial"/>
          <w:b/>
        </w:rPr>
      </w:pPr>
      <w:r w:rsidRPr="005F5BEA">
        <w:rPr>
          <w:rFonts w:ascii="Arial" w:hAnsi="Arial" w:cs="Arial"/>
          <w:b/>
        </w:rPr>
        <w:t>Applicant:</w:t>
      </w:r>
      <w:r w:rsidRPr="005F5BEA">
        <w:tab/>
      </w:r>
      <w:r w:rsidR="00716830" w:rsidRPr="005F5BEA">
        <w:rPr>
          <w:rFonts w:ascii="Arial" w:hAnsi="Arial" w:cs="Arial"/>
          <w:b/>
        </w:rPr>
        <w:t>Medical Technology Association of Australia (MTAA)</w:t>
      </w:r>
      <w:r w:rsidR="17B8B718" w:rsidRPr="005F5BEA">
        <w:rPr>
          <w:rFonts w:ascii="Arial" w:hAnsi="Arial" w:cs="Arial"/>
          <w:b/>
          <w:bCs/>
        </w:rPr>
        <w:t xml:space="preserve"> Cardiac Forum (MTAA CF)</w:t>
      </w:r>
    </w:p>
    <w:p w14:paraId="1A4BBC4E" w14:textId="77777777" w:rsidR="00E9731B" w:rsidRPr="005F5BEA" w:rsidRDefault="0077202B" w:rsidP="00E9731B">
      <w:pPr>
        <w:tabs>
          <w:tab w:val="left" w:pos="3686"/>
        </w:tabs>
        <w:spacing w:after="0"/>
        <w:rPr>
          <w:rFonts w:ascii="Arial" w:hAnsi="Arial" w:cs="Arial"/>
          <w:b/>
          <w:szCs w:val="24"/>
        </w:rPr>
      </w:pPr>
      <w:r w:rsidRPr="005F5BEA">
        <w:rPr>
          <w:rFonts w:ascii="Arial" w:hAnsi="Arial" w:cs="Arial"/>
          <w:b/>
          <w:szCs w:val="24"/>
        </w:rPr>
        <w:t xml:space="preserve">Date of </w:t>
      </w:r>
      <w:r w:rsidR="0063640F" w:rsidRPr="005F5BEA">
        <w:rPr>
          <w:rFonts w:ascii="Arial" w:hAnsi="Arial" w:cs="Arial"/>
          <w:b/>
          <w:szCs w:val="24"/>
        </w:rPr>
        <w:t>MSAC</w:t>
      </w:r>
      <w:r w:rsidRPr="005F5BEA">
        <w:rPr>
          <w:rFonts w:ascii="Arial" w:hAnsi="Arial" w:cs="Arial"/>
          <w:b/>
          <w:szCs w:val="24"/>
        </w:rPr>
        <w:t xml:space="preserve"> consideration:</w:t>
      </w:r>
      <w:r w:rsidR="00716830" w:rsidRPr="005F5BEA">
        <w:rPr>
          <w:rFonts w:ascii="Arial" w:hAnsi="Arial" w:cs="Arial"/>
          <w:b/>
          <w:szCs w:val="24"/>
        </w:rPr>
        <w:tab/>
      </w:r>
      <w:r w:rsidR="00AA7C08" w:rsidRPr="005F5BEA">
        <w:rPr>
          <w:rFonts w:ascii="Arial" w:hAnsi="Arial" w:cs="Arial"/>
          <w:b/>
          <w:szCs w:val="24"/>
        </w:rPr>
        <w:t>27 July 2023</w:t>
      </w:r>
    </w:p>
    <w:p w14:paraId="5A35BF77" w14:textId="6683C4CA" w:rsidR="00716830" w:rsidRPr="005F5BEA" w:rsidRDefault="00E9731B" w:rsidP="00E9731B">
      <w:pPr>
        <w:tabs>
          <w:tab w:val="left" w:pos="3686"/>
        </w:tabs>
        <w:spacing w:before="0" w:after="360"/>
        <w:rPr>
          <w:rFonts w:ascii="Arial" w:hAnsi="Arial" w:cs="Arial"/>
          <w:b/>
          <w:szCs w:val="24"/>
        </w:rPr>
      </w:pPr>
      <w:r w:rsidRPr="005F5BEA">
        <w:rPr>
          <w:rFonts w:ascii="Arial" w:hAnsi="Arial" w:cs="Arial"/>
          <w:b/>
          <w:szCs w:val="24"/>
        </w:rPr>
        <w:tab/>
      </w:r>
      <w:r w:rsidR="0063640F" w:rsidRPr="005F5BEA">
        <w:rPr>
          <w:rFonts w:ascii="Arial" w:hAnsi="Arial" w:cs="Arial"/>
          <w:b/>
          <w:szCs w:val="24"/>
        </w:rPr>
        <w:t>30-31 March</w:t>
      </w:r>
      <w:r w:rsidR="0070336D" w:rsidRPr="005F5BEA">
        <w:rPr>
          <w:rFonts w:ascii="Arial" w:hAnsi="Arial" w:cs="Arial"/>
          <w:b/>
          <w:szCs w:val="24"/>
        </w:rPr>
        <w:t xml:space="preserve"> 2023</w:t>
      </w:r>
    </w:p>
    <w:p w14:paraId="39D94D32" w14:textId="35A05530" w:rsidR="00C83A47" w:rsidRPr="005F5BEA" w:rsidRDefault="0063640F" w:rsidP="009F222A">
      <w:pPr>
        <w:spacing w:after="240"/>
        <w:rPr>
          <w:color w:val="0000FF"/>
          <w:szCs w:val="24"/>
          <w:u w:val="single"/>
        </w:rPr>
      </w:pPr>
      <w:r w:rsidRPr="005F5BEA">
        <w:rPr>
          <w:szCs w:val="24"/>
        </w:rPr>
        <w:t xml:space="preserve">Context for decision: MSAC makes its advice in accordance with its Terms of Reference, </w:t>
      </w:r>
      <w:bookmarkEnd w:id="0"/>
      <w:bookmarkEnd w:id="1"/>
      <w:r w:rsidR="0094700B" w:rsidRPr="005F5BEA">
        <w:fldChar w:fldCharType="begin"/>
      </w:r>
      <w:r w:rsidR="0094700B" w:rsidRPr="005F5BEA">
        <w:instrText>HYPERLINK "http://www.msac.gov.au/" \o "Link to Medical Services Advisory Committee website"</w:instrText>
      </w:r>
      <w:r w:rsidR="0094700B" w:rsidRPr="005F5BEA">
        <w:fldChar w:fldCharType="separate"/>
      </w:r>
      <w:r w:rsidRPr="005F5BEA">
        <w:rPr>
          <w:rStyle w:val="Hyperlink"/>
          <w:szCs w:val="24"/>
        </w:rPr>
        <w:t>visit the MSAC website</w:t>
      </w:r>
      <w:r w:rsidR="0094700B" w:rsidRPr="005F5BEA">
        <w:rPr>
          <w:rStyle w:val="Hyperlink"/>
          <w:szCs w:val="24"/>
        </w:rPr>
        <w:fldChar w:fldCharType="end"/>
      </w:r>
    </w:p>
    <w:p w14:paraId="7260C391" w14:textId="3EC5DF46" w:rsidR="00C83A47" w:rsidRPr="005F5BEA" w:rsidRDefault="7558C7A6" w:rsidP="00AB5B20">
      <w:pPr>
        <w:pStyle w:val="Heading2"/>
        <w:numPr>
          <w:ilvl w:val="0"/>
          <w:numId w:val="16"/>
        </w:numPr>
      </w:pPr>
      <w:r w:rsidRPr="005F5BEA">
        <w:t xml:space="preserve">Purpose of application </w:t>
      </w:r>
    </w:p>
    <w:p w14:paraId="495EC997" w14:textId="5AE4C021" w:rsidR="00C15C07" w:rsidRPr="005F5BEA" w:rsidRDefault="5555BE80" w:rsidP="11AFB54D">
      <w:pPr>
        <w:rPr>
          <w:rFonts w:eastAsia="Franklin Gothic Book" w:cs="Franklin Gothic Book"/>
        </w:rPr>
      </w:pPr>
      <w:r w:rsidRPr="005F5BEA">
        <w:t>An application relating to the cost of cardiac technical support services provided by industry employed cardiac technicians</w:t>
      </w:r>
      <w:r w:rsidR="7E810515" w:rsidRPr="005F5BEA">
        <w:t xml:space="preserve"> (IECTs)</w:t>
      </w:r>
      <w:r w:rsidRPr="005F5BEA">
        <w:t xml:space="preserve"> was received</w:t>
      </w:r>
      <w:r w:rsidR="13720F80" w:rsidRPr="005F5BEA">
        <w:t xml:space="preserve"> by the </w:t>
      </w:r>
      <w:r w:rsidR="77EB2D41" w:rsidRPr="005F5BEA">
        <w:t>Department</w:t>
      </w:r>
      <w:r w:rsidR="13720F80" w:rsidRPr="005F5BEA">
        <w:t xml:space="preserve"> of Health and Aged Care</w:t>
      </w:r>
      <w:r w:rsidRPr="005F5BEA">
        <w:t xml:space="preserve"> from the Medical Technology Association of Australia Cardiac Forum (MTAA CF</w:t>
      </w:r>
      <w:r w:rsidR="578FB199" w:rsidRPr="005F5BEA">
        <w:t>)</w:t>
      </w:r>
      <w:r w:rsidR="02FA2E57" w:rsidRPr="005F5BEA">
        <w:t xml:space="preserve">. </w:t>
      </w:r>
      <w:r w:rsidR="31B13CDB" w:rsidRPr="005F5BEA">
        <w:t xml:space="preserve">MTAA CF members include the medical device companies Medtronic, Abbott, </w:t>
      </w:r>
      <w:proofErr w:type="spellStart"/>
      <w:r w:rsidR="31B13CDB" w:rsidRPr="005F5BEA">
        <w:t>Biotronik</w:t>
      </w:r>
      <w:proofErr w:type="spellEnd"/>
      <w:r w:rsidR="31B13CDB" w:rsidRPr="005F5BEA">
        <w:t xml:space="preserve">, </w:t>
      </w:r>
      <w:proofErr w:type="spellStart"/>
      <w:r w:rsidR="31B13CDB" w:rsidRPr="005F5BEA">
        <w:t>MicroPort</w:t>
      </w:r>
      <w:proofErr w:type="spellEnd"/>
      <w:r w:rsidR="31B13CDB" w:rsidRPr="005F5BEA">
        <w:t xml:space="preserve"> CRM and Boston Scientific</w:t>
      </w:r>
      <w:r w:rsidR="2213B3FF" w:rsidRPr="005F5BEA">
        <w:t>.</w:t>
      </w:r>
      <w:r w:rsidR="02FA2E57" w:rsidRPr="005F5BEA">
        <w:t xml:space="preserve"> </w:t>
      </w:r>
      <w:r w:rsidRPr="005F5BEA">
        <w:t xml:space="preserve"> </w:t>
      </w:r>
      <w:r w:rsidR="3F89A817" w:rsidRPr="005F5BEA">
        <w:t xml:space="preserve">They supply </w:t>
      </w:r>
      <w:r w:rsidR="004E50A9" w:rsidRPr="005F5BEA">
        <w:rPr>
          <w:rFonts w:eastAsiaTheme="minorEastAsia"/>
        </w:rPr>
        <w:t>cardiac implantable electronic devices (</w:t>
      </w:r>
      <w:r w:rsidR="3F89A817" w:rsidRPr="005F5BEA">
        <w:t>CIEDs</w:t>
      </w:r>
      <w:r w:rsidR="004E50A9" w:rsidRPr="005F5BEA">
        <w:t>)</w:t>
      </w:r>
      <w:r w:rsidR="3F89A817" w:rsidRPr="005F5BEA">
        <w:t xml:space="preserve"> in Australia </w:t>
      </w:r>
      <w:proofErr w:type="gramStart"/>
      <w:r w:rsidR="3F89A817" w:rsidRPr="005F5BEA">
        <w:t>and also</w:t>
      </w:r>
      <w:proofErr w:type="gramEnd"/>
      <w:r w:rsidR="3F89A817" w:rsidRPr="005F5BEA">
        <w:t xml:space="preserve"> provide cardiac technical support services via IECTs. </w:t>
      </w:r>
      <w:r w:rsidR="00A0244C" w:rsidRPr="005F5BEA">
        <w:rPr>
          <w:rFonts w:eastAsiaTheme="minorEastAsia"/>
        </w:rPr>
        <w:t xml:space="preserve">CIEDs refer to, </w:t>
      </w:r>
      <w:r w:rsidR="00CF0ACB" w:rsidRPr="005F5BEA">
        <w:rPr>
          <w:rFonts w:eastAsiaTheme="minorEastAsia"/>
        </w:rPr>
        <w:t xml:space="preserve">permanent </w:t>
      </w:r>
      <w:r w:rsidR="00A0244C" w:rsidRPr="005F5BEA">
        <w:rPr>
          <w:rFonts w:eastAsiaTheme="minorEastAsia"/>
          <w:lang w:val="en-US"/>
        </w:rPr>
        <w:t xml:space="preserve">pacemakers (PPMs), implanted cardioverter defibrillators (ICDs), implantable loop recorders (ILRs) and cardiac </w:t>
      </w:r>
      <w:proofErr w:type="spellStart"/>
      <w:r w:rsidR="00A0244C" w:rsidRPr="005F5BEA">
        <w:rPr>
          <w:rFonts w:eastAsiaTheme="minorEastAsia"/>
          <w:lang w:val="en-US"/>
        </w:rPr>
        <w:t>resynchronisation</w:t>
      </w:r>
      <w:proofErr w:type="spellEnd"/>
      <w:r w:rsidR="00A0244C" w:rsidRPr="005F5BEA">
        <w:rPr>
          <w:rFonts w:eastAsiaTheme="minorEastAsia"/>
          <w:lang w:val="en-US"/>
        </w:rPr>
        <w:t xml:space="preserve"> therapy devices (CRTs). </w:t>
      </w:r>
      <w:r w:rsidR="55FEE42D" w:rsidRPr="005F5BEA">
        <w:t xml:space="preserve">The purpose of this application </w:t>
      </w:r>
      <w:r w:rsidR="7E639F47" w:rsidRPr="005F5BEA">
        <w:t>was</w:t>
      </w:r>
      <w:r w:rsidR="55FEE42D" w:rsidRPr="005F5BEA">
        <w:t xml:space="preserve"> to determine the </w:t>
      </w:r>
      <w:r w:rsidR="35B34DCD" w:rsidRPr="005F5BEA">
        <w:rPr>
          <w:rFonts w:eastAsiaTheme="minorEastAsia"/>
        </w:rPr>
        <w:t xml:space="preserve">reasonable cost of </w:t>
      </w:r>
      <w:r w:rsidR="29EE7D37" w:rsidRPr="005F5BEA">
        <w:rPr>
          <w:rFonts w:eastAsiaTheme="minorEastAsia"/>
        </w:rPr>
        <w:t xml:space="preserve">providing </w:t>
      </w:r>
      <w:r w:rsidR="1A8430BE" w:rsidRPr="005F5BEA">
        <w:rPr>
          <w:rFonts w:eastAsiaTheme="minorEastAsia"/>
        </w:rPr>
        <w:t xml:space="preserve">follow-up cardiac </w:t>
      </w:r>
      <w:r w:rsidR="35B34DCD" w:rsidRPr="005F5BEA">
        <w:rPr>
          <w:rFonts w:eastAsiaTheme="minorEastAsia"/>
        </w:rPr>
        <w:t xml:space="preserve">technical support services </w:t>
      </w:r>
      <w:r w:rsidR="29EE7D37" w:rsidRPr="005F5BEA">
        <w:rPr>
          <w:rFonts w:eastAsiaTheme="minorEastAsia"/>
        </w:rPr>
        <w:t xml:space="preserve">for CIEDs. </w:t>
      </w:r>
    </w:p>
    <w:p w14:paraId="45CFBA2B" w14:textId="5C98B1BA" w:rsidR="00C15C07" w:rsidRPr="005F5BEA" w:rsidRDefault="6EAD159F" w:rsidP="11AFB54D">
      <w:pPr>
        <w:spacing w:after="120"/>
        <w:rPr>
          <w:rFonts w:eastAsiaTheme="minorEastAsia"/>
          <w:lang w:val="en-US"/>
        </w:rPr>
      </w:pPr>
      <w:r w:rsidRPr="005F5BEA">
        <w:t xml:space="preserve">This application </w:t>
      </w:r>
      <w:r w:rsidR="19F85309" w:rsidRPr="005F5BEA">
        <w:rPr>
          <w:rFonts w:eastAsiaTheme="minorEastAsia"/>
        </w:rPr>
        <w:t>was submitted</w:t>
      </w:r>
      <w:r w:rsidRPr="005F5BEA">
        <w:rPr>
          <w:rFonts w:eastAsiaTheme="minorEastAsia"/>
        </w:rPr>
        <w:t xml:space="preserve"> in the context of the</w:t>
      </w:r>
      <w:r w:rsidR="457ED0EC" w:rsidRPr="005F5BEA">
        <w:rPr>
          <w:rFonts w:eastAsiaTheme="minorEastAsia"/>
        </w:rPr>
        <w:t xml:space="preserve"> Prostheses List</w:t>
      </w:r>
      <w:r w:rsidR="39A25EFA" w:rsidRPr="005F5BEA">
        <w:rPr>
          <w:rFonts w:eastAsiaTheme="minorEastAsia"/>
        </w:rPr>
        <w:t xml:space="preserve"> (PL</w:t>
      </w:r>
      <w:r w:rsidR="00A0244C" w:rsidRPr="005F5BEA">
        <w:rPr>
          <w:rFonts w:eastAsiaTheme="minorEastAsia"/>
        </w:rPr>
        <w:t>;</w:t>
      </w:r>
      <w:r w:rsidR="769D2AE7" w:rsidRPr="005F5BEA">
        <w:rPr>
          <w:rFonts w:eastAsiaTheme="minorEastAsia"/>
        </w:rPr>
        <w:t xml:space="preserve"> </w:t>
      </w:r>
      <w:r w:rsidR="199A3623" w:rsidRPr="005F5BEA">
        <w:rPr>
          <w:rFonts w:eastAsiaTheme="minorEastAsia"/>
        </w:rPr>
        <w:t>now known as the Prescribed List of Medical Devices and Human Tissue Products)</w:t>
      </w:r>
      <w:r w:rsidR="00A0244C" w:rsidRPr="005F5BEA">
        <w:rPr>
          <w:rFonts w:eastAsiaTheme="minorEastAsia"/>
        </w:rPr>
        <w:t xml:space="preserve"> reforms</w:t>
      </w:r>
      <w:r w:rsidR="769D2AE7" w:rsidRPr="005F5BEA">
        <w:rPr>
          <w:rFonts w:eastAsiaTheme="minorEastAsia"/>
        </w:rPr>
        <w:t>. The reforms</w:t>
      </w:r>
      <w:r w:rsidRPr="005F5BEA">
        <w:rPr>
          <w:rFonts w:eastAsiaTheme="minorEastAsia"/>
        </w:rPr>
        <w:t xml:space="preserve"> aim </w:t>
      </w:r>
      <w:r w:rsidR="56C40E53" w:rsidRPr="005F5BEA">
        <w:rPr>
          <w:rFonts w:eastAsiaTheme="minorEastAsia"/>
        </w:rPr>
        <w:t>to reduce</w:t>
      </w:r>
      <w:r w:rsidR="4D7D0E9D" w:rsidRPr="005F5BEA">
        <w:rPr>
          <w:rFonts w:eastAsiaTheme="minorEastAsia"/>
        </w:rPr>
        <w:t xml:space="preserve"> </w:t>
      </w:r>
      <w:r w:rsidR="56C40E53" w:rsidRPr="005F5BEA">
        <w:rPr>
          <w:rFonts w:eastAsiaTheme="minorEastAsia"/>
        </w:rPr>
        <w:t>the cost of medical devices used in the private health sector and streamline access to new medical devices. Th</w:t>
      </w:r>
      <w:r w:rsidR="00A0244C" w:rsidRPr="005F5BEA">
        <w:rPr>
          <w:rFonts w:eastAsiaTheme="minorEastAsia"/>
        </w:rPr>
        <w:t>ese aims</w:t>
      </w:r>
      <w:r w:rsidR="56C40E53" w:rsidRPr="005F5BEA">
        <w:rPr>
          <w:rFonts w:eastAsiaTheme="minorEastAsia"/>
        </w:rPr>
        <w:t xml:space="preserve"> will be achieved </w:t>
      </w:r>
      <w:r w:rsidR="3858726D" w:rsidRPr="005F5BEA">
        <w:rPr>
          <w:rFonts w:eastAsiaTheme="minorEastAsia"/>
        </w:rPr>
        <w:t xml:space="preserve">through </w:t>
      </w:r>
      <w:proofErr w:type="gramStart"/>
      <w:r w:rsidR="3858726D" w:rsidRPr="005F5BEA">
        <w:rPr>
          <w:rFonts w:eastAsiaTheme="minorEastAsia"/>
        </w:rPr>
        <w:t>a number of</w:t>
      </w:r>
      <w:proofErr w:type="gramEnd"/>
      <w:r w:rsidR="3858726D" w:rsidRPr="005F5BEA">
        <w:rPr>
          <w:rFonts w:eastAsiaTheme="minorEastAsia"/>
        </w:rPr>
        <w:t xml:space="preserve"> measures including</w:t>
      </w:r>
      <w:r w:rsidR="56BCCF85" w:rsidRPr="005F5BEA">
        <w:rPr>
          <w:rFonts w:eastAsiaTheme="minorEastAsia"/>
        </w:rPr>
        <w:t xml:space="preserve"> reducing the gap between</w:t>
      </w:r>
      <w:r w:rsidR="75FA9039" w:rsidRPr="005F5BEA">
        <w:rPr>
          <w:rFonts w:eastAsiaTheme="minorEastAsia"/>
        </w:rPr>
        <w:t xml:space="preserve"> the prices paid</w:t>
      </w:r>
      <w:r w:rsidR="5780B762" w:rsidRPr="005F5BEA">
        <w:rPr>
          <w:rFonts w:eastAsiaTheme="minorEastAsia"/>
        </w:rPr>
        <w:t xml:space="preserve"> for the same medical devices</w:t>
      </w:r>
      <w:r w:rsidR="75FA9039" w:rsidRPr="005F5BEA">
        <w:rPr>
          <w:rFonts w:eastAsiaTheme="minorEastAsia"/>
        </w:rPr>
        <w:t xml:space="preserve"> in the</w:t>
      </w:r>
      <w:r w:rsidR="56BCCF85" w:rsidRPr="005F5BEA">
        <w:rPr>
          <w:rFonts w:eastAsiaTheme="minorEastAsia"/>
        </w:rPr>
        <w:t xml:space="preserve"> public hospital </w:t>
      </w:r>
      <w:r w:rsidR="59D19335" w:rsidRPr="005F5BEA">
        <w:rPr>
          <w:rFonts w:eastAsiaTheme="minorEastAsia"/>
        </w:rPr>
        <w:t xml:space="preserve">system </w:t>
      </w:r>
      <w:r w:rsidR="56BCCF85" w:rsidRPr="005F5BEA">
        <w:rPr>
          <w:rFonts w:eastAsiaTheme="minorEastAsia"/>
        </w:rPr>
        <w:t>and</w:t>
      </w:r>
      <w:r w:rsidR="75DE9104" w:rsidRPr="005F5BEA">
        <w:rPr>
          <w:rFonts w:eastAsiaTheme="minorEastAsia"/>
        </w:rPr>
        <w:t xml:space="preserve"> the</w:t>
      </w:r>
      <w:r w:rsidR="56BCCF85" w:rsidRPr="005F5BEA">
        <w:rPr>
          <w:rFonts w:eastAsiaTheme="minorEastAsia"/>
        </w:rPr>
        <w:t xml:space="preserve"> benefits paid in the private sector</w:t>
      </w:r>
      <w:r w:rsidR="51876699" w:rsidRPr="005F5BEA">
        <w:rPr>
          <w:rFonts w:eastAsiaTheme="minorEastAsia"/>
        </w:rPr>
        <w:t xml:space="preserve"> through the PL</w:t>
      </w:r>
      <w:r w:rsidR="792AB746" w:rsidRPr="005F5BEA">
        <w:rPr>
          <w:rFonts w:eastAsiaTheme="minorEastAsia"/>
        </w:rPr>
        <w:t>.</w:t>
      </w:r>
      <w:r w:rsidRPr="005F5BEA">
        <w:t xml:space="preserve"> </w:t>
      </w:r>
      <w:r w:rsidR="3A593C6B" w:rsidRPr="005F5BEA">
        <w:t>T</w:t>
      </w:r>
      <w:r w:rsidR="17F0B9CD" w:rsidRPr="005F5BEA">
        <w:t>h</w:t>
      </w:r>
      <w:r w:rsidR="00A0244C" w:rsidRPr="005F5BEA">
        <w:t xml:space="preserve">ese </w:t>
      </w:r>
      <w:r w:rsidR="00F57F70" w:rsidRPr="005F5BEA">
        <w:t>measures</w:t>
      </w:r>
      <w:r w:rsidR="17F0B9CD" w:rsidRPr="005F5BEA">
        <w:t xml:space="preserve"> will be </w:t>
      </w:r>
      <w:r w:rsidR="540050E4" w:rsidRPr="005F5BEA">
        <w:t>implemented</w:t>
      </w:r>
      <w:r w:rsidR="17F0B9CD" w:rsidRPr="005F5BEA">
        <w:t xml:space="preserve"> through</w:t>
      </w:r>
      <w:r w:rsidR="05CCEC75" w:rsidRPr="005F5BEA">
        <w:t xml:space="preserve"> a series of</w:t>
      </w:r>
      <w:r w:rsidR="17F0B9CD" w:rsidRPr="005F5BEA">
        <w:t xml:space="preserve"> staged benefit reductions </w:t>
      </w:r>
      <w:r w:rsidR="6DE82BBC" w:rsidRPr="005F5BEA">
        <w:t>occurring</w:t>
      </w:r>
      <w:r w:rsidR="5CB71E6C" w:rsidRPr="005F5BEA">
        <w:t xml:space="preserve"> </w:t>
      </w:r>
      <w:r w:rsidR="17F0B9CD" w:rsidRPr="005F5BEA">
        <w:t xml:space="preserve">over a </w:t>
      </w:r>
      <w:r w:rsidR="6644BCCF" w:rsidRPr="005F5BEA">
        <w:t>four-year</w:t>
      </w:r>
      <w:r w:rsidR="17F0B9CD" w:rsidRPr="005F5BEA">
        <w:t xml:space="preserve"> period, </w:t>
      </w:r>
      <w:r w:rsidR="28D6B84F" w:rsidRPr="005F5BEA">
        <w:t xml:space="preserve">which commenced </w:t>
      </w:r>
      <w:r w:rsidR="17F0B9CD" w:rsidRPr="005F5BEA">
        <w:t>in 2022.</w:t>
      </w:r>
      <w:r w:rsidR="1ACF3546" w:rsidRPr="005F5BEA">
        <w:t xml:space="preserve"> </w:t>
      </w:r>
      <w:r w:rsidR="1ACF3546" w:rsidRPr="005F5BEA">
        <w:rPr>
          <w:rFonts w:eastAsiaTheme="minorEastAsia"/>
          <w:lang w:val="en-US"/>
        </w:rPr>
        <w:t>The MTAA CF companies have contended that reductions to the PL benefits for CIEDs would reduce their ability to continue</w:t>
      </w:r>
      <w:r w:rsidR="202858E8" w:rsidRPr="005F5BEA">
        <w:rPr>
          <w:rFonts w:eastAsiaTheme="minorEastAsia"/>
          <w:lang w:val="en-US"/>
        </w:rPr>
        <w:t xml:space="preserve"> providing</w:t>
      </w:r>
      <w:r w:rsidR="1ACF3546" w:rsidRPr="005F5BEA">
        <w:rPr>
          <w:rFonts w:eastAsiaTheme="minorEastAsia"/>
          <w:lang w:val="en-US"/>
        </w:rPr>
        <w:t xml:space="preserve"> follow-up cardiac technical support services through their IECTs, given the PL benefit </w:t>
      </w:r>
      <w:r w:rsidR="637AB7FF" w:rsidRPr="005F5BEA">
        <w:rPr>
          <w:rFonts w:eastAsiaTheme="minorEastAsia"/>
          <w:lang w:val="en-US"/>
        </w:rPr>
        <w:t xml:space="preserve">is </w:t>
      </w:r>
      <w:r w:rsidR="00F57F70" w:rsidRPr="005F5BEA">
        <w:rPr>
          <w:rFonts w:eastAsiaTheme="minorEastAsia"/>
          <w:lang w:val="en-US"/>
        </w:rPr>
        <w:t xml:space="preserve">currently </w:t>
      </w:r>
      <w:r w:rsidR="637AB7FF" w:rsidRPr="005F5BEA">
        <w:rPr>
          <w:rFonts w:eastAsiaTheme="minorEastAsia"/>
          <w:lang w:val="en-US"/>
        </w:rPr>
        <w:t xml:space="preserve">used to cover </w:t>
      </w:r>
      <w:r w:rsidR="00F57F70" w:rsidRPr="005F5BEA">
        <w:rPr>
          <w:rFonts w:eastAsiaTheme="minorEastAsia"/>
          <w:lang w:val="en-US"/>
        </w:rPr>
        <w:t>the costs associated with the provision of follow-up services as well as</w:t>
      </w:r>
      <w:r w:rsidR="637AB7FF" w:rsidRPr="005F5BEA">
        <w:rPr>
          <w:rFonts w:eastAsiaTheme="minorEastAsia"/>
          <w:lang w:val="en-US"/>
        </w:rPr>
        <w:t xml:space="preserve"> the cost of the</w:t>
      </w:r>
      <w:r w:rsidR="1ACF3546" w:rsidRPr="005F5BEA">
        <w:rPr>
          <w:rFonts w:eastAsiaTheme="minorEastAsia"/>
          <w:lang w:val="en-US"/>
        </w:rPr>
        <w:t xml:space="preserve"> device.</w:t>
      </w:r>
    </w:p>
    <w:p w14:paraId="2F962A98" w14:textId="1FCE0B5E" w:rsidR="006A0061" w:rsidRPr="005F5BEA" w:rsidRDefault="64A7F24B" w:rsidP="11AFB54D">
      <w:r w:rsidRPr="005F5BEA">
        <w:t xml:space="preserve">This application follows </w:t>
      </w:r>
      <w:r w:rsidR="355F83EB" w:rsidRPr="005F5BEA">
        <w:rPr>
          <w:rFonts w:eastAsiaTheme="minorEastAsia"/>
          <w:lang w:val="en-US"/>
        </w:rPr>
        <w:t>the 14 March 2022 Memorandum of Understanding between the then Minister for Health and Aged Care and the MTAA (“the MoU”).</w:t>
      </w:r>
      <w:r w:rsidR="45A79A1F" w:rsidRPr="005F5BEA">
        <w:rPr>
          <w:rFonts w:eastAsiaTheme="minorEastAsia"/>
          <w:lang w:val="en-US"/>
        </w:rPr>
        <w:t xml:space="preserve"> </w:t>
      </w:r>
      <w:r w:rsidR="30D0E3A9" w:rsidRPr="005F5BEA">
        <w:rPr>
          <w:rFonts w:eastAsiaTheme="minorEastAsia"/>
          <w:lang w:val="en-US"/>
        </w:rPr>
        <w:t xml:space="preserve"> </w:t>
      </w:r>
      <w:r w:rsidR="61040086" w:rsidRPr="005F5BEA">
        <w:rPr>
          <w:rFonts w:eastAsiaTheme="minorEastAsia"/>
          <w:lang w:val="en-US"/>
        </w:rPr>
        <w:t>In line with the MoU</w:t>
      </w:r>
      <w:r w:rsidR="0C9BB8AF" w:rsidRPr="005F5BEA">
        <w:rPr>
          <w:rFonts w:eastAsiaTheme="minorEastAsia"/>
          <w:lang w:val="en-US"/>
        </w:rPr>
        <w:t>,</w:t>
      </w:r>
      <w:r w:rsidR="15AD5B4C" w:rsidRPr="005F5BEA">
        <w:rPr>
          <w:rFonts w:eastAsiaTheme="minorEastAsia"/>
          <w:lang w:val="en-US"/>
        </w:rPr>
        <w:t xml:space="preserve"> </w:t>
      </w:r>
      <w:r w:rsidR="15AD5B4C" w:rsidRPr="005F5BEA">
        <w:rPr>
          <w:rFonts w:eastAsiaTheme="minorEastAsia"/>
        </w:rPr>
        <w:t>t</w:t>
      </w:r>
      <w:r w:rsidR="15AD5B4C" w:rsidRPr="005F5BEA">
        <w:rPr>
          <w:rFonts w:eastAsiaTheme="minorEastAsia"/>
          <w:lang w:val="en-US"/>
        </w:rPr>
        <w:t>he Department deferred</w:t>
      </w:r>
      <w:r w:rsidR="7EBB9CBE" w:rsidRPr="005F5BEA">
        <w:rPr>
          <w:rFonts w:eastAsiaTheme="minorEastAsia"/>
          <w:lang w:val="en-US"/>
        </w:rPr>
        <w:t xml:space="preserve"> applying the </w:t>
      </w:r>
      <w:r w:rsidR="15AD5B4C" w:rsidRPr="005F5BEA">
        <w:rPr>
          <w:rFonts w:eastAsiaTheme="minorEastAsia"/>
          <w:lang w:val="en-US"/>
        </w:rPr>
        <w:t xml:space="preserve">PL benefit reductions </w:t>
      </w:r>
      <w:r w:rsidR="3BBB885D" w:rsidRPr="005F5BEA">
        <w:rPr>
          <w:rFonts w:eastAsiaTheme="minorEastAsia"/>
          <w:lang w:val="en-US"/>
        </w:rPr>
        <w:t>to</w:t>
      </w:r>
      <w:r w:rsidR="15AD5B4C" w:rsidRPr="005F5BEA">
        <w:rPr>
          <w:rFonts w:eastAsiaTheme="minorEastAsia"/>
          <w:lang w:val="en-US"/>
        </w:rPr>
        <w:t xml:space="preserve"> CIEDs for 12 months pending the outcome of th</w:t>
      </w:r>
      <w:r w:rsidR="00F57F70" w:rsidRPr="005F5BEA">
        <w:rPr>
          <w:rFonts w:eastAsiaTheme="minorEastAsia"/>
          <w:lang w:val="en-US"/>
        </w:rPr>
        <w:t>e current</w:t>
      </w:r>
      <w:r w:rsidR="15AD5B4C" w:rsidRPr="005F5BEA">
        <w:rPr>
          <w:rFonts w:eastAsiaTheme="minorEastAsia"/>
          <w:lang w:val="en-US"/>
        </w:rPr>
        <w:t xml:space="preserve"> MSAC application</w:t>
      </w:r>
      <w:r w:rsidR="45F500E2" w:rsidRPr="005F5BEA">
        <w:rPr>
          <w:rFonts w:eastAsiaTheme="minorEastAsia"/>
          <w:lang w:val="en-US"/>
        </w:rPr>
        <w:t xml:space="preserve">, with the view that </w:t>
      </w:r>
      <w:r w:rsidR="3F92BAD4" w:rsidRPr="005F5BEA">
        <w:t>t</w:t>
      </w:r>
      <w:r w:rsidR="14C43F2E" w:rsidRPr="005F5BEA">
        <w:t xml:space="preserve">he amount determined to be the reasonable cost of </w:t>
      </w:r>
      <w:r w:rsidR="2C3D5ED1" w:rsidRPr="005F5BEA">
        <w:t xml:space="preserve">providing </w:t>
      </w:r>
      <w:r w:rsidR="14C43F2E" w:rsidRPr="005F5BEA">
        <w:t>cardiac technical support services</w:t>
      </w:r>
      <w:r w:rsidR="3BB6ACA1" w:rsidRPr="005F5BEA">
        <w:t xml:space="preserve"> </w:t>
      </w:r>
      <w:r w:rsidR="14C43F2E" w:rsidRPr="005F5BEA">
        <w:t xml:space="preserve">will not be subject to the scheduled </w:t>
      </w:r>
      <w:r w:rsidR="4A92FC9C" w:rsidRPr="005F5BEA">
        <w:t xml:space="preserve">PL benefit </w:t>
      </w:r>
      <w:r w:rsidR="14C43F2E" w:rsidRPr="005F5BEA">
        <w:t>reductions</w:t>
      </w:r>
      <w:r w:rsidR="65B814E1" w:rsidRPr="005F5BEA">
        <w:t xml:space="preserve"> </w:t>
      </w:r>
      <w:r w:rsidR="14C43F2E" w:rsidRPr="005F5BEA">
        <w:t>applied to the CIEDs.</w:t>
      </w:r>
    </w:p>
    <w:p w14:paraId="3CC545A8" w14:textId="336EACC1" w:rsidR="00186EF1" w:rsidRPr="005F5BEA" w:rsidRDefault="7558C7A6" w:rsidP="11AFB54D">
      <w:pPr>
        <w:pStyle w:val="Heading2"/>
      </w:pPr>
      <w:r w:rsidRPr="005F5BEA">
        <w:lastRenderedPageBreak/>
        <w:t>2.</w:t>
      </w:r>
      <w:r w:rsidR="00C83A47" w:rsidRPr="005F5BEA">
        <w:tab/>
      </w:r>
      <w:r w:rsidR="2CDC38AE" w:rsidRPr="005F5BEA">
        <w:t>MSAC’s advice to the Minister – July 2023</w:t>
      </w:r>
    </w:p>
    <w:p w14:paraId="09548A58" w14:textId="45258E85" w:rsidR="00186EF1" w:rsidRPr="005F5BEA" w:rsidRDefault="3C889686" w:rsidP="11AFB54D">
      <w:r w:rsidRPr="005F5BEA">
        <w:t>MSAC</w:t>
      </w:r>
      <w:r w:rsidR="6F9540CB" w:rsidRPr="005F5BEA">
        <w:t xml:space="preserve"> considered the</w:t>
      </w:r>
      <w:r w:rsidR="029376F1" w:rsidRPr="005F5BEA">
        <w:t xml:space="preserve"> focussed</w:t>
      </w:r>
      <w:r w:rsidR="6F9540CB" w:rsidRPr="005F5BEA">
        <w:t xml:space="preserve"> evaluation </w:t>
      </w:r>
      <w:r w:rsidR="558958B2" w:rsidRPr="005F5BEA">
        <w:t xml:space="preserve">of the </w:t>
      </w:r>
      <w:r w:rsidR="2542EDFA" w:rsidRPr="005F5BEA">
        <w:t>updated</w:t>
      </w:r>
      <w:r w:rsidR="00C4E9E3" w:rsidRPr="005F5BEA">
        <w:t xml:space="preserve"> cost estimates</w:t>
      </w:r>
      <w:r w:rsidR="3D41349C" w:rsidRPr="005F5BEA">
        <w:t xml:space="preserve"> it requested </w:t>
      </w:r>
      <w:r w:rsidR="5F3A141C" w:rsidRPr="005F5BEA">
        <w:t xml:space="preserve">at its meeting </w:t>
      </w:r>
      <w:r w:rsidR="3D41349C" w:rsidRPr="005F5BEA">
        <w:t>in March 2023</w:t>
      </w:r>
      <w:r w:rsidR="10CBA6AB" w:rsidRPr="005F5BEA">
        <w:t xml:space="preserve">. MSAC </w:t>
      </w:r>
      <w:r w:rsidR="10CBA6AB" w:rsidRPr="00461D0D">
        <w:t>recalled the original ADAR estimated that the total cost of follow</w:t>
      </w:r>
      <w:r w:rsidR="008F1FB7" w:rsidRPr="00461D0D">
        <w:noBreakHyphen/>
      </w:r>
      <w:r w:rsidR="10CBA6AB" w:rsidRPr="00461D0D">
        <w:t>up cardiac technical support services provided by IECTs to be $73.3 million in 2022 and this increased substantially to $91.3 million</w:t>
      </w:r>
      <w:r w:rsidR="00FE54AC" w:rsidRPr="00461D0D">
        <w:t xml:space="preserve"> (revised to $87 million by the applicant after correcting for errors associated with certification costs of technicians) </w:t>
      </w:r>
      <w:r w:rsidR="10CBA6AB" w:rsidRPr="00461D0D">
        <w:t>in the updated</w:t>
      </w:r>
      <w:r w:rsidR="10CBA6AB" w:rsidRPr="005F5BEA">
        <w:t xml:space="preserve"> cost estimates provided by the applicant in February 2023</w:t>
      </w:r>
      <w:r w:rsidR="3D41349C" w:rsidRPr="005F5BEA">
        <w:t>. MSA</w:t>
      </w:r>
      <w:r w:rsidR="5BCDF5A1" w:rsidRPr="005F5BEA">
        <w:t xml:space="preserve">C </w:t>
      </w:r>
      <w:r w:rsidR="3D41349C" w:rsidRPr="005F5BEA">
        <w:t xml:space="preserve">recalled that the updated </w:t>
      </w:r>
      <w:r w:rsidR="7971DD3A" w:rsidRPr="005F5BEA">
        <w:t xml:space="preserve">cost estimates were </w:t>
      </w:r>
      <w:r w:rsidR="73495653" w:rsidRPr="005F5BEA">
        <w:t>derived from a</w:t>
      </w:r>
      <w:r w:rsidR="602673BD" w:rsidRPr="005F5BEA">
        <w:t>n additional</w:t>
      </w:r>
      <w:r w:rsidR="73495653" w:rsidRPr="005F5BEA">
        <w:t xml:space="preserve"> 4-weeks of data collection, provided by the applicant</w:t>
      </w:r>
      <w:r w:rsidR="6CF9244C" w:rsidRPr="005F5BEA">
        <w:t xml:space="preserve"> </w:t>
      </w:r>
      <w:r w:rsidR="5487BEC2" w:rsidRPr="005F5BEA">
        <w:t>in its February 2023</w:t>
      </w:r>
      <w:r w:rsidR="73495653" w:rsidRPr="005F5BEA">
        <w:t xml:space="preserve"> </w:t>
      </w:r>
      <w:proofErr w:type="gramStart"/>
      <w:r w:rsidR="73495653" w:rsidRPr="005F5BEA">
        <w:t>pre-ESC</w:t>
      </w:r>
      <w:proofErr w:type="gramEnd"/>
      <w:r w:rsidR="73495653" w:rsidRPr="005F5BEA">
        <w:t xml:space="preserve"> response</w:t>
      </w:r>
      <w:r w:rsidR="7214DD39" w:rsidRPr="005F5BEA">
        <w:t xml:space="preserve"> (i.e., a total of 8 weeks of data collection)</w:t>
      </w:r>
      <w:r w:rsidR="409B0C4E" w:rsidRPr="005F5BEA">
        <w:t xml:space="preserve">. </w:t>
      </w:r>
      <w:r w:rsidR="6F9540CB" w:rsidRPr="005F5BEA">
        <w:t xml:space="preserve"> </w:t>
      </w:r>
    </w:p>
    <w:p w14:paraId="027F44EE" w14:textId="2A447C09" w:rsidR="00186EF1" w:rsidRPr="005F5BEA" w:rsidRDefault="11D91D43" w:rsidP="11AFB54D">
      <w:r w:rsidRPr="005F5BEA">
        <w:rPr>
          <w:rFonts w:eastAsia="Franklin Gothic Book" w:cs="Franklin Gothic Book"/>
          <w:lang w:val="en-GB"/>
        </w:rPr>
        <w:t>MSAC noted that the overall number of services provided in the updated data increased only slightly and the substantial increase in estimated costs was associated with a</w:t>
      </w:r>
      <w:r w:rsidR="2900AF8C" w:rsidRPr="005F5BEA">
        <w:rPr>
          <w:rFonts w:eastAsia="Franklin Gothic Book" w:cs="Franklin Gothic Book"/>
          <w:lang w:val="en-GB"/>
        </w:rPr>
        <w:t>n</w:t>
      </w:r>
      <w:r w:rsidRPr="005F5BEA">
        <w:rPr>
          <w:rFonts w:eastAsia="Franklin Gothic Book" w:cs="Franklin Gothic Book"/>
          <w:lang w:val="en-GB"/>
        </w:rPr>
        <w:t xml:space="preserve"> increase in </w:t>
      </w:r>
      <w:r w:rsidR="14DA907E" w:rsidRPr="005F5BEA">
        <w:rPr>
          <w:rFonts w:eastAsia="Franklin Gothic Book" w:cs="Franklin Gothic Book"/>
          <w:lang w:val="en-GB"/>
        </w:rPr>
        <w:t xml:space="preserve">the calculation of </w:t>
      </w:r>
      <w:r w:rsidRPr="005F5BEA">
        <w:rPr>
          <w:rFonts w:eastAsia="Franklin Gothic Book" w:cs="Franklin Gothic Book"/>
          <w:lang w:val="en-GB"/>
        </w:rPr>
        <w:t>overhead costs reported</w:t>
      </w:r>
      <w:r w:rsidR="004B7370" w:rsidRPr="005F5BEA">
        <w:rPr>
          <w:rFonts w:eastAsia="Franklin Gothic Book" w:cs="Franklin Gothic Book"/>
          <w:lang w:val="en-GB"/>
        </w:rPr>
        <w:t xml:space="preserve"> by the </w:t>
      </w:r>
      <w:r w:rsidR="00EB53C7" w:rsidRPr="005F5BEA">
        <w:rPr>
          <w:rFonts w:eastAsia="Franklin Gothic Book" w:cs="Franklin Gothic Book"/>
          <w:lang w:val="en-GB"/>
        </w:rPr>
        <w:t>MTAA CF members</w:t>
      </w:r>
      <w:r w:rsidRPr="005F5BEA">
        <w:rPr>
          <w:rFonts w:eastAsia="Franklin Gothic Book" w:cs="Franklin Gothic Book"/>
          <w:lang w:val="en-GB"/>
        </w:rPr>
        <w:t xml:space="preserve">. </w:t>
      </w:r>
      <w:r w:rsidR="44EBADEA" w:rsidRPr="005F5BEA">
        <w:rPr>
          <w:rFonts w:eastAsia="Franklin Gothic Book" w:cs="Franklin Gothic Book"/>
          <w:lang w:val="en-GB"/>
        </w:rPr>
        <w:t>T</w:t>
      </w:r>
      <w:r w:rsidR="44EBADEA" w:rsidRPr="005F5BEA">
        <w:t>he MSAC considered the updated overhead costs were overestimated and advised overhead costs should be adjusted to reflect 30% of the reasonable estimate of direct costs, as initially proposed in the ADAR.</w:t>
      </w:r>
      <w:r w:rsidR="637D5BFA" w:rsidRPr="005F5BEA">
        <w:t xml:space="preserve">  </w:t>
      </w:r>
      <w:r w:rsidR="3B9D9FAC" w:rsidRPr="005F5BEA">
        <w:t>MSAC</w:t>
      </w:r>
      <w:r w:rsidR="5C35316F" w:rsidRPr="005F5BEA">
        <w:t xml:space="preserve"> also</w:t>
      </w:r>
      <w:r w:rsidR="3B9D9FAC" w:rsidRPr="005F5BEA">
        <w:t xml:space="preserve"> reaffirmed its March 2023 advice that the cost of follow-up services presented in the application were overestimated</w:t>
      </w:r>
      <w:r w:rsidR="2C435A22" w:rsidRPr="005F5BEA">
        <w:t xml:space="preserve"> and </w:t>
      </w:r>
      <w:r w:rsidR="3FD7EB92" w:rsidRPr="005F5BEA">
        <w:t>considered the average hourly wage of IECT</w:t>
      </w:r>
      <w:r w:rsidR="2E5570E8" w:rsidRPr="005F5BEA">
        <w:t>s</w:t>
      </w:r>
      <w:r w:rsidR="3FD7EB92" w:rsidRPr="005F5BEA">
        <w:t xml:space="preserve"> and </w:t>
      </w:r>
      <w:r w:rsidR="47F2DF3E" w:rsidRPr="005F5BEA">
        <w:t>IECT</w:t>
      </w:r>
      <w:r w:rsidR="3FD7EB92" w:rsidRPr="005F5BEA">
        <w:t xml:space="preserve"> onboarding costs should be adjusted in line with this </w:t>
      </w:r>
      <w:r w:rsidR="00EB53C7" w:rsidRPr="005F5BEA">
        <w:t>earlier</w:t>
      </w:r>
      <w:r w:rsidR="3FD7EB92" w:rsidRPr="005F5BEA">
        <w:t xml:space="preserve"> advice</w:t>
      </w:r>
      <w:r w:rsidR="3A075DFE" w:rsidRPr="005F5BEA">
        <w:t xml:space="preserve">. </w:t>
      </w:r>
      <w:r w:rsidR="3B9D9FAC" w:rsidRPr="005F5BEA">
        <w:t xml:space="preserve"> </w:t>
      </w:r>
    </w:p>
    <w:p w14:paraId="07FFEDB3" w14:textId="6CDAA74F" w:rsidR="00186EF1" w:rsidRPr="005F5BEA" w:rsidRDefault="6D200BAD" w:rsidP="11AFB54D">
      <w:pPr>
        <w:rPr>
          <w:rFonts w:eastAsia="Calibri" w:cs="Arial"/>
          <w:lang w:val="en-GB"/>
        </w:rPr>
      </w:pPr>
      <w:r w:rsidRPr="005F5BEA">
        <w:rPr>
          <w:rFonts w:eastAsia="Franklin Gothic Book" w:cs="Franklin Gothic Book"/>
        </w:rPr>
        <w:t>Based</w:t>
      </w:r>
      <w:r w:rsidR="503C38A9" w:rsidRPr="005F5BEA">
        <w:rPr>
          <w:rFonts w:eastAsia="Franklin Gothic Book" w:cs="Franklin Gothic Book"/>
        </w:rPr>
        <w:t xml:space="preserve"> on the data provided by the applicant, the MSAC noted that in addition to the cost of the CIEDs, the current PL benefits for these devices include the following costs:</w:t>
      </w:r>
      <w:r w:rsidR="503C38A9" w:rsidRPr="005F5BEA">
        <w:rPr>
          <w:rFonts w:eastAsia="Franklin Gothic Book" w:cs="Franklin Gothic Book"/>
          <w:lang w:val="en-GB"/>
        </w:rPr>
        <w:t xml:space="preserve"> </w:t>
      </w:r>
    </w:p>
    <w:p w14:paraId="5BB479D6" w14:textId="4CCA52A0" w:rsidR="00186EF1" w:rsidRPr="005F5BEA" w:rsidRDefault="503C38A9" w:rsidP="11AFB54D">
      <w:pPr>
        <w:pStyle w:val="ListParagraph"/>
        <w:numPr>
          <w:ilvl w:val="0"/>
          <w:numId w:val="7"/>
        </w:numPr>
        <w:spacing w:before="0" w:after="0"/>
        <w:rPr>
          <w:rFonts w:eastAsia="Calibri" w:cs="Arial"/>
          <w:lang w:val="en-GB"/>
        </w:rPr>
      </w:pPr>
      <w:r w:rsidRPr="005F5BEA">
        <w:rPr>
          <w:rFonts w:eastAsia="Franklin Gothic Book" w:cs="Franklin Gothic Book"/>
        </w:rPr>
        <w:t>Per</w:t>
      </w:r>
      <w:r w:rsidR="00EB53C7" w:rsidRPr="005F5BEA">
        <w:rPr>
          <w:rFonts w:eastAsia="Franklin Gothic Book" w:cs="Franklin Gothic Book"/>
        </w:rPr>
        <w:t>i</w:t>
      </w:r>
      <w:r w:rsidRPr="005F5BEA">
        <w:rPr>
          <w:rFonts w:eastAsia="Franklin Gothic Book" w:cs="Franklin Gothic Book"/>
        </w:rPr>
        <w:t xml:space="preserve">-implantation services provided by </w:t>
      </w:r>
      <w:proofErr w:type="gramStart"/>
      <w:r w:rsidRPr="005F5BEA">
        <w:rPr>
          <w:rFonts w:eastAsia="Franklin Gothic Book" w:cs="Franklin Gothic Book"/>
        </w:rPr>
        <w:t>IECTs;</w:t>
      </w:r>
      <w:proofErr w:type="gramEnd"/>
      <w:r w:rsidRPr="005F5BEA">
        <w:rPr>
          <w:rFonts w:eastAsia="Franklin Gothic Book" w:cs="Franklin Gothic Book"/>
          <w:lang w:val="en-GB"/>
        </w:rPr>
        <w:t xml:space="preserve"> </w:t>
      </w:r>
    </w:p>
    <w:p w14:paraId="49C528ED" w14:textId="7AE269D4" w:rsidR="00186EF1" w:rsidRPr="005F5BEA" w:rsidRDefault="503C38A9" w:rsidP="11AFB54D">
      <w:pPr>
        <w:pStyle w:val="ListParagraph"/>
        <w:numPr>
          <w:ilvl w:val="0"/>
          <w:numId w:val="7"/>
        </w:numPr>
        <w:spacing w:before="0" w:after="0"/>
        <w:rPr>
          <w:rFonts w:eastAsia="Calibri" w:cs="Arial"/>
          <w:lang w:val="en-GB"/>
        </w:rPr>
      </w:pPr>
      <w:r w:rsidRPr="005F5BEA">
        <w:rPr>
          <w:rFonts w:eastAsia="Franklin Gothic Book" w:cs="Franklin Gothic Book"/>
        </w:rPr>
        <w:t>Follow-up services provided by IECTs to public patients; and</w:t>
      </w:r>
      <w:r w:rsidRPr="005F5BEA">
        <w:rPr>
          <w:rFonts w:eastAsia="Franklin Gothic Book" w:cs="Franklin Gothic Book"/>
          <w:lang w:val="en-GB"/>
        </w:rPr>
        <w:t xml:space="preserve"> </w:t>
      </w:r>
    </w:p>
    <w:p w14:paraId="77567EE0" w14:textId="46D2D832" w:rsidR="00186EF1" w:rsidRPr="005F5BEA" w:rsidRDefault="503C38A9" w:rsidP="11AFB54D">
      <w:pPr>
        <w:pStyle w:val="ListParagraph"/>
        <w:numPr>
          <w:ilvl w:val="0"/>
          <w:numId w:val="7"/>
        </w:numPr>
        <w:spacing w:before="0" w:after="0"/>
        <w:rPr>
          <w:rFonts w:eastAsia="Calibri" w:cs="Arial"/>
          <w:lang w:val="en-GB"/>
        </w:rPr>
      </w:pPr>
      <w:r w:rsidRPr="005F5BEA">
        <w:rPr>
          <w:rFonts w:eastAsia="Franklin Gothic Book" w:cs="Franklin Gothic Book"/>
        </w:rPr>
        <w:t xml:space="preserve">Follow-up services provided </w:t>
      </w:r>
      <w:r w:rsidR="00EB53C7" w:rsidRPr="005F5BEA">
        <w:rPr>
          <w:rFonts w:eastAsia="Franklin Gothic Book" w:cs="Franklin Gothic Book"/>
        </w:rPr>
        <w:t xml:space="preserve">by IECTs </w:t>
      </w:r>
      <w:r w:rsidRPr="005F5BEA">
        <w:rPr>
          <w:rFonts w:eastAsia="Franklin Gothic Book" w:cs="Franklin Gothic Book"/>
        </w:rPr>
        <w:t>to privately insured patients.</w:t>
      </w:r>
    </w:p>
    <w:p w14:paraId="70062198" w14:textId="442A50A7" w:rsidR="00186EF1" w:rsidRPr="005F5BEA" w:rsidRDefault="3A704406" w:rsidP="11AFB54D">
      <w:pPr>
        <w:rPr>
          <w:rFonts w:eastAsia="Calibri" w:cs="Arial"/>
        </w:rPr>
      </w:pPr>
      <w:r w:rsidRPr="005F5BEA">
        <w:rPr>
          <w:rFonts w:eastAsia="Calibri" w:cs="Arial"/>
        </w:rPr>
        <w:t>The</w:t>
      </w:r>
      <w:r w:rsidR="035A64D7" w:rsidRPr="005F5BEA">
        <w:rPr>
          <w:rFonts w:eastAsia="Calibri" w:cs="Arial"/>
        </w:rPr>
        <w:t xml:space="preserve"> </w:t>
      </w:r>
      <w:r w:rsidR="407A6231" w:rsidRPr="005F5BEA">
        <w:rPr>
          <w:rFonts w:eastAsia="Calibri" w:cs="Arial"/>
        </w:rPr>
        <w:t xml:space="preserve">MSAC considered </w:t>
      </w:r>
      <w:r w:rsidR="00B24316" w:rsidRPr="005F5BEA">
        <w:rPr>
          <w:rFonts w:eastAsia="Calibri" w:cs="Arial"/>
        </w:rPr>
        <w:t>that a</w:t>
      </w:r>
      <w:r w:rsidR="0ED6B79A" w:rsidRPr="005F5BEA">
        <w:rPr>
          <w:rFonts w:eastAsia="Calibri" w:cs="Arial"/>
        </w:rPr>
        <w:t xml:space="preserve"> </w:t>
      </w:r>
      <w:r w:rsidR="407A6231" w:rsidRPr="005F5BEA">
        <w:rPr>
          <w:rFonts w:eastAsia="Calibri" w:cs="Arial"/>
        </w:rPr>
        <w:t xml:space="preserve">PL benefit for </w:t>
      </w:r>
      <w:r w:rsidR="00B24316" w:rsidRPr="005F5BEA">
        <w:rPr>
          <w:rFonts w:eastAsia="Calibri" w:cs="Arial"/>
        </w:rPr>
        <w:t xml:space="preserve">a </w:t>
      </w:r>
      <w:r w:rsidR="407A6231" w:rsidRPr="005F5BEA">
        <w:rPr>
          <w:rFonts w:eastAsia="Calibri" w:cs="Arial"/>
        </w:rPr>
        <w:t xml:space="preserve">CIED should </w:t>
      </w:r>
      <w:r w:rsidR="00B24316" w:rsidRPr="005F5BEA">
        <w:rPr>
          <w:rFonts w:eastAsia="Calibri" w:cs="Arial"/>
        </w:rPr>
        <w:t>be limited to</w:t>
      </w:r>
      <w:r w:rsidR="407A6231" w:rsidRPr="005F5BEA">
        <w:rPr>
          <w:rFonts w:eastAsia="Calibri" w:cs="Arial"/>
        </w:rPr>
        <w:t xml:space="preserve"> the cost of the </w:t>
      </w:r>
      <w:r w:rsidR="00B24316" w:rsidRPr="005F5BEA">
        <w:rPr>
          <w:rFonts w:eastAsia="Calibri" w:cs="Arial"/>
        </w:rPr>
        <w:t xml:space="preserve">principal </w:t>
      </w:r>
      <w:r w:rsidR="407A6231" w:rsidRPr="005F5BEA">
        <w:rPr>
          <w:rFonts w:eastAsia="Calibri" w:cs="Arial"/>
        </w:rPr>
        <w:t>CIED</w:t>
      </w:r>
      <w:r w:rsidR="62147B5A" w:rsidRPr="005F5BEA">
        <w:rPr>
          <w:rFonts w:eastAsia="Calibri" w:cs="Arial"/>
        </w:rPr>
        <w:t>,</w:t>
      </w:r>
      <w:r w:rsidR="407A6231" w:rsidRPr="005F5BEA">
        <w:rPr>
          <w:rFonts w:eastAsia="Calibri" w:cs="Arial"/>
        </w:rPr>
        <w:t xml:space="preserve"> </w:t>
      </w:r>
      <w:r w:rsidR="00B24316" w:rsidRPr="005F5BEA">
        <w:rPr>
          <w:rFonts w:eastAsia="Calibri" w:cs="Arial"/>
        </w:rPr>
        <w:t>and</w:t>
      </w:r>
      <w:r w:rsidR="407A6231" w:rsidRPr="005F5BEA">
        <w:rPr>
          <w:rFonts w:eastAsia="Calibri" w:cs="Arial"/>
        </w:rPr>
        <w:t xml:space="preserve"> associated peri-</w:t>
      </w:r>
      <w:r w:rsidR="5FD62B38" w:rsidRPr="005F5BEA">
        <w:rPr>
          <w:rFonts w:eastAsia="Calibri" w:cs="Arial"/>
        </w:rPr>
        <w:t>implantation costs</w:t>
      </w:r>
      <w:r w:rsidR="2064AC25" w:rsidRPr="005F5BEA">
        <w:rPr>
          <w:rFonts w:eastAsia="Calibri" w:cs="Arial"/>
        </w:rPr>
        <w:t xml:space="preserve"> </w:t>
      </w:r>
      <w:r w:rsidR="002E31FE" w:rsidRPr="005F5BEA">
        <w:rPr>
          <w:rFonts w:eastAsia="Calibri" w:cs="Arial"/>
        </w:rPr>
        <w:t>as these are integral to the functioning of the CIED</w:t>
      </w:r>
      <w:r w:rsidR="2064AC25" w:rsidRPr="005F5BEA">
        <w:rPr>
          <w:rFonts w:eastAsia="Calibri" w:cs="Arial"/>
        </w:rPr>
        <w:t xml:space="preserve"> (</w:t>
      </w:r>
      <w:r w:rsidR="300BF9C6" w:rsidRPr="005F5BEA">
        <w:rPr>
          <w:rFonts w:eastAsia="Franklin Gothic Book" w:cs="Franklin Gothic Book"/>
        </w:rPr>
        <w:t xml:space="preserve">and </w:t>
      </w:r>
      <w:r w:rsidR="00B24316" w:rsidRPr="005F5BEA">
        <w:rPr>
          <w:rFonts w:eastAsia="Franklin Gothic Book" w:cs="Franklin Gothic Book"/>
        </w:rPr>
        <w:t>that</w:t>
      </w:r>
      <w:r w:rsidR="300BF9C6" w:rsidRPr="005F5BEA">
        <w:rPr>
          <w:rFonts w:eastAsia="Franklin Gothic Book" w:cs="Franklin Gothic Book"/>
        </w:rPr>
        <w:t xml:space="preserve"> these components should therefore be subject to the staged PL benefit reductions</w:t>
      </w:r>
      <w:r w:rsidR="2064AC25" w:rsidRPr="005F5BEA">
        <w:rPr>
          <w:rFonts w:eastAsia="Calibri" w:cs="Arial"/>
        </w:rPr>
        <w:t>)</w:t>
      </w:r>
      <w:r w:rsidR="5FD62B38" w:rsidRPr="005F5BEA">
        <w:rPr>
          <w:rFonts w:eastAsia="Calibri" w:cs="Arial"/>
        </w:rPr>
        <w:t xml:space="preserve">. </w:t>
      </w:r>
      <w:r w:rsidR="407A6231" w:rsidRPr="005F5BEA">
        <w:rPr>
          <w:rFonts w:eastAsia="Calibri" w:cs="Arial"/>
        </w:rPr>
        <w:t xml:space="preserve"> </w:t>
      </w:r>
    </w:p>
    <w:p w14:paraId="28DA943E" w14:textId="21CF7350" w:rsidR="00186EF1" w:rsidRPr="005F5BEA" w:rsidRDefault="2D61A492" w:rsidP="11AFB54D">
      <w:pPr>
        <w:rPr>
          <w:rFonts w:eastAsia="Calibri" w:cs="Arial"/>
        </w:rPr>
      </w:pPr>
      <w:r w:rsidRPr="005F5BEA">
        <w:rPr>
          <w:rFonts w:eastAsia="Calibri" w:cs="Arial"/>
        </w:rPr>
        <w:t>MSAC recalled the cost of follow-up cardiac technical support services provided by IECTs</w:t>
      </w:r>
      <w:r w:rsidRPr="005F5BEA">
        <w:rPr>
          <w:rFonts w:eastAsia="Times New Roman" w:cs="Times New Roman"/>
          <w:lang w:eastAsia="en-AU"/>
        </w:rPr>
        <w:t xml:space="preserve"> would not be subject to the </w:t>
      </w:r>
      <w:r w:rsidR="002E31FE" w:rsidRPr="005F5BEA">
        <w:rPr>
          <w:rFonts w:eastAsia="Times New Roman" w:cs="Times New Roman"/>
          <w:lang w:eastAsia="en-AU"/>
        </w:rPr>
        <w:t xml:space="preserve">current </w:t>
      </w:r>
      <w:r w:rsidRPr="005F5BEA">
        <w:rPr>
          <w:rFonts w:eastAsia="Times New Roman" w:cs="Times New Roman"/>
          <w:lang w:eastAsia="en-AU"/>
        </w:rPr>
        <w:t>staged PL benefit reductions.</w:t>
      </w:r>
      <w:r w:rsidRPr="005F5BEA">
        <w:rPr>
          <w:rFonts w:eastAsia="Calibri" w:cs="Arial"/>
        </w:rPr>
        <w:t xml:space="preserve"> </w:t>
      </w:r>
      <w:r w:rsidR="04E1B4A1" w:rsidRPr="005F5BEA">
        <w:rPr>
          <w:rFonts w:eastAsia="Calibri" w:cs="Arial"/>
        </w:rPr>
        <w:t>MSA</w:t>
      </w:r>
      <w:r w:rsidR="22EDA71D" w:rsidRPr="005F5BEA">
        <w:rPr>
          <w:rFonts w:eastAsia="Calibri" w:cs="Arial"/>
        </w:rPr>
        <w:t>C</w:t>
      </w:r>
      <w:r w:rsidR="04E1B4A1" w:rsidRPr="005F5BEA">
        <w:rPr>
          <w:rFonts w:eastAsia="Calibri" w:cs="Arial"/>
        </w:rPr>
        <w:t xml:space="preserve"> considered </w:t>
      </w:r>
      <w:r w:rsidR="005D295B" w:rsidRPr="005F5BEA">
        <w:rPr>
          <w:rFonts w:eastAsia="Calibri" w:cs="Arial"/>
        </w:rPr>
        <w:t xml:space="preserve">that ultimately </w:t>
      </w:r>
      <w:r w:rsidR="04E1B4A1" w:rsidRPr="005F5BEA">
        <w:rPr>
          <w:rFonts w:eastAsia="Calibri" w:cs="Arial"/>
        </w:rPr>
        <w:t xml:space="preserve">the cost of follow-up </w:t>
      </w:r>
      <w:r w:rsidR="4249AB22" w:rsidRPr="005F5BEA">
        <w:rPr>
          <w:rFonts w:eastAsia="Calibri" w:cs="Arial"/>
        </w:rPr>
        <w:t xml:space="preserve">cardiac technical support </w:t>
      </w:r>
      <w:r w:rsidR="04E1B4A1" w:rsidRPr="005F5BEA">
        <w:rPr>
          <w:rFonts w:eastAsia="Calibri" w:cs="Arial"/>
        </w:rPr>
        <w:t xml:space="preserve">services provided to </w:t>
      </w:r>
      <w:r w:rsidR="005D295B" w:rsidRPr="005F5BEA">
        <w:rPr>
          <w:rFonts w:eastAsia="Calibri" w:cs="Arial"/>
        </w:rPr>
        <w:t xml:space="preserve">public </w:t>
      </w:r>
      <w:r w:rsidR="00524335" w:rsidRPr="005F5BEA">
        <w:rPr>
          <w:rFonts w:eastAsia="Calibri" w:cs="Arial"/>
        </w:rPr>
        <w:t xml:space="preserve">or </w:t>
      </w:r>
      <w:r w:rsidR="04E1B4A1" w:rsidRPr="005F5BEA">
        <w:rPr>
          <w:rFonts w:eastAsia="Calibri" w:cs="Arial"/>
        </w:rPr>
        <w:t>private</w:t>
      </w:r>
      <w:r w:rsidR="3473A06E" w:rsidRPr="005F5BEA">
        <w:rPr>
          <w:rFonts w:eastAsia="Calibri" w:cs="Arial"/>
        </w:rPr>
        <w:t>ly insured</w:t>
      </w:r>
      <w:r w:rsidR="04E1B4A1" w:rsidRPr="005F5BEA">
        <w:rPr>
          <w:rFonts w:eastAsia="Calibri" w:cs="Arial"/>
        </w:rPr>
        <w:t xml:space="preserve"> patients should not be funded via PL benefit</w:t>
      </w:r>
      <w:r w:rsidR="00D5371E" w:rsidRPr="005F5BEA">
        <w:rPr>
          <w:rFonts w:eastAsia="Calibri" w:cs="Arial"/>
        </w:rPr>
        <w:t>s</w:t>
      </w:r>
      <w:r w:rsidR="04E1B4A1" w:rsidRPr="005F5BEA">
        <w:rPr>
          <w:rFonts w:eastAsia="Calibri" w:cs="Arial"/>
        </w:rPr>
        <w:t xml:space="preserve"> for CIEDs</w:t>
      </w:r>
      <w:r w:rsidR="65CE8D24" w:rsidRPr="005F5BEA">
        <w:rPr>
          <w:rFonts w:eastAsia="Calibri" w:cs="Arial"/>
        </w:rPr>
        <w:t xml:space="preserve">. </w:t>
      </w:r>
      <w:r w:rsidR="4B45C2AA" w:rsidRPr="005F5BEA">
        <w:rPr>
          <w:rFonts w:eastAsia="Calibri" w:cs="Arial"/>
        </w:rPr>
        <w:t>However,</w:t>
      </w:r>
      <w:r w:rsidR="00524335" w:rsidRPr="005F5BEA">
        <w:rPr>
          <w:rFonts w:eastAsia="Calibri" w:cs="Arial"/>
        </w:rPr>
        <w:t xml:space="preserve"> </w:t>
      </w:r>
      <w:r w:rsidR="00524335" w:rsidRPr="005F5BEA">
        <w:rPr>
          <w:rFonts w:eastAsia="Franklin Gothic Book" w:cs="Franklin Gothic Book"/>
        </w:rPr>
        <w:t xml:space="preserve">in order not to compromise the current care of patients with CIEDs </w:t>
      </w:r>
      <w:r w:rsidR="00D5371E" w:rsidRPr="005F5BEA">
        <w:rPr>
          <w:rFonts w:eastAsia="Franklin Gothic Book" w:cs="Franklin Gothic Book"/>
        </w:rPr>
        <w:t>or</w:t>
      </w:r>
      <w:r w:rsidR="00524335" w:rsidRPr="005F5BEA">
        <w:rPr>
          <w:rFonts w:eastAsia="Franklin Gothic Book" w:cs="Franklin Gothic Book"/>
        </w:rPr>
        <w:t xml:space="preserve"> inadvertently increase any out-of-pocket costs associated with the receipt of these services</w:t>
      </w:r>
      <w:r w:rsidR="4B45C2AA" w:rsidRPr="005F5BEA">
        <w:rPr>
          <w:rFonts w:eastAsia="Calibri" w:cs="Arial"/>
        </w:rPr>
        <w:t xml:space="preserve">, </w:t>
      </w:r>
      <w:r w:rsidR="67F08AC3" w:rsidRPr="005F5BEA">
        <w:rPr>
          <w:rFonts w:eastAsia="Calibri" w:cs="Arial"/>
        </w:rPr>
        <w:t xml:space="preserve">the MSAC </w:t>
      </w:r>
      <w:r w:rsidR="00E812CB" w:rsidRPr="005F5BEA">
        <w:rPr>
          <w:rFonts w:eastAsia="Franklin Gothic Book" w:cs="Franklin Gothic Book"/>
        </w:rPr>
        <w:t>advised that the costs for these follow-up services be</w:t>
      </w:r>
      <w:r w:rsidR="00F55EFD" w:rsidRPr="005F5BEA">
        <w:rPr>
          <w:rFonts w:eastAsia="Franklin Gothic Book" w:cs="Franklin Gothic Book"/>
        </w:rPr>
        <w:t xml:space="preserve"> excluded from the current staged PL benefit reductions. MSAC reiterated its earlier advice </w:t>
      </w:r>
      <w:r w:rsidR="00D90F84" w:rsidRPr="005F5BEA">
        <w:rPr>
          <w:rFonts w:eastAsia="Franklin Gothic Book" w:cs="Franklin Gothic Book"/>
        </w:rPr>
        <w:t xml:space="preserve">that further </w:t>
      </w:r>
      <w:r w:rsidR="00BF66E9" w:rsidRPr="005F5BEA">
        <w:rPr>
          <w:rFonts w:eastAsia="Franklin Gothic Book" w:cs="Franklin Gothic Book"/>
        </w:rPr>
        <w:t>consideration</w:t>
      </w:r>
      <w:r w:rsidR="000168C3" w:rsidRPr="005F5BEA">
        <w:rPr>
          <w:rFonts w:eastAsia="Franklin Gothic Book" w:cs="Franklin Gothic Book"/>
        </w:rPr>
        <w:t xml:space="preserve"> needs t</w:t>
      </w:r>
      <w:r w:rsidR="00BF66E9" w:rsidRPr="005F5BEA">
        <w:rPr>
          <w:rFonts w:eastAsia="Franklin Gothic Book" w:cs="Franklin Gothic Book"/>
        </w:rPr>
        <w:t xml:space="preserve">o </w:t>
      </w:r>
      <w:r w:rsidR="000168C3" w:rsidRPr="005F5BEA">
        <w:rPr>
          <w:rFonts w:eastAsia="Franklin Gothic Book" w:cs="Franklin Gothic Book"/>
        </w:rPr>
        <w:t>be given</w:t>
      </w:r>
      <w:r w:rsidR="00BF66E9" w:rsidRPr="005F5BEA">
        <w:rPr>
          <w:rFonts w:eastAsia="Franklin Gothic Book" w:cs="Franklin Gothic Book"/>
        </w:rPr>
        <w:t xml:space="preserve"> to</w:t>
      </w:r>
      <w:r w:rsidR="00D90F84" w:rsidRPr="005F5BEA">
        <w:rPr>
          <w:rFonts w:eastAsia="Franklin Gothic Book" w:cs="Franklin Gothic Book"/>
        </w:rPr>
        <w:t xml:space="preserve"> identify</w:t>
      </w:r>
      <w:r w:rsidR="00BF66E9" w:rsidRPr="005F5BEA">
        <w:rPr>
          <w:rFonts w:eastAsia="Franklin Gothic Book" w:cs="Franklin Gothic Book"/>
        </w:rPr>
        <w:t>ing</w:t>
      </w:r>
      <w:r w:rsidR="00D90F84" w:rsidRPr="005F5BEA">
        <w:rPr>
          <w:rFonts w:eastAsia="Franklin Gothic Book" w:cs="Franklin Gothic Book"/>
        </w:rPr>
        <w:t xml:space="preserve"> </w:t>
      </w:r>
      <w:r w:rsidR="33F7A11F" w:rsidRPr="005F5BEA">
        <w:rPr>
          <w:rFonts w:eastAsia="Calibri" w:cs="Arial"/>
        </w:rPr>
        <w:t>alternative</w:t>
      </w:r>
      <w:r w:rsidR="0067492E" w:rsidRPr="005F5BEA">
        <w:rPr>
          <w:rFonts w:eastAsia="Calibri" w:cs="Arial"/>
        </w:rPr>
        <w:t>, evidence-based</w:t>
      </w:r>
      <w:r w:rsidR="33F7A11F" w:rsidRPr="005F5BEA">
        <w:rPr>
          <w:rFonts w:eastAsia="Calibri" w:cs="Arial"/>
        </w:rPr>
        <w:t xml:space="preserve"> model</w:t>
      </w:r>
      <w:r w:rsidR="0067492E" w:rsidRPr="005F5BEA">
        <w:rPr>
          <w:rFonts w:eastAsia="Calibri" w:cs="Arial"/>
        </w:rPr>
        <w:t>s</w:t>
      </w:r>
      <w:r w:rsidR="33F7A11F" w:rsidRPr="005F5BEA">
        <w:rPr>
          <w:rFonts w:eastAsia="Calibri" w:cs="Arial"/>
        </w:rPr>
        <w:t xml:space="preserve"> of care</w:t>
      </w:r>
      <w:r w:rsidR="265E4581" w:rsidRPr="005F5BEA">
        <w:rPr>
          <w:rFonts w:eastAsia="Calibri" w:cs="Arial"/>
        </w:rPr>
        <w:t xml:space="preserve"> </w:t>
      </w:r>
      <w:r w:rsidR="000168C3" w:rsidRPr="005F5BEA">
        <w:rPr>
          <w:rFonts w:eastAsia="Calibri" w:cs="Arial"/>
        </w:rPr>
        <w:t xml:space="preserve">for </w:t>
      </w:r>
      <w:r w:rsidR="00BF66E9" w:rsidRPr="005F5BEA">
        <w:rPr>
          <w:rFonts w:eastAsia="Calibri" w:cs="Arial"/>
        </w:rPr>
        <w:t>all</w:t>
      </w:r>
      <w:r w:rsidR="000168C3" w:rsidRPr="005F5BEA">
        <w:rPr>
          <w:rFonts w:eastAsia="Calibri" w:cs="Arial"/>
        </w:rPr>
        <w:t xml:space="preserve"> patients with </w:t>
      </w:r>
      <w:r w:rsidR="00721E73" w:rsidRPr="005F5BEA">
        <w:rPr>
          <w:rFonts w:eastAsia="Calibri" w:cs="Arial"/>
        </w:rPr>
        <w:t>CIEDs,</w:t>
      </w:r>
      <w:r w:rsidR="33F7A11F" w:rsidRPr="005F5BEA">
        <w:rPr>
          <w:rFonts w:eastAsia="Calibri" w:cs="Arial"/>
        </w:rPr>
        <w:t xml:space="preserve"> </w:t>
      </w:r>
      <w:r w:rsidR="00BF66E9" w:rsidRPr="005F5BEA">
        <w:rPr>
          <w:rFonts w:eastAsia="Calibri" w:cs="Arial"/>
        </w:rPr>
        <w:t xml:space="preserve">how these services </w:t>
      </w:r>
      <w:r w:rsidR="00304C70" w:rsidRPr="005F5BEA">
        <w:rPr>
          <w:rFonts w:eastAsia="Calibri" w:cs="Arial"/>
        </w:rPr>
        <w:t>are most appropriately funded, and how the funding</w:t>
      </w:r>
      <w:r w:rsidR="33F7A11F" w:rsidRPr="005F5BEA">
        <w:rPr>
          <w:rFonts w:eastAsia="Calibri" w:cs="Arial"/>
        </w:rPr>
        <w:t xml:space="preserve"> </w:t>
      </w:r>
      <w:r w:rsidR="2945FE90" w:rsidRPr="005F5BEA">
        <w:rPr>
          <w:rFonts w:eastAsia="Franklin Gothic Book" w:cs="Franklin Gothic Book"/>
        </w:rPr>
        <w:t>of these services are transitioned out of the PL benefit amount</w:t>
      </w:r>
      <w:r w:rsidR="00C81C37" w:rsidRPr="005F5BEA">
        <w:rPr>
          <w:rFonts w:eastAsia="Franklin Gothic Book" w:cs="Franklin Gothic Book"/>
        </w:rPr>
        <w:t>.</w:t>
      </w:r>
      <w:r w:rsidR="2945FE90" w:rsidRPr="005F5BEA">
        <w:rPr>
          <w:rFonts w:eastAsia="Franklin Gothic Book" w:cs="Franklin Gothic Book"/>
        </w:rPr>
        <w:t xml:space="preserve"> </w:t>
      </w:r>
      <w:r w:rsidR="2945FE90" w:rsidRPr="005F5BEA">
        <w:rPr>
          <w:rFonts w:eastAsia="Franklin Gothic Book" w:cs="Franklin Gothic Book"/>
          <w:lang w:val="en-GB"/>
        </w:rPr>
        <w:t xml:space="preserve"> </w:t>
      </w:r>
    </w:p>
    <w:p w14:paraId="1D52EEB8" w14:textId="119CD400" w:rsidR="00374BF7" w:rsidRDefault="656B0267" w:rsidP="00374BF7">
      <w:r w:rsidRPr="005F5BEA">
        <w:rPr>
          <w:rFonts w:eastAsia="Franklin Gothic Book" w:cs="Franklin Gothic Book"/>
        </w:rPr>
        <w:t>The MSAC advised that t</w:t>
      </w:r>
      <w:r w:rsidRPr="005F5BEA">
        <w:rPr>
          <w:rFonts w:eastAsia="Franklin Gothic Book" w:cs="Franklin Gothic Book"/>
          <w:lang w:val="en-GB"/>
        </w:rPr>
        <w:t xml:space="preserve">he principles articulated above should be used to negotiate appropriate benefit reductions for CIEDs with the MTAA CF member companies. </w:t>
      </w:r>
      <w:r w:rsidR="00374BF7">
        <w:br w:type="page"/>
      </w:r>
    </w:p>
    <w:tbl>
      <w:tblPr>
        <w:tblStyle w:val="TableGrid"/>
        <w:tblW w:w="0" w:type="auto"/>
        <w:tblLook w:val="04A0" w:firstRow="1" w:lastRow="0" w:firstColumn="1" w:lastColumn="0" w:noHBand="0" w:noVBand="1"/>
        <w:tblDescription w:val="Consumer summary of MSAC consideration"/>
      </w:tblPr>
      <w:tblGrid>
        <w:gridCol w:w="9016"/>
      </w:tblGrid>
      <w:tr w:rsidR="00186EF1" w:rsidRPr="005F5BEA" w14:paraId="447082C6" w14:textId="77777777" w:rsidTr="11AFB54D">
        <w:trPr>
          <w:tblHeader/>
        </w:trPr>
        <w:tc>
          <w:tcPr>
            <w:tcW w:w="9016" w:type="dxa"/>
          </w:tcPr>
          <w:p w14:paraId="1F2AB50D" w14:textId="77777777" w:rsidR="00186EF1" w:rsidRPr="005F5BEA" w:rsidRDefault="2CDC38AE" w:rsidP="0000739C">
            <w:pPr>
              <w:pStyle w:val="Heading3"/>
              <w:spacing w:before="120"/>
              <w:ind w:left="720" w:hanging="720"/>
            </w:pPr>
            <w:r w:rsidRPr="005F5BEA">
              <w:t>Consumer summary</w:t>
            </w:r>
          </w:p>
        </w:tc>
      </w:tr>
      <w:tr w:rsidR="00B51B0F" w:rsidRPr="005F5BEA" w14:paraId="54E1521A" w14:textId="77777777" w:rsidTr="11AFB54D">
        <w:tc>
          <w:tcPr>
            <w:tcW w:w="9016" w:type="dxa"/>
          </w:tcPr>
          <w:p w14:paraId="574EAD47" w14:textId="5EFD8A7E" w:rsidR="00B51B0F" w:rsidRPr="005F5BEA" w:rsidRDefault="526F78FA" w:rsidP="00032276">
            <w:r w:rsidRPr="005F5BEA">
              <w:t>T</w:t>
            </w:r>
            <w:r w:rsidR="754E555D" w:rsidRPr="005F5BEA">
              <w:t xml:space="preserve">he Department of Health and Aged Care (the Department) received an application from the Medical Technology Association of Australia Cardiac Forum (MTAA CF) as part of the ongoing Prostheses List (PL) reform process. The Prostheses List </w:t>
            </w:r>
            <w:r w:rsidR="2532B61E" w:rsidRPr="005F5BEA">
              <w:t xml:space="preserve">(now known as the Prescribed List of Medical Devices and Human Tissue Products) </w:t>
            </w:r>
            <w:r w:rsidR="754E555D" w:rsidRPr="005F5BEA">
              <w:t>sets out which prostheses (typically medical devices) and the amount (benefit) that private health insurers must pay for</w:t>
            </w:r>
            <w:r w:rsidR="00F41B97" w:rsidRPr="005F5BEA">
              <w:t xml:space="preserve"> these, for</w:t>
            </w:r>
            <w:r w:rsidR="754E555D" w:rsidRPr="005F5BEA">
              <w:t xml:space="preserve"> privately insured patients with the appropriate insurance cover. These minimum benefit amounts for many devices are much more expensive than the cost of these devices paid by public hospitals. Private health insurers say these higher device prices lead to higher private health insurance premiums. The Prostheses List reform process is reducing the amount (benefit) that must be paid by private health insurers for a medical device so that it is closer to prices paid by public hospitals. </w:t>
            </w:r>
            <w:r w:rsidR="23AB9AFD" w:rsidRPr="005F5BEA">
              <w:t>In the</w:t>
            </w:r>
            <w:r w:rsidR="0B91BCF8" w:rsidRPr="005F5BEA">
              <w:t xml:space="preserve"> 202</w:t>
            </w:r>
            <w:r w:rsidR="3F019934" w:rsidRPr="005F5BEA">
              <w:t xml:space="preserve">0-21 financial year, health insurers paid </w:t>
            </w:r>
            <w:r w:rsidR="00D30624" w:rsidRPr="005F5BEA">
              <w:t>over</w:t>
            </w:r>
            <w:r w:rsidR="6FEEF17C" w:rsidRPr="005F5BEA">
              <w:t xml:space="preserve"> </w:t>
            </w:r>
            <w:r w:rsidR="3F019934" w:rsidRPr="005F5BEA">
              <w:t>$</w:t>
            </w:r>
            <w:r w:rsidR="6FEEF17C" w:rsidRPr="005F5BEA">
              <w:t>199 million</w:t>
            </w:r>
            <w:r w:rsidR="1FAC118C" w:rsidRPr="005F5BEA">
              <w:t xml:space="preserve"> in benefits</w:t>
            </w:r>
            <w:r w:rsidR="6FEEF17C" w:rsidRPr="005F5BEA">
              <w:t xml:space="preserve"> </w:t>
            </w:r>
            <w:r w:rsidR="5E226CB2" w:rsidRPr="005F5BEA">
              <w:t xml:space="preserve">for </w:t>
            </w:r>
            <w:r w:rsidR="55D94BE5" w:rsidRPr="005F5BEA">
              <w:t>a group of devices called Cardiac Implantable Electronic Devices (CIEDs)</w:t>
            </w:r>
            <w:r w:rsidR="5E226CB2" w:rsidRPr="005F5BEA">
              <w:t>.</w:t>
            </w:r>
            <w:r w:rsidR="1FAC118C" w:rsidRPr="005F5BEA">
              <w:t xml:space="preserve"> If private </w:t>
            </w:r>
            <w:r w:rsidR="100061DF" w:rsidRPr="005F5BEA">
              <w:t xml:space="preserve">health </w:t>
            </w:r>
            <w:r w:rsidR="1FAC118C" w:rsidRPr="005F5BEA">
              <w:t xml:space="preserve">insurers were able to </w:t>
            </w:r>
            <w:r w:rsidR="100061DF" w:rsidRPr="005F5BEA">
              <w:t xml:space="preserve">pay the lower prices </w:t>
            </w:r>
            <w:r w:rsidR="00AD2CA2" w:rsidRPr="005F5BEA">
              <w:t xml:space="preserve">generally </w:t>
            </w:r>
            <w:r w:rsidR="100061DF" w:rsidRPr="005F5BEA">
              <w:t>paid by public hospitals</w:t>
            </w:r>
            <w:r w:rsidR="60C4E115" w:rsidRPr="005F5BEA">
              <w:t xml:space="preserve"> </w:t>
            </w:r>
            <w:r w:rsidR="00AD2CA2" w:rsidRPr="005F5BEA">
              <w:t xml:space="preserve">(called the weighted average public sector price) </w:t>
            </w:r>
            <w:r w:rsidR="60C4E115" w:rsidRPr="005F5BEA">
              <w:t>for these devices</w:t>
            </w:r>
            <w:r w:rsidR="100061DF" w:rsidRPr="005F5BEA">
              <w:t>, th</w:t>
            </w:r>
            <w:r w:rsidR="7174711D" w:rsidRPr="005F5BEA">
              <w:t xml:space="preserve">ey would </w:t>
            </w:r>
            <w:r w:rsidR="78F4B5C5" w:rsidRPr="005F5BEA">
              <w:t xml:space="preserve">have only paid $80.5 million. </w:t>
            </w:r>
            <w:r w:rsidR="7174711D" w:rsidRPr="005F5BEA">
              <w:t xml:space="preserve"> </w:t>
            </w:r>
          </w:p>
          <w:p w14:paraId="005A70B6" w14:textId="5306B560" w:rsidR="00B51B0F" w:rsidRPr="005F5BEA" w:rsidRDefault="754E555D" w:rsidP="00032276">
            <w:r w:rsidRPr="005F5BEA">
              <w:t xml:space="preserve">In this application, the Department </w:t>
            </w:r>
            <w:r w:rsidR="00404177" w:rsidRPr="005F5BEA">
              <w:t xml:space="preserve">requested </w:t>
            </w:r>
            <w:r w:rsidRPr="005F5BEA">
              <w:t xml:space="preserve">advice from MSAC on the reasonable cost of cardiac technical support services provided by industry-employed cardiac technicians. Medical device companies </w:t>
            </w:r>
            <w:r w:rsidR="00404177" w:rsidRPr="005F5BEA">
              <w:t xml:space="preserve">advise </w:t>
            </w:r>
            <w:r w:rsidRPr="005F5BEA">
              <w:t xml:space="preserve">they use the higher prices (Prostheses List benefits) to </w:t>
            </w:r>
            <w:r w:rsidR="7117C493" w:rsidRPr="005F5BEA">
              <w:t xml:space="preserve">employ </w:t>
            </w:r>
            <w:r w:rsidRPr="005F5BEA">
              <w:t xml:space="preserve">cardiac technicians who make sure CIEDs are working </w:t>
            </w:r>
            <w:proofErr w:type="gramStart"/>
            <w:r w:rsidRPr="005F5BEA">
              <w:t>properly</w:t>
            </w:r>
            <w:proofErr w:type="gramEnd"/>
            <w:r w:rsidRPr="005F5BEA">
              <w:t xml:space="preserve"> and review alerts sent by these devices. </w:t>
            </w:r>
          </w:p>
          <w:p w14:paraId="28A2A985" w14:textId="7A4CD4A0" w:rsidR="00B51B0F" w:rsidRPr="005F5BEA" w:rsidRDefault="00B51B0F" w:rsidP="00032276">
            <w:r w:rsidRPr="005F5BEA">
              <w:t>CIEDs are battery-powered electronic devices implanted in the body to manage heart conditions. CIEDs include device</w:t>
            </w:r>
            <w:r w:rsidR="00404177" w:rsidRPr="005F5BEA">
              <w:t>s</w:t>
            </w:r>
            <w:r w:rsidRPr="005F5BEA">
              <w:t xml:space="preserve"> such as:</w:t>
            </w:r>
          </w:p>
          <w:p w14:paraId="034E1E07" w14:textId="233FD6A1" w:rsidR="00B51B0F" w:rsidRPr="005F5BEA" w:rsidRDefault="00B51B0F" w:rsidP="00AB5B20">
            <w:pPr>
              <w:pStyle w:val="ListParagraph"/>
              <w:numPr>
                <w:ilvl w:val="0"/>
                <w:numId w:val="18"/>
              </w:numPr>
            </w:pPr>
            <w:r w:rsidRPr="005F5BEA">
              <w:t xml:space="preserve">pacemakers (to help the </w:t>
            </w:r>
            <w:proofErr w:type="gramStart"/>
            <w:r w:rsidR="00EA7A93" w:rsidRPr="005F5BEA">
              <w:t>heart beat</w:t>
            </w:r>
            <w:proofErr w:type="gramEnd"/>
            <w:r w:rsidRPr="005F5BEA">
              <w:t xml:space="preserve"> in a regular rhythm)</w:t>
            </w:r>
          </w:p>
          <w:p w14:paraId="66E291B6" w14:textId="77777777" w:rsidR="00B51B0F" w:rsidRPr="005F5BEA" w:rsidRDefault="00B51B0F" w:rsidP="00AB5B20">
            <w:pPr>
              <w:pStyle w:val="ListParagraph"/>
              <w:numPr>
                <w:ilvl w:val="0"/>
                <w:numId w:val="18"/>
              </w:numPr>
            </w:pPr>
            <w:r w:rsidRPr="005F5BEA">
              <w:t>implantable cardioverter-defibrillators (to detect and stop irregular heartbeats)</w:t>
            </w:r>
          </w:p>
          <w:p w14:paraId="1CFCE28A" w14:textId="77777777" w:rsidR="00B51B0F" w:rsidRPr="005F5BEA" w:rsidRDefault="00B51B0F" w:rsidP="00AB5B20">
            <w:pPr>
              <w:pStyle w:val="ListParagraph"/>
              <w:numPr>
                <w:ilvl w:val="0"/>
                <w:numId w:val="18"/>
              </w:numPr>
            </w:pPr>
            <w:r w:rsidRPr="005F5BEA">
              <w:t>implantable loop recorders (to record heartbeat and help detect irregular heartbeats)</w:t>
            </w:r>
          </w:p>
          <w:p w14:paraId="2C8B966F" w14:textId="77777777" w:rsidR="00B51B0F" w:rsidRPr="005F5BEA" w:rsidRDefault="00B51B0F" w:rsidP="00AB5B20">
            <w:pPr>
              <w:pStyle w:val="ListParagraph"/>
              <w:numPr>
                <w:ilvl w:val="0"/>
                <w:numId w:val="18"/>
              </w:numPr>
            </w:pPr>
            <w:r w:rsidRPr="005F5BEA">
              <w:t xml:space="preserve">cardiac resynchronisation therapy devices (to help the heart pump more efficiently by correcting heartbeats so that both the left and right side of the heart beats at the same time) </w:t>
            </w:r>
          </w:p>
          <w:p w14:paraId="0216F30D" w14:textId="1F2FC951" w:rsidR="00B51B0F" w:rsidRPr="005F5BEA" w:rsidRDefault="754E555D" w:rsidP="00032276">
            <w:r w:rsidRPr="005F5BEA">
              <w:t xml:space="preserve">To ensure CIEDs work optimally and for as long as possible, they need to be checked regularly by technicians (1–4 times a year) as well as when the person with a CIED has </w:t>
            </w:r>
            <w:r w:rsidR="00D742B7" w:rsidRPr="005F5BEA">
              <w:t xml:space="preserve">medical issues including possible </w:t>
            </w:r>
            <w:r w:rsidRPr="005F5BEA">
              <w:t>heart problems. Cardiac technicians may check whether the CIED is working as intended. To do this a cardiac technician may review data recorded by the device, check alerts, check device components (such as batteries and leads), review device setting</w:t>
            </w:r>
            <w:r w:rsidR="00BB0AD5" w:rsidRPr="005F5BEA">
              <w:t>s</w:t>
            </w:r>
            <w:r w:rsidRPr="005F5BEA">
              <w:t xml:space="preserve">, adjust how the device works (change device programming) and provide information to the cardiologist. The cardiac technician may be able to check the CIED remotely if the device is transmitting its data. This is called remote monitoring. </w:t>
            </w:r>
          </w:p>
          <w:p w14:paraId="4576DB37" w14:textId="77777777" w:rsidR="00B51B0F" w:rsidRPr="005F5BEA" w:rsidRDefault="754E555D" w:rsidP="00032276">
            <w:r w:rsidRPr="005F5BEA">
              <w:t xml:space="preserve">Cardiac technicians may work without direct supervision by the cardiologist. In many cases the cardiac technician may be the only point of clinical contact for routine device follow-up. However, the cardiologist is responsible for the decisions of the cardiac technician. </w:t>
            </w:r>
          </w:p>
          <w:p w14:paraId="7BC4AE3D" w14:textId="792D7C14" w:rsidR="00B51B0F" w:rsidRPr="005F5BEA" w:rsidRDefault="754E555D" w:rsidP="00032276">
            <w:r w:rsidRPr="005F5BEA">
              <w:t xml:space="preserve">Some technicians are employed by the device companies that sell the CIEDs. In public hospitals, these services are generally provided by technicians employed by the hospital. Cardiac technicians are not formally recognised as health professionals. There are no specific qualifications </w:t>
            </w:r>
            <w:r w:rsidR="00965F1A" w:rsidRPr="005F5BEA">
              <w:t xml:space="preserve">that are universally required </w:t>
            </w:r>
            <w:r w:rsidRPr="005F5BEA">
              <w:t xml:space="preserve">to work as a cardiac technician or </w:t>
            </w:r>
            <w:r w:rsidR="178A0958" w:rsidRPr="005F5BEA">
              <w:t xml:space="preserve">specific </w:t>
            </w:r>
            <w:r w:rsidRPr="005F5BEA">
              <w:t xml:space="preserve">requirements for ongoing professional development. Therefore, cardiac technicians may have different levels of training, </w:t>
            </w:r>
            <w:proofErr w:type="gramStart"/>
            <w:r w:rsidRPr="005F5BEA">
              <w:t>certifications</w:t>
            </w:r>
            <w:proofErr w:type="gramEnd"/>
            <w:r w:rsidRPr="005F5BEA">
              <w:t xml:space="preserve"> and qualifications. </w:t>
            </w:r>
            <w:r w:rsidR="00E07657" w:rsidRPr="005F5BEA">
              <w:t xml:space="preserve">Cardiac technicians are not formally recognised </w:t>
            </w:r>
            <w:r w:rsidR="009B2920" w:rsidRPr="005F5BEA">
              <w:t xml:space="preserve">or regulated as health professionals. </w:t>
            </w:r>
            <w:r w:rsidRPr="005F5BEA">
              <w:t xml:space="preserve">MSAC considered that it was important that people with CIEDs are informed about the role of their cardiologist and cardiac technician. </w:t>
            </w:r>
          </w:p>
          <w:p w14:paraId="592E9208" w14:textId="43039339" w:rsidR="00E77901" w:rsidRPr="005F5BEA" w:rsidRDefault="5E9BA759" w:rsidP="11AFB54D">
            <w:r w:rsidRPr="005F5BEA">
              <w:lastRenderedPageBreak/>
              <w:t xml:space="preserve">MSAC considered this application at its March </w:t>
            </w:r>
            <w:r w:rsidR="18AFF88F" w:rsidRPr="005F5BEA">
              <w:t xml:space="preserve">2023 </w:t>
            </w:r>
            <w:r w:rsidRPr="005F5BEA">
              <w:t xml:space="preserve">and July 2023 meetings. This was so MSAC could consider additional data that was provided </w:t>
            </w:r>
            <w:r w:rsidR="00304C70" w:rsidRPr="005F5BEA">
              <w:t xml:space="preserve">by the applicant </w:t>
            </w:r>
            <w:r w:rsidRPr="005F5BEA">
              <w:t>too late</w:t>
            </w:r>
            <w:r w:rsidR="19EB864D" w:rsidRPr="005F5BEA">
              <w:t xml:space="preserve"> in the process for consideration at its March 2023 meeting</w:t>
            </w:r>
            <w:r w:rsidRPr="005F5BEA">
              <w:t xml:space="preserve">. MSAC provided advice on how to calculate the reasonable cost of cardiac technical support services. </w:t>
            </w:r>
            <w:r w:rsidR="77CFB9B3" w:rsidRPr="005F5BEA">
              <w:t xml:space="preserve">Although the PL benefit sets out the amount private health insurers must pay for privately insured patients with the appropriate insurance cover, </w:t>
            </w:r>
            <w:r w:rsidRPr="005F5BEA">
              <w:t xml:space="preserve">MSAC advised that it might be reasonable to include </w:t>
            </w:r>
            <w:r w:rsidR="00404177" w:rsidRPr="005F5BEA">
              <w:t xml:space="preserve">the cost of </w:t>
            </w:r>
            <w:r w:rsidRPr="005F5BEA">
              <w:t xml:space="preserve">some services provided to public hospitals patients until reforms change how these services are funded. </w:t>
            </w:r>
          </w:p>
          <w:p w14:paraId="435D4229" w14:textId="60FDF30A" w:rsidR="00B51B0F" w:rsidRPr="005F5BEA" w:rsidRDefault="754E555D" w:rsidP="00032276">
            <w:r w:rsidRPr="005F5BEA">
              <w:t xml:space="preserve">MSAC considered that funding these services through the </w:t>
            </w:r>
            <w:r w:rsidR="00D143AE" w:rsidRPr="005F5BEA">
              <w:t>PL</w:t>
            </w:r>
            <w:r w:rsidRPr="005F5BEA">
              <w:t xml:space="preserve"> was not ideal because the </w:t>
            </w:r>
            <w:r w:rsidR="00D143AE" w:rsidRPr="005F5BEA">
              <w:t>PL</w:t>
            </w:r>
            <w:r w:rsidRPr="005F5BEA">
              <w:t xml:space="preserve"> is designed to pay for devices, not ongoing services for devices. MSAC considered that these services were expensive and inefficient as technicians often travel to attend one patient (instead of a group of patients). MSAC advised that relying on medical device companies to employ cardiac technicians to provide </w:t>
            </w:r>
            <w:r w:rsidR="5A095E6D" w:rsidRPr="005F5BEA">
              <w:t>cardiac technical support</w:t>
            </w:r>
            <w:r w:rsidR="5BBBDA60" w:rsidRPr="005F5BEA">
              <w:t xml:space="preserve"> </w:t>
            </w:r>
            <w:r w:rsidRPr="005F5BEA">
              <w:t>service</w:t>
            </w:r>
            <w:r w:rsidR="5A095E6D" w:rsidRPr="005F5BEA">
              <w:t>s</w:t>
            </w:r>
            <w:r w:rsidRPr="005F5BEA">
              <w:t xml:space="preserve"> to patients was problematic</w:t>
            </w:r>
            <w:r w:rsidR="00BB0AD5" w:rsidRPr="005F5BEA">
              <w:t>.</w:t>
            </w:r>
            <w:r w:rsidRPr="005F5BEA">
              <w:t xml:space="preserve"> </w:t>
            </w:r>
            <w:r w:rsidR="00FA1FC8" w:rsidRPr="005F5BEA">
              <w:t xml:space="preserve">MSAC considered </w:t>
            </w:r>
            <w:r w:rsidR="00C350E1" w:rsidRPr="005F5BEA">
              <w:t xml:space="preserve">the funding of these services through the </w:t>
            </w:r>
            <w:r w:rsidR="00F80EB4" w:rsidRPr="005F5BEA">
              <w:t xml:space="preserve">PL </w:t>
            </w:r>
            <w:r w:rsidRPr="005F5BEA">
              <w:t>results in a lack of transparency</w:t>
            </w:r>
            <w:r w:rsidR="00F80EB4" w:rsidRPr="005F5BEA">
              <w:t xml:space="preserve"> in how these services are provided and funded</w:t>
            </w:r>
            <w:r w:rsidRPr="005F5BEA">
              <w:t>.</w:t>
            </w:r>
          </w:p>
          <w:p w14:paraId="6BBFFD3A" w14:textId="25D99161" w:rsidR="00B51B0F" w:rsidRPr="005F5BEA" w:rsidRDefault="754E555D" w:rsidP="00032276">
            <w:r w:rsidRPr="005F5BEA">
              <w:t>MSAC agreed there is an opportunity to reform the way these services are provided, to optimise patient outcomes, efficiency</w:t>
            </w:r>
            <w:r w:rsidR="00BB0AD5" w:rsidRPr="005F5BEA">
              <w:t xml:space="preserve">, </w:t>
            </w:r>
            <w:proofErr w:type="gramStart"/>
            <w:r w:rsidR="00BB0AD5" w:rsidRPr="005F5BEA">
              <w:t>transparency</w:t>
            </w:r>
            <w:proofErr w:type="gramEnd"/>
            <w:r w:rsidR="008049F1" w:rsidRPr="005F5BEA">
              <w:t xml:space="preserve"> </w:t>
            </w:r>
            <w:r w:rsidRPr="005F5BEA">
              <w:t xml:space="preserve">and value for money. New technologies are developing, which include the ability to monitor and program these devices remotely. MSAC considered that the collection, sharing (use and transmission), and storage of data from CIEDs are important issues for consumers, the public and the Australian health system and should be considered in future reforms.  </w:t>
            </w:r>
            <w:r w:rsidR="07B65ED3" w:rsidRPr="005F5BEA">
              <w:t xml:space="preserve">MSAC advised that </w:t>
            </w:r>
            <w:r w:rsidR="7FDEDC66" w:rsidRPr="005F5BEA">
              <w:t>reforms</w:t>
            </w:r>
            <w:r w:rsidR="07B65ED3" w:rsidRPr="005F5BEA">
              <w:t xml:space="preserve"> should </w:t>
            </w:r>
            <w:r w:rsidR="00404177" w:rsidRPr="005F5BEA">
              <w:t xml:space="preserve">include </w:t>
            </w:r>
            <w:r w:rsidR="07B65ED3" w:rsidRPr="005F5BEA">
              <w:t>input from people with CIEDs</w:t>
            </w:r>
            <w:r w:rsidR="72046B5A" w:rsidRPr="005F5BEA">
              <w:t xml:space="preserve"> to ensure </w:t>
            </w:r>
            <w:r w:rsidR="17825950" w:rsidRPr="005F5BEA">
              <w:t>cardiac technical support services meet their needs</w:t>
            </w:r>
            <w:r w:rsidR="00BB0AD5" w:rsidRPr="005F5BEA">
              <w:t xml:space="preserve"> and expectations</w:t>
            </w:r>
            <w:r w:rsidR="00114E90" w:rsidRPr="005F5BEA">
              <w:t>.</w:t>
            </w:r>
          </w:p>
          <w:p w14:paraId="42F67613" w14:textId="77777777" w:rsidR="00B51B0F" w:rsidRPr="005F5BEA" w:rsidRDefault="00B51B0F" w:rsidP="00032276">
            <w:pPr>
              <w:pStyle w:val="Heading3"/>
              <w:spacing w:before="240"/>
            </w:pPr>
            <w:r w:rsidRPr="005F5BEA">
              <w:t xml:space="preserve">MSAC’s advice to the </w:t>
            </w:r>
            <w:proofErr w:type="gramStart"/>
            <w:r w:rsidRPr="005F5BEA">
              <w:t>Commonwealth Minister</w:t>
            </w:r>
            <w:proofErr w:type="gramEnd"/>
            <w:r w:rsidRPr="005F5BEA">
              <w:t xml:space="preserve"> for Health and Aged Care</w:t>
            </w:r>
          </w:p>
          <w:p w14:paraId="041C832F" w14:textId="1422FB0B" w:rsidR="00B51B0F" w:rsidRPr="005F5BEA" w:rsidRDefault="7DB8DEB0" w:rsidP="00AF441B">
            <w:pPr>
              <w:spacing w:after="120"/>
            </w:pPr>
            <w:r w:rsidRPr="005F5BEA">
              <w:t>MSAC provided advice on how to calculate the reasonable cost of cardiac technical support services. MSAC advised that it might be reasonable to include some services provided to public hospitals patients until reforms change how these services are funded.</w:t>
            </w:r>
            <w:r w:rsidR="3814A22C" w:rsidRPr="005F5BEA">
              <w:t xml:space="preserve"> </w:t>
            </w:r>
            <w:r w:rsidR="754E555D" w:rsidRPr="005F5BEA">
              <w:t xml:space="preserve">MSAC advised that the current model of care for provision of CIED follow-up services that relies on industry is problematic and that cross-subsidising follow-up services through the Prostheses List benefit has resulted in an opaque mechanism of funding for these services. MSAC advised that further reform should be undertaken to encourage uptake of other </w:t>
            </w:r>
            <w:r w:rsidR="5889D76D" w:rsidRPr="005F5BEA">
              <w:t>ways to provide this</w:t>
            </w:r>
            <w:r w:rsidR="754E555D" w:rsidRPr="005F5BEA">
              <w:t xml:space="preserve"> care</w:t>
            </w:r>
            <w:r w:rsidR="5889D76D" w:rsidRPr="005F5BEA">
              <w:t>.</w:t>
            </w:r>
            <w:r w:rsidR="35CB7D0E" w:rsidRPr="005F5BEA">
              <w:t xml:space="preserve"> This may include</w:t>
            </w:r>
            <w:r w:rsidR="754E555D" w:rsidRPr="005F5BEA">
              <w:t xml:space="preserve"> private cardiologists who employ cardiac </w:t>
            </w:r>
            <w:r w:rsidR="35CB7D0E" w:rsidRPr="005F5BEA">
              <w:t xml:space="preserve">technicians </w:t>
            </w:r>
            <w:r w:rsidR="00404177" w:rsidRPr="005F5BEA">
              <w:t xml:space="preserve">directly </w:t>
            </w:r>
            <w:r w:rsidR="35CB7D0E" w:rsidRPr="005F5BEA">
              <w:t xml:space="preserve">to provide these services. </w:t>
            </w:r>
            <w:r w:rsidR="4AB6D1BD" w:rsidRPr="005F5BEA">
              <w:t xml:space="preserve">MSAC advised that </w:t>
            </w:r>
            <w:r w:rsidR="754E555D" w:rsidRPr="005F5BEA">
              <w:t>this would have to be addressed through longer-term reform.</w:t>
            </w:r>
            <w:r w:rsidR="4AB6D1BD" w:rsidRPr="005F5BEA">
              <w:t xml:space="preserve"> </w:t>
            </w:r>
          </w:p>
        </w:tc>
      </w:tr>
    </w:tbl>
    <w:p w14:paraId="6FDF20C9" w14:textId="7B87C0C4" w:rsidR="00186EF1" w:rsidRPr="005F5BEA" w:rsidRDefault="00186EF1" w:rsidP="00186EF1">
      <w:pPr>
        <w:pStyle w:val="Heading2"/>
        <w:numPr>
          <w:ilvl w:val="1"/>
          <w:numId w:val="0"/>
        </w:numPr>
      </w:pPr>
      <w:r w:rsidRPr="005F5BEA">
        <w:lastRenderedPageBreak/>
        <w:t>Summary of consideration and rationale for MSAC’s advice</w:t>
      </w:r>
      <w:r w:rsidR="004D2493" w:rsidRPr="005F5BEA">
        <w:t xml:space="preserve"> – July 2023</w:t>
      </w:r>
    </w:p>
    <w:p w14:paraId="6EFB6916" w14:textId="76D439A7" w:rsidR="00B85602" w:rsidRPr="00461D0D" w:rsidRDefault="3BB635D9" w:rsidP="11AFB54D">
      <w:pPr>
        <w:rPr>
          <w:rFonts w:eastAsia="Times New Roman" w:cs="Times New Roman"/>
          <w:i/>
          <w:iCs/>
          <w:lang w:val="en-GB" w:eastAsia="en-AU"/>
        </w:rPr>
      </w:pPr>
      <w:r w:rsidRPr="005F5BEA">
        <w:rPr>
          <w:rFonts w:eastAsia="Times New Roman" w:cs="Times New Roman"/>
          <w:lang w:val="en-GB" w:eastAsia="en-AU"/>
        </w:rPr>
        <w:t xml:space="preserve">The </w:t>
      </w:r>
      <w:r w:rsidR="36902CA8" w:rsidRPr="005F5BEA">
        <w:rPr>
          <w:rFonts w:eastAsia="Times New Roman" w:cs="Times New Roman"/>
          <w:lang w:val="en-GB" w:eastAsia="en-AU"/>
        </w:rPr>
        <w:t xml:space="preserve">MSAC considered </w:t>
      </w:r>
      <w:r w:rsidR="3AF9A9BD" w:rsidRPr="005F5BEA">
        <w:rPr>
          <w:rFonts w:eastAsia="Times New Roman" w:cs="Times New Roman"/>
          <w:lang w:val="en-GB" w:eastAsia="en-AU"/>
        </w:rPr>
        <w:t xml:space="preserve">the </w:t>
      </w:r>
      <w:r w:rsidR="5D9C80CB" w:rsidRPr="005F5BEA">
        <w:t>focussed</w:t>
      </w:r>
      <w:r w:rsidR="2E74768C" w:rsidRPr="005F5BEA">
        <w:t xml:space="preserve"> </w:t>
      </w:r>
      <w:r w:rsidR="2E74768C" w:rsidRPr="00461D0D">
        <w:t>evaluation of the updated cost estimates</w:t>
      </w:r>
      <w:r w:rsidR="082EEE74" w:rsidRPr="00461D0D">
        <w:t xml:space="preserve"> provided by the applicant</w:t>
      </w:r>
      <w:r w:rsidR="2E74768C" w:rsidRPr="00461D0D">
        <w:t xml:space="preserve"> </w:t>
      </w:r>
      <w:r w:rsidR="36902CA8" w:rsidRPr="00461D0D">
        <w:rPr>
          <w:rFonts w:eastAsia="Times New Roman" w:cs="Times New Roman"/>
          <w:lang w:val="en-GB" w:eastAsia="en-AU"/>
        </w:rPr>
        <w:t xml:space="preserve">in </w:t>
      </w:r>
      <w:r w:rsidR="613619A3" w:rsidRPr="00461D0D">
        <w:rPr>
          <w:rFonts w:eastAsia="Times New Roman" w:cs="Times New Roman"/>
          <w:lang w:val="en-GB" w:eastAsia="en-AU"/>
        </w:rPr>
        <w:t>its</w:t>
      </w:r>
      <w:r w:rsidR="36902CA8" w:rsidRPr="00461D0D">
        <w:rPr>
          <w:rFonts w:eastAsia="Times New Roman" w:cs="Times New Roman"/>
          <w:lang w:val="en-GB" w:eastAsia="en-AU"/>
        </w:rPr>
        <w:t xml:space="preserve"> </w:t>
      </w:r>
      <w:r w:rsidR="175BEA25" w:rsidRPr="00461D0D">
        <w:rPr>
          <w:rFonts w:eastAsia="Times New Roman" w:cs="Times New Roman"/>
          <w:lang w:val="en-GB" w:eastAsia="en-AU"/>
        </w:rPr>
        <w:t xml:space="preserve">February 2023 </w:t>
      </w:r>
      <w:proofErr w:type="gramStart"/>
      <w:r w:rsidR="36902CA8" w:rsidRPr="00461D0D">
        <w:rPr>
          <w:rFonts w:eastAsia="Times New Roman" w:cs="Times New Roman"/>
          <w:lang w:val="en-GB" w:eastAsia="en-AU"/>
        </w:rPr>
        <w:t>pre-ESC</w:t>
      </w:r>
      <w:proofErr w:type="gramEnd"/>
      <w:r w:rsidR="36902CA8" w:rsidRPr="00461D0D">
        <w:rPr>
          <w:rFonts w:eastAsia="Times New Roman" w:cs="Times New Roman"/>
          <w:lang w:val="en-GB" w:eastAsia="en-AU"/>
        </w:rPr>
        <w:t xml:space="preserve"> response</w:t>
      </w:r>
      <w:r w:rsidR="034811EE" w:rsidRPr="00461D0D">
        <w:rPr>
          <w:rFonts w:eastAsia="Times New Roman" w:cs="Times New Roman"/>
          <w:lang w:val="en-GB" w:eastAsia="en-AU"/>
        </w:rPr>
        <w:t xml:space="preserve">. </w:t>
      </w:r>
      <w:r w:rsidR="4484AEF1" w:rsidRPr="00461D0D">
        <w:rPr>
          <w:rFonts w:eastAsia="Times New Roman" w:cs="Times New Roman"/>
          <w:lang w:val="en-GB" w:eastAsia="en-AU"/>
        </w:rPr>
        <w:t xml:space="preserve">MSAC recalled the updated cost estimates were not independently evaluated prior to its March 2023 consideration of the application due to the late submission of this data by the applicant, outside of the standard MSAC evaluation timeframes. MSAC noted that the original ADAR estimated that the total cost of follow-up </w:t>
      </w:r>
      <w:r w:rsidR="46227B98" w:rsidRPr="00461D0D">
        <w:rPr>
          <w:rFonts w:eastAsia="Times New Roman" w:cs="Times New Roman"/>
          <w:lang w:val="en-GB" w:eastAsia="en-AU"/>
        </w:rPr>
        <w:t xml:space="preserve">cardiac technical support </w:t>
      </w:r>
      <w:r w:rsidR="4484AEF1" w:rsidRPr="00461D0D">
        <w:rPr>
          <w:rFonts w:eastAsia="Times New Roman" w:cs="Times New Roman"/>
          <w:lang w:val="en-GB" w:eastAsia="en-AU"/>
        </w:rPr>
        <w:t xml:space="preserve">services provided by IECTs </w:t>
      </w:r>
      <w:r w:rsidR="747729D4" w:rsidRPr="00461D0D">
        <w:rPr>
          <w:rFonts w:eastAsia="Times New Roman" w:cs="Times New Roman"/>
          <w:lang w:val="en-GB" w:eastAsia="en-AU"/>
        </w:rPr>
        <w:t>to</w:t>
      </w:r>
      <w:r w:rsidR="4484AEF1" w:rsidRPr="00461D0D">
        <w:rPr>
          <w:rFonts w:eastAsia="Times New Roman" w:cs="Times New Roman"/>
          <w:lang w:val="en-GB" w:eastAsia="en-AU"/>
        </w:rPr>
        <w:t xml:space="preserve"> be $73.3 million in Year </w:t>
      </w:r>
      <w:proofErr w:type="gramStart"/>
      <w:r w:rsidR="4484AEF1" w:rsidRPr="00461D0D">
        <w:rPr>
          <w:rFonts w:eastAsia="Times New Roman" w:cs="Times New Roman"/>
          <w:lang w:val="en-GB" w:eastAsia="en-AU"/>
        </w:rPr>
        <w:t>1</w:t>
      </w:r>
      <w:proofErr w:type="gramEnd"/>
      <w:r w:rsidR="4484AEF1" w:rsidRPr="00461D0D">
        <w:rPr>
          <w:rFonts w:eastAsia="Times New Roman" w:cs="Times New Roman"/>
          <w:lang w:val="en-GB" w:eastAsia="en-AU"/>
        </w:rPr>
        <w:t xml:space="preserve"> and this increased to $91.3 million </w:t>
      </w:r>
      <w:r w:rsidR="6A633485" w:rsidRPr="00461D0D">
        <w:rPr>
          <w:rFonts w:eastAsia="Times New Roman" w:cs="Times New Roman"/>
          <w:lang w:val="en-GB" w:eastAsia="en-AU"/>
        </w:rPr>
        <w:t xml:space="preserve">in </w:t>
      </w:r>
      <w:r w:rsidR="0033796D" w:rsidRPr="00461D0D">
        <w:rPr>
          <w:rFonts w:eastAsia="Times New Roman" w:cs="Times New Roman"/>
          <w:lang w:val="en-GB" w:eastAsia="en-AU"/>
        </w:rPr>
        <w:t xml:space="preserve">Year 1 in </w:t>
      </w:r>
      <w:r w:rsidR="6A633485" w:rsidRPr="00461D0D">
        <w:rPr>
          <w:rFonts w:eastAsia="Times New Roman" w:cs="Times New Roman"/>
          <w:lang w:val="en-GB" w:eastAsia="en-AU"/>
        </w:rPr>
        <w:t>the updated cost estimates provided by the applicant in February 2023. MSAC recalled that given the mag</w:t>
      </w:r>
      <w:r w:rsidR="2A281FB8" w:rsidRPr="00461D0D">
        <w:rPr>
          <w:rFonts w:eastAsia="Times New Roman" w:cs="Times New Roman"/>
          <w:lang w:val="en-GB" w:eastAsia="en-AU"/>
        </w:rPr>
        <w:t>n</w:t>
      </w:r>
      <w:r w:rsidR="6A633485" w:rsidRPr="00461D0D">
        <w:rPr>
          <w:rFonts w:eastAsia="Times New Roman" w:cs="Times New Roman"/>
          <w:lang w:val="en-GB" w:eastAsia="en-AU"/>
        </w:rPr>
        <w:t xml:space="preserve">itude </w:t>
      </w:r>
      <w:r w:rsidR="1A56BF3D" w:rsidRPr="00461D0D">
        <w:rPr>
          <w:rFonts w:eastAsia="Times New Roman" w:cs="Times New Roman"/>
          <w:lang w:val="en-GB" w:eastAsia="en-AU"/>
        </w:rPr>
        <w:t>o</w:t>
      </w:r>
      <w:r w:rsidR="6A633485" w:rsidRPr="00461D0D">
        <w:rPr>
          <w:rFonts w:eastAsia="Times New Roman" w:cs="Times New Roman"/>
          <w:lang w:val="en-GB" w:eastAsia="en-AU"/>
        </w:rPr>
        <w:t xml:space="preserve">f difference between these two estimates, it requested that the updated </w:t>
      </w:r>
      <w:r w:rsidR="6A633485" w:rsidRPr="00461D0D">
        <w:rPr>
          <w:rFonts w:eastAsia="Times New Roman" w:cs="Times New Roman"/>
          <w:i/>
          <w:iCs/>
          <w:lang w:val="en-GB" w:eastAsia="en-AU"/>
        </w:rPr>
        <w:t>Utilisation and Cost model Workboo</w:t>
      </w:r>
      <w:r w:rsidR="47456E3B" w:rsidRPr="00461D0D">
        <w:rPr>
          <w:rFonts w:eastAsia="Times New Roman" w:cs="Times New Roman"/>
          <w:i/>
          <w:iCs/>
          <w:lang w:val="en-GB" w:eastAsia="en-AU"/>
        </w:rPr>
        <w:t xml:space="preserve">k </w:t>
      </w:r>
      <w:r w:rsidR="47456E3B" w:rsidRPr="00461D0D">
        <w:rPr>
          <w:rFonts w:eastAsia="Times New Roman" w:cs="Times New Roman"/>
          <w:lang w:val="en-GB" w:eastAsia="en-AU"/>
        </w:rPr>
        <w:t xml:space="preserve">provided by the applicant be independently evaluated and the base case respecified to enable MSAC to advise on a more reliable estimate of the reasonable cost of </w:t>
      </w:r>
      <w:r w:rsidR="43C2AF8F" w:rsidRPr="00461D0D">
        <w:rPr>
          <w:rFonts w:eastAsia="Times New Roman" w:cs="Times New Roman"/>
          <w:lang w:val="en-GB" w:eastAsia="en-AU"/>
        </w:rPr>
        <w:t>follow-up services provided by IECTs</w:t>
      </w:r>
      <w:r w:rsidR="43C2AF8F" w:rsidRPr="00461D0D">
        <w:rPr>
          <w:rFonts w:eastAsia="Times New Roman" w:cs="Times New Roman"/>
          <w:i/>
          <w:iCs/>
          <w:lang w:val="en-GB" w:eastAsia="en-AU"/>
        </w:rPr>
        <w:t>.</w:t>
      </w:r>
    </w:p>
    <w:p w14:paraId="53591A3F" w14:textId="22D8E43F" w:rsidR="00B85602" w:rsidRPr="005F5BEA" w:rsidRDefault="5A2DFE16" w:rsidP="11AFB54D">
      <w:r w:rsidRPr="00461D0D">
        <w:rPr>
          <w:rFonts w:eastAsia="Times New Roman" w:cs="Times New Roman"/>
          <w:lang w:val="en-GB" w:eastAsia="en-AU"/>
        </w:rPr>
        <w:lastRenderedPageBreak/>
        <w:t>MSAC noted that th</w:t>
      </w:r>
      <w:r w:rsidR="5066816B" w:rsidRPr="00461D0D">
        <w:rPr>
          <w:rFonts w:eastAsia="Times New Roman" w:cs="Times New Roman"/>
          <w:lang w:val="en-GB" w:eastAsia="en-AU"/>
        </w:rPr>
        <w:t>e updated cost estimates</w:t>
      </w:r>
      <w:r w:rsidR="7A6F9331" w:rsidRPr="00461D0D">
        <w:rPr>
          <w:rFonts w:eastAsia="Times New Roman" w:cs="Times New Roman"/>
          <w:lang w:val="en-GB" w:eastAsia="en-AU"/>
        </w:rPr>
        <w:t xml:space="preserve"> </w:t>
      </w:r>
      <w:r w:rsidR="1B47A890" w:rsidRPr="00461D0D">
        <w:rPr>
          <w:rFonts w:eastAsia="Times New Roman" w:cs="Times New Roman"/>
          <w:lang w:val="en-GB" w:eastAsia="en-AU"/>
        </w:rPr>
        <w:t xml:space="preserve">were based on an </w:t>
      </w:r>
      <w:r w:rsidR="0C72BF34" w:rsidRPr="00461D0D">
        <w:rPr>
          <w:rFonts w:eastAsia="Times New Roman" w:cs="Times New Roman"/>
          <w:lang w:val="en-GB" w:eastAsia="en-AU"/>
        </w:rPr>
        <w:t xml:space="preserve">additional </w:t>
      </w:r>
      <w:r w:rsidR="317644DC" w:rsidRPr="00461D0D">
        <w:rPr>
          <w:rFonts w:eastAsia="Times New Roman" w:cs="Times New Roman"/>
          <w:lang w:val="en-GB" w:eastAsia="en-AU"/>
        </w:rPr>
        <w:t>4</w:t>
      </w:r>
      <w:r w:rsidR="0B61A3FA" w:rsidRPr="00461D0D">
        <w:rPr>
          <w:rFonts w:eastAsia="Times New Roman" w:cs="Times New Roman"/>
          <w:lang w:val="en-GB" w:eastAsia="en-AU"/>
        </w:rPr>
        <w:t xml:space="preserve"> </w:t>
      </w:r>
      <w:r w:rsidR="317644DC" w:rsidRPr="00461D0D">
        <w:rPr>
          <w:rFonts w:eastAsia="Times New Roman" w:cs="Times New Roman"/>
          <w:lang w:val="en-GB" w:eastAsia="en-AU"/>
        </w:rPr>
        <w:t>week</w:t>
      </w:r>
      <w:r w:rsidR="76B39E99" w:rsidRPr="00461D0D">
        <w:rPr>
          <w:rFonts w:eastAsia="Times New Roman" w:cs="Times New Roman"/>
          <w:lang w:val="en-GB" w:eastAsia="en-AU"/>
        </w:rPr>
        <w:t>s</w:t>
      </w:r>
      <w:r w:rsidR="317644DC" w:rsidRPr="00461D0D">
        <w:rPr>
          <w:rFonts w:eastAsia="Times New Roman" w:cs="Times New Roman"/>
          <w:lang w:val="en-GB" w:eastAsia="en-AU"/>
        </w:rPr>
        <w:t xml:space="preserve"> </w:t>
      </w:r>
      <w:r w:rsidR="6D97F68A" w:rsidRPr="00461D0D">
        <w:rPr>
          <w:rFonts w:eastAsia="Times New Roman" w:cs="Times New Roman"/>
          <w:lang w:val="en-GB" w:eastAsia="en-AU"/>
        </w:rPr>
        <w:t xml:space="preserve">of </w:t>
      </w:r>
      <w:r w:rsidR="317644DC" w:rsidRPr="00461D0D">
        <w:rPr>
          <w:rFonts w:eastAsia="Times New Roman" w:cs="Times New Roman"/>
          <w:lang w:val="en-GB" w:eastAsia="en-AU"/>
        </w:rPr>
        <w:t>data collection</w:t>
      </w:r>
      <w:r w:rsidR="2553D9B7" w:rsidRPr="00461D0D">
        <w:rPr>
          <w:rFonts w:eastAsia="Times New Roman" w:cs="Times New Roman"/>
          <w:lang w:val="en-GB" w:eastAsia="en-AU"/>
        </w:rPr>
        <w:t xml:space="preserve"> conducted by the applicant</w:t>
      </w:r>
      <w:r w:rsidR="31A72FA2" w:rsidRPr="00461D0D">
        <w:rPr>
          <w:rFonts w:eastAsia="Times New Roman" w:cs="Times New Roman"/>
          <w:lang w:val="en-GB" w:eastAsia="en-AU"/>
        </w:rPr>
        <w:t>,</w:t>
      </w:r>
      <w:r w:rsidR="2553D9B7" w:rsidRPr="00461D0D">
        <w:rPr>
          <w:rFonts w:eastAsia="Times New Roman" w:cs="Times New Roman"/>
          <w:lang w:val="en-GB" w:eastAsia="en-AU"/>
        </w:rPr>
        <w:t xml:space="preserve"> in addition to the </w:t>
      </w:r>
      <w:r w:rsidR="740F63A7" w:rsidRPr="00461D0D">
        <w:rPr>
          <w:rFonts w:eastAsia="Times New Roman" w:cs="Times New Roman"/>
          <w:lang w:val="en-GB" w:eastAsia="en-AU"/>
        </w:rPr>
        <w:t>initial</w:t>
      </w:r>
      <w:r w:rsidR="2553D9B7" w:rsidRPr="00461D0D">
        <w:rPr>
          <w:rFonts w:eastAsia="Times New Roman" w:cs="Times New Roman"/>
          <w:lang w:val="en-GB" w:eastAsia="en-AU"/>
        </w:rPr>
        <w:t xml:space="preserve"> 4 weeks of data collection submitted in the ADAR</w:t>
      </w:r>
      <w:r w:rsidR="4148BA83" w:rsidRPr="00461D0D">
        <w:rPr>
          <w:rFonts w:eastAsia="Times New Roman" w:cs="Times New Roman"/>
          <w:lang w:val="en-GB" w:eastAsia="en-AU"/>
        </w:rPr>
        <w:t xml:space="preserve"> (</w:t>
      </w:r>
      <w:proofErr w:type="gramStart"/>
      <w:r w:rsidR="4148BA83" w:rsidRPr="00461D0D">
        <w:rPr>
          <w:rFonts w:eastAsia="Times New Roman" w:cs="Times New Roman"/>
          <w:lang w:val="en-GB" w:eastAsia="en-AU"/>
        </w:rPr>
        <w:t>i</w:t>
      </w:r>
      <w:r w:rsidR="2553D9B7" w:rsidRPr="00461D0D">
        <w:rPr>
          <w:rFonts w:eastAsia="Times New Roman" w:cs="Times New Roman"/>
          <w:lang w:val="en-GB" w:eastAsia="en-AU"/>
        </w:rPr>
        <w:t>.</w:t>
      </w:r>
      <w:r w:rsidR="4148BA83" w:rsidRPr="00461D0D">
        <w:rPr>
          <w:rFonts w:eastAsia="Times New Roman" w:cs="Times New Roman"/>
          <w:lang w:val="en-GB" w:eastAsia="en-AU"/>
        </w:rPr>
        <w:t>e.</w:t>
      </w:r>
      <w:proofErr w:type="gramEnd"/>
      <w:r w:rsidR="4148BA83" w:rsidRPr="00461D0D">
        <w:rPr>
          <w:rFonts w:eastAsia="Times New Roman" w:cs="Times New Roman"/>
          <w:lang w:val="en-GB" w:eastAsia="en-AU"/>
        </w:rPr>
        <w:t xml:space="preserve"> a total of 8 weeks of data collection).</w:t>
      </w:r>
      <w:r w:rsidR="2553D9B7" w:rsidRPr="00461D0D">
        <w:rPr>
          <w:rFonts w:eastAsia="Times New Roman" w:cs="Times New Roman"/>
          <w:lang w:val="en-GB" w:eastAsia="en-AU"/>
        </w:rPr>
        <w:t xml:space="preserve"> </w:t>
      </w:r>
      <w:r w:rsidR="37DA4F50" w:rsidRPr="00461D0D">
        <w:rPr>
          <w:rFonts w:eastAsia="Times New Roman" w:cs="Times New Roman"/>
          <w:lang w:val="en-GB" w:eastAsia="en-AU"/>
        </w:rPr>
        <w:t xml:space="preserve">As well as updating the number and types of services conducted in the additional 4 </w:t>
      </w:r>
      <w:r w:rsidR="47223A1E" w:rsidRPr="00461D0D">
        <w:rPr>
          <w:rFonts w:eastAsia="Times New Roman" w:cs="Times New Roman"/>
          <w:lang w:val="en-GB" w:eastAsia="en-AU"/>
        </w:rPr>
        <w:t>-</w:t>
      </w:r>
      <w:r w:rsidR="37DA4F50" w:rsidRPr="00461D0D">
        <w:rPr>
          <w:rFonts w:eastAsia="Times New Roman" w:cs="Times New Roman"/>
          <w:lang w:val="en-GB" w:eastAsia="en-AU"/>
        </w:rPr>
        <w:t xml:space="preserve">week period, the </w:t>
      </w:r>
      <w:r w:rsidR="2553D9B7" w:rsidRPr="00461D0D">
        <w:rPr>
          <w:rFonts w:eastAsia="Times New Roman" w:cs="Times New Roman"/>
          <w:lang w:val="en-GB" w:eastAsia="en-AU"/>
        </w:rPr>
        <w:t xml:space="preserve">updated cost estimates included </w:t>
      </w:r>
      <w:r w:rsidR="317644DC" w:rsidRPr="00461D0D">
        <w:rPr>
          <w:rFonts w:eastAsia="Times New Roman" w:cs="Times New Roman"/>
          <w:lang w:val="en-GB" w:eastAsia="en-AU"/>
        </w:rPr>
        <w:t xml:space="preserve">revised estimates of overhead costs. </w:t>
      </w:r>
      <w:r w:rsidR="2856EFA4" w:rsidRPr="00461D0D">
        <w:rPr>
          <w:rFonts w:eastAsia="Times New Roman" w:cs="Times New Roman"/>
          <w:lang w:val="en-GB" w:eastAsia="en-AU"/>
        </w:rPr>
        <w:t xml:space="preserve">MSAC noted that </w:t>
      </w:r>
      <w:r w:rsidR="0B227A28" w:rsidRPr="00461D0D">
        <w:rPr>
          <w:rFonts w:eastAsia="Times New Roman" w:cs="Times New Roman"/>
          <w:lang w:val="en-GB" w:eastAsia="en-AU"/>
        </w:rPr>
        <w:t>t</w:t>
      </w:r>
      <w:r w:rsidR="544A2C05" w:rsidRPr="00461D0D">
        <w:rPr>
          <w:rFonts w:eastAsia="Times New Roman" w:cs="Times New Roman"/>
          <w:lang w:val="en-GB" w:eastAsia="en-AU"/>
        </w:rPr>
        <w:t>he</w:t>
      </w:r>
      <w:r w:rsidR="2A34B46D" w:rsidRPr="00461D0D">
        <w:rPr>
          <w:rFonts w:eastAsia="Times New Roman" w:cs="Times New Roman"/>
          <w:lang w:val="en-GB" w:eastAsia="en-AU"/>
        </w:rPr>
        <w:t xml:space="preserve"> ADAR </w:t>
      </w:r>
      <w:r w:rsidR="367AC760" w:rsidRPr="00461D0D">
        <w:rPr>
          <w:rFonts w:eastAsia="Times New Roman" w:cs="Times New Roman"/>
          <w:lang w:val="en-GB" w:eastAsia="en-AU"/>
        </w:rPr>
        <w:t xml:space="preserve">(based on the original 4 weeks of data collection) </w:t>
      </w:r>
      <w:r w:rsidR="2A34B46D" w:rsidRPr="00461D0D">
        <w:rPr>
          <w:rFonts w:eastAsia="Times New Roman" w:cs="Times New Roman"/>
          <w:lang w:val="en-GB" w:eastAsia="en-AU"/>
        </w:rPr>
        <w:t xml:space="preserve">estimated the </w:t>
      </w:r>
      <w:r w:rsidR="544A2C05" w:rsidRPr="00461D0D">
        <w:rPr>
          <w:rFonts w:eastAsia="Times New Roman" w:cs="Times New Roman"/>
          <w:lang w:val="en-GB" w:eastAsia="en-AU"/>
        </w:rPr>
        <w:t xml:space="preserve">cost of providing cardiac technical support services </w:t>
      </w:r>
      <w:r w:rsidR="1B5834FA" w:rsidRPr="00461D0D">
        <w:rPr>
          <w:rFonts w:eastAsia="Times New Roman" w:cs="Times New Roman"/>
          <w:lang w:val="en-GB" w:eastAsia="en-AU"/>
        </w:rPr>
        <w:t xml:space="preserve">in 2022 </w:t>
      </w:r>
      <w:r w:rsidR="42A34E07" w:rsidRPr="00461D0D">
        <w:rPr>
          <w:rFonts w:eastAsia="Times New Roman" w:cs="Times New Roman"/>
          <w:lang w:val="en-GB" w:eastAsia="en-AU"/>
        </w:rPr>
        <w:t>was</w:t>
      </w:r>
      <w:r w:rsidR="1B5834FA" w:rsidRPr="00461D0D">
        <w:rPr>
          <w:rFonts w:eastAsia="Times New Roman" w:cs="Times New Roman"/>
          <w:lang w:val="en-GB" w:eastAsia="en-AU"/>
        </w:rPr>
        <w:t xml:space="preserve"> $73.3 million (including $16.9 million in overhead costs). </w:t>
      </w:r>
      <w:r w:rsidR="0F5B1AE4" w:rsidRPr="00461D0D">
        <w:rPr>
          <w:rFonts w:eastAsia="Times New Roman" w:cs="Times New Roman"/>
          <w:lang w:val="en-GB" w:eastAsia="en-AU"/>
        </w:rPr>
        <w:t>The updated cost estimates</w:t>
      </w:r>
      <w:r w:rsidR="7D658DB5" w:rsidRPr="00461D0D">
        <w:rPr>
          <w:rFonts w:eastAsia="Times New Roman" w:cs="Times New Roman"/>
          <w:lang w:val="en-GB" w:eastAsia="en-AU"/>
        </w:rPr>
        <w:t xml:space="preserve"> submitted in February</w:t>
      </w:r>
      <w:r w:rsidR="01540E6A" w:rsidRPr="00461D0D">
        <w:rPr>
          <w:rFonts w:eastAsia="Times New Roman" w:cs="Times New Roman"/>
          <w:lang w:val="en-GB" w:eastAsia="en-AU"/>
        </w:rPr>
        <w:t xml:space="preserve"> 2023</w:t>
      </w:r>
      <w:r w:rsidR="16A3745F" w:rsidRPr="00461D0D">
        <w:rPr>
          <w:rFonts w:eastAsia="Times New Roman" w:cs="Times New Roman"/>
          <w:lang w:val="en-GB" w:eastAsia="en-AU"/>
        </w:rPr>
        <w:t xml:space="preserve"> (based on a total of 8 weeks of data collection)</w:t>
      </w:r>
      <w:r w:rsidR="7D658DB5" w:rsidRPr="00461D0D">
        <w:rPr>
          <w:rFonts w:eastAsia="Times New Roman" w:cs="Times New Roman"/>
          <w:lang w:val="en-GB" w:eastAsia="en-AU"/>
        </w:rPr>
        <w:t>, revised this</w:t>
      </w:r>
      <w:r w:rsidR="0F5B1AE4" w:rsidRPr="00461D0D">
        <w:rPr>
          <w:rFonts w:eastAsia="Times New Roman" w:cs="Times New Roman"/>
          <w:lang w:val="en-GB" w:eastAsia="en-AU"/>
        </w:rPr>
        <w:t xml:space="preserve"> </w:t>
      </w:r>
      <w:r w:rsidR="334B0AC2" w:rsidRPr="00461D0D">
        <w:rPr>
          <w:rFonts w:eastAsia="Times New Roman" w:cs="Times New Roman"/>
          <w:lang w:val="en-GB" w:eastAsia="en-AU"/>
        </w:rPr>
        <w:t xml:space="preserve">estimated cost </w:t>
      </w:r>
      <w:r w:rsidR="13E6E2D5" w:rsidRPr="00461D0D">
        <w:rPr>
          <w:rFonts w:eastAsia="Times New Roman" w:cs="Times New Roman"/>
          <w:lang w:val="en-GB" w:eastAsia="en-AU"/>
        </w:rPr>
        <w:t>to</w:t>
      </w:r>
      <w:r w:rsidR="334B0AC2" w:rsidRPr="00461D0D">
        <w:rPr>
          <w:rFonts w:eastAsia="Times New Roman" w:cs="Times New Roman"/>
          <w:lang w:val="en-GB" w:eastAsia="en-AU"/>
        </w:rPr>
        <w:t xml:space="preserve"> </w:t>
      </w:r>
      <w:r w:rsidR="6744B08B" w:rsidRPr="00461D0D">
        <w:rPr>
          <w:rFonts w:eastAsia="Times New Roman" w:cs="Times New Roman"/>
          <w:lang w:val="en-GB" w:eastAsia="en-AU"/>
        </w:rPr>
        <w:t>$91</w:t>
      </w:r>
      <w:r w:rsidR="1D532A4D" w:rsidRPr="00461D0D">
        <w:rPr>
          <w:rFonts w:eastAsia="Times New Roman" w:cs="Times New Roman"/>
          <w:lang w:val="en-GB" w:eastAsia="en-AU"/>
        </w:rPr>
        <w:t>.</w:t>
      </w:r>
      <w:r w:rsidR="6744B08B" w:rsidRPr="00461D0D">
        <w:rPr>
          <w:rFonts w:eastAsia="Times New Roman" w:cs="Times New Roman"/>
          <w:lang w:val="en-GB" w:eastAsia="en-AU"/>
        </w:rPr>
        <w:t>3 million in 2022 (including $31.6 million i</w:t>
      </w:r>
      <w:r w:rsidR="55B6BCAE" w:rsidRPr="00461D0D">
        <w:rPr>
          <w:rFonts w:eastAsia="Times New Roman" w:cs="Times New Roman"/>
          <w:lang w:val="en-GB" w:eastAsia="en-AU"/>
        </w:rPr>
        <w:t xml:space="preserve">n overhead costs). </w:t>
      </w:r>
      <w:r w:rsidR="57ADAC1D" w:rsidRPr="00461D0D">
        <w:rPr>
          <w:rFonts w:eastAsia="Times New Roman" w:cs="Times New Roman"/>
          <w:lang w:val="en-GB" w:eastAsia="en-AU"/>
        </w:rPr>
        <w:t xml:space="preserve">In </w:t>
      </w:r>
      <w:r w:rsidR="503CEB14" w:rsidRPr="00461D0D">
        <w:rPr>
          <w:rFonts w:eastAsia="Times New Roman" w:cs="Times New Roman"/>
          <w:lang w:val="en-GB" w:eastAsia="en-AU"/>
        </w:rPr>
        <w:t>its</w:t>
      </w:r>
      <w:r w:rsidR="57ADAC1D" w:rsidRPr="00461D0D">
        <w:rPr>
          <w:rFonts w:eastAsia="Times New Roman" w:cs="Times New Roman"/>
          <w:lang w:val="en-GB" w:eastAsia="en-AU"/>
        </w:rPr>
        <w:t xml:space="preserve"> July 2023 pre-MSAC response</w:t>
      </w:r>
      <w:r w:rsidR="39F62F21" w:rsidRPr="00461D0D">
        <w:rPr>
          <w:rFonts w:eastAsia="Times New Roman" w:cs="Times New Roman"/>
          <w:lang w:val="en-GB" w:eastAsia="en-AU"/>
        </w:rPr>
        <w:t>,</w:t>
      </w:r>
      <w:r w:rsidR="57ADAC1D" w:rsidRPr="00461D0D">
        <w:rPr>
          <w:rFonts w:eastAsia="Times New Roman" w:cs="Times New Roman"/>
          <w:lang w:val="en-GB" w:eastAsia="en-AU"/>
        </w:rPr>
        <w:t xml:space="preserve"> the applicant further revised this estimated cost </w:t>
      </w:r>
      <w:r w:rsidR="5DE6A415" w:rsidRPr="00461D0D">
        <w:rPr>
          <w:rFonts w:eastAsia="Times New Roman" w:cs="Times New Roman"/>
          <w:lang w:val="en-GB" w:eastAsia="en-AU"/>
        </w:rPr>
        <w:t>to $87 million in 2022</w:t>
      </w:r>
      <w:r w:rsidR="08235602" w:rsidRPr="00461D0D">
        <w:rPr>
          <w:rFonts w:eastAsia="Times New Roman" w:cs="Times New Roman"/>
          <w:lang w:val="en-GB" w:eastAsia="en-AU"/>
        </w:rPr>
        <w:t xml:space="preserve">, </w:t>
      </w:r>
      <w:r w:rsidR="3B5BE9DC" w:rsidRPr="00461D0D">
        <w:rPr>
          <w:rFonts w:eastAsia="Times New Roman" w:cs="Times New Roman"/>
          <w:lang w:val="en-GB" w:eastAsia="en-AU"/>
        </w:rPr>
        <w:t>after correcting</w:t>
      </w:r>
      <w:r w:rsidR="2F6F292D" w:rsidRPr="00461D0D">
        <w:rPr>
          <w:rFonts w:eastAsia="Times New Roman" w:cs="Times New Roman"/>
          <w:lang w:val="en-GB" w:eastAsia="en-AU"/>
        </w:rPr>
        <w:t xml:space="preserve"> </w:t>
      </w:r>
      <w:r w:rsidR="2F4376A5" w:rsidRPr="00461D0D">
        <w:rPr>
          <w:rFonts w:eastAsia="Times New Roman" w:cs="Times New Roman"/>
          <w:lang w:val="en-GB" w:eastAsia="en-AU"/>
        </w:rPr>
        <w:t xml:space="preserve">for </w:t>
      </w:r>
      <w:r w:rsidR="2F6F292D" w:rsidRPr="00461D0D">
        <w:rPr>
          <w:rFonts w:eastAsia="Times New Roman" w:cs="Times New Roman"/>
          <w:lang w:val="en-GB" w:eastAsia="en-AU"/>
        </w:rPr>
        <w:t>erro</w:t>
      </w:r>
      <w:r w:rsidR="0519E7CC" w:rsidRPr="00461D0D">
        <w:rPr>
          <w:rFonts w:eastAsia="Times New Roman" w:cs="Times New Roman"/>
          <w:lang w:val="en-GB" w:eastAsia="en-AU"/>
        </w:rPr>
        <w:t>r</w:t>
      </w:r>
      <w:r w:rsidR="2F6F292D" w:rsidRPr="00461D0D">
        <w:rPr>
          <w:rFonts w:eastAsia="Times New Roman" w:cs="Times New Roman"/>
          <w:lang w:val="en-GB" w:eastAsia="en-AU"/>
        </w:rPr>
        <w:t>s associated with the application of certification cost</w:t>
      </w:r>
      <w:r w:rsidR="2F9805C3" w:rsidRPr="00461D0D">
        <w:rPr>
          <w:rFonts w:eastAsia="Times New Roman" w:cs="Times New Roman"/>
          <w:lang w:val="en-GB" w:eastAsia="en-AU"/>
        </w:rPr>
        <w:t>s</w:t>
      </w:r>
      <w:r w:rsidR="2F6F292D" w:rsidRPr="00461D0D">
        <w:rPr>
          <w:rFonts w:eastAsia="Times New Roman" w:cs="Times New Roman"/>
          <w:lang w:val="en-GB" w:eastAsia="en-AU"/>
        </w:rPr>
        <w:t xml:space="preserve"> of</w:t>
      </w:r>
      <w:r w:rsidR="2F6F292D" w:rsidRPr="005F5BEA">
        <w:rPr>
          <w:rFonts w:eastAsia="Times New Roman" w:cs="Times New Roman"/>
          <w:lang w:val="en-GB" w:eastAsia="en-AU"/>
        </w:rPr>
        <w:t xml:space="preserve"> technicians</w:t>
      </w:r>
      <w:r w:rsidR="66E8E231" w:rsidRPr="005F5BEA">
        <w:rPr>
          <w:rFonts w:eastAsiaTheme="minorEastAsia"/>
          <w:lang w:val="en-GB" w:eastAsia="en-AU"/>
        </w:rPr>
        <w:t>,</w:t>
      </w:r>
      <w:r w:rsidR="40DC8001" w:rsidRPr="005F5BEA">
        <w:rPr>
          <w:rFonts w:eastAsiaTheme="minorEastAsia"/>
          <w:lang w:val="en-GB" w:eastAsia="en-AU"/>
        </w:rPr>
        <w:t xml:space="preserve"> </w:t>
      </w:r>
      <w:r w:rsidR="62DB14BC" w:rsidRPr="005F5BEA">
        <w:rPr>
          <w:rFonts w:eastAsiaTheme="minorEastAsia"/>
          <w:lang w:val="en-GB" w:eastAsia="en-AU"/>
        </w:rPr>
        <w:t xml:space="preserve">and </w:t>
      </w:r>
      <w:r w:rsidR="0033796D" w:rsidRPr="005F5BEA">
        <w:rPr>
          <w:rFonts w:eastAsiaTheme="minorEastAsia"/>
          <w:lang w:val="en-GB" w:eastAsia="en-AU"/>
        </w:rPr>
        <w:t xml:space="preserve">some </w:t>
      </w:r>
      <w:r w:rsidR="40DC8001" w:rsidRPr="005F5BEA">
        <w:rPr>
          <w:rFonts w:eastAsiaTheme="minorEastAsia"/>
          <w:lang w:val="en-GB" w:eastAsia="en-AU"/>
        </w:rPr>
        <w:t xml:space="preserve">overhead costs incorrectly </w:t>
      </w:r>
      <w:r w:rsidR="2F8EEA01" w:rsidRPr="005F5BEA">
        <w:rPr>
          <w:rFonts w:eastAsiaTheme="minorEastAsia"/>
          <w:lang w:val="en-GB" w:eastAsia="en-AU"/>
        </w:rPr>
        <w:t>reported</w:t>
      </w:r>
      <w:r w:rsidR="0033796D" w:rsidRPr="005F5BEA">
        <w:rPr>
          <w:rFonts w:eastAsiaTheme="minorEastAsia"/>
          <w:lang w:val="en-GB" w:eastAsia="en-AU"/>
        </w:rPr>
        <w:t xml:space="preserve"> by</w:t>
      </w:r>
      <w:r w:rsidR="00374FCC" w:rsidRPr="005F5BEA">
        <w:rPr>
          <w:rFonts w:eastAsiaTheme="minorEastAsia"/>
          <w:lang w:val="en-GB" w:eastAsia="en-AU"/>
        </w:rPr>
        <w:t xml:space="preserve"> its members</w:t>
      </w:r>
      <w:r w:rsidR="2F8EEA01" w:rsidRPr="005F5BEA">
        <w:rPr>
          <w:rFonts w:eastAsiaTheme="minorEastAsia"/>
          <w:lang w:val="en-GB" w:eastAsia="en-AU"/>
        </w:rPr>
        <w:t>.</w:t>
      </w:r>
      <w:r w:rsidR="2F6F292D" w:rsidRPr="005F5BEA">
        <w:rPr>
          <w:rFonts w:eastAsiaTheme="minorEastAsia"/>
          <w:lang w:val="en-GB" w:eastAsia="en-AU"/>
        </w:rPr>
        <w:t xml:space="preserve"> </w:t>
      </w:r>
      <w:r w:rsidR="008D3FF0" w:rsidRPr="005F5BEA">
        <w:fldChar w:fldCharType="begin"/>
      </w:r>
      <w:r w:rsidR="008D3FF0" w:rsidRPr="005F5BEA">
        <w:instrText xml:space="preserve"> REF _Ref145506540 \h  \* MERGEFORMAT </w:instrText>
      </w:r>
      <w:r w:rsidR="008D3FF0" w:rsidRPr="005F5BEA">
        <w:fldChar w:fldCharType="separate"/>
      </w:r>
      <w:r w:rsidR="00334548" w:rsidRPr="00334548">
        <w:t>Table MA. 1</w:t>
      </w:r>
      <w:r w:rsidR="008D3FF0" w:rsidRPr="005F5BEA">
        <w:fldChar w:fldCharType="end"/>
      </w:r>
      <w:r w:rsidR="008D3FF0" w:rsidRPr="005F5BEA">
        <w:rPr>
          <w:rFonts w:eastAsiaTheme="minorEastAsia"/>
          <w:lang w:eastAsia="en-AU"/>
        </w:rPr>
        <w:t xml:space="preserve"> </w:t>
      </w:r>
      <w:r w:rsidR="41FF576A" w:rsidRPr="005F5BEA">
        <w:rPr>
          <w:rFonts w:eastAsiaTheme="minorEastAsia"/>
          <w:lang w:eastAsia="en-AU"/>
        </w:rPr>
        <w:t xml:space="preserve">summarises </w:t>
      </w:r>
      <w:r w:rsidR="0CAA5FA1" w:rsidRPr="005F5BEA">
        <w:rPr>
          <w:rFonts w:eastAsiaTheme="minorEastAsia"/>
          <w:lang w:eastAsia="en-AU"/>
        </w:rPr>
        <w:t>the changes</w:t>
      </w:r>
      <w:r w:rsidR="7F004179" w:rsidRPr="005F5BEA">
        <w:rPr>
          <w:rFonts w:eastAsiaTheme="minorEastAsia"/>
          <w:lang w:eastAsia="en-AU"/>
        </w:rPr>
        <w:t xml:space="preserve"> the </w:t>
      </w:r>
      <w:r w:rsidR="4C203A30" w:rsidRPr="005F5BEA">
        <w:rPr>
          <w:rFonts w:eastAsiaTheme="minorEastAsia"/>
          <w:lang w:eastAsia="en-AU"/>
        </w:rPr>
        <w:t>applicant</w:t>
      </w:r>
      <w:r w:rsidR="7F004179" w:rsidRPr="005F5BEA">
        <w:rPr>
          <w:rFonts w:eastAsiaTheme="minorEastAsia"/>
          <w:lang w:eastAsia="en-AU"/>
        </w:rPr>
        <w:t xml:space="preserve"> </w:t>
      </w:r>
      <w:r w:rsidR="0CAA5FA1" w:rsidRPr="005F5BEA">
        <w:rPr>
          <w:rFonts w:eastAsiaTheme="minorEastAsia"/>
          <w:lang w:eastAsia="en-AU"/>
        </w:rPr>
        <w:t>made to the</w:t>
      </w:r>
      <w:r w:rsidR="5F40BA5D" w:rsidRPr="005F5BEA">
        <w:rPr>
          <w:rFonts w:eastAsiaTheme="minorEastAsia"/>
          <w:lang w:eastAsia="en-AU"/>
        </w:rPr>
        <w:t xml:space="preserve"> cost estimates </w:t>
      </w:r>
      <w:r w:rsidR="55DDF3B2" w:rsidRPr="005F5BEA">
        <w:rPr>
          <w:rFonts w:eastAsiaTheme="minorEastAsia"/>
          <w:lang w:eastAsia="en-AU"/>
        </w:rPr>
        <w:t xml:space="preserve">over </w:t>
      </w:r>
      <w:r w:rsidR="5F40BA5D" w:rsidRPr="005F5BEA">
        <w:rPr>
          <w:rFonts w:eastAsiaTheme="minorEastAsia"/>
          <w:lang w:eastAsia="en-AU"/>
        </w:rPr>
        <w:t xml:space="preserve">the lifespan of the </w:t>
      </w:r>
      <w:r w:rsidR="70220ACF" w:rsidRPr="005F5BEA">
        <w:rPr>
          <w:rFonts w:eastAsiaTheme="minorEastAsia"/>
          <w:lang w:eastAsia="en-AU"/>
        </w:rPr>
        <w:t xml:space="preserve">MSAC </w:t>
      </w:r>
      <w:r w:rsidR="5F40BA5D" w:rsidRPr="005F5BEA">
        <w:rPr>
          <w:rFonts w:eastAsiaTheme="minorEastAsia"/>
          <w:lang w:eastAsia="en-AU"/>
        </w:rPr>
        <w:t>application</w:t>
      </w:r>
      <w:r w:rsidR="10CAA6DB" w:rsidRPr="005F5BEA">
        <w:rPr>
          <w:rFonts w:eastAsiaTheme="minorEastAsia"/>
          <w:lang w:eastAsia="en-AU"/>
        </w:rPr>
        <w:t>.</w:t>
      </w:r>
      <w:r w:rsidR="286A7A95" w:rsidRPr="005F5BEA">
        <w:rPr>
          <w:rFonts w:eastAsiaTheme="minorEastAsia"/>
          <w:lang w:eastAsia="en-AU"/>
        </w:rPr>
        <w:t xml:space="preserve"> </w:t>
      </w:r>
      <w:r w:rsidR="178AB00F" w:rsidRPr="005F5BEA">
        <w:rPr>
          <w:rFonts w:eastAsiaTheme="minorEastAsia"/>
          <w:lang w:val="en-GB" w:eastAsia="en-AU"/>
        </w:rPr>
        <w:t xml:space="preserve">MSAC recalled that </w:t>
      </w:r>
      <w:r w:rsidR="410B6687" w:rsidRPr="005F5BEA">
        <w:rPr>
          <w:rFonts w:eastAsiaTheme="minorEastAsia"/>
          <w:lang w:val="en-GB" w:eastAsia="en-AU"/>
        </w:rPr>
        <w:t xml:space="preserve">the </w:t>
      </w:r>
      <w:r w:rsidR="7D0A057B" w:rsidRPr="005F5BEA">
        <w:rPr>
          <w:rFonts w:eastAsiaTheme="minorEastAsia"/>
          <w:lang w:val="en-GB" w:eastAsia="en-AU"/>
        </w:rPr>
        <w:t>February 2021 MTAA-</w:t>
      </w:r>
      <w:r w:rsidR="19F39A26" w:rsidRPr="005F5BEA">
        <w:rPr>
          <w:rFonts w:eastAsiaTheme="minorEastAsia"/>
          <w:lang w:val="en-GB" w:eastAsia="en-AU"/>
        </w:rPr>
        <w:t>commissioned</w:t>
      </w:r>
      <w:r w:rsidR="7D0A057B" w:rsidRPr="005F5BEA">
        <w:rPr>
          <w:rFonts w:eastAsiaTheme="minorEastAsia"/>
          <w:lang w:val="en-GB" w:eastAsia="en-AU"/>
        </w:rPr>
        <w:t xml:space="preserve"> </w:t>
      </w:r>
      <w:r w:rsidR="410B6687" w:rsidRPr="005F5BEA">
        <w:rPr>
          <w:rFonts w:eastAsiaTheme="minorEastAsia"/>
          <w:lang w:val="en-GB" w:eastAsia="en-AU"/>
        </w:rPr>
        <w:t>KP</w:t>
      </w:r>
      <w:r w:rsidR="00E614C5" w:rsidRPr="005F5BEA">
        <w:rPr>
          <w:rFonts w:eastAsiaTheme="minorEastAsia"/>
          <w:lang w:val="en-GB" w:eastAsia="en-AU"/>
        </w:rPr>
        <w:t>M</w:t>
      </w:r>
      <w:r w:rsidR="410B6687" w:rsidRPr="005F5BEA">
        <w:rPr>
          <w:rFonts w:eastAsiaTheme="minorEastAsia"/>
          <w:lang w:val="en-GB" w:eastAsia="en-AU"/>
        </w:rPr>
        <w:t>G report on Cardiac Implantable Electronic Device (CIED) service valuation</w:t>
      </w:r>
      <w:r w:rsidR="004D3043" w:rsidRPr="005F5BEA">
        <w:rPr>
          <w:vertAlign w:val="superscript"/>
          <w:lang w:val="en-GB"/>
        </w:rPr>
        <w:footnoteReference w:id="2"/>
      </w:r>
      <w:r w:rsidR="7E2B3A19" w:rsidRPr="005F5BEA">
        <w:rPr>
          <w:vertAlign w:val="superscript"/>
          <w:lang w:val="en-GB"/>
        </w:rPr>
        <w:t xml:space="preserve"> </w:t>
      </w:r>
      <w:r w:rsidR="7E2B3A19" w:rsidRPr="005F5BEA">
        <w:rPr>
          <w:rFonts w:eastAsiaTheme="minorEastAsia"/>
          <w:lang w:val="en-GB" w:eastAsia="en-AU"/>
        </w:rPr>
        <w:t xml:space="preserve"> estimated </w:t>
      </w:r>
      <w:r w:rsidR="777AC124" w:rsidRPr="005F5BEA">
        <w:rPr>
          <w:rFonts w:eastAsiaTheme="minorEastAsia"/>
          <w:lang w:val="en-GB" w:eastAsia="en-AU"/>
        </w:rPr>
        <w:t>the</w:t>
      </w:r>
      <w:r w:rsidR="7E2B3A19" w:rsidRPr="005F5BEA">
        <w:rPr>
          <w:rFonts w:eastAsiaTheme="minorEastAsia"/>
          <w:lang w:val="en-GB" w:eastAsia="en-AU"/>
        </w:rPr>
        <w:t xml:space="preserve"> median cost of</w:t>
      </w:r>
      <w:r w:rsidR="0F6EEE0E" w:rsidRPr="005F5BEA">
        <w:rPr>
          <w:rFonts w:eastAsiaTheme="minorEastAsia"/>
          <w:lang w:val="en-GB" w:eastAsia="en-AU"/>
        </w:rPr>
        <w:t xml:space="preserve"> follow-up cardiac technical support services</w:t>
      </w:r>
      <w:r w:rsidR="5044CC3D" w:rsidRPr="005F5BEA">
        <w:rPr>
          <w:rFonts w:eastAsiaTheme="minorEastAsia"/>
          <w:lang w:val="en-GB" w:eastAsia="en-AU"/>
        </w:rPr>
        <w:t xml:space="preserve"> provided by IECTs</w:t>
      </w:r>
      <w:r w:rsidR="7E2B3A19" w:rsidRPr="005F5BEA">
        <w:rPr>
          <w:rFonts w:eastAsiaTheme="minorEastAsia"/>
          <w:lang w:val="en-GB" w:eastAsia="en-AU"/>
        </w:rPr>
        <w:t xml:space="preserve"> </w:t>
      </w:r>
      <w:r w:rsidR="4F9D1D08" w:rsidRPr="005F5BEA">
        <w:rPr>
          <w:rFonts w:eastAsiaTheme="minorEastAsia"/>
          <w:lang w:val="en-GB" w:eastAsia="en-AU"/>
        </w:rPr>
        <w:t xml:space="preserve">to be </w:t>
      </w:r>
      <w:r w:rsidR="59F98384" w:rsidRPr="005F5BEA">
        <w:rPr>
          <w:rFonts w:eastAsiaTheme="minorEastAsia"/>
          <w:lang w:val="en-GB" w:eastAsia="en-AU"/>
        </w:rPr>
        <w:t>$103</w:t>
      </w:r>
      <w:r w:rsidR="59F98384" w:rsidRPr="005F5BEA">
        <w:rPr>
          <w:rFonts w:eastAsiaTheme="minorEastAsia"/>
          <w:lang w:eastAsia="en-AU"/>
        </w:rPr>
        <w:t xml:space="preserve"> million for the 2023-23 financial year (</w:t>
      </w:r>
      <w:r w:rsidR="23D27893" w:rsidRPr="005F5BEA">
        <w:rPr>
          <w:rFonts w:eastAsiaTheme="minorEastAsia"/>
          <w:lang w:eastAsia="en-AU"/>
        </w:rPr>
        <w:t xml:space="preserve">ranging from $85.9 to 125 million).  </w:t>
      </w:r>
    </w:p>
    <w:p w14:paraId="0A41E129" w14:textId="74ACDEAD" w:rsidR="008D3FF0" w:rsidRPr="005F5BEA" w:rsidRDefault="008D3FF0" w:rsidP="008D3FF0">
      <w:pPr>
        <w:pStyle w:val="Caption"/>
        <w:keepNext/>
        <w:spacing w:after="0"/>
        <w:rPr>
          <w:rFonts w:ascii="Arial Narrow" w:hAnsi="Arial Narrow"/>
          <w:b/>
          <w:bCs/>
          <w:i w:val="0"/>
          <w:iCs w:val="0"/>
          <w:color w:val="auto"/>
        </w:rPr>
      </w:pPr>
      <w:bookmarkStart w:id="2" w:name="_Ref145506540"/>
      <w:r w:rsidRPr="005F5BEA">
        <w:rPr>
          <w:rFonts w:ascii="Arial Narrow" w:hAnsi="Arial Narrow"/>
          <w:b/>
          <w:bCs/>
          <w:i w:val="0"/>
          <w:iCs w:val="0"/>
          <w:color w:val="auto"/>
        </w:rPr>
        <w:t xml:space="preserve">Table MA. </w:t>
      </w:r>
      <w:r w:rsidRPr="005F5BEA">
        <w:rPr>
          <w:rFonts w:ascii="Arial Narrow" w:hAnsi="Arial Narrow"/>
          <w:b/>
          <w:bCs/>
          <w:i w:val="0"/>
          <w:iCs w:val="0"/>
          <w:color w:val="auto"/>
        </w:rPr>
        <w:fldChar w:fldCharType="begin"/>
      </w:r>
      <w:r w:rsidRPr="005F5BEA">
        <w:rPr>
          <w:rFonts w:ascii="Arial Narrow" w:hAnsi="Arial Narrow"/>
          <w:b/>
          <w:bCs/>
          <w:i w:val="0"/>
          <w:iCs w:val="0"/>
          <w:color w:val="auto"/>
        </w:rPr>
        <w:instrText xml:space="preserve"> SEQ Table \* ARABIC </w:instrText>
      </w:r>
      <w:r w:rsidRPr="005F5BEA">
        <w:rPr>
          <w:rFonts w:ascii="Arial Narrow" w:hAnsi="Arial Narrow"/>
          <w:b/>
          <w:bCs/>
          <w:i w:val="0"/>
          <w:iCs w:val="0"/>
          <w:color w:val="auto"/>
        </w:rPr>
        <w:fldChar w:fldCharType="separate"/>
      </w:r>
      <w:r w:rsidR="00334548">
        <w:rPr>
          <w:rFonts w:ascii="Arial Narrow" w:hAnsi="Arial Narrow"/>
          <w:b/>
          <w:bCs/>
          <w:i w:val="0"/>
          <w:iCs w:val="0"/>
          <w:noProof/>
          <w:color w:val="auto"/>
        </w:rPr>
        <w:t>1</w:t>
      </w:r>
      <w:r w:rsidRPr="005F5BEA">
        <w:rPr>
          <w:rFonts w:ascii="Arial Narrow" w:hAnsi="Arial Narrow"/>
          <w:b/>
          <w:bCs/>
          <w:i w:val="0"/>
          <w:iCs w:val="0"/>
          <w:color w:val="auto"/>
        </w:rPr>
        <w:fldChar w:fldCharType="end"/>
      </w:r>
      <w:bookmarkEnd w:id="2"/>
      <w:r w:rsidRPr="005F5BEA">
        <w:rPr>
          <w:b/>
          <w:bCs/>
          <w:i w:val="0"/>
          <w:iCs w:val="0"/>
          <w:color w:val="auto"/>
        </w:rPr>
        <w:t xml:space="preserve"> </w:t>
      </w:r>
      <w:r w:rsidRPr="005F5BEA">
        <w:rPr>
          <w:b/>
          <w:bCs/>
          <w:i w:val="0"/>
          <w:iCs w:val="0"/>
          <w:color w:val="auto"/>
        </w:rPr>
        <w:tab/>
      </w:r>
      <w:r w:rsidRPr="005F5BEA">
        <w:rPr>
          <w:rFonts w:ascii="Arial Narrow" w:eastAsia="Arial Narrow" w:hAnsi="Arial Narrow" w:cs="Arial Narrow"/>
          <w:b/>
          <w:bCs/>
          <w:i w:val="0"/>
          <w:iCs w:val="0"/>
          <w:color w:val="auto"/>
        </w:rPr>
        <w:t>Updated costing estimates with correction to certification rates (July 2023 pre-MSAC response)</w:t>
      </w:r>
    </w:p>
    <w:tbl>
      <w:tblPr>
        <w:tblStyle w:val="TableGrid"/>
        <w:tblW w:w="9015" w:type="dxa"/>
        <w:tblLayout w:type="fixed"/>
        <w:tblLook w:val="04A0" w:firstRow="1" w:lastRow="0" w:firstColumn="1" w:lastColumn="0" w:noHBand="0" w:noVBand="1"/>
      </w:tblPr>
      <w:tblGrid>
        <w:gridCol w:w="1319"/>
        <w:gridCol w:w="1534"/>
        <w:gridCol w:w="1534"/>
        <w:gridCol w:w="1534"/>
        <w:gridCol w:w="1534"/>
        <w:gridCol w:w="1560"/>
      </w:tblGrid>
      <w:tr w:rsidR="11AFB54D" w:rsidRPr="005F5BEA" w14:paraId="2426161E" w14:textId="77777777" w:rsidTr="008D3FF0">
        <w:trPr>
          <w:trHeight w:val="300"/>
        </w:trPr>
        <w:tc>
          <w:tcPr>
            <w:tcW w:w="1319" w:type="dxa"/>
            <w:tcBorders>
              <w:top w:val="single" w:sz="8" w:space="0" w:color="auto"/>
              <w:left w:val="single" w:sz="8" w:space="0" w:color="auto"/>
              <w:bottom w:val="single" w:sz="8" w:space="0" w:color="auto"/>
              <w:right w:val="single" w:sz="8" w:space="0" w:color="auto"/>
            </w:tcBorders>
            <w:tcMar>
              <w:left w:w="108" w:type="dxa"/>
              <w:right w:w="108" w:type="dxa"/>
            </w:tcMar>
          </w:tcPr>
          <w:p w14:paraId="0B3C93A8" w14:textId="04DCB03F" w:rsidR="11AFB54D" w:rsidRPr="005F5BEA" w:rsidRDefault="11AFB54D" w:rsidP="11AFB54D">
            <w:pPr>
              <w:spacing w:before="20" w:after="20"/>
              <w:rPr>
                <w:rFonts w:ascii="Arial Narrow" w:eastAsia="Arial Narrow" w:hAnsi="Arial Narrow" w:cs="Arial Narrow"/>
                <w:b/>
                <w:bCs/>
                <w:sz w:val="16"/>
                <w:szCs w:val="16"/>
                <w:lang w:val="en-US"/>
              </w:rPr>
            </w:pPr>
            <w:r w:rsidRPr="005F5BEA">
              <w:rPr>
                <w:rFonts w:ascii="Arial Narrow" w:eastAsia="Arial Narrow" w:hAnsi="Arial Narrow" w:cs="Arial Narrow"/>
                <w:b/>
                <w:bCs/>
                <w:sz w:val="16"/>
                <w:szCs w:val="16"/>
                <w:lang w:val="en-US"/>
              </w:rPr>
              <w:t>Data</w:t>
            </w:r>
          </w:p>
        </w:tc>
        <w:tc>
          <w:tcPr>
            <w:tcW w:w="1534" w:type="dxa"/>
            <w:tcBorders>
              <w:top w:val="single" w:sz="8" w:space="0" w:color="auto"/>
              <w:left w:val="single" w:sz="8" w:space="0" w:color="auto"/>
              <w:bottom w:val="single" w:sz="8" w:space="0" w:color="auto"/>
              <w:right w:val="single" w:sz="8" w:space="0" w:color="auto"/>
            </w:tcBorders>
            <w:tcMar>
              <w:left w:w="108" w:type="dxa"/>
              <w:right w:w="108" w:type="dxa"/>
            </w:tcMar>
          </w:tcPr>
          <w:p w14:paraId="202A5414" w14:textId="1144977D" w:rsidR="11AFB54D" w:rsidRPr="005F5BEA" w:rsidRDefault="11AFB54D" w:rsidP="11AFB54D">
            <w:pPr>
              <w:spacing w:before="20" w:after="20"/>
              <w:rPr>
                <w:rFonts w:ascii="Arial Narrow" w:eastAsia="Arial Narrow" w:hAnsi="Arial Narrow" w:cs="Arial Narrow"/>
                <w:b/>
                <w:bCs/>
                <w:sz w:val="16"/>
                <w:szCs w:val="16"/>
                <w:lang w:val="en-US"/>
              </w:rPr>
            </w:pPr>
            <w:r w:rsidRPr="005F5BEA">
              <w:rPr>
                <w:rFonts w:ascii="Arial Narrow" w:eastAsia="Arial Narrow" w:hAnsi="Arial Narrow" w:cs="Arial Narrow"/>
                <w:b/>
                <w:bCs/>
                <w:sz w:val="16"/>
                <w:szCs w:val="16"/>
                <w:lang w:val="en-US"/>
              </w:rPr>
              <w:t>2022</w:t>
            </w:r>
          </w:p>
        </w:tc>
        <w:tc>
          <w:tcPr>
            <w:tcW w:w="1534" w:type="dxa"/>
            <w:tcBorders>
              <w:top w:val="single" w:sz="8" w:space="0" w:color="auto"/>
              <w:left w:val="single" w:sz="8" w:space="0" w:color="auto"/>
              <w:bottom w:val="single" w:sz="8" w:space="0" w:color="auto"/>
              <w:right w:val="single" w:sz="8" w:space="0" w:color="auto"/>
            </w:tcBorders>
            <w:tcMar>
              <w:left w:w="108" w:type="dxa"/>
              <w:right w:w="108" w:type="dxa"/>
            </w:tcMar>
          </w:tcPr>
          <w:p w14:paraId="765B081F" w14:textId="756EED9E" w:rsidR="11AFB54D" w:rsidRPr="005F5BEA" w:rsidRDefault="11AFB54D" w:rsidP="11AFB54D">
            <w:pPr>
              <w:spacing w:before="20" w:after="20"/>
              <w:rPr>
                <w:rFonts w:ascii="Arial Narrow" w:eastAsia="Arial Narrow" w:hAnsi="Arial Narrow" w:cs="Arial Narrow"/>
                <w:b/>
                <w:bCs/>
                <w:sz w:val="16"/>
                <w:szCs w:val="16"/>
                <w:lang w:val="en-US"/>
              </w:rPr>
            </w:pPr>
            <w:r w:rsidRPr="005F5BEA">
              <w:rPr>
                <w:rFonts w:ascii="Arial Narrow" w:eastAsia="Arial Narrow" w:hAnsi="Arial Narrow" w:cs="Arial Narrow"/>
                <w:b/>
                <w:bCs/>
                <w:sz w:val="16"/>
                <w:szCs w:val="16"/>
                <w:lang w:val="en-US"/>
              </w:rPr>
              <w:t>2023</w:t>
            </w:r>
          </w:p>
        </w:tc>
        <w:tc>
          <w:tcPr>
            <w:tcW w:w="1534" w:type="dxa"/>
            <w:tcBorders>
              <w:top w:val="single" w:sz="8" w:space="0" w:color="auto"/>
              <w:left w:val="single" w:sz="8" w:space="0" w:color="auto"/>
              <w:bottom w:val="single" w:sz="8" w:space="0" w:color="auto"/>
              <w:right w:val="single" w:sz="8" w:space="0" w:color="auto"/>
            </w:tcBorders>
            <w:tcMar>
              <w:left w:w="108" w:type="dxa"/>
              <w:right w:w="108" w:type="dxa"/>
            </w:tcMar>
          </w:tcPr>
          <w:p w14:paraId="1255D85F" w14:textId="56EC1324" w:rsidR="11AFB54D" w:rsidRPr="005F5BEA" w:rsidRDefault="11AFB54D" w:rsidP="11AFB54D">
            <w:pPr>
              <w:spacing w:before="20" w:after="20"/>
              <w:rPr>
                <w:rFonts w:ascii="Arial Narrow" w:eastAsia="Arial Narrow" w:hAnsi="Arial Narrow" w:cs="Arial Narrow"/>
                <w:b/>
                <w:bCs/>
                <w:sz w:val="16"/>
                <w:szCs w:val="16"/>
                <w:lang w:val="en-US"/>
              </w:rPr>
            </w:pPr>
            <w:r w:rsidRPr="005F5BEA">
              <w:rPr>
                <w:rFonts w:ascii="Arial Narrow" w:eastAsia="Arial Narrow" w:hAnsi="Arial Narrow" w:cs="Arial Narrow"/>
                <w:b/>
                <w:bCs/>
                <w:sz w:val="16"/>
                <w:szCs w:val="16"/>
                <w:lang w:val="en-US"/>
              </w:rPr>
              <w:t>2024</w:t>
            </w:r>
          </w:p>
        </w:tc>
        <w:tc>
          <w:tcPr>
            <w:tcW w:w="1534" w:type="dxa"/>
            <w:tcBorders>
              <w:top w:val="single" w:sz="8" w:space="0" w:color="auto"/>
              <w:left w:val="single" w:sz="8" w:space="0" w:color="auto"/>
              <w:bottom w:val="single" w:sz="8" w:space="0" w:color="auto"/>
              <w:right w:val="single" w:sz="8" w:space="0" w:color="auto"/>
            </w:tcBorders>
            <w:tcMar>
              <w:left w:w="108" w:type="dxa"/>
              <w:right w:w="108" w:type="dxa"/>
            </w:tcMar>
          </w:tcPr>
          <w:p w14:paraId="489A638A" w14:textId="3011872F" w:rsidR="11AFB54D" w:rsidRPr="005F5BEA" w:rsidRDefault="11AFB54D" w:rsidP="11AFB54D">
            <w:pPr>
              <w:spacing w:before="20" w:after="20"/>
              <w:rPr>
                <w:rFonts w:ascii="Arial Narrow" w:eastAsia="Arial Narrow" w:hAnsi="Arial Narrow" w:cs="Arial Narrow"/>
                <w:b/>
                <w:bCs/>
                <w:sz w:val="16"/>
                <w:szCs w:val="16"/>
                <w:lang w:val="en-US"/>
              </w:rPr>
            </w:pPr>
            <w:r w:rsidRPr="005F5BEA">
              <w:rPr>
                <w:rFonts w:ascii="Arial Narrow" w:eastAsia="Arial Narrow" w:hAnsi="Arial Narrow" w:cs="Arial Narrow"/>
                <w:b/>
                <w:bCs/>
                <w:sz w:val="16"/>
                <w:szCs w:val="16"/>
                <w:lang w:val="en-US"/>
              </w:rPr>
              <w:t>2025</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25F04300" w14:textId="49FBFF7B" w:rsidR="11AFB54D" w:rsidRPr="005F5BEA" w:rsidRDefault="11AFB54D" w:rsidP="11AFB54D">
            <w:pPr>
              <w:spacing w:before="20" w:after="20"/>
              <w:rPr>
                <w:rFonts w:ascii="Arial Narrow" w:eastAsia="Arial Narrow" w:hAnsi="Arial Narrow" w:cs="Arial Narrow"/>
                <w:b/>
                <w:bCs/>
                <w:sz w:val="16"/>
                <w:szCs w:val="16"/>
                <w:lang w:val="en-US"/>
              </w:rPr>
            </w:pPr>
            <w:r w:rsidRPr="005F5BEA">
              <w:rPr>
                <w:rFonts w:ascii="Arial Narrow" w:eastAsia="Arial Narrow" w:hAnsi="Arial Narrow" w:cs="Arial Narrow"/>
                <w:b/>
                <w:bCs/>
                <w:sz w:val="16"/>
                <w:szCs w:val="16"/>
                <w:lang w:val="en-US"/>
              </w:rPr>
              <w:t>Percentage change from ADAR</w:t>
            </w:r>
          </w:p>
        </w:tc>
      </w:tr>
      <w:tr w:rsidR="11AFB54D" w:rsidRPr="005F5BEA" w14:paraId="672832BF" w14:textId="77777777" w:rsidTr="008D3FF0">
        <w:trPr>
          <w:trHeight w:val="300"/>
        </w:trPr>
        <w:tc>
          <w:tcPr>
            <w:tcW w:w="9015"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41D2C6A1" w14:textId="33B1C9A2" w:rsidR="11AFB54D" w:rsidRPr="005F5BEA" w:rsidRDefault="11AFB54D" w:rsidP="11AFB54D">
            <w:pPr>
              <w:spacing w:before="20" w:after="20"/>
              <w:rPr>
                <w:rFonts w:ascii="Arial Narrow" w:eastAsia="Arial Narrow" w:hAnsi="Arial Narrow" w:cs="Arial Narrow"/>
                <w:b/>
                <w:bCs/>
                <w:sz w:val="16"/>
                <w:szCs w:val="16"/>
                <w:lang w:val="en-US"/>
              </w:rPr>
            </w:pPr>
            <w:r w:rsidRPr="005F5BEA">
              <w:rPr>
                <w:rFonts w:ascii="Arial Narrow" w:eastAsia="Arial Narrow" w:hAnsi="Arial Narrow" w:cs="Arial Narrow"/>
                <w:b/>
                <w:bCs/>
                <w:sz w:val="16"/>
                <w:szCs w:val="16"/>
                <w:lang w:val="en-US"/>
              </w:rPr>
              <w:t>ADAR base case</w:t>
            </w:r>
            <w:r w:rsidR="000B460E" w:rsidRPr="005F5BEA">
              <w:rPr>
                <w:rFonts w:ascii="Arial Narrow" w:eastAsia="Arial Narrow" w:hAnsi="Arial Narrow" w:cs="Arial Narrow"/>
                <w:b/>
                <w:bCs/>
                <w:sz w:val="16"/>
                <w:szCs w:val="16"/>
                <w:lang w:val="en-US"/>
              </w:rPr>
              <w:t xml:space="preserve"> </w:t>
            </w:r>
            <w:r w:rsidR="000D5155" w:rsidRPr="005F5BEA">
              <w:rPr>
                <w:rFonts w:ascii="Arial Narrow" w:eastAsia="Arial Narrow" w:hAnsi="Arial Narrow" w:cs="Arial Narrow"/>
                <w:b/>
                <w:bCs/>
                <w:sz w:val="16"/>
                <w:szCs w:val="16"/>
                <w:lang w:val="en-US"/>
              </w:rPr>
              <w:t xml:space="preserve">(considered </w:t>
            </w:r>
            <w:proofErr w:type="gramStart"/>
            <w:r w:rsidR="000D5155" w:rsidRPr="005F5BEA">
              <w:rPr>
                <w:rFonts w:ascii="Arial Narrow" w:eastAsia="Arial Narrow" w:hAnsi="Arial Narrow" w:cs="Arial Narrow"/>
                <w:b/>
                <w:bCs/>
                <w:sz w:val="16"/>
                <w:szCs w:val="16"/>
                <w:lang w:val="en-US"/>
              </w:rPr>
              <w:t>at</w:t>
            </w:r>
            <w:proofErr w:type="gramEnd"/>
            <w:r w:rsidR="000D5155" w:rsidRPr="005F5BEA">
              <w:rPr>
                <w:rFonts w:ascii="Arial Narrow" w:eastAsia="Arial Narrow" w:hAnsi="Arial Narrow" w:cs="Arial Narrow"/>
                <w:b/>
                <w:bCs/>
                <w:sz w:val="16"/>
                <w:szCs w:val="16"/>
                <w:lang w:val="en-US"/>
              </w:rPr>
              <w:t xml:space="preserve"> March 2023 MSAC)</w:t>
            </w:r>
            <w:r w:rsidR="00DC3DD8" w:rsidRPr="005F5BEA">
              <w:rPr>
                <w:rFonts w:ascii="Arial Narrow" w:eastAsia="Arial Narrow" w:hAnsi="Arial Narrow" w:cs="Arial Narrow"/>
                <w:b/>
                <w:bCs/>
                <w:sz w:val="16"/>
                <w:szCs w:val="16"/>
                <w:lang w:val="en-US"/>
              </w:rPr>
              <w:t xml:space="preserve"> </w:t>
            </w:r>
            <w:r w:rsidR="000B460E" w:rsidRPr="005F5BEA">
              <w:rPr>
                <w:rFonts w:ascii="Arial Narrow" w:eastAsia="Arial Narrow" w:hAnsi="Arial Narrow" w:cs="Arial Narrow"/>
                <w:b/>
                <w:bCs/>
                <w:sz w:val="16"/>
                <w:szCs w:val="16"/>
                <w:lang w:val="en-US"/>
              </w:rPr>
              <w:t xml:space="preserve">– Round 1 </w:t>
            </w:r>
            <w:r w:rsidR="001C4979" w:rsidRPr="005F5BEA">
              <w:rPr>
                <w:rFonts w:ascii="Arial Narrow" w:eastAsia="Arial Narrow" w:hAnsi="Arial Narrow" w:cs="Arial Narrow"/>
                <w:b/>
                <w:bCs/>
                <w:sz w:val="16"/>
                <w:szCs w:val="16"/>
                <w:lang w:val="en-US"/>
              </w:rPr>
              <w:t>service volumes</w:t>
            </w:r>
            <w:r w:rsidR="001174C8" w:rsidRPr="005F5BEA">
              <w:rPr>
                <w:rFonts w:ascii="Arial Narrow" w:eastAsia="Arial Narrow" w:hAnsi="Arial Narrow" w:cs="Arial Narrow"/>
                <w:b/>
                <w:bCs/>
                <w:sz w:val="16"/>
                <w:szCs w:val="16"/>
                <w:lang w:val="en-US"/>
              </w:rPr>
              <w:t xml:space="preserve"> </w:t>
            </w:r>
            <w:r w:rsidR="001C4979" w:rsidRPr="005F5BEA">
              <w:rPr>
                <w:rFonts w:ascii="Arial Narrow" w:eastAsia="Arial Narrow" w:hAnsi="Arial Narrow" w:cs="Arial Narrow"/>
                <w:b/>
                <w:bCs/>
                <w:sz w:val="16"/>
                <w:szCs w:val="16"/>
                <w:lang w:val="en-US"/>
              </w:rPr>
              <w:t>(4 weeks data)</w:t>
            </w:r>
            <w:r w:rsidR="00734F52" w:rsidRPr="005F5BEA">
              <w:rPr>
                <w:rFonts w:ascii="Arial Narrow" w:eastAsia="Arial Narrow" w:hAnsi="Arial Narrow" w:cs="Arial Narrow"/>
                <w:b/>
                <w:bCs/>
                <w:sz w:val="16"/>
                <w:szCs w:val="16"/>
                <w:lang w:val="en-US"/>
              </w:rPr>
              <w:t xml:space="preserve"> </w:t>
            </w:r>
            <w:r w:rsidR="001174C8" w:rsidRPr="005F5BEA">
              <w:rPr>
                <w:rFonts w:ascii="Arial Narrow" w:eastAsia="Arial Narrow" w:hAnsi="Arial Narrow" w:cs="Arial Narrow"/>
                <w:b/>
                <w:bCs/>
                <w:sz w:val="16"/>
                <w:szCs w:val="16"/>
                <w:vertAlign w:val="superscript"/>
                <w:lang w:val="en-US"/>
              </w:rPr>
              <w:t>a</w:t>
            </w:r>
            <w:r w:rsidR="00935A8C" w:rsidRPr="005F5BEA">
              <w:rPr>
                <w:rFonts w:ascii="Arial Narrow" w:eastAsia="Arial Narrow" w:hAnsi="Arial Narrow" w:cs="Arial Narrow"/>
                <w:b/>
                <w:bCs/>
                <w:sz w:val="16"/>
                <w:szCs w:val="16"/>
                <w:lang w:val="en-US"/>
              </w:rPr>
              <w:t xml:space="preserve"> </w:t>
            </w:r>
            <w:r w:rsidR="009C6D11" w:rsidRPr="005F5BEA">
              <w:rPr>
                <w:rFonts w:ascii="Arial Narrow" w:eastAsia="Arial Narrow" w:hAnsi="Arial Narrow" w:cs="Arial Narrow"/>
                <w:b/>
                <w:bCs/>
                <w:sz w:val="16"/>
                <w:szCs w:val="16"/>
                <w:lang w:val="en-US"/>
              </w:rPr>
              <w:t xml:space="preserve">and overhead costs </w:t>
            </w:r>
            <w:r w:rsidR="00DC3DD8" w:rsidRPr="005F5BEA">
              <w:rPr>
                <w:rFonts w:ascii="Arial Narrow" w:eastAsia="Arial Narrow" w:hAnsi="Arial Narrow" w:cs="Arial Narrow"/>
                <w:b/>
                <w:bCs/>
                <w:sz w:val="16"/>
                <w:szCs w:val="16"/>
                <w:lang w:val="en-US"/>
              </w:rPr>
              <w:t xml:space="preserve">estimated as </w:t>
            </w:r>
            <w:r w:rsidR="009C6D11" w:rsidRPr="005F5BEA">
              <w:rPr>
                <w:rFonts w:ascii="Arial Narrow" w:eastAsia="Arial Narrow" w:hAnsi="Arial Narrow" w:cs="Arial Narrow"/>
                <w:b/>
                <w:bCs/>
                <w:sz w:val="16"/>
                <w:szCs w:val="16"/>
                <w:lang w:val="en-US"/>
              </w:rPr>
              <w:t>30% of direct costs</w:t>
            </w:r>
            <w:r w:rsidR="000F6407" w:rsidRPr="005F5BEA">
              <w:rPr>
                <w:rFonts w:ascii="Arial Narrow" w:eastAsia="Arial Narrow" w:hAnsi="Arial Narrow" w:cs="Arial Narrow"/>
                <w:b/>
                <w:bCs/>
                <w:sz w:val="16"/>
                <w:szCs w:val="16"/>
                <w:lang w:val="en-US"/>
              </w:rPr>
              <w:t xml:space="preserve"> </w:t>
            </w:r>
          </w:p>
        </w:tc>
      </w:tr>
      <w:tr w:rsidR="11AFB54D" w:rsidRPr="005F5BEA" w14:paraId="53044720" w14:textId="77777777" w:rsidTr="008D3FF0">
        <w:trPr>
          <w:trHeight w:val="300"/>
        </w:trPr>
        <w:tc>
          <w:tcPr>
            <w:tcW w:w="13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C382B0" w14:textId="41766DC3" w:rsidR="11AFB54D" w:rsidRPr="005F5BEA" w:rsidRDefault="11AFB54D" w:rsidP="11AFB54D">
            <w:pPr>
              <w:spacing w:before="20" w:after="20"/>
              <w:rPr>
                <w:rFonts w:ascii="Arial Narrow" w:eastAsia="Arial Narrow" w:hAnsi="Arial Narrow" w:cs="Arial Narrow"/>
                <w:b/>
                <w:bCs/>
                <w:sz w:val="16"/>
                <w:szCs w:val="16"/>
              </w:rPr>
            </w:pPr>
            <w:r w:rsidRPr="005F5BEA">
              <w:rPr>
                <w:rFonts w:ascii="Arial Narrow" w:eastAsia="Arial Narrow" w:hAnsi="Arial Narrow" w:cs="Arial Narrow"/>
                <w:b/>
                <w:bCs/>
                <w:sz w:val="16"/>
                <w:szCs w:val="16"/>
              </w:rPr>
              <w:t>Total services</w:t>
            </w:r>
          </w:p>
        </w:tc>
        <w:tc>
          <w:tcPr>
            <w:tcW w:w="1534" w:type="dxa"/>
            <w:tcBorders>
              <w:top w:val="nil"/>
              <w:left w:val="single" w:sz="8" w:space="0" w:color="auto"/>
              <w:bottom w:val="single" w:sz="8" w:space="0" w:color="auto"/>
              <w:right w:val="single" w:sz="8" w:space="0" w:color="auto"/>
            </w:tcBorders>
            <w:tcMar>
              <w:left w:w="108" w:type="dxa"/>
              <w:right w:w="108" w:type="dxa"/>
            </w:tcMar>
            <w:vAlign w:val="center"/>
          </w:tcPr>
          <w:p w14:paraId="43990230" w14:textId="730D45D7" w:rsidR="11AFB54D" w:rsidRPr="005F5BEA" w:rsidRDefault="11AFB54D" w:rsidP="11AFB54D">
            <w:pPr>
              <w:spacing w:before="20" w:after="20"/>
              <w:rPr>
                <w:rFonts w:ascii="Arial Narrow" w:eastAsia="Arial Narrow" w:hAnsi="Arial Narrow" w:cs="Arial Narrow"/>
                <w:sz w:val="16"/>
                <w:szCs w:val="16"/>
              </w:rPr>
            </w:pPr>
            <w:r w:rsidRPr="005F5BEA">
              <w:rPr>
                <w:rFonts w:ascii="Arial Narrow" w:eastAsia="Arial Narrow" w:hAnsi="Arial Narrow" w:cs="Arial Narrow"/>
                <w:sz w:val="16"/>
                <w:szCs w:val="16"/>
              </w:rPr>
              <w:t>697,258</w:t>
            </w:r>
          </w:p>
        </w:tc>
        <w:tc>
          <w:tcPr>
            <w:tcW w:w="1534" w:type="dxa"/>
            <w:tcBorders>
              <w:top w:val="nil"/>
              <w:left w:val="single" w:sz="8" w:space="0" w:color="auto"/>
              <w:bottom w:val="single" w:sz="8" w:space="0" w:color="auto"/>
              <w:right w:val="single" w:sz="8" w:space="0" w:color="auto"/>
            </w:tcBorders>
            <w:tcMar>
              <w:left w:w="108" w:type="dxa"/>
              <w:right w:w="108" w:type="dxa"/>
            </w:tcMar>
            <w:vAlign w:val="center"/>
          </w:tcPr>
          <w:p w14:paraId="48FCE526" w14:textId="4E368D38" w:rsidR="11AFB54D" w:rsidRPr="005F5BEA" w:rsidRDefault="11AFB54D" w:rsidP="11AFB54D">
            <w:pPr>
              <w:spacing w:before="20" w:after="20"/>
              <w:rPr>
                <w:rFonts w:ascii="Arial Narrow" w:eastAsia="Arial Narrow" w:hAnsi="Arial Narrow" w:cs="Arial Narrow"/>
                <w:sz w:val="16"/>
                <w:szCs w:val="16"/>
              </w:rPr>
            </w:pPr>
            <w:r w:rsidRPr="005F5BEA">
              <w:rPr>
                <w:rFonts w:ascii="Arial Narrow" w:eastAsia="Arial Narrow" w:hAnsi="Arial Narrow" w:cs="Arial Narrow"/>
                <w:sz w:val="16"/>
                <w:szCs w:val="16"/>
              </w:rPr>
              <w:t>746,066</w:t>
            </w:r>
          </w:p>
        </w:tc>
        <w:tc>
          <w:tcPr>
            <w:tcW w:w="1534" w:type="dxa"/>
            <w:tcBorders>
              <w:top w:val="nil"/>
              <w:left w:val="single" w:sz="8" w:space="0" w:color="auto"/>
              <w:bottom w:val="single" w:sz="8" w:space="0" w:color="auto"/>
              <w:right w:val="single" w:sz="8" w:space="0" w:color="auto"/>
            </w:tcBorders>
            <w:tcMar>
              <w:left w:w="108" w:type="dxa"/>
              <w:right w:w="108" w:type="dxa"/>
            </w:tcMar>
            <w:vAlign w:val="center"/>
          </w:tcPr>
          <w:p w14:paraId="2C5AC9BF" w14:textId="0DBCD664" w:rsidR="11AFB54D" w:rsidRPr="005F5BEA" w:rsidRDefault="11AFB54D" w:rsidP="11AFB54D">
            <w:pPr>
              <w:spacing w:before="20" w:after="20"/>
              <w:rPr>
                <w:rFonts w:ascii="Arial Narrow" w:eastAsia="Arial Narrow" w:hAnsi="Arial Narrow" w:cs="Arial Narrow"/>
                <w:sz w:val="16"/>
                <w:szCs w:val="16"/>
              </w:rPr>
            </w:pPr>
            <w:r w:rsidRPr="005F5BEA">
              <w:rPr>
                <w:rFonts w:ascii="Arial Narrow" w:eastAsia="Arial Narrow" w:hAnsi="Arial Narrow" w:cs="Arial Narrow"/>
                <w:sz w:val="16"/>
                <w:szCs w:val="16"/>
              </w:rPr>
              <w:t>798,290</w:t>
            </w:r>
          </w:p>
        </w:tc>
        <w:tc>
          <w:tcPr>
            <w:tcW w:w="1534" w:type="dxa"/>
            <w:tcBorders>
              <w:top w:val="nil"/>
              <w:left w:val="single" w:sz="8" w:space="0" w:color="auto"/>
              <w:bottom w:val="single" w:sz="8" w:space="0" w:color="auto"/>
              <w:right w:val="single" w:sz="8" w:space="0" w:color="auto"/>
            </w:tcBorders>
            <w:tcMar>
              <w:left w:w="108" w:type="dxa"/>
              <w:right w:w="108" w:type="dxa"/>
            </w:tcMar>
            <w:vAlign w:val="center"/>
          </w:tcPr>
          <w:p w14:paraId="59D21CEF" w14:textId="698A5383" w:rsidR="11AFB54D" w:rsidRPr="005F5BEA" w:rsidRDefault="11AFB54D" w:rsidP="11AFB54D">
            <w:pPr>
              <w:spacing w:before="20" w:after="20"/>
              <w:rPr>
                <w:rFonts w:ascii="Arial Narrow" w:eastAsia="Arial Narrow" w:hAnsi="Arial Narrow" w:cs="Arial Narrow"/>
                <w:sz w:val="16"/>
                <w:szCs w:val="16"/>
              </w:rPr>
            </w:pPr>
            <w:r w:rsidRPr="005F5BEA">
              <w:rPr>
                <w:rFonts w:ascii="Arial Narrow" w:eastAsia="Arial Narrow" w:hAnsi="Arial Narrow" w:cs="Arial Narrow"/>
                <w:sz w:val="16"/>
                <w:szCs w:val="16"/>
              </w:rPr>
              <w:t>854,170</w:t>
            </w:r>
          </w:p>
        </w:tc>
        <w:tc>
          <w:tcPr>
            <w:tcW w:w="1560" w:type="dxa"/>
            <w:tcBorders>
              <w:top w:val="nil"/>
              <w:left w:val="single" w:sz="8" w:space="0" w:color="auto"/>
              <w:bottom w:val="single" w:sz="8" w:space="0" w:color="auto"/>
              <w:right w:val="single" w:sz="8" w:space="0" w:color="auto"/>
            </w:tcBorders>
            <w:tcMar>
              <w:left w:w="108" w:type="dxa"/>
              <w:right w:w="108" w:type="dxa"/>
            </w:tcMar>
            <w:vAlign w:val="center"/>
          </w:tcPr>
          <w:p w14:paraId="0C97566B" w14:textId="77AD1D0C" w:rsidR="11AFB54D" w:rsidRPr="005F5BEA" w:rsidRDefault="11AFB54D" w:rsidP="11AFB54D">
            <w:pPr>
              <w:spacing w:before="20" w:after="20"/>
              <w:rPr>
                <w:rFonts w:ascii="Arial Narrow" w:eastAsia="Arial Narrow" w:hAnsi="Arial Narrow" w:cs="Arial Narrow"/>
                <w:sz w:val="16"/>
                <w:szCs w:val="16"/>
              </w:rPr>
            </w:pPr>
            <w:r w:rsidRPr="005F5BEA">
              <w:rPr>
                <w:rFonts w:ascii="Arial Narrow" w:eastAsia="Arial Narrow" w:hAnsi="Arial Narrow" w:cs="Arial Narrow"/>
                <w:sz w:val="16"/>
                <w:szCs w:val="16"/>
              </w:rPr>
              <w:t>NA</w:t>
            </w:r>
          </w:p>
        </w:tc>
      </w:tr>
      <w:tr w:rsidR="11AFB54D" w:rsidRPr="005F5BEA" w14:paraId="12E9D24E" w14:textId="77777777" w:rsidTr="008D3FF0">
        <w:trPr>
          <w:trHeight w:val="300"/>
        </w:trPr>
        <w:tc>
          <w:tcPr>
            <w:tcW w:w="13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A9C694" w14:textId="1B3DC6C0" w:rsidR="11AFB54D" w:rsidRPr="00461D0D" w:rsidRDefault="11AFB54D" w:rsidP="11AFB54D">
            <w:pPr>
              <w:spacing w:before="20" w:after="20"/>
              <w:rPr>
                <w:rFonts w:ascii="Arial Narrow" w:eastAsia="Arial Narrow" w:hAnsi="Arial Narrow" w:cs="Arial Narrow"/>
                <w:b/>
                <w:bCs/>
                <w:sz w:val="16"/>
                <w:szCs w:val="16"/>
              </w:rPr>
            </w:pPr>
            <w:r w:rsidRPr="00461D0D">
              <w:rPr>
                <w:rFonts w:ascii="Arial Narrow" w:eastAsia="Arial Narrow" w:hAnsi="Arial Narrow" w:cs="Arial Narrow"/>
                <w:b/>
                <w:bCs/>
                <w:sz w:val="16"/>
                <w:szCs w:val="16"/>
              </w:rPr>
              <w:t>Total costs</w:t>
            </w:r>
          </w:p>
        </w:tc>
        <w:tc>
          <w:tcPr>
            <w:tcW w:w="15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CE1C19" w14:textId="41A966CA" w:rsidR="11AFB54D" w:rsidRPr="00461D0D" w:rsidRDefault="11AFB54D" w:rsidP="11AFB54D">
            <w:pPr>
              <w:spacing w:before="20" w:after="20"/>
              <w:rPr>
                <w:rFonts w:ascii="Arial Narrow" w:eastAsia="Arial Narrow" w:hAnsi="Arial Narrow" w:cs="Arial Narrow"/>
                <w:sz w:val="16"/>
                <w:szCs w:val="16"/>
              </w:rPr>
            </w:pPr>
            <w:r w:rsidRPr="00461D0D">
              <w:rPr>
                <w:rFonts w:ascii="Arial Narrow" w:eastAsia="Arial Narrow" w:hAnsi="Arial Narrow" w:cs="Arial Narrow"/>
                <w:sz w:val="16"/>
                <w:szCs w:val="16"/>
              </w:rPr>
              <w:t>$73,275,912</w:t>
            </w:r>
          </w:p>
        </w:tc>
        <w:tc>
          <w:tcPr>
            <w:tcW w:w="15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E8443F" w14:textId="4BDBC34C" w:rsidR="11AFB54D" w:rsidRPr="00461D0D" w:rsidRDefault="11AFB54D" w:rsidP="11AFB54D">
            <w:pPr>
              <w:spacing w:before="20" w:after="20"/>
              <w:rPr>
                <w:rFonts w:ascii="Arial Narrow" w:eastAsia="Arial Narrow" w:hAnsi="Arial Narrow" w:cs="Arial Narrow"/>
                <w:sz w:val="16"/>
                <w:szCs w:val="16"/>
              </w:rPr>
            </w:pPr>
            <w:r w:rsidRPr="00461D0D">
              <w:rPr>
                <w:rFonts w:ascii="Arial Narrow" w:eastAsia="Arial Narrow" w:hAnsi="Arial Narrow" w:cs="Arial Narrow"/>
                <w:sz w:val="16"/>
                <w:szCs w:val="16"/>
              </w:rPr>
              <w:t>$79,855,322</w:t>
            </w:r>
          </w:p>
        </w:tc>
        <w:tc>
          <w:tcPr>
            <w:tcW w:w="15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7A30AF" w14:textId="5ADD8D8A" w:rsidR="11AFB54D" w:rsidRPr="00461D0D" w:rsidRDefault="11AFB54D" w:rsidP="11AFB54D">
            <w:pPr>
              <w:spacing w:before="20" w:after="20"/>
              <w:rPr>
                <w:rFonts w:ascii="Arial Narrow" w:eastAsia="Arial Narrow" w:hAnsi="Arial Narrow" w:cs="Arial Narrow"/>
                <w:sz w:val="16"/>
                <w:szCs w:val="16"/>
              </w:rPr>
            </w:pPr>
            <w:r w:rsidRPr="00461D0D">
              <w:rPr>
                <w:rFonts w:ascii="Arial Narrow" w:eastAsia="Arial Narrow" w:hAnsi="Arial Narrow" w:cs="Arial Narrow"/>
                <w:sz w:val="16"/>
                <w:szCs w:val="16"/>
              </w:rPr>
              <w:t>$86,933,257</w:t>
            </w:r>
          </w:p>
        </w:tc>
        <w:tc>
          <w:tcPr>
            <w:tcW w:w="15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A2226D" w14:textId="7077CCBC" w:rsidR="11AFB54D" w:rsidRPr="00461D0D" w:rsidRDefault="11AFB54D" w:rsidP="11AFB54D">
            <w:pPr>
              <w:spacing w:before="20" w:after="20"/>
              <w:rPr>
                <w:rFonts w:ascii="Arial Narrow" w:eastAsia="Arial Narrow" w:hAnsi="Arial Narrow" w:cs="Arial Narrow"/>
                <w:sz w:val="16"/>
                <w:szCs w:val="16"/>
              </w:rPr>
            </w:pPr>
            <w:r w:rsidRPr="00461D0D">
              <w:rPr>
                <w:rFonts w:ascii="Arial Narrow" w:eastAsia="Arial Narrow" w:hAnsi="Arial Narrow" w:cs="Arial Narrow"/>
                <w:sz w:val="16"/>
                <w:szCs w:val="16"/>
              </w:rPr>
              <w:t>$94,550,963</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86404D" w14:textId="4E482A0B" w:rsidR="11AFB54D" w:rsidRPr="00461D0D" w:rsidRDefault="11AFB54D" w:rsidP="11AFB54D">
            <w:pPr>
              <w:spacing w:before="20" w:after="20"/>
              <w:rPr>
                <w:rFonts w:ascii="Arial Narrow" w:eastAsia="Arial Narrow" w:hAnsi="Arial Narrow" w:cs="Arial Narrow"/>
                <w:sz w:val="16"/>
                <w:szCs w:val="16"/>
              </w:rPr>
            </w:pPr>
            <w:r w:rsidRPr="00461D0D">
              <w:rPr>
                <w:rFonts w:ascii="Arial Narrow" w:eastAsia="Arial Narrow" w:hAnsi="Arial Narrow" w:cs="Arial Narrow"/>
                <w:sz w:val="16"/>
                <w:szCs w:val="16"/>
              </w:rPr>
              <w:t>NA</w:t>
            </w:r>
          </w:p>
        </w:tc>
      </w:tr>
      <w:tr w:rsidR="11AFB54D" w:rsidRPr="005F5BEA" w14:paraId="332F77E6" w14:textId="77777777" w:rsidTr="008D3FF0">
        <w:trPr>
          <w:trHeight w:val="300"/>
        </w:trPr>
        <w:tc>
          <w:tcPr>
            <w:tcW w:w="9015"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94E661" w14:textId="272BBABE" w:rsidR="11AFB54D" w:rsidRPr="00461D0D" w:rsidRDefault="00B65735" w:rsidP="11AFB54D">
            <w:pPr>
              <w:spacing w:before="20" w:after="20"/>
              <w:rPr>
                <w:rFonts w:ascii="Arial Narrow" w:eastAsia="Arial Narrow" w:hAnsi="Arial Narrow" w:cs="Arial Narrow"/>
                <w:b/>
                <w:bCs/>
                <w:sz w:val="16"/>
                <w:szCs w:val="16"/>
                <w:vertAlign w:val="superscript"/>
                <w:lang w:val="en-US"/>
              </w:rPr>
            </w:pPr>
            <w:r w:rsidRPr="00461D0D">
              <w:rPr>
                <w:rFonts w:ascii="Arial Narrow" w:eastAsia="Arial Narrow" w:hAnsi="Arial Narrow" w:cs="Arial Narrow"/>
                <w:b/>
                <w:bCs/>
                <w:sz w:val="16"/>
                <w:szCs w:val="16"/>
                <w:lang w:val="en-US"/>
              </w:rPr>
              <w:t>Round 1 + Round 2 service volumes (8 weeks data)</w:t>
            </w:r>
            <w:r w:rsidRPr="00461D0D">
              <w:rPr>
                <w:rFonts w:ascii="Arial Narrow" w:eastAsia="Arial Narrow" w:hAnsi="Arial Narrow" w:cs="Arial Narrow"/>
                <w:b/>
                <w:bCs/>
                <w:sz w:val="16"/>
                <w:szCs w:val="16"/>
                <w:vertAlign w:val="superscript"/>
                <w:lang w:val="en-US"/>
              </w:rPr>
              <w:t xml:space="preserve"> a</w:t>
            </w:r>
            <w:r w:rsidRPr="00461D0D">
              <w:rPr>
                <w:rFonts w:ascii="Arial Narrow" w:eastAsia="Arial Narrow" w:hAnsi="Arial Narrow" w:cs="Arial Narrow"/>
                <w:b/>
                <w:bCs/>
                <w:sz w:val="16"/>
                <w:szCs w:val="16"/>
                <w:lang w:val="en-US"/>
              </w:rPr>
              <w:t xml:space="preserve"> </w:t>
            </w:r>
            <w:r w:rsidR="11AFB54D" w:rsidRPr="00461D0D">
              <w:rPr>
                <w:rFonts w:ascii="Arial Narrow" w:eastAsia="Arial Narrow" w:hAnsi="Arial Narrow" w:cs="Arial Narrow"/>
                <w:b/>
                <w:bCs/>
                <w:sz w:val="16"/>
                <w:szCs w:val="16"/>
                <w:lang w:val="en-US"/>
              </w:rPr>
              <w:t xml:space="preserve">and </w:t>
            </w:r>
            <w:r w:rsidR="00B67E23" w:rsidRPr="00461D0D">
              <w:rPr>
                <w:rFonts w:ascii="Arial Narrow" w:eastAsia="Arial Narrow" w:hAnsi="Arial Narrow" w:cs="Arial Narrow"/>
                <w:b/>
                <w:bCs/>
                <w:sz w:val="16"/>
                <w:szCs w:val="16"/>
                <w:lang w:val="en-US"/>
              </w:rPr>
              <w:t>updated</w:t>
            </w:r>
            <w:r w:rsidR="11AFB54D" w:rsidRPr="00461D0D">
              <w:rPr>
                <w:rFonts w:ascii="Arial Narrow" w:eastAsia="Arial Narrow" w:hAnsi="Arial Narrow" w:cs="Arial Narrow"/>
                <w:b/>
                <w:bCs/>
                <w:sz w:val="16"/>
                <w:szCs w:val="16"/>
                <w:lang w:val="en-US"/>
              </w:rPr>
              <w:t xml:space="preserve"> overhead </w:t>
            </w:r>
            <w:r w:rsidR="00DC3DD8" w:rsidRPr="00461D0D">
              <w:rPr>
                <w:rFonts w:ascii="Arial Narrow" w:eastAsia="Arial Narrow" w:hAnsi="Arial Narrow" w:cs="Arial Narrow"/>
                <w:b/>
                <w:bCs/>
                <w:sz w:val="16"/>
                <w:szCs w:val="16"/>
                <w:lang w:val="en-US"/>
              </w:rPr>
              <w:t>c</w:t>
            </w:r>
            <w:r w:rsidR="00B861E9" w:rsidRPr="00461D0D">
              <w:rPr>
                <w:rFonts w:ascii="Arial Narrow" w:eastAsia="Arial Narrow" w:hAnsi="Arial Narrow" w:cs="Arial Narrow"/>
                <w:b/>
                <w:bCs/>
                <w:sz w:val="16"/>
                <w:szCs w:val="16"/>
                <w:lang w:val="en-US"/>
              </w:rPr>
              <w:t>ost</w:t>
            </w:r>
            <w:r w:rsidR="00DC3DD8" w:rsidRPr="00461D0D">
              <w:rPr>
                <w:rFonts w:ascii="Arial Narrow" w:eastAsia="Arial Narrow" w:hAnsi="Arial Narrow" w:cs="Arial Narrow"/>
                <w:b/>
                <w:bCs/>
                <w:sz w:val="16"/>
                <w:szCs w:val="16"/>
                <w:lang w:val="en-US"/>
              </w:rPr>
              <w:t>s</w:t>
            </w:r>
            <w:r w:rsidR="001C4979" w:rsidRPr="00461D0D">
              <w:rPr>
                <w:rFonts w:ascii="Arial Narrow" w:eastAsia="Arial Narrow" w:hAnsi="Arial Narrow" w:cs="Arial Narrow"/>
                <w:b/>
                <w:bCs/>
                <w:sz w:val="16"/>
                <w:szCs w:val="16"/>
                <w:lang w:val="en-US"/>
              </w:rPr>
              <w:t xml:space="preserve"> </w:t>
            </w:r>
            <w:r w:rsidR="00D66588" w:rsidRPr="00461D0D">
              <w:rPr>
                <w:rFonts w:ascii="Arial Narrow" w:eastAsia="Arial Narrow" w:hAnsi="Arial Narrow" w:cs="Arial Narrow"/>
                <w:b/>
                <w:bCs/>
                <w:sz w:val="16"/>
                <w:szCs w:val="16"/>
                <w:vertAlign w:val="superscript"/>
                <w:lang w:val="en-US"/>
              </w:rPr>
              <w:t>b</w:t>
            </w:r>
          </w:p>
        </w:tc>
      </w:tr>
      <w:tr w:rsidR="11AFB54D" w:rsidRPr="005F5BEA" w14:paraId="5AF1D5F6" w14:textId="77777777" w:rsidTr="008D3FF0">
        <w:trPr>
          <w:trHeight w:val="300"/>
        </w:trPr>
        <w:tc>
          <w:tcPr>
            <w:tcW w:w="13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B0E3EA" w14:textId="5FC7CF37" w:rsidR="11AFB54D" w:rsidRPr="00461D0D" w:rsidRDefault="11AFB54D" w:rsidP="11AFB54D">
            <w:pPr>
              <w:spacing w:before="20" w:after="20"/>
              <w:rPr>
                <w:rFonts w:ascii="Arial Narrow" w:eastAsia="Arial Narrow" w:hAnsi="Arial Narrow" w:cs="Arial Narrow"/>
                <w:b/>
                <w:bCs/>
                <w:sz w:val="16"/>
                <w:szCs w:val="16"/>
              </w:rPr>
            </w:pPr>
            <w:r w:rsidRPr="00461D0D">
              <w:rPr>
                <w:rFonts w:ascii="Arial Narrow" w:eastAsia="Arial Narrow" w:hAnsi="Arial Narrow" w:cs="Arial Narrow"/>
                <w:b/>
                <w:bCs/>
                <w:sz w:val="16"/>
                <w:szCs w:val="16"/>
              </w:rPr>
              <w:t>Total services</w:t>
            </w:r>
          </w:p>
        </w:tc>
        <w:tc>
          <w:tcPr>
            <w:tcW w:w="1534" w:type="dxa"/>
            <w:tcBorders>
              <w:top w:val="nil"/>
              <w:left w:val="single" w:sz="8" w:space="0" w:color="auto"/>
              <w:bottom w:val="single" w:sz="8" w:space="0" w:color="auto"/>
              <w:right w:val="single" w:sz="8" w:space="0" w:color="auto"/>
            </w:tcBorders>
            <w:tcMar>
              <w:left w:w="108" w:type="dxa"/>
              <w:right w:w="108" w:type="dxa"/>
            </w:tcMar>
            <w:vAlign w:val="center"/>
          </w:tcPr>
          <w:p w14:paraId="7BF43FF0" w14:textId="56388021" w:rsidR="11AFB54D" w:rsidRPr="00461D0D" w:rsidRDefault="11AFB54D" w:rsidP="11AFB54D">
            <w:pPr>
              <w:spacing w:before="20" w:after="20"/>
              <w:rPr>
                <w:rFonts w:ascii="Arial Narrow" w:eastAsia="Arial Narrow" w:hAnsi="Arial Narrow" w:cs="Arial Narrow"/>
                <w:sz w:val="16"/>
                <w:szCs w:val="16"/>
              </w:rPr>
            </w:pPr>
            <w:r w:rsidRPr="00461D0D">
              <w:rPr>
                <w:rFonts w:ascii="Arial Narrow" w:eastAsia="Arial Narrow" w:hAnsi="Arial Narrow" w:cs="Arial Narrow"/>
                <w:sz w:val="16"/>
                <w:szCs w:val="16"/>
              </w:rPr>
              <w:t>761,281</w:t>
            </w:r>
          </w:p>
        </w:tc>
        <w:tc>
          <w:tcPr>
            <w:tcW w:w="1534" w:type="dxa"/>
            <w:tcBorders>
              <w:top w:val="nil"/>
              <w:left w:val="single" w:sz="8" w:space="0" w:color="auto"/>
              <w:bottom w:val="single" w:sz="8" w:space="0" w:color="auto"/>
              <w:right w:val="single" w:sz="8" w:space="0" w:color="auto"/>
            </w:tcBorders>
            <w:tcMar>
              <w:left w:w="108" w:type="dxa"/>
              <w:right w:w="108" w:type="dxa"/>
            </w:tcMar>
            <w:vAlign w:val="center"/>
          </w:tcPr>
          <w:p w14:paraId="20667E84" w14:textId="1F83C9E3" w:rsidR="11AFB54D" w:rsidRPr="00461D0D" w:rsidRDefault="11AFB54D" w:rsidP="11AFB54D">
            <w:pPr>
              <w:spacing w:before="20" w:after="20"/>
              <w:rPr>
                <w:rFonts w:ascii="Arial Narrow" w:eastAsia="Arial Narrow" w:hAnsi="Arial Narrow" w:cs="Arial Narrow"/>
                <w:sz w:val="16"/>
                <w:szCs w:val="16"/>
              </w:rPr>
            </w:pPr>
            <w:r w:rsidRPr="00461D0D">
              <w:rPr>
                <w:rFonts w:ascii="Arial Narrow" w:eastAsia="Arial Narrow" w:hAnsi="Arial Narrow" w:cs="Arial Narrow"/>
                <w:sz w:val="16"/>
                <w:szCs w:val="16"/>
              </w:rPr>
              <w:t>814,571</w:t>
            </w:r>
          </w:p>
        </w:tc>
        <w:tc>
          <w:tcPr>
            <w:tcW w:w="1534" w:type="dxa"/>
            <w:tcBorders>
              <w:top w:val="nil"/>
              <w:left w:val="single" w:sz="8" w:space="0" w:color="auto"/>
              <w:bottom w:val="single" w:sz="8" w:space="0" w:color="auto"/>
              <w:right w:val="single" w:sz="8" w:space="0" w:color="auto"/>
            </w:tcBorders>
            <w:tcMar>
              <w:left w:w="108" w:type="dxa"/>
              <w:right w:w="108" w:type="dxa"/>
            </w:tcMar>
            <w:vAlign w:val="center"/>
          </w:tcPr>
          <w:p w14:paraId="4837710B" w14:textId="262819A3" w:rsidR="11AFB54D" w:rsidRPr="00461D0D" w:rsidRDefault="11AFB54D" w:rsidP="11AFB54D">
            <w:pPr>
              <w:spacing w:before="20" w:after="20"/>
              <w:rPr>
                <w:rFonts w:ascii="Arial Narrow" w:eastAsia="Arial Narrow" w:hAnsi="Arial Narrow" w:cs="Arial Narrow"/>
                <w:sz w:val="16"/>
                <w:szCs w:val="16"/>
              </w:rPr>
            </w:pPr>
            <w:r w:rsidRPr="00461D0D">
              <w:rPr>
                <w:rFonts w:ascii="Arial Narrow" w:eastAsia="Arial Narrow" w:hAnsi="Arial Narrow" w:cs="Arial Narrow"/>
                <w:sz w:val="16"/>
                <w:szCs w:val="16"/>
              </w:rPr>
              <w:t>871,591</w:t>
            </w:r>
          </w:p>
        </w:tc>
        <w:tc>
          <w:tcPr>
            <w:tcW w:w="1534" w:type="dxa"/>
            <w:tcBorders>
              <w:top w:val="nil"/>
              <w:left w:val="single" w:sz="8" w:space="0" w:color="auto"/>
              <w:bottom w:val="single" w:sz="8" w:space="0" w:color="auto"/>
              <w:right w:val="single" w:sz="8" w:space="0" w:color="auto"/>
            </w:tcBorders>
            <w:tcMar>
              <w:left w:w="108" w:type="dxa"/>
              <w:right w:w="108" w:type="dxa"/>
            </w:tcMar>
            <w:vAlign w:val="center"/>
          </w:tcPr>
          <w:p w14:paraId="40A2FACC" w14:textId="275B7910" w:rsidR="11AFB54D" w:rsidRPr="00461D0D" w:rsidRDefault="11AFB54D" w:rsidP="11AFB54D">
            <w:pPr>
              <w:spacing w:before="20" w:after="20"/>
              <w:rPr>
                <w:rFonts w:ascii="Arial Narrow" w:eastAsia="Arial Narrow" w:hAnsi="Arial Narrow" w:cs="Arial Narrow"/>
                <w:sz w:val="16"/>
                <w:szCs w:val="16"/>
              </w:rPr>
            </w:pPr>
            <w:r w:rsidRPr="00461D0D">
              <w:rPr>
                <w:rFonts w:ascii="Arial Narrow" w:eastAsia="Arial Narrow" w:hAnsi="Arial Narrow" w:cs="Arial Narrow"/>
                <w:sz w:val="16"/>
                <w:szCs w:val="16"/>
              </w:rPr>
              <w:t>932,602</w:t>
            </w:r>
          </w:p>
        </w:tc>
        <w:tc>
          <w:tcPr>
            <w:tcW w:w="1560" w:type="dxa"/>
            <w:tcBorders>
              <w:top w:val="nil"/>
              <w:left w:val="single" w:sz="8" w:space="0" w:color="auto"/>
              <w:bottom w:val="single" w:sz="8" w:space="0" w:color="auto"/>
              <w:right w:val="single" w:sz="8" w:space="0" w:color="auto"/>
            </w:tcBorders>
            <w:tcMar>
              <w:left w:w="108" w:type="dxa"/>
              <w:right w:w="108" w:type="dxa"/>
            </w:tcMar>
            <w:vAlign w:val="center"/>
          </w:tcPr>
          <w:p w14:paraId="5D640B8D" w14:textId="358DDE81" w:rsidR="11AFB54D" w:rsidRPr="00461D0D" w:rsidRDefault="11AFB54D" w:rsidP="11AFB54D">
            <w:pPr>
              <w:spacing w:before="20" w:after="20"/>
              <w:rPr>
                <w:rFonts w:ascii="Arial Narrow" w:eastAsia="Arial Narrow" w:hAnsi="Arial Narrow" w:cs="Arial Narrow"/>
                <w:sz w:val="16"/>
                <w:szCs w:val="16"/>
              </w:rPr>
            </w:pPr>
            <w:r w:rsidRPr="00461D0D">
              <w:rPr>
                <w:rFonts w:ascii="Arial Narrow" w:eastAsia="Arial Narrow" w:hAnsi="Arial Narrow" w:cs="Arial Narrow"/>
                <w:sz w:val="16"/>
                <w:szCs w:val="16"/>
              </w:rPr>
              <w:t>9.2%</w:t>
            </w:r>
          </w:p>
        </w:tc>
      </w:tr>
      <w:tr w:rsidR="11AFB54D" w:rsidRPr="005F5BEA" w14:paraId="65FB3418" w14:textId="77777777" w:rsidTr="008D3FF0">
        <w:trPr>
          <w:trHeight w:val="300"/>
        </w:trPr>
        <w:tc>
          <w:tcPr>
            <w:tcW w:w="13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427F2" w14:textId="3F9500CD" w:rsidR="11AFB54D" w:rsidRPr="00461D0D" w:rsidRDefault="11AFB54D" w:rsidP="11AFB54D">
            <w:pPr>
              <w:spacing w:before="20" w:after="20"/>
              <w:rPr>
                <w:rFonts w:ascii="Arial Narrow" w:eastAsia="Arial Narrow" w:hAnsi="Arial Narrow" w:cs="Arial Narrow"/>
                <w:b/>
                <w:bCs/>
                <w:sz w:val="16"/>
                <w:szCs w:val="16"/>
              </w:rPr>
            </w:pPr>
            <w:r w:rsidRPr="00461D0D">
              <w:rPr>
                <w:rFonts w:ascii="Arial Narrow" w:eastAsia="Arial Narrow" w:hAnsi="Arial Narrow" w:cs="Arial Narrow"/>
                <w:b/>
                <w:bCs/>
                <w:sz w:val="16"/>
                <w:szCs w:val="16"/>
              </w:rPr>
              <w:t>Total costs</w:t>
            </w:r>
          </w:p>
        </w:tc>
        <w:tc>
          <w:tcPr>
            <w:tcW w:w="15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7C4824" w14:textId="21A41A9E" w:rsidR="11AFB54D" w:rsidRPr="00461D0D" w:rsidRDefault="11AFB54D" w:rsidP="11AFB54D">
            <w:pPr>
              <w:spacing w:before="20" w:after="20"/>
              <w:rPr>
                <w:rFonts w:ascii="Arial Narrow" w:eastAsia="Arial Narrow" w:hAnsi="Arial Narrow" w:cs="Arial Narrow"/>
                <w:sz w:val="16"/>
                <w:szCs w:val="16"/>
              </w:rPr>
            </w:pPr>
            <w:r w:rsidRPr="00461D0D">
              <w:rPr>
                <w:rFonts w:ascii="Arial Narrow" w:eastAsia="Arial Narrow" w:hAnsi="Arial Narrow" w:cs="Arial Narrow"/>
                <w:sz w:val="16"/>
                <w:szCs w:val="16"/>
              </w:rPr>
              <w:t>$91,269,603</w:t>
            </w:r>
          </w:p>
        </w:tc>
        <w:tc>
          <w:tcPr>
            <w:tcW w:w="15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A1DE6A" w14:textId="04DABC5A" w:rsidR="11AFB54D" w:rsidRPr="00461D0D" w:rsidRDefault="11AFB54D" w:rsidP="11AFB54D">
            <w:pPr>
              <w:spacing w:before="20" w:after="20"/>
              <w:rPr>
                <w:rFonts w:ascii="Arial Narrow" w:eastAsia="Arial Narrow" w:hAnsi="Arial Narrow" w:cs="Arial Narrow"/>
                <w:sz w:val="16"/>
                <w:szCs w:val="16"/>
              </w:rPr>
            </w:pPr>
            <w:r w:rsidRPr="00461D0D">
              <w:rPr>
                <w:rFonts w:ascii="Arial Narrow" w:eastAsia="Arial Narrow" w:hAnsi="Arial Narrow" w:cs="Arial Narrow"/>
                <w:sz w:val="16"/>
                <w:szCs w:val="16"/>
              </w:rPr>
              <w:t>$98,579,816</w:t>
            </w:r>
          </w:p>
        </w:tc>
        <w:tc>
          <w:tcPr>
            <w:tcW w:w="15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D342F8" w14:textId="237A1B6B" w:rsidR="11AFB54D" w:rsidRPr="00461D0D" w:rsidRDefault="11AFB54D" w:rsidP="11AFB54D">
            <w:pPr>
              <w:spacing w:before="20" w:after="20"/>
              <w:rPr>
                <w:rFonts w:ascii="Arial Narrow" w:eastAsia="Arial Narrow" w:hAnsi="Arial Narrow" w:cs="Arial Narrow"/>
                <w:sz w:val="16"/>
                <w:szCs w:val="16"/>
              </w:rPr>
            </w:pPr>
            <w:r w:rsidRPr="00461D0D">
              <w:rPr>
                <w:rFonts w:ascii="Arial Narrow" w:eastAsia="Arial Narrow" w:hAnsi="Arial Narrow" w:cs="Arial Narrow"/>
                <w:sz w:val="16"/>
                <w:szCs w:val="16"/>
              </w:rPr>
              <w:t>$106,383,556</w:t>
            </w:r>
          </w:p>
        </w:tc>
        <w:tc>
          <w:tcPr>
            <w:tcW w:w="15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A0875F" w14:textId="13872111" w:rsidR="11AFB54D" w:rsidRPr="00461D0D" w:rsidRDefault="11AFB54D" w:rsidP="11AFB54D">
            <w:pPr>
              <w:spacing w:before="20" w:after="20"/>
              <w:rPr>
                <w:rFonts w:ascii="Arial Narrow" w:eastAsia="Arial Narrow" w:hAnsi="Arial Narrow" w:cs="Arial Narrow"/>
                <w:sz w:val="16"/>
                <w:szCs w:val="16"/>
              </w:rPr>
            </w:pPr>
            <w:r w:rsidRPr="00461D0D">
              <w:rPr>
                <w:rFonts w:ascii="Arial Narrow" w:eastAsia="Arial Narrow" w:hAnsi="Arial Narrow" w:cs="Arial Narrow"/>
                <w:sz w:val="16"/>
                <w:szCs w:val="16"/>
              </w:rPr>
              <w:t>$114,720,227</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29D8C6" w14:textId="6448C3D2" w:rsidR="11AFB54D" w:rsidRPr="00461D0D" w:rsidRDefault="11AFB54D" w:rsidP="11AFB54D">
            <w:pPr>
              <w:spacing w:before="20" w:after="20"/>
              <w:rPr>
                <w:rFonts w:ascii="Arial Narrow" w:eastAsia="Arial Narrow" w:hAnsi="Arial Narrow" w:cs="Arial Narrow"/>
                <w:sz w:val="16"/>
                <w:szCs w:val="16"/>
              </w:rPr>
            </w:pPr>
            <w:r w:rsidRPr="00461D0D">
              <w:rPr>
                <w:rFonts w:ascii="Arial Narrow" w:eastAsia="Arial Narrow" w:hAnsi="Arial Narrow" w:cs="Arial Narrow"/>
                <w:sz w:val="16"/>
                <w:szCs w:val="16"/>
              </w:rPr>
              <w:t>24.6%</w:t>
            </w:r>
          </w:p>
        </w:tc>
      </w:tr>
      <w:tr w:rsidR="11AFB54D" w:rsidRPr="005F5BEA" w14:paraId="22C1463C" w14:textId="77777777" w:rsidTr="008D3FF0">
        <w:trPr>
          <w:trHeight w:val="300"/>
        </w:trPr>
        <w:tc>
          <w:tcPr>
            <w:tcW w:w="9015"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344516" w14:textId="70EE0C45" w:rsidR="11AFB54D" w:rsidRPr="00461D0D" w:rsidRDefault="11AFB54D" w:rsidP="11AFB54D">
            <w:pPr>
              <w:spacing w:before="20" w:after="20"/>
              <w:rPr>
                <w:rFonts w:ascii="Arial Narrow" w:eastAsia="Arial Narrow" w:hAnsi="Arial Narrow" w:cs="Arial Narrow"/>
                <w:b/>
                <w:bCs/>
                <w:sz w:val="16"/>
                <w:szCs w:val="16"/>
                <w:vertAlign w:val="superscript"/>
                <w:lang w:val="en-US"/>
              </w:rPr>
            </w:pPr>
            <w:r w:rsidRPr="00461D0D">
              <w:rPr>
                <w:rFonts w:ascii="Arial Narrow" w:eastAsia="Arial Narrow" w:hAnsi="Arial Narrow" w:cs="Arial Narrow"/>
                <w:b/>
                <w:bCs/>
                <w:sz w:val="16"/>
                <w:szCs w:val="16"/>
                <w:lang w:val="en-US"/>
              </w:rPr>
              <w:t xml:space="preserve">Round 1 + Round 2 </w:t>
            </w:r>
            <w:r w:rsidR="00B67E23" w:rsidRPr="00461D0D">
              <w:rPr>
                <w:rFonts w:ascii="Arial Narrow" w:eastAsia="Arial Narrow" w:hAnsi="Arial Narrow" w:cs="Arial Narrow"/>
                <w:b/>
                <w:bCs/>
                <w:sz w:val="16"/>
                <w:szCs w:val="16"/>
                <w:lang w:val="en-US"/>
              </w:rPr>
              <w:t>servic</w:t>
            </w:r>
            <w:r w:rsidR="007B1C20" w:rsidRPr="00461D0D">
              <w:rPr>
                <w:rFonts w:ascii="Arial Narrow" w:eastAsia="Arial Narrow" w:hAnsi="Arial Narrow" w:cs="Arial Narrow"/>
                <w:b/>
                <w:bCs/>
                <w:sz w:val="16"/>
                <w:szCs w:val="16"/>
                <w:lang w:val="en-US"/>
              </w:rPr>
              <w:t>e volumes</w:t>
            </w:r>
            <w:r w:rsidR="0007083C" w:rsidRPr="00461D0D">
              <w:rPr>
                <w:rFonts w:ascii="Arial Narrow" w:eastAsia="Arial Narrow" w:hAnsi="Arial Narrow" w:cs="Arial Narrow"/>
                <w:b/>
                <w:bCs/>
                <w:sz w:val="16"/>
                <w:szCs w:val="16"/>
                <w:lang w:val="en-US"/>
              </w:rPr>
              <w:t xml:space="preserve"> (</w:t>
            </w:r>
            <w:r w:rsidR="00CC57C0" w:rsidRPr="00461D0D">
              <w:rPr>
                <w:rFonts w:ascii="Arial Narrow" w:eastAsia="Arial Narrow" w:hAnsi="Arial Narrow" w:cs="Arial Narrow"/>
                <w:b/>
                <w:bCs/>
                <w:sz w:val="16"/>
                <w:szCs w:val="16"/>
                <w:lang w:val="en-US"/>
              </w:rPr>
              <w:t>8 weeks data)</w:t>
            </w:r>
            <w:r w:rsidRPr="00461D0D">
              <w:rPr>
                <w:rFonts w:ascii="Arial Narrow" w:eastAsia="Arial Narrow" w:hAnsi="Arial Narrow" w:cs="Arial Narrow"/>
                <w:b/>
                <w:bCs/>
                <w:sz w:val="16"/>
                <w:szCs w:val="16"/>
                <w:lang w:val="en-US"/>
              </w:rPr>
              <w:t xml:space="preserve"> </w:t>
            </w:r>
            <w:r w:rsidR="00190E66" w:rsidRPr="00461D0D">
              <w:rPr>
                <w:rFonts w:ascii="Arial Narrow" w:eastAsia="Arial Narrow" w:hAnsi="Arial Narrow" w:cs="Arial Narrow"/>
                <w:b/>
                <w:bCs/>
                <w:sz w:val="16"/>
                <w:szCs w:val="16"/>
                <w:vertAlign w:val="superscript"/>
                <w:lang w:val="en-US"/>
              </w:rPr>
              <w:t>a</w:t>
            </w:r>
            <w:r w:rsidR="00190E66" w:rsidRPr="00461D0D">
              <w:rPr>
                <w:rFonts w:ascii="Arial Narrow" w:eastAsia="Arial Narrow" w:hAnsi="Arial Narrow" w:cs="Arial Narrow"/>
                <w:b/>
                <w:bCs/>
                <w:sz w:val="16"/>
                <w:szCs w:val="16"/>
                <w:lang w:val="en-US"/>
              </w:rPr>
              <w:t xml:space="preserve"> </w:t>
            </w:r>
            <w:r w:rsidRPr="00461D0D">
              <w:rPr>
                <w:rFonts w:ascii="Arial Narrow" w:eastAsia="Arial Narrow" w:hAnsi="Arial Narrow" w:cs="Arial Narrow"/>
                <w:b/>
                <w:bCs/>
                <w:sz w:val="16"/>
                <w:szCs w:val="16"/>
                <w:lang w:val="en-US"/>
              </w:rPr>
              <w:t xml:space="preserve">and </w:t>
            </w:r>
            <w:r w:rsidR="00332816" w:rsidRPr="00461D0D">
              <w:rPr>
                <w:rFonts w:ascii="Arial Narrow" w:eastAsia="Arial Narrow" w:hAnsi="Arial Narrow" w:cs="Arial Narrow"/>
                <w:b/>
                <w:bCs/>
                <w:sz w:val="16"/>
                <w:szCs w:val="16"/>
                <w:lang w:val="en-US"/>
              </w:rPr>
              <w:t>updated</w:t>
            </w:r>
            <w:r w:rsidRPr="00461D0D">
              <w:rPr>
                <w:rFonts w:ascii="Arial Narrow" w:eastAsia="Arial Narrow" w:hAnsi="Arial Narrow" w:cs="Arial Narrow"/>
                <w:b/>
                <w:bCs/>
                <w:sz w:val="16"/>
                <w:szCs w:val="16"/>
                <w:lang w:val="en-US"/>
              </w:rPr>
              <w:t xml:space="preserve"> overhead cost</w:t>
            </w:r>
            <w:r w:rsidR="00B861E9" w:rsidRPr="00461D0D">
              <w:rPr>
                <w:rFonts w:ascii="Arial Narrow" w:eastAsia="Arial Narrow" w:hAnsi="Arial Narrow" w:cs="Arial Narrow"/>
                <w:b/>
                <w:bCs/>
                <w:sz w:val="16"/>
                <w:szCs w:val="16"/>
                <w:lang w:val="en-US"/>
              </w:rPr>
              <w:t>s</w:t>
            </w:r>
            <w:r w:rsidR="00DC3DD8" w:rsidRPr="00461D0D">
              <w:rPr>
                <w:rFonts w:ascii="Arial Narrow" w:eastAsia="Arial Narrow" w:hAnsi="Arial Narrow" w:cs="Arial Narrow"/>
                <w:b/>
                <w:bCs/>
                <w:sz w:val="16"/>
                <w:szCs w:val="16"/>
                <w:lang w:val="en-US"/>
              </w:rPr>
              <w:t xml:space="preserve"> </w:t>
            </w:r>
            <w:r w:rsidR="00B861E9" w:rsidRPr="00461D0D">
              <w:rPr>
                <w:rFonts w:ascii="Arial Narrow" w:eastAsia="Arial Narrow" w:hAnsi="Arial Narrow" w:cs="Arial Narrow"/>
                <w:b/>
                <w:bCs/>
                <w:sz w:val="16"/>
                <w:szCs w:val="16"/>
                <w:lang w:val="en-US"/>
              </w:rPr>
              <w:t>correct</w:t>
            </w:r>
            <w:r w:rsidR="00DC3DD8" w:rsidRPr="00461D0D">
              <w:rPr>
                <w:rFonts w:ascii="Arial Narrow" w:eastAsia="Arial Narrow" w:hAnsi="Arial Narrow" w:cs="Arial Narrow"/>
                <w:b/>
                <w:bCs/>
                <w:sz w:val="16"/>
                <w:szCs w:val="16"/>
                <w:lang w:val="en-US"/>
              </w:rPr>
              <w:t>ed</w:t>
            </w:r>
            <w:r w:rsidRPr="00461D0D">
              <w:rPr>
                <w:rFonts w:ascii="Arial Narrow" w:eastAsia="Arial Narrow" w:hAnsi="Arial Narrow" w:cs="Arial Narrow"/>
                <w:b/>
                <w:bCs/>
                <w:sz w:val="16"/>
                <w:szCs w:val="16"/>
                <w:lang w:val="en-US"/>
              </w:rPr>
              <w:t xml:space="preserve"> (updated base case</w:t>
            </w:r>
            <w:r w:rsidR="00DC3DD8" w:rsidRPr="00461D0D">
              <w:rPr>
                <w:rFonts w:ascii="Arial Narrow" w:eastAsia="Arial Narrow" w:hAnsi="Arial Narrow" w:cs="Arial Narrow"/>
                <w:b/>
                <w:bCs/>
                <w:sz w:val="16"/>
                <w:szCs w:val="16"/>
                <w:lang w:val="en-US"/>
              </w:rPr>
              <w:t>)</w:t>
            </w:r>
            <w:r w:rsidR="007F3CBC" w:rsidRPr="00461D0D">
              <w:rPr>
                <w:rFonts w:ascii="Arial Narrow" w:eastAsia="Arial Narrow" w:hAnsi="Arial Narrow" w:cs="Arial Narrow"/>
                <w:b/>
                <w:bCs/>
                <w:sz w:val="16"/>
                <w:szCs w:val="16"/>
                <w:lang w:val="en-US"/>
              </w:rPr>
              <w:t xml:space="preserve"> </w:t>
            </w:r>
            <w:r w:rsidR="007F3CBC" w:rsidRPr="00461D0D">
              <w:rPr>
                <w:rFonts w:ascii="Arial Narrow" w:eastAsia="Arial Narrow" w:hAnsi="Arial Narrow" w:cs="Arial Narrow"/>
                <w:b/>
                <w:bCs/>
                <w:sz w:val="16"/>
                <w:szCs w:val="16"/>
                <w:vertAlign w:val="superscript"/>
                <w:lang w:val="en-US"/>
              </w:rPr>
              <w:t>c</w:t>
            </w:r>
          </w:p>
        </w:tc>
      </w:tr>
      <w:tr w:rsidR="11AFB54D" w:rsidRPr="005F5BEA" w14:paraId="6AC48E5C" w14:textId="77777777" w:rsidTr="008D3FF0">
        <w:trPr>
          <w:trHeight w:val="300"/>
        </w:trPr>
        <w:tc>
          <w:tcPr>
            <w:tcW w:w="13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1C3095" w14:textId="391436CA" w:rsidR="11AFB54D" w:rsidRPr="00461D0D" w:rsidRDefault="11AFB54D" w:rsidP="11AFB54D">
            <w:pPr>
              <w:spacing w:before="20" w:after="20"/>
              <w:rPr>
                <w:rFonts w:ascii="Arial Narrow" w:eastAsia="Arial Narrow" w:hAnsi="Arial Narrow" w:cs="Arial Narrow"/>
                <w:b/>
                <w:bCs/>
                <w:sz w:val="16"/>
                <w:szCs w:val="16"/>
                <w:lang w:val="en-US"/>
              </w:rPr>
            </w:pPr>
            <w:r w:rsidRPr="00461D0D">
              <w:rPr>
                <w:rFonts w:ascii="Arial Narrow" w:eastAsia="Arial Narrow" w:hAnsi="Arial Narrow" w:cs="Arial Narrow"/>
                <w:b/>
                <w:bCs/>
                <w:sz w:val="16"/>
                <w:szCs w:val="16"/>
                <w:lang w:val="en-US"/>
              </w:rPr>
              <w:t>Updated overhead costs</w:t>
            </w:r>
          </w:p>
        </w:tc>
        <w:tc>
          <w:tcPr>
            <w:tcW w:w="1534" w:type="dxa"/>
            <w:tcBorders>
              <w:top w:val="nil"/>
              <w:left w:val="single" w:sz="8" w:space="0" w:color="auto"/>
              <w:bottom w:val="single" w:sz="8" w:space="0" w:color="auto"/>
              <w:right w:val="single" w:sz="8" w:space="0" w:color="auto"/>
            </w:tcBorders>
            <w:tcMar>
              <w:left w:w="108" w:type="dxa"/>
              <w:right w:w="108" w:type="dxa"/>
            </w:tcMar>
            <w:vAlign w:val="center"/>
          </w:tcPr>
          <w:p w14:paraId="1D97ADB4" w14:textId="16D83A08" w:rsidR="11AFB54D" w:rsidRPr="00461D0D" w:rsidRDefault="11AFB54D" w:rsidP="11AFB54D">
            <w:pPr>
              <w:spacing w:before="20" w:after="20"/>
              <w:rPr>
                <w:rFonts w:ascii="Arial Narrow" w:eastAsia="Arial Narrow" w:hAnsi="Arial Narrow" w:cs="Arial Narrow"/>
                <w:color w:val="000000" w:themeColor="text1"/>
                <w:sz w:val="16"/>
                <w:szCs w:val="16"/>
                <w:lang w:val="en-US"/>
              </w:rPr>
            </w:pPr>
            <w:r w:rsidRPr="00461D0D">
              <w:rPr>
                <w:rFonts w:ascii="Arial Narrow" w:eastAsia="Arial Narrow" w:hAnsi="Arial Narrow" w:cs="Arial Narrow"/>
                <w:color w:val="000000" w:themeColor="text1"/>
                <w:sz w:val="16"/>
                <w:szCs w:val="16"/>
                <w:lang w:val="en-US"/>
              </w:rPr>
              <w:t>$31,017,034</w:t>
            </w:r>
          </w:p>
        </w:tc>
        <w:tc>
          <w:tcPr>
            <w:tcW w:w="1534" w:type="dxa"/>
            <w:tcBorders>
              <w:top w:val="nil"/>
              <w:left w:val="single" w:sz="8" w:space="0" w:color="auto"/>
              <w:bottom w:val="single" w:sz="8" w:space="0" w:color="auto"/>
              <w:right w:val="single" w:sz="8" w:space="0" w:color="auto"/>
            </w:tcBorders>
            <w:tcMar>
              <w:left w:w="108" w:type="dxa"/>
              <w:right w:w="108" w:type="dxa"/>
            </w:tcMar>
            <w:vAlign w:val="center"/>
          </w:tcPr>
          <w:p w14:paraId="159947B0" w14:textId="605FB499" w:rsidR="11AFB54D" w:rsidRPr="00461D0D" w:rsidRDefault="11AFB54D" w:rsidP="11AFB54D">
            <w:pPr>
              <w:spacing w:before="20" w:after="20"/>
              <w:rPr>
                <w:rFonts w:ascii="Arial Narrow" w:eastAsia="Arial Narrow" w:hAnsi="Arial Narrow" w:cs="Arial Narrow"/>
                <w:color w:val="000000" w:themeColor="text1"/>
                <w:sz w:val="16"/>
                <w:szCs w:val="16"/>
                <w:lang w:val="en-US"/>
              </w:rPr>
            </w:pPr>
            <w:r w:rsidRPr="00461D0D">
              <w:rPr>
                <w:rFonts w:ascii="Arial Narrow" w:eastAsia="Arial Narrow" w:hAnsi="Arial Narrow" w:cs="Arial Narrow"/>
                <w:color w:val="000000" w:themeColor="text1"/>
                <w:sz w:val="16"/>
                <w:szCs w:val="16"/>
                <w:lang w:val="en-US"/>
              </w:rPr>
              <w:t>$33,802,039</w:t>
            </w:r>
          </w:p>
        </w:tc>
        <w:tc>
          <w:tcPr>
            <w:tcW w:w="1534" w:type="dxa"/>
            <w:tcBorders>
              <w:top w:val="nil"/>
              <w:left w:val="single" w:sz="8" w:space="0" w:color="auto"/>
              <w:bottom w:val="single" w:sz="8" w:space="0" w:color="auto"/>
              <w:right w:val="single" w:sz="8" w:space="0" w:color="auto"/>
            </w:tcBorders>
            <w:tcMar>
              <w:left w:w="108" w:type="dxa"/>
              <w:right w:w="108" w:type="dxa"/>
            </w:tcMar>
            <w:vAlign w:val="center"/>
          </w:tcPr>
          <w:p w14:paraId="10F93BE6" w14:textId="7DCF1A89" w:rsidR="11AFB54D" w:rsidRPr="00461D0D" w:rsidRDefault="11AFB54D" w:rsidP="11AFB54D">
            <w:pPr>
              <w:spacing w:before="20" w:after="20"/>
              <w:rPr>
                <w:rFonts w:ascii="Arial Narrow" w:eastAsia="Arial Narrow" w:hAnsi="Arial Narrow" w:cs="Arial Narrow"/>
                <w:color w:val="000000" w:themeColor="text1"/>
                <w:sz w:val="16"/>
                <w:szCs w:val="16"/>
                <w:lang w:val="en-US"/>
              </w:rPr>
            </w:pPr>
            <w:r w:rsidRPr="00461D0D">
              <w:rPr>
                <w:rFonts w:ascii="Arial Narrow" w:eastAsia="Arial Narrow" w:hAnsi="Arial Narrow" w:cs="Arial Narrow"/>
                <w:color w:val="000000" w:themeColor="text1"/>
                <w:sz w:val="16"/>
                <w:szCs w:val="16"/>
                <w:lang w:val="en-US"/>
              </w:rPr>
              <w:t>$36,798,066</w:t>
            </w:r>
          </w:p>
        </w:tc>
        <w:tc>
          <w:tcPr>
            <w:tcW w:w="1534" w:type="dxa"/>
            <w:tcBorders>
              <w:top w:val="nil"/>
              <w:left w:val="single" w:sz="8" w:space="0" w:color="auto"/>
              <w:bottom w:val="single" w:sz="8" w:space="0" w:color="auto"/>
              <w:right w:val="single" w:sz="8" w:space="0" w:color="auto"/>
            </w:tcBorders>
            <w:tcMar>
              <w:left w:w="108" w:type="dxa"/>
              <w:right w:w="108" w:type="dxa"/>
            </w:tcMar>
            <w:vAlign w:val="center"/>
          </w:tcPr>
          <w:p w14:paraId="1975D534" w14:textId="07506F09" w:rsidR="11AFB54D" w:rsidRPr="00461D0D" w:rsidRDefault="11AFB54D" w:rsidP="11AFB54D">
            <w:pPr>
              <w:spacing w:before="20" w:after="20"/>
              <w:rPr>
                <w:rFonts w:ascii="Arial Narrow" w:eastAsia="Arial Narrow" w:hAnsi="Arial Narrow" w:cs="Arial Narrow"/>
                <w:color w:val="000000" w:themeColor="text1"/>
                <w:sz w:val="16"/>
                <w:szCs w:val="16"/>
                <w:lang w:val="en-US"/>
              </w:rPr>
            </w:pPr>
            <w:r w:rsidRPr="00461D0D">
              <w:rPr>
                <w:rFonts w:ascii="Arial Narrow" w:eastAsia="Arial Narrow" w:hAnsi="Arial Narrow" w:cs="Arial Narrow"/>
                <w:color w:val="000000" w:themeColor="text1"/>
                <w:sz w:val="16"/>
                <w:szCs w:val="16"/>
                <w:lang w:val="en-US"/>
              </w:rPr>
              <w:t>$40,022,572</w:t>
            </w:r>
          </w:p>
        </w:tc>
        <w:tc>
          <w:tcPr>
            <w:tcW w:w="1560" w:type="dxa"/>
            <w:tcBorders>
              <w:top w:val="nil"/>
              <w:left w:val="single" w:sz="8" w:space="0" w:color="auto"/>
              <w:bottom w:val="single" w:sz="8" w:space="0" w:color="auto"/>
              <w:right w:val="single" w:sz="8" w:space="0" w:color="auto"/>
            </w:tcBorders>
            <w:tcMar>
              <w:left w:w="108" w:type="dxa"/>
              <w:right w:w="108" w:type="dxa"/>
            </w:tcMar>
            <w:vAlign w:val="center"/>
          </w:tcPr>
          <w:p w14:paraId="265E0906" w14:textId="7E994046" w:rsidR="11AFB54D" w:rsidRPr="00461D0D" w:rsidRDefault="11AFB54D" w:rsidP="11AFB54D">
            <w:pPr>
              <w:spacing w:before="20" w:after="20"/>
              <w:rPr>
                <w:rFonts w:ascii="Arial Narrow" w:eastAsia="Arial Narrow" w:hAnsi="Arial Narrow" w:cs="Arial Narrow"/>
                <w:sz w:val="16"/>
                <w:szCs w:val="16"/>
                <w:lang w:val="en-US"/>
              </w:rPr>
            </w:pPr>
            <w:r w:rsidRPr="00461D0D">
              <w:rPr>
                <w:rFonts w:ascii="Arial Narrow" w:eastAsia="Arial Narrow" w:hAnsi="Arial Narrow" w:cs="Arial Narrow"/>
                <w:sz w:val="16"/>
                <w:szCs w:val="16"/>
                <w:lang w:val="en-US"/>
              </w:rPr>
              <w:t>NA</w:t>
            </w:r>
          </w:p>
        </w:tc>
      </w:tr>
      <w:tr w:rsidR="11AFB54D" w:rsidRPr="005F5BEA" w14:paraId="4613C41C" w14:textId="77777777" w:rsidTr="008D3FF0">
        <w:trPr>
          <w:trHeight w:val="300"/>
        </w:trPr>
        <w:tc>
          <w:tcPr>
            <w:tcW w:w="13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CC8A6D" w14:textId="2EB180CD" w:rsidR="11AFB54D" w:rsidRPr="00461D0D" w:rsidRDefault="11AFB54D" w:rsidP="11AFB54D">
            <w:pPr>
              <w:spacing w:before="20" w:after="20"/>
              <w:rPr>
                <w:rFonts w:ascii="Arial Narrow" w:eastAsia="Arial Narrow" w:hAnsi="Arial Narrow" w:cs="Arial Narrow"/>
                <w:b/>
                <w:bCs/>
                <w:sz w:val="16"/>
                <w:szCs w:val="16"/>
                <w:lang w:val="en-US"/>
              </w:rPr>
            </w:pPr>
            <w:r w:rsidRPr="00461D0D">
              <w:rPr>
                <w:rFonts w:ascii="Arial Narrow" w:eastAsia="Arial Narrow" w:hAnsi="Arial Narrow" w:cs="Arial Narrow"/>
                <w:b/>
                <w:bCs/>
                <w:sz w:val="16"/>
                <w:szCs w:val="16"/>
                <w:lang w:val="en-US"/>
              </w:rPr>
              <w:t>Total costs</w:t>
            </w:r>
          </w:p>
        </w:tc>
        <w:tc>
          <w:tcPr>
            <w:tcW w:w="15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E0895A" w14:textId="0B71E91B" w:rsidR="11AFB54D" w:rsidRPr="00461D0D" w:rsidRDefault="11AFB54D" w:rsidP="11AFB54D">
            <w:pPr>
              <w:spacing w:before="20" w:after="20"/>
              <w:rPr>
                <w:rFonts w:ascii="Arial Narrow" w:eastAsia="Arial Narrow" w:hAnsi="Arial Narrow" w:cs="Arial Narrow"/>
                <w:color w:val="000000" w:themeColor="text1"/>
                <w:sz w:val="16"/>
                <w:szCs w:val="16"/>
                <w:lang w:val="en-US"/>
              </w:rPr>
            </w:pPr>
            <w:r w:rsidRPr="00461D0D">
              <w:rPr>
                <w:rFonts w:ascii="Arial Narrow" w:eastAsia="Arial Narrow" w:hAnsi="Arial Narrow" w:cs="Arial Narrow"/>
                <w:color w:val="000000" w:themeColor="text1"/>
                <w:sz w:val="16"/>
                <w:szCs w:val="16"/>
                <w:lang w:val="en-US"/>
              </w:rPr>
              <w:t>$90,637,882</w:t>
            </w:r>
          </w:p>
        </w:tc>
        <w:tc>
          <w:tcPr>
            <w:tcW w:w="15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C55C52" w14:textId="7866422F" w:rsidR="11AFB54D" w:rsidRPr="00461D0D" w:rsidRDefault="11AFB54D" w:rsidP="11AFB54D">
            <w:pPr>
              <w:spacing w:before="20" w:after="20"/>
              <w:rPr>
                <w:rFonts w:ascii="Arial Narrow" w:eastAsia="Arial Narrow" w:hAnsi="Arial Narrow" w:cs="Arial Narrow"/>
                <w:color w:val="000000" w:themeColor="text1"/>
                <w:sz w:val="16"/>
                <w:szCs w:val="16"/>
                <w:lang w:val="en-US"/>
              </w:rPr>
            </w:pPr>
            <w:r w:rsidRPr="00461D0D">
              <w:rPr>
                <w:rFonts w:ascii="Arial Narrow" w:eastAsia="Arial Narrow" w:hAnsi="Arial Narrow" w:cs="Arial Narrow"/>
                <w:color w:val="000000" w:themeColor="text1"/>
                <w:sz w:val="16"/>
                <w:szCs w:val="16"/>
                <w:lang w:val="en-US"/>
              </w:rPr>
              <w:t>$97,891,373</w:t>
            </w:r>
          </w:p>
        </w:tc>
        <w:tc>
          <w:tcPr>
            <w:tcW w:w="15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25F2A7" w14:textId="3E720697" w:rsidR="11AFB54D" w:rsidRPr="00461D0D" w:rsidRDefault="11AFB54D" w:rsidP="11AFB54D">
            <w:pPr>
              <w:spacing w:before="20" w:after="20"/>
              <w:rPr>
                <w:rFonts w:ascii="Arial Narrow" w:eastAsia="Arial Narrow" w:hAnsi="Arial Narrow" w:cs="Arial Narrow"/>
                <w:color w:val="000000" w:themeColor="text1"/>
                <w:sz w:val="16"/>
                <w:szCs w:val="16"/>
                <w:lang w:val="en-US"/>
              </w:rPr>
            </w:pPr>
            <w:r w:rsidRPr="00461D0D">
              <w:rPr>
                <w:rFonts w:ascii="Arial Narrow" w:eastAsia="Arial Narrow" w:hAnsi="Arial Narrow" w:cs="Arial Narrow"/>
                <w:color w:val="000000" w:themeColor="text1"/>
                <w:sz w:val="16"/>
                <w:szCs w:val="16"/>
                <w:lang w:val="en-US"/>
              </w:rPr>
              <w:t>$105,634,093</w:t>
            </w:r>
          </w:p>
        </w:tc>
        <w:tc>
          <w:tcPr>
            <w:tcW w:w="15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E7A5A7" w14:textId="3D087A52" w:rsidR="11AFB54D" w:rsidRPr="00461D0D" w:rsidRDefault="11AFB54D" w:rsidP="11AFB54D">
            <w:pPr>
              <w:spacing w:before="20" w:after="20"/>
              <w:rPr>
                <w:rFonts w:ascii="Arial Narrow" w:eastAsia="Arial Narrow" w:hAnsi="Arial Narrow" w:cs="Arial Narrow"/>
                <w:color w:val="000000" w:themeColor="text1"/>
                <w:sz w:val="16"/>
                <w:szCs w:val="16"/>
                <w:lang w:val="en-US"/>
              </w:rPr>
            </w:pPr>
            <w:r w:rsidRPr="00461D0D">
              <w:rPr>
                <w:rFonts w:ascii="Arial Narrow" w:eastAsia="Arial Narrow" w:hAnsi="Arial Narrow" w:cs="Arial Narrow"/>
                <w:color w:val="000000" w:themeColor="text1"/>
                <w:sz w:val="16"/>
                <w:szCs w:val="16"/>
                <w:lang w:val="en-US"/>
              </w:rPr>
              <w:t>$113,905,091</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6DA376" w14:textId="504647D9" w:rsidR="11AFB54D" w:rsidRPr="00461D0D" w:rsidRDefault="11AFB54D" w:rsidP="11AFB54D">
            <w:pPr>
              <w:spacing w:before="20" w:after="20"/>
              <w:rPr>
                <w:rFonts w:ascii="Arial Narrow" w:eastAsia="Arial Narrow" w:hAnsi="Arial Narrow" w:cs="Arial Narrow"/>
                <w:sz w:val="16"/>
                <w:szCs w:val="16"/>
                <w:lang w:val="en-US"/>
              </w:rPr>
            </w:pPr>
            <w:r w:rsidRPr="00461D0D">
              <w:rPr>
                <w:rFonts w:ascii="Arial Narrow" w:eastAsia="Arial Narrow" w:hAnsi="Arial Narrow" w:cs="Arial Narrow"/>
                <w:sz w:val="16"/>
                <w:szCs w:val="16"/>
                <w:lang w:val="en-US"/>
              </w:rPr>
              <w:t>23.7%</w:t>
            </w:r>
          </w:p>
        </w:tc>
      </w:tr>
      <w:tr w:rsidR="11AFB54D" w:rsidRPr="005F5BEA" w14:paraId="08545C49" w14:textId="77777777" w:rsidTr="008D3FF0">
        <w:trPr>
          <w:trHeight w:val="300"/>
        </w:trPr>
        <w:tc>
          <w:tcPr>
            <w:tcW w:w="9015"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F3A562" w14:textId="6C608841" w:rsidR="11AFB54D" w:rsidRPr="00461D0D" w:rsidRDefault="11AFB54D" w:rsidP="11AFB54D">
            <w:pPr>
              <w:spacing w:before="20" w:after="20"/>
              <w:rPr>
                <w:rFonts w:ascii="Arial Narrow" w:eastAsia="Arial Narrow" w:hAnsi="Arial Narrow" w:cs="Arial Narrow"/>
                <w:b/>
                <w:bCs/>
                <w:sz w:val="16"/>
                <w:szCs w:val="16"/>
                <w:lang w:val="en-US"/>
              </w:rPr>
            </w:pPr>
            <w:r w:rsidRPr="00461D0D">
              <w:rPr>
                <w:rFonts w:ascii="Arial Narrow" w:eastAsia="Arial Narrow" w:hAnsi="Arial Narrow" w:cs="Arial Narrow"/>
                <w:b/>
                <w:bCs/>
                <w:sz w:val="16"/>
                <w:szCs w:val="16"/>
                <w:lang w:val="en-US"/>
              </w:rPr>
              <w:t>Updated base case + Only apply certification to 10% per annum (S4)</w:t>
            </w:r>
          </w:p>
        </w:tc>
      </w:tr>
      <w:tr w:rsidR="11AFB54D" w:rsidRPr="005F5BEA" w14:paraId="24C641D5" w14:textId="77777777" w:rsidTr="008D3FF0">
        <w:trPr>
          <w:trHeight w:val="300"/>
        </w:trPr>
        <w:tc>
          <w:tcPr>
            <w:tcW w:w="13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B00E5E" w14:textId="2DDD9B9A" w:rsidR="11AFB54D" w:rsidRPr="00461D0D" w:rsidRDefault="11AFB54D" w:rsidP="11AFB54D">
            <w:pPr>
              <w:spacing w:before="20" w:after="20"/>
              <w:rPr>
                <w:rFonts w:ascii="Arial Narrow" w:eastAsia="Arial Narrow" w:hAnsi="Arial Narrow" w:cs="Arial Narrow"/>
                <w:b/>
                <w:bCs/>
                <w:sz w:val="16"/>
                <w:szCs w:val="16"/>
              </w:rPr>
            </w:pPr>
            <w:r w:rsidRPr="00461D0D">
              <w:rPr>
                <w:rFonts w:ascii="Arial Narrow" w:eastAsia="Arial Narrow" w:hAnsi="Arial Narrow" w:cs="Arial Narrow"/>
                <w:b/>
                <w:bCs/>
                <w:sz w:val="16"/>
                <w:szCs w:val="16"/>
              </w:rPr>
              <w:t>Total costs</w:t>
            </w:r>
          </w:p>
        </w:tc>
        <w:tc>
          <w:tcPr>
            <w:tcW w:w="1534" w:type="dxa"/>
            <w:tcBorders>
              <w:top w:val="nil"/>
              <w:left w:val="single" w:sz="8" w:space="0" w:color="auto"/>
              <w:bottom w:val="single" w:sz="8" w:space="0" w:color="auto"/>
              <w:right w:val="single" w:sz="8" w:space="0" w:color="auto"/>
            </w:tcBorders>
            <w:tcMar>
              <w:left w:w="108" w:type="dxa"/>
              <w:right w:w="108" w:type="dxa"/>
            </w:tcMar>
            <w:vAlign w:val="center"/>
          </w:tcPr>
          <w:p w14:paraId="7F44A9EF" w14:textId="579CFF39" w:rsidR="11AFB54D" w:rsidRPr="00461D0D" w:rsidRDefault="11AFB54D" w:rsidP="11AFB54D">
            <w:pPr>
              <w:spacing w:before="20" w:after="20"/>
              <w:rPr>
                <w:rFonts w:ascii="Arial Narrow" w:eastAsia="Arial Narrow" w:hAnsi="Arial Narrow" w:cs="Arial Narrow"/>
                <w:sz w:val="16"/>
                <w:szCs w:val="16"/>
              </w:rPr>
            </w:pPr>
            <w:r w:rsidRPr="00461D0D">
              <w:rPr>
                <w:rFonts w:ascii="Arial Narrow" w:eastAsia="Arial Narrow" w:hAnsi="Arial Narrow" w:cs="Arial Narrow"/>
                <w:sz w:val="16"/>
                <w:szCs w:val="16"/>
              </w:rPr>
              <w:t>$87,043,743</w:t>
            </w:r>
          </w:p>
        </w:tc>
        <w:tc>
          <w:tcPr>
            <w:tcW w:w="1534" w:type="dxa"/>
            <w:tcBorders>
              <w:top w:val="nil"/>
              <w:left w:val="single" w:sz="8" w:space="0" w:color="auto"/>
              <w:bottom w:val="single" w:sz="8" w:space="0" w:color="auto"/>
              <w:right w:val="single" w:sz="8" w:space="0" w:color="auto"/>
            </w:tcBorders>
            <w:tcMar>
              <w:left w:w="108" w:type="dxa"/>
              <w:right w:w="108" w:type="dxa"/>
            </w:tcMar>
            <w:vAlign w:val="center"/>
          </w:tcPr>
          <w:p w14:paraId="23133E02" w14:textId="78C59F12" w:rsidR="11AFB54D" w:rsidRPr="00461D0D" w:rsidRDefault="11AFB54D" w:rsidP="11AFB54D">
            <w:pPr>
              <w:spacing w:before="20" w:after="20"/>
              <w:rPr>
                <w:rFonts w:ascii="Arial Narrow" w:eastAsia="Arial Narrow" w:hAnsi="Arial Narrow" w:cs="Arial Narrow"/>
                <w:sz w:val="16"/>
                <w:szCs w:val="16"/>
              </w:rPr>
            </w:pPr>
            <w:r w:rsidRPr="00461D0D">
              <w:rPr>
                <w:rFonts w:ascii="Arial Narrow" w:eastAsia="Arial Narrow" w:hAnsi="Arial Narrow" w:cs="Arial Narrow"/>
                <w:sz w:val="16"/>
                <w:szCs w:val="16"/>
              </w:rPr>
              <w:t>$94,077,992</w:t>
            </w:r>
          </w:p>
        </w:tc>
        <w:tc>
          <w:tcPr>
            <w:tcW w:w="1534" w:type="dxa"/>
            <w:tcBorders>
              <w:top w:val="nil"/>
              <w:left w:val="single" w:sz="8" w:space="0" w:color="auto"/>
              <w:bottom w:val="single" w:sz="8" w:space="0" w:color="auto"/>
              <w:right w:val="single" w:sz="8" w:space="0" w:color="auto"/>
            </w:tcBorders>
            <w:tcMar>
              <w:left w:w="108" w:type="dxa"/>
              <w:right w:w="108" w:type="dxa"/>
            </w:tcMar>
            <w:vAlign w:val="center"/>
          </w:tcPr>
          <w:p w14:paraId="03545813" w14:textId="7DAA2A7E" w:rsidR="11AFB54D" w:rsidRPr="00461D0D" w:rsidRDefault="11AFB54D" w:rsidP="11AFB54D">
            <w:pPr>
              <w:spacing w:before="20" w:after="20"/>
              <w:rPr>
                <w:rFonts w:ascii="Arial Narrow" w:eastAsia="Arial Narrow" w:hAnsi="Arial Narrow" w:cs="Arial Narrow"/>
                <w:sz w:val="16"/>
                <w:szCs w:val="16"/>
              </w:rPr>
            </w:pPr>
            <w:r w:rsidRPr="00461D0D">
              <w:rPr>
                <w:rFonts w:ascii="Arial Narrow" w:eastAsia="Arial Narrow" w:hAnsi="Arial Narrow" w:cs="Arial Narrow"/>
                <w:sz w:val="16"/>
                <w:szCs w:val="16"/>
              </w:rPr>
              <w:t>$101,601,470</w:t>
            </w:r>
          </w:p>
        </w:tc>
        <w:tc>
          <w:tcPr>
            <w:tcW w:w="1534" w:type="dxa"/>
            <w:tcBorders>
              <w:top w:val="nil"/>
              <w:left w:val="single" w:sz="8" w:space="0" w:color="auto"/>
              <w:bottom w:val="single" w:sz="8" w:space="0" w:color="auto"/>
              <w:right w:val="single" w:sz="8" w:space="0" w:color="auto"/>
            </w:tcBorders>
            <w:tcMar>
              <w:left w:w="108" w:type="dxa"/>
              <w:right w:w="108" w:type="dxa"/>
            </w:tcMar>
            <w:vAlign w:val="center"/>
          </w:tcPr>
          <w:p w14:paraId="3C558407" w14:textId="02BD28AA" w:rsidR="11AFB54D" w:rsidRPr="00461D0D" w:rsidRDefault="11AFB54D" w:rsidP="11AFB54D">
            <w:pPr>
              <w:spacing w:before="20" w:after="20"/>
              <w:rPr>
                <w:rFonts w:ascii="Arial Narrow" w:eastAsia="Arial Narrow" w:hAnsi="Arial Narrow" w:cs="Arial Narrow"/>
                <w:sz w:val="16"/>
                <w:szCs w:val="16"/>
              </w:rPr>
            </w:pPr>
            <w:r w:rsidRPr="00461D0D">
              <w:rPr>
                <w:rFonts w:ascii="Arial Narrow" w:eastAsia="Arial Narrow" w:hAnsi="Arial Narrow" w:cs="Arial Narrow"/>
                <w:sz w:val="16"/>
                <w:szCs w:val="16"/>
              </w:rPr>
              <w:t>$109,653,225</w:t>
            </w:r>
          </w:p>
        </w:tc>
        <w:tc>
          <w:tcPr>
            <w:tcW w:w="1560" w:type="dxa"/>
            <w:tcBorders>
              <w:top w:val="nil"/>
              <w:left w:val="single" w:sz="8" w:space="0" w:color="auto"/>
              <w:bottom w:val="single" w:sz="8" w:space="0" w:color="auto"/>
              <w:right w:val="single" w:sz="8" w:space="0" w:color="auto"/>
            </w:tcBorders>
            <w:tcMar>
              <w:left w:w="108" w:type="dxa"/>
              <w:right w:w="108" w:type="dxa"/>
            </w:tcMar>
            <w:vAlign w:val="center"/>
          </w:tcPr>
          <w:p w14:paraId="71ECF6F5" w14:textId="007DE5D3" w:rsidR="11AFB54D" w:rsidRPr="00461D0D" w:rsidRDefault="11AFB54D" w:rsidP="11AFB54D">
            <w:pPr>
              <w:spacing w:before="20" w:after="20"/>
              <w:rPr>
                <w:rFonts w:ascii="Arial Narrow" w:eastAsia="Arial Narrow" w:hAnsi="Arial Narrow" w:cs="Arial Narrow"/>
                <w:sz w:val="16"/>
                <w:szCs w:val="16"/>
              </w:rPr>
            </w:pPr>
            <w:r w:rsidRPr="00461D0D">
              <w:rPr>
                <w:rFonts w:ascii="Arial Narrow" w:eastAsia="Arial Narrow" w:hAnsi="Arial Narrow" w:cs="Arial Narrow"/>
                <w:sz w:val="16"/>
                <w:szCs w:val="16"/>
              </w:rPr>
              <w:t>18.8%</w:t>
            </w:r>
          </w:p>
        </w:tc>
      </w:tr>
    </w:tbl>
    <w:p w14:paraId="2E86D4D9" w14:textId="5855B11F" w:rsidR="001174C8" w:rsidRPr="005F5BEA" w:rsidRDefault="6CFB05C7" w:rsidP="11AFB54D">
      <w:pPr>
        <w:spacing w:before="0" w:after="0" w:line="240" w:lineRule="auto"/>
        <w:rPr>
          <w:rFonts w:eastAsiaTheme="minorEastAsia"/>
          <w:sz w:val="16"/>
          <w:szCs w:val="16"/>
          <w:lang w:eastAsia="en-AU"/>
        </w:rPr>
      </w:pPr>
      <w:r w:rsidRPr="005F5BEA">
        <w:rPr>
          <w:rFonts w:eastAsiaTheme="minorEastAsia"/>
          <w:sz w:val="16"/>
          <w:szCs w:val="16"/>
          <w:lang w:eastAsia="en-AU"/>
        </w:rPr>
        <w:t>Source: Applicant’s July 2023 Pre-MSAC response</w:t>
      </w:r>
    </w:p>
    <w:p w14:paraId="33EFC12A" w14:textId="085232FE" w:rsidR="4E3AA875" w:rsidRPr="005F5BEA" w:rsidRDefault="4E3AA875" w:rsidP="11AFB54D">
      <w:pPr>
        <w:spacing w:before="0" w:after="0" w:line="240" w:lineRule="auto"/>
        <w:rPr>
          <w:rFonts w:eastAsiaTheme="minorEastAsia"/>
          <w:sz w:val="16"/>
          <w:szCs w:val="16"/>
          <w:lang w:eastAsia="en-AU"/>
        </w:rPr>
      </w:pPr>
      <w:r w:rsidRPr="005F5BEA">
        <w:rPr>
          <w:rFonts w:eastAsiaTheme="minorEastAsia"/>
          <w:sz w:val="16"/>
          <w:szCs w:val="16"/>
          <w:lang w:eastAsia="en-AU"/>
        </w:rPr>
        <w:t>MA= MSAC Advice</w:t>
      </w:r>
    </w:p>
    <w:p w14:paraId="4EEFB38C" w14:textId="2BA89971" w:rsidR="001174C8" w:rsidRPr="005F5BEA" w:rsidRDefault="001174C8" w:rsidP="11AFB54D">
      <w:pPr>
        <w:spacing w:before="0" w:after="0" w:line="240" w:lineRule="auto"/>
        <w:rPr>
          <w:rFonts w:eastAsiaTheme="minorEastAsia"/>
          <w:sz w:val="16"/>
          <w:szCs w:val="16"/>
          <w:lang w:eastAsia="en-AU"/>
        </w:rPr>
      </w:pPr>
      <w:r w:rsidRPr="005F5BEA">
        <w:rPr>
          <w:rFonts w:eastAsiaTheme="minorEastAsia"/>
          <w:sz w:val="16"/>
          <w:szCs w:val="16"/>
          <w:vertAlign w:val="superscript"/>
          <w:lang w:eastAsia="en-AU"/>
        </w:rPr>
        <w:t>a</w:t>
      </w:r>
      <w:r w:rsidRPr="005F5BEA">
        <w:rPr>
          <w:rFonts w:eastAsiaTheme="minorEastAsia"/>
          <w:sz w:val="16"/>
          <w:szCs w:val="16"/>
          <w:lang w:eastAsia="en-AU"/>
        </w:rPr>
        <w:t xml:space="preserve"> </w:t>
      </w:r>
      <w:r w:rsidR="005B209B" w:rsidRPr="005F5BEA">
        <w:rPr>
          <w:rFonts w:eastAsiaTheme="minorEastAsia"/>
          <w:sz w:val="16"/>
          <w:szCs w:val="16"/>
          <w:lang w:eastAsia="en-AU"/>
        </w:rPr>
        <w:t xml:space="preserve">Round 1 data collection </w:t>
      </w:r>
      <w:r w:rsidR="007F40E6" w:rsidRPr="005F5BEA">
        <w:rPr>
          <w:rFonts w:eastAsiaTheme="minorEastAsia"/>
          <w:sz w:val="16"/>
          <w:szCs w:val="16"/>
          <w:lang w:eastAsia="en-AU"/>
        </w:rPr>
        <w:t xml:space="preserve">included 4 weeks data </w:t>
      </w:r>
      <w:r w:rsidR="00904360" w:rsidRPr="005F5BEA">
        <w:rPr>
          <w:rFonts w:eastAsiaTheme="minorEastAsia"/>
          <w:sz w:val="16"/>
          <w:szCs w:val="16"/>
          <w:lang w:eastAsia="en-AU"/>
        </w:rPr>
        <w:t xml:space="preserve">on cardiac technical support services provided </w:t>
      </w:r>
      <w:r w:rsidR="004E6501" w:rsidRPr="005F5BEA">
        <w:rPr>
          <w:rFonts w:eastAsiaTheme="minorEastAsia"/>
          <w:sz w:val="16"/>
          <w:szCs w:val="16"/>
          <w:lang w:eastAsia="en-AU"/>
        </w:rPr>
        <w:t>from Monday 15 August 2022 and ended on Sunday 11 September 2022.</w:t>
      </w:r>
      <w:r w:rsidR="001339CB" w:rsidRPr="005F5BEA">
        <w:rPr>
          <w:rFonts w:eastAsiaTheme="minorEastAsia"/>
          <w:sz w:val="16"/>
          <w:szCs w:val="16"/>
          <w:lang w:eastAsia="en-AU"/>
        </w:rPr>
        <w:t xml:space="preserve">A further 4 weeks data was collected </w:t>
      </w:r>
      <w:r w:rsidR="00957F9F" w:rsidRPr="005F5BEA">
        <w:rPr>
          <w:rFonts w:eastAsiaTheme="minorEastAsia"/>
          <w:sz w:val="16"/>
          <w:szCs w:val="16"/>
          <w:lang w:eastAsia="en-AU"/>
        </w:rPr>
        <w:t>Monday 21 November 2022 to 18 December 2022 (Round 2)</w:t>
      </w:r>
      <w:r w:rsidR="0020334B" w:rsidRPr="005F5BEA">
        <w:rPr>
          <w:rFonts w:eastAsiaTheme="minorEastAsia"/>
          <w:sz w:val="16"/>
          <w:szCs w:val="16"/>
          <w:lang w:eastAsia="en-AU"/>
        </w:rPr>
        <w:t xml:space="preserve"> and presented in subsequent estimates. </w:t>
      </w:r>
    </w:p>
    <w:p w14:paraId="3AA923AD" w14:textId="4F56ECED" w:rsidR="00D66588" w:rsidRPr="005F5BEA" w:rsidRDefault="00D66588" w:rsidP="11AFB54D">
      <w:pPr>
        <w:spacing w:before="0" w:after="0" w:line="240" w:lineRule="auto"/>
        <w:rPr>
          <w:rFonts w:eastAsiaTheme="minorEastAsia"/>
          <w:sz w:val="16"/>
          <w:szCs w:val="16"/>
          <w:lang w:eastAsia="en-AU"/>
        </w:rPr>
      </w:pPr>
      <w:r w:rsidRPr="005F5BEA">
        <w:rPr>
          <w:rFonts w:eastAsiaTheme="minorEastAsia"/>
          <w:sz w:val="16"/>
          <w:szCs w:val="16"/>
          <w:vertAlign w:val="superscript"/>
          <w:lang w:eastAsia="en-AU"/>
        </w:rPr>
        <w:t>b</w:t>
      </w:r>
      <w:r w:rsidRPr="005F5BEA">
        <w:rPr>
          <w:rFonts w:eastAsiaTheme="minorEastAsia"/>
          <w:sz w:val="16"/>
          <w:szCs w:val="16"/>
          <w:lang w:eastAsia="en-AU"/>
        </w:rPr>
        <w:t xml:space="preserve"> </w:t>
      </w:r>
      <w:r w:rsidR="00595CB6" w:rsidRPr="005F5BEA">
        <w:rPr>
          <w:rFonts w:eastAsiaTheme="minorEastAsia"/>
          <w:sz w:val="16"/>
          <w:szCs w:val="16"/>
          <w:lang w:eastAsia="en-AU"/>
        </w:rPr>
        <w:t xml:space="preserve">Updated estimates of actual overhead costs provided by the </w:t>
      </w:r>
      <w:r w:rsidR="00A13932" w:rsidRPr="005F5BEA">
        <w:rPr>
          <w:rFonts w:eastAsiaTheme="minorEastAsia"/>
          <w:sz w:val="16"/>
          <w:szCs w:val="16"/>
          <w:lang w:eastAsia="en-AU"/>
        </w:rPr>
        <w:t>Cardiac Forum</w:t>
      </w:r>
      <w:r w:rsidR="00595CB6" w:rsidRPr="005F5BEA">
        <w:rPr>
          <w:rFonts w:eastAsiaTheme="minorEastAsia"/>
          <w:sz w:val="16"/>
          <w:szCs w:val="16"/>
          <w:lang w:eastAsia="en-AU"/>
        </w:rPr>
        <w:t xml:space="preserve"> member companies</w:t>
      </w:r>
      <w:r w:rsidR="007041D2" w:rsidRPr="005F5BEA">
        <w:rPr>
          <w:rFonts w:eastAsiaTheme="minorEastAsia"/>
          <w:sz w:val="16"/>
          <w:szCs w:val="16"/>
          <w:lang w:eastAsia="en-AU"/>
        </w:rPr>
        <w:t xml:space="preserve">. </w:t>
      </w:r>
    </w:p>
    <w:p w14:paraId="493BE324" w14:textId="029AAA5F" w:rsidR="007F3CBC" w:rsidRPr="005F5BEA" w:rsidRDefault="007F3CBC" w:rsidP="11AFB54D">
      <w:pPr>
        <w:spacing w:before="0" w:after="0" w:line="240" w:lineRule="auto"/>
        <w:rPr>
          <w:rFonts w:eastAsiaTheme="minorEastAsia"/>
          <w:sz w:val="16"/>
          <w:szCs w:val="16"/>
          <w:lang w:eastAsia="en-AU"/>
        </w:rPr>
      </w:pPr>
      <w:r w:rsidRPr="005F5BEA">
        <w:rPr>
          <w:rFonts w:eastAsiaTheme="minorEastAsia"/>
          <w:sz w:val="16"/>
          <w:szCs w:val="16"/>
          <w:vertAlign w:val="superscript"/>
          <w:lang w:eastAsia="en-AU"/>
        </w:rPr>
        <w:t>c</w:t>
      </w:r>
      <w:r w:rsidRPr="005F5BEA">
        <w:rPr>
          <w:rFonts w:eastAsiaTheme="minorEastAsia"/>
          <w:sz w:val="16"/>
          <w:szCs w:val="16"/>
          <w:lang w:eastAsia="en-AU"/>
        </w:rPr>
        <w:t xml:space="preserve"> </w:t>
      </w:r>
      <w:r w:rsidR="00940732" w:rsidRPr="005F5BEA">
        <w:rPr>
          <w:rFonts w:eastAsiaTheme="minorEastAsia"/>
          <w:sz w:val="16"/>
          <w:szCs w:val="16"/>
          <w:lang w:eastAsia="en-AU"/>
        </w:rPr>
        <w:t>Correct</w:t>
      </w:r>
      <w:r w:rsidR="000A3905" w:rsidRPr="005F5BEA">
        <w:rPr>
          <w:rFonts w:eastAsiaTheme="minorEastAsia"/>
          <w:sz w:val="16"/>
          <w:szCs w:val="16"/>
          <w:lang w:eastAsia="en-AU"/>
        </w:rPr>
        <w:t xml:space="preserve">ion of an error in the overhead costs. </w:t>
      </w:r>
    </w:p>
    <w:p w14:paraId="6F23F8C9" w14:textId="00C67874" w:rsidR="00C21A37" w:rsidRPr="005F5BEA" w:rsidRDefault="5BB350FA" w:rsidP="00192FB6">
      <w:pPr>
        <w:rPr>
          <w:rFonts w:eastAsia="Times New Roman" w:cs="Times New Roman"/>
          <w:lang w:val="en-GB" w:eastAsia="en-AU"/>
        </w:rPr>
      </w:pPr>
      <w:r w:rsidRPr="005F5BEA">
        <w:rPr>
          <w:rFonts w:eastAsia="Times New Roman" w:cs="Times New Roman"/>
          <w:lang w:val="en-GB" w:eastAsia="en-AU"/>
        </w:rPr>
        <w:t xml:space="preserve">MSAC noted that </w:t>
      </w:r>
      <w:r w:rsidR="2506B560" w:rsidRPr="005F5BEA">
        <w:rPr>
          <w:rFonts w:eastAsia="Times New Roman" w:cs="Times New Roman"/>
          <w:lang w:val="en-GB" w:eastAsia="en-AU"/>
        </w:rPr>
        <w:t>the overall estimate of the number of services provided in the updated data increased only slightly and the substantial increase in estimated costs was associated with a</w:t>
      </w:r>
      <w:r w:rsidR="251ACCA1" w:rsidRPr="005F5BEA">
        <w:rPr>
          <w:rFonts w:eastAsia="Times New Roman" w:cs="Times New Roman"/>
          <w:lang w:val="en-GB" w:eastAsia="en-AU"/>
        </w:rPr>
        <w:t xml:space="preserve"> substantial</w:t>
      </w:r>
      <w:r w:rsidR="2506B560" w:rsidRPr="005F5BEA">
        <w:rPr>
          <w:rFonts w:eastAsia="Times New Roman" w:cs="Times New Roman"/>
          <w:lang w:val="en-GB" w:eastAsia="en-AU"/>
        </w:rPr>
        <w:t xml:space="preserve"> increase in overhead costs</w:t>
      </w:r>
      <w:r w:rsidR="06E2C19D" w:rsidRPr="005F5BEA">
        <w:rPr>
          <w:rFonts w:eastAsia="Times New Roman" w:cs="Times New Roman"/>
          <w:lang w:val="en-GB" w:eastAsia="en-AU"/>
        </w:rPr>
        <w:t xml:space="preserve"> reported</w:t>
      </w:r>
      <w:r w:rsidR="2506B560" w:rsidRPr="005F5BEA">
        <w:rPr>
          <w:rFonts w:eastAsia="Times New Roman" w:cs="Times New Roman"/>
          <w:lang w:val="en-GB" w:eastAsia="en-AU"/>
        </w:rPr>
        <w:t xml:space="preserve">. </w:t>
      </w:r>
      <w:r w:rsidR="346F52C8" w:rsidRPr="005F5BEA">
        <w:rPr>
          <w:rFonts w:eastAsia="Times New Roman" w:cs="Times New Roman"/>
          <w:lang w:val="en-GB" w:eastAsia="en-AU"/>
        </w:rPr>
        <w:t>The</w:t>
      </w:r>
      <w:r w:rsidRPr="005F5BEA">
        <w:rPr>
          <w:rFonts w:eastAsia="Times New Roman" w:cs="Times New Roman"/>
          <w:lang w:val="en-GB" w:eastAsia="en-AU"/>
        </w:rPr>
        <w:t xml:space="preserve"> additional 4-week data collection (8 weeks in total) increased </w:t>
      </w:r>
      <w:r w:rsidR="01C6CE06" w:rsidRPr="005F5BEA">
        <w:rPr>
          <w:rFonts w:eastAsia="Times New Roman" w:cs="Times New Roman"/>
          <w:lang w:val="en-GB" w:eastAsia="en-AU"/>
        </w:rPr>
        <w:t>the tot</w:t>
      </w:r>
      <w:r w:rsidR="2C800627" w:rsidRPr="005F5BEA">
        <w:rPr>
          <w:rFonts w:eastAsia="Times New Roman" w:cs="Times New Roman"/>
          <w:lang w:val="en-GB" w:eastAsia="en-AU"/>
        </w:rPr>
        <w:t>al</w:t>
      </w:r>
      <w:r w:rsidR="01C6CE06" w:rsidRPr="005F5BEA">
        <w:rPr>
          <w:rFonts w:eastAsia="Times New Roman" w:cs="Times New Roman"/>
          <w:lang w:val="en-GB" w:eastAsia="en-AU"/>
        </w:rPr>
        <w:t xml:space="preserve"> number of </w:t>
      </w:r>
      <w:r w:rsidRPr="005F5BEA">
        <w:rPr>
          <w:rFonts w:eastAsia="Times New Roman" w:cs="Times New Roman"/>
          <w:lang w:val="en-GB" w:eastAsia="en-AU"/>
        </w:rPr>
        <w:t xml:space="preserve">services </w:t>
      </w:r>
      <w:r w:rsidR="4DD6A3B4" w:rsidRPr="005F5BEA">
        <w:rPr>
          <w:rFonts w:eastAsia="Times New Roman" w:cs="Times New Roman"/>
          <w:lang w:val="en-GB" w:eastAsia="en-AU"/>
        </w:rPr>
        <w:t xml:space="preserve">provided </w:t>
      </w:r>
      <w:r w:rsidRPr="005F5BEA">
        <w:rPr>
          <w:rFonts w:eastAsia="Times New Roman" w:cs="Times New Roman"/>
          <w:lang w:val="en-GB" w:eastAsia="en-AU"/>
        </w:rPr>
        <w:t xml:space="preserve">by 9.2% compared with the ADAR. </w:t>
      </w:r>
      <w:r w:rsidR="5E0787EC" w:rsidRPr="005F5BEA">
        <w:rPr>
          <w:rFonts w:eastAsia="Times New Roman" w:cs="Times New Roman"/>
          <w:lang w:val="en-GB" w:eastAsia="en-AU"/>
        </w:rPr>
        <w:t xml:space="preserve">This </w:t>
      </w:r>
      <w:r w:rsidR="54A41CF4" w:rsidRPr="005F5BEA">
        <w:rPr>
          <w:rFonts w:eastAsia="Times New Roman" w:cs="Times New Roman"/>
          <w:lang w:val="en-GB" w:eastAsia="en-AU"/>
        </w:rPr>
        <w:t>increased the direct costs of providing technical support services from $56.4 million to $59.</w:t>
      </w:r>
      <w:r w:rsidR="26A0AB21" w:rsidRPr="005F5BEA">
        <w:rPr>
          <w:rFonts w:eastAsia="Times New Roman" w:cs="Times New Roman"/>
          <w:lang w:val="en-GB" w:eastAsia="en-AU"/>
        </w:rPr>
        <w:t>6 million</w:t>
      </w:r>
      <w:r w:rsidR="14E6A15B" w:rsidRPr="005F5BEA">
        <w:rPr>
          <w:rFonts w:eastAsia="Times New Roman" w:cs="Times New Roman"/>
          <w:lang w:val="en-GB" w:eastAsia="en-AU"/>
        </w:rPr>
        <w:t>, however the updated sum of overhead costs provided by the member companies in February 2023 was $32 million in 2022, compared with the previous estimate submitted in the ADAR of less than $17 million</w:t>
      </w:r>
      <w:r w:rsidR="1B24765B" w:rsidRPr="005F5BEA">
        <w:rPr>
          <w:rFonts w:eastAsia="Times New Roman" w:cs="Times New Roman"/>
          <w:lang w:val="en-GB" w:eastAsia="en-AU"/>
        </w:rPr>
        <w:t>.</w:t>
      </w:r>
      <w:r w:rsidR="3E126FEF" w:rsidRPr="005F5BEA">
        <w:rPr>
          <w:rFonts w:eastAsia="Times New Roman" w:cs="Times New Roman"/>
          <w:lang w:val="en-GB" w:eastAsia="en-AU"/>
        </w:rPr>
        <w:t xml:space="preserve"> This </w:t>
      </w:r>
      <w:r w:rsidR="7FD8C8FB" w:rsidRPr="005F5BEA">
        <w:rPr>
          <w:rFonts w:eastAsia="Times New Roman" w:cs="Times New Roman"/>
          <w:lang w:val="en-GB" w:eastAsia="en-AU"/>
        </w:rPr>
        <w:t>substantial increase in the overhead costs resulted in the</w:t>
      </w:r>
      <w:r w:rsidR="3E126FEF" w:rsidRPr="005F5BEA">
        <w:rPr>
          <w:rFonts w:eastAsia="Times New Roman" w:cs="Times New Roman"/>
          <w:lang w:val="en-GB" w:eastAsia="en-AU"/>
        </w:rPr>
        <w:t xml:space="preserve"> </w:t>
      </w:r>
      <w:r w:rsidR="3E126FEF" w:rsidRPr="005F5BEA">
        <w:rPr>
          <w:rFonts w:eastAsia="Times New Roman" w:cs="Times New Roman"/>
          <w:lang w:val="en-GB" w:eastAsia="en-AU"/>
        </w:rPr>
        <w:lastRenderedPageBreak/>
        <w:t>total estimated cost</w:t>
      </w:r>
      <w:r w:rsidR="678BA14D" w:rsidRPr="005F5BEA">
        <w:rPr>
          <w:rFonts w:eastAsia="Times New Roman" w:cs="Times New Roman"/>
          <w:lang w:val="en-GB" w:eastAsia="en-AU"/>
        </w:rPr>
        <w:t xml:space="preserve"> of follow-up</w:t>
      </w:r>
      <w:r w:rsidR="3E126FEF" w:rsidRPr="005F5BEA">
        <w:rPr>
          <w:rFonts w:eastAsia="Times New Roman" w:cs="Times New Roman"/>
          <w:lang w:val="en-GB" w:eastAsia="en-AU"/>
        </w:rPr>
        <w:t xml:space="preserve"> </w:t>
      </w:r>
      <w:r w:rsidR="3F724439" w:rsidRPr="005F5BEA">
        <w:rPr>
          <w:rFonts w:eastAsia="Times New Roman" w:cs="Times New Roman"/>
          <w:lang w:val="en-GB" w:eastAsia="en-AU"/>
        </w:rPr>
        <w:t xml:space="preserve">cardiac support services provided by IECTs </w:t>
      </w:r>
      <w:r w:rsidR="118BB48C" w:rsidRPr="005F5BEA">
        <w:rPr>
          <w:rFonts w:eastAsia="Times New Roman" w:cs="Times New Roman"/>
          <w:lang w:val="en-GB" w:eastAsia="en-AU"/>
        </w:rPr>
        <w:t xml:space="preserve">increasing </w:t>
      </w:r>
      <w:r w:rsidR="3E126FEF" w:rsidRPr="005F5BEA">
        <w:rPr>
          <w:rFonts w:eastAsia="Times New Roman" w:cs="Times New Roman"/>
          <w:lang w:val="en-GB" w:eastAsia="en-AU"/>
        </w:rPr>
        <w:t xml:space="preserve">from $73.3 million to </w:t>
      </w:r>
      <w:r w:rsidR="465BF406" w:rsidRPr="005F5BEA">
        <w:rPr>
          <w:rFonts w:eastAsia="Times New Roman" w:cs="Times New Roman"/>
          <w:lang w:val="en-GB" w:eastAsia="en-AU"/>
        </w:rPr>
        <w:t xml:space="preserve">$87 million. </w:t>
      </w:r>
    </w:p>
    <w:p w14:paraId="4D480E5A" w14:textId="75B91B5A" w:rsidR="4717EF7A" w:rsidRPr="005F5BEA" w:rsidRDefault="4717EF7A" w:rsidP="11AFB54D">
      <w:pPr>
        <w:rPr>
          <w:rFonts w:eastAsia="Times New Roman" w:cs="Times New Roman"/>
          <w:lang w:val="en-GB" w:eastAsia="en-AU"/>
        </w:rPr>
      </w:pPr>
      <w:r w:rsidRPr="005F5BEA">
        <w:rPr>
          <w:rFonts w:eastAsia="Times New Roman" w:cs="Times New Roman"/>
          <w:lang w:val="en-GB" w:eastAsia="en-AU"/>
        </w:rPr>
        <w:t xml:space="preserve">MSAC noted that the applicant in its July 2023 </w:t>
      </w:r>
      <w:r w:rsidR="3E51E460" w:rsidRPr="005F5BEA">
        <w:rPr>
          <w:rFonts w:eastAsia="Times New Roman" w:cs="Times New Roman"/>
          <w:lang w:val="en-GB" w:eastAsia="en-AU"/>
        </w:rPr>
        <w:t>p</w:t>
      </w:r>
      <w:r w:rsidRPr="005F5BEA">
        <w:rPr>
          <w:rFonts w:eastAsia="Times New Roman" w:cs="Times New Roman"/>
          <w:lang w:val="en-GB" w:eastAsia="en-AU"/>
        </w:rPr>
        <w:t xml:space="preserve">re-MSAC response explained that while the ADAR estimated a nominal overhead cost </w:t>
      </w:r>
      <w:r w:rsidR="157B8F07" w:rsidRPr="005F5BEA">
        <w:rPr>
          <w:rFonts w:eastAsia="Times New Roman" w:cs="Times New Roman"/>
          <w:lang w:val="en-GB" w:eastAsia="en-AU"/>
        </w:rPr>
        <w:t xml:space="preserve">as being </w:t>
      </w:r>
      <w:r w:rsidRPr="005F5BEA">
        <w:rPr>
          <w:rFonts w:eastAsia="Times New Roman" w:cs="Times New Roman"/>
          <w:lang w:val="en-GB" w:eastAsia="en-AU"/>
        </w:rPr>
        <w:t>30% of direct costs, the updated overhead costs provided in Fe</w:t>
      </w:r>
      <w:r w:rsidR="39742BD0" w:rsidRPr="005F5BEA">
        <w:rPr>
          <w:rFonts w:eastAsia="Times New Roman" w:cs="Times New Roman"/>
          <w:lang w:val="en-GB" w:eastAsia="en-AU"/>
        </w:rPr>
        <w:t>b</w:t>
      </w:r>
      <w:r w:rsidRPr="005F5BEA">
        <w:rPr>
          <w:rFonts w:eastAsia="Times New Roman" w:cs="Times New Roman"/>
          <w:lang w:val="en-GB" w:eastAsia="en-AU"/>
        </w:rPr>
        <w:t>ruar</w:t>
      </w:r>
      <w:r w:rsidR="06EEADB2" w:rsidRPr="005F5BEA">
        <w:rPr>
          <w:rFonts w:eastAsia="Times New Roman" w:cs="Times New Roman"/>
          <w:lang w:val="en-GB" w:eastAsia="en-AU"/>
        </w:rPr>
        <w:t>y</w:t>
      </w:r>
      <w:r w:rsidRPr="005F5BEA">
        <w:rPr>
          <w:rFonts w:eastAsia="Times New Roman" w:cs="Times New Roman"/>
          <w:lang w:val="en-GB" w:eastAsia="en-AU"/>
        </w:rPr>
        <w:t xml:space="preserve"> 2023</w:t>
      </w:r>
      <w:r w:rsidR="381D449E" w:rsidRPr="005F5BEA">
        <w:rPr>
          <w:rFonts w:eastAsia="Times New Roman" w:cs="Times New Roman"/>
          <w:lang w:val="en-GB" w:eastAsia="en-AU"/>
        </w:rPr>
        <w:t xml:space="preserve"> were calculated by</w:t>
      </w:r>
      <w:r w:rsidR="5779F423" w:rsidRPr="005F5BEA">
        <w:rPr>
          <w:rFonts w:eastAsia="Times New Roman" w:cs="Times New Roman"/>
          <w:lang w:val="en-GB" w:eastAsia="en-AU"/>
        </w:rPr>
        <w:t xml:space="preserve"> each of the five member companies of the </w:t>
      </w:r>
      <w:r w:rsidR="7097B3C3" w:rsidRPr="005F5BEA">
        <w:rPr>
          <w:rFonts w:eastAsia="Times New Roman" w:cs="Times New Roman"/>
          <w:lang w:val="en-GB" w:eastAsia="en-AU"/>
        </w:rPr>
        <w:t xml:space="preserve">MTAA </w:t>
      </w:r>
      <w:r w:rsidR="5779F423" w:rsidRPr="005F5BEA">
        <w:rPr>
          <w:rFonts w:eastAsia="Times New Roman" w:cs="Times New Roman"/>
          <w:lang w:val="en-GB" w:eastAsia="en-AU"/>
        </w:rPr>
        <w:t xml:space="preserve">CF </w:t>
      </w:r>
      <w:r w:rsidR="133DF7B4" w:rsidRPr="005F5BEA">
        <w:rPr>
          <w:rFonts w:eastAsia="Times New Roman" w:cs="Times New Roman"/>
          <w:lang w:val="en-GB" w:eastAsia="en-AU"/>
        </w:rPr>
        <w:t>using</w:t>
      </w:r>
      <w:r w:rsidR="5779F423" w:rsidRPr="005F5BEA">
        <w:rPr>
          <w:rFonts w:eastAsia="Times New Roman" w:cs="Times New Roman"/>
          <w:lang w:val="en-GB" w:eastAsia="en-AU"/>
        </w:rPr>
        <w:t xml:space="preserve"> a generalised list of costing categories to determine actual overhead costs for their business to provide cardiac technical support services</w:t>
      </w:r>
      <w:r w:rsidR="5595667C" w:rsidRPr="005F5BEA">
        <w:rPr>
          <w:rFonts w:eastAsia="Times New Roman" w:cs="Times New Roman"/>
          <w:lang w:val="en-GB" w:eastAsia="en-AU"/>
        </w:rPr>
        <w:t>.</w:t>
      </w:r>
      <w:r w:rsidR="5779F423" w:rsidRPr="005F5BEA">
        <w:rPr>
          <w:rFonts w:eastAsia="Times New Roman" w:cs="Times New Roman"/>
          <w:lang w:val="en-GB" w:eastAsia="en-AU"/>
        </w:rPr>
        <w:t xml:space="preserve"> </w:t>
      </w:r>
      <w:r w:rsidR="7F7A0DE9" w:rsidRPr="005F5BEA">
        <w:rPr>
          <w:rFonts w:eastAsia="Times New Roman" w:cs="Times New Roman"/>
          <w:lang w:val="en-GB" w:eastAsia="en-AU"/>
        </w:rPr>
        <w:t>MSAC considered the updated</w:t>
      </w:r>
      <w:r w:rsidR="3AACCC08" w:rsidRPr="005F5BEA">
        <w:rPr>
          <w:rFonts w:eastAsia="Times New Roman" w:cs="Times New Roman"/>
          <w:lang w:val="en-GB" w:eastAsia="en-AU"/>
        </w:rPr>
        <w:t xml:space="preserve"> estimate of</w:t>
      </w:r>
      <w:r w:rsidR="7F7A0DE9" w:rsidRPr="005F5BEA">
        <w:rPr>
          <w:rFonts w:eastAsia="Times New Roman" w:cs="Times New Roman"/>
          <w:lang w:val="en-GB" w:eastAsia="en-AU"/>
        </w:rPr>
        <w:t xml:space="preserve"> overhead costs w</w:t>
      </w:r>
      <w:r w:rsidR="32B6B466" w:rsidRPr="005F5BEA">
        <w:rPr>
          <w:rFonts w:eastAsia="Times New Roman" w:cs="Times New Roman"/>
          <w:lang w:val="en-GB" w:eastAsia="en-AU"/>
        </w:rPr>
        <w:t>as</w:t>
      </w:r>
      <w:r w:rsidR="7F7A0DE9" w:rsidRPr="005F5BEA">
        <w:rPr>
          <w:rFonts w:eastAsia="Times New Roman" w:cs="Times New Roman"/>
          <w:lang w:val="en-GB" w:eastAsia="en-AU"/>
        </w:rPr>
        <w:t xml:space="preserve"> </w:t>
      </w:r>
      <w:r w:rsidR="40015D5D" w:rsidRPr="005F5BEA">
        <w:rPr>
          <w:rFonts w:eastAsia="Times New Roman" w:cs="Times New Roman"/>
          <w:lang w:val="en-GB" w:eastAsia="en-AU"/>
        </w:rPr>
        <w:t>uncertain</w:t>
      </w:r>
      <w:r w:rsidR="5F253468" w:rsidRPr="005F5BEA">
        <w:rPr>
          <w:rFonts w:eastAsia="Times New Roman" w:cs="Times New Roman"/>
          <w:lang w:val="en-GB" w:eastAsia="en-AU"/>
        </w:rPr>
        <w:t xml:space="preserve"> and</w:t>
      </w:r>
      <w:r w:rsidR="038D6963" w:rsidRPr="005F5BEA">
        <w:rPr>
          <w:rFonts w:eastAsia="Times New Roman" w:cs="Times New Roman"/>
          <w:lang w:val="en-GB" w:eastAsia="en-AU"/>
        </w:rPr>
        <w:t xml:space="preserve"> could not be validated</w:t>
      </w:r>
      <w:r w:rsidR="30D73E52" w:rsidRPr="005F5BEA">
        <w:rPr>
          <w:rFonts w:eastAsia="Times New Roman" w:cs="Times New Roman"/>
          <w:lang w:val="en-GB" w:eastAsia="en-AU"/>
        </w:rPr>
        <w:t xml:space="preserve">. MSAC agreed with the </w:t>
      </w:r>
      <w:r w:rsidR="4B073E2E" w:rsidRPr="005F5BEA">
        <w:rPr>
          <w:rFonts w:eastAsia="Times New Roman" w:cs="Times New Roman"/>
          <w:lang w:val="en-GB" w:eastAsia="en-AU"/>
        </w:rPr>
        <w:t xml:space="preserve">focussed evaluation that the overhead costs </w:t>
      </w:r>
      <w:r w:rsidR="09E7E53E" w:rsidRPr="005F5BEA">
        <w:rPr>
          <w:rFonts w:eastAsia="Times New Roman" w:cs="Times New Roman"/>
          <w:lang w:val="en-GB" w:eastAsia="en-AU"/>
        </w:rPr>
        <w:t>may</w:t>
      </w:r>
      <w:r w:rsidR="4B073E2E" w:rsidRPr="005F5BEA">
        <w:rPr>
          <w:rFonts w:eastAsia="Times New Roman" w:cs="Times New Roman"/>
          <w:lang w:val="en-GB" w:eastAsia="en-AU"/>
        </w:rPr>
        <w:t xml:space="preserve"> </w:t>
      </w:r>
      <w:r w:rsidR="73FB27CC" w:rsidRPr="005F5BEA">
        <w:rPr>
          <w:rFonts w:eastAsia="Times New Roman" w:cs="Times New Roman"/>
          <w:lang w:val="en-GB" w:eastAsia="en-AU"/>
        </w:rPr>
        <w:t xml:space="preserve">include </w:t>
      </w:r>
      <w:r w:rsidR="4B073E2E" w:rsidRPr="005F5BEA">
        <w:rPr>
          <w:rFonts w:eastAsia="Times New Roman" w:cs="Times New Roman"/>
          <w:lang w:val="en-GB" w:eastAsia="en-AU"/>
        </w:rPr>
        <w:t>costs</w:t>
      </w:r>
      <w:r w:rsidR="15C3E209" w:rsidRPr="005F5BEA">
        <w:rPr>
          <w:rFonts w:eastAsia="Times New Roman" w:cs="Times New Roman"/>
          <w:lang w:val="en-GB" w:eastAsia="en-AU"/>
        </w:rPr>
        <w:t xml:space="preserve"> that were </w:t>
      </w:r>
      <w:r w:rsidR="09E7E53E" w:rsidRPr="005F5BEA">
        <w:rPr>
          <w:rFonts w:eastAsia="Times New Roman" w:cs="Times New Roman"/>
          <w:lang w:val="en-GB" w:eastAsia="en-AU"/>
        </w:rPr>
        <w:t>not relevant to the provision of technical support services</w:t>
      </w:r>
      <w:r w:rsidR="148B6060" w:rsidRPr="005F5BEA">
        <w:rPr>
          <w:rFonts w:eastAsia="Times New Roman" w:cs="Times New Roman"/>
          <w:lang w:val="en-GB" w:eastAsia="en-AU"/>
        </w:rPr>
        <w:t xml:space="preserve">. MSAC </w:t>
      </w:r>
      <w:r w:rsidR="09E7E53E" w:rsidRPr="005F5BEA">
        <w:rPr>
          <w:rFonts w:eastAsia="Times New Roman" w:cs="Times New Roman"/>
          <w:lang w:val="en-GB" w:eastAsia="en-AU"/>
        </w:rPr>
        <w:t>queried</w:t>
      </w:r>
      <w:r w:rsidR="2F3361C7" w:rsidRPr="005F5BEA">
        <w:rPr>
          <w:rFonts w:eastAsia="Times New Roman" w:cs="Times New Roman"/>
          <w:lang w:val="en-GB" w:eastAsia="en-AU"/>
        </w:rPr>
        <w:t xml:space="preserve"> the appropriateness of including</w:t>
      </w:r>
      <w:r w:rsidR="148B6060" w:rsidRPr="005F5BEA">
        <w:rPr>
          <w:rFonts w:eastAsia="Times New Roman" w:cs="Times New Roman"/>
          <w:lang w:val="en-GB" w:eastAsia="en-AU"/>
        </w:rPr>
        <w:t xml:space="preserve"> </w:t>
      </w:r>
      <w:r w:rsidR="3BEC1239" w:rsidRPr="005F5BEA">
        <w:rPr>
          <w:rFonts w:eastAsia="Times New Roman" w:cs="Times New Roman"/>
          <w:lang w:val="en-GB" w:eastAsia="en-AU"/>
        </w:rPr>
        <w:t>consumables</w:t>
      </w:r>
      <w:r w:rsidR="148B6060" w:rsidRPr="005F5BEA">
        <w:rPr>
          <w:rFonts w:eastAsia="Times New Roman" w:cs="Times New Roman"/>
          <w:lang w:val="en-GB" w:eastAsia="en-AU"/>
        </w:rPr>
        <w:t xml:space="preserve"> not </w:t>
      </w:r>
      <w:r w:rsidR="212B2DE0" w:rsidRPr="005F5BEA">
        <w:rPr>
          <w:rFonts w:eastAsia="Times New Roman" w:cs="Times New Roman"/>
          <w:lang w:val="en-GB" w:eastAsia="en-AU"/>
        </w:rPr>
        <w:t>funded</w:t>
      </w:r>
      <w:r w:rsidR="148B6060" w:rsidRPr="005F5BEA">
        <w:rPr>
          <w:rFonts w:eastAsia="Times New Roman" w:cs="Times New Roman"/>
          <w:lang w:val="en-GB" w:eastAsia="en-AU"/>
        </w:rPr>
        <w:t xml:space="preserve"> by PL benefits </w:t>
      </w:r>
      <w:r w:rsidR="578A8EF8" w:rsidRPr="005F5BEA">
        <w:rPr>
          <w:rFonts w:eastAsia="Times New Roman" w:cs="Times New Roman"/>
          <w:lang w:val="en-GB" w:eastAsia="en-AU"/>
        </w:rPr>
        <w:t xml:space="preserve">in the overhead costs </w:t>
      </w:r>
      <w:r w:rsidR="2F3361C7" w:rsidRPr="005F5BEA">
        <w:rPr>
          <w:rFonts w:eastAsia="Times New Roman" w:cs="Times New Roman"/>
          <w:lang w:val="en-GB" w:eastAsia="en-AU"/>
        </w:rPr>
        <w:t xml:space="preserve">as PL reforms have </w:t>
      </w:r>
      <w:r w:rsidR="62941FC9" w:rsidRPr="005F5BEA">
        <w:rPr>
          <w:rFonts w:eastAsia="Times New Roman" w:cs="Times New Roman"/>
          <w:lang w:val="en-GB" w:eastAsia="en-AU"/>
        </w:rPr>
        <w:t xml:space="preserve">aimed to remove general use </w:t>
      </w:r>
      <w:r w:rsidR="744A77B2" w:rsidRPr="005F5BEA">
        <w:rPr>
          <w:rFonts w:eastAsia="Times New Roman" w:cs="Times New Roman"/>
          <w:lang w:val="en-GB" w:eastAsia="en-AU"/>
        </w:rPr>
        <w:t xml:space="preserve">and consumable </w:t>
      </w:r>
      <w:r w:rsidR="62941FC9" w:rsidRPr="005F5BEA">
        <w:rPr>
          <w:rFonts w:eastAsia="Times New Roman" w:cs="Times New Roman"/>
          <w:lang w:val="en-GB" w:eastAsia="en-AU"/>
        </w:rPr>
        <w:t>items</w:t>
      </w:r>
      <w:r w:rsidR="212B2DE0" w:rsidRPr="005F5BEA">
        <w:rPr>
          <w:rFonts w:eastAsia="Times New Roman" w:cs="Times New Roman"/>
          <w:lang w:val="en-GB" w:eastAsia="en-AU"/>
        </w:rPr>
        <w:t xml:space="preserve">. </w:t>
      </w:r>
      <w:r w:rsidR="7F7A0DE9" w:rsidRPr="005F5BEA">
        <w:rPr>
          <w:rFonts w:eastAsia="Times New Roman" w:cs="Times New Roman"/>
          <w:lang w:val="en-GB" w:eastAsia="en-AU"/>
        </w:rPr>
        <w:t xml:space="preserve">MSAC </w:t>
      </w:r>
      <w:r w:rsidR="12325C4E" w:rsidRPr="005F5BEA">
        <w:rPr>
          <w:rFonts w:eastAsia="Times New Roman" w:cs="Times New Roman"/>
          <w:lang w:val="en-GB" w:eastAsia="en-AU"/>
        </w:rPr>
        <w:t>noted the</w:t>
      </w:r>
      <w:r w:rsidR="4FC4540C" w:rsidRPr="005F5BEA">
        <w:rPr>
          <w:rFonts w:eastAsia="Times New Roman" w:cs="Times New Roman"/>
          <w:lang w:val="en-GB" w:eastAsia="en-AU"/>
        </w:rPr>
        <w:t xml:space="preserve"> applicant’s </w:t>
      </w:r>
      <w:r w:rsidR="726DE236" w:rsidRPr="005F5BEA">
        <w:rPr>
          <w:rFonts w:eastAsia="Times New Roman" w:cs="Times New Roman"/>
          <w:lang w:val="en-GB" w:eastAsia="en-AU"/>
        </w:rPr>
        <w:t xml:space="preserve">July 2023 </w:t>
      </w:r>
      <w:r w:rsidR="12325C4E" w:rsidRPr="005F5BEA">
        <w:rPr>
          <w:rFonts w:eastAsia="Times New Roman" w:cs="Times New Roman"/>
          <w:lang w:val="en-GB" w:eastAsia="en-AU"/>
        </w:rPr>
        <w:t>pre-</w:t>
      </w:r>
      <w:r w:rsidR="64603459" w:rsidRPr="005F5BEA">
        <w:rPr>
          <w:rFonts w:eastAsia="Times New Roman" w:cs="Times New Roman"/>
          <w:lang w:val="en-GB" w:eastAsia="en-AU"/>
        </w:rPr>
        <w:t xml:space="preserve">MSAC </w:t>
      </w:r>
      <w:r w:rsidR="12325C4E" w:rsidRPr="005F5BEA">
        <w:rPr>
          <w:rFonts w:eastAsia="Times New Roman" w:cs="Times New Roman"/>
          <w:lang w:val="en-GB" w:eastAsia="en-AU"/>
        </w:rPr>
        <w:t xml:space="preserve">response that </w:t>
      </w:r>
      <w:r w:rsidR="7F7A0DE9" w:rsidRPr="005F5BEA">
        <w:rPr>
          <w:rFonts w:eastAsia="Times New Roman" w:cs="Times New Roman"/>
          <w:lang w:val="en-GB" w:eastAsia="en-AU"/>
        </w:rPr>
        <w:t>the</w:t>
      </w:r>
      <w:r w:rsidR="75C6D6D5" w:rsidRPr="005F5BEA">
        <w:rPr>
          <w:rFonts w:eastAsia="Times New Roman" w:cs="Times New Roman"/>
          <w:lang w:val="en-GB" w:eastAsia="en-AU"/>
        </w:rPr>
        <w:t xml:space="preserve"> interpretation of what was relevant in each category was left to each of the five MTAA CF companies </w:t>
      </w:r>
      <w:r w:rsidR="1397B734" w:rsidRPr="005F5BEA">
        <w:rPr>
          <w:rFonts w:eastAsia="Times New Roman" w:cs="Times New Roman"/>
          <w:lang w:val="en-GB" w:eastAsia="en-AU"/>
        </w:rPr>
        <w:t xml:space="preserve">to </w:t>
      </w:r>
      <w:r w:rsidR="75C6D6D5" w:rsidRPr="005F5BEA">
        <w:rPr>
          <w:rFonts w:eastAsia="Times New Roman" w:cs="Times New Roman"/>
          <w:lang w:val="en-GB" w:eastAsia="en-AU"/>
        </w:rPr>
        <w:t>independently</w:t>
      </w:r>
      <w:r w:rsidR="77E6F4A1" w:rsidRPr="005F5BEA">
        <w:rPr>
          <w:rFonts w:eastAsia="Times New Roman" w:cs="Times New Roman"/>
          <w:lang w:val="en-GB" w:eastAsia="en-AU"/>
        </w:rPr>
        <w:t xml:space="preserve"> decide</w:t>
      </w:r>
      <w:r w:rsidR="75C6D6D5" w:rsidRPr="005F5BEA">
        <w:rPr>
          <w:rFonts w:eastAsia="Times New Roman" w:cs="Times New Roman"/>
          <w:lang w:val="en-GB" w:eastAsia="en-AU"/>
        </w:rPr>
        <w:t xml:space="preserve">, </w:t>
      </w:r>
      <w:r w:rsidR="2EA92167" w:rsidRPr="005F5BEA">
        <w:rPr>
          <w:rFonts w:eastAsia="Times New Roman" w:cs="Times New Roman"/>
          <w:lang w:val="en-GB" w:eastAsia="en-AU"/>
        </w:rPr>
        <w:t xml:space="preserve">contributing to </w:t>
      </w:r>
      <w:r w:rsidR="75C6D6D5" w:rsidRPr="005F5BEA">
        <w:rPr>
          <w:rFonts w:eastAsia="Times New Roman" w:cs="Times New Roman"/>
          <w:lang w:val="en-GB" w:eastAsia="en-AU"/>
        </w:rPr>
        <w:t xml:space="preserve">the </w:t>
      </w:r>
      <w:r w:rsidR="00583C98" w:rsidRPr="005F5BEA">
        <w:rPr>
          <w:rFonts w:eastAsia="Times New Roman" w:cs="Times New Roman"/>
          <w:lang w:val="en-GB" w:eastAsia="en-AU"/>
        </w:rPr>
        <w:t xml:space="preserve">substantial </w:t>
      </w:r>
      <w:r w:rsidR="75C6D6D5" w:rsidRPr="005F5BEA">
        <w:rPr>
          <w:rFonts w:eastAsia="Times New Roman" w:cs="Times New Roman"/>
          <w:lang w:val="en-GB" w:eastAsia="en-AU"/>
        </w:rPr>
        <w:t xml:space="preserve">variation in the distribution of costs across the categories. </w:t>
      </w:r>
      <w:r w:rsidR="4637C1F3" w:rsidRPr="005F5BEA">
        <w:rPr>
          <w:rFonts w:eastAsia="Times New Roman" w:cs="Times New Roman"/>
          <w:lang w:val="en-GB" w:eastAsia="en-AU"/>
        </w:rPr>
        <w:t>MSAC considered this variability in interpretation</w:t>
      </w:r>
      <w:r w:rsidR="6B92898F" w:rsidRPr="005F5BEA">
        <w:rPr>
          <w:rFonts w:eastAsia="Times New Roman" w:cs="Times New Roman"/>
          <w:lang w:val="en-GB" w:eastAsia="en-AU"/>
        </w:rPr>
        <w:t xml:space="preserve"> and lack of transparency regarding the costs included</w:t>
      </w:r>
      <w:r w:rsidR="4637C1F3" w:rsidRPr="005F5BEA">
        <w:rPr>
          <w:rFonts w:eastAsia="Times New Roman" w:cs="Times New Roman"/>
          <w:lang w:val="en-GB" w:eastAsia="en-AU"/>
        </w:rPr>
        <w:t xml:space="preserve"> </w:t>
      </w:r>
      <w:r w:rsidR="1E2C1EEF" w:rsidRPr="005F5BEA">
        <w:rPr>
          <w:rFonts w:eastAsia="Times New Roman" w:cs="Times New Roman"/>
          <w:lang w:val="en-GB" w:eastAsia="en-AU"/>
        </w:rPr>
        <w:t xml:space="preserve">in each category </w:t>
      </w:r>
      <w:r w:rsidR="4637C1F3" w:rsidRPr="005F5BEA">
        <w:rPr>
          <w:rFonts w:eastAsia="Times New Roman" w:cs="Times New Roman"/>
          <w:lang w:val="en-GB" w:eastAsia="en-AU"/>
        </w:rPr>
        <w:t xml:space="preserve">resulted in </w:t>
      </w:r>
      <w:r w:rsidR="4EC57CFE" w:rsidRPr="005F5BEA">
        <w:rPr>
          <w:rFonts w:eastAsia="Times New Roman" w:cs="Times New Roman"/>
          <w:lang w:val="en-GB" w:eastAsia="en-AU"/>
        </w:rPr>
        <w:t>t</w:t>
      </w:r>
      <w:r w:rsidR="12325C4E" w:rsidRPr="005F5BEA">
        <w:rPr>
          <w:rFonts w:eastAsia="Times New Roman" w:cs="Times New Roman"/>
          <w:lang w:val="en-GB" w:eastAsia="en-AU"/>
        </w:rPr>
        <w:t>he</w:t>
      </w:r>
      <w:r w:rsidR="5CF55EA4" w:rsidRPr="005F5BEA">
        <w:rPr>
          <w:rFonts w:eastAsia="Times New Roman" w:cs="Times New Roman"/>
          <w:lang w:val="en-GB" w:eastAsia="en-AU"/>
        </w:rPr>
        <w:t xml:space="preserve"> estimation of the</w:t>
      </w:r>
      <w:r w:rsidR="12325C4E" w:rsidRPr="005F5BEA">
        <w:rPr>
          <w:rFonts w:eastAsia="Times New Roman" w:cs="Times New Roman"/>
          <w:lang w:val="en-GB" w:eastAsia="en-AU"/>
        </w:rPr>
        <w:t xml:space="preserve"> overhead costs</w:t>
      </w:r>
      <w:r w:rsidR="112F1A42" w:rsidRPr="005F5BEA">
        <w:rPr>
          <w:rFonts w:eastAsia="Times New Roman" w:cs="Times New Roman"/>
          <w:lang w:val="en-GB" w:eastAsia="en-AU"/>
        </w:rPr>
        <w:t xml:space="preserve"> </w:t>
      </w:r>
      <w:r w:rsidR="19420E73" w:rsidRPr="005F5BEA">
        <w:rPr>
          <w:rFonts w:eastAsia="Times New Roman" w:cs="Times New Roman"/>
          <w:lang w:val="en-GB" w:eastAsia="en-AU"/>
        </w:rPr>
        <w:t>being unreliable</w:t>
      </w:r>
      <w:r w:rsidR="12325C4E" w:rsidRPr="005F5BEA">
        <w:rPr>
          <w:rFonts w:eastAsia="Times New Roman" w:cs="Times New Roman"/>
          <w:lang w:val="en-GB" w:eastAsia="en-AU"/>
        </w:rPr>
        <w:t>.</w:t>
      </w:r>
      <w:r w:rsidR="78413D37" w:rsidRPr="005F5BEA">
        <w:rPr>
          <w:rFonts w:eastAsia="Times New Roman" w:cs="Times New Roman"/>
          <w:lang w:val="en-GB" w:eastAsia="en-AU"/>
        </w:rPr>
        <w:t xml:space="preserve"> MSAC also considered the fact </w:t>
      </w:r>
      <w:r w:rsidR="007B741F" w:rsidRPr="005F5BEA">
        <w:rPr>
          <w:rFonts w:eastAsia="Times New Roman" w:cs="Times New Roman"/>
          <w:lang w:val="en-GB" w:eastAsia="en-AU"/>
        </w:rPr>
        <w:t>that the number of IECTs was</w:t>
      </w:r>
      <w:r w:rsidR="78413D37" w:rsidRPr="005F5BEA">
        <w:rPr>
          <w:rFonts w:eastAsia="Times New Roman" w:cs="Times New Roman"/>
          <w:lang w:val="en-GB" w:eastAsia="en-AU"/>
        </w:rPr>
        <w:t xml:space="preserve"> not linked to the number or mix of services provided lacked face validity.</w:t>
      </w:r>
      <w:r w:rsidR="5E8D7A02" w:rsidRPr="005F5BEA">
        <w:rPr>
          <w:rFonts w:eastAsia="Times New Roman" w:cs="Times New Roman"/>
          <w:lang w:val="en-GB" w:eastAsia="en-AU"/>
        </w:rPr>
        <w:t xml:space="preserve"> </w:t>
      </w:r>
      <w:r w:rsidR="19F750EC" w:rsidRPr="005F5BEA">
        <w:rPr>
          <w:rFonts w:eastAsia="Times New Roman" w:cs="Times New Roman"/>
          <w:lang w:val="en-GB" w:eastAsia="en-AU"/>
        </w:rPr>
        <w:t xml:space="preserve">MSAC </w:t>
      </w:r>
      <w:r w:rsidR="73E9F6BA" w:rsidRPr="005F5BEA">
        <w:rPr>
          <w:rFonts w:eastAsia="Times New Roman" w:cs="Times New Roman"/>
          <w:lang w:val="en-GB" w:eastAsia="en-AU"/>
        </w:rPr>
        <w:t xml:space="preserve">agreed with the </w:t>
      </w:r>
      <w:r w:rsidR="54E543FD" w:rsidRPr="005F5BEA">
        <w:rPr>
          <w:rFonts w:eastAsia="Times New Roman" w:cs="Times New Roman"/>
          <w:lang w:val="en-GB" w:eastAsia="en-AU"/>
        </w:rPr>
        <w:t xml:space="preserve">applicant’s July 2023 </w:t>
      </w:r>
      <w:r w:rsidR="73E9F6BA" w:rsidRPr="005F5BEA">
        <w:rPr>
          <w:rFonts w:eastAsia="Times New Roman" w:cs="Times New Roman"/>
          <w:lang w:val="en-GB" w:eastAsia="en-AU"/>
        </w:rPr>
        <w:t xml:space="preserve">pre-MSAC response that </w:t>
      </w:r>
      <w:r w:rsidR="00476A57" w:rsidRPr="005F5BEA">
        <w:rPr>
          <w:rFonts w:eastAsia="Times New Roman" w:cs="Times New Roman"/>
          <w:lang w:val="en-GB" w:eastAsia="en-AU"/>
        </w:rPr>
        <w:t>it is</w:t>
      </w:r>
      <w:r w:rsidR="3BFF41F2" w:rsidRPr="005F5BEA">
        <w:rPr>
          <w:rFonts w:eastAsia="Times New Roman" w:cs="Times New Roman"/>
          <w:lang w:val="en-GB" w:eastAsia="en-AU"/>
        </w:rPr>
        <w:t xml:space="preserve"> the larger companies </w:t>
      </w:r>
      <w:r w:rsidR="00476A57" w:rsidRPr="005F5BEA">
        <w:rPr>
          <w:rFonts w:eastAsia="Times New Roman" w:cs="Times New Roman"/>
          <w:lang w:val="en-GB" w:eastAsia="en-AU"/>
        </w:rPr>
        <w:t xml:space="preserve">who </w:t>
      </w:r>
      <w:r w:rsidR="3BFF41F2" w:rsidRPr="005F5BEA">
        <w:rPr>
          <w:rFonts w:eastAsia="Times New Roman" w:cs="Times New Roman"/>
          <w:lang w:val="en-GB" w:eastAsia="en-AU"/>
        </w:rPr>
        <w:t xml:space="preserve">provide </w:t>
      </w:r>
      <w:proofErr w:type="gramStart"/>
      <w:r w:rsidR="00476A57" w:rsidRPr="005F5BEA">
        <w:rPr>
          <w:rFonts w:eastAsia="Times New Roman" w:cs="Times New Roman"/>
          <w:lang w:val="en-GB" w:eastAsia="en-AU"/>
        </w:rPr>
        <w:t xml:space="preserve">the </w:t>
      </w:r>
      <w:r w:rsidR="3BFF41F2" w:rsidRPr="005F5BEA">
        <w:rPr>
          <w:rFonts w:eastAsia="Times New Roman" w:cs="Times New Roman"/>
          <w:lang w:val="en-GB" w:eastAsia="en-AU"/>
        </w:rPr>
        <w:t>majority of</w:t>
      </w:r>
      <w:proofErr w:type="gramEnd"/>
      <w:r w:rsidR="3BFF41F2" w:rsidRPr="005F5BEA">
        <w:rPr>
          <w:rFonts w:eastAsia="Times New Roman" w:cs="Times New Roman"/>
          <w:lang w:val="en-GB" w:eastAsia="en-AU"/>
        </w:rPr>
        <w:t xml:space="preserve"> the cardiac services </w:t>
      </w:r>
      <w:r w:rsidR="000D734B" w:rsidRPr="005F5BEA">
        <w:rPr>
          <w:rFonts w:eastAsia="Times New Roman" w:cs="Times New Roman"/>
          <w:lang w:val="en-GB" w:eastAsia="en-AU"/>
        </w:rPr>
        <w:t xml:space="preserve">and hence realise </w:t>
      </w:r>
      <w:r w:rsidR="3BFF41F2" w:rsidRPr="005F5BEA">
        <w:rPr>
          <w:rFonts w:eastAsia="Times New Roman" w:cs="Times New Roman"/>
          <w:lang w:val="en-GB" w:eastAsia="en-AU"/>
        </w:rPr>
        <w:t>econom</w:t>
      </w:r>
      <w:r w:rsidR="000D734B" w:rsidRPr="005F5BEA">
        <w:rPr>
          <w:rFonts w:eastAsia="Times New Roman" w:cs="Times New Roman"/>
          <w:lang w:val="en-GB" w:eastAsia="en-AU"/>
        </w:rPr>
        <w:t>ies</w:t>
      </w:r>
      <w:r w:rsidR="3BFF41F2" w:rsidRPr="005F5BEA">
        <w:rPr>
          <w:rFonts w:eastAsia="Times New Roman" w:cs="Times New Roman"/>
          <w:lang w:val="en-GB" w:eastAsia="en-AU"/>
        </w:rPr>
        <w:t xml:space="preserve"> of scale </w:t>
      </w:r>
      <w:r w:rsidR="000D734B" w:rsidRPr="005F5BEA">
        <w:rPr>
          <w:rFonts w:eastAsia="Times New Roman" w:cs="Times New Roman"/>
          <w:lang w:val="en-GB" w:eastAsia="en-AU"/>
        </w:rPr>
        <w:t>with this service provision,</w:t>
      </w:r>
      <w:r w:rsidR="3BFF41F2" w:rsidRPr="005F5BEA">
        <w:rPr>
          <w:rFonts w:eastAsia="Times New Roman" w:cs="Times New Roman"/>
          <w:lang w:val="en-GB" w:eastAsia="en-AU"/>
        </w:rPr>
        <w:t xml:space="preserve"> and that while the direct costs are entirely influenced by the number of services provided, at a unit level, the overhead costs are higher for the smaller companies to resource </w:t>
      </w:r>
      <w:r w:rsidR="3A85068C" w:rsidRPr="005F5BEA">
        <w:rPr>
          <w:rFonts w:eastAsia="Times New Roman" w:cs="Times New Roman"/>
          <w:lang w:val="en-GB" w:eastAsia="en-AU"/>
        </w:rPr>
        <w:t>themselves</w:t>
      </w:r>
      <w:r w:rsidR="3BFF41F2" w:rsidRPr="005F5BEA">
        <w:rPr>
          <w:rFonts w:eastAsia="Times New Roman" w:cs="Times New Roman"/>
          <w:lang w:val="en-GB" w:eastAsia="en-AU"/>
        </w:rPr>
        <w:t xml:space="preserve"> to provide these services. </w:t>
      </w:r>
      <w:r w:rsidR="3B336D01" w:rsidRPr="005F5BEA">
        <w:rPr>
          <w:rFonts w:eastAsia="Times New Roman" w:cs="Times New Roman"/>
          <w:lang w:val="en-GB" w:eastAsia="en-AU"/>
        </w:rPr>
        <w:t xml:space="preserve">MSAC considered that it was not reasonable to remove the overhead costs </w:t>
      </w:r>
      <w:r w:rsidR="20EC75FE" w:rsidRPr="005F5BEA">
        <w:rPr>
          <w:rFonts w:eastAsia="Times New Roman" w:cs="Times New Roman"/>
          <w:lang w:val="en-GB" w:eastAsia="en-AU"/>
        </w:rPr>
        <w:t xml:space="preserve">from the </w:t>
      </w:r>
      <w:r w:rsidR="3BE6CA41" w:rsidRPr="005F5BEA">
        <w:rPr>
          <w:rFonts w:eastAsia="Times New Roman" w:cs="Times New Roman"/>
          <w:lang w:val="en-GB" w:eastAsia="en-AU"/>
        </w:rPr>
        <w:t>two most costly companies</w:t>
      </w:r>
      <w:r w:rsidR="472E9101" w:rsidRPr="005F5BEA">
        <w:rPr>
          <w:rFonts w:eastAsia="Times New Roman" w:cs="Times New Roman"/>
          <w:lang w:val="en-GB" w:eastAsia="en-AU"/>
        </w:rPr>
        <w:t xml:space="preserve"> </w:t>
      </w:r>
      <w:r w:rsidR="3BE6CA41" w:rsidRPr="005F5BEA">
        <w:rPr>
          <w:rFonts w:eastAsia="Times New Roman" w:cs="Times New Roman"/>
          <w:lang w:val="en-GB" w:eastAsia="en-AU"/>
        </w:rPr>
        <w:t>as suggested by the focused evaluation</w:t>
      </w:r>
      <w:r w:rsidR="2A92D475" w:rsidRPr="005F5BEA">
        <w:rPr>
          <w:rFonts w:eastAsia="Times New Roman" w:cs="Times New Roman"/>
          <w:lang w:val="en-GB" w:eastAsia="en-AU"/>
        </w:rPr>
        <w:t>,</w:t>
      </w:r>
      <w:r w:rsidR="3BE6CA41" w:rsidRPr="005F5BEA">
        <w:rPr>
          <w:rFonts w:eastAsia="Times New Roman" w:cs="Times New Roman"/>
          <w:lang w:val="en-GB" w:eastAsia="en-AU"/>
        </w:rPr>
        <w:t xml:space="preserve"> </w:t>
      </w:r>
      <w:r w:rsidR="2BED0C99" w:rsidRPr="005F5BEA">
        <w:rPr>
          <w:rFonts w:eastAsia="Times New Roman" w:cs="Times New Roman"/>
          <w:lang w:val="en-GB" w:eastAsia="en-AU"/>
        </w:rPr>
        <w:t xml:space="preserve">as a means of </w:t>
      </w:r>
      <w:r w:rsidR="3BE6CA41" w:rsidRPr="005F5BEA">
        <w:rPr>
          <w:rFonts w:eastAsia="Times New Roman" w:cs="Times New Roman"/>
          <w:lang w:val="en-GB" w:eastAsia="en-AU"/>
        </w:rPr>
        <w:t>determ</w:t>
      </w:r>
      <w:r w:rsidR="5B95C988" w:rsidRPr="005F5BEA">
        <w:rPr>
          <w:rFonts w:eastAsia="Times New Roman" w:cs="Times New Roman"/>
          <w:lang w:val="en-GB" w:eastAsia="en-AU"/>
        </w:rPr>
        <w:t xml:space="preserve">ining </w:t>
      </w:r>
      <w:r w:rsidR="3BE6CA41" w:rsidRPr="005F5BEA">
        <w:rPr>
          <w:rFonts w:eastAsia="Times New Roman" w:cs="Times New Roman"/>
          <w:lang w:val="en-GB" w:eastAsia="en-AU"/>
        </w:rPr>
        <w:t xml:space="preserve">a more reasonable estimate of overhead costs. </w:t>
      </w:r>
    </w:p>
    <w:p w14:paraId="025CCEE7" w14:textId="595B3D10" w:rsidR="4F018AA9" w:rsidRPr="005F5BEA" w:rsidRDefault="4F018AA9" w:rsidP="11AFB54D">
      <w:pPr>
        <w:rPr>
          <w:rFonts w:eastAsia="Times New Roman" w:cs="Times New Roman"/>
          <w:lang w:val="en-GB" w:eastAsia="en-AU"/>
        </w:rPr>
      </w:pPr>
      <w:r w:rsidRPr="005F5BEA">
        <w:rPr>
          <w:rFonts w:eastAsia="Times New Roman" w:cs="Times New Roman"/>
          <w:lang w:val="en-GB" w:eastAsia="en-AU"/>
        </w:rPr>
        <w:t xml:space="preserve">MSAC </w:t>
      </w:r>
      <w:r w:rsidR="1C84631F" w:rsidRPr="005F5BEA">
        <w:rPr>
          <w:rFonts w:eastAsia="Times New Roman" w:cs="Times New Roman"/>
          <w:lang w:val="en-GB" w:eastAsia="en-AU"/>
        </w:rPr>
        <w:t>noted</w:t>
      </w:r>
      <w:r w:rsidRPr="005F5BEA">
        <w:rPr>
          <w:rFonts w:eastAsia="Times New Roman" w:cs="Times New Roman"/>
          <w:lang w:val="en-GB" w:eastAsia="en-AU"/>
        </w:rPr>
        <w:t xml:space="preserve"> the </w:t>
      </w:r>
      <w:r w:rsidR="358A5EFB" w:rsidRPr="005F5BEA">
        <w:rPr>
          <w:rFonts w:eastAsia="Times New Roman" w:cs="Times New Roman"/>
          <w:lang w:val="en-GB" w:eastAsia="en-AU"/>
        </w:rPr>
        <w:t>updated overhead costs</w:t>
      </w:r>
      <w:r w:rsidRPr="005F5BEA">
        <w:rPr>
          <w:rFonts w:eastAsia="Times New Roman" w:cs="Times New Roman"/>
          <w:lang w:val="en-GB" w:eastAsia="en-AU"/>
        </w:rPr>
        <w:t xml:space="preserve"> were approximately 50% of</w:t>
      </w:r>
      <w:r w:rsidR="1D908CBF" w:rsidRPr="005F5BEA">
        <w:rPr>
          <w:rFonts w:eastAsia="Times New Roman" w:cs="Times New Roman"/>
          <w:lang w:val="en-GB" w:eastAsia="en-AU"/>
        </w:rPr>
        <w:t xml:space="preserve"> the</w:t>
      </w:r>
      <w:r w:rsidRPr="005F5BEA">
        <w:rPr>
          <w:rFonts w:eastAsia="Times New Roman" w:cs="Times New Roman"/>
          <w:lang w:val="en-GB" w:eastAsia="en-AU"/>
        </w:rPr>
        <w:t xml:space="preserve"> direct costs</w:t>
      </w:r>
      <w:r w:rsidR="309811FD" w:rsidRPr="005F5BEA">
        <w:rPr>
          <w:rFonts w:eastAsia="Times New Roman" w:cs="Times New Roman"/>
          <w:lang w:val="en-GB" w:eastAsia="en-AU"/>
        </w:rPr>
        <w:t xml:space="preserve"> and considered they were overestimated</w:t>
      </w:r>
      <w:r w:rsidRPr="005F5BEA">
        <w:rPr>
          <w:rFonts w:eastAsia="Times New Roman" w:cs="Times New Roman"/>
          <w:lang w:val="en-GB" w:eastAsia="en-AU"/>
        </w:rPr>
        <w:t xml:space="preserve">. MSAC advised that it would be reasonable to </w:t>
      </w:r>
      <w:r w:rsidR="328C8F1A" w:rsidRPr="005F5BEA">
        <w:rPr>
          <w:rFonts w:eastAsia="Times New Roman" w:cs="Times New Roman"/>
          <w:lang w:val="en-GB" w:eastAsia="en-AU"/>
        </w:rPr>
        <w:t>calculate</w:t>
      </w:r>
      <w:r w:rsidRPr="005F5BEA">
        <w:rPr>
          <w:rFonts w:eastAsia="Times New Roman" w:cs="Times New Roman"/>
          <w:lang w:val="en-GB" w:eastAsia="en-AU"/>
        </w:rPr>
        <w:t xml:space="preserve"> the overhead costs of providing technical support services for CIEDs as 30% of the reasonable estimate of direct costs</w:t>
      </w:r>
      <w:r w:rsidR="0F1E8299" w:rsidRPr="005F5BEA">
        <w:rPr>
          <w:rFonts w:eastAsia="Times New Roman" w:cs="Times New Roman"/>
          <w:lang w:val="en-GB" w:eastAsia="en-AU"/>
        </w:rPr>
        <w:t>,</w:t>
      </w:r>
      <w:r w:rsidR="598F7CCD" w:rsidRPr="005F5BEA">
        <w:rPr>
          <w:rFonts w:eastAsia="Times New Roman" w:cs="Times New Roman"/>
          <w:lang w:val="en-GB" w:eastAsia="en-AU"/>
        </w:rPr>
        <w:t xml:space="preserve"> as initially proposed in the ADAR</w:t>
      </w:r>
      <w:r w:rsidR="1848FDF0" w:rsidRPr="005F5BEA">
        <w:rPr>
          <w:rFonts w:eastAsia="Times New Roman" w:cs="Times New Roman"/>
          <w:lang w:val="en-GB" w:eastAsia="en-AU"/>
        </w:rPr>
        <w:t xml:space="preserve">. </w:t>
      </w:r>
      <w:r w:rsidR="2F641EB9" w:rsidRPr="005F5BEA">
        <w:rPr>
          <w:rFonts w:eastAsia="Times New Roman" w:cs="Times New Roman"/>
          <w:lang w:val="en-GB" w:eastAsia="en-AU"/>
        </w:rPr>
        <w:t xml:space="preserve">MSAC considered that this would be more consistent with the average value of overhead costs calculated from the last 5 rounds of the National Hospital Cost Data Collection Public Hospitals Report. </w:t>
      </w:r>
      <w:r w:rsidR="558924D4" w:rsidRPr="005F5BEA">
        <w:rPr>
          <w:rFonts w:eastAsia="Times New Roman" w:cs="Times New Roman"/>
          <w:lang w:val="en-GB" w:eastAsia="en-AU"/>
        </w:rPr>
        <w:t>MSAC advised that the</w:t>
      </w:r>
      <w:r w:rsidR="558924D4" w:rsidRPr="005F5BEA">
        <w:rPr>
          <w:rFonts w:eastAsia="Times New Roman" w:cs="Times New Roman"/>
          <w:i/>
          <w:iCs/>
          <w:lang w:val="en-GB" w:eastAsia="en-AU"/>
        </w:rPr>
        <w:t xml:space="preserve"> Utilisation and Cost model Workbook </w:t>
      </w:r>
      <w:r w:rsidR="558924D4" w:rsidRPr="005F5BEA">
        <w:rPr>
          <w:lang w:val="en-GB"/>
        </w:rPr>
        <w:t>submitted by the applicant</w:t>
      </w:r>
      <w:r w:rsidR="558924D4" w:rsidRPr="005F5BEA">
        <w:rPr>
          <w:rFonts w:eastAsia="Times New Roman" w:cs="Times New Roman"/>
          <w:i/>
          <w:iCs/>
          <w:lang w:val="en-GB" w:eastAsia="en-AU"/>
        </w:rPr>
        <w:t xml:space="preserve"> </w:t>
      </w:r>
      <w:r w:rsidR="558924D4" w:rsidRPr="005F5BEA">
        <w:rPr>
          <w:rFonts w:eastAsia="Times New Roman" w:cs="Times New Roman"/>
          <w:lang w:val="en-GB" w:eastAsia="en-AU"/>
        </w:rPr>
        <w:t xml:space="preserve">does not </w:t>
      </w:r>
      <w:r w:rsidR="632F7C70" w:rsidRPr="005F5BEA">
        <w:rPr>
          <w:rFonts w:eastAsia="Times New Roman" w:cs="Times New Roman"/>
          <w:lang w:val="en-GB" w:eastAsia="en-AU"/>
        </w:rPr>
        <w:t>appropriately calculate the overhead costs</w:t>
      </w:r>
      <w:r w:rsidR="5E655775" w:rsidRPr="005F5BEA">
        <w:rPr>
          <w:rFonts w:eastAsia="Times New Roman" w:cs="Times New Roman"/>
          <w:lang w:val="en-GB" w:eastAsia="en-AU"/>
        </w:rPr>
        <w:t xml:space="preserve"> as being 30% of the direct costs and that this requires adjustment. </w:t>
      </w:r>
    </w:p>
    <w:p w14:paraId="6226A720" w14:textId="1855240E" w:rsidR="009F48CC" w:rsidRPr="005F5BEA" w:rsidRDefault="4379A3A7" w:rsidP="11AFB54D">
      <w:pPr>
        <w:rPr>
          <w:rFonts w:eastAsia="Calibri" w:cs="Arial"/>
          <w:lang w:eastAsia="en-AU"/>
        </w:rPr>
      </w:pPr>
      <w:r w:rsidRPr="005F5BEA">
        <w:rPr>
          <w:rFonts w:eastAsia="Times New Roman" w:cs="Times New Roman"/>
          <w:lang w:eastAsia="en-AU"/>
        </w:rPr>
        <w:t xml:space="preserve">MSAC advised that the reasonable cost of technical support services for CIEDs should be based on the updated service volumes </w:t>
      </w:r>
      <w:r w:rsidR="63278445" w:rsidRPr="005F5BEA">
        <w:rPr>
          <w:rFonts w:eastAsia="Times New Roman" w:cs="Times New Roman"/>
          <w:lang w:eastAsia="en-AU"/>
        </w:rPr>
        <w:t xml:space="preserve">derived from the </w:t>
      </w:r>
      <w:r w:rsidRPr="005F5BEA">
        <w:rPr>
          <w:rFonts w:eastAsia="Times New Roman" w:cs="Times New Roman"/>
          <w:lang w:eastAsia="en-AU"/>
        </w:rPr>
        <w:t xml:space="preserve">8 weeks of data collection used in the updated cost estimates. </w:t>
      </w:r>
      <w:r w:rsidR="1B19D990" w:rsidRPr="005F5BEA">
        <w:rPr>
          <w:rFonts w:eastAsia="Times New Roman" w:cs="Times New Roman"/>
          <w:lang w:eastAsia="en-AU"/>
        </w:rPr>
        <w:t xml:space="preserve">In addition to adjusting overhead costs to be 30% of the reasonable cost of direct costs, </w:t>
      </w:r>
      <w:r w:rsidRPr="005F5BEA">
        <w:rPr>
          <w:rFonts w:eastAsia="Times New Roman" w:cs="Times New Roman"/>
          <w:lang w:eastAsia="en-AU"/>
        </w:rPr>
        <w:t xml:space="preserve">MSAC reaffirmed </w:t>
      </w:r>
      <w:r w:rsidR="44E5F532" w:rsidRPr="005F5BEA">
        <w:rPr>
          <w:rFonts w:eastAsia="Times New Roman" w:cs="Times New Roman"/>
          <w:lang w:eastAsia="en-AU"/>
        </w:rPr>
        <w:t xml:space="preserve">that the </w:t>
      </w:r>
      <w:r w:rsidRPr="005F5BEA">
        <w:rPr>
          <w:rFonts w:eastAsia="Times New Roman" w:cs="Times New Roman"/>
          <w:lang w:eastAsia="en-AU"/>
        </w:rPr>
        <w:t xml:space="preserve">reasonable cost of technical support services for CIEDs should be calculated based on its </w:t>
      </w:r>
      <w:r w:rsidR="1F1EFD32" w:rsidRPr="005F5BEA">
        <w:rPr>
          <w:rFonts w:eastAsia="Times New Roman" w:cs="Times New Roman"/>
          <w:lang w:eastAsia="en-AU"/>
        </w:rPr>
        <w:t>March 2023</w:t>
      </w:r>
      <w:r w:rsidRPr="005F5BEA">
        <w:rPr>
          <w:rFonts w:eastAsia="Times New Roman" w:cs="Times New Roman"/>
          <w:lang w:eastAsia="en-AU"/>
        </w:rPr>
        <w:t xml:space="preserve"> advice with respect to</w:t>
      </w:r>
      <w:r w:rsidR="481A68BB" w:rsidRPr="005F5BEA">
        <w:rPr>
          <w:rFonts w:eastAsia="Times New Roman" w:cs="Times New Roman"/>
          <w:lang w:eastAsia="en-AU"/>
        </w:rPr>
        <w:t xml:space="preserve">: </w:t>
      </w:r>
    </w:p>
    <w:p w14:paraId="50D776D3" w14:textId="3B6A7FB2" w:rsidR="009F48CC" w:rsidRPr="005F5BEA" w:rsidRDefault="307C1301" w:rsidP="11AFB54D">
      <w:pPr>
        <w:pStyle w:val="ListParagraph"/>
        <w:numPr>
          <w:ilvl w:val="0"/>
          <w:numId w:val="6"/>
        </w:numPr>
        <w:rPr>
          <w:rFonts w:eastAsia="Calibri" w:cs="Arial"/>
          <w:lang w:eastAsia="en-AU"/>
        </w:rPr>
      </w:pPr>
      <w:r w:rsidRPr="005F5BEA">
        <w:rPr>
          <w:rFonts w:eastAsia="Times New Roman" w:cs="Times New Roman"/>
          <w:lang w:eastAsia="en-AU"/>
        </w:rPr>
        <w:t>R</w:t>
      </w:r>
      <w:r w:rsidR="481A68BB" w:rsidRPr="005F5BEA">
        <w:rPr>
          <w:rFonts w:eastAsia="Times New Roman" w:cs="Times New Roman"/>
          <w:lang w:eastAsia="en-AU"/>
        </w:rPr>
        <w:t>educing</w:t>
      </w:r>
      <w:r w:rsidR="4379A3A7" w:rsidRPr="005F5BEA">
        <w:rPr>
          <w:rFonts w:eastAsia="Times New Roman" w:cs="Times New Roman"/>
          <w:lang w:eastAsia="en-AU"/>
        </w:rPr>
        <w:t xml:space="preserve"> </w:t>
      </w:r>
      <w:r w:rsidRPr="005F5BEA">
        <w:rPr>
          <w:rFonts w:eastAsia="Times New Roman" w:cs="Times New Roman"/>
          <w:lang w:eastAsia="en-AU"/>
        </w:rPr>
        <w:t xml:space="preserve">the </w:t>
      </w:r>
      <w:r w:rsidR="3D55A76F" w:rsidRPr="005F5BEA">
        <w:rPr>
          <w:rFonts w:eastAsia="Times New Roman" w:cs="Times New Roman"/>
          <w:lang w:eastAsia="en-AU"/>
        </w:rPr>
        <w:t xml:space="preserve">average </w:t>
      </w:r>
      <w:r w:rsidR="4379A3A7" w:rsidRPr="005F5BEA">
        <w:rPr>
          <w:rFonts w:eastAsia="Times New Roman" w:cs="Times New Roman"/>
          <w:lang w:eastAsia="en-AU"/>
        </w:rPr>
        <w:t>hourly wage</w:t>
      </w:r>
      <w:r w:rsidR="4544B4C2" w:rsidRPr="005F5BEA">
        <w:rPr>
          <w:rFonts w:eastAsia="Times New Roman" w:cs="Times New Roman"/>
          <w:lang w:eastAsia="en-AU"/>
        </w:rPr>
        <w:t xml:space="preserve"> of IECTs</w:t>
      </w:r>
      <w:r w:rsidR="2CDB1F3F" w:rsidRPr="005F5BEA">
        <w:rPr>
          <w:rFonts w:eastAsia="Times New Roman" w:cs="Times New Roman"/>
          <w:lang w:eastAsia="en-AU"/>
        </w:rPr>
        <w:t xml:space="preserve"> to</w:t>
      </w:r>
      <w:r w:rsidR="3D55A76F" w:rsidRPr="005F5BEA">
        <w:rPr>
          <w:rFonts w:eastAsia="Times New Roman" w:cs="Times New Roman"/>
          <w:lang w:eastAsia="en-AU"/>
        </w:rPr>
        <w:t xml:space="preserve"> $50 per hour</w:t>
      </w:r>
      <w:r w:rsidR="4379A3A7" w:rsidRPr="005F5BEA">
        <w:rPr>
          <w:rFonts w:eastAsia="Times New Roman" w:cs="Times New Roman"/>
          <w:lang w:eastAsia="en-AU"/>
        </w:rPr>
        <w:t>,</w:t>
      </w:r>
      <w:r w:rsidR="3B22683F" w:rsidRPr="005F5BEA">
        <w:rPr>
          <w:rFonts w:eastAsia="Times New Roman" w:cs="Times New Roman"/>
          <w:lang w:eastAsia="en-AU"/>
        </w:rPr>
        <w:t xml:space="preserve"> based on the average </w:t>
      </w:r>
      <w:r w:rsidR="1705C928" w:rsidRPr="005F5BEA">
        <w:rPr>
          <w:rFonts w:eastAsia="Times New Roman" w:cs="Times New Roman"/>
          <w:lang w:eastAsia="en-AU"/>
        </w:rPr>
        <w:t>salary</w:t>
      </w:r>
      <w:r w:rsidR="3B22683F" w:rsidRPr="005F5BEA">
        <w:rPr>
          <w:rFonts w:eastAsia="Times New Roman" w:cs="Times New Roman"/>
          <w:lang w:eastAsia="en-AU"/>
        </w:rPr>
        <w:t xml:space="preserve"> of</w:t>
      </w:r>
      <w:r w:rsidR="0494C7C7" w:rsidRPr="005F5BEA">
        <w:rPr>
          <w:rFonts w:eastAsia="Times New Roman" w:cs="Times New Roman"/>
          <w:lang w:eastAsia="en-AU"/>
        </w:rPr>
        <w:t xml:space="preserve"> $95,000 for</w:t>
      </w:r>
      <w:r w:rsidR="3B22683F" w:rsidRPr="005F5BEA">
        <w:rPr>
          <w:rFonts w:eastAsia="Times New Roman" w:cs="Times New Roman"/>
          <w:lang w:eastAsia="en-AU"/>
        </w:rPr>
        <w:t xml:space="preserve"> a </w:t>
      </w:r>
      <w:r w:rsidR="7B4951EC" w:rsidRPr="005F5BEA">
        <w:rPr>
          <w:rFonts w:eastAsia="Times New Roman" w:cs="Times New Roman"/>
          <w:lang w:eastAsia="en-AU"/>
        </w:rPr>
        <w:t>cardiac</w:t>
      </w:r>
      <w:r w:rsidR="3B22683F" w:rsidRPr="005F5BEA">
        <w:rPr>
          <w:rFonts w:eastAsia="Times New Roman" w:cs="Times New Roman"/>
          <w:lang w:eastAsia="en-AU"/>
        </w:rPr>
        <w:t xml:space="preserve"> technician</w:t>
      </w:r>
      <w:r w:rsidR="009F61E8">
        <w:rPr>
          <w:rFonts w:eastAsia="Times New Roman" w:cs="Times New Roman"/>
          <w:lang w:eastAsia="en-AU"/>
        </w:rPr>
        <w:t xml:space="preserve"> </w:t>
      </w:r>
      <w:r w:rsidR="009F61E8">
        <w:rPr>
          <w:rStyle w:val="FootnoteReference"/>
          <w:rFonts w:eastAsia="Times New Roman" w:cs="Times New Roman"/>
          <w:lang w:eastAsia="en-AU"/>
        </w:rPr>
        <w:footnoteReference w:id="3"/>
      </w:r>
      <w:r w:rsidR="36F2248F" w:rsidRPr="005F5BEA">
        <w:rPr>
          <w:rFonts w:eastAsia="Times New Roman" w:cs="Times New Roman"/>
          <w:lang w:eastAsia="en-AU"/>
        </w:rPr>
        <w:t>; and</w:t>
      </w:r>
    </w:p>
    <w:p w14:paraId="21A9C40F" w14:textId="3414A865" w:rsidR="009F48CC" w:rsidRPr="005F5BEA" w:rsidRDefault="5D5E9836" w:rsidP="11AFB54D">
      <w:pPr>
        <w:pStyle w:val="ListParagraph"/>
        <w:numPr>
          <w:ilvl w:val="0"/>
          <w:numId w:val="6"/>
        </w:numPr>
        <w:rPr>
          <w:rFonts w:eastAsia="Calibri" w:cs="Arial"/>
          <w:lang w:eastAsia="en-AU"/>
        </w:rPr>
      </w:pPr>
      <w:r w:rsidRPr="005F5BEA">
        <w:rPr>
          <w:rFonts w:eastAsia="Times New Roman" w:cs="Times New Roman"/>
          <w:lang w:eastAsia="en-AU"/>
        </w:rPr>
        <w:t xml:space="preserve">Reducing </w:t>
      </w:r>
      <w:r w:rsidR="0733DCF4" w:rsidRPr="005F5BEA">
        <w:rPr>
          <w:rFonts w:eastAsia="Times New Roman" w:cs="Times New Roman"/>
          <w:lang w:eastAsia="en-AU"/>
        </w:rPr>
        <w:t>onboarding costs to $30,000 per employee</w:t>
      </w:r>
      <w:r w:rsidR="63A0983D" w:rsidRPr="005F5BEA">
        <w:rPr>
          <w:rFonts w:eastAsia="Times New Roman" w:cs="Times New Roman"/>
          <w:lang w:eastAsia="en-AU"/>
        </w:rPr>
        <w:t>.</w:t>
      </w:r>
    </w:p>
    <w:p w14:paraId="6AF76041" w14:textId="4325F947" w:rsidR="009F48CC" w:rsidRPr="005F5BEA" w:rsidRDefault="0DAEDBCC" w:rsidP="11AFB54D">
      <w:pPr>
        <w:rPr>
          <w:rFonts w:eastAsia="Calibri" w:cs="Arial"/>
          <w:lang w:eastAsia="en-AU"/>
        </w:rPr>
      </w:pPr>
      <w:r w:rsidRPr="005F5BEA">
        <w:rPr>
          <w:rFonts w:eastAsia="Times New Roman" w:cs="Times New Roman"/>
          <w:lang w:eastAsia="en-AU"/>
        </w:rPr>
        <w:t>MSAC noted the applicant’s pre-MSAC response which did not agree these changes were reasonable</w:t>
      </w:r>
      <w:r w:rsidR="384B35C0" w:rsidRPr="005F5BEA">
        <w:rPr>
          <w:rFonts w:eastAsia="Times New Roman" w:cs="Times New Roman"/>
          <w:lang w:eastAsia="en-AU"/>
        </w:rPr>
        <w:t xml:space="preserve"> and claimed that industry would not be able to support the current level of cardiac services if funding is reduced from current levels. </w:t>
      </w:r>
      <w:r w:rsidR="4379A3A7" w:rsidRPr="005F5BEA">
        <w:rPr>
          <w:rFonts w:eastAsia="Times New Roman" w:cs="Times New Roman"/>
          <w:lang w:eastAsia="en-AU"/>
        </w:rPr>
        <w:t> </w:t>
      </w:r>
      <w:r w:rsidR="57AD55C1" w:rsidRPr="005F5BEA">
        <w:rPr>
          <w:rFonts w:eastAsia="Times New Roman" w:cs="Times New Roman"/>
          <w:lang w:eastAsia="en-AU"/>
        </w:rPr>
        <w:t xml:space="preserve">MSAC noted that the </w:t>
      </w:r>
      <w:r w:rsidR="00C2C963" w:rsidRPr="005F5BEA">
        <w:rPr>
          <w:rFonts w:eastAsia="Times New Roman" w:cs="Times New Roman"/>
          <w:lang w:eastAsia="en-AU"/>
        </w:rPr>
        <w:t xml:space="preserve">July 2023 </w:t>
      </w:r>
      <w:r w:rsidR="57AD55C1" w:rsidRPr="005F5BEA">
        <w:rPr>
          <w:rFonts w:eastAsia="Times New Roman" w:cs="Times New Roman"/>
          <w:lang w:eastAsia="en-AU"/>
        </w:rPr>
        <w:t xml:space="preserve">pre-MSAC response </w:t>
      </w:r>
      <w:r w:rsidR="55E97F17" w:rsidRPr="005F5BEA">
        <w:rPr>
          <w:rFonts w:eastAsia="Times New Roman" w:cs="Times New Roman"/>
          <w:lang w:eastAsia="en-AU"/>
        </w:rPr>
        <w:t xml:space="preserve">considered </w:t>
      </w:r>
      <w:r w:rsidR="2ED5D55E" w:rsidRPr="005F5BEA">
        <w:rPr>
          <w:rFonts w:eastAsia="Times New Roman" w:cs="Times New Roman"/>
          <w:lang w:eastAsia="en-AU"/>
        </w:rPr>
        <w:t>using a wage rate of $50 per hour to be inadequate</w:t>
      </w:r>
      <w:r w:rsidR="58364A16" w:rsidRPr="005F5BEA">
        <w:rPr>
          <w:rFonts w:eastAsia="Times New Roman" w:cs="Times New Roman"/>
          <w:lang w:eastAsia="en-AU"/>
        </w:rPr>
        <w:t xml:space="preserve"> as </w:t>
      </w:r>
      <w:r w:rsidR="00A140F2" w:rsidRPr="005F5BEA">
        <w:rPr>
          <w:rFonts w:eastAsia="Times New Roman" w:cs="Times New Roman"/>
          <w:lang w:eastAsia="en-AU"/>
        </w:rPr>
        <w:t xml:space="preserve">IECTs </w:t>
      </w:r>
      <w:r w:rsidR="58364A16" w:rsidRPr="005F5BEA">
        <w:rPr>
          <w:rFonts w:eastAsia="Times New Roman" w:cs="Times New Roman"/>
          <w:lang w:eastAsia="en-AU"/>
        </w:rPr>
        <w:t>are more</w:t>
      </w:r>
      <w:r w:rsidR="2ED5D55E" w:rsidRPr="005F5BEA">
        <w:rPr>
          <w:rFonts w:eastAsia="Times New Roman" w:cs="Times New Roman"/>
          <w:lang w:eastAsia="en-AU"/>
        </w:rPr>
        <w:t xml:space="preserve"> </w:t>
      </w:r>
      <w:r w:rsidR="62FFA536" w:rsidRPr="005F5BEA">
        <w:rPr>
          <w:rFonts w:eastAsia="Times New Roman" w:cs="Times New Roman"/>
          <w:lang w:eastAsia="en-AU"/>
        </w:rPr>
        <w:t xml:space="preserve">highly skilled than public hospital technicians </w:t>
      </w:r>
      <w:r w:rsidR="2ED5D55E" w:rsidRPr="005F5BEA">
        <w:rPr>
          <w:rFonts w:eastAsia="Times New Roman" w:cs="Times New Roman"/>
          <w:lang w:eastAsia="en-AU"/>
        </w:rPr>
        <w:t xml:space="preserve">and considered </w:t>
      </w:r>
      <w:r w:rsidR="455A6587" w:rsidRPr="005F5BEA">
        <w:rPr>
          <w:rFonts w:eastAsia="Times New Roman" w:cs="Times New Roman"/>
          <w:lang w:eastAsia="en-AU"/>
        </w:rPr>
        <w:t xml:space="preserve">$85 per hour </w:t>
      </w:r>
      <w:r w:rsidR="1F8A9ECE" w:rsidRPr="005F5BEA">
        <w:rPr>
          <w:rFonts w:eastAsia="Times New Roman" w:cs="Times New Roman"/>
          <w:lang w:eastAsia="en-AU"/>
        </w:rPr>
        <w:t>better reflect</w:t>
      </w:r>
      <w:r w:rsidR="6CA84525" w:rsidRPr="005F5BEA">
        <w:rPr>
          <w:rFonts w:eastAsia="Times New Roman" w:cs="Times New Roman"/>
          <w:lang w:eastAsia="en-AU"/>
        </w:rPr>
        <w:t>ed the</w:t>
      </w:r>
      <w:r w:rsidR="1F8A9ECE" w:rsidRPr="005F5BEA">
        <w:rPr>
          <w:rFonts w:eastAsia="Times New Roman" w:cs="Times New Roman"/>
          <w:lang w:eastAsia="en-AU"/>
        </w:rPr>
        <w:t xml:space="preserve"> </w:t>
      </w:r>
      <w:r w:rsidR="1F8A9ECE" w:rsidRPr="005F5BEA">
        <w:rPr>
          <w:rFonts w:eastAsia="Times New Roman" w:cs="Times New Roman"/>
          <w:lang w:eastAsia="en-AU"/>
        </w:rPr>
        <w:lastRenderedPageBreak/>
        <w:t>private healthcare sector</w:t>
      </w:r>
      <w:r w:rsidR="6CA84525" w:rsidRPr="005F5BEA">
        <w:rPr>
          <w:rFonts w:eastAsia="Times New Roman" w:cs="Times New Roman"/>
          <w:lang w:eastAsia="en-AU"/>
        </w:rPr>
        <w:t xml:space="preserve">. </w:t>
      </w:r>
      <w:r w:rsidR="53498B9F" w:rsidRPr="005F5BEA">
        <w:rPr>
          <w:rFonts w:eastAsia="Times New Roman" w:cs="Times New Roman"/>
          <w:lang w:eastAsia="en-AU"/>
        </w:rPr>
        <w:t>MSAC considered $50</w:t>
      </w:r>
      <w:r w:rsidR="6EC80035" w:rsidRPr="005F5BEA">
        <w:rPr>
          <w:rFonts w:eastAsia="Times New Roman" w:cs="Times New Roman"/>
          <w:lang w:eastAsia="en-AU"/>
        </w:rPr>
        <w:t xml:space="preserve"> per hour remained an appropriate average hourly rate, reflecting</w:t>
      </w:r>
      <w:r w:rsidR="793C5829" w:rsidRPr="005F5BEA">
        <w:rPr>
          <w:rFonts w:eastAsia="Times New Roman" w:cs="Times New Roman"/>
          <w:lang w:eastAsia="en-AU"/>
        </w:rPr>
        <w:t xml:space="preserve"> the</w:t>
      </w:r>
      <w:r w:rsidR="6EC80035" w:rsidRPr="005F5BEA">
        <w:rPr>
          <w:rFonts w:eastAsia="Times New Roman" w:cs="Times New Roman"/>
          <w:lang w:eastAsia="en-AU"/>
        </w:rPr>
        <w:t xml:space="preserve"> lower </w:t>
      </w:r>
      <w:r w:rsidR="79C5E233" w:rsidRPr="005F5BEA">
        <w:rPr>
          <w:rFonts w:eastAsia="Times New Roman" w:cs="Times New Roman"/>
          <w:lang w:eastAsia="en-AU"/>
        </w:rPr>
        <w:t>wages</w:t>
      </w:r>
      <w:r w:rsidR="32C9C2CC" w:rsidRPr="005F5BEA">
        <w:rPr>
          <w:rFonts w:eastAsia="Times New Roman" w:cs="Times New Roman"/>
          <w:lang w:eastAsia="en-AU"/>
        </w:rPr>
        <w:t xml:space="preserve"> paid</w:t>
      </w:r>
      <w:r w:rsidR="79C5E233" w:rsidRPr="005F5BEA">
        <w:rPr>
          <w:rFonts w:eastAsia="Times New Roman" w:cs="Times New Roman"/>
          <w:lang w:eastAsia="en-AU"/>
        </w:rPr>
        <w:t xml:space="preserve"> </w:t>
      </w:r>
      <w:r w:rsidR="55C86ACB" w:rsidRPr="005F5BEA">
        <w:rPr>
          <w:rFonts w:eastAsia="Times New Roman" w:cs="Times New Roman"/>
          <w:lang w:eastAsia="en-AU"/>
        </w:rPr>
        <w:t>to inexperienced</w:t>
      </w:r>
      <w:r w:rsidR="1519B8F2" w:rsidRPr="005F5BEA">
        <w:rPr>
          <w:rFonts w:eastAsia="Times New Roman" w:cs="Times New Roman"/>
          <w:lang w:eastAsia="en-AU"/>
        </w:rPr>
        <w:t xml:space="preserve"> </w:t>
      </w:r>
      <w:r w:rsidR="79C5E233" w:rsidRPr="005F5BEA">
        <w:rPr>
          <w:rFonts w:eastAsia="Times New Roman" w:cs="Times New Roman"/>
          <w:lang w:eastAsia="en-AU"/>
        </w:rPr>
        <w:t xml:space="preserve">technicians requiring supervision and </w:t>
      </w:r>
      <w:r w:rsidR="4373A072" w:rsidRPr="005F5BEA">
        <w:rPr>
          <w:rFonts w:eastAsia="Times New Roman" w:cs="Times New Roman"/>
          <w:lang w:eastAsia="en-AU"/>
        </w:rPr>
        <w:t xml:space="preserve">the </w:t>
      </w:r>
      <w:r w:rsidR="79C5E233" w:rsidRPr="005F5BEA">
        <w:rPr>
          <w:rFonts w:eastAsia="Times New Roman" w:cs="Times New Roman"/>
          <w:lang w:eastAsia="en-AU"/>
        </w:rPr>
        <w:t>higher wages</w:t>
      </w:r>
      <w:r w:rsidR="55115BB9" w:rsidRPr="005F5BEA">
        <w:rPr>
          <w:rFonts w:eastAsia="Times New Roman" w:cs="Times New Roman"/>
          <w:lang w:eastAsia="en-AU"/>
        </w:rPr>
        <w:t xml:space="preserve"> paid</w:t>
      </w:r>
      <w:r w:rsidR="79C5E233" w:rsidRPr="005F5BEA">
        <w:rPr>
          <w:rFonts w:eastAsia="Times New Roman" w:cs="Times New Roman"/>
          <w:lang w:eastAsia="en-AU"/>
        </w:rPr>
        <w:t xml:space="preserve"> </w:t>
      </w:r>
      <w:r w:rsidR="54CAF988" w:rsidRPr="005F5BEA">
        <w:rPr>
          <w:rFonts w:eastAsia="Times New Roman" w:cs="Times New Roman"/>
          <w:lang w:eastAsia="en-AU"/>
        </w:rPr>
        <w:t>to</w:t>
      </w:r>
      <w:r w:rsidR="79C5E233" w:rsidRPr="005F5BEA">
        <w:rPr>
          <w:rFonts w:eastAsia="Times New Roman" w:cs="Times New Roman"/>
          <w:lang w:eastAsia="en-AU"/>
        </w:rPr>
        <w:t xml:space="preserve"> experienced technicians. </w:t>
      </w:r>
      <w:r w:rsidR="0CCADB42" w:rsidRPr="005F5BEA">
        <w:rPr>
          <w:rFonts w:eastAsia="Times New Roman" w:cs="Times New Roman"/>
          <w:lang w:eastAsia="en-AU"/>
        </w:rPr>
        <w:t>MSAC re</w:t>
      </w:r>
      <w:r w:rsidR="0B832EF1" w:rsidRPr="005F5BEA">
        <w:rPr>
          <w:rFonts w:eastAsia="Times New Roman" w:cs="Times New Roman"/>
          <w:lang w:eastAsia="en-AU"/>
        </w:rPr>
        <w:t>affirmed it</w:t>
      </w:r>
      <w:r w:rsidR="7D2F5F1C" w:rsidRPr="005F5BEA">
        <w:rPr>
          <w:rFonts w:eastAsia="Times New Roman" w:cs="Times New Roman"/>
          <w:lang w:eastAsia="en-AU"/>
        </w:rPr>
        <w:t>s</w:t>
      </w:r>
      <w:r w:rsidR="0B832EF1" w:rsidRPr="005F5BEA">
        <w:rPr>
          <w:rFonts w:eastAsia="Times New Roman" w:cs="Times New Roman"/>
          <w:lang w:eastAsia="en-AU"/>
        </w:rPr>
        <w:t xml:space="preserve"> advice that onboarding costs for new IECTs should be $30,000 reflecting 6 </w:t>
      </w:r>
      <w:r w:rsidR="09BCD5E7" w:rsidRPr="005F5BEA">
        <w:rPr>
          <w:rFonts w:eastAsia="Times New Roman" w:cs="Times New Roman"/>
          <w:lang w:eastAsia="en-AU"/>
        </w:rPr>
        <w:t>months'</w:t>
      </w:r>
      <w:r w:rsidR="0B832EF1" w:rsidRPr="005F5BEA">
        <w:rPr>
          <w:rFonts w:eastAsia="Times New Roman" w:cs="Times New Roman"/>
          <w:lang w:eastAsia="en-AU"/>
        </w:rPr>
        <w:t xml:space="preserve"> salary</w:t>
      </w:r>
      <w:r w:rsidR="6FA943DF" w:rsidRPr="005F5BEA">
        <w:rPr>
          <w:rFonts w:eastAsia="Times New Roman" w:cs="Times New Roman"/>
          <w:lang w:eastAsia="en-AU"/>
        </w:rPr>
        <w:t xml:space="preserve"> of a junior technician</w:t>
      </w:r>
      <w:r w:rsidR="0B832EF1" w:rsidRPr="005F5BEA">
        <w:rPr>
          <w:rFonts w:eastAsia="Times New Roman" w:cs="Times New Roman"/>
          <w:lang w:eastAsia="en-AU"/>
        </w:rPr>
        <w:t xml:space="preserve"> </w:t>
      </w:r>
      <w:r w:rsidR="7A67F6BB" w:rsidRPr="005F5BEA">
        <w:rPr>
          <w:rFonts w:eastAsia="Times New Roman" w:cs="Times New Roman"/>
          <w:lang w:eastAsia="en-AU"/>
        </w:rPr>
        <w:t>of</w:t>
      </w:r>
      <w:r w:rsidR="0B832EF1" w:rsidRPr="005F5BEA">
        <w:rPr>
          <w:rFonts w:eastAsia="Times New Roman" w:cs="Times New Roman"/>
          <w:lang w:eastAsia="en-AU"/>
        </w:rPr>
        <w:t xml:space="preserve"> $60,000 per year.</w:t>
      </w:r>
      <w:r w:rsidR="6EC80035" w:rsidRPr="005F5BEA">
        <w:rPr>
          <w:rFonts w:eastAsia="Times New Roman" w:cs="Times New Roman"/>
          <w:lang w:eastAsia="en-AU"/>
        </w:rPr>
        <w:t xml:space="preserve"> </w:t>
      </w:r>
      <w:r w:rsidR="068AC397" w:rsidRPr="005F5BEA">
        <w:rPr>
          <w:rFonts w:eastAsia="Times New Roman" w:cs="Times New Roman"/>
          <w:lang w:eastAsia="en-AU"/>
        </w:rPr>
        <w:t xml:space="preserve">MSAC noted that the </w:t>
      </w:r>
      <w:r w:rsidR="2C034A36" w:rsidRPr="005F5BEA">
        <w:rPr>
          <w:rFonts w:eastAsia="Times New Roman" w:cs="Times New Roman"/>
          <w:lang w:eastAsia="en-AU"/>
        </w:rPr>
        <w:t xml:space="preserve">July 2023 </w:t>
      </w:r>
      <w:r w:rsidR="068AC397" w:rsidRPr="005F5BEA">
        <w:rPr>
          <w:rFonts w:eastAsia="Times New Roman" w:cs="Times New Roman"/>
          <w:lang w:eastAsia="en-AU"/>
        </w:rPr>
        <w:t>pre-MSAC response state</w:t>
      </w:r>
      <w:r w:rsidR="37433D2D" w:rsidRPr="005F5BEA">
        <w:rPr>
          <w:rFonts w:eastAsia="Times New Roman" w:cs="Times New Roman"/>
          <w:lang w:eastAsia="en-AU"/>
        </w:rPr>
        <w:t>d</w:t>
      </w:r>
      <w:r w:rsidR="068AC397" w:rsidRPr="005F5BEA">
        <w:rPr>
          <w:rFonts w:eastAsia="Times New Roman" w:cs="Times New Roman"/>
          <w:lang w:eastAsia="en-AU"/>
        </w:rPr>
        <w:t xml:space="preserve"> that </w:t>
      </w:r>
      <w:r w:rsidR="582C5E09" w:rsidRPr="005F5BEA">
        <w:rPr>
          <w:rFonts w:eastAsia="Times New Roman" w:cs="Times New Roman"/>
          <w:lang w:eastAsia="en-AU"/>
        </w:rPr>
        <w:t>it can take up to 2 years to become an expert across a range of device types</w:t>
      </w:r>
      <w:r w:rsidR="7C30E496" w:rsidRPr="005F5BEA">
        <w:rPr>
          <w:rFonts w:eastAsia="Times New Roman" w:cs="Times New Roman"/>
          <w:lang w:eastAsia="en-AU"/>
        </w:rPr>
        <w:t xml:space="preserve"> </w:t>
      </w:r>
      <w:r w:rsidR="111520FC" w:rsidRPr="005F5BEA">
        <w:rPr>
          <w:rFonts w:eastAsia="Times New Roman" w:cs="Times New Roman"/>
          <w:lang w:eastAsia="en-AU"/>
        </w:rPr>
        <w:t>for</w:t>
      </w:r>
      <w:r w:rsidR="582C5E09" w:rsidRPr="005F5BEA">
        <w:rPr>
          <w:rFonts w:eastAsia="Times New Roman" w:cs="Times New Roman"/>
          <w:lang w:eastAsia="en-AU"/>
        </w:rPr>
        <w:t xml:space="preserve"> treatment cardiac arrythmias. </w:t>
      </w:r>
      <w:r w:rsidR="4BC3867B" w:rsidRPr="005F5BEA">
        <w:rPr>
          <w:rFonts w:eastAsia="Times New Roman" w:cs="Times New Roman"/>
          <w:lang w:eastAsia="en-AU"/>
        </w:rPr>
        <w:t>However, MSAC considered th</w:t>
      </w:r>
      <w:r w:rsidR="47DA4908" w:rsidRPr="005F5BEA">
        <w:rPr>
          <w:rFonts w:eastAsia="Times New Roman" w:cs="Times New Roman"/>
          <w:lang w:eastAsia="en-AU"/>
        </w:rPr>
        <w:t>at</w:t>
      </w:r>
      <w:r w:rsidR="4BC3867B" w:rsidRPr="005F5BEA">
        <w:rPr>
          <w:rFonts w:eastAsia="Times New Roman" w:cs="Times New Roman"/>
          <w:lang w:eastAsia="en-AU"/>
        </w:rPr>
        <w:t xml:space="preserve"> onboarding cost</w:t>
      </w:r>
      <w:r w:rsidR="47DA4908" w:rsidRPr="005F5BEA">
        <w:rPr>
          <w:rFonts w:eastAsia="Times New Roman" w:cs="Times New Roman"/>
          <w:lang w:eastAsia="en-AU"/>
        </w:rPr>
        <w:t xml:space="preserve">s of over $200,000 were unreasonably high. </w:t>
      </w:r>
    </w:p>
    <w:p w14:paraId="034FB64F" w14:textId="1B05A8B5" w:rsidR="00C83A47" w:rsidRPr="005F5BEA" w:rsidRDefault="2AE446B0" w:rsidP="11AFB54D">
      <w:pPr>
        <w:rPr>
          <w:rFonts w:eastAsia="Times New Roman" w:cs="Times New Roman"/>
          <w:lang w:eastAsia="en-AU"/>
        </w:rPr>
      </w:pPr>
      <w:r w:rsidRPr="005F5BEA">
        <w:rPr>
          <w:rFonts w:eastAsia="Times New Roman" w:cs="Times New Roman"/>
          <w:lang w:eastAsia="en-AU"/>
        </w:rPr>
        <w:t>MSAC reaffirmed that cardiac technical support services are a necessary and clinically important service for people with CIEDs. MSAC reaffirmed its previous advice that the current model for providing ongoing cardiac technical support services was problematic and was not consistent with clinical guidelines. MSAC advised that further reform should be undertaken to encourage uptake of other models of care, such as the provision of services by private cardiologists who employ cardiac technicians. MSAC noted th</w:t>
      </w:r>
      <w:r w:rsidR="00863C2C" w:rsidRPr="005F5BEA">
        <w:rPr>
          <w:rFonts w:eastAsia="Times New Roman" w:cs="Times New Roman"/>
          <w:lang w:eastAsia="en-AU"/>
        </w:rPr>
        <w:t xml:space="preserve">at </w:t>
      </w:r>
      <w:r w:rsidRPr="005F5BEA">
        <w:rPr>
          <w:rFonts w:eastAsia="Times New Roman" w:cs="Times New Roman"/>
          <w:lang w:eastAsia="en-AU"/>
        </w:rPr>
        <w:t>in the July 2023 pre-MSAC response, the applicant posited that a fourth model of care exists in Australia, involving independent cardiac technicians providing services to hospitals and cardiology practices with hourly rates starting at $175 per hour. The applicant claimed that in comparison</w:t>
      </w:r>
      <w:r w:rsidR="001932E3">
        <w:rPr>
          <w:rFonts w:eastAsia="Times New Roman" w:cs="Times New Roman"/>
          <w:lang w:eastAsia="en-AU"/>
        </w:rPr>
        <w:t xml:space="preserve"> to</w:t>
      </w:r>
      <w:r w:rsidRPr="005F5BEA">
        <w:rPr>
          <w:rFonts w:eastAsia="Times New Roman" w:cs="Times New Roman"/>
          <w:lang w:eastAsia="en-AU"/>
        </w:rPr>
        <w:t xml:space="preserve"> </w:t>
      </w:r>
      <w:r w:rsidR="06B801B4" w:rsidRPr="005F5BEA">
        <w:rPr>
          <w:rFonts w:eastAsia="Times New Roman" w:cs="Times New Roman"/>
          <w:lang w:eastAsia="en-AU"/>
        </w:rPr>
        <w:t xml:space="preserve">the </w:t>
      </w:r>
      <w:r w:rsidR="00DC3DD8" w:rsidRPr="005F5BEA">
        <w:rPr>
          <w:rFonts w:eastAsia="Times New Roman" w:cs="Times New Roman"/>
          <w:lang w:eastAsia="en-AU"/>
        </w:rPr>
        <w:t xml:space="preserve">fourth </w:t>
      </w:r>
      <w:r w:rsidR="06B801B4" w:rsidRPr="005F5BEA">
        <w:rPr>
          <w:rFonts w:eastAsia="Times New Roman" w:cs="Times New Roman"/>
          <w:lang w:eastAsia="en-AU"/>
        </w:rPr>
        <w:t>model of care</w:t>
      </w:r>
      <w:r w:rsidR="00DC3DD8" w:rsidRPr="005F5BEA">
        <w:rPr>
          <w:rFonts w:eastAsia="Times New Roman" w:cs="Times New Roman"/>
          <w:lang w:eastAsia="en-AU"/>
        </w:rPr>
        <w:t>,</w:t>
      </w:r>
      <w:r w:rsidR="06B801B4" w:rsidRPr="005F5BEA">
        <w:rPr>
          <w:rFonts w:eastAsia="Times New Roman" w:cs="Times New Roman"/>
          <w:lang w:eastAsia="en-AU"/>
        </w:rPr>
        <w:t xml:space="preserve"> </w:t>
      </w:r>
      <w:r w:rsidR="00DC3DD8" w:rsidRPr="005F5BEA">
        <w:rPr>
          <w:rFonts w:eastAsia="Times New Roman" w:cs="Times New Roman"/>
          <w:lang w:eastAsia="en-AU"/>
        </w:rPr>
        <w:t>the current model</w:t>
      </w:r>
      <w:r w:rsidRPr="005F5BEA">
        <w:rPr>
          <w:rFonts w:eastAsia="Times New Roman" w:cs="Times New Roman"/>
          <w:lang w:eastAsia="en-AU"/>
        </w:rPr>
        <w:t xml:space="preserve"> </w:t>
      </w:r>
      <w:r w:rsidR="00DC3DD8" w:rsidRPr="005F5BEA">
        <w:rPr>
          <w:rFonts w:eastAsia="Times New Roman" w:cs="Times New Roman"/>
          <w:lang w:eastAsia="en-AU"/>
        </w:rPr>
        <w:t xml:space="preserve">of service provision through IECTs </w:t>
      </w:r>
      <w:r w:rsidRPr="005F5BEA">
        <w:rPr>
          <w:rFonts w:eastAsia="Times New Roman" w:cs="Times New Roman"/>
          <w:lang w:eastAsia="en-AU"/>
        </w:rPr>
        <w:t xml:space="preserve">provides excellent value for money. However, MSAC considered the </w:t>
      </w:r>
      <w:r w:rsidR="004C574E" w:rsidRPr="005F5BEA">
        <w:rPr>
          <w:rFonts w:eastAsia="Times New Roman" w:cs="Times New Roman"/>
          <w:lang w:eastAsia="en-AU"/>
        </w:rPr>
        <w:t>corrected</w:t>
      </w:r>
      <w:r w:rsidRPr="005F5BEA">
        <w:rPr>
          <w:rFonts w:eastAsia="Times New Roman" w:cs="Times New Roman"/>
          <w:lang w:eastAsia="en-AU"/>
        </w:rPr>
        <w:t xml:space="preserve"> estimates provided by the applicant with higher overhead costs </w:t>
      </w:r>
      <w:r w:rsidR="004C574E" w:rsidRPr="005F5BEA">
        <w:rPr>
          <w:rFonts w:eastAsia="Times New Roman" w:cs="Times New Roman"/>
          <w:lang w:eastAsia="en-AU"/>
        </w:rPr>
        <w:t>(</w:t>
      </w:r>
      <w:proofErr w:type="gramStart"/>
      <w:r w:rsidR="004C574E" w:rsidRPr="005F5BEA">
        <w:rPr>
          <w:rFonts w:eastAsia="Times New Roman" w:cs="Times New Roman"/>
          <w:lang w:eastAsia="en-AU"/>
        </w:rPr>
        <w:t>i.e.</w:t>
      </w:r>
      <w:proofErr w:type="gramEnd"/>
      <w:r w:rsidR="004C574E" w:rsidRPr="005F5BEA">
        <w:rPr>
          <w:rFonts w:eastAsia="Times New Roman" w:cs="Times New Roman"/>
          <w:lang w:eastAsia="en-AU"/>
        </w:rPr>
        <w:t xml:space="preserve"> $87M) </w:t>
      </w:r>
      <w:r w:rsidRPr="005F5BEA">
        <w:rPr>
          <w:rFonts w:eastAsia="Times New Roman" w:cs="Times New Roman"/>
          <w:lang w:eastAsia="en-AU"/>
        </w:rPr>
        <w:t xml:space="preserve">resulted in </w:t>
      </w:r>
      <w:r w:rsidR="00CC7A54" w:rsidRPr="005F5BEA">
        <w:rPr>
          <w:rFonts w:eastAsia="Times New Roman" w:cs="Times New Roman"/>
          <w:lang w:eastAsia="en-AU"/>
        </w:rPr>
        <w:t xml:space="preserve">similar </w:t>
      </w:r>
      <w:r w:rsidRPr="005F5BEA">
        <w:rPr>
          <w:rFonts w:eastAsia="Times New Roman" w:cs="Times New Roman"/>
          <w:lang w:eastAsia="en-AU"/>
        </w:rPr>
        <w:t xml:space="preserve">effective hourly rates of </w:t>
      </w:r>
      <w:r w:rsidR="00CC7A54" w:rsidRPr="005F5BEA">
        <w:rPr>
          <w:rFonts w:eastAsia="Times New Roman" w:cs="Times New Roman"/>
          <w:lang w:eastAsia="en-AU"/>
        </w:rPr>
        <w:t xml:space="preserve">approximately </w:t>
      </w:r>
      <w:r w:rsidRPr="005F5BEA">
        <w:rPr>
          <w:rFonts w:eastAsia="Times New Roman" w:cs="Times New Roman"/>
          <w:lang w:eastAsia="en-AU"/>
        </w:rPr>
        <w:t>$1</w:t>
      </w:r>
      <w:r w:rsidR="00A54414" w:rsidRPr="005F5BEA">
        <w:rPr>
          <w:rFonts w:eastAsia="Times New Roman" w:cs="Times New Roman"/>
          <w:lang w:eastAsia="en-AU"/>
        </w:rPr>
        <w:t>75</w:t>
      </w:r>
      <w:r w:rsidRPr="005F5BEA">
        <w:rPr>
          <w:rFonts w:eastAsia="Times New Roman" w:cs="Times New Roman"/>
          <w:lang w:eastAsia="en-AU"/>
        </w:rPr>
        <w:t xml:space="preserve"> per hour for IECTs.</w:t>
      </w:r>
      <w:r w:rsidR="00C83A47" w:rsidRPr="005F5BEA">
        <w:rPr>
          <w:rStyle w:val="FootnoteReference"/>
          <w:rFonts w:eastAsia="Times New Roman" w:cs="Times New Roman"/>
          <w:lang w:eastAsia="en-AU"/>
        </w:rPr>
        <w:footnoteReference w:id="4"/>
      </w:r>
      <w:r w:rsidR="00CC7A54" w:rsidRPr="005F5BEA">
        <w:rPr>
          <w:rFonts w:eastAsia="Times New Roman" w:cs="Times New Roman"/>
          <w:lang w:eastAsia="en-AU"/>
        </w:rPr>
        <w:t xml:space="preserve"> (</w:t>
      </w:r>
      <w:r w:rsidR="00491626" w:rsidRPr="005F5BEA">
        <w:rPr>
          <w:rFonts w:eastAsia="Times New Roman" w:cs="Times New Roman"/>
          <w:lang w:eastAsia="en-AU"/>
        </w:rPr>
        <w:t>assuming all IECTs work full-time</w:t>
      </w:r>
      <w:r w:rsidR="00C1533A" w:rsidRPr="005F5BEA">
        <w:rPr>
          <w:rFonts w:eastAsia="Times New Roman" w:cs="Times New Roman"/>
          <w:lang w:eastAsia="en-AU"/>
        </w:rPr>
        <w:t xml:space="preserve"> </w:t>
      </w:r>
      <w:r w:rsidR="005A5631" w:rsidRPr="005F5BEA">
        <w:rPr>
          <w:rFonts w:eastAsia="Times New Roman" w:cs="Times New Roman"/>
          <w:lang w:eastAsia="en-AU"/>
        </w:rPr>
        <w:t xml:space="preserve">(with 7 billable hours per day) </w:t>
      </w:r>
      <w:r w:rsidR="00C1533A" w:rsidRPr="005F5BEA">
        <w:rPr>
          <w:rFonts w:eastAsia="Times New Roman" w:cs="Times New Roman"/>
          <w:lang w:eastAsia="en-AU"/>
        </w:rPr>
        <w:t xml:space="preserve">and </w:t>
      </w:r>
      <w:r w:rsidR="008B42E9" w:rsidRPr="005F5BEA">
        <w:rPr>
          <w:rFonts w:eastAsia="Times New Roman" w:cs="Times New Roman"/>
          <w:lang w:eastAsia="en-AU"/>
        </w:rPr>
        <w:t xml:space="preserve">take a total of </w:t>
      </w:r>
      <w:r w:rsidR="00106239" w:rsidRPr="005F5BEA">
        <w:rPr>
          <w:rFonts w:eastAsia="Times New Roman" w:cs="Times New Roman"/>
          <w:lang w:eastAsia="en-AU"/>
        </w:rPr>
        <w:t xml:space="preserve">5 weeks of </w:t>
      </w:r>
      <w:r w:rsidR="00A2704B" w:rsidRPr="005F5BEA">
        <w:rPr>
          <w:rFonts w:eastAsia="Times New Roman" w:cs="Times New Roman"/>
          <w:lang w:eastAsia="en-AU"/>
        </w:rPr>
        <w:t>annual leave and public holidays</w:t>
      </w:r>
      <w:r w:rsidR="00106239" w:rsidRPr="005F5BEA">
        <w:rPr>
          <w:rFonts w:eastAsia="Times New Roman" w:cs="Times New Roman"/>
          <w:lang w:eastAsia="en-AU"/>
        </w:rPr>
        <w:t xml:space="preserve"> per year</w:t>
      </w:r>
      <w:r w:rsidR="00A2704B" w:rsidRPr="005F5BEA">
        <w:rPr>
          <w:rFonts w:eastAsia="Times New Roman" w:cs="Times New Roman"/>
          <w:lang w:eastAsia="en-AU"/>
        </w:rPr>
        <w:t>).</w:t>
      </w:r>
    </w:p>
    <w:p w14:paraId="20A4D050" w14:textId="04ED5E0A" w:rsidR="00C83A47" w:rsidRPr="005F5BEA" w:rsidRDefault="0D3E052E" w:rsidP="11AFB54D">
      <w:r w:rsidRPr="005F5BEA">
        <w:t xml:space="preserve">Based on the service data provided by the applicant, MSAC noted that in addition to the cost of the CIEDs, the current PL benefits for these devices </w:t>
      </w:r>
      <w:r w:rsidR="6C440431" w:rsidRPr="005F5BEA">
        <w:t>include</w:t>
      </w:r>
      <w:r w:rsidRPr="005F5BEA">
        <w:t xml:space="preserve"> the following costs:</w:t>
      </w:r>
    </w:p>
    <w:p w14:paraId="09149450" w14:textId="34E109B1" w:rsidR="00C83A47" w:rsidRPr="005F5BEA" w:rsidRDefault="6CAFAB1B" w:rsidP="11AFB54D">
      <w:pPr>
        <w:pStyle w:val="ListParagraph"/>
        <w:numPr>
          <w:ilvl w:val="0"/>
          <w:numId w:val="7"/>
        </w:numPr>
        <w:rPr>
          <w:rFonts w:eastAsia="Calibri" w:cs="Arial"/>
        </w:rPr>
      </w:pPr>
      <w:r w:rsidRPr="005F5BEA">
        <w:rPr>
          <w:rFonts w:eastAsia="Calibri" w:cs="Arial"/>
        </w:rPr>
        <w:t>Per</w:t>
      </w:r>
      <w:r w:rsidR="00660417" w:rsidRPr="005F5BEA">
        <w:rPr>
          <w:rFonts w:eastAsia="Calibri" w:cs="Arial"/>
        </w:rPr>
        <w:t>i</w:t>
      </w:r>
      <w:r w:rsidRPr="005F5BEA">
        <w:rPr>
          <w:rFonts w:eastAsia="Calibri" w:cs="Arial"/>
        </w:rPr>
        <w:t xml:space="preserve">-implantation services provided by </w:t>
      </w:r>
      <w:proofErr w:type="gramStart"/>
      <w:r w:rsidRPr="005F5BEA">
        <w:rPr>
          <w:rFonts w:eastAsia="Calibri" w:cs="Arial"/>
        </w:rPr>
        <w:t>IECTs;</w:t>
      </w:r>
      <w:proofErr w:type="gramEnd"/>
    </w:p>
    <w:p w14:paraId="0D988BAB" w14:textId="4C719FB6" w:rsidR="00C83A47" w:rsidRPr="005F5BEA" w:rsidRDefault="6CAFAB1B" w:rsidP="11AFB54D">
      <w:pPr>
        <w:pStyle w:val="ListParagraph"/>
        <w:numPr>
          <w:ilvl w:val="0"/>
          <w:numId w:val="7"/>
        </w:numPr>
        <w:rPr>
          <w:rFonts w:eastAsia="Calibri" w:cs="Arial"/>
        </w:rPr>
      </w:pPr>
      <w:r w:rsidRPr="005F5BEA">
        <w:rPr>
          <w:rFonts w:eastAsia="Calibri" w:cs="Arial"/>
        </w:rPr>
        <w:t>Follow-up services provided by IECTs to public patients; and</w:t>
      </w:r>
    </w:p>
    <w:p w14:paraId="054C2A34" w14:textId="00E77FB4" w:rsidR="00C83A47" w:rsidRPr="005F5BEA" w:rsidRDefault="6CAFAB1B" w:rsidP="004013D8">
      <w:pPr>
        <w:pStyle w:val="ListParagraph"/>
        <w:numPr>
          <w:ilvl w:val="0"/>
          <w:numId w:val="7"/>
        </w:numPr>
      </w:pPr>
      <w:r w:rsidRPr="005F5BEA">
        <w:rPr>
          <w:rFonts w:eastAsia="Calibri" w:cs="Arial"/>
        </w:rPr>
        <w:t xml:space="preserve">Follow-up services provided </w:t>
      </w:r>
      <w:r w:rsidR="006B30B7" w:rsidRPr="005F5BEA">
        <w:rPr>
          <w:rFonts w:eastAsia="Calibri" w:cs="Arial"/>
        </w:rPr>
        <w:t xml:space="preserve">by IECTs </w:t>
      </w:r>
      <w:r w:rsidRPr="005F5BEA">
        <w:rPr>
          <w:rFonts w:eastAsia="Calibri" w:cs="Arial"/>
        </w:rPr>
        <w:t>to privately insured patients.</w:t>
      </w:r>
    </w:p>
    <w:p w14:paraId="61FECF85" w14:textId="213D695F" w:rsidR="00C83A47" w:rsidRPr="005F5BEA" w:rsidRDefault="00874FF0" w:rsidP="11AFB54D">
      <w:pPr>
        <w:rPr>
          <w:rFonts w:eastAsia="Calibri" w:cs="Arial"/>
        </w:rPr>
      </w:pPr>
      <w:r w:rsidRPr="005F5BEA">
        <w:rPr>
          <w:rFonts w:eastAsia="Calibri" w:cs="Arial"/>
        </w:rPr>
        <w:t xml:space="preserve">MSAC considered that a PL benefit for a CIED should be limited to the cost of the principal CIED, and associated peri-implantation costs as these are integral to the functioning of the CIED (and that these components should therefore be subject to the staged PL benefit reductions).  </w:t>
      </w:r>
    </w:p>
    <w:p w14:paraId="4D47EE67" w14:textId="3577298D" w:rsidR="00CE7DBD" w:rsidRPr="005F5BEA" w:rsidRDefault="50AD6249" w:rsidP="11AFB54D">
      <w:pPr>
        <w:rPr>
          <w:rFonts w:eastAsia="Calibri" w:cs="Arial"/>
        </w:rPr>
      </w:pPr>
      <w:r w:rsidRPr="005F5BEA">
        <w:rPr>
          <w:rFonts w:eastAsia="Calibri" w:cs="Arial"/>
        </w:rPr>
        <w:t>MSAC recalled the cost of follow-up cardiac technical support services provided by IECTs</w:t>
      </w:r>
      <w:r w:rsidRPr="005F5BEA">
        <w:rPr>
          <w:rFonts w:eastAsia="Times New Roman" w:cs="Times New Roman"/>
          <w:lang w:eastAsia="en-AU"/>
        </w:rPr>
        <w:t xml:space="preserve"> would not be subject to the </w:t>
      </w:r>
      <w:r w:rsidR="00CF2DF6" w:rsidRPr="005F5BEA">
        <w:rPr>
          <w:rFonts w:eastAsia="Times New Roman" w:cs="Times New Roman"/>
          <w:lang w:eastAsia="en-AU"/>
        </w:rPr>
        <w:t xml:space="preserve">current </w:t>
      </w:r>
      <w:r w:rsidRPr="005F5BEA">
        <w:rPr>
          <w:rFonts w:eastAsia="Times New Roman" w:cs="Times New Roman"/>
          <w:lang w:eastAsia="en-AU"/>
        </w:rPr>
        <w:t>staged PL benefit reductions.</w:t>
      </w:r>
      <w:r w:rsidRPr="005F5BEA">
        <w:rPr>
          <w:rFonts w:eastAsia="Calibri" w:cs="Arial"/>
        </w:rPr>
        <w:t xml:space="preserve"> </w:t>
      </w:r>
      <w:r w:rsidR="00641657" w:rsidRPr="005F5BEA">
        <w:rPr>
          <w:rFonts w:eastAsia="Calibri" w:cs="Arial"/>
        </w:rPr>
        <w:t>MSAC considered that ultimately the cost of follow-up cardiac technical support services provided to public or privately insured patients should not be funded via PL benefits for CIEDs. MSAC noted the applicant’s July 2023 pre-MSAC response which stated that “it is unreasonable to exclude services provided in the public without an alternative funding mechanism to support these services”. However, in order not to compromise the current care of patients with CIEDs or inadvertently increase any out-of-pocket costs associated with the receipt of these services, the MSAC advised that the costs for these follow-up services be excluded from the current staged PL benefit reductions.</w:t>
      </w:r>
      <w:r w:rsidR="00337F55" w:rsidRPr="005F5BEA">
        <w:t xml:space="preserve"> </w:t>
      </w:r>
      <w:r w:rsidR="00337F55" w:rsidRPr="005F5BEA">
        <w:rPr>
          <w:rFonts w:eastAsia="Calibri" w:cs="Arial"/>
        </w:rPr>
        <w:t xml:space="preserve">MSAC reiterated its earlier advice that further consideration needs to be given to identifying alternative, evidence-based models of care for all patients with CIEDs, how these services are most appropriately funded, and how the funding of these services are transitioned out of the PL benefit amount.  </w:t>
      </w:r>
    </w:p>
    <w:p w14:paraId="357021DA" w14:textId="04A3EA67" w:rsidR="00C83A47" w:rsidRPr="005F5BEA" w:rsidRDefault="7705F37B" w:rsidP="11AFB54D">
      <w:r w:rsidRPr="005F5BEA">
        <w:t xml:space="preserve">The MSAC advised that </w:t>
      </w:r>
      <w:r w:rsidR="66403B37" w:rsidRPr="005F5BEA">
        <w:t>t</w:t>
      </w:r>
      <w:r w:rsidR="346DDEA2" w:rsidRPr="005F5BEA">
        <w:rPr>
          <w:rFonts w:eastAsia="Times New Roman" w:cs="Times New Roman"/>
          <w:lang w:val="en-GB" w:eastAsia="en-AU"/>
        </w:rPr>
        <w:t xml:space="preserve">he principles articulated above should be used to negotiate appropriate </w:t>
      </w:r>
      <w:r w:rsidR="51AB867F" w:rsidRPr="005F5BEA">
        <w:rPr>
          <w:rFonts w:eastAsia="Times New Roman" w:cs="Times New Roman"/>
          <w:lang w:val="en-GB" w:eastAsia="en-AU"/>
        </w:rPr>
        <w:t>benefit</w:t>
      </w:r>
      <w:r w:rsidR="346DDEA2" w:rsidRPr="005F5BEA">
        <w:rPr>
          <w:rFonts w:eastAsia="Times New Roman" w:cs="Times New Roman"/>
          <w:lang w:val="en-GB" w:eastAsia="en-AU"/>
        </w:rPr>
        <w:t xml:space="preserve"> reductions for CIED</w:t>
      </w:r>
      <w:r w:rsidR="36FC5B00" w:rsidRPr="005F5BEA">
        <w:rPr>
          <w:rFonts w:eastAsia="Times New Roman" w:cs="Times New Roman"/>
          <w:lang w:val="en-GB" w:eastAsia="en-AU"/>
        </w:rPr>
        <w:t>s</w:t>
      </w:r>
      <w:r w:rsidR="346DDEA2" w:rsidRPr="005F5BEA">
        <w:rPr>
          <w:rFonts w:eastAsia="Times New Roman" w:cs="Times New Roman"/>
          <w:lang w:val="en-GB" w:eastAsia="en-AU"/>
        </w:rPr>
        <w:t xml:space="preserve"> with the MTAA CF member companies.</w:t>
      </w:r>
    </w:p>
    <w:p w14:paraId="571F1017" w14:textId="74204DA5" w:rsidR="00C83A47" w:rsidRPr="005F5BEA" w:rsidRDefault="11AFB54D" w:rsidP="11AFB54D">
      <w:pPr>
        <w:pStyle w:val="Heading2"/>
        <w:rPr>
          <w:rFonts w:eastAsia="MS Gothic" w:cs="Times New Roman"/>
          <w:szCs w:val="32"/>
        </w:rPr>
      </w:pPr>
      <w:r w:rsidRPr="005F5BEA">
        <w:lastRenderedPageBreak/>
        <w:t xml:space="preserve">3. </w:t>
      </w:r>
      <w:r w:rsidR="7558C7A6" w:rsidRPr="005F5BEA">
        <w:t>MSAC’s advice to the Minister</w:t>
      </w:r>
      <w:r w:rsidR="0E17285A" w:rsidRPr="005F5BEA">
        <w:t xml:space="preserve"> – March 2023</w:t>
      </w:r>
    </w:p>
    <w:p w14:paraId="736D8F4A" w14:textId="74CFAF50" w:rsidR="00766D3E" w:rsidRPr="005F5BEA" w:rsidRDefault="475E40C4" w:rsidP="00766D3E">
      <w:r w:rsidRPr="005F5BEA">
        <w:t xml:space="preserve">MSAC noted that the Department of Health and Aged Care (the Department) received an application from the Medical Technology Association of Australia Cardiac Forum (MTAA CF) as part of the ongoing PL reform process. MSAC noted the purpose of the application </w:t>
      </w:r>
      <w:r w:rsidR="7077608E" w:rsidRPr="005F5BEA">
        <w:t>wa</w:t>
      </w:r>
      <w:r w:rsidRPr="005F5BEA">
        <w:t xml:space="preserve">s to determine the reasonable cost of the cardiac technical services provided by industry-employed cardiac technicians. </w:t>
      </w:r>
      <w:r w:rsidR="42346AA3" w:rsidRPr="005F5BEA">
        <w:t xml:space="preserve">The applicant </w:t>
      </w:r>
      <w:r w:rsidR="230479BA" w:rsidRPr="005F5BEA">
        <w:t xml:space="preserve">considers that these </w:t>
      </w:r>
      <w:r w:rsidRPr="005F5BEA">
        <w:t xml:space="preserve">services are currently </w:t>
      </w:r>
      <w:proofErr w:type="gramStart"/>
      <w:r w:rsidRPr="005F5BEA">
        <w:t>cross-subsidised</w:t>
      </w:r>
      <w:proofErr w:type="gramEnd"/>
      <w:r w:rsidRPr="005F5BEA">
        <w:t xml:space="preserve"> via the higher PL benefits paid for CIEDs by private health insurers</w:t>
      </w:r>
      <w:r w:rsidR="31620F21" w:rsidRPr="005F5BEA">
        <w:t>, compared to the prices paid for the same devices in the public sector</w:t>
      </w:r>
      <w:r w:rsidRPr="005F5BEA">
        <w:t xml:space="preserve">. </w:t>
      </w:r>
    </w:p>
    <w:p w14:paraId="29AB80B4" w14:textId="1C4261E9" w:rsidR="00766D3E" w:rsidRPr="005F5BEA" w:rsidRDefault="6CC78889" w:rsidP="198B7720">
      <w:r w:rsidRPr="005F5BEA">
        <w:t xml:space="preserve">MSAC </w:t>
      </w:r>
      <w:r w:rsidR="12A985EF" w:rsidRPr="005F5BEA">
        <w:t>considered</w:t>
      </w:r>
      <w:r w:rsidRPr="005F5BEA">
        <w:t xml:space="preserve"> that the current model of care for provision of CIED follow-up services that relies on industry is problematic and that cross-subsidising follow-up services through PL benefit</w:t>
      </w:r>
      <w:r w:rsidR="19C72AE1" w:rsidRPr="005F5BEA">
        <w:t>s</w:t>
      </w:r>
      <w:r w:rsidRPr="005F5BEA">
        <w:t xml:space="preserve"> has resulted in </w:t>
      </w:r>
      <w:r w:rsidR="00354B3D" w:rsidRPr="005F5BEA">
        <w:t>an opaque</w:t>
      </w:r>
      <w:r w:rsidRPr="005F5BEA">
        <w:t xml:space="preserve"> mechanism of funding for these services.</w:t>
      </w:r>
      <w:r w:rsidR="164A4089" w:rsidRPr="005F5BEA">
        <w:rPr>
          <w:rFonts w:eastAsia="Franklin Gothic Book" w:cs="Franklin Gothic Book"/>
        </w:rPr>
        <w:t xml:space="preserve"> </w:t>
      </w:r>
      <w:r w:rsidRPr="005F5BEA">
        <w:t xml:space="preserve">MSAC advised that further reform should be undertaken to encourage uptake of </w:t>
      </w:r>
      <w:r w:rsidR="00354B3D" w:rsidRPr="005F5BEA">
        <w:t xml:space="preserve">alternative </w:t>
      </w:r>
      <w:r w:rsidRPr="005F5BEA">
        <w:t xml:space="preserve">models of care, such as the provision of services by private cardiologists who employ cardiac </w:t>
      </w:r>
      <w:r w:rsidR="44074C9B" w:rsidRPr="005F5BEA">
        <w:t>technicians</w:t>
      </w:r>
      <w:r w:rsidR="19C72AE1" w:rsidRPr="005F5BEA">
        <w:t>,</w:t>
      </w:r>
      <w:r w:rsidR="44074C9B" w:rsidRPr="005F5BEA">
        <w:t xml:space="preserve"> but</w:t>
      </w:r>
      <w:r w:rsidRPr="005F5BEA">
        <w:t xml:space="preserve"> noted this would have to be addressed through longer-term reform.</w:t>
      </w:r>
    </w:p>
    <w:p w14:paraId="0B68FE35" w14:textId="39B2EBFB" w:rsidR="00766D3E" w:rsidRPr="005F5BEA" w:rsidRDefault="271ED282" w:rsidP="00766D3E">
      <w:r w:rsidRPr="005F5BEA">
        <w:t xml:space="preserve">MSAC considered that the estimates </w:t>
      </w:r>
      <w:r w:rsidR="3C2AFE5A" w:rsidRPr="005F5BEA">
        <w:t xml:space="preserve">for the cost of follow-up services </w:t>
      </w:r>
      <w:r w:rsidRPr="005F5BEA">
        <w:t>provided by the applicant were likely overestimated</w:t>
      </w:r>
      <w:r w:rsidR="5CEAC6F2" w:rsidRPr="005F5BEA">
        <w:t xml:space="preserve"> and</w:t>
      </w:r>
      <w:r w:rsidRPr="005F5BEA">
        <w:t xml:space="preserve"> were based on an inefficient model of service provision. MSAC noted the applicant did not provide the</w:t>
      </w:r>
      <w:r w:rsidR="32A638B2" w:rsidRPr="005F5BEA">
        <w:t xml:space="preserve"> type or</w:t>
      </w:r>
      <w:r w:rsidRPr="005F5BEA">
        <w:t xml:space="preserve"> level of data that was requested of them throughout the MSAC process. MSAC noted the applicant instead presented an aggregate cost of providing cardiac technical support services across all device types, which did not allow the cost of follow-up services per device or per patient to be calculated.</w:t>
      </w:r>
    </w:p>
    <w:p w14:paraId="273FA1F4" w14:textId="2013C8D6" w:rsidR="00766D3E" w:rsidRPr="005F5BEA" w:rsidRDefault="271ED282" w:rsidP="50BB26CF">
      <w:r w:rsidRPr="005F5BEA">
        <w:t xml:space="preserve">MSAC </w:t>
      </w:r>
      <w:r w:rsidR="6174B6F6" w:rsidRPr="005F5BEA">
        <w:t xml:space="preserve">noted that the costs provided by the applicant </w:t>
      </w:r>
      <w:r w:rsidR="7FF1E74B" w:rsidRPr="005F5BEA">
        <w:t>i</w:t>
      </w:r>
      <w:r w:rsidR="6174B6F6" w:rsidRPr="005F5BEA">
        <w:t xml:space="preserve">ncluded </w:t>
      </w:r>
      <w:r w:rsidRPr="005F5BEA">
        <w:t>the costs associated with</w:t>
      </w:r>
      <w:r w:rsidR="41C1DF3D" w:rsidRPr="005F5BEA">
        <w:t xml:space="preserve"> providing</w:t>
      </w:r>
      <w:r w:rsidRPr="005F5BEA">
        <w:t xml:space="preserve"> </w:t>
      </w:r>
      <w:r w:rsidR="0FABDD7B" w:rsidRPr="005F5BEA">
        <w:t>cardiac technical</w:t>
      </w:r>
      <w:r w:rsidRPr="005F5BEA">
        <w:t xml:space="preserve"> services</w:t>
      </w:r>
      <w:r w:rsidR="2FBB2743" w:rsidRPr="005F5BEA">
        <w:t xml:space="preserve"> to the public sector as well a</w:t>
      </w:r>
      <w:r w:rsidR="0E9CE915" w:rsidRPr="005F5BEA">
        <w:t>n</w:t>
      </w:r>
      <w:r w:rsidR="2FBB2743" w:rsidRPr="005F5BEA">
        <w:t>d implantation-related</w:t>
      </w:r>
      <w:r w:rsidRPr="005F5BEA">
        <w:t xml:space="preserve"> </w:t>
      </w:r>
      <w:r w:rsidR="002E2BDB" w:rsidRPr="005F5BEA">
        <w:t>services. MSA</w:t>
      </w:r>
      <w:r w:rsidR="4B6939F6" w:rsidRPr="005F5BEA">
        <w:t>C</w:t>
      </w:r>
      <w:r w:rsidR="002E2BDB" w:rsidRPr="005F5BEA">
        <w:t xml:space="preserve"> considered </w:t>
      </w:r>
      <w:r w:rsidR="1947AD62" w:rsidRPr="005F5BEA">
        <w:t xml:space="preserve">it was inappropriate to include </w:t>
      </w:r>
      <w:r w:rsidR="002E2BDB" w:rsidRPr="005F5BEA">
        <w:t xml:space="preserve">the costs associated with </w:t>
      </w:r>
      <w:r w:rsidR="2822BED7" w:rsidRPr="005F5BEA">
        <w:t xml:space="preserve">providing cardiac technical support services to the public sector in the calculation of </w:t>
      </w:r>
      <w:r w:rsidR="1EAA76CF" w:rsidRPr="005F5BEA">
        <w:t xml:space="preserve">the cost of </w:t>
      </w:r>
      <w:r w:rsidR="2822BED7" w:rsidRPr="005F5BEA">
        <w:t>follow</w:t>
      </w:r>
      <w:r w:rsidR="64130E2A" w:rsidRPr="005F5BEA">
        <w:t>-</w:t>
      </w:r>
      <w:r w:rsidR="2822BED7" w:rsidRPr="005F5BEA">
        <w:t>up services paid for by private health insurers</w:t>
      </w:r>
      <w:r w:rsidR="593C31C6" w:rsidRPr="005F5BEA">
        <w:t xml:space="preserve"> through the PL benefit</w:t>
      </w:r>
      <w:r w:rsidR="2822BED7" w:rsidRPr="005F5BEA">
        <w:t xml:space="preserve"> for privately insured patients. </w:t>
      </w:r>
      <w:r w:rsidR="20248796" w:rsidRPr="005F5BEA">
        <w:t>MSAC also considered</w:t>
      </w:r>
      <w:r w:rsidR="38CEBDE2" w:rsidRPr="005F5BEA">
        <w:t xml:space="preserve"> </w:t>
      </w:r>
      <w:r w:rsidR="002E2BDB" w:rsidRPr="005F5BEA">
        <w:t>th</w:t>
      </w:r>
      <w:r w:rsidR="38CEBDE2" w:rsidRPr="005F5BEA">
        <w:t xml:space="preserve">at </w:t>
      </w:r>
      <w:r w:rsidRPr="005F5BEA">
        <w:t>implantation-related services should not be c</w:t>
      </w:r>
      <w:r w:rsidR="3498DC74" w:rsidRPr="005F5BEA">
        <w:t>ategorised</w:t>
      </w:r>
      <w:r w:rsidRPr="005F5BEA">
        <w:t xml:space="preserve"> as follow-up services and should be removed from the calculation of the reasonable cost of cardiac technical services provided by industry-employed cardiac technicians</w:t>
      </w:r>
      <w:r w:rsidR="79393759" w:rsidRPr="005F5BEA">
        <w:t xml:space="preserve">. MSAC considered the costs associated with implantation-related services, </w:t>
      </w:r>
      <w:r w:rsidR="01D43FB1" w:rsidRPr="005F5BEA">
        <w:t>including</w:t>
      </w:r>
      <w:r w:rsidR="79393759" w:rsidRPr="005F5BEA">
        <w:t xml:space="preserve"> day-1 checks</w:t>
      </w:r>
      <w:r w:rsidR="4480764F" w:rsidRPr="005F5BEA">
        <w:t>,</w:t>
      </w:r>
      <w:r w:rsidR="79393759" w:rsidRPr="005F5BEA">
        <w:t xml:space="preserve"> should </w:t>
      </w:r>
      <w:r w:rsidR="5DEB418F" w:rsidRPr="005F5BEA">
        <w:t>already be included in the cost of the device</w:t>
      </w:r>
      <w:r w:rsidR="7BA8C7E2" w:rsidRPr="005F5BEA">
        <w:t xml:space="preserve"> itself</w:t>
      </w:r>
      <w:r w:rsidR="5DEB418F" w:rsidRPr="005F5BEA">
        <w:t>, consistent with other PL listed devices</w:t>
      </w:r>
      <w:r w:rsidR="44AA824B" w:rsidRPr="005F5BEA">
        <w:t xml:space="preserve">. </w:t>
      </w:r>
      <w:r w:rsidRPr="005F5BEA">
        <w:t xml:space="preserve">MSAC also considered inputs to the cost of providing follow-up services, such as the average hourly wage of cardiac technicians and onboarding costs were </w:t>
      </w:r>
      <w:r w:rsidR="00354B3D" w:rsidRPr="005F5BEA">
        <w:t xml:space="preserve">likely </w:t>
      </w:r>
      <w:r w:rsidRPr="005F5BEA">
        <w:t xml:space="preserve">overestimated. </w:t>
      </w:r>
    </w:p>
    <w:p w14:paraId="1CFC53A9" w14:textId="130E110D" w:rsidR="00766D3E" w:rsidRPr="005F5BEA" w:rsidRDefault="271ED282" w:rsidP="00766D3E">
      <w:r w:rsidRPr="005F5BEA">
        <w:t>MSAC noted that the applicant’s pre-MSAC response stated that pacemaker leads were erroneously omitted from the list of CIEDs</w:t>
      </w:r>
      <w:r w:rsidR="514B843D" w:rsidRPr="005F5BEA">
        <w:t xml:space="preserve"> presented in their application</w:t>
      </w:r>
      <w:r w:rsidRPr="005F5BEA">
        <w:t xml:space="preserve"> that require ongoing monitoring during patient follow-up. </w:t>
      </w:r>
      <w:r w:rsidRPr="005F5BEA" w:rsidDel="008210A7">
        <w:t>MSAC considered the</w:t>
      </w:r>
      <w:r w:rsidRPr="005F5BEA">
        <w:t xml:space="preserve"> cost of follow</w:t>
      </w:r>
      <w:r w:rsidR="7BF31460" w:rsidRPr="005F5BEA">
        <w:t>-</w:t>
      </w:r>
      <w:r w:rsidR="00736D18" w:rsidRPr="005F5BEA">
        <w:rPr>
          <w:szCs w:val="24"/>
        </w:rPr>
        <w:noBreakHyphen/>
      </w:r>
      <w:r w:rsidRPr="005F5BEA">
        <w:t xml:space="preserve">up services </w:t>
      </w:r>
      <w:r w:rsidRPr="005F5BEA" w:rsidDel="000462AD">
        <w:t xml:space="preserve">should </w:t>
      </w:r>
      <w:r w:rsidRPr="005F5BEA">
        <w:t>only be attributed to the principal CIEDs</w:t>
      </w:r>
      <w:r w:rsidRPr="005F5BEA">
        <w:rPr>
          <w:szCs w:val="24"/>
        </w:rPr>
        <w:t>.</w:t>
      </w:r>
      <w:r w:rsidR="46F1BEFB" w:rsidRPr="005F5BEA">
        <w:t xml:space="preserve"> The reason for this is that </w:t>
      </w:r>
      <w:r w:rsidR="2BEFA60D" w:rsidRPr="005F5BEA">
        <w:t xml:space="preserve">the servicing requirement </w:t>
      </w:r>
      <w:r w:rsidR="2BEAE630" w:rsidRPr="005F5BEA">
        <w:t xml:space="preserve">is generally </w:t>
      </w:r>
      <w:r w:rsidR="2BEFA60D" w:rsidRPr="005F5BEA">
        <w:t>attributable to the</w:t>
      </w:r>
      <w:r w:rsidR="46F1BEFB" w:rsidRPr="005F5BEA">
        <w:t xml:space="preserve"> </w:t>
      </w:r>
      <w:r w:rsidR="61A2613B" w:rsidRPr="005F5BEA">
        <w:t xml:space="preserve">use of the </w:t>
      </w:r>
      <w:r w:rsidR="3BF63868" w:rsidRPr="005F5BEA">
        <w:t xml:space="preserve">principal </w:t>
      </w:r>
      <w:r w:rsidR="2BEFA60D" w:rsidRPr="005F5BEA">
        <w:t>CIED</w:t>
      </w:r>
      <w:r w:rsidR="2BEAE630" w:rsidRPr="005F5BEA">
        <w:t xml:space="preserve"> rather than the ancillary products</w:t>
      </w:r>
      <w:r w:rsidR="46F1BEFB" w:rsidRPr="005F5BEA">
        <w:t>.</w:t>
      </w:r>
    </w:p>
    <w:p w14:paraId="1C6CBD7C" w14:textId="16082340" w:rsidR="00766D3E" w:rsidRPr="005F5BEA" w:rsidRDefault="00766D3E" w:rsidP="00364113">
      <w:pPr>
        <w:spacing w:after="240"/>
      </w:pPr>
      <w:r w:rsidRPr="005F5BEA">
        <w:t xml:space="preserve">MSAC noted that the applicant initially estimated the cost of follow-up services </w:t>
      </w:r>
      <w:r w:rsidR="00AE6018" w:rsidRPr="005F5BEA">
        <w:t>to be</w:t>
      </w:r>
      <w:r w:rsidRPr="005F5BEA">
        <w:t xml:space="preserve"> $73.3</w:t>
      </w:r>
      <w:r w:rsidR="000138C1" w:rsidRPr="005F5BEA">
        <w:rPr>
          <w:rFonts w:eastAsia="Franklin Gothic Book" w:cs="Franklin Gothic Book"/>
        </w:rPr>
        <w:t> </w:t>
      </w:r>
      <w:r w:rsidR="29CA380F" w:rsidRPr="005F5BEA">
        <w:rPr>
          <w:rFonts w:eastAsia="Franklin Gothic Book" w:cs="Franklin Gothic Book"/>
        </w:rPr>
        <w:t xml:space="preserve">million per year, </w:t>
      </w:r>
      <w:r w:rsidR="00AE6018" w:rsidRPr="005F5BEA">
        <w:rPr>
          <w:rFonts w:eastAsia="Franklin Gothic Book" w:cs="Franklin Gothic Book"/>
        </w:rPr>
        <w:t xml:space="preserve">which was subsequently </w:t>
      </w:r>
      <w:r w:rsidR="29CA380F" w:rsidRPr="005F5BEA">
        <w:rPr>
          <w:rFonts w:eastAsia="Franklin Gothic Book" w:cs="Franklin Gothic Book"/>
        </w:rPr>
        <w:t>increas</w:t>
      </w:r>
      <w:r w:rsidR="00AE6018" w:rsidRPr="005F5BEA">
        <w:rPr>
          <w:rFonts w:eastAsia="Franklin Gothic Book" w:cs="Franklin Gothic Book"/>
        </w:rPr>
        <w:t>ed</w:t>
      </w:r>
      <w:r w:rsidR="29CA380F" w:rsidRPr="005F5BEA">
        <w:rPr>
          <w:rFonts w:eastAsia="Franklin Gothic Book" w:cs="Franklin Gothic Book"/>
        </w:rPr>
        <w:t xml:space="preserve"> to $91.</w:t>
      </w:r>
      <w:r w:rsidR="00777C4E" w:rsidRPr="005F5BEA">
        <w:rPr>
          <w:rFonts w:eastAsia="Franklin Gothic Book" w:cs="Franklin Gothic Book"/>
        </w:rPr>
        <w:t>3</w:t>
      </w:r>
      <w:r w:rsidR="29CA380F" w:rsidRPr="005F5BEA">
        <w:rPr>
          <w:rFonts w:eastAsia="Franklin Gothic Book" w:cs="Franklin Gothic Book"/>
        </w:rPr>
        <w:t xml:space="preserve"> million in its pre-ESC response.</w:t>
      </w:r>
      <w:r w:rsidRPr="005F5BEA">
        <w:t xml:space="preserve"> MSAC requested independent evaluation of the updated cost estimates provided in the pre-ESC response. MSAC considered that this would enable it to advise on a more reliable estimate of the reasonable aggregate cost of follow up cardiac technical support services. MSAC considered this additional analysis could be expedited</w:t>
      </w:r>
      <w:r w:rsidR="00120E0B" w:rsidRPr="005F5BEA">
        <w:t>. MSAC considered the</w:t>
      </w:r>
      <w:r w:rsidR="003D6ABD" w:rsidRPr="005F5BEA">
        <w:t xml:space="preserve"> update</w:t>
      </w:r>
      <w:r w:rsidR="1831642F" w:rsidRPr="005F5BEA">
        <w:t>d</w:t>
      </w:r>
      <w:r w:rsidR="003D6ABD" w:rsidRPr="005F5BEA">
        <w:t xml:space="preserve"> </w:t>
      </w:r>
      <w:r w:rsidRPr="005F5BEA">
        <w:t>estimate of the cost of follow-up services could be considered out-of-session, or by the MSAC Executive.</w:t>
      </w:r>
    </w:p>
    <w:p w14:paraId="5C13800E" w14:textId="396BA964" w:rsidR="00C83A47" w:rsidRPr="005F5BEA" w:rsidRDefault="7558C7A6" w:rsidP="00A83106">
      <w:pPr>
        <w:pStyle w:val="Heading2"/>
      </w:pPr>
      <w:r w:rsidRPr="005F5BEA">
        <w:lastRenderedPageBreak/>
        <w:t>Summary of consideration and rationale for MSAC’s advice</w:t>
      </w:r>
      <w:r w:rsidR="4EE19B83" w:rsidRPr="005F5BEA">
        <w:t xml:space="preserve"> – March 2023</w:t>
      </w:r>
    </w:p>
    <w:p w14:paraId="2503559A" w14:textId="13F4E7DD" w:rsidR="001C5600" w:rsidRPr="005F5BEA" w:rsidRDefault="2C11C118" w:rsidP="11AFB54D">
      <w:pPr>
        <w:rPr>
          <w:rFonts w:eastAsia="Times New Roman" w:cs="Times New Roman"/>
          <w:lang w:eastAsia="en-AU"/>
        </w:rPr>
      </w:pPr>
      <w:r w:rsidRPr="005F5BEA">
        <w:rPr>
          <w:rFonts w:eastAsia="Times New Roman" w:cs="Times New Roman"/>
          <w:lang w:eastAsia="en-AU"/>
        </w:rPr>
        <w:t>The MSAC noted the purpose of the application was for MSAC to provide its advice on the reasonable cost of follow-up cardiac technical support services for CIEDs provided by the IECTs. MSAC noted this amount would not be subject to the staged PL benefit reductions.</w:t>
      </w:r>
    </w:p>
    <w:p w14:paraId="257A9DCE" w14:textId="1DB19CF5" w:rsidR="001C5600" w:rsidRPr="005F5BEA" w:rsidRDefault="07DBB3C4" w:rsidP="11AFB54D">
      <w:pPr>
        <w:rPr>
          <w:rFonts w:eastAsia="Times New Roman" w:cs="Times New Roman"/>
          <w:lang w:eastAsia="en-AU"/>
        </w:rPr>
      </w:pPr>
      <w:r w:rsidRPr="005F5BEA">
        <w:rPr>
          <w:rFonts w:eastAsiaTheme="minorEastAsia"/>
          <w:lang w:eastAsia="en-AU"/>
        </w:rPr>
        <w:t>MSAC noted that the need to determine funding approaches for CIED technical support services have been discussed by government and medical technology sector since 2017.</w:t>
      </w:r>
      <w:r w:rsidR="3A8CFE35" w:rsidRPr="00D46A6C">
        <w:rPr>
          <w:rFonts w:eastAsiaTheme="minorEastAsia"/>
          <w:vertAlign w:val="superscript"/>
          <w:lang w:eastAsia="en-AU"/>
        </w:rPr>
        <w:footnoteReference w:id="5"/>
      </w:r>
      <w:r w:rsidRPr="005F5BEA">
        <w:rPr>
          <w:rFonts w:eastAsiaTheme="minorEastAsia"/>
          <w:lang w:eastAsia="en-AU"/>
        </w:rPr>
        <w:t xml:space="preserve">  In the 2021–22 Federal Budget, the Australian Government committed to reduce the cost of medical devices used in the private health sector and streamline access to new medical devices, to improve the afford</w:t>
      </w:r>
      <w:r w:rsidRPr="005F5BEA">
        <w:rPr>
          <w:rFonts w:eastAsia="Times New Roman" w:cs="Times New Roman"/>
          <w:lang w:eastAsia="en-AU"/>
        </w:rPr>
        <w:t>ability and value of private health insurance for Australians.</w:t>
      </w:r>
      <w:r w:rsidRPr="005F5BEA">
        <w:t xml:space="preserve"> </w:t>
      </w:r>
      <w:r w:rsidR="572F9C40" w:rsidRPr="005F5BEA">
        <w:t xml:space="preserve">MSAC noted that </w:t>
      </w:r>
      <w:r w:rsidR="6861B09D" w:rsidRPr="005F5BEA">
        <w:t xml:space="preserve">one of the aims of the </w:t>
      </w:r>
      <w:r w:rsidR="18ABA18D" w:rsidRPr="005F5BEA">
        <w:t xml:space="preserve">PL reforms is to </w:t>
      </w:r>
      <w:r w:rsidR="0A0AD80E" w:rsidRPr="005F5BEA">
        <w:t xml:space="preserve">reduce the gap between </w:t>
      </w:r>
      <w:r w:rsidR="7A91BABD" w:rsidRPr="005F5BEA">
        <w:t xml:space="preserve">PL benefits </w:t>
      </w:r>
      <w:r w:rsidR="2C81FCD3" w:rsidRPr="005F5BEA">
        <w:t xml:space="preserve">(in the private sector) </w:t>
      </w:r>
      <w:r w:rsidR="7A91BABD" w:rsidRPr="005F5BEA">
        <w:t xml:space="preserve">and </w:t>
      </w:r>
      <w:r w:rsidR="2C81FCD3" w:rsidRPr="005F5BEA">
        <w:t>the prices paid for prosthes</w:t>
      </w:r>
      <w:r w:rsidR="17C1ACC4" w:rsidRPr="005F5BEA">
        <w:t>e</w:t>
      </w:r>
      <w:r w:rsidR="2C81FCD3" w:rsidRPr="005F5BEA">
        <w:t xml:space="preserve">s in the public hospital system (referred to as </w:t>
      </w:r>
      <w:r w:rsidR="319624D6" w:rsidRPr="005F5BEA">
        <w:t xml:space="preserve">weighted </w:t>
      </w:r>
      <w:r w:rsidR="3881E6A6" w:rsidRPr="005F5BEA">
        <w:t xml:space="preserve">average </w:t>
      </w:r>
      <w:r w:rsidR="319624D6" w:rsidRPr="005F5BEA">
        <w:t>price</w:t>
      </w:r>
      <w:r w:rsidR="3881E6A6" w:rsidRPr="005F5BEA">
        <w:t xml:space="preserve"> [WAP]</w:t>
      </w:r>
      <w:r w:rsidR="319624D6" w:rsidRPr="005F5BEA">
        <w:t xml:space="preserve">). </w:t>
      </w:r>
      <w:r w:rsidR="694ADCA2" w:rsidRPr="005F5BEA">
        <w:t xml:space="preserve">MSAC noted that items on the PL will have their benefit levels reference priced by establishing the gap between </w:t>
      </w:r>
      <w:r w:rsidR="5A38453B" w:rsidRPr="005F5BEA">
        <w:t xml:space="preserve">PL benefits and </w:t>
      </w:r>
      <w:r w:rsidR="694ADCA2" w:rsidRPr="005F5BEA">
        <w:t>the prices paid in public hospital system</w:t>
      </w:r>
      <w:r w:rsidR="3881E6A6" w:rsidRPr="005F5BEA">
        <w:t xml:space="preserve">. </w:t>
      </w:r>
    </w:p>
    <w:p w14:paraId="05302BDA" w14:textId="1CE575C3" w:rsidR="001C5600" w:rsidRPr="005F5BEA" w:rsidRDefault="694ADCA2" w:rsidP="11AFB54D">
      <w:r w:rsidRPr="005F5BEA">
        <w:t xml:space="preserve">MSAC noted that the Department deferred the scheduled 1 July 2022 PL benefit reductions for CIEDs for 12 months in line with the March 2022 Memorandum of Understanding (MoU) between the Minister for Health and Aged Care and the MTAA. This was to ensure continued access for patients </w:t>
      </w:r>
      <w:r w:rsidR="11C2560C" w:rsidRPr="005F5BEA">
        <w:t xml:space="preserve">to </w:t>
      </w:r>
      <w:r w:rsidRPr="005F5BEA">
        <w:t xml:space="preserve">CIEDs and to allow for MSAC deliberations on the value of the technical support services. </w:t>
      </w:r>
      <w:r w:rsidR="3653F26C" w:rsidRPr="005F5BEA">
        <w:t>As part of the MoU, t</w:t>
      </w:r>
      <w:r w:rsidR="3653F26C" w:rsidRPr="005F5BEA">
        <w:rPr>
          <w:rFonts w:eastAsia="Times New Roman" w:cs="Times New Roman"/>
          <w:lang w:eastAsia="en-AU"/>
        </w:rPr>
        <w:t>he MTAA agreed to take all reasonable steps to ensure that cardiac companies that produce CIEDs commit to engage with MSAC and provide MSAC with company data relevant to the MSAC process. On 1 July 2023, PL benefits for CIEDs were reduced based on the assumption that the cost of the device has been estimated at approximately 54% of the current CIED PL benefit. Any additional reductions based on MSAC’s advice will be applied to the CIED benefit reductions scheduled for 1 July 2024.</w:t>
      </w:r>
    </w:p>
    <w:p w14:paraId="70E29E31" w14:textId="789B844D" w:rsidR="001C5600" w:rsidRPr="005F5BEA" w:rsidRDefault="6245ECD2" w:rsidP="11AFB54D">
      <w:pPr>
        <w:rPr>
          <w:rFonts w:eastAsia="Times New Roman" w:cs="Times New Roman"/>
          <w:lang w:eastAsia="en-AU"/>
        </w:rPr>
      </w:pPr>
      <w:r w:rsidRPr="005F5BEA">
        <w:rPr>
          <w:rFonts w:eastAsia="Times New Roman" w:cs="Times New Roman"/>
          <w:lang w:eastAsia="en-AU"/>
        </w:rPr>
        <w:t xml:space="preserve">MSAC noted technical support services provided to people with CIEDs by IECTs are currently cross subsidised through higher benefit amounts paid by private health insurers for CIEDs listed on the PL. MSAC noted the cost of providing these support services have been claimed by CIED manufacturers to justify the large discrepancy between the PL benefit amount paid for these devices on the PL and the equivalent public sector reference prices. The applicant claims the higher PL benefits amounts are used to fund services for patients whose CIEDs are implanted in both the private and public health services. </w:t>
      </w:r>
    </w:p>
    <w:p w14:paraId="0C329DAD" w14:textId="079D0D43" w:rsidR="001C5600" w:rsidRPr="005F5BEA" w:rsidRDefault="5EF29FC1" w:rsidP="11AFB54D">
      <w:r w:rsidRPr="005F5BEA">
        <w:t xml:space="preserve">MSAC noted that the </w:t>
      </w:r>
      <w:r w:rsidR="3CEDE7C6" w:rsidRPr="005F5BEA">
        <w:t xml:space="preserve">amount determined to be the </w:t>
      </w:r>
      <w:r w:rsidRPr="005F5BEA">
        <w:t xml:space="preserve">reasonable cost of cardiac technical support services will </w:t>
      </w:r>
      <w:r w:rsidR="46F6487E" w:rsidRPr="005F5BEA">
        <w:t>not be subject to the</w:t>
      </w:r>
      <w:r w:rsidRPr="005F5BEA">
        <w:t xml:space="preserve"> scheduled reductions to the PL benefits</w:t>
      </w:r>
      <w:r w:rsidR="7E1C3FE0" w:rsidRPr="005F5BEA">
        <w:t xml:space="preserve"> whi</w:t>
      </w:r>
      <w:r w:rsidR="2C3A0B0F" w:rsidRPr="005F5BEA">
        <w:t>c</w:t>
      </w:r>
      <w:r w:rsidR="7E1C3FE0" w:rsidRPr="005F5BEA">
        <w:t>h will be applied to the CIEDs</w:t>
      </w:r>
      <w:r w:rsidRPr="005F5BEA">
        <w:t xml:space="preserve">. MSAC noted that the intent of the PL is to fund </w:t>
      </w:r>
      <w:r w:rsidR="4BB0E6C8" w:rsidRPr="005F5BEA">
        <w:t xml:space="preserve">implantable </w:t>
      </w:r>
      <w:r w:rsidRPr="005F5BEA">
        <w:t>products rather than services</w:t>
      </w:r>
      <w:r w:rsidR="26FDC9F6" w:rsidRPr="005F5BEA">
        <w:t xml:space="preserve"> and that </w:t>
      </w:r>
      <w:proofErr w:type="gramStart"/>
      <w:r w:rsidR="26FDC9F6" w:rsidRPr="005F5BEA">
        <w:t>cross-subsidising</w:t>
      </w:r>
      <w:proofErr w:type="gramEnd"/>
      <w:r w:rsidR="26FDC9F6" w:rsidRPr="005F5BEA">
        <w:t xml:space="preserve"> the cost of follow-up services through the PL benefit has resulted in a non-transparent mechanism of funding for these services</w:t>
      </w:r>
      <w:r w:rsidRPr="005F5BEA">
        <w:t xml:space="preserve">. </w:t>
      </w:r>
    </w:p>
    <w:p w14:paraId="6F5D9581" w14:textId="317DB99C" w:rsidR="00194C38" w:rsidRPr="005F5BEA" w:rsidRDefault="00194C38" w:rsidP="008F021F">
      <w:r w:rsidRPr="005F5BEA">
        <w:t>MSAC noted that it was estimated that 220,172 Australians were living with a CIED in 2021. MSAC noted that the rates of new CIED implantations per population was increasing.</w:t>
      </w:r>
    </w:p>
    <w:p w14:paraId="07C4C247" w14:textId="659EFB1C" w:rsidR="00F830F3" w:rsidRPr="005F5BEA" w:rsidRDefault="18458D43" w:rsidP="00FF48DD">
      <w:r w:rsidRPr="005F5BEA">
        <w:t xml:space="preserve">MSAC considered that cardiac technical support services provided under the supervision of a cardiologist were needed for the safe and effective use of CIEDs. </w:t>
      </w:r>
      <w:r w:rsidR="64C73D81" w:rsidRPr="005F5BEA">
        <w:t xml:space="preserve">MSAC noted that following CIED implantation, a Day-1 check </w:t>
      </w:r>
      <w:r w:rsidR="30735582" w:rsidRPr="005F5BEA">
        <w:t xml:space="preserve">is </w:t>
      </w:r>
      <w:r w:rsidR="64C73D81" w:rsidRPr="005F5BEA">
        <w:t>performed in</w:t>
      </w:r>
      <w:r w:rsidR="2A529712" w:rsidRPr="005F5BEA">
        <w:t>-</w:t>
      </w:r>
      <w:r w:rsidR="64C73D81" w:rsidRPr="005F5BEA">
        <w:t>person or remotely.</w:t>
      </w:r>
      <w:r w:rsidR="7B814C3F" w:rsidRPr="005F5BEA">
        <w:t xml:space="preserve"> </w:t>
      </w:r>
      <w:r w:rsidR="64C73D81" w:rsidRPr="005F5BEA">
        <w:t xml:space="preserve">Thereafter, </w:t>
      </w:r>
      <w:r w:rsidR="0D25EFF2" w:rsidRPr="005F5BEA">
        <w:t xml:space="preserve">MSAC noted that patients with CIEDs </w:t>
      </w:r>
      <w:r w:rsidR="6897958A" w:rsidRPr="005F5BEA">
        <w:t>require</w:t>
      </w:r>
      <w:r w:rsidR="2474ECBE" w:rsidRPr="005F5BEA">
        <w:t xml:space="preserve"> scheduled and unscheduled </w:t>
      </w:r>
      <w:r w:rsidR="2489FB8D" w:rsidRPr="005F5BEA">
        <w:t>cardiac technical support services</w:t>
      </w:r>
      <w:r w:rsidR="687D26EB" w:rsidRPr="005F5BEA">
        <w:t xml:space="preserve">. MSAC noted that the frequency of scheduled services will vary </w:t>
      </w:r>
      <w:r w:rsidR="30D573B4" w:rsidRPr="005F5BEA">
        <w:t>depending on the CIED</w:t>
      </w:r>
      <w:r w:rsidR="358300F6" w:rsidRPr="005F5BEA">
        <w:t xml:space="preserve">, the </w:t>
      </w:r>
      <w:r w:rsidR="358300F6" w:rsidRPr="005F5BEA">
        <w:lastRenderedPageBreak/>
        <w:t xml:space="preserve">system and clinical alerts from the CIED, and </w:t>
      </w:r>
      <w:r w:rsidR="330ECBC3" w:rsidRPr="005F5BEA">
        <w:t>clinical need. MSAC noted that PPM</w:t>
      </w:r>
      <w:r w:rsidR="25142AF2" w:rsidRPr="005F5BEA">
        <w:t>s are reviewed approximately every 12 months whereas</w:t>
      </w:r>
      <w:r w:rsidR="330ECBC3" w:rsidRPr="005F5BEA">
        <w:t xml:space="preserve"> </w:t>
      </w:r>
      <w:r w:rsidR="25142AF2" w:rsidRPr="005F5BEA">
        <w:t>ICDs and CRTDs need to be reviewed more frequently.</w:t>
      </w:r>
      <w:r w:rsidR="7B814C3F" w:rsidRPr="005F5BEA">
        <w:t xml:space="preserve"> MSAC noted ILRs are reviewed as clinically indicated. In addition, MSAC noted that patients also have clinical cardiology review</w:t>
      </w:r>
      <w:r w:rsidR="406EC681" w:rsidRPr="005F5BEA">
        <w:t>s</w:t>
      </w:r>
      <w:r w:rsidR="7B814C3F" w:rsidRPr="005F5BEA">
        <w:t xml:space="preserve"> of their condition</w:t>
      </w:r>
      <w:r w:rsidR="33925608" w:rsidRPr="005F5BEA">
        <w:t xml:space="preserve"> as indicated</w:t>
      </w:r>
      <w:r w:rsidR="7B814C3F" w:rsidRPr="005F5BEA">
        <w:t>.</w:t>
      </w:r>
      <w:r w:rsidR="36FEA791" w:rsidRPr="005F5BEA">
        <w:t xml:space="preserve"> </w:t>
      </w:r>
    </w:p>
    <w:p w14:paraId="0B1B6E10" w14:textId="1323D78B" w:rsidR="008213B2" w:rsidRPr="005F5BEA" w:rsidRDefault="00FF48DD" w:rsidP="00495B29">
      <w:r w:rsidRPr="005F5BEA">
        <w:t xml:space="preserve">MSAC recalled that it had previously considered MSAC applications for CIED follow-up (including remote monitoring). This included MSAC Application </w:t>
      </w:r>
      <w:hyperlink r:id="rId8" w:history="1">
        <w:r w:rsidRPr="005F5BEA">
          <w:rPr>
            <w:rStyle w:val="Hyperlink"/>
          </w:rPr>
          <w:t>1197</w:t>
        </w:r>
      </w:hyperlink>
      <w:r w:rsidRPr="005F5BEA">
        <w:t xml:space="preserve"> and </w:t>
      </w:r>
      <w:hyperlink r:id="rId9" w:history="1">
        <w:r w:rsidRPr="005F5BEA">
          <w:rPr>
            <w:rStyle w:val="Hyperlink"/>
          </w:rPr>
          <w:t>1197.1</w:t>
        </w:r>
      </w:hyperlink>
      <w:r w:rsidRPr="005F5BEA">
        <w:t xml:space="preserve"> for Remote Monitoring of Patients with Implanted Cardiac Devices and MSAC Application </w:t>
      </w:r>
      <w:hyperlink r:id="rId10" w:history="1">
        <w:r w:rsidRPr="005F5BEA">
          <w:rPr>
            <w:rStyle w:val="Hyperlink"/>
          </w:rPr>
          <w:t>1443</w:t>
        </w:r>
      </w:hyperlink>
      <w:r w:rsidRPr="005F5BEA">
        <w:t xml:space="preserve"> for ILRs for diagnosis of atrial fibrillation in cryptogenic stroke. </w:t>
      </w:r>
    </w:p>
    <w:p w14:paraId="266BB369" w14:textId="2A3A7995" w:rsidR="00EC2283" w:rsidRPr="005F5BEA" w:rsidRDefault="2F40E7B9" w:rsidP="00495B29">
      <w:r w:rsidRPr="005F5BEA">
        <w:t>MSAC noted that</w:t>
      </w:r>
      <w:r w:rsidR="606B67BE" w:rsidRPr="005F5BEA">
        <w:t xml:space="preserve"> </w:t>
      </w:r>
      <w:r w:rsidRPr="005F5BEA">
        <w:t>the applicant had used the term “industry employed allied health professionals”</w:t>
      </w:r>
      <w:r w:rsidR="55A91607" w:rsidRPr="005F5BEA">
        <w:t xml:space="preserve"> in its application</w:t>
      </w:r>
      <w:r w:rsidR="597EC230" w:rsidRPr="005F5BEA">
        <w:t>.</w:t>
      </w:r>
      <w:r w:rsidR="2ED472E8" w:rsidRPr="005F5BEA">
        <w:t xml:space="preserve"> </w:t>
      </w:r>
      <w:r w:rsidRPr="005F5BEA">
        <w:t xml:space="preserve">MSAC considered that </w:t>
      </w:r>
      <w:r w:rsidR="597EC230" w:rsidRPr="005F5BEA">
        <w:t xml:space="preserve">while technicians are trained and competent, </w:t>
      </w:r>
      <w:r w:rsidRPr="005F5BEA">
        <w:t xml:space="preserve">they are not </w:t>
      </w:r>
      <w:r w:rsidR="715743EB" w:rsidRPr="005F5BEA">
        <w:t>formally recognised as</w:t>
      </w:r>
      <w:r w:rsidR="2C3AC300" w:rsidRPr="005F5BEA">
        <w:t xml:space="preserve"> allied</w:t>
      </w:r>
      <w:r w:rsidR="715743EB" w:rsidRPr="005F5BEA">
        <w:t xml:space="preserve"> </w:t>
      </w:r>
      <w:r w:rsidRPr="005F5BEA">
        <w:t xml:space="preserve">health professionals and the term </w:t>
      </w:r>
      <w:r w:rsidR="007E09FD" w:rsidRPr="005F5BEA">
        <w:t xml:space="preserve">“industry employed </w:t>
      </w:r>
      <w:r w:rsidRPr="005F5BEA">
        <w:t xml:space="preserve">cardiac technicians” </w:t>
      </w:r>
      <w:r w:rsidR="00FF6E8B" w:rsidRPr="005F5BEA">
        <w:t>(IECT</w:t>
      </w:r>
      <w:r w:rsidR="004679FF" w:rsidRPr="005F5BEA">
        <w:t>s</w:t>
      </w:r>
      <w:r w:rsidR="00FF6E8B" w:rsidRPr="005F5BEA">
        <w:t xml:space="preserve">) </w:t>
      </w:r>
      <w:r w:rsidRPr="005F5BEA">
        <w:t xml:space="preserve">is more </w:t>
      </w:r>
      <w:r w:rsidR="64E951AC" w:rsidRPr="005F5BEA">
        <w:t>appropriate</w:t>
      </w:r>
      <w:r w:rsidRPr="005F5BEA">
        <w:t>.</w:t>
      </w:r>
      <w:r w:rsidR="01E9FA9E" w:rsidRPr="005F5BEA">
        <w:t xml:space="preserve"> </w:t>
      </w:r>
      <w:r w:rsidR="74809C81" w:rsidRPr="005F5BEA">
        <w:t xml:space="preserve">MSAC considered that </w:t>
      </w:r>
      <w:r w:rsidR="491FC514" w:rsidRPr="005F5BEA">
        <w:t>although IECT</w:t>
      </w:r>
      <w:r w:rsidR="24B211E1" w:rsidRPr="005F5BEA">
        <w:t>s</w:t>
      </w:r>
      <w:r w:rsidR="491FC514" w:rsidRPr="005F5BEA">
        <w:t xml:space="preserve"> provide </w:t>
      </w:r>
      <w:r w:rsidR="24B211E1" w:rsidRPr="005F5BEA">
        <w:t xml:space="preserve">a clinically important, </w:t>
      </w:r>
      <w:r w:rsidR="606B67BE" w:rsidRPr="005F5BEA">
        <w:t>quality</w:t>
      </w:r>
      <w:r w:rsidR="43D6F376" w:rsidRPr="005F5BEA">
        <w:t xml:space="preserve"> service, </w:t>
      </w:r>
      <w:r w:rsidR="53932CFA" w:rsidRPr="005F5BEA">
        <w:t xml:space="preserve">the </w:t>
      </w:r>
      <w:r w:rsidR="07FEDDB9" w:rsidRPr="005F5BEA">
        <w:t xml:space="preserve">current </w:t>
      </w:r>
      <w:r w:rsidR="1B0B3BAF" w:rsidRPr="005F5BEA">
        <w:t xml:space="preserve">model of providing these services through technicians employed by device suppliers </w:t>
      </w:r>
      <w:r w:rsidR="44B4C8F9" w:rsidRPr="005F5BEA">
        <w:t>is</w:t>
      </w:r>
      <w:r w:rsidR="1B0B3BAF" w:rsidRPr="005F5BEA">
        <w:t xml:space="preserve"> not ideal. </w:t>
      </w:r>
    </w:p>
    <w:p w14:paraId="4DBFAFD6" w14:textId="3566C72B" w:rsidR="005A0C2B" w:rsidRPr="005F5BEA" w:rsidRDefault="005A0C2B" w:rsidP="00495B29">
      <w:r w:rsidRPr="005F5BEA">
        <w:t xml:space="preserve">MSAC noted that </w:t>
      </w:r>
      <w:r w:rsidR="00F02A67" w:rsidRPr="005F5BEA">
        <w:t xml:space="preserve">there </w:t>
      </w:r>
      <w:r w:rsidR="00F7771D" w:rsidRPr="005F5BEA">
        <w:t xml:space="preserve">are </w:t>
      </w:r>
      <w:r w:rsidR="00F02A67" w:rsidRPr="005F5BEA">
        <w:t xml:space="preserve">several </w:t>
      </w:r>
      <w:r w:rsidR="00AC7F7F" w:rsidRPr="005F5BEA">
        <w:t xml:space="preserve">models </w:t>
      </w:r>
      <w:r w:rsidR="00B23075" w:rsidRPr="005F5BEA">
        <w:t>for the provision of cardiac technical support services for CIEDs:</w:t>
      </w:r>
    </w:p>
    <w:p w14:paraId="01928F78" w14:textId="4C454169" w:rsidR="00B23075" w:rsidRPr="005F5BEA" w:rsidRDefault="00B23075" w:rsidP="00AB5B20">
      <w:pPr>
        <w:pStyle w:val="ListParagraph"/>
        <w:numPr>
          <w:ilvl w:val="0"/>
          <w:numId w:val="17"/>
        </w:numPr>
      </w:pPr>
      <w:r w:rsidRPr="005F5BEA">
        <w:t xml:space="preserve">Model 1: Services provided through public hospitals and outreach services that employ cardiac </w:t>
      </w:r>
      <w:proofErr w:type="gramStart"/>
      <w:r w:rsidRPr="005F5BEA">
        <w:t>technicians</w:t>
      </w:r>
      <w:proofErr w:type="gramEnd"/>
      <w:r w:rsidRPr="005F5BEA">
        <w:t xml:space="preserve"> </w:t>
      </w:r>
    </w:p>
    <w:p w14:paraId="1475015D" w14:textId="7C94ADC3" w:rsidR="00B23075" w:rsidRPr="005F5BEA" w:rsidRDefault="00B23075" w:rsidP="00AB5B20">
      <w:pPr>
        <w:pStyle w:val="ListParagraph"/>
        <w:numPr>
          <w:ilvl w:val="0"/>
          <w:numId w:val="17"/>
        </w:numPr>
      </w:pPr>
      <w:r w:rsidRPr="005F5BEA">
        <w:t xml:space="preserve">Model 2: Services provided through private cardiologists who employ in-house cardiac </w:t>
      </w:r>
      <w:proofErr w:type="gramStart"/>
      <w:r w:rsidRPr="005F5BEA">
        <w:t>technicians</w:t>
      </w:r>
      <w:proofErr w:type="gramEnd"/>
      <w:r w:rsidR="005B1067" w:rsidRPr="005F5BEA">
        <w:t xml:space="preserve"> </w:t>
      </w:r>
    </w:p>
    <w:p w14:paraId="5087CF56" w14:textId="659FBAB3" w:rsidR="005B1067" w:rsidRPr="005F5BEA" w:rsidRDefault="2229A57D" w:rsidP="00AB5B20">
      <w:pPr>
        <w:pStyle w:val="ListParagraph"/>
        <w:numPr>
          <w:ilvl w:val="0"/>
          <w:numId w:val="17"/>
        </w:numPr>
      </w:pPr>
      <w:r w:rsidRPr="005F5BEA">
        <w:t>Model 3: Services provided through private cardiologists with only IECT</w:t>
      </w:r>
      <w:r w:rsidR="04621DE1" w:rsidRPr="005F5BEA">
        <w:t xml:space="preserve"> provided</w:t>
      </w:r>
      <w:r w:rsidRPr="005F5BEA">
        <w:t xml:space="preserve"> technical </w:t>
      </w:r>
      <w:proofErr w:type="gramStart"/>
      <w:r w:rsidRPr="005F5BEA">
        <w:t>support</w:t>
      </w:r>
      <w:proofErr w:type="gramEnd"/>
    </w:p>
    <w:p w14:paraId="13B503CE" w14:textId="320C8C9D" w:rsidR="0053318F" w:rsidRPr="005F5BEA" w:rsidRDefault="0AFC82A2" w:rsidP="00A12216">
      <w:r w:rsidRPr="005F5BEA">
        <w:t xml:space="preserve">MSAC noted that </w:t>
      </w:r>
      <w:r w:rsidR="45F80E68" w:rsidRPr="005F5BEA">
        <w:t>limited information was provided in relation to the different models of care for providing technical support services for CIEDs. MSAC considered</w:t>
      </w:r>
      <w:r w:rsidR="3E74CF06" w:rsidRPr="005F5BEA">
        <w:t xml:space="preserve"> information </w:t>
      </w:r>
      <w:r w:rsidR="639E87E2" w:rsidRPr="005F5BEA">
        <w:t xml:space="preserve">regarding the use of Model 1 and Model 2 was lacking. MSAC considered that </w:t>
      </w:r>
      <w:r w:rsidR="44B4C8F9" w:rsidRPr="005F5BEA">
        <w:t>the applicant</w:t>
      </w:r>
      <w:r w:rsidR="2F57AB78" w:rsidRPr="005F5BEA">
        <w:t xml:space="preserve"> </w:t>
      </w:r>
      <w:r w:rsidR="639E87E2" w:rsidRPr="005F5BEA">
        <w:t xml:space="preserve">focussed on </w:t>
      </w:r>
      <w:r w:rsidR="04799306" w:rsidRPr="005F5BEA">
        <w:t>Model 3</w:t>
      </w:r>
      <w:r w:rsidR="7D756741" w:rsidRPr="005F5BEA">
        <w:t xml:space="preserve"> and </w:t>
      </w:r>
      <w:r w:rsidR="047A2AB3" w:rsidRPr="005F5BEA">
        <w:t xml:space="preserve">noted the applicant’s </w:t>
      </w:r>
      <w:r w:rsidR="7D756741" w:rsidRPr="005F5BEA">
        <w:t>pre-MSAC response considered that th</w:t>
      </w:r>
      <w:r w:rsidR="55BBD43B" w:rsidRPr="005F5BEA">
        <w:t xml:space="preserve">ere is no alternative model </w:t>
      </w:r>
      <w:r w:rsidR="4EDEA54D" w:rsidRPr="005F5BEA">
        <w:t xml:space="preserve">which can provide useful comparative estimates. MSAC considered </w:t>
      </w:r>
      <w:r w:rsidR="2D7D4835" w:rsidRPr="005F5BEA">
        <w:t>that it would be possible to cost alternative models of care</w:t>
      </w:r>
      <w:r w:rsidR="1578D343" w:rsidRPr="005F5BEA">
        <w:t xml:space="preserve"> as they do exist within Australia and overseas</w:t>
      </w:r>
      <w:r w:rsidR="7EFA1D7C" w:rsidRPr="005F5BEA">
        <w:t>, although Model 3 is the predominant model currently in use.</w:t>
      </w:r>
      <w:r w:rsidR="1578D343" w:rsidRPr="005F5BEA">
        <w:t xml:space="preserve"> </w:t>
      </w:r>
      <w:r w:rsidR="006D22AB" w:rsidRPr="005F5BEA">
        <w:t xml:space="preserve">MSAC considered </w:t>
      </w:r>
      <w:r w:rsidR="007479A8" w:rsidRPr="005F5BEA">
        <w:t xml:space="preserve">alternate </w:t>
      </w:r>
      <w:r w:rsidR="006D22AB" w:rsidRPr="005F5BEA">
        <w:t xml:space="preserve">models of care </w:t>
      </w:r>
      <w:r w:rsidR="2D7D4835" w:rsidRPr="005F5BEA">
        <w:t xml:space="preserve">that are aligned with the </w:t>
      </w:r>
      <w:r w:rsidR="5C0CBDD9" w:rsidRPr="005F5BEA">
        <w:t>Cardiac Society of Australia and New Zealand (CSANZ)</w:t>
      </w:r>
      <w:r w:rsidR="2D7D4835" w:rsidRPr="005F5BEA">
        <w:t xml:space="preserve"> guidelines</w:t>
      </w:r>
      <w:r w:rsidR="5C0CBDD9" w:rsidRPr="005F5BEA">
        <w:t> </w:t>
      </w:r>
      <w:r w:rsidR="002700CA" w:rsidRPr="005F5BEA">
        <w:rPr>
          <w:rStyle w:val="FootnoteReference"/>
        </w:rPr>
        <w:footnoteReference w:id="6"/>
      </w:r>
      <w:r w:rsidR="5C0CBDD9" w:rsidRPr="005F5BEA">
        <w:t xml:space="preserve"> </w:t>
      </w:r>
      <w:r w:rsidR="00BB5FD1" w:rsidRPr="005F5BEA">
        <w:t xml:space="preserve">(such as Model 2) </w:t>
      </w:r>
      <w:r w:rsidR="00EF2DE4" w:rsidRPr="005F5BEA">
        <w:t xml:space="preserve">could provide appropriate cardiac technical support </w:t>
      </w:r>
      <w:r w:rsidR="008D32CD" w:rsidRPr="005F5BEA">
        <w:t xml:space="preserve">services </w:t>
      </w:r>
      <w:r w:rsidR="00EF2DE4" w:rsidRPr="005F5BEA">
        <w:t>for people with CIEDs</w:t>
      </w:r>
      <w:r w:rsidR="5C0CBDD9" w:rsidRPr="005F5BEA">
        <w:t xml:space="preserve">. </w:t>
      </w:r>
    </w:p>
    <w:p w14:paraId="00DBE35A" w14:textId="1DBFEEEA" w:rsidR="00BC5331" w:rsidRPr="005F5BEA" w:rsidRDefault="00FE4DA5">
      <w:r w:rsidRPr="005F5BEA">
        <w:t xml:space="preserve">MSAC considered the ADAR </w:t>
      </w:r>
      <w:r w:rsidR="005746DC" w:rsidRPr="005F5BEA">
        <w:t xml:space="preserve">did not adequately address technological improvements that enable remote monitoring </w:t>
      </w:r>
      <w:r w:rsidR="00E83957" w:rsidRPr="005F5BEA">
        <w:t xml:space="preserve">and programming of CIEDs. MSAC noted that the </w:t>
      </w:r>
      <w:r w:rsidR="00ED1B56" w:rsidRPr="005F5BEA">
        <w:t>CSANZ</w:t>
      </w:r>
      <w:r w:rsidR="00D07202" w:rsidRPr="005F5BEA">
        <w:t xml:space="preserve"> consider remote monitoring of CIEDs to be the standard of care and </w:t>
      </w:r>
      <w:r w:rsidR="00F31629" w:rsidRPr="005F5BEA">
        <w:t xml:space="preserve">that it </w:t>
      </w:r>
      <w:r w:rsidR="00D07202" w:rsidRPr="005F5BEA">
        <w:t>should be offered to all patients when possible</w:t>
      </w:r>
      <w:r w:rsidR="00952C43" w:rsidRPr="005F5BEA">
        <w:t>.</w:t>
      </w:r>
      <w:r w:rsidR="00DB4651" w:rsidRPr="005F5BEA">
        <w:t xml:space="preserve"> </w:t>
      </w:r>
      <w:r w:rsidR="003977D8" w:rsidRPr="005F5BEA">
        <w:t xml:space="preserve">MSAC noted the remote programming </w:t>
      </w:r>
      <w:r w:rsidR="00A50F53" w:rsidRPr="005F5BEA">
        <w:t xml:space="preserve">of CIEDs is </w:t>
      </w:r>
      <w:r w:rsidR="002A2298" w:rsidRPr="005F5BEA">
        <w:t xml:space="preserve">an emerging development </w:t>
      </w:r>
      <w:r w:rsidR="002A2298" w:rsidRPr="005F5BEA">
        <w:rPr>
          <w:rStyle w:val="FootnoteReference"/>
        </w:rPr>
        <w:footnoteReference w:id="7"/>
      </w:r>
      <w:r w:rsidR="00C5028C" w:rsidRPr="005F5BEA">
        <w:rPr>
          <w:vertAlign w:val="superscript"/>
        </w:rPr>
        <w:t>,</w:t>
      </w:r>
      <w:r w:rsidR="00C5028C" w:rsidRPr="005F5BEA">
        <w:rPr>
          <w:rStyle w:val="FootnoteReference"/>
        </w:rPr>
        <w:footnoteReference w:id="8"/>
      </w:r>
      <w:r w:rsidR="002A2298" w:rsidRPr="005F5BEA">
        <w:t xml:space="preserve">. </w:t>
      </w:r>
      <w:r w:rsidR="00A549FE" w:rsidRPr="005F5BEA">
        <w:t xml:space="preserve">MSAC </w:t>
      </w:r>
      <w:r w:rsidR="00D35F4C" w:rsidRPr="005F5BEA">
        <w:t>considered</w:t>
      </w:r>
      <w:r w:rsidR="00BC5331" w:rsidRPr="005F5BEA">
        <w:t xml:space="preserve"> that in-person consultations with cardiac technicians may not be necessary when remote programming is fully implemented in clinical practice. </w:t>
      </w:r>
      <w:r w:rsidR="00B16EF3" w:rsidRPr="005F5BEA">
        <w:t>MSAC noted that the Expert Reference Group had advised that</w:t>
      </w:r>
      <w:r w:rsidR="008C6F15" w:rsidRPr="005F5BEA">
        <w:t xml:space="preserve"> it expects</w:t>
      </w:r>
      <w:r w:rsidR="00F31629" w:rsidRPr="005F5BEA">
        <w:t xml:space="preserve"> up to</w:t>
      </w:r>
      <w:r w:rsidR="008C6F15" w:rsidRPr="005F5BEA">
        <w:t xml:space="preserve"> 90% of services to be provided remotely in the future. </w:t>
      </w:r>
    </w:p>
    <w:p w14:paraId="3EB0FAD4" w14:textId="67A85610" w:rsidR="00031DAE" w:rsidRPr="005F5BEA" w:rsidRDefault="6B8E2B09">
      <w:r w:rsidRPr="005F5BEA">
        <w:lastRenderedPageBreak/>
        <w:t xml:space="preserve">MSAC acknowledged consultation feedback from clinicians and consumers had raised concerns and fears about a potential withdrawal of services provided by IECTs. MSAC considered the phased </w:t>
      </w:r>
      <w:r w:rsidR="75CA013C" w:rsidRPr="005F5BEA">
        <w:t xml:space="preserve">reductions </w:t>
      </w:r>
      <w:r w:rsidRPr="005F5BEA">
        <w:t xml:space="preserve">in PL benefit </w:t>
      </w:r>
      <w:r w:rsidR="00CE7242" w:rsidRPr="005F5BEA">
        <w:t xml:space="preserve">will not apply to </w:t>
      </w:r>
      <w:r w:rsidRPr="005F5BEA">
        <w:t xml:space="preserve">the reasonable cost of services provided by IECTs </w:t>
      </w:r>
      <w:r w:rsidR="00354B3D" w:rsidRPr="005F5BEA">
        <w:t xml:space="preserve">and this </w:t>
      </w:r>
      <w:r w:rsidRPr="005F5BEA">
        <w:t>should ensure continuation of services</w:t>
      </w:r>
      <w:r w:rsidR="3019B2FA" w:rsidRPr="005F5BEA">
        <w:t xml:space="preserve"> provided by IECTs</w:t>
      </w:r>
      <w:r w:rsidRPr="005F5BEA">
        <w:t xml:space="preserve">. </w:t>
      </w:r>
    </w:p>
    <w:p w14:paraId="10CD1538" w14:textId="0CEDEA75" w:rsidR="0095480C" w:rsidRPr="005F5BEA" w:rsidRDefault="6B8E2B09">
      <w:r w:rsidRPr="005F5BEA">
        <w:t xml:space="preserve">MSAC noted PL </w:t>
      </w:r>
      <w:r w:rsidR="24C55F63" w:rsidRPr="005F5BEA">
        <w:t>b</w:t>
      </w:r>
      <w:r w:rsidRPr="005F5BEA">
        <w:t>enefit reductions for CIEDs and the need to determine</w:t>
      </w:r>
      <w:r w:rsidR="3019B2FA" w:rsidRPr="005F5BEA">
        <w:t xml:space="preserve"> funding approaches for CIED </w:t>
      </w:r>
      <w:r w:rsidRPr="005F5BEA">
        <w:t xml:space="preserve">technical support services have been discussed by government and industry </w:t>
      </w:r>
      <w:r w:rsidR="3019B2FA" w:rsidRPr="005F5BEA">
        <w:t>since 2017</w:t>
      </w:r>
      <w:r w:rsidR="00354B3D" w:rsidRPr="005F5BEA">
        <w:t>.</w:t>
      </w:r>
      <w:r w:rsidR="0095480C" w:rsidRPr="005F5BEA">
        <w:rPr>
          <w:rStyle w:val="FootnoteReference"/>
        </w:rPr>
        <w:footnoteReference w:id="9"/>
      </w:r>
      <w:r w:rsidRPr="005F5BEA">
        <w:t xml:space="preserve"> </w:t>
      </w:r>
      <w:r w:rsidR="38E6B0AA" w:rsidRPr="005F5BEA">
        <w:t xml:space="preserve"> </w:t>
      </w:r>
    </w:p>
    <w:p w14:paraId="04476021" w14:textId="2E62FE69" w:rsidR="00134D83" w:rsidRPr="005F5BEA" w:rsidRDefault="799751A1" w:rsidP="001B577C">
      <w:pPr>
        <w:tabs>
          <w:tab w:val="left" w:pos="3828"/>
        </w:tabs>
      </w:pPr>
      <w:r w:rsidRPr="005F5BEA">
        <w:t xml:space="preserve">MSAC noted that that the Department had provided a submission request to the applicant that outlined the data and information required to inform </w:t>
      </w:r>
      <w:r w:rsidR="69711A5A" w:rsidRPr="005F5BEA">
        <w:t xml:space="preserve">its deliberations on </w:t>
      </w:r>
      <w:r w:rsidRPr="005F5BEA">
        <w:t>the reasonable cost of cardiac technical support services (</w:t>
      </w:r>
      <w:r w:rsidR="009F165C" w:rsidRPr="005F5BEA">
        <w:fldChar w:fldCharType="begin"/>
      </w:r>
      <w:r w:rsidR="009F165C" w:rsidRPr="005F5BEA">
        <w:instrText xml:space="preserve"> REF _Ref142304908 \h </w:instrText>
      </w:r>
      <w:r w:rsidR="001B11FA" w:rsidRPr="005F5BEA">
        <w:instrText xml:space="preserve"> \* MERGEFORMAT </w:instrText>
      </w:r>
      <w:r w:rsidR="009F165C" w:rsidRPr="005F5BEA">
        <w:fldChar w:fldCharType="separate"/>
      </w:r>
      <w:r w:rsidR="00334548" w:rsidRPr="00334548">
        <w:t>Table 2</w:t>
      </w:r>
      <w:r w:rsidR="009F165C" w:rsidRPr="005F5BEA">
        <w:fldChar w:fldCharType="end"/>
      </w:r>
      <w:r w:rsidRPr="005F5BEA">
        <w:t xml:space="preserve">). MSAC considered several aspects of the Department’s submission request were not addressed by the applicant. </w:t>
      </w:r>
      <w:r w:rsidRPr="005F5BEA">
        <w:rPr>
          <w:lang w:val="en-GB"/>
        </w:rPr>
        <w:t>MSAC noted the applicant instead presented an aggregate cost of providing cardiac technical support services across all device types</w:t>
      </w:r>
      <w:r w:rsidR="69711A5A" w:rsidRPr="005F5BEA">
        <w:rPr>
          <w:lang w:val="en-GB"/>
        </w:rPr>
        <w:t xml:space="preserve">. MSAC noted that this </w:t>
      </w:r>
      <w:r w:rsidRPr="005F5BEA">
        <w:rPr>
          <w:lang w:val="en-GB"/>
        </w:rPr>
        <w:t>did not allow the cost of follow-up services per device or per patient to be calculated.</w:t>
      </w:r>
      <w:r w:rsidRPr="005F5BEA">
        <w:t xml:space="preserve"> MSAC noted that the ADAR did not provide actual wage expenses, </w:t>
      </w:r>
      <w:r w:rsidR="69711A5A" w:rsidRPr="005F5BEA">
        <w:t xml:space="preserve">the </w:t>
      </w:r>
      <w:r w:rsidRPr="005F5BEA">
        <w:t>number of full-time equivalent (FTE) technicians</w:t>
      </w:r>
      <w:r w:rsidR="18A55370" w:rsidRPr="005F5BEA">
        <w:t>,</w:t>
      </w:r>
      <w:r w:rsidRPr="005F5BEA">
        <w:t xml:space="preserve"> </w:t>
      </w:r>
      <w:r w:rsidR="18A55370" w:rsidRPr="005F5BEA">
        <w:t>or</w:t>
      </w:r>
      <w:r w:rsidRPr="005F5BEA">
        <w:t xml:space="preserve"> the number of patients seen by each technician per year. MSAC considered that the </w:t>
      </w:r>
      <w:r w:rsidR="1F77D076" w:rsidRPr="005F5BEA">
        <w:t xml:space="preserve">these were reasonable </w:t>
      </w:r>
      <w:r w:rsidR="5FC023C4" w:rsidRPr="005F5BEA">
        <w:t xml:space="preserve">data </w:t>
      </w:r>
      <w:r w:rsidR="1F77D076" w:rsidRPr="005F5BEA">
        <w:t xml:space="preserve">requests which </w:t>
      </w:r>
      <w:r w:rsidR="7FD7E9AB" w:rsidRPr="005F5BEA">
        <w:t>could have been provided as part of the ADAR</w:t>
      </w:r>
      <w:r w:rsidRPr="005F5BEA">
        <w:t xml:space="preserve">. </w:t>
      </w:r>
    </w:p>
    <w:p w14:paraId="28DA3DA6" w14:textId="267B38D4" w:rsidR="00FC6275" w:rsidRPr="005F5BEA" w:rsidRDefault="24A63375" w:rsidP="00516098">
      <w:r w:rsidRPr="005F5BEA">
        <w:t xml:space="preserve">MSAC noted that the applicant initially estimated the cost of follow-up services </w:t>
      </w:r>
      <w:r w:rsidR="5D4246B9" w:rsidRPr="005F5BEA">
        <w:t>at</w:t>
      </w:r>
      <w:r w:rsidRPr="005F5BEA">
        <w:t xml:space="preserve"> $73.3</w:t>
      </w:r>
      <w:r w:rsidR="69711A5A" w:rsidRPr="005F5BEA">
        <w:t> </w:t>
      </w:r>
      <w:r w:rsidRPr="005F5BEA">
        <w:t>million per year (from the ADAR, which was based on a 4-week data collection period in 2022)</w:t>
      </w:r>
      <w:r w:rsidR="2D84233D" w:rsidRPr="005F5BEA">
        <w:t xml:space="preserve">. </w:t>
      </w:r>
      <w:r w:rsidR="2895D366" w:rsidRPr="005F5BEA">
        <w:t>MSAC considered the estimates provided should not be considered a costing study</w:t>
      </w:r>
      <w:r w:rsidR="71069928" w:rsidRPr="005F5BEA">
        <w:t xml:space="preserve"> for the reasons outlined above</w:t>
      </w:r>
      <w:r w:rsidR="2895D366" w:rsidRPr="005F5BEA">
        <w:t>.</w:t>
      </w:r>
    </w:p>
    <w:p w14:paraId="72E1E72C" w14:textId="37865480" w:rsidR="006308F9" w:rsidRPr="005F5BEA" w:rsidRDefault="00393853" w:rsidP="00516098">
      <w:r w:rsidRPr="005F5BEA">
        <w:rPr>
          <w:szCs w:val="24"/>
        </w:rPr>
        <w:t xml:space="preserve">MSAC noted that </w:t>
      </w:r>
      <w:r w:rsidR="000A2EF1" w:rsidRPr="005F5BEA">
        <w:rPr>
          <w:szCs w:val="24"/>
        </w:rPr>
        <w:t xml:space="preserve">the applicant’s estimate </w:t>
      </w:r>
      <w:r w:rsidR="00FC6275" w:rsidRPr="005F5BEA">
        <w:rPr>
          <w:szCs w:val="24"/>
        </w:rPr>
        <w:t xml:space="preserve">of costs </w:t>
      </w:r>
      <w:r w:rsidR="00516098" w:rsidRPr="005F5BEA">
        <w:rPr>
          <w:szCs w:val="24"/>
        </w:rPr>
        <w:t>increas</w:t>
      </w:r>
      <w:r w:rsidR="004961F2" w:rsidRPr="005F5BEA">
        <w:rPr>
          <w:szCs w:val="24"/>
        </w:rPr>
        <w:t>ed</w:t>
      </w:r>
      <w:r w:rsidR="00516098" w:rsidRPr="005F5BEA">
        <w:rPr>
          <w:szCs w:val="24"/>
        </w:rPr>
        <w:t xml:space="preserve"> to $91.</w:t>
      </w:r>
      <w:r w:rsidR="001F3957" w:rsidRPr="005F5BEA">
        <w:rPr>
          <w:szCs w:val="24"/>
        </w:rPr>
        <w:t>3</w:t>
      </w:r>
      <w:r w:rsidR="00516098" w:rsidRPr="005F5BEA">
        <w:rPr>
          <w:szCs w:val="24"/>
        </w:rPr>
        <w:t xml:space="preserve"> million</w:t>
      </w:r>
      <w:r w:rsidR="004961F2" w:rsidRPr="005F5BEA">
        <w:rPr>
          <w:szCs w:val="24"/>
        </w:rPr>
        <w:t xml:space="preserve"> </w:t>
      </w:r>
      <w:r w:rsidR="00516098" w:rsidRPr="005F5BEA">
        <w:rPr>
          <w:szCs w:val="24"/>
        </w:rPr>
        <w:t>in its pre-ESC response.</w:t>
      </w:r>
      <w:r w:rsidR="004961F2" w:rsidRPr="005F5BEA">
        <w:rPr>
          <w:szCs w:val="24"/>
        </w:rPr>
        <w:t xml:space="preserve"> </w:t>
      </w:r>
      <w:r w:rsidR="00E00AF0" w:rsidRPr="005F5BEA">
        <w:rPr>
          <w:szCs w:val="24"/>
        </w:rPr>
        <w:t xml:space="preserve">The revised costs in the pre-ESC response included data from a further 4-week data collection in late 2022. MSAC noted that that the cost of providing cardiac technical support services had been estimated $78.6 million for 2019-20 </w:t>
      </w:r>
      <w:r w:rsidR="00201F64" w:rsidRPr="005F5BEA">
        <w:rPr>
          <w:szCs w:val="24"/>
        </w:rPr>
        <w:t xml:space="preserve">using similar </w:t>
      </w:r>
      <w:r w:rsidR="00B62C82" w:rsidRPr="005F5BEA">
        <w:rPr>
          <w:szCs w:val="24"/>
        </w:rPr>
        <w:t>data</w:t>
      </w:r>
      <w:r w:rsidR="00201F64" w:rsidRPr="005F5BEA">
        <w:rPr>
          <w:szCs w:val="24"/>
        </w:rPr>
        <w:t xml:space="preserve"> collection methods</w:t>
      </w:r>
      <w:r w:rsidR="002E7400" w:rsidRPr="005F5BEA">
        <w:rPr>
          <w:szCs w:val="24"/>
        </w:rPr>
        <w:t xml:space="preserve"> (</w:t>
      </w:r>
      <w:r w:rsidR="00E00AF0" w:rsidRPr="005F5BEA">
        <w:rPr>
          <w:szCs w:val="24"/>
        </w:rPr>
        <w:t xml:space="preserve">KPMG report </w:t>
      </w:r>
      <w:r w:rsidR="00E00AF0" w:rsidRPr="005F5BEA">
        <w:rPr>
          <w:rStyle w:val="FootnoteReference"/>
          <w:szCs w:val="24"/>
        </w:rPr>
        <w:footnoteReference w:id="10"/>
      </w:r>
      <w:r w:rsidR="00E00AF0" w:rsidRPr="005F5BEA">
        <w:rPr>
          <w:szCs w:val="24"/>
        </w:rPr>
        <w:t>.</w:t>
      </w:r>
      <w:r w:rsidR="002E7400" w:rsidRPr="005F5BEA">
        <w:rPr>
          <w:szCs w:val="24"/>
        </w:rPr>
        <w:t>)</w:t>
      </w:r>
      <w:r w:rsidR="00E00AF0" w:rsidRPr="005F5BEA">
        <w:rPr>
          <w:szCs w:val="24"/>
        </w:rPr>
        <w:t xml:space="preserve">  </w:t>
      </w:r>
    </w:p>
    <w:p w14:paraId="5681A5C8" w14:textId="5239A0A6" w:rsidR="00F64790" w:rsidRPr="005F5BEA" w:rsidRDefault="70CC18B2" w:rsidP="00F64790">
      <w:r w:rsidRPr="005F5BEA">
        <w:rPr>
          <w:lang w:val="en-GB"/>
        </w:rPr>
        <w:t xml:space="preserve">MSAC considered that the estimates provided by the applicant </w:t>
      </w:r>
      <w:r w:rsidR="7CCCDFDB" w:rsidRPr="005F5BEA">
        <w:rPr>
          <w:lang w:val="en-GB"/>
        </w:rPr>
        <w:t xml:space="preserve">in </w:t>
      </w:r>
      <w:r w:rsidR="26516A8F" w:rsidRPr="005F5BEA">
        <w:rPr>
          <w:lang w:val="en-GB"/>
        </w:rPr>
        <w:t xml:space="preserve">the ADAR and in </w:t>
      </w:r>
      <w:r w:rsidR="7CCCDFDB" w:rsidRPr="005F5BEA">
        <w:rPr>
          <w:lang w:val="en-GB"/>
        </w:rPr>
        <w:t xml:space="preserve">its </w:t>
      </w:r>
      <w:proofErr w:type="gramStart"/>
      <w:r w:rsidR="7CCCDFDB" w:rsidRPr="005F5BEA">
        <w:rPr>
          <w:lang w:val="en-GB"/>
        </w:rPr>
        <w:t>pre-ESC</w:t>
      </w:r>
      <w:proofErr w:type="gramEnd"/>
      <w:r w:rsidR="7CCCDFDB" w:rsidRPr="005F5BEA">
        <w:rPr>
          <w:lang w:val="en-GB"/>
        </w:rPr>
        <w:t xml:space="preserve"> response </w:t>
      </w:r>
      <w:r w:rsidRPr="005F5BEA">
        <w:rPr>
          <w:lang w:val="en-GB"/>
        </w:rPr>
        <w:t>were likely overestimated. MSAC considered the applicant’s estimates were based on an inefficient model of service provision.</w:t>
      </w:r>
      <w:r w:rsidRPr="005F5BEA">
        <w:t xml:space="preserve"> </w:t>
      </w:r>
      <w:r w:rsidR="55052F2A" w:rsidRPr="005F5BEA">
        <w:t xml:space="preserve">Furthermore, </w:t>
      </w:r>
      <w:r w:rsidRPr="005F5BEA">
        <w:t xml:space="preserve">MSAC considered the costs of providing services should decrease </w:t>
      </w:r>
      <w:r w:rsidR="55052F2A" w:rsidRPr="005F5BEA">
        <w:t xml:space="preserve">(not increase) </w:t>
      </w:r>
      <w:r w:rsidRPr="005F5BEA">
        <w:t xml:space="preserve">over time with </w:t>
      </w:r>
      <w:r w:rsidR="55052F2A" w:rsidRPr="005F5BEA">
        <w:t xml:space="preserve">wider uptake of </w:t>
      </w:r>
      <w:r w:rsidRPr="005F5BEA">
        <w:t>remote monitoring</w:t>
      </w:r>
      <w:r w:rsidR="55052F2A" w:rsidRPr="005F5BEA">
        <w:t xml:space="preserve"> and programming</w:t>
      </w:r>
      <w:r w:rsidRPr="005F5BEA">
        <w:t xml:space="preserve"> and more efficient models of care. </w:t>
      </w:r>
    </w:p>
    <w:p w14:paraId="5F2E43E1" w14:textId="4DE26AEE" w:rsidR="00C20F75" w:rsidRPr="005F5BEA" w:rsidRDefault="315F0BA6" w:rsidP="00516098">
      <w:r w:rsidRPr="005F5BEA">
        <w:t xml:space="preserve">MSAC noted </w:t>
      </w:r>
      <w:r w:rsidR="6CDD1938" w:rsidRPr="005F5BEA">
        <w:t xml:space="preserve">that because </w:t>
      </w:r>
      <w:r w:rsidRPr="005F5BEA">
        <w:t xml:space="preserve">the </w:t>
      </w:r>
      <w:r w:rsidR="567EEEC4" w:rsidRPr="005F5BEA">
        <w:t xml:space="preserve">updated figures </w:t>
      </w:r>
      <w:r w:rsidR="6CDD1938" w:rsidRPr="005F5BEA">
        <w:t>from</w:t>
      </w:r>
      <w:r w:rsidR="160AAC5F" w:rsidRPr="005F5BEA">
        <w:t xml:space="preserve"> </w:t>
      </w:r>
      <w:r w:rsidR="6CDD1938" w:rsidRPr="005F5BEA">
        <w:t>the</w:t>
      </w:r>
      <w:r w:rsidR="160AAC5F" w:rsidRPr="005F5BEA">
        <w:t xml:space="preserve"> </w:t>
      </w:r>
      <w:r w:rsidR="6CDD1938" w:rsidRPr="005F5BEA">
        <w:t>applicant were submitted late in the assessment process</w:t>
      </w:r>
      <w:r w:rsidR="160AAC5F" w:rsidRPr="005F5BEA">
        <w:t xml:space="preserve"> (as part of</w:t>
      </w:r>
      <w:r w:rsidR="567EEEC4" w:rsidRPr="005F5BEA">
        <w:t xml:space="preserve"> the pre-ESC response</w:t>
      </w:r>
      <w:r w:rsidR="160AAC5F" w:rsidRPr="005F5BEA">
        <w:t>) there had been no opportunity for them to be formally</w:t>
      </w:r>
      <w:r w:rsidR="55052F2A" w:rsidRPr="005F5BEA">
        <w:t xml:space="preserve"> </w:t>
      </w:r>
      <w:r w:rsidR="546CB268" w:rsidRPr="005F5BEA">
        <w:t>evaluated</w:t>
      </w:r>
      <w:r w:rsidR="5F07C93E" w:rsidRPr="005F5BEA">
        <w:t xml:space="preserve">. </w:t>
      </w:r>
      <w:r w:rsidR="4A25A797" w:rsidRPr="005F5BEA">
        <w:t xml:space="preserve">MSAC considered </w:t>
      </w:r>
      <w:r w:rsidR="68A80B1F" w:rsidRPr="005F5BEA">
        <w:t xml:space="preserve">that it was difficult to elucidate the differences in </w:t>
      </w:r>
      <w:r w:rsidR="3923E6D7" w:rsidRPr="005F5BEA">
        <w:t xml:space="preserve">the costs provided in the ADAR and the pre-ESC response. MSAC considered </w:t>
      </w:r>
      <w:r w:rsidR="4E0CF239" w:rsidRPr="005F5BEA">
        <w:t xml:space="preserve">that evaluation of the estimates </w:t>
      </w:r>
      <w:r w:rsidR="23797A00" w:rsidRPr="005F5BEA">
        <w:t xml:space="preserve">provided in the pre-ESC response was needed to for it to provide advice on the </w:t>
      </w:r>
      <w:r w:rsidR="63397E55" w:rsidRPr="005F5BEA">
        <w:t xml:space="preserve">reasonable </w:t>
      </w:r>
      <w:r w:rsidR="62248B04" w:rsidRPr="005F5BEA">
        <w:t>cost of</w:t>
      </w:r>
      <w:r w:rsidR="63397E55" w:rsidRPr="005F5BEA">
        <w:t xml:space="preserve"> cardiac technical support services </w:t>
      </w:r>
      <w:r w:rsidR="38B88B22" w:rsidRPr="005F5BEA">
        <w:t>which would not be subject to the scheduled</w:t>
      </w:r>
      <w:r w:rsidR="63397E55" w:rsidRPr="005F5BEA">
        <w:t xml:space="preserve"> PL benefit reductions. </w:t>
      </w:r>
      <w:r w:rsidR="10F2244B" w:rsidRPr="005F5BEA">
        <w:t xml:space="preserve">MSAC considered the pre-ESC response’s claim that </w:t>
      </w:r>
      <w:r w:rsidR="06C3F020" w:rsidRPr="005F5BEA">
        <w:t xml:space="preserve">the </w:t>
      </w:r>
      <w:r w:rsidR="008EC903" w:rsidRPr="005F5BEA">
        <w:t>updated figures included</w:t>
      </w:r>
      <w:r w:rsidR="0003669F" w:rsidRPr="005F5BEA">
        <w:t xml:space="preserve"> overhead</w:t>
      </w:r>
      <w:r w:rsidR="008EC903" w:rsidRPr="005F5BEA">
        <w:t xml:space="preserve"> costs inappropriate</w:t>
      </w:r>
      <w:r w:rsidR="44DD7D64" w:rsidRPr="005F5BEA">
        <w:t>ly</w:t>
      </w:r>
      <w:r w:rsidR="008EC903" w:rsidRPr="005F5BEA">
        <w:t xml:space="preserve"> omitted </w:t>
      </w:r>
      <w:r w:rsidR="44DD7D64" w:rsidRPr="005F5BEA">
        <w:t>from the ADAR</w:t>
      </w:r>
      <w:r w:rsidR="4AF93472" w:rsidRPr="005F5BEA">
        <w:t xml:space="preserve"> </w:t>
      </w:r>
      <w:r w:rsidR="0FDFDB02" w:rsidRPr="005F5BEA">
        <w:t xml:space="preserve">should be assessed. </w:t>
      </w:r>
    </w:p>
    <w:p w14:paraId="69426947" w14:textId="09BA25F0" w:rsidR="00A877C9" w:rsidRPr="005F5BEA" w:rsidRDefault="00C20F75" w:rsidP="00516098">
      <w:pPr>
        <w:rPr>
          <w:szCs w:val="24"/>
        </w:rPr>
      </w:pPr>
      <w:r w:rsidRPr="005F5BEA">
        <w:t xml:space="preserve">MSAC noted that ESC advised that </w:t>
      </w:r>
      <w:r w:rsidRPr="005F5BEA">
        <w:rPr>
          <w:rFonts w:eastAsia="Times New Roman" w:cs="Times New Roman"/>
          <w:color w:val="000000" w:themeColor="text1"/>
          <w:lang w:eastAsia="en-AU"/>
        </w:rPr>
        <w:t>the reasonable cost of cardiac technical support services is $44.4 million per year</w:t>
      </w:r>
      <w:r w:rsidR="000D427A" w:rsidRPr="005F5BEA">
        <w:rPr>
          <w:rFonts w:eastAsia="Times New Roman" w:cs="Times New Roman"/>
          <w:color w:val="000000" w:themeColor="text1"/>
          <w:lang w:eastAsia="en-AU"/>
        </w:rPr>
        <w:t>.</w:t>
      </w:r>
      <w:r w:rsidR="003B3810" w:rsidRPr="005F5BEA" w:rsidDel="003B3810">
        <w:t xml:space="preserve"> </w:t>
      </w:r>
    </w:p>
    <w:p w14:paraId="33287617" w14:textId="2B801A88" w:rsidR="00707450" w:rsidRPr="005F5BEA" w:rsidRDefault="367F734D" w:rsidP="00707450">
      <w:r w:rsidRPr="005F5BEA">
        <w:lastRenderedPageBreak/>
        <w:t xml:space="preserve">MSAC considered that it could provide </w:t>
      </w:r>
      <w:r w:rsidR="6459B67F" w:rsidRPr="005F5BEA">
        <w:t>advice on the</w:t>
      </w:r>
      <w:r w:rsidR="0682426A" w:rsidRPr="005F5BEA">
        <w:t xml:space="preserve"> principles to be used when </w:t>
      </w:r>
      <w:r w:rsidR="007B7BE7" w:rsidRPr="005F5BEA">
        <w:t>considering</w:t>
      </w:r>
      <w:r w:rsidR="0682426A" w:rsidRPr="005F5BEA">
        <w:t xml:space="preserve"> </w:t>
      </w:r>
      <w:r w:rsidR="22EEDF37" w:rsidRPr="005F5BEA">
        <w:t>the reasonable to cardiac technical support services</w:t>
      </w:r>
      <w:r w:rsidR="5D50CB45" w:rsidRPr="005F5BEA">
        <w:t xml:space="preserve"> which can then be applied once the formal evaluation of the updated $91.3 mill</w:t>
      </w:r>
      <w:r w:rsidR="007B7BE7" w:rsidRPr="005F5BEA">
        <w:t>i</w:t>
      </w:r>
      <w:r w:rsidR="5D50CB45" w:rsidRPr="005F5BEA">
        <w:t xml:space="preserve">on estimate is </w:t>
      </w:r>
      <w:r w:rsidR="006C2422" w:rsidRPr="005F5BEA">
        <w:t>conducted</w:t>
      </w:r>
      <w:r w:rsidR="22EEDF37" w:rsidRPr="005F5BEA">
        <w:t xml:space="preserve">. </w:t>
      </w:r>
      <w:r w:rsidR="2D6C04D8" w:rsidRPr="005F5BEA">
        <w:t xml:space="preserve">MSAC </w:t>
      </w:r>
      <w:r w:rsidR="3D11CD9B" w:rsidRPr="005F5BEA">
        <w:t>advised</w:t>
      </w:r>
      <w:r w:rsidR="2D6C04D8" w:rsidRPr="005F5BEA">
        <w:t xml:space="preserve"> that the cost of services provided to the public sector should be removed</w:t>
      </w:r>
      <w:r w:rsidR="24774E22" w:rsidRPr="005F5BEA">
        <w:t xml:space="preserve"> from the </w:t>
      </w:r>
      <w:r w:rsidR="4728445D" w:rsidRPr="005F5BEA">
        <w:t xml:space="preserve">calculation of the </w:t>
      </w:r>
      <w:r w:rsidR="179B9495" w:rsidRPr="005F5BEA">
        <w:t xml:space="preserve">reasonable </w:t>
      </w:r>
      <w:r w:rsidR="24774E22" w:rsidRPr="005F5BEA">
        <w:t>cost of</w:t>
      </w:r>
      <w:r w:rsidR="04334F02" w:rsidRPr="005F5BEA">
        <w:t xml:space="preserve"> follow-up</w:t>
      </w:r>
      <w:r w:rsidR="24774E22" w:rsidRPr="005F5BEA">
        <w:t xml:space="preserve"> services</w:t>
      </w:r>
      <w:r w:rsidR="049473A5" w:rsidRPr="005F5BEA">
        <w:t xml:space="preserve">. </w:t>
      </w:r>
      <w:r w:rsidR="179B9495" w:rsidRPr="005F5BEA">
        <w:t>MSAC considered that the purpose of the PL is to set out minimum benefits for prosthes</w:t>
      </w:r>
      <w:r w:rsidR="097878D2" w:rsidRPr="005F5BEA">
        <w:t>e</w:t>
      </w:r>
      <w:r w:rsidR="179B9495" w:rsidRPr="005F5BEA">
        <w:t xml:space="preserve">s for privately insured patients, and therefore PL benefits should not be used to cross-subsidise public sector activity. </w:t>
      </w:r>
      <w:r w:rsidR="15427D2F" w:rsidRPr="005F5BEA">
        <w:t xml:space="preserve">MSAC </w:t>
      </w:r>
      <w:r w:rsidR="36F89BD0" w:rsidRPr="005F5BEA">
        <w:t>advised</w:t>
      </w:r>
      <w:r w:rsidR="15427D2F" w:rsidRPr="005F5BEA">
        <w:t xml:space="preserve"> that hospital funding from activity-based funding (via the Australian Refined Diagnosis Related Groups and Tier 2 funding) could</w:t>
      </w:r>
      <w:r w:rsidR="218B3B3E" w:rsidRPr="005F5BEA">
        <w:t xml:space="preserve"> be explored to</w:t>
      </w:r>
      <w:r w:rsidR="15427D2F" w:rsidRPr="005F5BEA">
        <w:t xml:space="preserve"> ensure that the CIED technical services are</w:t>
      </w:r>
      <w:r w:rsidR="3F1432B7" w:rsidRPr="005F5BEA">
        <w:t xml:space="preserve"> sufficiently</w:t>
      </w:r>
      <w:r w:rsidR="15427D2F" w:rsidRPr="005F5BEA">
        <w:t xml:space="preserve"> </w:t>
      </w:r>
      <w:r w:rsidR="56A09BEF" w:rsidRPr="005F5BEA">
        <w:t>resourced to allow for</w:t>
      </w:r>
      <w:r w:rsidR="15427D2F" w:rsidRPr="005F5BEA">
        <w:t xml:space="preserve"> in-house </w:t>
      </w:r>
      <w:r w:rsidR="1C360759" w:rsidRPr="005F5BEA">
        <w:t>provis</w:t>
      </w:r>
      <w:r w:rsidR="007B7BE7" w:rsidRPr="005F5BEA">
        <w:t>i</w:t>
      </w:r>
      <w:r w:rsidR="1C360759" w:rsidRPr="005F5BEA">
        <w:t xml:space="preserve">on </w:t>
      </w:r>
      <w:r w:rsidR="15427D2F" w:rsidRPr="005F5BEA">
        <w:t>for public patients in the public hospital</w:t>
      </w:r>
      <w:r w:rsidR="5BEC3CC7" w:rsidRPr="005F5BEA">
        <w:t xml:space="preserve"> setting</w:t>
      </w:r>
      <w:r w:rsidR="15427D2F" w:rsidRPr="005F5BEA">
        <w:t xml:space="preserve">. </w:t>
      </w:r>
    </w:p>
    <w:p w14:paraId="480059C5" w14:textId="57CDA45B" w:rsidR="00410D1B" w:rsidRPr="005F5BEA" w:rsidRDefault="5D72CCB6" w:rsidP="00516098">
      <w:r w:rsidRPr="005F5BEA">
        <w:t xml:space="preserve">MSAC </w:t>
      </w:r>
      <w:r w:rsidR="1B66343F" w:rsidRPr="005F5BEA">
        <w:t xml:space="preserve">considered the cost of peri-implantation services should not </w:t>
      </w:r>
      <w:r w:rsidR="17AC816B" w:rsidRPr="005F5BEA">
        <w:t>be included in the estimated cost of cardiac technical support services. MSAC considered</w:t>
      </w:r>
      <w:r w:rsidR="12B52EAC" w:rsidRPr="005F5BEA">
        <w:t xml:space="preserve"> </w:t>
      </w:r>
      <w:r w:rsidR="17AC816B" w:rsidRPr="005F5BEA">
        <w:t>implantation</w:t>
      </w:r>
      <w:r w:rsidR="6FC48A46" w:rsidRPr="005F5BEA">
        <w:t>-related</w:t>
      </w:r>
      <w:r w:rsidR="17AC816B" w:rsidRPr="005F5BEA">
        <w:t xml:space="preserve"> services</w:t>
      </w:r>
      <w:r w:rsidR="2EC48440" w:rsidRPr="005F5BEA">
        <w:t xml:space="preserve"> to be integral </w:t>
      </w:r>
      <w:r w:rsidR="241F42BC" w:rsidRPr="005F5BEA">
        <w:t xml:space="preserve">to </w:t>
      </w:r>
      <w:r w:rsidR="7E6F813A" w:rsidRPr="005F5BEA">
        <w:t xml:space="preserve">the functioning of the CIED and </w:t>
      </w:r>
      <w:r w:rsidR="28F9AC1F" w:rsidRPr="005F5BEA">
        <w:t xml:space="preserve">should remain in the PL </w:t>
      </w:r>
      <w:r w:rsidR="26C64B0D" w:rsidRPr="005F5BEA">
        <w:t xml:space="preserve">benefit for the CIED (and </w:t>
      </w:r>
      <w:r w:rsidR="3E79E756" w:rsidRPr="005F5BEA">
        <w:t xml:space="preserve">hence be </w:t>
      </w:r>
      <w:r w:rsidR="26C64B0D" w:rsidRPr="005F5BEA">
        <w:t xml:space="preserve">subject to benefit reductions). </w:t>
      </w:r>
      <w:r w:rsidR="0B752963" w:rsidRPr="005F5BEA">
        <w:t xml:space="preserve">This is </w:t>
      </w:r>
      <w:r w:rsidR="007B7BE7" w:rsidRPr="005F5BEA">
        <w:t>consistent</w:t>
      </w:r>
      <w:r w:rsidR="0B752963" w:rsidRPr="005F5BEA">
        <w:t xml:space="preserve"> with other devices on the PL.</w:t>
      </w:r>
    </w:p>
    <w:p w14:paraId="459F1C9D" w14:textId="7D07C50E" w:rsidR="004E0E5D" w:rsidRPr="005F5BEA" w:rsidRDefault="594262FF" w:rsidP="0022395B">
      <w:r w:rsidRPr="005F5BEA">
        <w:t xml:space="preserve">MSAC noted that the pre-MSAC </w:t>
      </w:r>
      <w:r w:rsidR="38434F67" w:rsidRPr="005F5BEA">
        <w:t xml:space="preserve">response stated that pacemaker leads were incorrectly omitted from the </w:t>
      </w:r>
      <w:r w:rsidR="7D92AE39" w:rsidRPr="005F5BEA">
        <w:t>list of current PL items for CIEDs. The pre-MSAC response</w:t>
      </w:r>
      <w:r w:rsidR="7B2311AE" w:rsidRPr="005F5BEA">
        <w:t xml:space="preserve"> stated that CIED expenditure included all components of the CIED system (including leads). </w:t>
      </w:r>
      <w:r w:rsidR="40EE8B4A" w:rsidRPr="005F5BEA">
        <w:t xml:space="preserve">MSAC </w:t>
      </w:r>
      <w:r w:rsidR="505A67CD" w:rsidRPr="005F5BEA">
        <w:t xml:space="preserve">considered that it is reasonable to consider pacemaker leads, </w:t>
      </w:r>
      <w:r w:rsidR="10D9D164" w:rsidRPr="005F5BEA">
        <w:t xml:space="preserve">generators, </w:t>
      </w:r>
      <w:proofErr w:type="gramStart"/>
      <w:r w:rsidR="10D9D164" w:rsidRPr="005F5BEA">
        <w:t>adaptors</w:t>
      </w:r>
      <w:proofErr w:type="gramEnd"/>
      <w:r w:rsidR="10D9D164" w:rsidRPr="005F5BEA">
        <w:t xml:space="preserve"> and transmitters as essential </w:t>
      </w:r>
      <w:r w:rsidR="05BAE096" w:rsidRPr="005F5BEA">
        <w:t xml:space="preserve"> </w:t>
      </w:r>
      <w:r w:rsidR="10D9D164" w:rsidRPr="005F5BEA">
        <w:t xml:space="preserve"> components of the CIED </w:t>
      </w:r>
      <w:r w:rsidR="6C984674" w:rsidRPr="005F5BEA">
        <w:t xml:space="preserve">system </w:t>
      </w:r>
      <w:r w:rsidR="10D9D164" w:rsidRPr="005F5BEA">
        <w:t>(along with the princip</w:t>
      </w:r>
      <w:r w:rsidR="0692E05D" w:rsidRPr="005F5BEA">
        <w:t>al</w:t>
      </w:r>
      <w:r w:rsidR="10D9D164" w:rsidRPr="005F5BEA">
        <w:t xml:space="preserve"> CIED). </w:t>
      </w:r>
      <w:proofErr w:type="gramStart"/>
      <w:r w:rsidR="0592A871" w:rsidRPr="005F5BEA">
        <w:t>However</w:t>
      </w:r>
      <w:proofErr w:type="gramEnd"/>
      <w:r w:rsidR="0592A871" w:rsidRPr="005F5BEA">
        <w:t xml:space="preserve"> </w:t>
      </w:r>
      <w:r w:rsidR="20680736" w:rsidRPr="005F5BEA">
        <w:t xml:space="preserve">MSAC </w:t>
      </w:r>
      <w:r w:rsidR="5B71F1AE" w:rsidRPr="005F5BEA">
        <w:t xml:space="preserve">considered that </w:t>
      </w:r>
      <w:r w:rsidR="632EC5B6" w:rsidRPr="005F5BEA">
        <w:t>for the purpose of applying the PL benefit reductions,</w:t>
      </w:r>
      <w:r w:rsidR="5B71F1AE" w:rsidRPr="005F5BEA">
        <w:t xml:space="preserve"> the aggregate cost</w:t>
      </w:r>
      <w:r w:rsidR="433555FC" w:rsidRPr="005F5BEA">
        <w:t xml:space="preserve"> of technical support services </w:t>
      </w:r>
      <w:r w:rsidR="5B71F1AE" w:rsidRPr="005F5BEA">
        <w:t xml:space="preserve">provided by the applicant </w:t>
      </w:r>
      <w:r w:rsidR="7FC90306" w:rsidRPr="005F5BEA">
        <w:t xml:space="preserve">should </w:t>
      </w:r>
      <w:r w:rsidR="6533D3B4" w:rsidRPr="005F5BEA">
        <w:t>not</w:t>
      </w:r>
      <w:r w:rsidR="61EF8407" w:rsidRPr="005F5BEA">
        <w:t xml:space="preserve"> be </w:t>
      </w:r>
      <w:r w:rsidR="5F5A406E" w:rsidRPr="005F5BEA">
        <w:t xml:space="preserve">distributed </w:t>
      </w:r>
      <w:r w:rsidR="61EF8407" w:rsidRPr="005F5BEA">
        <w:t xml:space="preserve">across </w:t>
      </w:r>
      <w:r w:rsidR="01F891F5" w:rsidRPr="005F5BEA">
        <w:t>the</w:t>
      </w:r>
      <w:r w:rsidR="61EF8407" w:rsidRPr="005F5BEA">
        <w:t xml:space="preserve"> ancill</w:t>
      </w:r>
      <w:r w:rsidR="4D2FF0F3" w:rsidRPr="005F5BEA">
        <w:t>a</w:t>
      </w:r>
      <w:r w:rsidR="61EF8407" w:rsidRPr="005F5BEA">
        <w:t>ry components associated with the CIEDs, only the principal devices</w:t>
      </w:r>
      <w:r w:rsidR="52EDB05E" w:rsidRPr="005F5BEA">
        <w:t>.</w:t>
      </w:r>
      <w:r w:rsidR="2D0489B4" w:rsidRPr="005F5BEA">
        <w:t xml:space="preserve"> </w:t>
      </w:r>
    </w:p>
    <w:p w14:paraId="0475113A" w14:textId="603FF607" w:rsidR="00A33166" w:rsidRPr="005F5BEA" w:rsidRDefault="04FDE88A" w:rsidP="103A5A9C">
      <w:r w:rsidRPr="005F5BEA">
        <w:t>MSAC noted the pre-MSAC response clarified that PL reimbursement for remote monitors (in Part C of the PL) covers the hardware, telecommunication charges, data hosting and security costs, and updates to software and websites</w:t>
      </w:r>
      <w:r w:rsidR="334CD31E" w:rsidRPr="005F5BEA">
        <w:t xml:space="preserve"> (but not technical support).</w:t>
      </w:r>
      <w:r w:rsidRPr="005F5BEA">
        <w:t xml:space="preserve"> </w:t>
      </w:r>
      <w:r w:rsidR="4D0B4C1C" w:rsidRPr="005F5BEA">
        <w:t>MSAC considered the applicant’s request not to include these Part C remote monitoring items but</w:t>
      </w:r>
      <w:r w:rsidR="585312DC" w:rsidRPr="005F5BEA">
        <w:t xml:space="preserve"> </w:t>
      </w:r>
      <w:r w:rsidR="4D0B4C1C" w:rsidRPr="005F5BEA">
        <w:t xml:space="preserve">to include other </w:t>
      </w:r>
      <w:r w:rsidR="00D50194" w:rsidRPr="005F5BEA">
        <w:t>ancillary</w:t>
      </w:r>
      <w:r w:rsidR="4D0B4C1C" w:rsidRPr="005F5BEA">
        <w:t xml:space="preserve"> products was inconsistent</w:t>
      </w:r>
      <w:r w:rsidRPr="005F5BEA">
        <w:t>.</w:t>
      </w:r>
      <w:r w:rsidR="00A16DD7" w:rsidRPr="005F5BEA">
        <w:t xml:space="preserve"> </w:t>
      </w:r>
      <w:r w:rsidR="35D3E9E8" w:rsidRPr="005F5BEA">
        <w:t xml:space="preserve">MSAC considered the cost of follow-up services should only be attributed to the principal CIEDs. The reason for this is that the servicing requirement is generally attributable to the use of the principal CIED rather than the ancillary products. </w:t>
      </w:r>
    </w:p>
    <w:p w14:paraId="0012D562" w14:textId="27E0DD51" w:rsidR="00887347" w:rsidRPr="005F5BEA" w:rsidRDefault="0022395B" w:rsidP="0022395B">
      <w:pPr>
        <w:rPr>
          <w:szCs w:val="24"/>
        </w:rPr>
      </w:pPr>
      <w:r w:rsidRPr="005F5BEA">
        <w:rPr>
          <w:szCs w:val="24"/>
        </w:rPr>
        <w:t xml:space="preserve">MSAC advised </w:t>
      </w:r>
      <w:r w:rsidR="008F1EB6" w:rsidRPr="005F5BEA">
        <w:rPr>
          <w:szCs w:val="24"/>
        </w:rPr>
        <w:t>the</w:t>
      </w:r>
      <w:r w:rsidRPr="005F5BEA">
        <w:rPr>
          <w:szCs w:val="24"/>
        </w:rPr>
        <w:t xml:space="preserve"> cost of </w:t>
      </w:r>
      <w:r w:rsidR="008F1EB6" w:rsidRPr="005F5BEA">
        <w:rPr>
          <w:szCs w:val="24"/>
        </w:rPr>
        <w:t>technical support services should be calculated using a</w:t>
      </w:r>
      <w:r w:rsidR="00BC6C43" w:rsidRPr="005F5BEA">
        <w:rPr>
          <w:szCs w:val="24"/>
        </w:rPr>
        <w:t xml:space="preserve"> lower</w:t>
      </w:r>
      <w:r w:rsidR="008F1EB6" w:rsidRPr="005F5BEA">
        <w:rPr>
          <w:szCs w:val="24"/>
        </w:rPr>
        <w:t xml:space="preserve"> hourly wage of $50</w:t>
      </w:r>
      <w:r w:rsidR="005C1C06" w:rsidRPr="005F5BEA">
        <w:rPr>
          <w:szCs w:val="24"/>
        </w:rPr>
        <w:t>, based on a starting salary of approximately $</w:t>
      </w:r>
      <w:r w:rsidR="008E25C3" w:rsidRPr="005F5BEA">
        <w:rPr>
          <w:szCs w:val="24"/>
        </w:rPr>
        <w:t>6</w:t>
      </w:r>
      <w:r w:rsidR="005C1C06" w:rsidRPr="005F5BEA">
        <w:rPr>
          <w:szCs w:val="24"/>
        </w:rPr>
        <w:t xml:space="preserve">0,000 for a junior technician and $100,000 </w:t>
      </w:r>
      <w:r w:rsidR="006045FE" w:rsidRPr="005F5BEA">
        <w:rPr>
          <w:szCs w:val="24"/>
        </w:rPr>
        <w:t>for a senior technician</w:t>
      </w:r>
      <w:r w:rsidR="008E25C3" w:rsidRPr="005F5BEA">
        <w:rPr>
          <w:szCs w:val="24"/>
        </w:rPr>
        <w:t>, as noted in the Commentary</w:t>
      </w:r>
      <w:r w:rsidR="006045FE" w:rsidRPr="005F5BEA">
        <w:rPr>
          <w:szCs w:val="24"/>
        </w:rPr>
        <w:t xml:space="preserve">. </w:t>
      </w:r>
      <w:r w:rsidR="00143C8E" w:rsidRPr="005F5BEA">
        <w:rPr>
          <w:szCs w:val="24"/>
        </w:rPr>
        <w:t xml:space="preserve">MSAC considered </w:t>
      </w:r>
      <w:r w:rsidR="00BC6C43" w:rsidRPr="005F5BEA">
        <w:rPr>
          <w:szCs w:val="24"/>
        </w:rPr>
        <w:t xml:space="preserve">that in the absence of alternative reliable estimates, </w:t>
      </w:r>
      <w:r w:rsidR="00143C8E" w:rsidRPr="005F5BEA">
        <w:rPr>
          <w:szCs w:val="24"/>
        </w:rPr>
        <w:t xml:space="preserve">the regional loading of 25% </w:t>
      </w:r>
      <w:r w:rsidR="004F1179" w:rsidRPr="005F5BEA">
        <w:rPr>
          <w:szCs w:val="24"/>
        </w:rPr>
        <w:t xml:space="preserve">and travel costs </w:t>
      </w:r>
      <w:r w:rsidR="004F6631" w:rsidRPr="005F5BEA">
        <w:rPr>
          <w:szCs w:val="24"/>
        </w:rPr>
        <w:t>could be retained</w:t>
      </w:r>
      <w:r w:rsidR="00BC6C43" w:rsidRPr="005F5BEA">
        <w:rPr>
          <w:szCs w:val="24"/>
        </w:rPr>
        <w:t xml:space="preserve"> for the current calculations</w:t>
      </w:r>
      <w:r w:rsidR="00B40BEE" w:rsidRPr="005F5BEA">
        <w:rPr>
          <w:szCs w:val="24"/>
        </w:rPr>
        <w:t>.</w:t>
      </w:r>
      <w:r w:rsidR="004F1179" w:rsidRPr="005F5BEA">
        <w:rPr>
          <w:szCs w:val="24"/>
        </w:rPr>
        <w:t xml:space="preserve"> </w:t>
      </w:r>
      <w:r w:rsidR="005C1EAC" w:rsidRPr="005F5BEA">
        <w:rPr>
          <w:szCs w:val="24"/>
        </w:rPr>
        <w:t xml:space="preserve">MSAC </w:t>
      </w:r>
      <w:r w:rsidR="00E5169B" w:rsidRPr="005F5BEA">
        <w:rPr>
          <w:szCs w:val="24"/>
        </w:rPr>
        <w:t>advised that</w:t>
      </w:r>
      <w:r w:rsidR="005C1EAC" w:rsidRPr="005F5BEA">
        <w:rPr>
          <w:szCs w:val="24"/>
        </w:rPr>
        <w:t xml:space="preserve"> certification costs for the 10% of </w:t>
      </w:r>
      <w:r w:rsidR="00BC6C43" w:rsidRPr="005F5BEA">
        <w:rPr>
          <w:szCs w:val="24"/>
        </w:rPr>
        <w:t xml:space="preserve">the </w:t>
      </w:r>
      <w:r w:rsidR="005C1EAC" w:rsidRPr="005F5BEA">
        <w:rPr>
          <w:szCs w:val="24"/>
        </w:rPr>
        <w:t xml:space="preserve">workforce </w:t>
      </w:r>
      <w:r w:rsidR="00E5169B" w:rsidRPr="005F5BEA">
        <w:rPr>
          <w:szCs w:val="24"/>
        </w:rPr>
        <w:t>undergoing certification each year</w:t>
      </w:r>
      <w:r w:rsidR="00BC6C43" w:rsidRPr="005F5BEA">
        <w:rPr>
          <w:szCs w:val="24"/>
        </w:rPr>
        <w:t>,</w:t>
      </w:r>
      <w:r w:rsidR="0080709F" w:rsidRPr="005F5BEA">
        <w:rPr>
          <w:szCs w:val="24"/>
        </w:rPr>
        <w:t xml:space="preserve"> and annual training costs for all technicians</w:t>
      </w:r>
      <w:r w:rsidR="00BC6C43" w:rsidRPr="005F5BEA">
        <w:rPr>
          <w:szCs w:val="24"/>
        </w:rPr>
        <w:t xml:space="preserve"> could be retained</w:t>
      </w:r>
      <w:r w:rsidR="00E5169B" w:rsidRPr="005F5BEA">
        <w:rPr>
          <w:szCs w:val="24"/>
        </w:rPr>
        <w:t xml:space="preserve">. </w:t>
      </w:r>
      <w:r w:rsidR="005848EF" w:rsidRPr="005F5BEA">
        <w:rPr>
          <w:szCs w:val="24"/>
        </w:rPr>
        <w:t xml:space="preserve">MSAC considered </w:t>
      </w:r>
      <w:r w:rsidR="00BC6C43" w:rsidRPr="005F5BEA">
        <w:rPr>
          <w:szCs w:val="24"/>
        </w:rPr>
        <w:t xml:space="preserve">that in the absence of alternative reliable estimates </w:t>
      </w:r>
      <w:r w:rsidR="005848EF" w:rsidRPr="005F5BEA">
        <w:rPr>
          <w:szCs w:val="24"/>
        </w:rPr>
        <w:t xml:space="preserve">the 1.55 on-demand wage loading </w:t>
      </w:r>
      <w:r w:rsidR="00BC6C43" w:rsidRPr="005F5BEA">
        <w:rPr>
          <w:szCs w:val="24"/>
        </w:rPr>
        <w:t>could be</w:t>
      </w:r>
      <w:r w:rsidR="005848EF" w:rsidRPr="005F5BEA">
        <w:rPr>
          <w:szCs w:val="24"/>
        </w:rPr>
        <w:t xml:space="preserve"> retain</w:t>
      </w:r>
      <w:r w:rsidR="00BC6C43" w:rsidRPr="005F5BEA">
        <w:rPr>
          <w:szCs w:val="24"/>
        </w:rPr>
        <w:t>ed for the current calculations</w:t>
      </w:r>
      <w:r w:rsidR="005848EF" w:rsidRPr="005F5BEA">
        <w:rPr>
          <w:szCs w:val="24"/>
        </w:rPr>
        <w:t xml:space="preserve">. </w:t>
      </w:r>
      <w:r w:rsidR="00E5169B" w:rsidRPr="005F5BEA">
        <w:rPr>
          <w:szCs w:val="24"/>
        </w:rPr>
        <w:t xml:space="preserve">MSAC </w:t>
      </w:r>
      <w:r w:rsidR="00290D8E" w:rsidRPr="005F5BEA">
        <w:rPr>
          <w:szCs w:val="24"/>
        </w:rPr>
        <w:t xml:space="preserve">advised that onboarding costs </w:t>
      </w:r>
      <w:r w:rsidR="00BC6C43" w:rsidRPr="005F5BEA">
        <w:rPr>
          <w:szCs w:val="24"/>
        </w:rPr>
        <w:t>sh</w:t>
      </w:r>
      <w:r w:rsidR="00290D8E" w:rsidRPr="005F5BEA">
        <w:rPr>
          <w:szCs w:val="24"/>
        </w:rPr>
        <w:t xml:space="preserve">ould be reduced </w:t>
      </w:r>
      <w:r w:rsidR="00BC6C43" w:rsidRPr="005F5BEA">
        <w:rPr>
          <w:szCs w:val="24"/>
        </w:rPr>
        <w:t>from $2</w:t>
      </w:r>
      <w:r w:rsidR="00B62C82" w:rsidRPr="005F5BEA">
        <w:rPr>
          <w:szCs w:val="24"/>
        </w:rPr>
        <w:t>12</w:t>
      </w:r>
      <w:r w:rsidR="00BC6C43" w:rsidRPr="005F5BEA">
        <w:rPr>
          <w:szCs w:val="24"/>
        </w:rPr>
        <w:t>,000</w:t>
      </w:r>
      <w:r w:rsidR="00B62C82" w:rsidRPr="005F5BEA">
        <w:rPr>
          <w:szCs w:val="24"/>
        </w:rPr>
        <w:t xml:space="preserve"> - 250,000</w:t>
      </w:r>
      <w:r w:rsidR="00BC6C43" w:rsidRPr="005F5BEA">
        <w:rPr>
          <w:szCs w:val="24"/>
        </w:rPr>
        <w:t xml:space="preserve"> </w:t>
      </w:r>
      <w:r w:rsidR="009B23B0" w:rsidRPr="005F5BEA">
        <w:rPr>
          <w:szCs w:val="24"/>
        </w:rPr>
        <w:t xml:space="preserve">to $30,000 per employee. MSAC </w:t>
      </w:r>
      <w:r w:rsidR="00BC6C43" w:rsidRPr="005F5BEA">
        <w:rPr>
          <w:szCs w:val="24"/>
        </w:rPr>
        <w:t>based this revised estimate on the assumption that</w:t>
      </w:r>
      <w:r w:rsidR="009B23B0" w:rsidRPr="005F5BEA">
        <w:rPr>
          <w:szCs w:val="24"/>
        </w:rPr>
        <w:t xml:space="preserve"> </w:t>
      </w:r>
      <w:r w:rsidR="00BC6C43" w:rsidRPr="005F5BEA">
        <w:rPr>
          <w:szCs w:val="24"/>
        </w:rPr>
        <w:t>trainee (junior)</w:t>
      </w:r>
      <w:r w:rsidR="009B23B0" w:rsidRPr="005F5BEA">
        <w:rPr>
          <w:szCs w:val="24"/>
        </w:rPr>
        <w:t xml:space="preserve"> technicians </w:t>
      </w:r>
      <w:r w:rsidR="008E25C3" w:rsidRPr="005F5BEA">
        <w:rPr>
          <w:szCs w:val="24"/>
        </w:rPr>
        <w:t>may require 6 months of supervision by a senior technician before they are able to perform the services unsupervised. MSAC considered this was a conservative assumption (</w:t>
      </w:r>
      <w:proofErr w:type="gramStart"/>
      <w:r w:rsidR="008E25C3" w:rsidRPr="005F5BEA">
        <w:rPr>
          <w:szCs w:val="24"/>
        </w:rPr>
        <w:t>i.e.</w:t>
      </w:r>
      <w:proofErr w:type="gramEnd"/>
      <w:r w:rsidR="008E25C3" w:rsidRPr="005F5BEA">
        <w:rPr>
          <w:szCs w:val="24"/>
        </w:rPr>
        <w:t xml:space="preserve"> it is probably still an over-estimate of the on-boarding costs).</w:t>
      </w:r>
    </w:p>
    <w:p w14:paraId="5DC5C055" w14:textId="0C3D9A5C" w:rsidR="0022395B" w:rsidRPr="005F5BEA" w:rsidRDefault="009E4B22" w:rsidP="0022395B">
      <w:pPr>
        <w:rPr>
          <w:szCs w:val="24"/>
        </w:rPr>
      </w:pPr>
      <w:r w:rsidRPr="005F5BEA">
        <w:rPr>
          <w:rFonts w:eastAsia="Times New Roman" w:cs="Times New Roman"/>
          <w:lang w:val="en-GB" w:eastAsia="en-AU"/>
        </w:rPr>
        <w:t xml:space="preserve">MSAC considered independent evaluation of the updated cost estimates provided in the pre-ESC response would enable it to </w:t>
      </w:r>
      <w:r w:rsidR="0040119C" w:rsidRPr="005F5BEA">
        <w:rPr>
          <w:rFonts w:eastAsia="Times New Roman" w:cs="Times New Roman"/>
          <w:lang w:val="en-GB" w:eastAsia="en-AU"/>
        </w:rPr>
        <w:t xml:space="preserve">confidently </w:t>
      </w:r>
      <w:r w:rsidRPr="005F5BEA">
        <w:rPr>
          <w:rFonts w:eastAsia="Times New Roman" w:cs="Times New Roman"/>
          <w:lang w:val="en-GB" w:eastAsia="en-AU"/>
        </w:rPr>
        <w:t xml:space="preserve">advise on the reasonable aggregate cost of follow up cardiac technical support services. </w:t>
      </w:r>
      <w:r w:rsidR="000A1E61" w:rsidRPr="005F5BEA">
        <w:rPr>
          <w:szCs w:val="24"/>
        </w:rPr>
        <w:t>MSAC considered this additional analysis could be expedited and a final estimate of the cost of follow-up services could be considered by MSAC out-of-session, or by the MSAC Executive.</w:t>
      </w:r>
    </w:p>
    <w:p w14:paraId="6A0BE7D5" w14:textId="42E11EA4" w:rsidR="00F620AA" w:rsidRPr="005F5BEA" w:rsidRDefault="10CCA85F" w:rsidP="50BB26CF">
      <w:r w:rsidRPr="005F5BEA">
        <w:lastRenderedPageBreak/>
        <w:t xml:space="preserve">MSAC considered that Australia is unique in having such a heavy reliance on device suppliers to provide technical support for CIEDs. MSAC </w:t>
      </w:r>
      <w:r w:rsidR="188937BE" w:rsidRPr="005F5BEA">
        <w:t>advised</w:t>
      </w:r>
      <w:r w:rsidRPr="005F5BEA">
        <w:t xml:space="preserve"> that the </w:t>
      </w:r>
      <w:r w:rsidR="188937BE" w:rsidRPr="005F5BEA">
        <w:t xml:space="preserve">current </w:t>
      </w:r>
      <w:r w:rsidRPr="005F5BEA">
        <w:t xml:space="preserve">arrangement </w:t>
      </w:r>
      <w:r w:rsidR="719058E0" w:rsidRPr="005F5BEA">
        <w:t xml:space="preserve">of </w:t>
      </w:r>
      <w:r w:rsidR="00B51231" w:rsidRPr="005F5BEA">
        <w:t xml:space="preserve">IECTs </w:t>
      </w:r>
      <w:r w:rsidR="719058E0" w:rsidRPr="005F5BEA">
        <w:t>providing cardiac technical</w:t>
      </w:r>
      <w:r w:rsidR="188937BE" w:rsidRPr="005F5BEA">
        <w:t xml:space="preserve"> support services </w:t>
      </w:r>
      <w:r w:rsidR="46A303E1" w:rsidRPr="005F5BEA">
        <w:t xml:space="preserve">(Model 3) </w:t>
      </w:r>
      <w:r w:rsidR="22F4C5B4" w:rsidRPr="005F5BEA">
        <w:t>entrenched in the health system</w:t>
      </w:r>
      <w:r w:rsidR="05D7B3BE" w:rsidRPr="005F5BEA">
        <w:t xml:space="preserve"> was problematic</w:t>
      </w:r>
      <w:r w:rsidR="22F4C5B4" w:rsidRPr="005F5BEA">
        <w:t xml:space="preserve">. </w:t>
      </w:r>
      <w:r w:rsidR="4724240B" w:rsidRPr="005F5BEA">
        <w:t xml:space="preserve">MSAC considered that </w:t>
      </w:r>
      <w:r w:rsidR="22F4C5B4" w:rsidRPr="005F5BEA">
        <w:t xml:space="preserve">this </w:t>
      </w:r>
      <w:r w:rsidR="03BABA17" w:rsidRPr="005F5BEA">
        <w:t>model</w:t>
      </w:r>
      <w:r w:rsidR="22F4C5B4" w:rsidRPr="005F5BEA">
        <w:t xml:space="preserve"> is </w:t>
      </w:r>
      <w:r w:rsidRPr="005F5BEA">
        <w:t>expensive</w:t>
      </w:r>
      <w:r w:rsidR="22F4C5B4" w:rsidRPr="005F5BEA">
        <w:t xml:space="preserve"> </w:t>
      </w:r>
      <w:r w:rsidR="6D9CE088" w:rsidRPr="005F5BEA">
        <w:t xml:space="preserve">and </w:t>
      </w:r>
      <w:r w:rsidRPr="005F5BEA">
        <w:t>inefficient</w:t>
      </w:r>
      <w:r w:rsidR="7F370DAF" w:rsidRPr="005F5BEA">
        <w:t xml:space="preserve"> as </w:t>
      </w:r>
      <w:r w:rsidR="2858DF6D" w:rsidRPr="005F5BEA">
        <w:t xml:space="preserve">a substantial proportion of </w:t>
      </w:r>
      <w:r w:rsidR="662981EF" w:rsidRPr="005F5BEA">
        <w:t xml:space="preserve">face-to-face services </w:t>
      </w:r>
      <w:r w:rsidR="52A34B68" w:rsidRPr="005F5BEA">
        <w:t xml:space="preserve">were </w:t>
      </w:r>
      <w:r w:rsidR="662981EF" w:rsidRPr="005F5BEA">
        <w:t>for a single patient</w:t>
      </w:r>
      <w:r w:rsidR="2858DF6D" w:rsidRPr="005F5BEA">
        <w:t xml:space="preserve">/device check. </w:t>
      </w:r>
      <w:r w:rsidR="6CD18120" w:rsidRPr="005F5BEA">
        <w:t xml:space="preserve">MSAC considered </w:t>
      </w:r>
      <w:r w:rsidR="273386B8" w:rsidRPr="005F5BEA">
        <w:t xml:space="preserve">cross-subsidising cardiac technical support services </w:t>
      </w:r>
      <w:r w:rsidR="03BABA17" w:rsidRPr="005F5BEA">
        <w:t xml:space="preserve">through higher PL benefits </w:t>
      </w:r>
      <w:r w:rsidR="4E66F618" w:rsidRPr="005F5BEA">
        <w:t>ha</w:t>
      </w:r>
      <w:r w:rsidR="03BABA17" w:rsidRPr="005F5BEA">
        <w:t>d</w:t>
      </w:r>
      <w:r w:rsidR="4E66F618" w:rsidRPr="005F5BEA">
        <w:t xml:space="preserve"> resulted in a non-</w:t>
      </w:r>
      <w:r w:rsidR="52A34B68" w:rsidRPr="005F5BEA">
        <w:t>transparent</w:t>
      </w:r>
      <w:r w:rsidR="4E66F618" w:rsidRPr="005F5BEA">
        <w:t xml:space="preserve"> funding mechanism</w:t>
      </w:r>
      <w:r w:rsidR="52A34B68" w:rsidRPr="005F5BEA">
        <w:t xml:space="preserve"> for these services. </w:t>
      </w:r>
      <w:r w:rsidR="69E7B0B0" w:rsidRPr="005F5BEA">
        <w:t xml:space="preserve">MSAC </w:t>
      </w:r>
      <w:r w:rsidR="42BA659C" w:rsidRPr="005F5BEA">
        <w:t xml:space="preserve">noted the advice of the CIED Expert Panel and </w:t>
      </w:r>
      <w:r w:rsidR="7087C83F" w:rsidRPr="005F5BEA">
        <w:t>considered</w:t>
      </w:r>
      <w:r w:rsidR="69E7B0B0" w:rsidRPr="005F5BEA">
        <w:t xml:space="preserve"> that existing Medicare Benefits Schedule </w:t>
      </w:r>
      <w:r w:rsidR="03BABA17" w:rsidRPr="005F5BEA">
        <w:t xml:space="preserve">(MBS) </w:t>
      </w:r>
      <w:r w:rsidR="69E7B0B0" w:rsidRPr="005F5BEA">
        <w:t xml:space="preserve">reimbursement </w:t>
      </w:r>
      <w:r w:rsidR="1FB504C5" w:rsidRPr="005F5BEA">
        <w:t xml:space="preserve">for </w:t>
      </w:r>
      <w:r w:rsidR="42BA659C" w:rsidRPr="005F5BEA">
        <w:t xml:space="preserve">remote monitoring </w:t>
      </w:r>
      <w:r w:rsidR="1FB504C5" w:rsidRPr="005F5BEA">
        <w:t xml:space="preserve">services </w:t>
      </w:r>
      <w:r w:rsidR="03BABA17" w:rsidRPr="005F5BEA">
        <w:t>(</w:t>
      </w:r>
      <w:r w:rsidR="1FB504C5" w:rsidRPr="005F5BEA">
        <w:t xml:space="preserve">provided </w:t>
      </w:r>
      <w:r w:rsidR="7087C83F" w:rsidRPr="005F5BEA">
        <w:t xml:space="preserve">under cardiologist supervision) </w:t>
      </w:r>
      <w:r w:rsidR="42BA659C" w:rsidRPr="005F5BEA">
        <w:t xml:space="preserve">are probably </w:t>
      </w:r>
      <w:r w:rsidR="7087C83F" w:rsidRPr="005F5BEA">
        <w:t>inadequate for the service</w:t>
      </w:r>
      <w:r w:rsidR="42BA659C" w:rsidRPr="005F5BEA">
        <w:t>s</w:t>
      </w:r>
      <w:r w:rsidR="7087C83F" w:rsidRPr="005F5BEA">
        <w:t xml:space="preserve"> provided. </w:t>
      </w:r>
      <w:r w:rsidR="1FB504C5" w:rsidRPr="005F5BEA">
        <w:t xml:space="preserve"> </w:t>
      </w:r>
    </w:p>
    <w:p w14:paraId="5666E0FC" w14:textId="783C26D7" w:rsidR="003931D3" w:rsidRPr="005F5BEA" w:rsidRDefault="0073644F" w:rsidP="0022395B">
      <w:r w:rsidRPr="005F5BEA">
        <w:t>MSAC considered that there is an opportunity to phase-in new models of care that will improve access to higher quality care at a lower cost</w:t>
      </w:r>
      <w:r w:rsidRPr="005F5BEA">
        <w:rPr>
          <w:rFonts w:ascii="Arial" w:eastAsia="Arial" w:hAnsi="Arial" w:cs="Arial"/>
        </w:rPr>
        <w:t xml:space="preserve"> </w:t>
      </w:r>
      <w:r w:rsidRPr="005F5BEA">
        <w:t xml:space="preserve">as a part of longer-term reform. </w:t>
      </w:r>
      <w:r w:rsidR="00E51A92" w:rsidRPr="005F5BEA">
        <w:t xml:space="preserve">MSAC considered the lived experience of people with CIEDs should be central to informing future reforms. </w:t>
      </w:r>
      <w:r w:rsidR="00696D5A" w:rsidRPr="005F5BEA">
        <w:t>MSAC noted that patients receive care in both the public and private sector</w:t>
      </w:r>
      <w:r w:rsidR="00E017F2" w:rsidRPr="005F5BEA">
        <w:t xml:space="preserve"> and considered future reforms need to account for this. </w:t>
      </w:r>
    </w:p>
    <w:p w14:paraId="619527F7" w14:textId="10CE62A8" w:rsidR="00417D07" w:rsidRPr="005F5BEA" w:rsidRDefault="0061054D" w:rsidP="00417D07">
      <w:r w:rsidRPr="005F5BEA">
        <w:t xml:space="preserve">MSAC advised that </w:t>
      </w:r>
      <w:r w:rsidR="007E1DE9" w:rsidRPr="005F5BEA">
        <w:t xml:space="preserve">there is a substantial opportunity to undertake reform to </w:t>
      </w:r>
      <w:r w:rsidR="00332EC3" w:rsidRPr="005F5BEA">
        <w:t>move away from dependence on IECTs</w:t>
      </w:r>
      <w:r w:rsidR="00C262A4" w:rsidRPr="005F5BEA">
        <w:t xml:space="preserve"> (Model</w:t>
      </w:r>
      <w:r w:rsidR="006C6296" w:rsidRPr="005F5BEA">
        <w:t xml:space="preserve"> </w:t>
      </w:r>
      <w:r w:rsidR="00C262A4" w:rsidRPr="005F5BEA">
        <w:t>3</w:t>
      </w:r>
      <w:r w:rsidR="006C6296" w:rsidRPr="005F5BEA">
        <w:t>)</w:t>
      </w:r>
      <w:r w:rsidR="00062576" w:rsidRPr="005F5BEA">
        <w:t xml:space="preserve">. </w:t>
      </w:r>
      <w:r w:rsidR="00C262A4" w:rsidRPr="005F5BEA">
        <w:t>MSAC considered that Model 1 should be support</w:t>
      </w:r>
      <w:r w:rsidR="000C6508" w:rsidRPr="005F5BEA">
        <w:t>ed</w:t>
      </w:r>
      <w:r w:rsidR="00C262A4" w:rsidRPr="005F5BEA">
        <w:t xml:space="preserve"> through </w:t>
      </w:r>
      <w:r w:rsidR="000C6508" w:rsidRPr="005F5BEA">
        <w:t xml:space="preserve">appropriate </w:t>
      </w:r>
      <w:r w:rsidR="00852382" w:rsidRPr="005F5BEA">
        <w:t>hospital funding</w:t>
      </w:r>
      <w:r w:rsidR="001E257A" w:rsidRPr="005F5BEA">
        <w:t>. MSAC advised th</w:t>
      </w:r>
      <w:r w:rsidR="0053535C" w:rsidRPr="005F5BEA">
        <w:t xml:space="preserve">at existing MBS items for </w:t>
      </w:r>
      <w:r w:rsidR="006C6296" w:rsidRPr="005F5BEA">
        <w:t xml:space="preserve">services associated with </w:t>
      </w:r>
      <w:r w:rsidR="00863DA6" w:rsidRPr="005F5BEA">
        <w:t>CIED</w:t>
      </w:r>
      <w:r w:rsidR="006C6296" w:rsidRPr="005F5BEA">
        <w:t xml:space="preserve"> follow-up and</w:t>
      </w:r>
      <w:r w:rsidR="00863DA6" w:rsidRPr="005F5BEA">
        <w:t xml:space="preserve"> remote monitoring should be reviewed</w:t>
      </w:r>
      <w:r w:rsidR="008E25C3" w:rsidRPr="005F5BEA">
        <w:t xml:space="preserve"> to better support Model 2</w:t>
      </w:r>
      <w:r w:rsidR="00863DA6" w:rsidRPr="005F5BEA">
        <w:t xml:space="preserve">. </w:t>
      </w:r>
      <w:r w:rsidR="00C1450C" w:rsidRPr="005F5BEA">
        <w:t xml:space="preserve">MSAC considered </w:t>
      </w:r>
      <w:r w:rsidR="00330191" w:rsidRPr="005F5BEA">
        <w:t>existing MBS</w:t>
      </w:r>
      <w:r w:rsidR="00E51A92" w:rsidRPr="005F5BEA">
        <w:t xml:space="preserve"> </w:t>
      </w:r>
      <w:r w:rsidR="000564D1" w:rsidRPr="005F5BEA">
        <w:t xml:space="preserve">items may need to be modified to provide </w:t>
      </w:r>
      <w:r w:rsidR="00330191" w:rsidRPr="005F5BEA">
        <w:t xml:space="preserve">higher </w:t>
      </w:r>
      <w:r w:rsidR="00E51A92" w:rsidRPr="005F5BEA">
        <w:t>reimbursement</w:t>
      </w:r>
      <w:r w:rsidR="000564D1" w:rsidRPr="005F5BEA">
        <w:t>, remov</w:t>
      </w:r>
      <w:r w:rsidR="00330191" w:rsidRPr="005F5BEA">
        <w:t>e the need for an annual face-to-face review, and</w:t>
      </w:r>
      <w:r w:rsidR="008E25C3" w:rsidRPr="005F5BEA">
        <w:t>/or</w:t>
      </w:r>
      <w:r w:rsidR="00330191" w:rsidRPr="005F5BEA">
        <w:t xml:space="preserve"> increase the fee for remote monitoring. </w:t>
      </w:r>
      <w:r w:rsidR="0019169F" w:rsidRPr="005F5BEA">
        <w:t xml:space="preserve">MSAC advised that </w:t>
      </w:r>
      <w:r w:rsidR="00330191" w:rsidRPr="005F5BEA">
        <w:t xml:space="preserve">the </w:t>
      </w:r>
      <w:r w:rsidR="00F926CD" w:rsidRPr="005F5BEA">
        <w:t xml:space="preserve">alternative models of funding and the </w:t>
      </w:r>
      <w:r w:rsidR="00330191" w:rsidRPr="005F5BEA">
        <w:t>potential to develop funding mechani</w:t>
      </w:r>
      <w:r w:rsidR="00DC2F60" w:rsidRPr="005F5BEA">
        <w:t xml:space="preserve">sm outside the MBS should also be considered. </w:t>
      </w:r>
      <w:r w:rsidR="006E00B3" w:rsidRPr="005F5BEA">
        <w:t>MSAC noted that the potential for out-of-pocket costs is a significant concern for people with CIEDs. MSAC advised that</w:t>
      </w:r>
      <w:r w:rsidR="008A5214" w:rsidRPr="005F5BEA">
        <w:t xml:space="preserve"> a reformed approach to providing cardiac technical support services should be adequately funded to ensure</w:t>
      </w:r>
      <w:r w:rsidR="006E00B3" w:rsidRPr="005F5BEA">
        <w:t xml:space="preserve"> </w:t>
      </w:r>
      <w:r w:rsidR="00B07BA0" w:rsidRPr="005F5BEA">
        <w:t xml:space="preserve">patients </w:t>
      </w:r>
      <w:r w:rsidR="008A5214" w:rsidRPr="005F5BEA">
        <w:t xml:space="preserve">do not incur out-of-pocket costs. </w:t>
      </w:r>
      <w:r w:rsidR="00B07BA0" w:rsidRPr="005F5BEA">
        <w:t xml:space="preserve"> </w:t>
      </w:r>
    </w:p>
    <w:p w14:paraId="655EDE67" w14:textId="2F48CCE5" w:rsidR="00675C93" w:rsidRPr="005F5BEA" w:rsidRDefault="00200CA6">
      <w:r w:rsidRPr="005F5BEA">
        <w:t xml:space="preserve">MSAC considered that </w:t>
      </w:r>
      <w:r w:rsidR="00996325" w:rsidRPr="005F5BEA">
        <w:t>people with CIEDs should receive technical support services under the care of a cardiolog</w:t>
      </w:r>
      <w:r w:rsidR="00417D07" w:rsidRPr="005F5BEA">
        <w:t>ist</w:t>
      </w:r>
      <w:r w:rsidR="00996325" w:rsidRPr="005F5BEA">
        <w:t xml:space="preserve"> with appropriate training in CIED</w:t>
      </w:r>
      <w:r w:rsidR="00D31604" w:rsidRPr="005F5BEA">
        <w:t xml:space="preserve"> management</w:t>
      </w:r>
      <w:r w:rsidR="00996325" w:rsidRPr="005F5BEA">
        <w:t xml:space="preserve">. </w:t>
      </w:r>
      <w:r w:rsidR="00D543E0" w:rsidRPr="005F5BEA">
        <w:t xml:space="preserve">MSAC considered this would not </w:t>
      </w:r>
      <w:r w:rsidR="008E25C3" w:rsidRPr="005F5BEA">
        <w:t xml:space="preserve">require </w:t>
      </w:r>
      <w:r w:rsidR="00417D07" w:rsidRPr="005F5BEA">
        <w:t xml:space="preserve">cardiologists to personally undertake all device interrogations. </w:t>
      </w:r>
      <w:r w:rsidR="00906B27" w:rsidRPr="005F5BEA">
        <w:t xml:space="preserve">MSAC noted that this may </w:t>
      </w:r>
      <w:r w:rsidR="00475CC0" w:rsidRPr="005F5BEA">
        <w:t xml:space="preserve">result in patients having </w:t>
      </w:r>
      <w:r w:rsidR="009A7297" w:rsidRPr="005F5BEA">
        <w:t>more than one cardiologist if their CIED cardiologist does not manage their other cardi</w:t>
      </w:r>
      <w:r w:rsidR="00DF7941" w:rsidRPr="005F5BEA">
        <w:t xml:space="preserve">ac issues.  </w:t>
      </w:r>
    </w:p>
    <w:p w14:paraId="0A3D29E1" w14:textId="2DE3DE0A" w:rsidR="0071093C" w:rsidRPr="005F5BEA" w:rsidRDefault="0071093C">
      <w:r w:rsidRPr="005F5BEA">
        <w:t xml:space="preserve">MSAC considered that </w:t>
      </w:r>
      <w:r w:rsidR="00176481" w:rsidRPr="005F5BEA">
        <w:t xml:space="preserve">a reformed approach </w:t>
      </w:r>
      <w:r w:rsidR="0086315B" w:rsidRPr="005F5BEA">
        <w:t xml:space="preserve">should ensure patients are clearly informed about </w:t>
      </w:r>
      <w:r w:rsidR="007B5D28" w:rsidRPr="005F5BEA">
        <w:t xml:space="preserve">role of their treating clinicians and technicians, </w:t>
      </w:r>
      <w:r w:rsidR="0062529D" w:rsidRPr="005F5BEA">
        <w:t>remote monitoring</w:t>
      </w:r>
      <w:r w:rsidR="00803617" w:rsidRPr="005F5BEA">
        <w:t xml:space="preserve">, and matters related to data storage, use and security. </w:t>
      </w:r>
    </w:p>
    <w:p w14:paraId="4B3389CE" w14:textId="58AB8106" w:rsidR="00D25B2E" w:rsidRPr="005F5BEA" w:rsidRDefault="00DB4651">
      <w:r w:rsidRPr="005F5BEA">
        <w:t xml:space="preserve">MSAC noted </w:t>
      </w:r>
      <w:r w:rsidR="008E25C3" w:rsidRPr="005F5BEA">
        <w:t xml:space="preserve">advice </w:t>
      </w:r>
      <w:r w:rsidRPr="005F5BEA">
        <w:t>from the expert panel that</w:t>
      </w:r>
      <w:r w:rsidR="00F14ABE" w:rsidRPr="005F5BEA">
        <w:t xml:space="preserve"> private cardiology clinics have implemented Model</w:t>
      </w:r>
      <w:r w:rsidR="00826E7E" w:rsidRPr="005F5BEA">
        <w:t xml:space="preserve"> 2 for providing CIED technical support. </w:t>
      </w:r>
      <w:r w:rsidR="00AB2B9C" w:rsidRPr="005F5BEA">
        <w:t xml:space="preserve">MSAC noted that </w:t>
      </w:r>
      <w:r w:rsidR="00770534" w:rsidRPr="005F5BEA">
        <w:t>most</w:t>
      </w:r>
      <w:r w:rsidR="00AB2B9C" w:rsidRPr="005F5BEA">
        <w:t xml:space="preserve"> patients in one clinic were enrolled in remote monitoring</w:t>
      </w:r>
      <w:r w:rsidR="005C18DE" w:rsidRPr="005F5BEA">
        <w:t xml:space="preserve">. </w:t>
      </w:r>
      <w:r w:rsidR="00E203EE" w:rsidRPr="005F5BEA">
        <w:t xml:space="preserve">MSAC noted that </w:t>
      </w:r>
      <w:r w:rsidR="00F61791" w:rsidRPr="005F5BEA">
        <w:t xml:space="preserve">two private clinics charged </w:t>
      </w:r>
      <w:r w:rsidR="00546A72" w:rsidRPr="005F5BEA">
        <w:t>an annual fee of $200-</w:t>
      </w:r>
      <w:r w:rsidR="00F61791" w:rsidRPr="005F5BEA">
        <w:t>4</w:t>
      </w:r>
      <w:r w:rsidR="00546A72" w:rsidRPr="005F5BEA">
        <w:t xml:space="preserve">00 </w:t>
      </w:r>
      <w:r w:rsidR="00502611" w:rsidRPr="005F5BEA">
        <w:t xml:space="preserve">for remote monitoring which is used to pay for the cardiac technician salary. </w:t>
      </w:r>
      <w:r w:rsidR="003859BC" w:rsidRPr="005F5BEA">
        <w:t xml:space="preserve">MSAC noted that these fees cover the provision of remote monitoring, checking of transmission alerts, </w:t>
      </w:r>
      <w:r w:rsidR="0023588E" w:rsidRPr="005F5BEA">
        <w:t>addressing connection</w:t>
      </w:r>
      <w:r w:rsidR="003859BC" w:rsidRPr="005F5BEA">
        <w:t xml:space="preserve"> problems and phone calls or letters to patients or their physician by the cardiac technicians and cardiologists in response to these alerts.</w:t>
      </w:r>
    </w:p>
    <w:p w14:paraId="7B04E49C" w14:textId="1E483990" w:rsidR="00EF7C34" w:rsidRPr="005F5BEA" w:rsidRDefault="74A47730">
      <w:pPr>
        <w:rPr>
          <w:vertAlign w:val="subscript"/>
        </w:rPr>
      </w:pPr>
      <w:r w:rsidRPr="005F5BEA">
        <w:t>MSAC</w:t>
      </w:r>
      <w:r w:rsidR="5DDE4AA7" w:rsidRPr="005F5BEA">
        <w:t xml:space="preserve"> </w:t>
      </w:r>
      <w:r w:rsidRPr="005F5BEA">
        <w:t xml:space="preserve">noted </w:t>
      </w:r>
      <w:r w:rsidR="75F801AB" w:rsidRPr="005F5BEA">
        <w:t xml:space="preserve">using Model 2, </w:t>
      </w:r>
      <w:r w:rsidRPr="005F5BEA">
        <w:t xml:space="preserve">one full time technician </w:t>
      </w:r>
      <w:r w:rsidR="4E0288CE" w:rsidRPr="005F5BEA">
        <w:t>can</w:t>
      </w:r>
      <w:r w:rsidRPr="005F5BEA">
        <w:t xml:space="preserve"> provide services for approximately 400-500 patients</w:t>
      </w:r>
      <w:r w:rsidR="5DDE4AA7" w:rsidRPr="005F5BEA">
        <w:t>, resulting in approximately 500 full time equivalent cardiac</w:t>
      </w:r>
      <w:r w:rsidR="43FD2CA8" w:rsidRPr="005F5BEA">
        <w:t xml:space="preserve"> technicians needed to </w:t>
      </w:r>
      <w:r w:rsidR="7B3CA46F" w:rsidRPr="005F5BEA">
        <w:t>provide technical support services</w:t>
      </w:r>
      <w:r w:rsidR="51DA7DD2" w:rsidRPr="005F5BEA">
        <w:t xml:space="preserve"> based on the current number of patients with CIEDs in Australia</w:t>
      </w:r>
      <w:r w:rsidR="7B3CA46F" w:rsidRPr="005F5BEA">
        <w:t xml:space="preserve">. </w:t>
      </w:r>
      <w:r w:rsidR="7FF39D19" w:rsidRPr="005F5BEA">
        <w:t>MSAC</w:t>
      </w:r>
      <w:r w:rsidR="7B88B12A" w:rsidRPr="005F5BEA">
        <w:t xml:space="preserve"> recognised the</w:t>
      </w:r>
      <w:r w:rsidR="0754083B" w:rsidRPr="005F5BEA">
        <w:t>re would still be a</w:t>
      </w:r>
      <w:r w:rsidR="7B88B12A" w:rsidRPr="005F5BEA">
        <w:t xml:space="preserve"> need for</w:t>
      </w:r>
      <w:r w:rsidR="7FF39D19" w:rsidRPr="005F5BEA">
        <w:t xml:space="preserve"> </w:t>
      </w:r>
      <w:r w:rsidR="7B89C70C" w:rsidRPr="005F5BEA">
        <w:t>some</w:t>
      </w:r>
      <w:r w:rsidR="002C7570" w:rsidRPr="005F5BEA">
        <w:t xml:space="preserve"> </w:t>
      </w:r>
      <w:r w:rsidR="7FF39D19" w:rsidRPr="005F5BEA">
        <w:t xml:space="preserve">IECT </w:t>
      </w:r>
      <w:r w:rsidR="5E6FBF5A" w:rsidRPr="005F5BEA">
        <w:t xml:space="preserve">involvement under this Model </w:t>
      </w:r>
      <w:r w:rsidR="00FF4422" w:rsidRPr="005F5BEA">
        <w:t xml:space="preserve">2 </w:t>
      </w:r>
      <w:r w:rsidR="5E6FBF5A" w:rsidRPr="005F5BEA">
        <w:t>for provision of</w:t>
      </w:r>
      <w:r w:rsidR="7E6FFD6E" w:rsidRPr="005F5BEA">
        <w:t xml:space="preserve"> device-specific </w:t>
      </w:r>
      <w:r w:rsidR="00FF4422" w:rsidRPr="005F5BEA">
        <w:t>knowledge</w:t>
      </w:r>
      <w:r w:rsidR="7E6FFD6E" w:rsidRPr="005F5BEA">
        <w:t xml:space="preserve"> if required</w:t>
      </w:r>
      <w:r w:rsidR="7FF39D19" w:rsidRPr="005F5BEA">
        <w:t>.</w:t>
      </w:r>
      <w:r w:rsidR="010079D3" w:rsidRPr="005F5BEA">
        <w:t xml:space="preserve"> </w:t>
      </w:r>
    </w:p>
    <w:p w14:paraId="5EA3A5F4" w14:textId="14CE6F71" w:rsidR="00040657" w:rsidRPr="005F5BEA" w:rsidRDefault="007944C0" w:rsidP="00495B29">
      <w:r w:rsidRPr="005F5BEA">
        <w:rPr>
          <w:rFonts w:eastAsia="Arial" w:cs="Arial"/>
        </w:rPr>
        <w:lastRenderedPageBreak/>
        <w:t>MSAC considered a national CIED registry</w:t>
      </w:r>
      <w:r w:rsidR="006154E0" w:rsidRPr="005F5BEA">
        <w:rPr>
          <w:rFonts w:eastAsia="Arial" w:cs="Arial"/>
        </w:rPr>
        <w:t xml:space="preserve"> should be considered as a part of future reforms. </w:t>
      </w:r>
      <w:r w:rsidR="00F64DE9" w:rsidRPr="005F5BEA">
        <w:t xml:space="preserve">MSAC noted that the </w:t>
      </w:r>
      <w:r w:rsidR="00EF7C34" w:rsidRPr="005F5BEA">
        <w:t xml:space="preserve">applicant was supportive of a national CIED registry to capture patient data. </w:t>
      </w:r>
      <w:r w:rsidR="007A0317" w:rsidRPr="005F5BEA">
        <w:t xml:space="preserve">MSAC considered </w:t>
      </w:r>
      <w:r w:rsidR="00AF6321" w:rsidRPr="005F5BEA">
        <w:t>a registry</w:t>
      </w:r>
      <w:r w:rsidR="007A0317" w:rsidRPr="005F5BEA">
        <w:t xml:space="preserve"> should capture service level data to </w:t>
      </w:r>
      <w:r w:rsidR="00136F3D" w:rsidRPr="005F5BEA">
        <w:t>capture services being provided</w:t>
      </w:r>
      <w:r w:rsidR="0083507F" w:rsidRPr="005F5BEA">
        <w:t>, capture</w:t>
      </w:r>
      <w:r w:rsidR="00503BD7" w:rsidRPr="005F5BEA">
        <w:t xml:space="preserve"> who is providing the services</w:t>
      </w:r>
      <w:r w:rsidR="00A6245F" w:rsidRPr="005F5BEA">
        <w:t>,</w:t>
      </w:r>
      <w:r w:rsidR="00503BD7" w:rsidRPr="005F5BEA">
        <w:t xml:space="preserve"> </w:t>
      </w:r>
      <w:r w:rsidR="00426ABC" w:rsidRPr="005F5BEA">
        <w:t xml:space="preserve">and </w:t>
      </w:r>
      <w:r w:rsidR="00AF2969" w:rsidRPr="005F5BEA">
        <w:t xml:space="preserve">who is </w:t>
      </w:r>
      <w:r w:rsidR="00D50194" w:rsidRPr="005F5BEA">
        <w:t xml:space="preserve">involved in </w:t>
      </w:r>
      <w:r w:rsidR="00426ABC" w:rsidRPr="005F5BEA">
        <w:t xml:space="preserve">clinical decision making. </w:t>
      </w:r>
      <w:r w:rsidR="00136F3D" w:rsidRPr="005F5BEA">
        <w:t xml:space="preserve"> </w:t>
      </w:r>
    </w:p>
    <w:p w14:paraId="1223FA7C" w14:textId="7307136B" w:rsidR="00C83A47" w:rsidRPr="005F5BEA" w:rsidRDefault="00C83A47" w:rsidP="00A83106">
      <w:pPr>
        <w:pStyle w:val="Heading2"/>
      </w:pPr>
      <w:r w:rsidRPr="005F5BEA">
        <w:t>4.</w:t>
      </w:r>
      <w:r w:rsidR="00A83106" w:rsidRPr="005F5BEA">
        <w:tab/>
      </w:r>
      <w:r w:rsidRPr="005F5BEA">
        <w:t>Background</w:t>
      </w:r>
    </w:p>
    <w:p w14:paraId="0C33D538" w14:textId="77777777" w:rsidR="009478A2" w:rsidRPr="005F5BEA" w:rsidRDefault="009478A2" w:rsidP="009478A2">
      <w:r w:rsidRPr="005F5BEA">
        <w:t xml:space="preserve">The Medical Technology Association of Australia (MTAA) Cardiac Forum (CF) has a membership of five companies (Medtronic, Abbott, </w:t>
      </w:r>
      <w:proofErr w:type="spellStart"/>
      <w:r w:rsidRPr="005F5BEA">
        <w:t>Biotronik</w:t>
      </w:r>
      <w:proofErr w:type="spellEnd"/>
      <w:r w:rsidRPr="005F5BEA">
        <w:t xml:space="preserve">, </w:t>
      </w:r>
      <w:proofErr w:type="spellStart"/>
      <w:r w:rsidRPr="005F5BEA">
        <w:t>MicroPort</w:t>
      </w:r>
      <w:proofErr w:type="spellEnd"/>
      <w:r w:rsidRPr="005F5BEA">
        <w:t xml:space="preserve"> CRM and Boston Scientific) that supply CIEDs and their associated cardiac technical support services in Australia. The MTAA Cardiac Forum is representing these companies in discussions with the Australian Government to determine a new framework for setting and reviewing Prostheses List (PL) benefits for CIEDs. </w:t>
      </w:r>
    </w:p>
    <w:p w14:paraId="3B8781A9" w14:textId="77777777" w:rsidR="009478A2" w:rsidRPr="005F5BEA" w:rsidRDefault="009478A2" w:rsidP="009478A2">
      <w:r w:rsidRPr="005F5BEA">
        <w:t xml:space="preserve">The Department of Health and Aged Care has received an application from the MTAA CF as part of an ongoing Prostheses List reform process. The purpose of the application is to determine the cost of the cardiac technical services provided to support patients with CIEDs with the aim of finding a long-term funding mechanism for these services. </w:t>
      </w:r>
      <w:proofErr w:type="gramStart"/>
      <w:r w:rsidRPr="005F5BEA">
        <w:t>For the purpose of</w:t>
      </w:r>
      <w:proofErr w:type="gramEnd"/>
      <w:r w:rsidRPr="005F5BEA">
        <w:t xml:space="preserve"> this application, CIEDs included pacemakers (PPMs), implanted cardioverter defibrillators (ICDs), implantable loop recorders (ILRs) and cardiac resynchronisation therapy devices (CRTDs). </w:t>
      </w:r>
    </w:p>
    <w:p w14:paraId="588612B3" w14:textId="69E62C0F" w:rsidR="009478A2" w:rsidRPr="005F5BEA" w:rsidRDefault="009478A2" w:rsidP="009478A2">
      <w:r w:rsidRPr="005F5BEA">
        <w:t>Under the PL benefits reform of medical devices with a benefit level &gt;7% above the Weighted Average Price</w:t>
      </w:r>
      <w:r w:rsidR="008E25C3" w:rsidRPr="005F5BEA">
        <w:t xml:space="preserve"> (WAP)</w:t>
      </w:r>
      <w:r w:rsidRPr="005F5BEA">
        <w:t xml:space="preserve">, the benefit was reduced by 40% of the difference between the Prostheses List benefit and the </w:t>
      </w:r>
      <w:r w:rsidR="00D974F9" w:rsidRPr="005F5BEA">
        <w:t xml:space="preserve">WAP </w:t>
      </w:r>
      <w:r w:rsidRPr="005F5BEA">
        <w:t xml:space="preserve">in the first year (on 1 July 2022), a further reduction of 20% of the difference in the second year (on 1 July 2023), and a final 20% reduction of the difference in the final year leaving a 20% difference between the </w:t>
      </w:r>
      <w:r w:rsidR="00D974F9" w:rsidRPr="005F5BEA">
        <w:t>WAP</w:t>
      </w:r>
      <w:r w:rsidRPr="005F5BEA">
        <w:t xml:space="preserve"> and the PL price.</w:t>
      </w:r>
    </w:p>
    <w:p w14:paraId="2A8842DB" w14:textId="6838197E" w:rsidR="009478A2" w:rsidRPr="005F5BEA" w:rsidRDefault="009478A2" w:rsidP="009478A2">
      <w:r w:rsidRPr="005F5BEA">
        <w:t xml:space="preserve">The MTAA CF has stated that if the planned phased reduction of PL benefits goes ahead for CIEDs, they would be unable to sustain the existing level of CIED implantation and follow-up technical services carried out by </w:t>
      </w:r>
      <w:r w:rsidR="00B62C82" w:rsidRPr="005F5BEA">
        <w:t>IECT</w:t>
      </w:r>
      <w:r w:rsidRPr="005F5BEA">
        <w:t xml:space="preserve">s without an alternative reimbursement mechanism for these services. </w:t>
      </w:r>
    </w:p>
    <w:p w14:paraId="48799FA1" w14:textId="43337416" w:rsidR="009478A2" w:rsidRPr="005F5BEA" w:rsidRDefault="009478A2" w:rsidP="009478A2">
      <w:r w:rsidRPr="005F5BEA">
        <w:t xml:space="preserve">To ensure continued access to technical services for patients for CIEDs, a </w:t>
      </w:r>
      <w:hyperlink r:id="rId11" w:history="1">
        <w:r w:rsidRPr="005F5BEA">
          <w:rPr>
            <w:color w:val="0563C1" w:themeColor="hyperlink"/>
            <w:u w:val="single"/>
          </w:rPr>
          <w:t>Memorandum of Understanding</w:t>
        </w:r>
      </w:hyperlink>
      <w:r w:rsidRPr="005F5BEA">
        <w:t xml:space="preserve"> was drawn up with the MTAA CF. The </w:t>
      </w:r>
      <w:hyperlink r:id="rId12" w:history="1">
        <w:r w:rsidRPr="005F5BEA">
          <w:rPr>
            <w:color w:val="0563C1" w:themeColor="hyperlink"/>
            <w:u w:val="single"/>
          </w:rPr>
          <w:t>Memorandum of Understanding</w:t>
        </w:r>
      </w:hyperlink>
      <w:r w:rsidRPr="005F5BEA">
        <w:t xml:space="preserve"> for the policy parameters of the Prostheses List Reforms (dated 14 March 2022) deferred the commencement of all benefit reductions for the CIEDs on the Prostheses List</w:t>
      </w:r>
      <w:r w:rsidRPr="005F5BEA" w:rsidDel="008729E5">
        <w:t xml:space="preserve"> </w:t>
      </w:r>
      <w:r w:rsidRPr="005F5BEA">
        <w:t>by one year to 1</w:t>
      </w:r>
      <w:r w:rsidR="00374BF7">
        <w:t> </w:t>
      </w:r>
      <w:r w:rsidRPr="005F5BEA">
        <w:t>July 2023, to allow for MSAC deliberations on the value of the technical support services to ensure continued access for patients for CIEDs. MTAA committed to take all reasonable steps to ensure that cardiac companies that produce CIEDs commit to engage with MSAC (expected no later than March 2022) and provide MSAC during its deliberations with company data relevant to the MSAC process.</w:t>
      </w:r>
    </w:p>
    <w:p w14:paraId="59C5166B" w14:textId="0645E7B1" w:rsidR="00374BF7" w:rsidRDefault="009478A2" w:rsidP="00374BF7">
      <w:r w:rsidRPr="005F5BEA">
        <w:t>The data requests as stated in the Submission Request are included in</w:t>
      </w:r>
      <w:r w:rsidR="00491B49" w:rsidRPr="005F5BEA">
        <w:t xml:space="preserve"> </w:t>
      </w:r>
      <w:r w:rsidR="00491B49" w:rsidRPr="005F5BEA">
        <w:fldChar w:fldCharType="begin"/>
      </w:r>
      <w:r w:rsidR="00491B49" w:rsidRPr="005F5BEA">
        <w:instrText xml:space="preserve"> REF _Ref142304908 \h  \* MERGEFORMAT </w:instrText>
      </w:r>
      <w:r w:rsidR="00491B49" w:rsidRPr="005F5BEA">
        <w:fldChar w:fldCharType="separate"/>
      </w:r>
      <w:r w:rsidR="00334548" w:rsidRPr="00334548">
        <w:t>Table 2</w:t>
      </w:r>
      <w:r w:rsidR="00491B49" w:rsidRPr="005F5BEA">
        <w:fldChar w:fldCharType="end"/>
      </w:r>
      <w:r w:rsidR="00491B49" w:rsidRPr="005F5BEA">
        <w:t xml:space="preserve">. </w:t>
      </w:r>
      <w:r w:rsidRPr="005F5BEA">
        <w:t>It is shown in the table which data requests were addressed/provided in the ADAR, the limitations of the data provided, and the consequences of the data not provided.</w:t>
      </w:r>
      <w:bookmarkStart w:id="3" w:name="_Ref132100902"/>
      <w:bookmarkStart w:id="4" w:name="_Ref135300206"/>
      <w:r w:rsidR="00374BF7">
        <w:br w:type="page"/>
      </w:r>
    </w:p>
    <w:p w14:paraId="66E306FA" w14:textId="22B91611" w:rsidR="009478A2" w:rsidRPr="005F5BEA" w:rsidRDefault="009478A2" w:rsidP="000F4D77">
      <w:pPr>
        <w:rPr>
          <w:rFonts w:ascii="Arial Narrow" w:hAnsi="Arial Narrow"/>
          <w:b/>
          <w:bCs/>
          <w:sz w:val="20"/>
          <w:szCs w:val="20"/>
        </w:rPr>
      </w:pPr>
      <w:bookmarkStart w:id="5" w:name="_Ref142304908"/>
      <w:r w:rsidRPr="005F5BEA">
        <w:rPr>
          <w:rFonts w:ascii="Arial Narrow" w:hAnsi="Arial Narrow"/>
          <w:b/>
          <w:bCs/>
          <w:sz w:val="20"/>
          <w:szCs w:val="20"/>
        </w:rPr>
        <w:t xml:space="preserve">Table </w:t>
      </w:r>
      <w:r w:rsidRPr="005F5BEA">
        <w:rPr>
          <w:rFonts w:ascii="Arial Narrow" w:hAnsi="Arial Narrow"/>
          <w:b/>
          <w:bCs/>
          <w:sz w:val="20"/>
          <w:szCs w:val="20"/>
        </w:rPr>
        <w:fldChar w:fldCharType="begin"/>
      </w:r>
      <w:r w:rsidRPr="005F5BEA">
        <w:rPr>
          <w:rFonts w:ascii="Arial Narrow" w:hAnsi="Arial Narrow"/>
          <w:b/>
          <w:bCs/>
          <w:sz w:val="20"/>
          <w:szCs w:val="20"/>
        </w:rPr>
        <w:instrText xml:space="preserve"> SEQ Table \* ARABIC </w:instrText>
      </w:r>
      <w:r w:rsidRPr="005F5BEA">
        <w:rPr>
          <w:rFonts w:ascii="Arial Narrow" w:hAnsi="Arial Narrow"/>
          <w:b/>
          <w:bCs/>
          <w:sz w:val="20"/>
          <w:szCs w:val="20"/>
        </w:rPr>
        <w:fldChar w:fldCharType="separate"/>
      </w:r>
      <w:r w:rsidR="00334548">
        <w:rPr>
          <w:rFonts w:ascii="Arial Narrow" w:hAnsi="Arial Narrow"/>
          <w:b/>
          <w:bCs/>
          <w:noProof/>
          <w:sz w:val="20"/>
          <w:szCs w:val="20"/>
        </w:rPr>
        <w:t>2</w:t>
      </w:r>
      <w:r w:rsidRPr="005F5BEA">
        <w:rPr>
          <w:rFonts w:ascii="Arial Narrow" w:hAnsi="Arial Narrow"/>
          <w:b/>
          <w:bCs/>
          <w:sz w:val="20"/>
          <w:szCs w:val="20"/>
        </w:rPr>
        <w:fldChar w:fldCharType="end"/>
      </w:r>
      <w:bookmarkEnd w:id="3"/>
      <w:bookmarkEnd w:id="4"/>
      <w:bookmarkEnd w:id="5"/>
      <w:r w:rsidRPr="005F5BEA">
        <w:rPr>
          <w:rFonts w:ascii="Arial Narrow" w:hAnsi="Arial Narrow"/>
          <w:b/>
          <w:bCs/>
          <w:sz w:val="20"/>
          <w:szCs w:val="20"/>
        </w:rPr>
        <w:tab/>
        <w:t>Submission Request</w:t>
      </w:r>
    </w:p>
    <w:tbl>
      <w:tblPr>
        <w:tblStyle w:val="TableGrid"/>
        <w:tblW w:w="0" w:type="auto"/>
        <w:tblLook w:val="04A0" w:firstRow="1" w:lastRow="0" w:firstColumn="1" w:lastColumn="0" w:noHBand="0" w:noVBand="1"/>
      </w:tblPr>
      <w:tblGrid>
        <w:gridCol w:w="3005"/>
        <w:gridCol w:w="3005"/>
        <w:gridCol w:w="3006"/>
      </w:tblGrid>
      <w:tr w:rsidR="009478A2" w:rsidRPr="005F5BEA" w14:paraId="4B3E35B2" w14:textId="77777777" w:rsidTr="00885172">
        <w:trPr>
          <w:cantSplit/>
          <w:tblHeader/>
        </w:trPr>
        <w:tc>
          <w:tcPr>
            <w:tcW w:w="3005" w:type="dxa"/>
          </w:tcPr>
          <w:p w14:paraId="2E8F998F" w14:textId="77777777" w:rsidR="009478A2" w:rsidRPr="005F5BEA" w:rsidRDefault="009478A2" w:rsidP="00F639A0">
            <w:pPr>
              <w:keepLines/>
              <w:spacing w:before="40" w:after="40"/>
              <w:rPr>
                <w:rFonts w:ascii="Arial Narrow" w:hAnsi="Arial Narrow"/>
                <w:b/>
                <w:sz w:val="20"/>
              </w:rPr>
            </w:pPr>
            <w:r w:rsidRPr="005F5BEA">
              <w:rPr>
                <w:rFonts w:ascii="Arial Narrow" w:hAnsi="Arial Narrow"/>
                <w:b/>
                <w:sz w:val="20"/>
              </w:rPr>
              <w:t>The submission should address the following:</w:t>
            </w:r>
          </w:p>
        </w:tc>
        <w:tc>
          <w:tcPr>
            <w:tcW w:w="3005" w:type="dxa"/>
          </w:tcPr>
          <w:p w14:paraId="5602DCA3" w14:textId="77777777" w:rsidR="009478A2" w:rsidRPr="005F5BEA" w:rsidRDefault="009478A2" w:rsidP="00F639A0">
            <w:pPr>
              <w:keepLines/>
              <w:spacing w:before="40" w:after="40"/>
              <w:rPr>
                <w:rFonts w:ascii="Arial Narrow" w:hAnsi="Arial Narrow"/>
                <w:b/>
                <w:sz w:val="20"/>
              </w:rPr>
            </w:pPr>
            <w:r w:rsidRPr="005F5BEA">
              <w:rPr>
                <w:rFonts w:ascii="Arial Narrow" w:hAnsi="Arial Narrow"/>
                <w:b/>
                <w:sz w:val="20"/>
              </w:rPr>
              <w:t>Addressed/provided in the ADAR?</w:t>
            </w:r>
          </w:p>
        </w:tc>
        <w:tc>
          <w:tcPr>
            <w:tcW w:w="3006" w:type="dxa"/>
          </w:tcPr>
          <w:p w14:paraId="46D74350" w14:textId="77777777" w:rsidR="009478A2" w:rsidRPr="005F5BEA" w:rsidRDefault="009478A2" w:rsidP="00F639A0">
            <w:pPr>
              <w:keepLines/>
              <w:spacing w:before="40" w:after="40"/>
              <w:rPr>
                <w:rFonts w:ascii="Arial Narrow" w:hAnsi="Arial Narrow"/>
                <w:b/>
                <w:sz w:val="20"/>
              </w:rPr>
            </w:pPr>
            <w:r w:rsidRPr="005F5BEA">
              <w:rPr>
                <w:rFonts w:ascii="Arial Narrow" w:hAnsi="Arial Narrow"/>
                <w:b/>
                <w:sz w:val="20"/>
              </w:rPr>
              <w:t>Limitations / consequences / discussion</w:t>
            </w:r>
          </w:p>
        </w:tc>
      </w:tr>
      <w:tr w:rsidR="009478A2" w:rsidRPr="005F5BEA" w14:paraId="607E26DF" w14:textId="77777777" w:rsidTr="00885172">
        <w:trPr>
          <w:cantSplit/>
        </w:trPr>
        <w:tc>
          <w:tcPr>
            <w:tcW w:w="9016" w:type="dxa"/>
            <w:gridSpan w:val="3"/>
          </w:tcPr>
          <w:p w14:paraId="2C9EBB24" w14:textId="77777777" w:rsidR="009478A2" w:rsidRPr="005F5BEA" w:rsidRDefault="009478A2" w:rsidP="00F639A0">
            <w:pPr>
              <w:keepLines/>
              <w:spacing w:before="40" w:after="40"/>
              <w:rPr>
                <w:rFonts w:ascii="Arial Narrow" w:hAnsi="Arial Narrow"/>
                <w:b/>
                <w:i/>
                <w:sz w:val="20"/>
              </w:rPr>
            </w:pPr>
            <w:r w:rsidRPr="005F5BEA">
              <w:rPr>
                <w:rFonts w:ascii="Arial Narrow" w:hAnsi="Arial Narrow"/>
                <w:b/>
                <w:i/>
                <w:sz w:val="20"/>
              </w:rPr>
              <w:t>Data requests on models of care</w:t>
            </w:r>
          </w:p>
        </w:tc>
      </w:tr>
      <w:tr w:rsidR="009478A2" w:rsidRPr="005F5BEA" w14:paraId="27127A6F" w14:textId="77777777" w:rsidTr="00885172">
        <w:trPr>
          <w:cantSplit/>
        </w:trPr>
        <w:tc>
          <w:tcPr>
            <w:tcW w:w="3005" w:type="dxa"/>
          </w:tcPr>
          <w:p w14:paraId="62A62E33" w14:textId="77777777" w:rsidR="009478A2" w:rsidRPr="005F5BEA" w:rsidRDefault="009478A2" w:rsidP="00F639A0">
            <w:pPr>
              <w:keepLines/>
              <w:spacing w:before="40" w:after="40"/>
              <w:rPr>
                <w:rFonts w:ascii="Arial Narrow" w:hAnsi="Arial Narrow"/>
                <w:sz w:val="20"/>
              </w:rPr>
            </w:pPr>
            <w:r w:rsidRPr="005F5BEA">
              <w:rPr>
                <w:rFonts w:ascii="Arial Narrow" w:hAnsi="Arial Narrow"/>
                <w:sz w:val="20"/>
              </w:rPr>
              <w:lastRenderedPageBreak/>
              <w:t>What models of care for Cardiac Implantable Electronic Device (CIED) follow-up services exist in Australia and what is their relative use? Who provides these services and in what treatment setting?</w:t>
            </w:r>
          </w:p>
        </w:tc>
        <w:tc>
          <w:tcPr>
            <w:tcW w:w="3005" w:type="dxa"/>
          </w:tcPr>
          <w:p w14:paraId="1C4737AA" w14:textId="4B36F361" w:rsidR="009478A2" w:rsidRPr="005F5BEA" w:rsidRDefault="009478A2" w:rsidP="00F639A0">
            <w:pPr>
              <w:keepLines/>
              <w:spacing w:before="40" w:after="40"/>
              <w:rPr>
                <w:rFonts w:ascii="Arial Narrow" w:hAnsi="Arial Narrow"/>
                <w:sz w:val="20"/>
              </w:rPr>
            </w:pPr>
            <w:r w:rsidRPr="005F5BEA">
              <w:rPr>
                <w:rFonts w:ascii="Arial Narrow" w:hAnsi="Arial Narrow"/>
                <w:sz w:val="20"/>
              </w:rPr>
              <w:t xml:space="preserve">Partly. One of the models of care (the model where services are provided by </w:t>
            </w:r>
            <w:r w:rsidR="00B62C82" w:rsidRPr="005F5BEA">
              <w:rPr>
                <w:rFonts w:ascii="Arial Narrow" w:hAnsi="Arial Narrow"/>
                <w:sz w:val="20"/>
              </w:rPr>
              <w:t>IECT</w:t>
            </w:r>
            <w:r w:rsidRPr="005F5BEA">
              <w:rPr>
                <w:rFonts w:ascii="Arial Narrow" w:hAnsi="Arial Narrow"/>
                <w:sz w:val="20"/>
              </w:rPr>
              <w:t xml:space="preserve">s) was provided. </w:t>
            </w:r>
          </w:p>
          <w:p w14:paraId="732F4621" w14:textId="77777777" w:rsidR="009478A2" w:rsidRPr="005F5BEA" w:rsidRDefault="009478A2" w:rsidP="00F639A0">
            <w:pPr>
              <w:keepLines/>
              <w:spacing w:before="40" w:after="40"/>
              <w:rPr>
                <w:rFonts w:ascii="Arial Narrow" w:hAnsi="Arial Narrow"/>
                <w:sz w:val="20"/>
              </w:rPr>
            </w:pPr>
            <w:r w:rsidRPr="005F5BEA">
              <w:rPr>
                <w:rFonts w:ascii="Arial Narrow" w:hAnsi="Arial Narrow"/>
                <w:sz w:val="20"/>
              </w:rPr>
              <w:t>Information on the remaining models of care (</w:t>
            </w:r>
            <w:proofErr w:type="gramStart"/>
            <w:r w:rsidRPr="005F5BEA">
              <w:rPr>
                <w:rFonts w:ascii="Arial Narrow" w:hAnsi="Arial Narrow"/>
                <w:sz w:val="20"/>
              </w:rPr>
              <w:t>i.e.</w:t>
            </w:r>
            <w:proofErr w:type="gramEnd"/>
            <w:r w:rsidRPr="005F5BEA">
              <w:rPr>
                <w:rFonts w:ascii="Arial Narrow" w:hAnsi="Arial Narrow"/>
                <w:sz w:val="20"/>
              </w:rPr>
              <w:t xml:space="preserve"> services in the public system, or in private clinics with their own technicians) was lacking. </w:t>
            </w:r>
          </w:p>
        </w:tc>
        <w:tc>
          <w:tcPr>
            <w:tcW w:w="3006" w:type="dxa"/>
          </w:tcPr>
          <w:p w14:paraId="77A243DD" w14:textId="77777777" w:rsidR="009478A2" w:rsidRPr="005F5BEA" w:rsidRDefault="009478A2" w:rsidP="00F639A0">
            <w:pPr>
              <w:keepLines/>
              <w:spacing w:before="40" w:after="40"/>
              <w:rPr>
                <w:rFonts w:ascii="Arial Narrow" w:hAnsi="Arial Narrow"/>
                <w:sz w:val="20"/>
              </w:rPr>
            </w:pPr>
            <w:r w:rsidRPr="005F5BEA">
              <w:rPr>
                <w:rFonts w:ascii="Arial Narrow" w:hAnsi="Arial Narrow"/>
                <w:sz w:val="20"/>
              </w:rPr>
              <w:t xml:space="preserve">Unable to get a clear view of the overall provision of cardiac services in Australia, as only one model of care was presented in the submission, and it is unknown what proportion of overall services are being provided under this model. </w:t>
            </w:r>
          </w:p>
        </w:tc>
      </w:tr>
      <w:tr w:rsidR="009478A2" w:rsidRPr="005F5BEA" w14:paraId="528F5B4E" w14:textId="77777777" w:rsidTr="00885172">
        <w:trPr>
          <w:cantSplit/>
        </w:trPr>
        <w:tc>
          <w:tcPr>
            <w:tcW w:w="3005" w:type="dxa"/>
          </w:tcPr>
          <w:p w14:paraId="0AEFC5A0"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Is remote servicing likely to become more common and how will this impact the cost of providing technical services?</w:t>
            </w:r>
          </w:p>
        </w:tc>
        <w:tc>
          <w:tcPr>
            <w:tcW w:w="3005" w:type="dxa"/>
          </w:tcPr>
          <w:p w14:paraId="2B7D41AD"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 xml:space="preserve">Partly addressed in ADAR. </w:t>
            </w:r>
          </w:p>
        </w:tc>
        <w:tc>
          <w:tcPr>
            <w:tcW w:w="3006" w:type="dxa"/>
          </w:tcPr>
          <w:p w14:paraId="7F4D4650"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It was discussed that the proportion of remote monitoring services increased during the global pandemic, but that it was questionable if it will be maintained to the same extent as practice preference is for face-to-face services.</w:t>
            </w:r>
          </w:p>
        </w:tc>
      </w:tr>
      <w:tr w:rsidR="009478A2" w:rsidRPr="005F5BEA" w14:paraId="28D8AC06" w14:textId="77777777" w:rsidTr="00885172">
        <w:trPr>
          <w:cantSplit/>
        </w:trPr>
        <w:tc>
          <w:tcPr>
            <w:tcW w:w="3005" w:type="dxa"/>
          </w:tcPr>
          <w:p w14:paraId="60AE9D12" w14:textId="78456FCC" w:rsidR="009478A2" w:rsidRPr="005F5BEA" w:rsidRDefault="009478A2" w:rsidP="009478A2">
            <w:pPr>
              <w:spacing w:before="40" w:after="40"/>
              <w:rPr>
                <w:rFonts w:ascii="Arial Narrow" w:hAnsi="Arial Narrow"/>
                <w:sz w:val="20"/>
              </w:rPr>
            </w:pPr>
            <w:r w:rsidRPr="005F5BEA">
              <w:rPr>
                <w:rFonts w:ascii="Arial Narrow" w:hAnsi="Arial Narrow"/>
                <w:sz w:val="20"/>
              </w:rPr>
              <w:t xml:space="preserve">Identify and describe the services </w:t>
            </w:r>
            <w:r w:rsidR="00B62C82" w:rsidRPr="005F5BEA">
              <w:rPr>
                <w:rFonts w:ascii="Arial Narrow" w:hAnsi="Arial Narrow"/>
                <w:sz w:val="20"/>
              </w:rPr>
              <w:t>IECT</w:t>
            </w:r>
            <w:r w:rsidRPr="005F5BEA">
              <w:rPr>
                <w:rFonts w:ascii="Arial Narrow" w:hAnsi="Arial Narrow"/>
                <w:sz w:val="20"/>
              </w:rPr>
              <w:t xml:space="preserve">s provide in relation to CIEDs </w:t>
            </w:r>
            <w:proofErr w:type="gramStart"/>
            <w:r w:rsidRPr="005F5BEA">
              <w:rPr>
                <w:rFonts w:ascii="Arial Narrow" w:hAnsi="Arial Narrow"/>
                <w:sz w:val="20"/>
              </w:rPr>
              <w:t>i.e.</w:t>
            </w:r>
            <w:proofErr w:type="gramEnd"/>
            <w:r w:rsidRPr="005F5BEA">
              <w:rPr>
                <w:rFonts w:ascii="Arial Narrow" w:hAnsi="Arial Narrow"/>
                <w:sz w:val="20"/>
              </w:rPr>
              <w:t xml:space="preserve"> what is the service, what is the role of the </w:t>
            </w:r>
            <w:r w:rsidR="00B62C82" w:rsidRPr="005F5BEA">
              <w:rPr>
                <w:rFonts w:ascii="Arial Narrow" w:hAnsi="Arial Narrow"/>
                <w:sz w:val="20"/>
              </w:rPr>
              <w:t>IECT</w:t>
            </w:r>
            <w:r w:rsidRPr="005F5BEA">
              <w:rPr>
                <w:rFonts w:ascii="Arial Narrow" w:hAnsi="Arial Narrow"/>
                <w:sz w:val="20"/>
              </w:rPr>
              <w:t xml:space="preserve"> in providing the service and in what setting is the service provided. This includes for remote monitoring. Please identify the related MBS item number available for each service.</w:t>
            </w:r>
          </w:p>
        </w:tc>
        <w:tc>
          <w:tcPr>
            <w:tcW w:w="3005" w:type="dxa"/>
          </w:tcPr>
          <w:p w14:paraId="25CC9E4C"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Yes, this was provided in the ADAR.</w:t>
            </w:r>
          </w:p>
        </w:tc>
        <w:tc>
          <w:tcPr>
            <w:tcW w:w="3006" w:type="dxa"/>
          </w:tcPr>
          <w:p w14:paraId="35E18C85" w14:textId="77777777" w:rsidR="009478A2" w:rsidRPr="005F5BEA" w:rsidRDefault="009478A2" w:rsidP="009478A2">
            <w:pPr>
              <w:spacing w:before="40" w:after="40"/>
              <w:rPr>
                <w:rFonts w:ascii="Arial Narrow" w:hAnsi="Arial Narrow"/>
                <w:sz w:val="20"/>
              </w:rPr>
            </w:pPr>
          </w:p>
        </w:tc>
      </w:tr>
      <w:tr w:rsidR="009478A2" w:rsidRPr="005F5BEA" w14:paraId="3436C11A" w14:textId="77777777" w:rsidTr="00885172">
        <w:trPr>
          <w:cantSplit/>
        </w:trPr>
        <w:tc>
          <w:tcPr>
            <w:tcW w:w="3005" w:type="dxa"/>
          </w:tcPr>
          <w:p w14:paraId="1B4C36A0"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Describe the databases each company holds to manage this aspect of their work</w:t>
            </w:r>
          </w:p>
        </w:tc>
        <w:tc>
          <w:tcPr>
            <w:tcW w:w="3005" w:type="dxa"/>
          </w:tcPr>
          <w:p w14:paraId="55D866CC"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 xml:space="preserve">Not addressed in ADAR. </w:t>
            </w:r>
          </w:p>
        </w:tc>
        <w:tc>
          <w:tcPr>
            <w:tcW w:w="3006" w:type="dxa"/>
          </w:tcPr>
          <w:p w14:paraId="69EC95AB" w14:textId="77777777" w:rsidR="009478A2" w:rsidRPr="005F5BEA" w:rsidRDefault="009478A2" w:rsidP="009478A2">
            <w:pPr>
              <w:spacing w:before="40" w:after="40"/>
              <w:rPr>
                <w:rFonts w:ascii="Arial Narrow" w:hAnsi="Arial Narrow"/>
                <w:sz w:val="20"/>
              </w:rPr>
            </w:pPr>
          </w:p>
        </w:tc>
      </w:tr>
      <w:tr w:rsidR="009478A2" w:rsidRPr="005F5BEA" w14:paraId="50CE025A" w14:textId="77777777" w:rsidTr="00885172">
        <w:trPr>
          <w:cantSplit/>
        </w:trPr>
        <w:tc>
          <w:tcPr>
            <w:tcW w:w="3005" w:type="dxa"/>
          </w:tcPr>
          <w:p w14:paraId="339ABF37"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How many active clients does each company service (an active client is one who requires services and has received at least one service in the past 12 months)?</w:t>
            </w:r>
          </w:p>
        </w:tc>
        <w:tc>
          <w:tcPr>
            <w:tcW w:w="3005" w:type="dxa"/>
          </w:tcPr>
          <w:p w14:paraId="52A6605E"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Not provided in ADAR. See Table 2-3 in ADAR.</w:t>
            </w:r>
          </w:p>
        </w:tc>
        <w:tc>
          <w:tcPr>
            <w:tcW w:w="3006" w:type="dxa"/>
          </w:tcPr>
          <w:p w14:paraId="53CBE99D"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 xml:space="preserve">The data on how many patients are being serviced is needed to estimate the average annual cost of cardiac services per patient, or the cost of services over the life of a device. </w:t>
            </w:r>
          </w:p>
        </w:tc>
      </w:tr>
      <w:tr w:rsidR="009478A2" w:rsidRPr="005F5BEA" w14:paraId="715CB03A" w14:textId="77777777" w:rsidTr="00885172">
        <w:trPr>
          <w:cantSplit/>
        </w:trPr>
        <w:tc>
          <w:tcPr>
            <w:tcW w:w="3005" w:type="dxa"/>
          </w:tcPr>
          <w:p w14:paraId="0A3D1A21"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What evidence exists around the frequency and types of CIED checks - referencing clinical data and Australian Guidelines? Does this match the pattern of service provision provided?</w:t>
            </w:r>
          </w:p>
        </w:tc>
        <w:tc>
          <w:tcPr>
            <w:tcW w:w="3005" w:type="dxa"/>
          </w:tcPr>
          <w:p w14:paraId="652018E3"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Not provided in ADAR. See Table 2-3 in ADAR.</w:t>
            </w:r>
          </w:p>
        </w:tc>
        <w:tc>
          <w:tcPr>
            <w:tcW w:w="3006" w:type="dxa"/>
          </w:tcPr>
          <w:p w14:paraId="1B679F73"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Data on frequency and type of checks per patient is needed to determine whether the Australian Guidelines are being followed, and to see the pattern of service provision in Australia.</w:t>
            </w:r>
          </w:p>
        </w:tc>
      </w:tr>
      <w:tr w:rsidR="009478A2" w:rsidRPr="005F5BEA" w14:paraId="34A9AFB1" w14:textId="77777777" w:rsidTr="00885172">
        <w:trPr>
          <w:cantSplit/>
        </w:trPr>
        <w:tc>
          <w:tcPr>
            <w:tcW w:w="3005" w:type="dxa"/>
          </w:tcPr>
          <w:p w14:paraId="0BE19CC8"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Describe and quantify the mix of scheduled versus unscheduled services and face to face versus remote services</w:t>
            </w:r>
          </w:p>
        </w:tc>
        <w:tc>
          <w:tcPr>
            <w:tcW w:w="3005" w:type="dxa"/>
          </w:tcPr>
          <w:p w14:paraId="694853EF" w14:textId="1ADED7AD" w:rsidR="009478A2" w:rsidRPr="005F5BEA" w:rsidRDefault="009478A2" w:rsidP="009478A2">
            <w:pPr>
              <w:spacing w:before="40" w:after="40"/>
              <w:rPr>
                <w:rFonts w:ascii="Arial Narrow" w:hAnsi="Arial Narrow"/>
                <w:sz w:val="20"/>
              </w:rPr>
            </w:pPr>
            <w:r w:rsidRPr="005F5BEA">
              <w:rPr>
                <w:rFonts w:ascii="Arial Narrow" w:hAnsi="Arial Narrow"/>
                <w:sz w:val="20"/>
              </w:rPr>
              <w:t xml:space="preserve">Partly. This was provided for one model of care (services provided by </w:t>
            </w:r>
            <w:r w:rsidR="00B62C82" w:rsidRPr="005F5BEA">
              <w:rPr>
                <w:rFonts w:ascii="Arial Narrow" w:hAnsi="Arial Narrow"/>
                <w:sz w:val="20"/>
              </w:rPr>
              <w:t>IECT</w:t>
            </w:r>
            <w:r w:rsidRPr="005F5BEA">
              <w:rPr>
                <w:rFonts w:ascii="Arial Narrow" w:hAnsi="Arial Narrow"/>
                <w:sz w:val="20"/>
              </w:rPr>
              <w:t xml:space="preserve">s). The mix of services within the public system and with privately employed cardiac technicians remains unclear. </w:t>
            </w:r>
          </w:p>
        </w:tc>
        <w:tc>
          <w:tcPr>
            <w:tcW w:w="3006" w:type="dxa"/>
          </w:tcPr>
          <w:p w14:paraId="16C8E945"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 xml:space="preserve">The number and mix of different services in the different models of care would give insight in the total number of services provided in </w:t>
            </w:r>
            <w:proofErr w:type="gramStart"/>
            <w:r w:rsidRPr="005F5BEA">
              <w:rPr>
                <w:rFonts w:ascii="Arial Narrow" w:hAnsi="Arial Narrow"/>
                <w:sz w:val="20"/>
              </w:rPr>
              <w:t>Australia, and</w:t>
            </w:r>
            <w:proofErr w:type="gramEnd"/>
            <w:r w:rsidRPr="005F5BEA">
              <w:rPr>
                <w:rFonts w:ascii="Arial Narrow" w:hAnsi="Arial Narrow"/>
                <w:sz w:val="20"/>
              </w:rPr>
              <w:t xml:space="preserve"> would provide information on how service provision differs within the different models of care. </w:t>
            </w:r>
          </w:p>
        </w:tc>
      </w:tr>
      <w:tr w:rsidR="009478A2" w:rsidRPr="005F5BEA" w14:paraId="30A21ACA" w14:textId="77777777" w:rsidTr="00885172">
        <w:trPr>
          <w:cantSplit/>
        </w:trPr>
        <w:tc>
          <w:tcPr>
            <w:tcW w:w="3005" w:type="dxa"/>
          </w:tcPr>
          <w:p w14:paraId="6CC5F8E8"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Provide actual data on volume of services, and numbers of patients treated per session or site visit.</w:t>
            </w:r>
          </w:p>
        </w:tc>
        <w:tc>
          <w:tcPr>
            <w:tcW w:w="3005" w:type="dxa"/>
          </w:tcPr>
          <w:p w14:paraId="01EAD3CC" w14:textId="6CEC7D1E" w:rsidR="009478A2" w:rsidRPr="005F5BEA" w:rsidRDefault="009478A2" w:rsidP="009478A2">
            <w:pPr>
              <w:spacing w:before="40" w:after="40"/>
              <w:rPr>
                <w:rFonts w:ascii="Arial Narrow" w:hAnsi="Arial Narrow"/>
                <w:sz w:val="20"/>
              </w:rPr>
            </w:pPr>
            <w:r w:rsidRPr="005F5BEA">
              <w:rPr>
                <w:rFonts w:ascii="Arial Narrow" w:hAnsi="Arial Narrow"/>
                <w:sz w:val="20"/>
              </w:rPr>
              <w:t xml:space="preserve">Partly. The number of services provided by </w:t>
            </w:r>
            <w:r w:rsidR="00B62C82" w:rsidRPr="005F5BEA">
              <w:rPr>
                <w:rFonts w:ascii="Arial Narrow" w:hAnsi="Arial Narrow"/>
                <w:sz w:val="20"/>
              </w:rPr>
              <w:t>IECT</w:t>
            </w:r>
            <w:r w:rsidRPr="005F5BEA">
              <w:rPr>
                <w:rFonts w:ascii="Arial Narrow" w:hAnsi="Arial Narrow"/>
                <w:sz w:val="20"/>
              </w:rPr>
              <w:t xml:space="preserve">S within a 4-week period was provided. The number of patients per session or site visit was not provided, although the number of services per site visit was. </w:t>
            </w:r>
          </w:p>
        </w:tc>
        <w:tc>
          <w:tcPr>
            <w:tcW w:w="3006" w:type="dxa"/>
          </w:tcPr>
          <w:p w14:paraId="28CBE1CC" w14:textId="1EEE596D" w:rsidR="009478A2" w:rsidRPr="005F5BEA" w:rsidRDefault="009478A2" w:rsidP="009478A2">
            <w:pPr>
              <w:spacing w:before="40" w:after="40"/>
              <w:rPr>
                <w:rFonts w:ascii="Arial Narrow" w:hAnsi="Arial Narrow"/>
                <w:sz w:val="20"/>
              </w:rPr>
            </w:pPr>
            <w:r w:rsidRPr="005F5BEA">
              <w:rPr>
                <w:rFonts w:ascii="Arial Narrow" w:hAnsi="Arial Narrow"/>
                <w:sz w:val="20"/>
              </w:rPr>
              <w:t xml:space="preserve">Limitations: these data provided were a modified analysis set and were not complete. These data are also limited to services provided by </w:t>
            </w:r>
            <w:r w:rsidR="00B62C82" w:rsidRPr="005F5BEA">
              <w:rPr>
                <w:rFonts w:ascii="Arial Narrow" w:hAnsi="Arial Narrow"/>
                <w:sz w:val="20"/>
              </w:rPr>
              <w:t>IECT</w:t>
            </w:r>
            <w:r w:rsidRPr="005F5BEA">
              <w:rPr>
                <w:rFonts w:ascii="Arial Narrow" w:hAnsi="Arial Narrow"/>
                <w:sz w:val="20"/>
              </w:rPr>
              <w:t xml:space="preserve">s, and it is unclear whether these data are representative of what occurs yearly (as it is based on a 4-week period). </w:t>
            </w:r>
          </w:p>
        </w:tc>
      </w:tr>
      <w:tr w:rsidR="009478A2" w:rsidRPr="005F5BEA" w14:paraId="02D6AF99" w14:textId="77777777" w:rsidTr="00885172">
        <w:trPr>
          <w:cantSplit/>
        </w:trPr>
        <w:tc>
          <w:tcPr>
            <w:tcW w:w="3005" w:type="dxa"/>
          </w:tcPr>
          <w:p w14:paraId="55EA9365"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lastRenderedPageBreak/>
              <w:t>Are there efficiency gains that industry could achieve under their current model?</w:t>
            </w:r>
          </w:p>
        </w:tc>
        <w:tc>
          <w:tcPr>
            <w:tcW w:w="3005" w:type="dxa"/>
          </w:tcPr>
          <w:p w14:paraId="232565A1"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Partly, this was briefly discussed in section 3.7 of the ADAR.</w:t>
            </w:r>
          </w:p>
        </w:tc>
        <w:tc>
          <w:tcPr>
            <w:tcW w:w="3006" w:type="dxa"/>
          </w:tcPr>
          <w:p w14:paraId="6CB8A674"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 xml:space="preserve">It was discussed that the proportion of remote monitoring services increased during the global pandemic, however that it was questionable if it will be maintained to the same extent as practice preference is for face-to-face services. It should be clarified why this is the case as an increase in remote monitoring could potentially lead to large efficiency gains. </w:t>
            </w:r>
          </w:p>
        </w:tc>
      </w:tr>
      <w:tr w:rsidR="009478A2" w:rsidRPr="005F5BEA" w14:paraId="0E03D3DE" w14:textId="77777777" w:rsidTr="00885172">
        <w:trPr>
          <w:cantSplit/>
        </w:trPr>
        <w:tc>
          <w:tcPr>
            <w:tcW w:w="3005" w:type="dxa"/>
          </w:tcPr>
          <w:p w14:paraId="011B3303"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What proportion of services are provided to patients whose device was implanted in a public hospital, but who receive follow up through private practice?</w:t>
            </w:r>
          </w:p>
        </w:tc>
        <w:tc>
          <w:tcPr>
            <w:tcW w:w="3005" w:type="dxa"/>
          </w:tcPr>
          <w:p w14:paraId="0B80B6F0" w14:textId="2496AE5E" w:rsidR="009478A2" w:rsidRPr="005F5BEA" w:rsidRDefault="009478A2" w:rsidP="009478A2">
            <w:pPr>
              <w:spacing w:before="40" w:after="40"/>
              <w:rPr>
                <w:rFonts w:ascii="Arial Narrow" w:hAnsi="Arial Narrow"/>
                <w:sz w:val="20"/>
              </w:rPr>
            </w:pPr>
            <w:r w:rsidRPr="005F5BEA">
              <w:rPr>
                <w:rFonts w:ascii="Arial Narrow" w:hAnsi="Arial Narrow"/>
                <w:sz w:val="20"/>
              </w:rPr>
              <w:t xml:space="preserve">Partly. It was not provided how many patients were serviced, and how many patients had a device implanted in a public or private hospital. It was presented how many services were provided by </w:t>
            </w:r>
            <w:r w:rsidR="00B62C82" w:rsidRPr="005F5BEA">
              <w:rPr>
                <w:rFonts w:ascii="Arial Narrow" w:hAnsi="Arial Narrow"/>
                <w:sz w:val="20"/>
              </w:rPr>
              <w:t>IECT</w:t>
            </w:r>
            <w:r w:rsidRPr="005F5BEA">
              <w:rPr>
                <w:rFonts w:ascii="Arial Narrow" w:hAnsi="Arial Narrow"/>
                <w:sz w:val="20"/>
              </w:rPr>
              <w:t xml:space="preserve">s to patients who had a device implanted in a public or private hospital. </w:t>
            </w:r>
          </w:p>
        </w:tc>
        <w:tc>
          <w:tcPr>
            <w:tcW w:w="3006" w:type="dxa"/>
          </w:tcPr>
          <w:p w14:paraId="63F6CC2D" w14:textId="6ED81EFA" w:rsidR="009478A2" w:rsidRPr="005F5BEA" w:rsidRDefault="009478A2" w:rsidP="009478A2">
            <w:pPr>
              <w:spacing w:before="40" w:after="40"/>
              <w:rPr>
                <w:rFonts w:ascii="Arial Narrow" w:hAnsi="Arial Narrow"/>
                <w:sz w:val="20"/>
              </w:rPr>
            </w:pPr>
            <w:r w:rsidRPr="005F5BEA">
              <w:rPr>
                <w:rFonts w:ascii="Arial Narrow" w:hAnsi="Arial Narrow"/>
                <w:sz w:val="20"/>
              </w:rPr>
              <w:t xml:space="preserve">The number of patients being serviced in public and private practice would be helpful to quantify the services provided in the different models of care. </w:t>
            </w:r>
            <w:r w:rsidR="00664654" w:rsidRPr="005F5BEA">
              <w:rPr>
                <w:rFonts w:ascii="Arial Narrow" w:hAnsi="Arial Narrow"/>
                <w:sz w:val="20"/>
              </w:rPr>
              <w:t>This was subsequently provided in the pre-ESC response.</w:t>
            </w:r>
          </w:p>
        </w:tc>
      </w:tr>
      <w:tr w:rsidR="009478A2" w:rsidRPr="005F5BEA" w14:paraId="0D5C8BCF" w14:textId="77777777" w:rsidTr="00885172">
        <w:trPr>
          <w:cantSplit/>
        </w:trPr>
        <w:tc>
          <w:tcPr>
            <w:tcW w:w="9016" w:type="dxa"/>
            <w:gridSpan w:val="3"/>
          </w:tcPr>
          <w:p w14:paraId="43E39875" w14:textId="77777777" w:rsidR="009478A2" w:rsidRPr="005F5BEA" w:rsidRDefault="009478A2" w:rsidP="009478A2">
            <w:pPr>
              <w:spacing w:before="40" w:after="40"/>
              <w:rPr>
                <w:rFonts w:ascii="Arial Narrow" w:hAnsi="Arial Narrow"/>
                <w:b/>
                <w:i/>
                <w:sz w:val="20"/>
              </w:rPr>
            </w:pPr>
            <w:r w:rsidRPr="005F5BEA">
              <w:rPr>
                <w:rFonts w:ascii="Arial Narrow" w:hAnsi="Arial Narrow"/>
                <w:b/>
                <w:i/>
                <w:sz w:val="20"/>
              </w:rPr>
              <w:t>Cost data requests</w:t>
            </w:r>
          </w:p>
        </w:tc>
      </w:tr>
      <w:tr w:rsidR="009478A2" w:rsidRPr="005F5BEA" w14:paraId="1DD0D0CF" w14:textId="77777777" w:rsidTr="00885172">
        <w:trPr>
          <w:cantSplit/>
        </w:trPr>
        <w:tc>
          <w:tcPr>
            <w:tcW w:w="3005" w:type="dxa"/>
          </w:tcPr>
          <w:p w14:paraId="326C4CBB"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For each of the models of care and services identified above, provide actual cost and activity for each company providing these services *</w:t>
            </w:r>
          </w:p>
        </w:tc>
        <w:tc>
          <w:tcPr>
            <w:tcW w:w="3005" w:type="dxa"/>
          </w:tcPr>
          <w:p w14:paraId="7FC8752D"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 xml:space="preserve">The total cost of one of the models of care was provided. No costs/models were provided for other models of care. </w:t>
            </w:r>
          </w:p>
          <w:p w14:paraId="484437FB"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 xml:space="preserve">No costs per company were provided. However, some company specific information was provided to the </w:t>
            </w:r>
            <w:proofErr w:type="spellStart"/>
            <w:r w:rsidRPr="005F5BEA">
              <w:rPr>
                <w:rFonts w:ascii="Arial Narrow" w:hAnsi="Arial Narrow"/>
                <w:sz w:val="20"/>
              </w:rPr>
              <w:t>DoHAC</w:t>
            </w:r>
            <w:proofErr w:type="spellEnd"/>
            <w:r w:rsidRPr="005F5BEA">
              <w:rPr>
                <w:rFonts w:ascii="Arial Narrow" w:hAnsi="Arial Narrow"/>
                <w:sz w:val="20"/>
              </w:rPr>
              <w:t xml:space="preserve"> by the MTAA regarding number of services provided (after this was requested in an email). </w:t>
            </w:r>
          </w:p>
        </w:tc>
        <w:tc>
          <w:tcPr>
            <w:tcW w:w="3006" w:type="dxa"/>
          </w:tcPr>
          <w:p w14:paraId="7C24831A"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 xml:space="preserve">Costs for each model of care are needed to determine where efficiencies can be increased. </w:t>
            </w:r>
          </w:p>
          <w:p w14:paraId="1FC6845E"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Likewise, variations in costs between companies may have demonstrated where efficiencies may be possible.</w:t>
            </w:r>
          </w:p>
        </w:tc>
      </w:tr>
      <w:tr w:rsidR="009478A2" w:rsidRPr="005F5BEA" w14:paraId="18E4BCA9" w14:textId="77777777" w:rsidTr="00885172">
        <w:trPr>
          <w:cantSplit/>
        </w:trPr>
        <w:tc>
          <w:tcPr>
            <w:tcW w:w="3005" w:type="dxa"/>
          </w:tcPr>
          <w:p w14:paraId="6EE753B0"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These costs should be at the patient level, or at least split by any variations in service provision that could reasonably be expected to affect the cost, including different types of CIED checks, whether the check is scheduled or unscheduled, whether the check was remote, and whether the device was implanted in a public or private practice.</w:t>
            </w:r>
          </w:p>
        </w:tc>
        <w:tc>
          <w:tcPr>
            <w:tcW w:w="3005" w:type="dxa"/>
          </w:tcPr>
          <w:p w14:paraId="3B827382" w14:textId="43AC046B" w:rsidR="009478A2" w:rsidRPr="005F5BEA" w:rsidRDefault="009478A2" w:rsidP="009478A2">
            <w:pPr>
              <w:spacing w:before="40" w:after="40"/>
              <w:rPr>
                <w:rFonts w:ascii="Arial Narrow" w:hAnsi="Arial Narrow"/>
                <w:sz w:val="20"/>
              </w:rPr>
            </w:pPr>
            <w:r w:rsidRPr="005F5BEA">
              <w:rPr>
                <w:rFonts w:ascii="Arial Narrow" w:hAnsi="Arial Narrow"/>
                <w:sz w:val="20"/>
              </w:rPr>
              <w:t xml:space="preserve">Partly, costs at the patient level were not provided in the ADAR. Costs were estimated for the private sector and the public sector </w:t>
            </w:r>
            <w:proofErr w:type="gramStart"/>
            <w:r w:rsidRPr="005F5BEA">
              <w:rPr>
                <w:rFonts w:ascii="Arial Narrow" w:hAnsi="Arial Narrow"/>
                <w:sz w:val="20"/>
              </w:rPr>
              <w:t>separately,</w:t>
            </w:r>
            <w:proofErr w:type="gramEnd"/>
            <w:r w:rsidRPr="005F5BEA">
              <w:rPr>
                <w:rFonts w:ascii="Arial Narrow" w:hAnsi="Arial Narrow"/>
                <w:sz w:val="20"/>
              </w:rPr>
              <w:t xml:space="preserve"> however this was only done for </w:t>
            </w:r>
            <w:r w:rsidR="00B62C82" w:rsidRPr="005F5BEA">
              <w:rPr>
                <w:rFonts w:ascii="Arial Narrow" w:hAnsi="Arial Narrow"/>
                <w:sz w:val="20"/>
              </w:rPr>
              <w:t>IECT</w:t>
            </w:r>
            <w:r w:rsidRPr="005F5BEA">
              <w:rPr>
                <w:rFonts w:ascii="Arial Narrow" w:hAnsi="Arial Narrow"/>
                <w:sz w:val="20"/>
              </w:rPr>
              <w:t xml:space="preserve"> related costs. </w:t>
            </w:r>
          </w:p>
        </w:tc>
        <w:tc>
          <w:tcPr>
            <w:tcW w:w="3006" w:type="dxa"/>
          </w:tcPr>
          <w:p w14:paraId="169623B6"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 xml:space="preserve">Costs per patient are useful to determine how service provision can be optimised and assist in proposing a more efficient model of care. </w:t>
            </w:r>
          </w:p>
        </w:tc>
      </w:tr>
      <w:tr w:rsidR="009478A2" w:rsidRPr="005F5BEA" w14:paraId="026325AA" w14:textId="77777777" w:rsidTr="00885172">
        <w:trPr>
          <w:cantSplit/>
        </w:trPr>
        <w:tc>
          <w:tcPr>
            <w:tcW w:w="3005" w:type="dxa"/>
          </w:tcPr>
          <w:p w14:paraId="1A265412"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Costing data provided should be split by direct and indirect costs associated with various aspects of care (</w:t>
            </w:r>
            <w:proofErr w:type="gramStart"/>
            <w:r w:rsidRPr="005F5BEA">
              <w:rPr>
                <w:rFonts w:ascii="Arial Narrow" w:hAnsi="Arial Narrow"/>
                <w:sz w:val="20"/>
              </w:rPr>
              <w:t>e.g.</w:t>
            </w:r>
            <w:proofErr w:type="gramEnd"/>
            <w:r w:rsidRPr="005F5BEA">
              <w:rPr>
                <w:rFonts w:ascii="Arial Narrow" w:hAnsi="Arial Narrow"/>
                <w:sz w:val="20"/>
              </w:rPr>
              <w:t xml:space="preserve"> staffing, travel, consumables), including allocation of costs for different staffing specialities involved, and evidence as to why these costs can be attributed to the cost of providing the CIED follow-up services.</w:t>
            </w:r>
          </w:p>
        </w:tc>
        <w:tc>
          <w:tcPr>
            <w:tcW w:w="3005" w:type="dxa"/>
          </w:tcPr>
          <w:p w14:paraId="4B74049D" w14:textId="2EDF805A" w:rsidR="009478A2" w:rsidRPr="005F5BEA" w:rsidRDefault="009478A2" w:rsidP="009478A2">
            <w:pPr>
              <w:spacing w:before="40" w:after="40"/>
              <w:rPr>
                <w:rFonts w:ascii="Arial Narrow" w:hAnsi="Arial Narrow"/>
                <w:sz w:val="20"/>
              </w:rPr>
            </w:pPr>
            <w:r w:rsidRPr="005F5BEA">
              <w:rPr>
                <w:rFonts w:ascii="Arial Narrow" w:hAnsi="Arial Narrow"/>
                <w:sz w:val="20"/>
              </w:rPr>
              <w:t xml:space="preserve">Partly. Split cost data were provided for the </w:t>
            </w:r>
            <w:r w:rsidR="00B62C82" w:rsidRPr="005F5BEA">
              <w:rPr>
                <w:rFonts w:ascii="Arial Narrow" w:hAnsi="Arial Narrow"/>
                <w:sz w:val="20"/>
              </w:rPr>
              <w:t>IECT</w:t>
            </w:r>
            <w:r w:rsidRPr="005F5BEA">
              <w:rPr>
                <w:rFonts w:ascii="Arial Narrow" w:hAnsi="Arial Narrow"/>
                <w:sz w:val="20"/>
              </w:rPr>
              <w:t xml:space="preserve"> model of care (Travel costs, labour costs, training costs, overhead costs).</w:t>
            </w:r>
          </w:p>
          <w:p w14:paraId="3CE1DF37"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t xml:space="preserve">Allocation of costs for different staffing specialties was not provided. </w:t>
            </w:r>
          </w:p>
        </w:tc>
        <w:tc>
          <w:tcPr>
            <w:tcW w:w="3006" w:type="dxa"/>
          </w:tcPr>
          <w:p w14:paraId="403D1533" w14:textId="77777777" w:rsidR="009478A2" w:rsidRPr="005F5BEA" w:rsidRDefault="009478A2" w:rsidP="009478A2">
            <w:pPr>
              <w:spacing w:before="40" w:after="40"/>
              <w:rPr>
                <w:rFonts w:ascii="Arial Narrow" w:hAnsi="Arial Narrow"/>
                <w:sz w:val="20"/>
              </w:rPr>
            </w:pPr>
          </w:p>
        </w:tc>
      </w:tr>
      <w:tr w:rsidR="009478A2" w:rsidRPr="005F5BEA" w14:paraId="0FD8DFBC" w14:textId="77777777" w:rsidTr="00885172">
        <w:trPr>
          <w:cantSplit/>
        </w:trPr>
        <w:tc>
          <w:tcPr>
            <w:tcW w:w="3005" w:type="dxa"/>
          </w:tcPr>
          <w:p w14:paraId="30A89FF5" w14:textId="77777777" w:rsidR="009478A2" w:rsidRPr="005F5BEA" w:rsidRDefault="009478A2" w:rsidP="009478A2">
            <w:pPr>
              <w:spacing w:before="40" w:after="40"/>
              <w:rPr>
                <w:rFonts w:ascii="Arial Narrow" w:hAnsi="Arial Narrow"/>
                <w:sz w:val="20"/>
              </w:rPr>
            </w:pPr>
            <w:r w:rsidRPr="005F5BEA">
              <w:rPr>
                <w:rFonts w:ascii="Arial Narrow" w:hAnsi="Arial Narrow"/>
                <w:sz w:val="20"/>
              </w:rPr>
              <w:lastRenderedPageBreak/>
              <w:t>Activity data should identify the location of the service provision and location of the patient</w:t>
            </w:r>
          </w:p>
        </w:tc>
        <w:tc>
          <w:tcPr>
            <w:tcW w:w="3005" w:type="dxa"/>
          </w:tcPr>
          <w:p w14:paraId="500D527F" w14:textId="1F72BBDF" w:rsidR="009478A2" w:rsidRPr="005F5BEA" w:rsidRDefault="009478A2" w:rsidP="009478A2">
            <w:pPr>
              <w:spacing w:before="40" w:after="40"/>
              <w:rPr>
                <w:rFonts w:ascii="Arial Narrow" w:hAnsi="Arial Narrow"/>
                <w:sz w:val="20"/>
              </w:rPr>
            </w:pPr>
            <w:r w:rsidRPr="005F5BEA">
              <w:rPr>
                <w:rFonts w:ascii="Arial Narrow" w:hAnsi="Arial Narrow"/>
                <w:sz w:val="20"/>
              </w:rPr>
              <w:t xml:space="preserve">Yes. It was reported in the ADAR whether the services provided by </w:t>
            </w:r>
            <w:r w:rsidR="00B62C82" w:rsidRPr="005F5BEA">
              <w:rPr>
                <w:rFonts w:ascii="Arial Narrow" w:hAnsi="Arial Narrow"/>
                <w:sz w:val="20"/>
              </w:rPr>
              <w:t>IECT</w:t>
            </w:r>
            <w:r w:rsidRPr="005F5BEA">
              <w:rPr>
                <w:rFonts w:ascii="Arial Narrow" w:hAnsi="Arial Narrow"/>
                <w:sz w:val="20"/>
              </w:rPr>
              <w:t xml:space="preserve">s were provided in a private or public hospital, private facilities other than a hospital, or the patient’s home. Furthermore, it was shown whether the service was provided in a metro, regional, </w:t>
            </w:r>
            <w:proofErr w:type="gramStart"/>
            <w:r w:rsidRPr="005F5BEA">
              <w:rPr>
                <w:rFonts w:ascii="Arial Narrow" w:hAnsi="Arial Narrow"/>
                <w:sz w:val="20"/>
              </w:rPr>
              <w:t>remote</w:t>
            </w:r>
            <w:proofErr w:type="gramEnd"/>
            <w:r w:rsidRPr="005F5BEA">
              <w:rPr>
                <w:rFonts w:ascii="Arial Narrow" w:hAnsi="Arial Narrow"/>
                <w:sz w:val="20"/>
              </w:rPr>
              <w:t xml:space="preserve"> or unknown locality.  </w:t>
            </w:r>
          </w:p>
        </w:tc>
        <w:tc>
          <w:tcPr>
            <w:tcW w:w="3006" w:type="dxa"/>
          </w:tcPr>
          <w:p w14:paraId="2A22B079" w14:textId="29883ADC" w:rsidR="009478A2" w:rsidRPr="005F5BEA" w:rsidRDefault="009478A2" w:rsidP="009478A2">
            <w:pPr>
              <w:spacing w:before="40" w:after="40"/>
              <w:rPr>
                <w:rFonts w:ascii="Arial Narrow" w:hAnsi="Arial Narrow"/>
                <w:sz w:val="20"/>
              </w:rPr>
            </w:pPr>
            <w:r w:rsidRPr="005F5BEA">
              <w:rPr>
                <w:rFonts w:ascii="Arial Narrow" w:hAnsi="Arial Narrow"/>
                <w:sz w:val="20"/>
              </w:rPr>
              <w:t>These data were not complete as almost a quarter of the total number of services were not included</w:t>
            </w:r>
            <w:r w:rsidR="00413C68" w:rsidRPr="005F5BEA">
              <w:rPr>
                <w:rFonts w:ascii="Arial Narrow" w:hAnsi="Arial Narrow"/>
                <w:sz w:val="20"/>
              </w:rPr>
              <w:t xml:space="preserve"> in the ADAR.</w:t>
            </w:r>
          </w:p>
        </w:tc>
      </w:tr>
    </w:tbl>
    <w:p w14:paraId="0E0BF79B" w14:textId="77777777" w:rsidR="009478A2" w:rsidRPr="005F5BEA" w:rsidRDefault="009478A2" w:rsidP="009478A2">
      <w:pPr>
        <w:spacing w:before="40" w:after="40" w:line="240" w:lineRule="auto"/>
        <w:rPr>
          <w:rFonts w:ascii="Arial Narrow" w:hAnsi="Arial Narrow"/>
          <w:sz w:val="20"/>
        </w:rPr>
      </w:pPr>
      <w:r w:rsidRPr="005F5BEA">
        <w:rPr>
          <w:rFonts w:ascii="Arial Narrow" w:hAnsi="Arial Narrow"/>
          <w:sz w:val="20"/>
        </w:rPr>
        <w:t>*It is acknowledged that the MTAA Cardiac Forum is comprised of several companies. If there are confidentiality concerns associated with providing the actual cost and activity data for CIED follow-up services, it is acceptable for each company to submit this data separately and this should not be considered an impediment to sharing the required information for the purpose of this application.</w:t>
      </w:r>
    </w:p>
    <w:p w14:paraId="34C7FCAE" w14:textId="4080A7EB" w:rsidR="004D5D42" w:rsidRPr="005F5BEA" w:rsidRDefault="004D5D42" w:rsidP="00D46329">
      <w:pPr>
        <w:spacing w:before="240"/>
      </w:pPr>
      <w:r w:rsidRPr="005F5BEA">
        <w:t>Additionally, the commentary considered if an alternative care model for CIED technical support services could improve the efficiency and effectiveness of providing these services to patients treated in the private health system (</w:t>
      </w:r>
      <w:proofErr w:type="gramStart"/>
      <w:r w:rsidRPr="005F5BEA">
        <w:t>e.g.</w:t>
      </w:r>
      <w:proofErr w:type="gramEnd"/>
      <w:r w:rsidRPr="005F5BEA">
        <w:t xml:space="preserve"> private hospitals and clinics only) in Australia. This could reduce the cost of providing these services for privately insured patients while maintaining the effectiveness and safety of CIED follow-up.</w:t>
      </w:r>
    </w:p>
    <w:p w14:paraId="16E63872" w14:textId="10495F0D" w:rsidR="003F0285" w:rsidRPr="005F5BEA" w:rsidRDefault="00B868C7" w:rsidP="00C83A47">
      <w:r w:rsidRPr="005F5BEA">
        <w:t xml:space="preserve">MSAC has not previously considered funding of cardiac technical support services provided by </w:t>
      </w:r>
      <w:r w:rsidR="00B62C82" w:rsidRPr="005F5BEA">
        <w:t>IECT</w:t>
      </w:r>
      <w:r w:rsidRPr="005F5BEA">
        <w:t>s.</w:t>
      </w:r>
      <w:r w:rsidR="00AD7A07" w:rsidRPr="005F5BEA">
        <w:t xml:space="preserve"> </w:t>
      </w:r>
    </w:p>
    <w:p w14:paraId="4601E52F" w14:textId="03CF6B71" w:rsidR="0029725F" w:rsidRPr="005F5BEA" w:rsidRDefault="00B868C7" w:rsidP="00B868C7">
      <w:r w:rsidRPr="005F5BEA">
        <w:t xml:space="preserve">MBS funding for physician involvement in </w:t>
      </w:r>
      <w:r w:rsidR="00E233BB" w:rsidRPr="005F5BEA">
        <w:t>cardiac</w:t>
      </w:r>
      <w:r w:rsidRPr="005F5BEA">
        <w:t xml:space="preserve"> technical services</w:t>
      </w:r>
      <w:r w:rsidR="00E233BB" w:rsidRPr="005F5BEA">
        <w:t xml:space="preserve"> during CIED follow-up, </w:t>
      </w:r>
      <w:r w:rsidRPr="005F5BEA">
        <w:t>including remote monitoring, have been considered</w:t>
      </w:r>
      <w:r w:rsidR="00AD7A07" w:rsidRPr="005F5BEA">
        <w:t xml:space="preserve"> </w:t>
      </w:r>
      <w:r w:rsidR="00A25F07" w:rsidRPr="005F5BEA">
        <w:t>recently</w:t>
      </w:r>
      <w:r w:rsidR="003F0285" w:rsidRPr="005F5BEA">
        <w:t xml:space="preserve"> </w:t>
      </w:r>
      <w:r w:rsidR="00A25F07" w:rsidRPr="005F5BEA">
        <w:t xml:space="preserve">by </w:t>
      </w:r>
      <w:r w:rsidRPr="005F5BEA">
        <w:t>MSAC</w:t>
      </w:r>
      <w:r w:rsidR="00A25F07" w:rsidRPr="005F5BEA">
        <w:t xml:space="preserve">. These </w:t>
      </w:r>
      <w:r w:rsidR="00AD7A07" w:rsidRPr="005F5BEA">
        <w:t>a</w:t>
      </w:r>
      <w:r w:rsidRPr="005F5BEA">
        <w:t xml:space="preserve">pplications </w:t>
      </w:r>
      <w:r w:rsidR="00A25F07" w:rsidRPr="005F5BEA">
        <w:t>were</w:t>
      </w:r>
      <w:r w:rsidRPr="005F5BEA">
        <w:t xml:space="preserve">1443 (Implantable loop recorders for diagnosis of atrial fibrillation in cryptogenic stroke), </w:t>
      </w:r>
      <w:r w:rsidR="00AD7A07" w:rsidRPr="005F5BEA">
        <w:t xml:space="preserve">and </w:t>
      </w:r>
      <w:r w:rsidRPr="005F5BEA">
        <w:t>1197</w:t>
      </w:r>
      <w:r w:rsidR="00AD7A07" w:rsidRPr="005F5BEA">
        <w:t>/</w:t>
      </w:r>
      <w:r w:rsidRPr="005F5BEA">
        <w:t xml:space="preserve">1197.1 (Remote Monitoring of Patients with Implanted Cardiac Devices). </w:t>
      </w:r>
    </w:p>
    <w:p w14:paraId="7823D998" w14:textId="659457FA" w:rsidR="002816F5" w:rsidRPr="005F5BEA" w:rsidRDefault="0029725F" w:rsidP="00B868C7">
      <w:r w:rsidRPr="005F5BEA">
        <w:t xml:space="preserve">There are </w:t>
      </w:r>
      <w:r w:rsidR="00C24CED" w:rsidRPr="005F5BEA">
        <w:t xml:space="preserve">currently no </w:t>
      </w:r>
      <w:r w:rsidR="005F75F0" w:rsidRPr="005F5BEA">
        <w:t xml:space="preserve">direct </w:t>
      </w:r>
      <w:r w:rsidR="00C24CED" w:rsidRPr="005F5BEA">
        <w:t>funding mechanisms by which cardiac technicians can be reimbursed by the Australian Government.</w:t>
      </w:r>
    </w:p>
    <w:p w14:paraId="64757175" w14:textId="04270A77" w:rsidR="008460DC" w:rsidRPr="005F5BEA" w:rsidRDefault="00C825E4" w:rsidP="00C825E4">
      <w:pPr>
        <w:pStyle w:val="Heading2"/>
      </w:pPr>
      <w:r w:rsidRPr="005F5BEA">
        <w:t>5.</w:t>
      </w:r>
      <w:r w:rsidRPr="005F5BEA">
        <w:tab/>
      </w:r>
      <w:r w:rsidR="00077A66" w:rsidRPr="005F5BEA">
        <w:t xml:space="preserve">Overview of CIED </w:t>
      </w:r>
      <w:r w:rsidR="00383893" w:rsidRPr="005F5BEA">
        <w:t xml:space="preserve">technical </w:t>
      </w:r>
      <w:r w:rsidR="00077A66" w:rsidRPr="005F5BEA">
        <w:t>services</w:t>
      </w:r>
    </w:p>
    <w:p w14:paraId="2A0D3C5F" w14:textId="77777777" w:rsidR="00591268" w:rsidRPr="005F5BEA" w:rsidRDefault="00591268" w:rsidP="00591268">
      <w:pPr>
        <w:pStyle w:val="Heading3"/>
      </w:pPr>
      <w:bookmarkStart w:id="6" w:name="_Hlk120357869"/>
      <w:r w:rsidRPr="005F5BEA">
        <w:t>Cardiac implantable electronic devices (CIEDs)</w:t>
      </w:r>
    </w:p>
    <w:bookmarkEnd w:id="6"/>
    <w:p w14:paraId="58D1CC2C" w14:textId="7C34460B" w:rsidR="00591268" w:rsidRPr="005F5BEA" w:rsidRDefault="00591268" w:rsidP="00591268">
      <w:r w:rsidRPr="005F5BEA">
        <w:t>Cardiac implantable electronic devices (CIEDs) are implanted for diagnosis, treatment and/or monitoring of cardiovascular conditions. They are battery powered devices and include pacemakers (PPMs), implantable cardioverter-defibrillators (ICDs), cardiac resynchronisation therapy</w:t>
      </w:r>
      <w:r w:rsidR="005B1245" w:rsidRPr="005F5BEA">
        <w:t xml:space="preserve"> devices</w:t>
      </w:r>
      <w:r w:rsidRPr="005F5BEA">
        <w:t xml:space="preserve"> (CRT</w:t>
      </w:r>
      <w:r w:rsidR="005B1245" w:rsidRPr="005F5BEA">
        <w:t>Ds</w:t>
      </w:r>
      <w:r w:rsidRPr="005F5BEA">
        <w:t>) and insertable cardiac monitors like implantable loop recorders (ILRs). Devices are usually implanted under conscious sedation as day case surgery or with an overnight stay.</w:t>
      </w:r>
    </w:p>
    <w:p w14:paraId="03928EA7" w14:textId="4C019F50" w:rsidR="00591268" w:rsidRPr="005F5BEA" w:rsidRDefault="00591268" w:rsidP="00591268">
      <w:r w:rsidRPr="005F5BEA">
        <w:t>PPMs are usually implanted in patients for bradyarrhythmia treatment. Some patients are completely dependent upon their PPM while others have their PPM as a back-up with pacing required infrequently. ICDs are used for patients with tachyarrhythmia and risk of sudden cardiac arrest. CRT</w:t>
      </w:r>
      <w:r w:rsidR="005B1245" w:rsidRPr="005F5BEA">
        <w:t>Ds</w:t>
      </w:r>
      <w:r w:rsidRPr="005F5BEA">
        <w:t xml:space="preserve"> </w:t>
      </w:r>
      <w:r w:rsidR="005B1245" w:rsidRPr="005F5BEA">
        <w:t xml:space="preserve">are </w:t>
      </w:r>
      <w:r w:rsidRPr="005F5BEA">
        <w:t>utilised by patients with congestive heart failure. It can be used for cardiac resynchronisation, bradycardia pacing or defibrillation, depending upon the type of CRT</w:t>
      </w:r>
      <w:r w:rsidR="005B1245" w:rsidRPr="005F5BEA">
        <w:t>D</w:t>
      </w:r>
      <w:r w:rsidRPr="005F5BEA">
        <w:t xml:space="preserve"> </w:t>
      </w:r>
      <w:proofErr w:type="gramStart"/>
      <w:r w:rsidRPr="005F5BEA">
        <w:t>i</w:t>
      </w:r>
      <w:r w:rsidR="00E333AE" w:rsidRPr="005F5BEA">
        <w:t>.</w:t>
      </w:r>
      <w:r w:rsidRPr="005F5BEA">
        <w:t>e.</w:t>
      </w:r>
      <w:proofErr w:type="gramEnd"/>
      <w:r w:rsidRPr="005F5BEA">
        <w:t xml:space="preserve"> CRT-P or CRT-D. Implantable loop recorders (ILRs) are subcutaneous, electrocardiographic monitoring devices used for monitoring for cardiac arrhythmias. They are different from other CIEDs as they are used for diagnostic not therapeutic purposes. They are used for diagnosing heart rhythm disorders when aggregated long-term data, rather than short-term Holter monitoring, is required because arrhythmia is suspected to occur rarely. Data are stored in the ILR when a </w:t>
      </w:r>
      <w:r w:rsidRPr="005F5BEA">
        <w:lastRenderedPageBreak/>
        <w:t xml:space="preserve">bradyarrhythmia or tachyarrhythmia event occurs. CIED therapy </w:t>
      </w:r>
      <w:r w:rsidR="00286A5D" w:rsidRPr="005F5BEA">
        <w:t xml:space="preserve">for patients with heart failure </w:t>
      </w:r>
      <w:r w:rsidRPr="005F5BEA">
        <w:t xml:space="preserve">improves </w:t>
      </w:r>
      <w:r w:rsidR="007757D2" w:rsidRPr="005F5BEA">
        <w:t xml:space="preserve">morbidity, </w:t>
      </w:r>
      <w:r w:rsidRPr="005F5BEA">
        <w:t>mortality and has a positive impact on quality of life.</w:t>
      </w:r>
    </w:p>
    <w:p w14:paraId="287747E7" w14:textId="2DABE8DF" w:rsidR="00591268" w:rsidRPr="005F5BEA" w:rsidRDefault="00591268" w:rsidP="00591268">
      <w:r w:rsidRPr="005F5BEA">
        <w:t xml:space="preserve">The number of CIEDs currently implanted in Australia determines the volume of </w:t>
      </w:r>
      <w:r w:rsidR="00796A8C" w:rsidRPr="005F5BEA">
        <w:t xml:space="preserve">cardiac </w:t>
      </w:r>
      <w:r w:rsidRPr="005F5BEA">
        <w:t>technical support services required to maintain CIED follow-up in line with published guidance (Leitch, 2022).</w:t>
      </w:r>
      <w:r w:rsidR="000E3847" w:rsidRPr="005F5BEA">
        <w:t xml:space="preserve"> </w:t>
      </w:r>
      <w:r w:rsidR="00A25F07" w:rsidRPr="005F5BEA">
        <w:t>R</w:t>
      </w:r>
      <w:r w:rsidRPr="005F5BEA">
        <w:t>egistry data for CIEDs in Australia</w:t>
      </w:r>
      <w:r w:rsidR="00A25F07" w:rsidRPr="005F5BEA">
        <w:t xml:space="preserve"> are currently very limited</w:t>
      </w:r>
      <w:r w:rsidRPr="005F5BEA">
        <w:t xml:space="preserve">. The companies supplying CIEDs in Australia were unable to provide data for the total number of active CIEDs currently in </w:t>
      </w:r>
      <w:r w:rsidR="00E60553" w:rsidRPr="005F5BEA">
        <w:t>use</w:t>
      </w:r>
      <w:r w:rsidR="0087197B" w:rsidRPr="005F5BEA">
        <w:t>.</w:t>
      </w:r>
      <w:r w:rsidRPr="005F5BEA">
        <w:t xml:space="preserve"> </w:t>
      </w:r>
    </w:p>
    <w:p w14:paraId="017079C2" w14:textId="217F91C1" w:rsidR="00591268" w:rsidRPr="005F5BEA" w:rsidRDefault="00591268" w:rsidP="00591268">
      <w:r w:rsidRPr="005F5BEA">
        <w:t>The “Australian and New Zealand Cardiac Implantable Electronic Device Survey” for 2021 is based on a survey of sales from all CIED manufacturers in Australia with sales of new devices considered to align with the number of new implants</w:t>
      </w:r>
      <w:r w:rsidR="001E35C5" w:rsidRPr="005F5BEA">
        <w:rPr>
          <w:rStyle w:val="FootnoteReference"/>
        </w:rPr>
        <w:footnoteReference w:id="11"/>
      </w:r>
      <w:r w:rsidRPr="005F5BEA">
        <w:t>. It includes PPM, ICDs and CRT</w:t>
      </w:r>
      <w:r w:rsidR="005B1245" w:rsidRPr="005F5BEA">
        <w:t>D</w:t>
      </w:r>
      <w:r w:rsidRPr="005F5BEA">
        <w:t xml:space="preserve">s. There </w:t>
      </w:r>
      <w:r w:rsidR="00C24CED" w:rsidRPr="005F5BEA">
        <w:t>are</w:t>
      </w:r>
      <w:r w:rsidRPr="005F5BEA">
        <w:t xml:space="preserve"> currently no data for the newer subcutaneous CIEDs as many have only recently received market authorisation in Australia. All CIED companies participated in the survey. The authors reported that there are approximately 140 Australia</w:t>
      </w:r>
      <w:r w:rsidR="001204C8">
        <w:t>n</w:t>
      </w:r>
      <w:r w:rsidRPr="005F5BEA">
        <w:t xml:space="preserve"> centres implanting PPM</w:t>
      </w:r>
      <w:r w:rsidR="00D647D4" w:rsidRPr="005F5BEA">
        <w:t>s</w:t>
      </w:r>
      <w:r w:rsidRPr="005F5BEA">
        <w:t xml:space="preserve"> and 127 centres implanting ICDs, according to manufacturer-held data. </w:t>
      </w:r>
      <w:r w:rsidR="002646D6" w:rsidRPr="005F5BEA">
        <w:t xml:space="preserve">However, the relative proportion of </w:t>
      </w:r>
      <w:r w:rsidR="00FC5C2C" w:rsidRPr="005F5BEA">
        <w:t>implantations occurring in the public vs private sectors is unknown.</w:t>
      </w:r>
    </w:p>
    <w:p w14:paraId="52FBC657" w14:textId="1107EAD2" w:rsidR="00591268" w:rsidRPr="005F5BEA" w:rsidRDefault="00591268" w:rsidP="00591268">
      <w:r w:rsidRPr="005F5BEA">
        <w:t>In 2021 there were 25,190 PPM</w:t>
      </w:r>
      <w:r w:rsidR="00D647D4" w:rsidRPr="005F5BEA">
        <w:t>s</w:t>
      </w:r>
      <w:r w:rsidRPr="005F5BEA">
        <w:t xml:space="preserve"> implanted of which 19,410 were new implants and 5,780 (23%) replacement devices. The number of new PPM implants per million population was 755 in 2021. This was a 1% increase in prevalence when compared to survey data from 2017. For ICDs, there were 6,421 implants in 2021 of which 4,519 were new implants and 1,902 (30%) were replacement ICDs. The number per million population was 187 for Australia. For CRT-P and CRT-D CIEDs, there were 4,382 new implants in Australia, 66% of which were CRT-D devices. For implantable event monitors (equivalent to ILRs), 6,933 monitors were implanted. Overall, there were 42,926 CIEDs implanted (both new and replacement) in 2021. Growth in new implants per million population since 2017 was 1% for PPM</w:t>
      </w:r>
      <w:r w:rsidR="00D647D4" w:rsidRPr="005F5BEA">
        <w:t>s</w:t>
      </w:r>
      <w:r w:rsidRPr="005F5BEA">
        <w:t xml:space="preserve"> and 6.8% for ICDs. Data </w:t>
      </w:r>
      <w:r w:rsidR="00C24CED" w:rsidRPr="005F5BEA">
        <w:t xml:space="preserve">were </w:t>
      </w:r>
      <w:r w:rsidRPr="005F5BEA">
        <w:t>not available from the survey for growth of new ILR implants.</w:t>
      </w:r>
    </w:p>
    <w:p w14:paraId="5EE77099" w14:textId="2A67EDD3" w:rsidR="00591268" w:rsidRPr="005F5BEA" w:rsidRDefault="00591268" w:rsidP="00591268">
      <w:r w:rsidRPr="005F5BEA">
        <w:t>The KPMG report provided an estimate</w:t>
      </w:r>
      <w:r w:rsidR="00D323C2" w:rsidRPr="005F5BEA">
        <w:t>d</w:t>
      </w:r>
      <w:r w:rsidRPr="005F5BEA">
        <w:t xml:space="preserve"> prevalence of CIEDs in the Australian population for the periods 2019/20 to 2022/23 based on projected population growth and the number of new CIED insertions relative to the number of deaths and CIED removals for each type of CIED under consideration.</w:t>
      </w:r>
      <w:r w:rsidR="00710AD0" w:rsidRPr="005F5BEA">
        <w:rPr>
          <w:rStyle w:val="FootnoteReference"/>
        </w:rPr>
        <w:footnoteReference w:id="12"/>
      </w:r>
      <w:r w:rsidRPr="005F5BEA">
        <w:t xml:space="preserve"> The prevalence of CIEDs was projected to grow by an average of 7% per year over this period. This increase </w:t>
      </w:r>
      <w:r w:rsidR="00B129CB" w:rsidRPr="005F5BEA">
        <w:t>is</w:t>
      </w:r>
      <w:r w:rsidRPr="005F5BEA">
        <w:t xml:space="preserve"> mainly driven by the increase in the prevalence of ILRs </w:t>
      </w:r>
      <w:r w:rsidR="00316E0E" w:rsidRPr="005F5BEA">
        <w:t>(Figure</w:t>
      </w:r>
      <w:r w:rsidR="00374BF7">
        <w:t> </w:t>
      </w:r>
      <w:r w:rsidR="00316E0E" w:rsidRPr="005F5BEA">
        <w:t>1).</w:t>
      </w:r>
    </w:p>
    <w:p w14:paraId="157C80C8" w14:textId="453B89A0" w:rsidR="00591268" w:rsidRPr="005F5BEA" w:rsidRDefault="007B3F21" w:rsidP="00D8191A">
      <w:pPr>
        <w:pStyle w:val="TableHeading"/>
      </w:pPr>
      <w:bookmarkStart w:id="7" w:name="_Ref119498046"/>
      <w:r w:rsidRPr="005F5BEA">
        <w:rPr>
          <w:noProof/>
        </w:rPr>
        <w:lastRenderedPageBreak/>
        <w:drawing>
          <wp:inline distT="0" distB="0" distL="0" distR="0" wp14:anchorId="22CDB088" wp14:editId="381462E1">
            <wp:extent cx="5448300" cy="2767965"/>
            <wp:effectExtent l="0" t="0" r="0" b="0"/>
            <wp:docPr id="1" name="Picture 1" descr="Estimated prevalence of CIED implanted in the Australian population, 2019/20 to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448300" cy="2767965"/>
                    </a:xfrm>
                    <a:prstGeom prst="rect">
                      <a:avLst/>
                    </a:prstGeom>
                  </pic:spPr>
                </pic:pic>
              </a:graphicData>
            </a:graphic>
          </wp:inline>
        </w:drawing>
      </w:r>
      <w:r w:rsidR="00591268" w:rsidRPr="005F5BEA">
        <w:t xml:space="preserve">Figure </w:t>
      </w:r>
      <w:r w:rsidR="00591268" w:rsidRPr="005F5BEA">
        <w:fldChar w:fldCharType="begin"/>
      </w:r>
      <w:r w:rsidR="00591268" w:rsidRPr="005F5BEA">
        <w:instrText>SEQ Figure \* ARABIC</w:instrText>
      </w:r>
      <w:r w:rsidR="00591268" w:rsidRPr="005F5BEA">
        <w:fldChar w:fldCharType="separate"/>
      </w:r>
      <w:r w:rsidR="00334548">
        <w:rPr>
          <w:noProof/>
        </w:rPr>
        <w:t>1</w:t>
      </w:r>
      <w:r w:rsidR="00591268" w:rsidRPr="005F5BEA">
        <w:fldChar w:fldCharType="end"/>
      </w:r>
      <w:bookmarkEnd w:id="7"/>
      <w:r w:rsidR="00591268" w:rsidRPr="005F5BEA">
        <w:t xml:space="preserve"> Estimated prevalence of CIED implanted in the Australian population, 2019/20 to 2022/23</w:t>
      </w:r>
    </w:p>
    <w:p w14:paraId="13DF5A6D" w14:textId="77777777" w:rsidR="00591268" w:rsidRPr="005F5BEA" w:rsidRDefault="00591268" w:rsidP="00591268">
      <w:pPr>
        <w:pStyle w:val="TableFooter"/>
      </w:pPr>
      <w:r w:rsidRPr="005F5BEA">
        <w:t>Source: KPMG report (2021) Figure 7 page 18.</w:t>
      </w:r>
    </w:p>
    <w:p w14:paraId="7A9CC5A3" w14:textId="77777777" w:rsidR="00591268" w:rsidRPr="005F5BEA" w:rsidRDefault="00591268" w:rsidP="00591268">
      <w:pPr>
        <w:pStyle w:val="TableFooter"/>
      </w:pPr>
      <w:r w:rsidRPr="005F5BEA">
        <w:t xml:space="preserve">Data based on estimates from </w:t>
      </w:r>
      <w:proofErr w:type="gramStart"/>
      <w:r w:rsidRPr="005F5BEA">
        <w:t>KPMG</w:t>
      </w:r>
      <w:proofErr w:type="gramEnd"/>
    </w:p>
    <w:p w14:paraId="6B56E756" w14:textId="77777777" w:rsidR="00591268" w:rsidRPr="005F5BEA" w:rsidRDefault="00591268" w:rsidP="00591268">
      <w:pPr>
        <w:pStyle w:val="TableFooter"/>
      </w:pPr>
      <w:r w:rsidRPr="005F5BEA">
        <w:t xml:space="preserve">Values reported are per financial </w:t>
      </w:r>
      <w:proofErr w:type="gramStart"/>
      <w:r w:rsidRPr="005F5BEA">
        <w:t>year</w:t>
      </w:r>
      <w:proofErr w:type="gramEnd"/>
    </w:p>
    <w:p w14:paraId="187565EA" w14:textId="6E4F94F5" w:rsidR="00591268" w:rsidRPr="005F5BEA" w:rsidRDefault="00591268" w:rsidP="00591268">
      <w:pPr>
        <w:pStyle w:val="TableFooter"/>
      </w:pPr>
      <w:r w:rsidRPr="005F5BEA">
        <w:t>ICD, implantable cardiac defibrillator; ILR, implantable loop recorder</w:t>
      </w:r>
    </w:p>
    <w:p w14:paraId="0B32A1B3" w14:textId="69D03FF9" w:rsidR="00AF51FC" w:rsidRPr="005F5BEA" w:rsidRDefault="00591268" w:rsidP="00591268">
      <w:r w:rsidRPr="005F5BEA">
        <w:t xml:space="preserve">Post-implantation, patients with CIEDs require </w:t>
      </w:r>
      <w:r w:rsidR="00E60553" w:rsidRPr="005F5BEA">
        <w:t xml:space="preserve">regular </w:t>
      </w:r>
      <w:r w:rsidRPr="005F5BEA">
        <w:t>follow-up checks (either in-person a</w:t>
      </w:r>
      <w:r w:rsidR="00E60553" w:rsidRPr="005F5BEA">
        <w:t>s</w:t>
      </w:r>
      <w:r w:rsidRPr="005F5BEA">
        <w:t xml:space="preserve"> an outpatient and/or remotely) to assess and optimise CIED performance and safety, identify and correct any device system abnormalities, anticipate the need for elective CIED replacement, monitor cardiac arrhythmias and physiologic parameters, and communicate information related to CIED monitoring to involved physicians and other healthcare providers where appropriate. </w:t>
      </w:r>
      <w:r w:rsidR="00B62C82" w:rsidRPr="005F5BEA">
        <w:t>IECT</w:t>
      </w:r>
      <w:r w:rsidRPr="005F5BEA">
        <w:t xml:space="preserve">s can be involved in these follow-up checks, “on-demand” at the </w:t>
      </w:r>
      <w:r w:rsidR="00710AD0" w:rsidRPr="005F5BEA">
        <w:t>request</w:t>
      </w:r>
      <w:r w:rsidRPr="005F5BEA">
        <w:t xml:space="preserve"> of the physician responsible for patient care, providing technical services to optimise the function of the device. </w:t>
      </w:r>
    </w:p>
    <w:p w14:paraId="75154C17" w14:textId="29F84BA6" w:rsidR="00591268" w:rsidRPr="005F5BEA" w:rsidRDefault="00591268" w:rsidP="00591268">
      <w:r w:rsidRPr="005F5BEA">
        <w:t>Other healthcare staff (</w:t>
      </w:r>
      <w:r w:rsidR="00710AD0" w:rsidRPr="005F5BEA">
        <w:t>cardiologist</w:t>
      </w:r>
      <w:r w:rsidRPr="005F5BEA">
        <w:t xml:space="preserve">, </w:t>
      </w:r>
      <w:r w:rsidR="00545817" w:rsidRPr="005F5BEA">
        <w:t xml:space="preserve">non-industry employed </w:t>
      </w:r>
      <w:r w:rsidRPr="005F5BEA">
        <w:t xml:space="preserve">cardiac </w:t>
      </w:r>
      <w:r w:rsidR="00E60553" w:rsidRPr="005F5BEA">
        <w:t>technician</w:t>
      </w:r>
      <w:r w:rsidRPr="005F5BEA">
        <w:t>) wit</w:t>
      </w:r>
      <w:r w:rsidR="00E60553" w:rsidRPr="005F5BEA">
        <w:t>h appropriate</w:t>
      </w:r>
      <w:r w:rsidRPr="005F5BEA">
        <w:t xml:space="preserve"> training and knowledge can also carry out some or </w:t>
      </w:r>
      <w:proofErr w:type="gramStart"/>
      <w:r w:rsidRPr="005F5BEA">
        <w:t>all of</w:t>
      </w:r>
      <w:proofErr w:type="gramEnd"/>
      <w:r w:rsidRPr="005F5BEA">
        <w:t xml:space="preserve"> these technical services during follow-up.</w:t>
      </w:r>
    </w:p>
    <w:p w14:paraId="211570E2" w14:textId="77777777" w:rsidR="00591268" w:rsidRPr="005F5BEA" w:rsidRDefault="00591268" w:rsidP="00591268">
      <w:pPr>
        <w:rPr>
          <w:rFonts w:ascii="Franklin Gothic Medium" w:eastAsiaTheme="majorEastAsia" w:hAnsi="Franklin Gothic Medium" w:cstheme="majorBidi"/>
          <w:sz w:val="24"/>
          <w:szCs w:val="24"/>
        </w:rPr>
      </w:pPr>
      <w:r w:rsidRPr="005F5BEA">
        <w:rPr>
          <w:rFonts w:ascii="Franklin Gothic Medium" w:eastAsiaTheme="majorEastAsia" w:hAnsi="Franklin Gothic Medium" w:cstheme="majorBidi"/>
          <w:sz w:val="24"/>
          <w:szCs w:val="24"/>
        </w:rPr>
        <w:t xml:space="preserve">Role of healthcare staff in CIED technical support services </w:t>
      </w:r>
    </w:p>
    <w:p w14:paraId="294205BF" w14:textId="2D35ABC4" w:rsidR="005A70B5" w:rsidRPr="005F5BEA" w:rsidRDefault="00591268" w:rsidP="00591268">
      <w:r w:rsidRPr="005F5BEA">
        <w:t xml:space="preserve">A team-based approach is used to deliver CIED technical services. </w:t>
      </w:r>
      <w:r w:rsidR="00E60553" w:rsidRPr="005F5BEA">
        <w:t>A c</w:t>
      </w:r>
      <w:r w:rsidRPr="005F5BEA">
        <w:t xml:space="preserve">ardiologist can be supported </w:t>
      </w:r>
      <w:r w:rsidR="00AF51FC" w:rsidRPr="005F5BEA">
        <w:t xml:space="preserve">during CIED implantation and ongoing technical support of CIEDs </w:t>
      </w:r>
      <w:r w:rsidRPr="005F5BEA">
        <w:t xml:space="preserve">by </w:t>
      </w:r>
      <w:r w:rsidR="00E60553" w:rsidRPr="005F5BEA">
        <w:t>cardiac technician</w:t>
      </w:r>
      <w:r w:rsidRPr="005F5BEA">
        <w:t>s (either industry or clinic/hospital employed) and other health care staff, such as nurses</w:t>
      </w:r>
      <w:r w:rsidR="00AF51FC" w:rsidRPr="005F5BEA">
        <w:t>.</w:t>
      </w:r>
    </w:p>
    <w:p w14:paraId="6E17A3DB" w14:textId="74C7D34C" w:rsidR="005A70B5" w:rsidRPr="005F5BEA" w:rsidRDefault="00C32460" w:rsidP="00221A72">
      <w:pPr>
        <w:pStyle w:val="Heading4"/>
      </w:pPr>
      <w:r w:rsidRPr="005F5BEA">
        <w:t>C</w:t>
      </w:r>
      <w:r w:rsidR="00221A72" w:rsidRPr="005F5BEA">
        <w:t>ardiologists</w:t>
      </w:r>
    </w:p>
    <w:p w14:paraId="44B021EC" w14:textId="0402B982" w:rsidR="00591268" w:rsidRPr="005F5BEA" w:rsidRDefault="005A70B5" w:rsidP="00591268">
      <w:r w:rsidRPr="005F5BEA">
        <w:t>Guidance on physician training in CIED implantation and follow-up is provided by CSANZ</w:t>
      </w:r>
      <w:r w:rsidR="00A908BA" w:rsidRPr="005F5BEA">
        <w:t>.</w:t>
      </w:r>
      <w:r w:rsidR="00A908BA" w:rsidRPr="005F5BEA">
        <w:rPr>
          <w:rStyle w:val="FootnoteReference"/>
        </w:rPr>
        <w:footnoteReference w:id="13"/>
      </w:r>
      <w:r w:rsidR="00A908BA" w:rsidRPr="005F5BEA">
        <w:t xml:space="preserve"> </w:t>
      </w:r>
      <w:r w:rsidRPr="005F5BEA">
        <w:t xml:space="preserve"> The clinician caring for the individual with a CIED is ultimately responsible for the initiation of any CIED check, interpretation of the resultant data and for any decision concerning CIED reprogrammin</w:t>
      </w:r>
      <w:r w:rsidR="0066574A" w:rsidRPr="005F5BEA">
        <w:t>g</w:t>
      </w:r>
      <w:r w:rsidRPr="005F5BEA">
        <w:t xml:space="preserve">. CIED </w:t>
      </w:r>
      <w:r w:rsidR="00591268" w:rsidRPr="005F5BEA">
        <w:t xml:space="preserve">interrogation may be performed by the </w:t>
      </w:r>
      <w:r w:rsidR="00C32460" w:rsidRPr="005F5BEA">
        <w:t>cardiologist</w:t>
      </w:r>
      <w:r w:rsidR="00591268" w:rsidRPr="005F5BEA">
        <w:t xml:space="preserve"> but the task</w:t>
      </w:r>
      <w:r w:rsidR="003469AA" w:rsidRPr="005F5BEA">
        <w:t xml:space="preserve">s, including </w:t>
      </w:r>
      <w:r w:rsidR="00591268" w:rsidRPr="005F5BEA">
        <w:t>remote transmission assessment or CIED reprogramming</w:t>
      </w:r>
      <w:r w:rsidR="003469AA" w:rsidRPr="005F5BEA">
        <w:t>,</w:t>
      </w:r>
      <w:r w:rsidR="00591268" w:rsidRPr="005F5BEA">
        <w:t xml:space="preserve"> may be delegated to hospital/clinic-</w:t>
      </w:r>
      <w:r w:rsidR="00591268" w:rsidRPr="005F5BEA">
        <w:lastRenderedPageBreak/>
        <w:t xml:space="preserve">employed </w:t>
      </w:r>
      <w:r w:rsidR="00E60553" w:rsidRPr="005F5BEA">
        <w:t>cardiac technician</w:t>
      </w:r>
      <w:r w:rsidR="00591268" w:rsidRPr="005F5BEA">
        <w:t xml:space="preserve">s or </w:t>
      </w:r>
      <w:r w:rsidR="00B62C82" w:rsidRPr="005F5BEA">
        <w:t>IECT</w:t>
      </w:r>
      <w:r w:rsidR="00591268" w:rsidRPr="005F5BEA">
        <w:t>s.</w:t>
      </w:r>
      <w:r w:rsidR="003469AA" w:rsidRPr="005F5BEA">
        <w:t xml:space="preserve"> A physician may </w:t>
      </w:r>
      <w:r w:rsidR="0066574A" w:rsidRPr="005F5BEA">
        <w:t xml:space="preserve">be trained </w:t>
      </w:r>
      <w:r w:rsidR="003469AA" w:rsidRPr="005F5BEA">
        <w:t xml:space="preserve">to carryout CIED follow-up assessments </w:t>
      </w:r>
      <w:r w:rsidR="003902DA" w:rsidRPr="005F5BEA">
        <w:t xml:space="preserve">even if they are not </w:t>
      </w:r>
      <w:r w:rsidR="003469AA" w:rsidRPr="005F5BEA">
        <w:t xml:space="preserve">qualified </w:t>
      </w:r>
      <w:r w:rsidR="003902DA" w:rsidRPr="005F5BEA">
        <w:t xml:space="preserve">to perform </w:t>
      </w:r>
      <w:r w:rsidR="0066574A" w:rsidRPr="005F5BEA">
        <w:t xml:space="preserve">CIED </w:t>
      </w:r>
      <w:r w:rsidR="003469AA" w:rsidRPr="005F5BEA">
        <w:t>implantations.</w:t>
      </w:r>
    </w:p>
    <w:p w14:paraId="341233D3" w14:textId="1244765B" w:rsidR="00591268" w:rsidRPr="005F5BEA" w:rsidRDefault="003902DA" w:rsidP="00221A72">
      <w:pPr>
        <w:pStyle w:val="Heading4"/>
      </w:pPr>
      <w:r w:rsidRPr="005F5BEA">
        <w:t>Non-industry employed c</w:t>
      </w:r>
      <w:r w:rsidR="00E60553" w:rsidRPr="005F5BEA">
        <w:t xml:space="preserve">ardiac </w:t>
      </w:r>
      <w:proofErr w:type="gramStart"/>
      <w:r w:rsidR="00E60553" w:rsidRPr="005F5BEA">
        <w:t>technician</w:t>
      </w:r>
      <w:r w:rsidR="00591268" w:rsidRPr="005F5BEA">
        <w:t>s</w:t>
      </w:r>
      <w:proofErr w:type="gramEnd"/>
    </w:p>
    <w:p w14:paraId="395AFE5E" w14:textId="401AD84B" w:rsidR="00591268" w:rsidRPr="005F5BEA" w:rsidRDefault="003902DA" w:rsidP="00591268">
      <w:bookmarkStart w:id="8" w:name="_Hlk119503695"/>
      <w:r w:rsidRPr="005F5BEA">
        <w:t>Non-industry employed c</w:t>
      </w:r>
      <w:r w:rsidR="00E60553" w:rsidRPr="005F5BEA">
        <w:t>ardiac technician</w:t>
      </w:r>
      <w:r w:rsidR="00591268" w:rsidRPr="005F5BEA">
        <w:t xml:space="preserve">s </w:t>
      </w:r>
      <w:bookmarkEnd w:id="8"/>
      <w:r w:rsidR="00591268" w:rsidRPr="005F5BEA">
        <w:t xml:space="preserve">are employed by </w:t>
      </w:r>
      <w:r w:rsidR="003469AA" w:rsidRPr="005F5BEA">
        <w:t xml:space="preserve">either </w:t>
      </w:r>
      <w:r w:rsidR="00591268" w:rsidRPr="005F5BEA">
        <w:t xml:space="preserve">a private clinic/hospital or by a public clinic/hospital to provide technical support services for CIEDs. According to the </w:t>
      </w:r>
      <w:r w:rsidR="0066574A" w:rsidRPr="005F5BEA">
        <w:t xml:space="preserve">2022 </w:t>
      </w:r>
      <w:r w:rsidR="00591268" w:rsidRPr="005F5BEA">
        <w:t>CSANZ guidelines</w:t>
      </w:r>
      <w:r w:rsidR="0066574A" w:rsidRPr="005F5BEA">
        <w:t xml:space="preserve"> on CIED follow-up</w:t>
      </w:r>
      <w:r w:rsidR="00591268" w:rsidRPr="005F5BEA">
        <w:t>, “Cardiac device physiologists may perform CIED follow-up and make programming changes without direct medical supervision. In many cases the cardiac device physiologist is the only point of clinical contact for routine device follow-up. Consequently, they provide a central role in the follow-up of cardiac devices and patient care</w:t>
      </w:r>
      <w:r w:rsidR="00703160" w:rsidRPr="005F5BEA">
        <w:t>.</w:t>
      </w:r>
      <w:r w:rsidR="00591268" w:rsidRPr="005F5BEA">
        <w:t>”</w:t>
      </w:r>
      <w:r w:rsidR="0066574A" w:rsidRPr="005F5BEA">
        <w:rPr>
          <w:rStyle w:val="FootnoteReference"/>
        </w:rPr>
        <w:footnoteReference w:id="14"/>
      </w:r>
      <w:r w:rsidR="00591268" w:rsidRPr="005F5BEA">
        <w:t xml:space="preserve"> However, the supervising </w:t>
      </w:r>
      <w:r w:rsidR="003469AA" w:rsidRPr="005F5BEA">
        <w:t>physician</w:t>
      </w:r>
      <w:r w:rsidR="00591268" w:rsidRPr="005F5BEA">
        <w:t xml:space="preserve"> </w:t>
      </w:r>
      <w:r w:rsidR="003469AA" w:rsidRPr="005F5BEA">
        <w:t>has</w:t>
      </w:r>
      <w:r w:rsidR="00591268" w:rsidRPr="005F5BEA">
        <w:t xml:space="preserve"> ultimate responsibility for the decisions of the </w:t>
      </w:r>
      <w:r w:rsidR="00E60553" w:rsidRPr="005F5BEA">
        <w:t>cardiac technician</w:t>
      </w:r>
      <w:r w:rsidR="00591268" w:rsidRPr="005F5BEA">
        <w:t xml:space="preserve">s. </w:t>
      </w:r>
      <w:r w:rsidR="00E60553" w:rsidRPr="005F5BEA">
        <w:t>Cardiac technician</w:t>
      </w:r>
      <w:r w:rsidR="00591268" w:rsidRPr="005F5BEA">
        <w:t xml:space="preserve">s support follow-up of CIEDs within their hospital/clinic supplied by any of the CIED companies in Australia. Specialist </w:t>
      </w:r>
      <w:r w:rsidR="003469AA" w:rsidRPr="005F5BEA">
        <w:t>advice</w:t>
      </w:r>
      <w:r w:rsidR="00591268" w:rsidRPr="005F5BEA">
        <w:t xml:space="preserve"> from an </w:t>
      </w:r>
      <w:r w:rsidR="00B62C82" w:rsidRPr="005F5BEA">
        <w:t>IECT</w:t>
      </w:r>
      <w:r w:rsidR="00591268" w:rsidRPr="005F5BEA">
        <w:t xml:space="preserve"> either remotely (via email/telephone) or in-person is requested when a </w:t>
      </w:r>
      <w:r w:rsidR="003469AA" w:rsidRPr="005F5BEA">
        <w:t xml:space="preserve">clinic/hospital employed </w:t>
      </w:r>
      <w:r w:rsidR="00E60553" w:rsidRPr="005F5BEA">
        <w:t>cardiac technician</w:t>
      </w:r>
      <w:r w:rsidR="00591268" w:rsidRPr="005F5BEA">
        <w:t xml:space="preserve"> </w:t>
      </w:r>
      <w:r w:rsidR="003469AA" w:rsidRPr="005F5BEA">
        <w:t xml:space="preserve">or physician </w:t>
      </w:r>
      <w:r w:rsidR="00591268" w:rsidRPr="005F5BEA">
        <w:t>does not have sufficient knowledge of an individual company’s CIEDs or software algorithms required to resolve a query, troubleshoot, or carry out device reprogramming.</w:t>
      </w:r>
    </w:p>
    <w:p w14:paraId="72DD3862" w14:textId="1FF26D7A" w:rsidR="00591268" w:rsidRPr="005F5BEA" w:rsidRDefault="00591268" w:rsidP="00221A72">
      <w:pPr>
        <w:pStyle w:val="Heading4"/>
      </w:pPr>
      <w:r w:rsidRPr="005F5BEA">
        <w:t xml:space="preserve">Industry employed </w:t>
      </w:r>
      <w:r w:rsidR="008E25C3" w:rsidRPr="005F5BEA">
        <w:t>cardiac technicians</w:t>
      </w:r>
      <w:r w:rsidRPr="005F5BEA">
        <w:t xml:space="preserve"> (IE</w:t>
      </w:r>
      <w:r w:rsidR="008E25C3" w:rsidRPr="005F5BEA">
        <w:t>CT</w:t>
      </w:r>
      <w:r w:rsidRPr="005F5BEA">
        <w:t>)</w:t>
      </w:r>
    </w:p>
    <w:p w14:paraId="2BC8F872" w14:textId="127F451F" w:rsidR="00591268" w:rsidRPr="005F5BEA" w:rsidRDefault="00591268" w:rsidP="00591268">
      <w:r w:rsidRPr="005F5BEA">
        <w:t xml:space="preserve">Industry employed </w:t>
      </w:r>
      <w:r w:rsidR="008E25C3" w:rsidRPr="005F5BEA">
        <w:t>cardiac technicians</w:t>
      </w:r>
      <w:r w:rsidRPr="005F5BEA">
        <w:t xml:space="preserve"> (IE</w:t>
      </w:r>
      <w:r w:rsidR="008E25C3" w:rsidRPr="005F5BEA">
        <w:t>CT</w:t>
      </w:r>
      <w:r w:rsidRPr="005F5BEA">
        <w:t xml:space="preserve">) are </w:t>
      </w:r>
      <w:r w:rsidR="00E60553" w:rsidRPr="005F5BEA">
        <w:t>cardiac technician</w:t>
      </w:r>
      <w:r w:rsidRPr="005F5BEA">
        <w:t xml:space="preserve">s employed by a CIED manufacturer (industry) to provide implantation support and technical support services only for the manufacturer’s CIEDs. According to the </w:t>
      </w:r>
      <w:r w:rsidR="0066574A" w:rsidRPr="005F5BEA">
        <w:t xml:space="preserve">2022 </w:t>
      </w:r>
      <w:r w:rsidRPr="005F5BEA">
        <w:t xml:space="preserve">CSANZ guidelines </w:t>
      </w:r>
      <w:r w:rsidR="0066574A" w:rsidRPr="005F5BEA">
        <w:t>on CIED follow-up,</w:t>
      </w:r>
      <w:r w:rsidRPr="005F5BEA">
        <w:t xml:space="preserve"> “With increasing complexity of CIEDs it has become difficult for physicians to remain familiar with extensive programmable features and software algorithms across the range of CIED devices. Industry holds an important role in facilitating the optimal device programming for each patient and in troubleshooting device-related issues.” The physician can request assistance </w:t>
      </w:r>
      <w:r w:rsidR="00B76356" w:rsidRPr="005F5BEA">
        <w:t xml:space="preserve">with technical support services </w:t>
      </w:r>
      <w:r w:rsidRPr="005F5BEA">
        <w:t xml:space="preserve">from an </w:t>
      </w:r>
      <w:r w:rsidR="008E25C3" w:rsidRPr="005F5BEA">
        <w:t xml:space="preserve">IECT </w:t>
      </w:r>
      <w:r w:rsidRPr="005F5BEA">
        <w:t xml:space="preserve">on-demand in both the private and public sector. If the physician chooses to have an </w:t>
      </w:r>
      <w:r w:rsidR="008E25C3" w:rsidRPr="005F5BEA">
        <w:t xml:space="preserve">IECT </w:t>
      </w:r>
      <w:r w:rsidRPr="005F5BEA">
        <w:t xml:space="preserve">assist in this process it is </w:t>
      </w:r>
      <w:r w:rsidR="00EE2A8C" w:rsidRPr="005F5BEA">
        <w:t xml:space="preserve">considered </w:t>
      </w:r>
      <w:r w:rsidRPr="005F5BEA">
        <w:t xml:space="preserve">a private agreement between the physician and the </w:t>
      </w:r>
      <w:r w:rsidR="008E25C3" w:rsidRPr="005F5BEA">
        <w:t xml:space="preserve">IECT </w:t>
      </w:r>
      <w:r w:rsidRPr="005F5BEA">
        <w:t xml:space="preserve">providing the service. </w:t>
      </w:r>
      <w:r w:rsidR="003B0CCB" w:rsidRPr="005F5BEA">
        <w:t>Specialist</w:t>
      </w:r>
      <w:r w:rsidRPr="005F5BEA">
        <w:t xml:space="preserve"> </w:t>
      </w:r>
      <w:r w:rsidR="00EE2A8C" w:rsidRPr="005F5BEA">
        <w:t>advice</w:t>
      </w:r>
      <w:r w:rsidRPr="005F5BEA">
        <w:t xml:space="preserve"> from an </w:t>
      </w:r>
      <w:r w:rsidR="008E25C3" w:rsidRPr="005F5BEA">
        <w:t xml:space="preserve">IECT </w:t>
      </w:r>
      <w:r w:rsidRPr="005F5BEA">
        <w:t xml:space="preserve">either remotely (via email/telephone) or in-person may be requested by a physician or cardiac technician when specialist knowledge of an individual company’s CIEDs is required to resolve a query, </w:t>
      </w:r>
      <w:proofErr w:type="gramStart"/>
      <w:r w:rsidRPr="005F5BEA">
        <w:t>troubleshoot</w:t>
      </w:r>
      <w:proofErr w:type="gramEnd"/>
      <w:r w:rsidRPr="005F5BEA">
        <w:t xml:space="preserve"> or carry out device reprogramming. While CIEDs provided by each of the </w:t>
      </w:r>
      <w:r w:rsidR="00BC1641" w:rsidRPr="005F5BEA">
        <w:t>five</w:t>
      </w:r>
      <w:r w:rsidRPr="005F5BEA">
        <w:t xml:space="preserve"> companies supplying Australia may share many similar features, they also have brand-specific </w:t>
      </w:r>
      <w:r w:rsidR="002D391E" w:rsidRPr="005F5BEA">
        <w:t>characteristics</w:t>
      </w:r>
      <w:r w:rsidR="00BD70AB" w:rsidRPr="005F5BEA">
        <w:t>.</w:t>
      </w:r>
      <w:r w:rsidRPr="005F5BEA">
        <w:t xml:space="preserve"> </w:t>
      </w:r>
      <w:r w:rsidR="004667F9" w:rsidRPr="005F5BEA">
        <w:t>It may be beneficial</w:t>
      </w:r>
      <w:r w:rsidRPr="005F5BEA">
        <w:t xml:space="preserve"> </w:t>
      </w:r>
      <w:r w:rsidR="004667F9" w:rsidRPr="005F5BEA">
        <w:t>for</w:t>
      </w:r>
      <w:r w:rsidRPr="005F5BEA">
        <w:t xml:space="preserve"> the technical service team </w:t>
      </w:r>
      <w:r w:rsidR="004667F9" w:rsidRPr="005F5BEA">
        <w:t xml:space="preserve">to </w:t>
      </w:r>
      <w:r w:rsidRPr="005F5BEA">
        <w:t xml:space="preserve">seek advice from </w:t>
      </w:r>
      <w:r w:rsidR="008E25C3" w:rsidRPr="005F5BEA">
        <w:t xml:space="preserve">IECTs </w:t>
      </w:r>
      <w:r w:rsidRPr="005F5BEA">
        <w:t>employed by each individual company to support their devices.</w:t>
      </w:r>
    </w:p>
    <w:p w14:paraId="1D335E00" w14:textId="4F07927D" w:rsidR="00A33ACE" w:rsidRPr="005F5BEA" w:rsidRDefault="00A33ACE" w:rsidP="00A33ACE">
      <w:pPr>
        <w:keepNext/>
        <w:keepLines/>
        <w:tabs>
          <w:tab w:val="left" w:pos="851"/>
        </w:tabs>
        <w:spacing w:before="360" w:after="200" w:line="240" w:lineRule="auto"/>
        <w:outlineLvl w:val="2"/>
        <w:rPr>
          <w:rFonts w:ascii="Franklin Gothic Medium" w:eastAsiaTheme="majorEastAsia" w:hAnsi="Franklin Gothic Medium" w:cstheme="majorBidi"/>
          <w:sz w:val="24"/>
          <w:szCs w:val="24"/>
        </w:rPr>
      </w:pPr>
      <w:r w:rsidRPr="005F5BEA">
        <w:rPr>
          <w:rFonts w:ascii="Franklin Gothic Medium" w:eastAsiaTheme="majorEastAsia" w:hAnsi="Franklin Gothic Medium" w:cstheme="majorBidi"/>
          <w:sz w:val="24"/>
          <w:szCs w:val="24"/>
        </w:rPr>
        <w:t xml:space="preserve">Training </w:t>
      </w:r>
      <w:r w:rsidR="00383893" w:rsidRPr="005F5BEA">
        <w:rPr>
          <w:rFonts w:ascii="Franklin Gothic Medium" w:eastAsiaTheme="majorEastAsia" w:hAnsi="Franklin Gothic Medium" w:cstheme="majorBidi"/>
          <w:sz w:val="24"/>
          <w:szCs w:val="24"/>
        </w:rPr>
        <w:t xml:space="preserve">for </w:t>
      </w:r>
      <w:r w:rsidRPr="005F5BEA">
        <w:rPr>
          <w:rFonts w:ascii="Franklin Gothic Medium" w:eastAsiaTheme="majorEastAsia" w:hAnsi="Franklin Gothic Medium" w:cstheme="majorBidi"/>
          <w:sz w:val="24"/>
          <w:szCs w:val="24"/>
        </w:rPr>
        <w:t xml:space="preserve">CIED technical support services </w:t>
      </w:r>
    </w:p>
    <w:p w14:paraId="56A9D906" w14:textId="6AD41F32" w:rsidR="00A33ACE" w:rsidRPr="005F5BEA" w:rsidRDefault="00A33ACE" w:rsidP="00A33ACE">
      <w:r w:rsidRPr="005F5BEA">
        <w:t xml:space="preserve">There is no standardised training and accreditation process for </w:t>
      </w:r>
      <w:r w:rsidR="00E60553" w:rsidRPr="005F5BEA">
        <w:t>cardiac technician</w:t>
      </w:r>
      <w:r w:rsidRPr="005F5BEA">
        <w:t xml:space="preserve">s in Australia. The education and training pathway for </w:t>
      </w:r>
      <w:r w:rsidR="00E60553" w:rsidRPr="005F5BEA">
        <w:t>cardiac technician</w:t>
      </w:r>
      <w:r w:rsidRPr="005F5BEA">
        <w:t xml:space="preserve">s </w:t>
      </w:r>
      <w:r w:rsidR="00BA5EB8" w:rsidRPr="005F5BEA">
        <w:t xml:space="preserve">usually </w:t>
      </w:r>
      <w:r w:rsidR="002D391E" w:rsidRPr="005F5BEA">
        <w:t xml:space="preserve">involves </w:t>
      </w:r>
      <w:r w:rsidRPr="005F5BEA">
        <w:t xml:space="preserve">a </w:t>
      </w:r>
      <w:r w:rsidR="00AB41B4" w:rsidRPr="005F5BEA">
        <w:t xml:space="preserve">tertiary </w:t>
      </w:r>
      <w:r w:rsidR="004321EA" w:rsidRPr="005F5BEA">
        <w:t xml:space="preserve">qualification (e.g., a </w:t>
      </w:r>
      <w:r w:rsidRPr="005F5BEA">
        <w:t>Bachelor of Science (BSc) degree</w:t>
      </w:r>
      <w:r w:rsidR="004321EA" w:rsidRPr="005F5BEA">
        <w:t xml:space="preserve"> or equivalent)</w:t>
      </w:r>
      <w:r w:rsidRPr="005F5BEA">
        <w:t xml:space="preserve"> and employment as a cardiac physiologist. Both </w:t>
      </w:r>
      <w:r w:rsidR="00BA5EB8" w:rsidRPr="005F5BEA">
        <w:t>clinic</w:t>
      </w:r>
      <w:r w:rsidRPr="005F5BEA">
        <w:t>/</w:t>
      </w:r>
      <w:r w:rsidR="00BA5EB8" w:rsidRPr="005F5BEA">
        <w:t>hospital</w:t>
      </w:r>
      <w:r w:rsidRPr="005F5BEA">
        <w:t>-employed cardiac technicians and IE</w:t>
      </w:r>
      <w:r w:rsidR="00B62C82" w:rsidRPr="005F5BEA">
        <w:t>CT</w:t>
      </w:r>
      <w:r w:rsidRPr="005F5BEA">
        <w:t xml:space="preserve">s currently </w:t>
      </w:r>
      <w:r w:rsidR="00BA5EB8" w:rsidRPr="005F5BEA">
        <w:t>work towards</w:t>
      </w:r>
      <w:r w:rsidRPr="005F5BEA">
        <w:t xml:space="preserve"> certification provided by the Allied Professionals Certified Cardiac Device Specialist (CCDS) Exam through the International Board of Heart Rhythm Examiners (IBHRE). The CSANZ </w:t>
      </w:r>
      <w:r w:rsidRPr="005F5BEA">
        <w:lastRenderedPageBreak/>
        <w:t xml:space="preserve">guidelines recommend development of a co-ordinated national approach to training and credentialing of </w:t>
      </w:r>
      <w:r w:rsidR="00E60553" w:rsidRPr="005F5BEA">
        <w:t>cardiac technician</w:t>
      </w:r>
      <w:r w:rsidRPr="005F5BEA">
        <w:t xml:space="preserve">s in Australia, </w:t>
      </w:r>
      <w:proofErr w:type="gramStart"/>
      <w:r w:rsidRPr="005F5BEA">
        <w:t>similar to</w:t>
      </w:r>
      <w:proofErr w:type="gramEnd"/>
      <w:r w:rsidRPr="005F5BEA">
        <w:t xml:space="preserve"> that available in New Zealand.</w:t>
      </w:r>
      <w:r w:rsidR="00E46CAD" w:rsidRPr="005F5BEA" w:rsidDel="00E46CAD">
        <w:t xml:space="preserve"> </w:t>
      </w:r>
    </w:p>
    <w:p w14:paraId="7145B5EA" w14:textId="66BDA976" w:rsidR="007D014F" w:rsidRPr="005F5BEA" w:rsidRDefault="00B62C82" w:rsidP="007D014F">
      <w:r w:rsidRPr="005F5BEA">
        <w:t>IECT</w:t>
      </w:r>
      <w:r w:rsidR="007D014F" w:rsidRPr="005F5BEA">
        <w:t xml:space="preserve">s are cardiac technicians but as employees of a single CIED company are trained by their employer to provide technical support </w:t>
      </w:r>
      <w:r w:rsidR="00004DE2" w:rsidRPr="005F5BEA">
        <w:t>for</w:t>
      </w:r>
      <w:r w:rsidR="007D014F" w:rsidRPr="005F5BEA">
        <w:t xml:space="preserve"> CIEDs supplied by their company.</w:t>
      </w:r>
      <w:r w:rsidR="00004DE2" w:rsidRPr="005F5BEA" w:rsidDel="00004DE2">
        <w:t xml:space="preserve"> </w:t>
      </w:r>
    </w:p>
    <w:p w14:paraId="5C5BBC1F" w14:textId="5807A09C" w:rsidR="001E3164" w:rsidRPr="005F5BEA" w:rsidRDefault="00004DE2" w:rsidP="001E3164">
      <w:r w:rsidRPr="005F5BEA">
        <w:t>Non-industry</w:t>
      </w:r>
      <w:r w:rsidR="00A33ACE" w:rsidRPr="005F5BEA">
        <w:t xml:space="preserve">-employed </w:t>
      </w:r>
      <w:r w:rsidR="00E60553" w:rsidRPr="005F5BEA">
        <w:t>cardiac technician</w:t>
      </w:r>
      <w:r w:rsidR="00A33ACE" w:rsidRPr="005F5BEA">
        <w:t xml:space="preserve">s </w:t>
      </w:r>
      <w:r w:rsidRPr="005F5BEA">
        <w:t xml:space="preserve">in a clinic or hospital </w:t>
      </w:r>
      <w:r w:rsidR="00A33ACE" w:rsidRPr="005F5BEA">
        <w:t xml:space="preserve">receive workplace-based training and mentoring from more experienced cardiac technologists. They may </w:t>
      </w:r>
      <w:r w:rsidR="00473DC9" w:rsidRPr="005F5BEA">
        <w:t xml:space="preserve">also </w:t>
      </w:r>
      <w:r w:rsidR="00A33ACE" w:rsidRPr="005F5BEA">
        <w:t xml:space="preserve">obtain </w:t>
      </w:r>
      <w:r w:rsidR="00330A90" w:rsidRPr="005F5BEA">
        <w:t>IBHRE certification</w:t>
      </w:r>
      <w:r w:rsidR="00473DC9" w:rsidRPr="005F5BEA">
        <w:t>,</w:t>
      </w:r>
      <w:r w:rsidR="00A33ACE" w:rsidRPr="005F5BEA">
        <w:t xml:space="preserve"> as discussed above. Additionally, they receive on-going training/education on an annual basis specific to </w:t>
      </w:r>
      <w:r w:rsidR="00330A90" w:rsidRPr="005F5BEA">
        <w:t xml:space="preserve">the </w:t>
      </w:r>
      <w:r w:rsidR="00A33ACE" w:rsidRPr="005F5BEA">
        <w:t xml:space="preserve">individual company CIEDs from </w:t>
      </w:r>
      <w:r w:rsidR="00B62C82" w:rsidRPr="005F5BEA">
        <w:t>IECT</w:t>
      </w:r>
      <w:r w:rsidR="00A33ACE" w:rsidRPr="005F5BEA">
        <w:t xml:space="preserve">s </w:t>
      </w:r>
      <w:r w:rsidR="00330A90" w:rsidRPr="005F5BEA">
        <w:t xml:space="preserve">employed by </w:t>
      </w:r>
      <w:r w:rsidR="00A33ACE" w:rsidRPr="005F5BEA">
        <w:t xml:space="preserve">each of the </w:t>
      </w:r>
      <w:r w:rsidR="004321EA" w:rsidRPr="005F5BEA">
        <w:t>five</w:t>
      </w:r>
      <w:r w:rsidR="00A33ACE" w:rsidRPr="005F5BEA">
        <w:t xml:space="preserve"> companies currently </w:t>
      </w:r>
      <w:r w:rsidR="00F02864" w:rsidRPr="005F5BEA">
        <w:t>providing services active</w:t>
      </w:r>
      <w:r w:rsidR="00A33ACE" w:rsidRPr="005F5BEA">
        <w:t xml:space="preserve"> in Australia (</w:t>
      </w:r>
      <w:bookmarkStart w:id="9" w:name="_Hlk119665464"/>
      <w:r w:rsidR="00A33ACE" w:rsidRPr="005F5BEA">
        <w:t xml:space="preserve">Abbott, </w:t>
      </w:r>
      <w:proofErr w:type="spellStart"/>
      <w:r w:rsidR="00A33ACE" w:rsidRPr="005F5BEA">
        <w:t>Biotronik</w:t>
      </w:r>
      <w:proofErr w:type="spellEnd"/>
      <w:r w:rsidR="00A33ACE" w:rsidRPr="005F5BEA">
        <w:t>, Boston Scientific, Medtronic</w:t>
      </w:r>
      <w:r w:rsidR="00A23DB7" w:rsidRPr="005F5BEA">
        <w:t>,</w:t>
      </w:r>
      <w:r w:rsidR="00A33ACE" w:rsidRPr="005F5BEA">
        <w:t xml:space="preserve"> </w:t>
      </w:r>
      <w:r w:rsidR="004321EA" w:rsidRPr="005F5BEA">
        <w:t xml:space="preserve">and </w:t>
      </w:r>
      <w:proofErr w:type="spellStart"/>
      <w:r w:rsidR="00330A90" w:rsidRPr="005F5BEA">
        <w:t>MicroPor</w:t>
      </w:r>
      <w:r w:rsidR="004321EA" w:rsidRPr="005F5BEA">
        <w:t>t</w:t>
      </w:r>
      <w:bookmarkEnd w:id="9"/>
      <w:proofErr w:type="spellEnd"/>
      <w:r w:rsidR="00A23DB7" w:rsidRPr="005F5BEA">
        <w:t>)</w:t>
      </w:r>
      <w:r w:rsidR="00A33ACE" w:rsidRPr="005F5BEA">
        <w:t xml:space="preserve">. The extent, </w:t>
      </w:r>
      <w:proofErr w:type="gramStart"/>
      <w:r w:rsidR="00A33ACE" w:rsidRPr="005F5BEA">
        <w:t>time</w:t>
      </w:r>
      <w:proofErr w:type="gramEnd"/>
      <w:r w:rsidR="00A33ACE" w:rsidRPr="005F5BEA">
        <w:t xml:space="preserve"> and associated costs of provision of product specific training and educational support </w:t>
      </w:r>
      <w:r w:rsidR="00034117" w:rsidRPr="005F5BEA">
        <w:t xml:space="preserve">for cardiac technicians </w:t>
      </w:r>
      <w:r w:rsidR="00A33ACE" w:rsidRPr="005F5BEA">
        <w:t xml:space="preserve">from industry via </w:t>
      </w:r>
      <w:r w:rsidR="00B62C82" w:rsidRPr="005F5BEA">
        <w:t>IECT</w:t>
      </w:r>
      <w:r w:rsidR="00A33ACE" w:rsidRPr="005F5BEA">
        <w:t xml:space="preserve">s was not included in the ADAR. </w:t>
      </w:r>
      <w:r w:rsidR="00F013B3" w:rsidRPr="005F5BEA">
        <w:t xml:space="preserve">However, </w:t>
      </w:r>
      <w:r w:rsidR="004321EA" w:rsidRPr="005F5BEA">
        <w:t xml:space="preserve">according to the MTAA Cardiac Forum in response to a request for further information, </w:t>
      </w:r>
      <w:r w:rsidR="00F013B3" w:rsidRPr="005F5BEA">
        <w:t xml:space="preserve">training </w:t>
      </w:r>
      <w:r w:rsidR="004321EA" w:rsidRPr="005F5BEA">
        <w:t xml:space="preserve">of clinic staff by </w:t>
      </w:r>
      <w:r w:rsidR="00B62C82" w:rsidRPr="005F5BEA">
        <w:t>IECT</w:t>
      </w:r>
      <w:r w:rsidR="004321EA" w:rsidRPr="005F5BEA">
        <w:t xml:space="preserve">s </w:t>
      </w:r>
      <w:r w:rsidR="00F013B3" w:rsidRPr="005F5BEA">
        <w:t xml:space="preserve">takes the form of </w:t>
      </w:r>
      <w:r w:rsidR="004321EA" w:rsidRPr="005F5BEA">
        <w:t xml:space="preserve">both </w:t>
      </w:r>
      <w:r w:rsidR="00F013B3" w:rsidRPr="005F5BEA">
        <w:t xml:space="preserve">formal education (in-house services) and ad-hoc education, both of which are provided free of charge. </w:t>
      </w:r>
      <w:r w:rsidR="007D014F" w:rsidRPr="005F5BEA">
        <w:t xml:space="preserve">Formal education comprises pre-planned in-person (on or off-site) or virtual sessions. </w:t>
      </w:r>
      <w:r w:rsidR="001E3164" w:rsidRPr="005F5BEA">
        <w:t>Information from a private CIED clinic that employs cardiac technicians to support their cardiologists suggests that approximately 5 product-specific training sessions per annum (one per CIED manufacturer) would be provided to each hospital/clinic team to introduce and discuss any new CIED models or hardware/software/associated technology changes.</w:t>
      </w:r>
    </w:p>
    <w:p w14:paraId="5C7965ED" w14:textId="1D0294F4" w:rsidR="00421A47" w:rsidRPr="005F5BEA" w:rsidRDefault="00421A47">
      <w:pPr>
        <w:pStyle w:val="Heading3"/>
      </w:pPr>
      <w:r w:rsidRPr="005F5BEA">
        <w:t>Australian expert consensus recommendations for follow-up</w:t>
      </w:r>
      <w:r w:rsidR="002A66ED" w:rsidRPr="005F5BEA">
        <w:t xml:space="preserve"> of CIED</w:t>
      </w:r>
    </w:p>
    <w:p w14:paraId="53C1B51C" w14:textId="47D70D1C" w:rsidR="00A33ACE" w:rsidRPr="005F5BEA" w:rsidRDefault="00C72B9E">
      <w:pPr>
        <w:rPr>
          <w:rFonts w:ascii="Arial Narrow" w:hAnsi="Arial Narrow"/>
          <w:b/>
          <w:noProof/>
          <w:sz w:val="20"/>
        </w:rPr>
      </w:pPr>
      <w:r w:rsidRPr="005F5BEA">
        <w:t>Expert guidance for follow-up technical services has been published.</w:t>
      </w:r>
      <w:r w:rsidRPr="005F5BEA">
        <w:rPr>
          <w:rStyle w:val="FootnoteReference"/>
        </w:rPr>
        <w:footnoteReference w:id="15"/>
      </w:r>
      <w:r w:rsidRPr="005F5BEA">
        <w:rPr>
          <w:vertAlign w:val="superscript"/>
        </w:rPr>
        <w:t>,</w:t>
      </w:r>
      <w:r w:rsidR="003F58DB" w:rsidRPr="005F5BEA">
        <w:rPr>
          <w:rStyle w:val="FootnoteReference"/>
        </w:rPr>
        <w:footnoteReference w:id="16"/>
      </w:r>
      <w:r w:rsidR="007813CE" w:rsidRPr="005F5BEA">
        <w:t xml:space="preserve"> </w:t>
      </w:r>
      <w:r w:rsidR="00A33ACE" w:rsidRPr="005F5BEA">
        <w:t xml:space="preserve">The </w:t>
      </w:r>
      <w:bookmarkStart w:id="11" w:name="_Hlk119669995"/>
      <w:r w:rsidR="00A33ACE" w:rsidRPr="005F5BEA">
        <w:t xml:space="preserve">CSANZ expert consensus </w:t>
      </w:r>
      <w:r w:rsidR="001F1628" w:rsidRPr="005F5BEA">
        <w:t>schema</w:t>
      </w:r>
      <w:r w:rsidR="00A33ACE" w:rsidRPr="005F5BEA">
        <w:t xml:space="preserve"> for CIED follow-up</w:t>
      </w:r>
      <w:r w:rsidR="008230BB" w:rsidRPr="005F5BEA">
        <w:t xml:space="preserve"> from the 2022 guidelines</w:t>
      </w:r>
      <w:r w:rsidR="00A33ACE" w:rsidRPr="005F5BEA">
        <w:t xml:space="preserve"> </w:t>
      </w:r>
      <w:bookmarkEnd w:id="11"/>
      <w:r w:rsidR="00A33ACE" w:rsidRPr="005F5BEA">
        <w:t>recommends that scheduled CIED checks</w:t>
      </w:r>
      <w:r w:rsidR="00665389" w:rsidRPr="005F5BEA">
        <w:t>, either remote or in-person,</w:t>
      </w:r>
      <w:r w:rsidR="00A33ACE" w:rsidRPr="005F5BEA">
        <w:t xml:space="preserve"> should occur at least every 12 months for patients with PPMs, at least every 6 months for patients with ICDs or CRT</w:t>
      </w:r>
      <w:r w:rsidR="005B1245" w:rsidRPr="005F5BEA">
        <w:t>D</w:t>
      </w:r>
      <w:r w:rsidR="00A33ACE" w:rsidRPr="005F5BEA">
        <w:t xml:space="preserve">s and as clinically indicated for patients with ILRs. </w:t>
      </w:r>
      <w:r w:rsidR="002E7731" w:rsidRPr="005F5BEA">
        <w:t>There is no recommendation regarding the exact frequency of scheduled checks as these may be influenced by the presence or absence of remote monitoring alerts and changes in the patient’s clinical status at review. The frequency of remote monitoring may be changed in response to the outcome of scheduled checks, changes in the patient’s clinical status or device reprogramming</w:t>
      </w:r>
      <w:r w:rsidR="00A55CCA" w:rsidRPr="005F5BEA">
        <w:t>. Additionally, unscheduled services may be required when patients undergo certain procedures, including MRI scans, radiation oncology, and electrophysiology procedures.</w:t>
      </w:r>
    </w:p>
    <w:p w14:paraId="710265CC" w14:textId="2FBD9F97" w:rsidR="00891F8F" w:rsidRPr="005F5BEA" w:rsidRDefault="00557EDC" w:rsidP="009F7E58">
      <w:pPr>
        <w:pStyle w:val="TableHeading"/>
        <w:keepNext/>
      </w:pPr>
      <w:bookmarkStart w:id="12" w:name="_Ref119585983"/>
      <w:bookmarkStart w:id="13" w:name="_Hlk119670092"/>
      <w:r w:rsidRPr="005F5BEA">
        <w:lastRenderedPageBreak/>
        <w:t xml:space="preserve">Figure </w:t>
      </w:r>
      <w:r w:rsidRPr="005F5BEA">
        <w:fldChar w:fldCharType="begin"/>
      </w:r>
      <w:r w:rsidRPr="005F5BEA">
        <w:instrText>SEQ Figure \* ARABIC</w:instrText>
      </w:r>
      <w:r w:rsidRPr="005F5BEA">
        <w:fldChar w:fldCharType="separate"/>
      </w:r>
      <w:r w:rsidR="00334548">
        <w:rPr>
          <w:noProof/>
        </w:rPr>
        <w:t>2</w:t>
      </w:r>
      <w:r w:rsidRPr="005F5BEA">
        <w:fldChar w:fldCharType="end"/>
      </w:r>
      <w:bookmarkEnd w:id="12"/>
      <w:r w:rsidRPr="005F5BEA">
        <w:t xml:space="preserve"> </w:t>
      </w:r>
      <w:r w:rsidR="002B781D" w:rsidRPr="005F5BEA">
        <w:t xml:space="preserve">Schema for </w:t>
      </w:r>
      <w:r w:rsidR="00891F8F" w:rsidRPr="005F5BEA">
        <w:t>CIED follow-up</w:t>
      </w:r>
    </w:p>
    <w:p w14:paraId="60DBF989" w14:textId="56E3B253" w:rsidR="002B781D" w:rsidRPr="005F5BEA" w:rsidRDefault="00557EDC" w:rsidP="00C825E4">
      <w:pPr>
        <w:pStyle w:val="TableFooter"/>
      </w:pPr>
      <w:r w:rsidRPr="005F5BEA">
        <w:t xml:space="preserve"> </w:t>
      </w:r>
      <w:r w:rsidR="002B781D" w:rsidRPr="005F5BEA">
        <w:rPr>
          <w:noProof/>
        </w:rPr>
        <w:drawing>
          <wp:inline distT="0" distB="0" distL="0" distR="0" wp14:anchorId="7CF3D15D" wp14:editId="55A3FE6F">
            <wp:extent cx="3824577" cy="3715555"/>
            <wp:effectExtent l="0" t="0" r="5080" b="0"/>
            <wp:docPr id="2" name="Picture 2" descr="Schema for CIED follo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4060" cy="3763627"/>
                    </a:xfrm>
                    <a:prstGeom prst="rect">
                      <a:avLst/>
                    </a:prstGeom>
                    <a:noFill/>
                  </pic:spPr>
                </pic:pic>
              </a:graphicData>
            </a:graphic>
          </wp:inline>
        </w:drawing>
      </w:r>
    </w:p>
    <w:p w14:paraId="60D4D3C2" w14:textId="0832598A" w:rsidR="00FA5265" w:rsidRPr="005F5BEA" w:rsidRDefault="002B781D" w:rsidP="00C825E4">
      <w:pPr>
        <w:pStyle w:val="TableFooter"/>
        <w:spacing w:before="240" w:after="120"/>
        <w:contextualSpacing w:val="0"/>
      </w:pPr>
      <w:r w:rsidRPr="005F5BEA">
        <w:t>Adapted</w:t>
      </w:r>
      <w:r w:rsidR="00C73DA0" w:rsidRPr="005F5BEA">
        <w:t xml:space="preserve"> from Leitch et al (2022) Figure 1.</w:t>
      </w:r>
    </w:p>
    <w:p w14:paraId="1A61C3B9" w14:textId="4829704D" w:rsidR="00A33ACE" w:rsidRPr="005F5BEA" w:rsidRDefault="00A33ACE" w:rsidP="00EC7DCA">
      <w:pPr>
        <w:pStyle w:val="TableFooter"/>
        <w:spacing w:after="120"/>
      </w:pPr>
      <w:r w:rsidRPr="005F5BEA">
        <w:t>CIED</w:t>
      </w:r>
      <w:r w:rsidR="00D45497" w:rsidRPr="005F5BEA">
        <w:t xml:space="preserve"> = </w:t>
      </w:r>
      <w:r w:rsidRPr="005F5BEA">
        <w:t>cardiovascular implant</w:t>
      </w:r>
      <w:r w:rsidR="005428F7" w:rsidRPr="005F5BEA">
        <w:t>able</w:t>
      </w:r>
      <w:r w:rsidRPr="005F5BEA">
        <w:t xml:space="preserve"> electronic device; IC</w:t>
      </w:r>
      <w:r w:rsidR="00D45497" w:rsidRPr="005F5BEA">
        <w:t xml:space="preserve">D = </w:t>
      </w:r>
      <w:r w:rsidRPr="005F5BEA">
        <w:t>implantable cardioverter-defib</w:t>
      </w:r>
      <w:r w:rsidR="003A4F64" w:rsidRPr="005F5BEA">
        <w:t>r</w:t>
      </w:r>
      <w:r w:rsidRPr="005F5BEA">
        <w:t>illator; CRT</w:t>
      </w:r>
      <w:r w:rsidR="00D45497" w:rsidRPr="005F5BEA">
        <w:t xml:space="preserve"> = </w:t>
      </w:r>
      <w:r w:rsidRPr="005F5BEA">
        <w:t>cardiac resynchronisation therapy; PPM</w:t>
      </w:r>
      <w:r w:rsidR="00D45497" w:rsidRPr="005F5BEA">
        <w:t xml:space="preserve"> = </w:t>
      </w:r>
      <w:r w:rsidRPr="005F5BEA">
        <w:t>permanent pacemaker; ILR</w:t>
      </w:r>
      <w:r w:rsidR="00D45497" w:rsidRPr="005F5BEA">
        <w:t xml:space="preserve"> = </w:t>
      </w:r>
      <w:r w:rsidRPr="005F5BEA">
        <w:t>implantable loop recorder.</w:t>
      </w:r>
    </w:p>
    <w:bookmarkEnd w:id="13"/>
    <w:p w14:paraId="4063F890" w14:textId="77777777" w:rsidR="00097D90" w:rsidRPr="005F5BEA" w:rsidRDefault="00097D90" w:rsidP="00097D90">
      <w:pPr>
        <w:keepNext/>
        <w:keepLines/>
        <w:tabs>
          <w:tab w:val="left" w:pos="851"/>
        </w:tabs>
        <w:spacing w:before="360" w:after="200" w:line="240" w:lineRule="auto"/>
        <w:outlineLvl w:val="2"/>
        <w:rPr>
          <w:rFonts w:ascii="Franklin Gothic Medium" w:eastAsiaTheme="majorEastAsia" w:hAnsi="Franklin Gothic Medium" w:cstheme="majorBidi"/>
          <w:sz w:val="24"/>
          <w:szCs w:val="24"/>
        </w:rPr>
      </w:pPr>
      <w:r w:rsidRPr="005F5BEA">
        <w:rPr>
          <w:rFonts w:ascii="Franklin Gothic Medium" w:eastAsiaTheme="majorEastAsia" w:hAnsi="Franklin Gothic Medium" w:cstheme="majorBidi"/>
          <w:sz w:val="24"/>
          <w:szCs w:val="24"/>
        </w:rPr>
        <w:t>Technical services during CIED implantation and follow-up</w:t>
      </w:r>
    </w:p>
    <w:p w14:paraId="0CD83338" w14:textId="35F8B192" w:rsidR="00A427E8" w:rsidRPr="005F5BEA" w:rsidRDefault="00B62C82" w:rsidP="00A427E8">
      <w:r w:rsidRPr="005F5BEA">
        <w:t>IECT</w:t>
      </w:r>
      <w:r w:rsidR="00A427E8" w:rsidRPr="005F5BEA">
        <w:t xml:space="preserve">s can provide technical support to the clinical team during CIED implantation and post-implantation follow-up. The Heart Rhythm Society policy statement </w:t>
      </w:r>
      <w:r w:rsidR="00E41526" w:rsidRPr="005F5BEA">
        <w:t xml:space="preserve">by Haines et al (2022) </w:t>
      </w:r>
      <w:r w:rsidR="00A427E8" w:rsidRPr="005F5BEA">
        <w:t xml:space="preserve">provides guidance on the role of </w:t>
      </w:r>
      <w:r w:rsidRPr="005F5BEA">
        <w:t>IECT</w:t>
      </w:r>
      <w:r w:rsidR="00A427E8" w:rsidRPr="005F5BEA">
        <w:t xml:space="preserve"> but it is unclear whether these recommendations are adhered to in Australia.</w:t>
      </w:r>
      <w:r w:rsidR="00170837" w:rsidRPr="005F5BEA">
        <w:t xml:space="preserve"> A member of the reference group has </w:t>
      </w:r>
      <w:r w:rsidR="0096304F" w:rsidRPr="005F5BEA">
        <w:t>advised</w:t>
      </w:r>
      <w:r w:rsidR="00170837" w:rsidRPr="005F5BEA">
        <w:t xml:space="preserve"> that these guidelines have not been adhered to in Australia.</w:t>
      </w:r>
    </w:p>
    <w:p w14:paraId="5D31AD6E" w14:textId="20C0FFF1" w:rsidR="00A427E8" w:rsidRPr="005F5BEA" w:rsidRDefault="00A427E8" w:rsidP="00A427E8">
      <w:r w:rsidRPr="005F5BEA">
        <w:t xml:space="preserve">CIED services that may require </w:t>
      </w:r>
      <w:r w:rsidR="00B62C82" w:rsidRPr="005F5BEA">
        <w:t>IECT</w:t>
      </w:r>
      <w:r w:rsidRPr="005F5BEA">
        <w:t xml:space="preserve"> </w:t>
      </w:r>
      <w:r w:rsidR="00F25625" w:rsidRPr="005F5BEA">
        <w:t xml:space="preserve">technical </w:t>
      </w:r>
      <w:r w:rsidRPr="005F5BEA">
        <w:t>support can be divided into the following categories:</w:t>
      </w:r>
    </w:p>
    <w:p w14:paraId="55D736BE" w14:textId="77777777" w:rsidR="00A427E8" w:rsidRPr="005F5BEA" w:rsidRDefault="00A427E8" w:rsidP="00AB5B20">
      <w:pPr>
        <w:numPr>
          <w:ilvl w:val="0"/>
          <w:numId w:val="11"/>
        </w:numPr>
        <w:contextualSpacing/>
      </w:pPr>
      <w:r w:rsidRPr="005F5BEA">
        <w:t>Implantation support</w:t>
      </w:r>
    </w:p>
    <w:p w14:paraId="3C5BF270" w14:textId="0624D143" w:rsidR="00A427E8" w:rsidRPr="005F5BEA" w:rsidRDefault="00A427E8" w:rsidP="00AB5B20">
      <w:pPr>
        <w:numPr>
          <w:ilvl w:val="0"/>
          <w:numId w:val="11"/>
        </w:numPr>
        <w:contextualSpacing/>
      </w:pPr>
      <w:r w:rsidRPr="005F5BEA">
        <w:t xml:space="preserve">Scheduled </w:t>
      </w:r>
      <w:r w:rsidR="00E84681" w:rsidRPr="005F5BEA">
        <w:t xml:space="preserve">in-person follow-up </w:t>
      </w:r>
      <w:proofErr w:type="gramStart"/>
      <w:r w:rsidR="00E84681" w:rsidRPr="005F5BEA">
        <w:t>services</w:t>
      </w:r>
      <w:proofErr w:type="gramEnd"/>
    </w:p>
    <w:p w14:paraId="2E707D3E" w14:textId="4D7CA86B" w:rsidR="00A427E8" w:rsidRPr="005F5BEA" w:rsidRDefault="00E84681" w:rsidP="00AB5B20">
      <w:pPr>
        <w:numPr>
          <w:ilvl w:val="0"/>
          <w:numId w:val="11"/>
        </w:numPr>
        <w:ind w:left="714" w:hanging="357"/>
        <w:contextualSpacing/>
      </w:pPr>
      <w:r w:rsidRPr="005F5BEA">
        <w:t>Unscheduled in-person cardiac technical support services</w:t>
      </w:r>
    </w:p>
    <w:p w14:paraId="43004FE4" w14:textId="77777777" w:rsidR="00D048CF" w:rsidRPr="005F5BEA" w:rsidRDefault="00A427E8" w:rsidP="00AB5B20">
      <w:pPr>
        <w:numPr>
          <w:ilvl w:val="0"/>
          <w:numId w:val="11"/>
        </w:numPr>
        <w:ind w:left="714" w:hanging="357"/>
        <w:contextualSpacing/>
      </w:pPr>
      <w:r w:rsidRPr="005F5BEA">
        <w:t>Remote monitoring</w:t>
      </w:r>
      <w:r w:rsidR="00E84681" w:rsidRPr="005F5BEA">
        <w:t xml:space="preserve"> services</w:t>
      </w:r>
    </w:p>
    <w:p w14:paraId="7865C1CC" w14:textId="6D62FCAF" w:rsidR="00EE6A64" w:rsidRPr="005F5BEA" w:rsidRDefault="00EE6A64" w:rsidP="00AB5B20">
      <w:pPr>
        <w:numPr>
          <w:ilvl w:val="0"/>
          <w:numId w:val="11"/>
        </w:numPr>
        <w:ind w:left="714" w:hanging="357"/>
      </w:pPr>
      <w:r w:rsidRPr="005F5BEA">
        <w:t xml:space="preserve">Remote services provided by telephone or </w:t>
      </w:r>
      <w:proofErr w:type="gramStart"/>
      <w:r w:rsidRPr="005F5BEA">
        <w:t>email</w:t>
      </w:r>
      <w:proofErr w:type="gramEnd"/>
      <w:r w:rsidRPr="005F5BEA">
        <w:t xml:space="preserve"> </w:t>
      </w:r>
    </w:p>
    <w:p w14:paraId="086965B9" w14:textId="701B7098" w:rsidR="004C1570" w:rsidRPr="005F5BEA" w:rsidRDefault="00A427E8" w:rsidP="00374BF7">
      <w:pPr>
        <w:keepNext/>
        <w:spacing w:after="60" w:line="240" w:lineRule="auto"/>
      </w:pPr>
      <w:r w:rsidRPr="005F5BEA">
        <w:t>A description of each type of technical service</w:t>
      </w:r>
      <w:r w:rsidR="00F25625" w:rsidRPr="005F5BEA">
        <w:t xml:space="preserve"> and </w:t>
      </w:r>
      <w:r w:rsidRPr="005F5BEA">
        <w:t>the setting it is provided in</w:t>
      </w:r>
      <w:r w:rsidR="00F25625" w:rsidRPr="005F5BEA">
        <w:t xml:space="preserve"> are</w:t>
      </w:r>
      <w:r w:rsidR="00E41526" w:rsidRPr="005F5BEA">
        <w:t xml:space="preserve"> shown in</w:t>
      </w:r>
      <w:r w:rsidR="002507C2" w:rsidRPr="005F5BEA">
        <w:t xml:space="preserve"> </w:t>
      </w:r>
      <w:r w:rsidR="002507C2" w:rsidRPr="005F5BEA">
        <w:fldChar w:fldCharType="begin"/>
      </w:r>
      <w:r w:rsidR="002507C2" w:rsidRPr="005F5BEA">
        <w:instrText xml:space="preserve"> REF _Ref135302241 \h </w:instrText>
      </w:r>
      <w:r w:rsidR="005F5BEA">
        <w:instrText xml:space="preserve"> \* MERGEFORMAT </w:instrText>
      </w:r>
      <w:r w:rsidR="002507C2" w:rsidRPr="005F5BEA">
        <w:fldChar w:fldCharType="separate"/>
      </w:r>
      <w:r w:rsidR="00334548" w:rsidRPr="005F5BEA">
        <w:t xml:space="preserve">Table </w:t>
      </w:r>
      <w:r w:rsidR="00334548">
        <w:rPr>
          <w:noProof/>
        </w:rPr>
        <w:t>3</w:t>
      </w:r>
      <w:r w:rsidR="002507C2" w:rsidRPr="005F5BEA">
        <w:fldChar w:fldCharType="end"/>
      </w:r>
      <w:r w:rsidR="007A0073" w:rsidRPr="005F5BEA">
        <w:t xml:space="preserve"> </w:t>
      </w:r>
      <w:r w:rsidRPr="005F5BEA">
        <w:t xml:space="preserve">The role of </w:t>
      </w:r>
      <w:r w:rsidR="00B62C82" w:rsidRPr="005F5BEA">
        <w:t>IECT</w:t>
      </w:r>
      <w:r w:rsidRPr="005F5BEA">
        <w:t xml:space="preserve">s in </w:t>
      </w:r>
      <w:r w:rsidR="00E41526" w:rsidRPr="005F5BEA">
        <w:t xml:space="preserve">provision of </w:t>
      </w:r>
      <w:r w:rsidRPr="005F5BEA">
        <w:t>these services is discussed below.</w:t>
      </w:r>
      <w:bookmarkStart w:id="14" w:name="_Ref120484945"/>
      <w:r w:rsidR="004C1570" w:rsidRPr="005F5BEA">
        <w:br w:type="page"/>
      </w:r>
    </w:p>
    <w:p w14:paraId="29231723" w14:textId="053E9F34" w:rsidR="002507C2" w:rsidRPr="005F5BEA" w:rsidRDefault="002507C2" w:rsidP="002507C2">
      <w:pPr>
        <w:pStyle w:val="TableHeading"/>
        <w:keepNext/>
      </w:pPr>
      <w:bookmarkStart w:id="15" w:name="_Ref135302241"/>
      <w:bookmarkEnd w:id="14"/>
      <w:r w:rsidRPr="005F5BEA">
        <w:lastRenderedPageBreak/>
        <w:t xml:space="preserve">Table </w:t>
      </w:r>
      <w:fldSimple w:instr=" SEQ Table \* ARABIC ">
        <w:r w:rsidR="00334548">
          <w:rPr>
            <w:noProof/>
          </w:rPr>
          <w:t>3</w:t>
        </w:r>
      </w:fldSimple>
      <w:bookmarkEnd w:id="15"/>
      <w:r w:rsidRPr="005F5BEA">
        <w:t>: CIED technical services</w:t>
      </w:r>
    </w:p>
    <w:tbl>
      <w:tblPr>
        <w:tblStyle w:val="MSAC2"/>
        <w:tblW w:w="4950" w:type="pct"/>
        <w:tblLook w:val="01E0" w:firstRow="1" w:lastRow="1" w:firstColumn="1" w:lastColumn="1" w:noHBand="0" w:noVBand="0"/>
        <w:tblCaption w:val="Cardiac services"/>
      </w:tblPr>
      <w:tblGrid>
        <w:gridCol w:w="2122"/>
        <w:gridCol w:w="4251"/>
        <w:gridCol w:w="2553"/>
      </w:tblGrid>
      <w:tr w:rsidR="00E41526" w:rsidRPr="005F5BEA" w14:paraId="33DAFACE" w14:textId="77777777" w:rsidTr="009F7E58">
        <w:trPr>
          <w:cnfStyle w:val="100000000000" w:firstRow="1" w:lastRow="0" w:firstColumn="0" w:lastColumn="0" w:oddVBand="0" w:evenVBand="0" w:oddHBand="0" w:evenHBand="0" w:firstRowFirstColumn="0" w:firstRowLastColumn="0" w:lastRowFirstColumn="0" w:lastRowLastColumn="0"/>
          <w:cantSplit/>
          <w:trHeight w:val="340"/>
        </w:trPr>
        <w:tc>
          <w:tcPr>
            <w:tcW w:w="1189" w:type="pct"/>
          </w:tcPr>
          <w:p w14:paraId="6D3A068C" w14:textId="77777777" w:rsidR="00E41526" w:rsidRPr="005F5BEA" w:rsidRDefault="00E41526" w:rsidP="00097D90">
            <w:pPr>
              <w:spacing w:after="60"/>
              <w:rPr>
                <w:rFonts w:ascii="Arial Narrow" w:eastAsia="Calibri" w:hAnsi="Arial Narrow"/>
              </w:rPr>
            </w:pPr>
            <w:r w:rsidRPr="005F5BEA">
              <w:rPr>
                <w:rFonts w:ascii="Arial Narrow" w:eastAsia="Calibri" w:hAnsi="Arial Narrow"/>
              </w:rPr>
              <w:t>Service</w:t>
            </w:r>
          </w:p>
        </w:tc>
        <w:tc>
          <w:tcPr>
            <w:tcW w:w="2381" w:type="pct"/>
          </w:tcPr>
          <w:p w14:paraId="661A088A" w14:textId="77777777" w:rsidR="00E41526" w:rsidRPr="005F5BEA" w:rsidRDefault="00E41526" w:rsidP="00097D90">
            <w:pPr>
              <w:spacing w:after="60"/>
              <w:rPr>
                <w:rFonts w:ascii="Arial Narrow" w:eastAsia="Calibri" w:hAnsi="Arial Narrow"/>
              </w:rPr>
            </w:pPr>
            <w:r w:rsidRPr="005F5BEA">
              <w:rPr>
                <w:rFonts w:ascii="Arial Narrow" w:eastAsia="Calibri" w:hAnsi="Arial Narrow"/>
              </w:rPr>
              <w:t>Description of service</w:t>
            </w:r>
          </w:p>
        </w:tc>
        <w:tc>
          <w:tcPr>
            <w:tcW w:w="1430" w:type="pct"/>
          </w:tcPr>
          <w:p w14:paraId="0FC694B1" w14:textId="77777777" w:rsidR="00E41526" w:rsidRPr="005F5BEA" w:rsidRDefault="00E41526" w:rsidP="00097D90">
            <w:pPr>
              <w:spacing w:after="60"/>
              <w:rPr>
                <w:rFonts w:ascii="Arial Narrow" w:eastAsia="Calibri" w:hAnsi="Arial Narrow"/>
              </w:rPr>
            </w:pPr>
            <w:r w:rsidRPr="005F5BEA">
              <w:rPr>
                <w:rFonts w:ascii="Arial Narrow" w:eastAsia="Calibri" w:hAnsi="Arial Narrow"/>
              </w:rPr>
              <w:t>Setting</w:t>
            </w:r>
          </w:p>
        </w:tc>
      </w:tr>
      <w:tr w:rsidR="00E41526" w:rsidRPr="005F5BEA" w14:paraId="2969D090" w14:textId="77777777" w:rsidTr="009F7E58">
        <w:trPr>
          <w:cantSplit/>
          <w:trHeight w:val="340"/>
        </w:trPr>
        <w:tc>
          <w:tcPr>
            <w:tcW w:w="5000" w:type="pct"/>
            <w:gridSpan w:val="3"/>
          </w:tcPr>
          <w:p w14:paraId="3A6E02AF" w14:textId="2FD37141" w:rsidR="00E41526" w:rsidRPr="005F5BEA" w:rsidRDefault="00E41526" w:rsidP="00097D90">
            <w:pPr>
              <w:spacing w:after="60"/>
              <w:rPr>
                <w:rFonts w:ascii="Arial Narrow" w:eastAsia="Calibri" w:hAnsi="Arial Narrow"/>
                <w:b/>
              </w:rPr>
            </w:pPr>
            <w:r w:rsidRPr="005F5BEA">
              <w:rPr>
                <w:rFonts w:ascii="Arial Narrow" w:eastAsia="Calibri" w:hAnsi="Arial Narrow"/>
                <w:b/>
              </w:rPr>
              <w:t>Implantation support</w:t>
            </w:r>
          </w:p>
        </w:tc>
      </w:tr>
      <w:tr w:rsidR="00E41526" w:rsidRPr="005F5BEA" w14:paraId="19481195" w14:textId="77777777" w:rsidTr="009F7E58">
        <w:trPr>
          <w:cantSplit/>
          <w:trHeight w:val="504"/>
        </w:trPr>
        <w:tc>
          <w:tcPr>
            <w:tcW w:w="1189" w:type="pct"/>
          </w:tcPr>
          <w:p w14:paraId="1A468AC2" w14:textId="77777777" w:rsidR="00E41526" w:rsidRPr="005F5BEA" w:rsidRDefault="00E41526" w:rsidP="00097D90">
            <w:pPr>
              <w:spacing w:before="40" w:after="40"/>
              <w:rPr>
                <w:rFonts w:ascii="Arial Narrow" w:hAnsi="Arial Narrow"/>
              </w:rPr>
            </w:pPr>
            <w:r w:rsidRPr="005F5BEA">
              <w:rPr>
                <w:rFonts w:ascii="Arial Narrow" w:hAnsi="Arial Narrow"/>
              </w:rPr>
              <w:t>ILR implant support</w:t>
            </w:r>
          </w:p>
        </w:tc>
        <w:tc>
          <w:tcPr>
            <w:tcW w:w="2381" w:type="pct"/>
          </w:tcPr>
          <w:p w14:paraId="1F45F31E" w14:textId="77777777" w:rsidR="00E41526" w:rsidRPr="005F5BEA" w:rsidRDefault="00E41526" w:rsidP="00097D90">
            <w:pPr>
              <w:spacing w:before="40" w:after="40"/>
              <w:rPr>
                <w:rFonts w:ascii="Arial Narrow" w:hAnsi="Arial Narrow"/>
              </w:rPr>
            </w:pPr>
            <w:r w:rsidRPr="005F5BEA">
              <w:rPr>
                <w:rFonts w:ascii="Arial Narrow" w:hAnsi="Arial Narrow"/>
              </w:rPr>
              <w:t>Implantation of a new ILR or explant of old device and replacement.</w:t>
            </w:r>
          </w:p>
        </w:tc>
        <w:tc>
          <w:tcPr>
            <w:tcW w:w="1430" w:type="pct"/>
          </w:tcPr>
          <w:p w14:paraId="598C9A0B" w14:textId="77777777" w:rsidR="00E41526" w:rsidRPr="005F5BEA" w:rsidRDefault="00E41526" w:rsidP="00097D90">
            <w:pPr>
              <w:spacing w:before="40" w:after="40"/>
              <w:rPr>
                <w:rFonts w:ascii="Arial Narrow" w:hAnsi="Arial Narrow"/>
              </w:rPr>
            </w:pPr>
            <w:r w:rsidRPr="005F5BEA">
              <w:rPr>
                <w:rFonts w:ascii="Arial Narrow" w:hAnsi="Arial Narrow"/>
              </w:rPr>
              <w:t>Hospital cardiac catheter laboratory/operating suite</w:t>
            </w:r>
          </w:p>
        </w:tc>
      </w:tr>
      <w:tr w:rsidR="00E41526" w:rsidRPr="005F5BEA" w14:paraId="43AE46C9" w14:textId="77777777" w:rsidTr="009F7E58">
        <w:trPr>
          <w:cantSplit/>
          <w:trHeight w:val="504"/>
        </w:trPr>
        <w:tc>
          <w:tcPr>
            <w:tcW w:w="1189" w:type="pct"/>
          </w:tcPr>
          <w:p w14:paraId="7CD732E1" w14:textId="77777777" w:rsidR="00E41526" w:rsidRPr="005F5BEA" w:rsidRDefault="00E41526" w:rsidP="00097D90">
            <w:pPr>
              <w:spacing w:before="40" w:after="40"/>
              <w:rPr>
                <w:rFonts w:ascii="Arial Narrow" w:hAnsi="Arial Narrow"/>
              </w:rPr>
            </w:pPr>
            <w:r w:rsidRPr="005F5BEA">
              <w:rPr>
                <w:rFonts w:ascii="Arial Narrow" w:hAnsi="Arial Narrow"/>
              </w:rPr>
              <w:t>Pacemaker implant support</w:t>
            </w:r>
          </w:p>
        </w:tc>
        <w:tc>
          <w:tcPr>
            <w:tcW w:w="2381" w:type="pct"/>
          </w:tcPr>
          <w:p w14:paraId="66C7E9F5" w14:textId="77777777" w:rsidR="00E41526" w:rsidRPr="005F5BEA" w:rsidRDefault="00E41526" w:rsidP="00097D90">
            <w:pPr>
              <w:spacing w:before="40" w:after="40"/>
              <w:rPr>
                <w:rFonts w:ascii="Arial Narrow" w:hAnsi="Arial Narrow"/>
              </w:rPr>
            </w:pPr>
            <w:r w:rsidRPr="005F5BEA">
              <w:rPr>
                <w:rFonts w:ascii="Arial Narrow" w:hAnsi="Arial Narrow"/>
              </w:rPr>
              <w:t>Implant of pacemaker and leads, replacement of device only, replacement of device and leads or addition of new leads.</w:t>
            </w:r>
          </w:p>
        </w:tc>
        <w:tc>
          <w:tcPr>
            <w:tcW w:w="1430" w:type="pct"/>
          </w:tcPr>
          <w:p w14:paraId="1E673E89" w14:textId="77777777" w:rsidR="00E41526" w:rsidRPr="005F5BEA" w:rsidRDefault="00E41526" w:rsidP="00097D90">
            <w:pPr>
              <w:spacing w:before="40" w:after="40"/>
              <w:rPr>
                <w:rFonts w:ascii="Arial Narrow" w:hAnsi="Arial Narrow"/>
              </w:rPr>
            </w:pPr>
            <w:r w:rsidRPr="005F5BEA">
              <w:rPr>
                <w:rFonts w:ascii="Arial Narrow" w:hAnsi="Arial Narrow"/>
              </w:rPr>
              <w:t>Hospital cardiac catheter laboratory/operating suite</w:t>
            </w:r>
          </w:p>
        </w:tc>
      </w:tr>
      <w:tr w:rsidR="00E41526" w:rsidRPr="005F5BEA" w14:paraId="3FC072B9" w14:textId="77777777" w:rsidTr="009F7E58">
        <w:trPr>
          <w:cantSplit/>
          <w:trHeight w:val="504"/>
        </w:trPr>
        <w:tc>
          <w:tcPr>
            <w:tcW w:w="1189" w:type="pct"/>
          </w:tcPr>
          <w:p w14:paraId="0FDE606B" w14:textId="77777777" w:rsidR="00E41526" w:rsidRPr="005F5BEA" w:rsidRDefault="00E41526" w:rsidP="00097D90">
            <w:pPr>
              <w:spacing w:before="40" w:after="40"/>
              <w:rPr>
                <w:rFonts w:ascii="Arial Narrow" w:hAnsi="Arial Narrow"/>
              </w:rPr>
            </w:pPr>
            <w:r w:rsidRPr="005F5BEA">
              <w:rPr>
                <w:rFonts w:ascii="Arial Narrow" w:hAnsi="Arial Narrow"/>
              </w:rPr>
              <w:t>ICD implant support</w:t>
            </w:r>
          </w:p>
        </w:tc>
        <w:tc>
          <w:tcPr>
            <w:tcW w:w="2381" w:type="pct"/>
          </w:tcPr>
          <w:p w14:paraId="6125A2B7" w14:textId="77777777" w:rsidR="00E41526" w:rsidRPr="005F5BEA" w:rsidRDefault="00E41526" w:rsidP="00097D90">
            <w:pPr>
              <w:spacing w:before="40" w:after="40"/>
              <w:rPr>
                <w:rFonts w:ascii="Arial Narrow" w:hAnsi="Arial Narrow"/>
              </w:rPr>
            </w:pPr>
            <w:r w:rsidRPr="005F5BEA">
              <w:rPr>
                <w:rFonts w:ascii="Arial Narrow" w:hAnsi="Arial Narrow"/>
              </w:rPr>
              <w:t>Implant of ICD and leads, replacement of device only, replacement of device and leads or addition of new leads.</w:t>
            </w:r>
          </w:p>
        </w:tc>
        <w:tc>
          <w:tcPr>
            <w:tcW w:w="1430" w:type="pct"/>
          </w:tcPr>
          <w:p w14:paraId="7BE02902" w14:textId="77777777" w:rsidR="00E41526" w:rsidRPr="005F5BEA" w:rsidRDefault="00E41526" w:rsidP="00097D90">
            <w:pPr>
              <w:spacing w:before="40" w:after="40"/>
              <w:rPr>
                <w:rFonts w:ascii="Arial Narrow" w:hAnsi="Arial Narrow"/>
              </w:rPr>
            </w:pPr>
            <w:r w:rsidRPr="005F5BEA">
              <w:rPr>
                <w:rFonts w:ascii="Arial Narrow" w:hAnsi="Arial Narrow"/>
              </w:rPr>
              <w:t>Hospital cardiac catheter laboratory/operating suite</w:t>
            </w:r>
          </w:p>
        </w:tc>
      </w:tr>
      <w:tr w:rsidR="00E41526" w:rsidRPr="005F5BEA" w14:paraId="0C330307" w14:textId="77777777" w:rsidTr="009F7E58">
        <w:trPr>
          <w:cantSplit/>
          <w:trHeight w:val="504"/>
        </w:trPr>
        <w:tc>
          <w:tcPr>
            <w:tcW w:w="1189" w:type="pct"/>
          </w:tcPr>
          <w:p w14:paraId="54FE0477" w14:textId="201ED4C0" w:rsidR="00E41526" w:rsidRPr="005F5BEA" w:rsidRDefault="00E41526" w:rsidP="00097D90">
            <w:pPr>
              <w:spacing w:before="40" w:after="40"/>
              <w:rPr>
                <w:rFonts w:ascii="Arial Narrow" w:hAnsi="Arial Narrow"/>
              </w:rPr>
            </w:pPr>
            <w:r w:rsidRPr="005F5BEA">
              <w:rPr>
                <w:rFonts w:ascii="Arial Narrow" w:hAnsi="Arial Narrow"/>
              </w:rPr>
              <w:t>CRT</w:t>
            </w:r>
            <w:r w:rsidR="005B1245" w:rsidRPr="005F5BEA">
              <w:rPr>
                <w:rFonts w:ascii="Arial Narrow" w:hAnsi="Arial Narrow"/>
              </w:rPr>
              <w:t>D</w:t>
            </w:r>
            <w:r w:rsidRPr="005F5BEA">
              <w:rPr>
                <w:rFonts w:ascii="Arial Narrow" w:hAnsi="Arial Narrow"/>
              </w:rPr>
              <w:t xml:space="preserve"> implant support</w:t>
            </w:r>
          </w:p>
        </w:tc>
        <w:tc>
          <w:tcPr>
            <w:tcW w:w="2381" w:type="pct"/>
          </w:tcPr>
          <w:p w14:paraId="2FFE1A3B" w14:textId="6EDEB4DA" w:rsidR="00E41526" w:rsidRPr="005F5BEA" w:rsidRDefault="00E41526" w:rsidP="00097D90">
            <w:pPr>
              <w:spacing w:before="40" w:after="40"/>
              <w:rPr>
                <w:rFonts w:ascii="Arial Narrow" w:hAnsi="Arial Narrow"/>
              </w:rPr>
            </w:pPr>
            <w:r w:rsidRPr="005F5BEA">
              <w:rPr>
                <w:rFonts w:ascii="Arial Narrow" w:hAnsi="Arial Narrow"/>
              </w:rPr>
              <w:t xml:space="preserve">Implant of CRT-D/CRT-P </w:t>
            </w:r>
            <w:r w:rsidR="005B1245" w:rsidRPr="005F5BEA">
              <w:rPr>
                <w:rFonts w:ascii="Arial Narrow" w:hAnsi="Arial Narrow"/>
              </w:rPr>
              <w:t xml:space="preserve">devices </w:t>
            </w:r>
            <w:r w:rsidRPr="005F5BEA">
              <w:rPr>
                <w:rFonts w:ascii="Arial Narrow" w:hAnsi="Arial Narrow"/>
              </w:rPr>
              <w:t>and leads, replacement of device only, replacement of device and leads or addition of new leads.</w:t>
            </w:r>
          </w:p>
        </w:tc>
        <w:tc>
          <w:tcPr>
            <w:tcW w:w="1430" w:type="pct"/>
          </w:tcPr>
          <w:p w14:paraId="42410A79" w14:textId="77777777" w:rsidR="00E41526" w:rsidRPr="005F5BEA" w:rsidRDefault="00E41526" w:rsidP="00097D90">
            <w:pPr>
              <w:spacing w:before="40" w:after="40"/>
              <w:rPr>
                <w:rFonts w:ascii="Arial Narrow" w:hAnsi="Arial Narrow"/>
              </w:rPr>
            </w:pPr>
            <w:r w:rsidRPr="005F5BEA">
              <w:rPr>
                <w:rFonts w:ascii="Arial Narrow" w:hAnsi="Arial Narrow"/>
              </w:rPr>
              <w:t>Hospital cardiac catheter laboratory/operating suite</w:t>
            </w:r>
          </w:p>
        </w:tc>
      </w:tr>
      <w:tr w:rsidR="00E41526" w:rsidRPr="005F5BEA" w14:paraId="320EC1A4" w14:textId="77777777" w:rsidTr="009F7E58">
        <w:trPr>
          <w:cantSplit/>
          <w:trHeight w:val="504"/>
        </w:trPr>
        <w:tc>
          <w:tcPr>
            <w:tcW w:w="5000" w:type="pct"/>
            <w:gridSpan w:val="3"/>
          </w:tcPr>
          <w:p w14:paraId="711447AE" w14:textId="74F4BB78" w:rsidR="00E41526" w:rsidRPr="005F5BEA" w:rsidRDefault="00E84681" w:rsidP="00097D90">
            <w:pPr>
              <w:spacing w:before="40" w:after="40"/>
              <w:rPr>
                <w:rFonts w:ascii="Arial Narrow" w:hAnsi="Arial Narrow"/>
                <w:b/>
              </w:rPr>
            </w:pPr>
            <w:r w:rsidRPr="005F5BEA">
              <w:rPr>
                <w:rFonts w:ascii="Arial Narrow" w:hAnsi="Arial Narrow"/>
                <w:b/>
              </w:rPr>
              <w:t>Scheduled in-person follow-up services</w:t>
            </w:r>
          </w:p>
        </w:tc>
      </w:tr>
      <w:tr w:rsidR="00E41526" w:rsidRPr="005F5BEA" w14:paraId="76E61D5B" w14:textId="77777777" w:rsidTr="009F7E58">
        <w:trPr>
          <w:cantSplit/>
          <w:trHeight w:val="363"/>
        </w:trPr>
        <w:tc>
          <w:tcPr>
            <w:tcW w:w="1189" w:type="pct"/>
          </w:tcPr>
          <w:p w14:paraId="2CEC82C7" w14:textId="77777777" w:rsidR="00E41526" w:rsidRPr="005F5BEA" w:rsidRDefault="00E41526" w:rsidP="00097D90">
            <w:pPr>
              <w:spacing w:before="40" w:after="40"/>
              <w:rPr>
                <w:rFonts w:ascii="Arial Narrow" w:eastAsia="Calibri" w:hAnsi="Arial Narrow"/>
              </w:rPr>
            </w:pPr>
            <w:r w:rsidRPr="005F5BEA">
              <w:rPr>
                <w:rFonts w:ascii="Arial Narrow" w:eastAsia="Calibri" w:hAnsi="Arial Narrow"/>
              </w:rPr>
              <w:t xml:space="preserve">Day-1 post-implant check </w:t>
            </w:r>
          </w:p>
        </w:tc>
        <w:tc>
          <w:tcPr>
            <w:tcW w:w="2381" w:type="pct"/>
          </w:tcPr>
          <w:p w14:paraId="0861E709" w14:textId="77777777" w:rsidR="00E41526" w:rsidRPr="005F5BEA" w:rsidRDefault="00E41526" w:rsidP="00097D90">
            <w:pPr>
              <w:spacing w:before="40" w:after="40"/>
              <w:rPr>
                <w:rFonts w:ascii="Arial Narrow" w:hAnsi="Arial Narrow"/>
              </w:rPr>
            </w:pPr>
            <w:r w:rsidRPr="005F5BEA">
              <w:rPr>
                <w:rFonts w:ascii="Arial Narrow" w:hAnsi="Arial Narrow"/>
              </w:rPr>
              <w:t>Service occurs at the hospital within 24 hours post-implant to ensure appropriate device programming and safe patient outcomes.</w:t>
            </w:r>
          </w:p>
        </w:tc>
        <w:tc>
          <w:tcPr>
            <w:tcW w:w="1430" w:type="pct"/>
          </w:tcPr>
          <w:p w14:paraId="2EE8F679" w14:textId="77777777" w:rsidR="00E41526" w:rsidRPr="005F5BEA" w:rsidRDefault="00E41526" w:rsidP="00097D90">
            <w:pPr>
              <w:spacing w:before="40" w:after="40"/>
              <w:rPr>
                <w:rFonts w:ascii="Arial Narrow" w:hAnsi="Arial Narrow"/>
              </w:rPr>
            </w:pPr>
            <w:r w:rsidRPr="005F5BEA">
              <w:rPr>
                <w:rFonts w:ascii="Arial Narrow" w:hAnsi="Arial Narrow"/>
              </w:rPr>
              <w:t>Inpatient private hospital (admitted patient)</w:t>
            </w:r>
          </w:p>
        </w:tc>
      </w:tr>
      <w:tr w:rsidR="00E41526" w:rsidRPr="005F5BEA" w14:paraId="7467DAF2" w14:textId="77777777" w:rsidTr="009F7E58">
        <w:trPr>
          <w:cantSplit/>
          <w:trHeight w:val="813"/>
        </w:trPr>
        <w:tc>
          <w:tcPr>
            <w:tcW w:w="1189" w:type="pct"/>
          </w:tcPr>
          <w:p w14:paraId="7501236B" w14:textId="77777777" w:rsidR="00E41526" w:rsidRPr="005F5BEA" w:rsidRDefault="00E41526" w:rsidP="00097D90">
            <w:pPr>
              <w:spacing w:before="40" w:after="40"/>
              <w:rPr>
                <w:rFonts w:ascii="Arial Narrow" w:eastAsia="Calibri" w:hAnsi="Arial Narrow"/>
              </w:rPr>
            </w:pPr>
            <w:r w:rsidRPr="005F5BEA">
              <w:rPr>
                <w:rFonts w:ascii="Arial Narrow" w:eastAsia="Calibri" w:hAnsi="Arial Narrow"/>
              </w:rPr>
              <w:t>Routine follow-up</w:t>
            </w:r>
          </w:p>
        </w:tc>
        <w:tc>
          <w:tcPr>
            <w:tcW w:w="2381" w:type="pct"/>
          </w:tcPr>
          <w:p w14:paraId="67ED297D" w14:textId="77777777" w:rsidR="00E41526" w:rsidRPr="005F5BEA" w:rsidRDefault="00E41526" w:rsidP="00097D90">
            <w:pPr>
              <w:spacing w:before="40" w:after="40"/>
              <w:rPr>
                <w:rFonts w:ascii="Arial Narrow" w:eastAsia="Calibri" w:hAnsi="Arial Narrow"/>
              </w:rPr>
            </w:pPr>
            <w:r w:rsidRPr="005F5BEA">
              <w:rPr>
                <w:rFonts w:ascii="Arial Narrow" w:eastAsia="Calibri" w:hAnsi="Arial Narrow"/>
              </w:rPr>
              <w:t xml:space="preserve">To obtain optimal device performance and longevity, CIEDs are checked on a periodic basis. Typically, this service occurs in physicians’ private rooms. Follow-up schedules are dependent on the type of implanted device and disease state. There are between 1 and 4 scheduled follow-up checks that occur each year for each patient, based on </w:t>
            </w:r>
            <w:r w:rsidR="00AA0927" w:rsidRPr="005F5BEA">
              <w:rPr>
                <w:rFonts w:ascii="Arial Narrow" w:eastAsia="Calibri" w:hAnsi="Arial Narrow"/>
              </w:rPr>
              <w:t xml:space="preserve">the 2022 </w:t>
            </w:r>
            <w:r w:rsidRPr="005F5BEA">
              <w:rPr>
                <w:rFonts w:ascii="Arial Narrow" w:eastAsia="Calibri" w:hAnsi="Arial Narrow"/>
              </w:rPr>
              <w:t xml:space="preserve">guidelines by the Cardiac Society of Australian and New Zealand </w:t>
            </w:r>
            <w:r w:rsidR="00AA0927" w:rsidRPr="005F5BEA">
              <w:rPr>
                <w:rFonts w:ascii="Arial Narrow" w:eastAsia="Calibri" w:hAnsi="Arial Narrow"/>
              </w:rPr>
              <w:t>on CIED follow-up.</w:t>
            </w:r>
          </w:p>
          <w:p w14:paraId="47B8A759" w14:textId="6BC8D331" w:rsidR="006660F0" w:rsidRPr="005F5BEA" w:rsidRDefault="006660F0" w:rsidP="00097D90">
            <w:pPr>
              <w:spacing w:before="40" w:after="40"/>
              <w:rPr>
                <w:rFonts w:ascii="Arial Narrow" w:eastAsia="Calibri" w:hAnsi="Arial Narrow"/>
              </w:rPr>
            </w:pPr>
            <w:r w:rsidRPr="005F5BEA">
              <w:rPr>
                <w:rFonts w:ascii="Arial Narrow" w:eastAsia="Calibri" w:hAnsi="Arial Narrow"/>
              </w:rPr>
              <w:t xml:space="preserve">A member of the reference group </w:t>
            </w:r>
            <w:r w:rsidR="001105BF" w:rsidRPr="005F5BEA">
              <w:rPr>
                <w:rFonts w:ascii="Arial Narrow" w:eastAsia="Calibri" w:hAnsi="Arial Narrow"/>
              </w:rPr>
              <w:t>advised</w:t>
            </w:r>
            <w:r w:rsidRPr="005F5BEA">
              <w:rPr>
                <w:rFonts w:ascii="Arial Narrow" w:eastAsia="Calibri" w:hAnsi="Arial Narrow"/>
              </w:rPr>
              <w:t xml:space="preserve"> that routine follow-up </w:t>
            </w:r>
            <w:r w:rsidRPr="005F5BEA">
              <w:rPr>
                <w:rFonts w:ascii="Arial Narrow" w:eastAsia="Calibri" w:hAnsi="Arial Narrow"/>
                <w:lang w:val="en-GB"/>
              </w:rPr>
              <w:t>can be performed remotely or in the cardiologist’s office/clinic and most typically as a combination of both these approaches (in-person consultation after scheduled remote interrogation of the CIED).</w:t>
            </w:r>
          </w:p>
        </w:tc>
        <w:tc>
          <w:tcPr>
            <w:tcW w:w="1430" w:type="pct"/>
          </w:tcPr>
          <w:p w14:paraId="11F8D554" w14:textId="77777777" w:rsidR="00E41526" w:rsidRPr="005F5BEA" w:rsidRDefault="00E41526" w:rsidP="00097D90">
            <w:pPr>
              <w:spacing w:before="40" w:after="40"/>
              <w:rPr>
                <w:rFonts w:ascii="Arial Narrow" w:eastAsia="Calibri" w:hAnsi="Arial Narrow"/>
              </w:rPr>
            </w:pPr>
            <w:r w:rsidRPr="005F5BEA">
              <w:rPr>
                <w:rFonts w:ascii="Arial Narrow" w:eastAsia="Calibri" w:hAnsi="Arial Narrow"/>
              </w:rPr>
              <w:t>Private outpatient clinic</w:t>
            </w:r>
          </w:p>
        </w:tc>
      </w:tr>
      <w:tr w:rsidR="00E41526" w:rsidRPr="005F5BEA" w14:paraId="6AC032CB" w14:textId="77777777" w:rsidTr="009F7E58">
        <w:trPr>
          <w:cantSplit/>
          <w:trHeight w:val="813"/>
        </w:trPr>
        <w:tc>
          <w:tcPr>
            <w:tcW w:w="5000" w:type="pct"/>
            <w:gridSpan w:val="3"/>
          </w:tcPr>
          <w:p w14:paraId="3243B695" w14:textId="125AEE86" w:rsidR="00E41526" w:rsidRPr="005F5BEA" w:rsidRDefault="00E84681" w:rsidP="00097D90">
            <w:pPr>
              <w:spacing w:before="40" w:after="40"/>
              <w:rPr>
                <w:rFonts w:ascii="Arial Narrow" w:eastAsia="Calibri" w:hAnsi="Arial Narrow"/>
                <w:b/>
              </w:rPr>
            </w:pPr>
            <w:r w:rsidRPr="005F5BEA">
              <w:rPr>
                <w:rFonts w:ascii="Arial Narrow" w:eastAsia="Calibri" w:hAnsi="Arial Narrow"/>
                <w:b/>
              </w:rPr>
              <w:t>Unscheduled in-person cardiac technical support services</w:t>
            </w:r>
          </w:p>
        </w:tc>
      </w:tr>
      <w:tr w:rsidR="00E41526" w:rsidRPr="005F5BEA" w14:paraId="30ECAE53" w14:textId="77777777" w:rsidTr="009F7E58">
        <w:trPr>
          <w:cantSplit/>
          <w:trHeight w:val="381"/>
        </w:trPr>
        <w:tc>
          <w:tcPr>
            <w:tcW w:w="1189" w:type="pct"/>
          </w:tcPr>
          <w:p w14:paraId="567889C7" w14:textId="77777777" w:rsidR="00E41526" w:rsidRPr="005F5BEA" w:rsidRDefault="00E41526" w:rsidP="00097D90">
            <w:pPr>
              <w:spacing w:before="40" w:after="40"/>
              <w:rPr>
                <w:rFonts w:ascii="Arial Narrow" w:eastAsia="Calibri" w:hAnsi="Arial Narrow"/>
              </w:rPr>
            </w:pPr>
            <w:r w:rsidRPr="005F5BEA">
              <w:rPr>
                <w:rFonts w:ascii="Arial Narrow" w:hAnsi="Arial Narrow"/>
              </w:rPr>
              <w:t>Ward check</w:t>
            </w:r>
          </w:p>
        </w:tc>
        <w:tc>
          <w:tcPr>
            <w:tcW w:w="2381" w:type="pct"/>
          </w:tcPr>
          <w:p w14:paraId="694A7747" w14:textId="77777777" w:rsidR="00E41526" w:rsidRPr="005F5BEA" w:rsidRDefault="00E41526" w:rsidP="00097D90">
            <w:pPr>
              <w:spacing w:before="40" w:after="40"/>
              <w:rPr>
                <w:rFonts w:ascii="Arial Narrow" w:hAnsi="Arial Narrow"/>
              </w:rPr>
            </w:pPr>
            <w:r w:rsidRPr="005F5BEA">
              <w:rPr>
                <w:rFonts w:ascii="Arial Narrow" w:hAnsi="Arial Narrow"/>
              </w:rPr>
              <w:t>Device interrogation for patients admitted to a hospital ward where cardiac involvement is suspected. This allows treating physicians to find the source of device malfunction, investigate patient cardiac abnormalities and/or check battery in patients lost to follow-up.</w:t>
            </w:r>
          </w:p>
        </w:tc>
        <w:tc>
          <w:tcPr>
            <w:tcW w:w="1430" w:type="pct"/>
          </w:tcPr>
          <w:p w14:paraId="68CEC36B" w14:textId="77777777" w:rsidR="00E41526" w:rsidRPr="005F5BEA" w:rsidRDefault="00E41526" w:rsidP="00097D90">
            <w:pPr>
              <w:spacing w:before="40" w:after="40"/>
              <w:rPr>
                <w:rFonts w:ascii="Arial Narrow" w:hAnsi="Arial Narrow"/>
              </w:rPr>
            </w:pPr>
            <w:r w:rsidRPr="005F5BEA">
              <w:rPr>
                <w:rFonts w:ascii="Arial Narrow" w:hAnsi="Arial Narrow"/>
              </w:rPr>
              <w:t>Inpatient private hospital (admitted patient)</w:t>
            </w:r>
          </w:p>
        </w:tc>
      </w:tr>
      <w:tr w:rsidR="00E41526" w:rsidRPr="005F5BEA" w14:paraId="334BDE7D" w14:textId="77777777" w:rsidTr="009F7E58">
        <w:trPr>
          <w:cantSplit/>
          <w:trHeight w:val="504"/>
        </w:trPr>
        <w:tc>
          <w:tcPr>
            <w:tcW w:w="1189" w:type="pct"/>
          </w:tcPr>
          <w:p w14:paraId="02E883F7" w14:textId="77777777" w:rsidR="00E41526" w:rsidRPr="005F5BEA" w:rsidRDefault="00E41526" w:rsidP="00097D90">
            <w:pPr>
              <w:spacing w:before="40" w:after="40"/>
              <w:rPr>
                <w:rFonts w:ascii="Arial Narrow" w:hAnsi="Arial Narrow"/>
              </w:rPr>
            </w:pPr>
            <w:r w:rsidRPr="005F5BEA">
              <w:rPr>
                <w:rFonts w:ascii="Arial Narrow" w:hAnsi="Arial Narrow"/>
              </w:rPr>
              <w:t>Emergency department check</w:t>
            </w:r>
          </w:p>
        </w:tc>
        <w:tc>
          <w:tcPr>
            <w:tcW w:w="2381" w:type="pct"/>
          </w:tcPr>
          <w:p w14:paraId="2D1B5E18" w14:textId="77777777" w:rsidR="00E41526" w:rsidRPr="005F5BEA" w:rsidRDefault="00E41526" w:rsidP="00097D90">
            <w:pPr>
              <w:spacing w:before="40" w:after="40"/>
              <w:rPr>
                <w:rFonts w:ascii="Arial Narrow" w:hAnsi="Arial Narrow"/>
              </w:rPr>
            </w:pPr>
            <w:r w:rsidRPr="005F5BEA">
              <w:rPr>
                <w:rFonts w:ascii="Arial Narrow" w:hAnsi="Arial Narrow"/>
              </w:rPr>
              <w:t>Device interrogation for patients in the emergency department where cardiac involvement is suspected. This allows treating physicians to find the source of device malfunction, investigate patient cardiac abnormalities, change CIED therapy where clinically directed and/or check battery in patients lost to follow-up.</w:t>
            </w:r>
          </w:p>
        </w:tc>
        <w:tc>
          <w:tcPr>
            <w:tcW w:w="1430" w:type="pct"/>
          </w:tcPr>
          <w:p w14:paraId="0DF57D84" w14:textId="77777777" w:rsidR="00E41526" w:rsidRPr="005F5BEA" w:rsidRDefault="00E41526" w:rsidP="00097D90">
            <w:pPr>
              <w:spacing w:before="40" w:after="40"/>
              <w:rPr>
                <w:rFonts w:ascii="Arial Narrow" w:hAnsi="Arial Narrow"/>
              </w:rPr>
            </w:pPr>
            <w:r w:rsidRPr="005F5BEA">
              <w:rPr>
                <w:rFonts w:ascii="Arial Narrow" w:hAnsi="Arial Narrow"/>
              </w:rPr>
              <w:t>Inpatient private hospital (admitted patient)</w:t>
            </w:r>
          </w:p>
        </w:tc>
      </w:tr>
      <w:tr w:rsidR="00E41526" w:rsidRPr="005F5BEA" w14:paraId="5C7E3B60" w14:textId="77777777" w:rsidTr="009F7E58">
        <w:trPr>
          <w:cantSplit/>
          <w:trHeight w:val="504"/>
        </w:trPr>
        <w:tc>
          <w:tcPr>
            <w:tcW w:w="1189" w:type="pct"/>
          </w:tcPr>
          <w:p w14:paraId="00A32274" w14:textId="77777777" w:rsidR="00E41526" w:rsidRPr="005F5BEA" w:rsidRDefault="00E41526" w:rsidP="00097D90">
            <w:pPr>
              <w:spacing w:before="40" w:after="40"/>
              <w:rPr>
                <w:rFonts w:ascii="Arial Narrow" w:hAnsi="Arial Narrow"/>
              </w:rPr>
            </w:pPr>
            <w:r w:rsidRPr="005F5BEA">
              <w:rPr>
                <w:rFonts w:ascii="Arial Narrow" w:hAnsi="Arial Narrow"/>
              </w:rPr>
              <w:lastRenderedPageBreak/>
              <w:t>MRI check</w:t>
            </w:r>
          </w:p>
        </w:tc>
        <w:tc>
          <w:tcPr>
            <w:tcW w:w="2381" w:type="pct"/>
          </w:tcPr>
          <w:p w14:paraId="0D6D62BB" w14:textId="77777777" w:rsidR="00E41526" w:rsidRPr="005F5BEA" w:rsidRDefault="00E41526" w:rsidP="00097D90">
            <w:pPr>
              <w:spacing w:before="40" w:after="40"/>
              <w:rPr>
                <w:rFonts w:ascii="Arial Narrow" w:hAnsi="Arial Narrow"/>
              </w:rPr>
            </w:pPr>
            <w:r w:rsidRPr="005F5BEA">
              <w:rPr>
                <w:rFonts w:ascii="Arial Narrow" w:hAnsi="Arial Narrow"/>
              </w:rPr>
              <w:t xml:space="preserve">Device reprogramming to an ‘MRI safe’ mode prior to the performance of the MRI scan in hospital. Program device to MRI conditional mode/settings to avoid patient injury caused by MRI environment. Typically, this service occurs on site and an MRI facility, however, some occur in the hospital setting. </w:t>
            </w:r>
          </w:p>
        </w:tc>
        <w:tc>
          <w:tcPr>
            <w:tcW w:w="1430" w:type="pct"/>
          </w:tcPr>
          <w:p w14:paraId="38716851" w14:textId="77777777" w:rsidR="00E41526" w:rsidRPr="005F5BEA" w:rsidRDefault="00E41526" w:rsidP="00097D90">
            <w:pPr>
              <w:spacing w:before="40" w:after="40"/>
              <w:rPr>
                <w:rFonts w:ascii="Arial Narrow" w:hAnsi="Arial Narrow"/>
              </w:rPr>
            </w:pPr>
            <w:r w:rsidRPr="005F5BEA">
              <w:rPr>
                <w:rFonts w:ascii="Arial Narrow" w:hAnsi="Arial Narrow"/>
              </w:rPr>
              <w:t>Private outpatient clinic, Inpatient private hospital (admitted patient)</w:t>
            </w:r>
          </w:p>
        </w:tc>
      </w:tr>
      <w:tr w:rsidR="00E41526" w:rsidRPr="005F5BEA" w14:paraId="3D273CB8" w14:textId="77777777" w:rsidTr="009F7E58">
        <w:trPr>
          <w:cantSplit/>
          <w:trHeight w:val="504"/>
        </w:trPr>
        <w:tc>
          <w:tcPr>
            <w:tcW w:w="1189" w:type="pct"/>
          </w:tcPr>
          <w:p w14:paraId="71B8AA70" w14:textId="77777777" w:rsidR="00E41526" w:rsidRPr="005F5BEA" w:rsidRDefault="00E41526" w:rsidP="00097D90">
            <w:pPr>
              <w:spacing w:before="40" w:after="40"/>
              <w:rPr>
                <w:rFonts w:ascii="Arial Narrow" w:hAnsi="Arial Narrow"/>
              </w:rPr>
            </w:pPr>
            <w:r w:rsidRPr="005F5BEA">
              <w:rPr>
                <w:rFonts w:ascii="Arial Narrow" w:hAnsi="Arial Narrow"/>
              </w:rPr>
              <w:t>Radiation oncology check</w:t>
            </w:r>
          </w:p>
        </w:tc>
        <w:tc>
          <w:tcPr>
            <w:tcW w:w="2381" w:type="pct"/>
          </w:tcPr>
          <w:p w14:paraId="546F7F5A" w14:textId="77777777" w:rsidR="00E41526" w:rsidRPr="005F5BEA" w:rsidRDefault="00E41526" w:rsidP="00097D90">
            <w:pPr>
              <w:spacing w:before="40" w:after="40"/>
              <w:rPr>
                <w:rFonts w:ascii="Arial Narrow" w:hAnsi="Arial Narrow"/>
              </w:rPr>
            </w:pPr>
            <w:r w:rsidRPr="005F5BEA">
              <w:rPr>
                <w:rFonts w:ascii="Arial Narrow" w:hAnsi="Arial Narrow"/>
              </w:rPr>
              <w:t>Device interrogation to detect permanent damage to a cardiac device and assess for device interference caused by radiation therapy. Typically, this service occurs on site at the Radiation Oncology facility or in the hospital setting.</w:t>
            </w:r>
          </w:p>
        </w:tc>
        <w:tc>
          <w:tcPr>
            <w:tcW w:w="1430" w:type="pct"/>
          </w:tcPr>
          <w:p w14:paraId="5475727D" w14:textId="77777777" w:rsidR="00E41526" w:rsidRPr="005F5BEA" w:rsidRDefault="00E41526" w:rsidP="00097D90">
            <w:pPr>
              <w:spacing w:before="40" w:after="40"/>
              <w:rPr>
                <w:rFonts w:ascii="Arial Narrow" w:hAnsi="Arial Narrow"/>
              </w:rPr>
            </w:pPr>
            <w:r w:rsidRPr="005F5BEA">
              <w:rPr>
                <w:rFonts w:ascii="Arial Narrow" w:hAnsi="Arial Narrow"/>
              </w:rPr>
              <w:t>Private outpatient clinic, inpatient private hospital (admitted patient)</w:t>
            </w:r>
          </w:p>
        </w:tc>
      </w:tr>
      <w:tr w:rsidR="00E41526" w:rsidRPr="005F5BEA" w14:paraId="0FFC6ABE" w14:textId="77777777" w:rsidTr="009F7E58">
        <w:trPr>
          <w:cantSplit/>
          <w:trHeight w:val="504"/>
        </w:trPr>
        <w:tc>
          <w:tcPr>
            <w:tcW w:w="1189" w:type="pct"/>
          </w:tcPr>
          <w:p w14:paraId="25513038" w14:textId="77777777" w:rsidR="00E41526" w:rsidRPr="005F5BEA" w:rsidRDefault="00E41526" w:rsidP="00097D90">
            <w:pPr>
              <w:spacing w:before="40" w:after="40"/>
              <w:rPr>
                <w:rFonts w:ascii="Arial Narrow" w:hAnsi="Arial Narrow"/>
              </w:rPr>
            </w:pPr>
            <w:r w:rsidRPr="005F5BEA">
              <w:rPr>
                <w:rFonts w:ascii="Arial Narrow" w:hAnsi="Arial Narrow"/>
              </w:rPr>
              <w:t>Pre-op/theatre check</w:t>
            </w:r>
          </w:p>
        </w:tc>
        <w:tc>
          <w:tcPr>
            <w:tcW w:w="2381" w:type="pct"/>
          </w:tcPr>
          <w:p w14:paraId="36B391DC" w14:textId="77777777" w:rsidR="00E41526" w:rsidRPr="005F5BEA" w:rsidRDefault="00E41526" w:rsidP="00097D90">
            <w:pPr>
              <w:spacing w:before="40" w:after="40"/>
              <w:rPr>
                <w:rFonts w:ascii="Arial Narrow" w:hAnsi="Arial Narrow"/>
              </w:rPr>
            </w:pPr>
            <w:r w:rsidRPr="005F5BEA">
              <w:rPr>
                <w:rFonts w:ascii="Arial Narrow" w:hAnsi="Arial Narrow"/>
              </w:rPr>
              <w:t>Device reprogramming to reduce/eliminate risk of electromagnetic interference on the patient or the implanted device and associated outcomes (</w:t>
            </w:r>
            <w:proofErr w:type="gramStart"/>
            <w:r w:rsidRPr="005F5BEA">
              <w:rPr>
                <w:rFonts w:ascii="Arial Narrow" w:hAnsi="Arial Narrow"/>
              </w:rPr>
              <w:t>e.g.</w:t>
            </w:r>
            <w:proofErr w:type="gramEnd"/>
            <w:r w:rsidRPr="005F5BEA">
              <w:rPr>
                <w:rFonts w:ascii="Arial Narrow" w:hAnsi="Arial Narrow"/>
              </w:rPr>
              <w:t xml:space="preserve"> inappropriate shock, asystole) for patient admitted to hospital or day surgery.</w:t>
            </w:r>
          </w:p>
        </w:tc>
        <w:tc>
          <w:tcPr>
            <w:tcW w:w="1430" w:type="pct"/>
          </w:tcPr>
          <w:p w14:paraId="21EF83A2" w14:textId="77777777" w:rsidR="00E41526" w:rsidRPr="005F5BEA" w:rsidRDefault="00E41526" w:rsidP="00097D90">
            <w:pPr>
              <w:spacing w:before="40" w:after="40"/>
              <w:rPr>
                <w:rFonts w:ascii="Arial Narrow" w:hAnsi="Arial Narrow"/>
              </w:rPr>
            </w:pPr>
            <w:r w:rsidRPr="005F5BEA">
              <w:rPr>
                <w:rFonts w:ascii="Arial Narrow" w:hAnsi="Arial Narrow"/>
              </w:rPr>
              <w:t>Inpatient private hospital (admitted patient) and day surgery (day setting)</w:t>
            </w:r>
          </w:p>
        </w:tc>
      </w:tr>
      <w:tr w:rsidR="00E41526" w:rsidRPr="005F5BEA" w14:paraId="47CBE3BC" w14:textId="77777777" w:rsidTr="009F7E58">
        <w:trPr>
          <w:cantSplit/>
          <w:trHeight w:val="323"/>
        </w:trPr>
        <w:tc>
          <w:tcPr>
            <w:tcW w:w="1189" w:type="pct"/>
          </w:tcPr>
          <w:p w14:paraId="6197AF9F" w14:textId="77777777" w:rsidR="00E41526" w:rsidRPr="005F5BEA" w:rsidRDefault="00E41526" w:rsidP="00097D90">
            <w:pPr>
              <w:spacing w:before="40" w:after="40"/>
              <w:rPr>
                <w:rFonts w:ascii="Arial Narrow" w:hAnsi="Arial Narrow"/>
              </w:rPr>
            </w:pPr>
            <w:r w:rsidRPr="005F5BEA">
              <w:rPr>
                <w:rFonts w:ascii="Arial Narrow" w:hAnsi="Arial Narrow"/>
              </w:rPr>
              <w:t xml:space="preserve">ICU reprogramming </w:t>
            </w:r>
          </w:p>
        </w:tc>
        <w:tc>
          <w:tcPr>
            <w:tcW w:w="2381" w:type="pct"/>
          </w:tcPr>
          <w:p w14:paraId="1339543C" w14:textId="77777777" w:rsidR="00E41526" w:rsidRPr="005F5BEA" w:rsidRDefault="00E41526" w:rsidP="00097D90">
            <w:pPr>
              <w:spacing w:before="40" w:after="40"/>
              <w:rPr>
                <w:rFonts w:ascii="Arial Narrow" w:hAnsi="Arial Narrow"/>
              </w:rPr>
            </w:pPr>
            <w:r w:rsidRPr="005F5BEA">
              <w:rPr>
                <w:rFonts w:ascii="Arial Narrow" w:hAnsi="Arial Narrow"/>
              </w:rPr>
              <w:t>Device reprogramming (rate adjustment) to maintain cardiac output for patients admitted to the ICU. These alterations to device function are performed to improve patient outcomes.</w:t>
            </w:r>
          </w:p>
        </w:tc>
        <w:tc>
          <w:tcPr>
            <w:tcW w:w="1430" w:type="pct"/>
          </w:tcPr>
          <w:p w14:paraId="196143BD" w14:textId="77777777" w:rsidR="00E41526" w:rsidRPr="005F5BEA" w:rsidRDefault="00E41526" w:rsidP="00097D90">
            <w:pPr>
              <w:spacing w:before="40" w:after="40"/>
              <w:rPr>
                <w:rFonts w:ascii="Arial Narrow" w:hAnsi="Arial Narrow"/>
              </w:rPr>
            </w:pPr>
            <w:r w:rsidRPr="005F5BEA">
              <w:rPr>
                <w:rFonts w:ascii="Arial Narrow" w:hAnsi="Arial Narrow"/>
              </w:rPr>
              <w:t>Inpatient private hospital (admitted patient)</w:t>
            </w:r>
          </w:p>
        </w:tc>
      </w:tr>
      <w:tr w:rsidR="00E41526" w:rsidRPr="005F5BEA" w14:paraId="5E2B844E" w14:textId="77777777" w:rsidTr="009F7E58">
        <w:trPr>
          <w:cantSplit/>
          <w:trHeight w:val="504"/>
        </w:trPr>
        <w:tc>
          <w:tcPr>
            <w:tcW w:w="1189" w:type="pct"/>
          </w:tcPr>
          <w:p w14:paraId="73EC6D19" w14:textId="77777777" w:rsidR="00E41526" w:rsidRPr="005F5BEA" w:rsidRDefault="00E41526" w:rsidP="00097D90">
            <w:pPr>
              <w:spacing w:before="40" w:after="40"/>
              <w:rPr>
                <w:rFonts w:ascii="Arial Narrow" w:hAnsi="Arial Narrow"/>
              </w:rPr>
            </w:pPr>
            <w:r w:rsidRPr="005F5BEA">
              <w:rPr>
                <w:rFonts w:ascii="Arial Narrow" w:hAnsi="Arial Narrow"/>
              </w:rPr>
              <w:t xml:space="preserve">EP procedure reprogramming </w:t>
            </w:r>
          </w:p>
        </w:tc>
        <w:tc>
          <w:tcPr>
            <w:tcW w:w="2381" w:type="pct"/>
          </w:tcPr>
          <w:p w14:paraId="50225510" w14:textId="77777777" w:rsidR="00E41526" w:rsidRPr="005F5BEA" w:rsidRDefault="00E41526" w:rsidP="00097D90">
            <w:pPr>
              <w:spacing w:before="40" w:after="40"/>
              <w:rPr>
                <w:rFonts w:ascii="Arial Narrow" w:hAnsi="Arial Narrow"/>
              </w:rPr>
            </w:pPr>
            <w:r w:rsidRPr="005F5BEA">
              <w:rPr>
                <w:rFonts w:ascii="Arial Narrow" w:hAnsi="Arial Narrow"/>
              </w:rPr>
              <w:t>Device reprogramming to reduce/eliminate risk of electromagnetic interference on the patient or the implanted device and associated outcomes (</w:t>
            </w:r>
            <w:proofErr w:type="gramStart"/>
            <w:r w:rsidRPr="005F5BEA">
              <w:rPr>
                <w:rFonts w:ascii="Arial Narrow" w:hAnsi="Arial Narrow"/>
              </w:rPr>
              <w:t>e.g.</w:t>
            </w:r>
            <w:proofErr w:type="gramEnd"/>
            <w:r w:rsidRPr="005F5BEA">
              <w:rPr>
                <w:rFonts w:ascii="Arial Narrow" w:hAnsi="Arial Narrow"/>
              </w:rPr>
              <w:t xml:space="preserve"> inappropriate shock, asystole) for patient admitted to hospital.</w:t>
            </w:r>
          </w:p>
        </w:tc>
        <w:tc>
          <w:tcPr>
            <w:tcW w:w="1430" w:type="pct"/>
          </w:tcPr>
          <w:p w14:paraId="50261FC0" w14:textId="77777777" w:rsidR="00E41526" w:rsidRPr="005F5BEA" w:rsidRDefault="00E41526" w:rsidP="00097D90">
            <w:pPr>
              <w:spacing w:before="40" w:after="40"/>
              <w:rPr>
                <w:rFonts w:ascii="Arial Narrow" w:hAnsi="Arial Narrow"/>
              </w:rPr>
            </w:pPr>
            <w:r w:rsidRPr="005F5BEA">
              <w:rPr>
                <w:rFonts w:ascii="Arial Narrow" w:hAnsi="Arial Narrow"/>
              </w:rPr>
              <w:t>Inpatient private hospital (admitted patient)</w:t>
            </w:r>
          </w:p>
        </w:tc>
      </w:tr>
      <w:tr w:rsidR="00E41526" w:rsidRPr="005F5BEA" w14:paraId="3EE84907" w14:textId="77777777" w:rsidTr="009F7E58">
        <w:trPr>
          <w:cantSplit/>
          <w:trHeight w:val="504"/>
        </w:trPr>
        <w:tc>
          <w:tcPr>
            <w:tcW w:w="1189" w:type="pct"/>
          </w:tcPr>
          <w:p w14:paraId="467F946E" w14:textId="77777777" w:rsidR="00E41526" w:rsidRPr="005F5BEA" w:rsidRDefault="00E41526" w:rsidP="00097D90">
            <w:pPr>
              <w:spacing w:before="40" w:after="40"/>
              <w:rPr>
                <w:rFonts w:ascii="Arial Narrow" w:hAnsi="Arial Narrow"/>
              </w:rPr>
            </w:pPr>
            <w:r w:rsidRPr="005F5BEA">
              <w:rPr>
                <w:rFonts w:ascii="Arial Narrow" w:hAnsi="Arial Narrow"/>
              </w:rPr>
              <w:t>Nursing home check</w:t>
            </w:r>
          </w:p>
        </w:tc>
        <w:tc>
          <w:tcPr>
            <w:tcW w:w="2381" w:type="pct"/>
          </w:tcPr>
          <w:p w14:paraId="276E0F9D" w14:textId="77777777" w:rsidR="00E41526" w:rsidRPr="005F5BEA" w:rsidRDefault="00E41526" w:rsidP="00097D90">
            <w:pPr>
              <w:spacing w:before="40" w:after="40"/>
              <w:rPr>
                <w:rFonts w:ascii="Arial Narrow" w:hAnsi="Arial Narrow"/>
              </w:rPr>
            </w:pPr>
            <w:r w:rsidRPr="005F5BEA">
              <w:rPr>
                <w:rFonts w:ascii="Arial Narrow" w:hAnsi="Arial Narrow"/>
              </w:rPr>
              <w:t xml:space="preserve">Device interrogation/reprogramming for immobile patients. </w:t>
            </w:r>
          </w:p>
        </w:tc>
        <w:tc>
          <w:tcPr>
            <w:tcW w:w="1430" w:type="pct"/>
          </w:tcPr>
          <w:p w14:paraId="4459B0BC" w14:textId="77777777" w:rsidR="00E41526" w:rsidRPr="005F5BEA" w:rsidRDefault="00E41526" w:rsidP="00097D90">
            <w:pPr>
              <w:spacing w:before="40" w:after="40"/>
              <w:rPr>
                <w:rFonts w:ascii="Arial Narrow" w:hAnsi="Arial Narrow"/>
              </w:rPr>
            </w:pPr>
            <w:r w:rsidRPr="005F5BEA">
              <w:rPr>
                <w:rFonts w:ascii="Arial Narrow" w:hAnsi="Arial Narrow"/>
              </w:rPr>
              <w:t>Residential aged care facility</w:t>
            </w:r>
          </w:p>
        </w:tc>
      </w:tr>
      <w:tr w:rsidR="00E41526" w:rsidRPr="005F5BEA" w14:paraId="21FEBCB2" w14:textId="77777777" w:rsidTr="009F7E58">
        <w:trPr>
          <w:cantSplit/>
          <w:trHeight w:val="504"/>
        </w:trPr>
        <w:tc>
          <w:tcPr>
            <w:tcW w:w="1189" w:type="pct"/>
          </w:tcPr>
          <w:p w14:paraId="70466FE0" w14:textId="77777777" w:rsidR="00E41526" w:rsidRPr="005F5BEA" w:rsidRDefault="00E41526" w:rsidP="00097D90">
            <w:pPr>
              <w:spacing w:before="40" w:after="40"/>
              <w:rPr>
                <w:rFonts w:ascii="Arial Narrow" w:hAnsi="Arial Narrow"/>
              </w:rPr>
            </w:pPr>
            <w:r w:rsidRPr="005F5BEA">
              <w:rPr>
                <w:rFonts w:ascii="Arial Narrow" w:hAnsi="Arial Narrow"/>
              </w:rPr>
              <w:t>Palliative reprogramming</w:t>
            </w:r>
          </w:p>
        </w:tc>
        <w:tc>
          <w:tcPr>
            <w:tcW w:w="2381" w:type="pct"/>
          </w:tcPr>
          <w:p w14:paraId="593ED883" w14:textId="77777777" w:rsidR="00E41526" w:rsidRPr="005F5BEA" w:rsidRDefault="00E41526" w:rsidP="00097D90">
            <w:pPr>
              <w:spacing w:before="40" w:after="40"/>
              <w:rPr>
                <w:rFonts w:ascii="Arial Narrow" w:hAnsi="Arial Narrow"/>
              </w:rPr>
            </w:pPr>
            <w:r w:rsidRPr="005F5BEA">
              <w:rPr>
                <w:rFonts w:ascii="Arial Narrow" w:hAnsi="Arial Narrow"/>
              </w:rPr>
              <w:t>Device reprogramming (deactivation) in situations where the resuscitation is unwanted.</w:t>
            </w:r>
          </w:p>
        </w:tc>
        <w:tc>
          <w:tcPr>
            <w:tcW w:w="1430" w:type="pct"/>
          </w:tcPr>
          <w:p w14:paraId="5B050868" w14:textId="77777777" w:rsidR="00E41526" w:rsidRPr="005F5BEA" w:rsidRDefault="00E41526" w:rsidP="00097D90">
            <w:pPr>
              <w:spacing w:before="40" w:after="40"/>
              <w:rPr>
                <w:rFonts w:ascii="Arial Narrow" w:hAnsi="Arial Narrow"/>
              </w:rPr>
            </w:pPr>
            <w:r w:rsidRPr="005F5BEA">
              <w:rPr>
                <w:rFonts w:ascii="Arial Narrow" w:hAnsi="Arial Narrow"/>
              </w:rPr>
              <w:t>Inpatient private hospital (admitted patient), private outpatient clinic, residential aged care facility, patient’s home</w:t>
            </w:r>
          </w:p>
        </w:tc>
      </w:tr>
      <w:tr w:rsidR="00E41526" w:rsidRPr="005F5BEA" w14:paraId="75DE37BF" w14:textId="77777777" w:rsidTr="009F7E58">
        <w:trPr>
          <w:cantSplit/>
          <w:trHeight w:val="504"/>
        </w:trPr>
        <w:tc>
          <w:tcPr>
            <w:tcW w:w="5000" w:type="pct"/>
            <w:gridSpan w:val="3"/>
          </w:tcPr>
          <w:p w14:paraId="1446A96B" w14:textId="026DA199" w:rsidR="00E41526" w:rsidRPr="005F5BEA" w:rsidRDefault="00E41526" w:rsidP="00097D90">
            <w:pPr>
              <w:spacing w:before="40" w:after="40"/>
              <w:rPr>
                <w:rFonts w:ascii="Arial Narrow" w:hAnsi="Arial Narrow"/>
                <w:b/>
              </w:rPr>
            </w:pPr>
            <w:r w:rsidRPr="005F5BEA">
              <w:rPr>
                <w:rFonts w:ascii="Arial Narrow" w:hAnsi="Arial Narrow"/>
                <w:b/>
              </w:rPr>
              <w:t>Remote monitoring</w:t>
            </w:r>
            <w:r w:rsidR="00E84681" w:rsidRPr="005F5BEA">
              <w:rPr>
                <w:rFonts w:ascii="Arial Narrow" w:hAnsi="Arial Narrow"/>
                <w:b/>
              </w:rPr>
              <w:t xml:space="preserve"> services</w:t>
            </w:r>
          </w:p>
        </w:tc>
      </w:tr>
      <w:tr w:rsidR="00E41526" w:rsidRPr="005F5BEA" w14:paraId="05BA447D" w14:textId="77777777" w:rsidTr="009F7E58">
        <w:trPr>
          <w:cantSplit/>
          <w:trHeight w:val="504"/>
        </w:trPr>
        <w:tc>
          <w:tcPr>
            <w:tcW w:w="1189" w:type="pct"/>
          </w:tcPr>
          <w:p w14:paraId="4D3D1144" w14:textId="77777777" w:rsidR="00E41526" w:rsidRPr="005F5BEA" w:rsidRDefault="00E41526" w:rsidP="00097D90">
            <w:pPr>
              <w:spacing w:before="40" w:after="40"/>
              <w:rPr>
                <w:rFonts w:ascii="Arial Narrow" w:hAnsi="Arial Narrow"/>
              </w:rPr>
            </w:pPr>
            <w:r w:rsidRPr="005F5BEA">
              <w:rPr>
                <w:rFonts w:ascii="Arial Narrow" w:hAnsi="Arial Narrow"/>
              </w:rPr>
              <w:t>Remote monitoring</w:t>
            </w:r>
          </w:p>
        </w:tc>
        <w:tc>
          <w:tcPr>
            <w:tcW w:w="2381" w:type="pct"/>
          </w:tcPr>
          <w:p w14:paraId="3ACC46E7" w14:textId="77777777" w:rsidR="00E41526" w:rsidRPr="005F5BEA" w:rsidRDefault="00E41526" w:rsidP="00097D90">
            <w:pPr>
              <w:spacing w:before="40" w:after="40"/>
              <w:rPr>
                <w:rFonts w:ascii="Arial Narrow" w:hAnsi="Arial Narrow"/>
              </w:rPr>
            </w:pPr>
            <w:r w:rsidRPr="005F5BEA">
              <w:rPr>
                <w:rFonts w:ascii="Arial Narrow" w:hAnsi="Arial Narrow"/>
              </w:rPr>
              <w:t>Device interrogation and data retrieval is performed remotely utilising external transmitter devices carried by the patient or installed in the patient’s home. If action is required, the patient needs to come to clinic for review and possible programming changes. This could occur in the physician’s private rooms or in the hospital setting. This service can be performed as a scheduled check or in the event of a device alert (unscheduled).</w:t>
            </w:r>
          </w:p>
        </w:tc>
        <w:tc>
          <w:tcPr>
            <w:tcW w:w="1430" w:type="pct"/>
          </w:tcPr>
          <w:p w14:paraId="49C8E6A8" w14:textId="77777777" w:rsidR="00E41526" w:rsidRPr="005F5BEA" w:rsidRDefault="00E41526" w:rsidP="00097D90">
            <w:pPr>
              <w:spacing w:before="40" w:after="40"/>
              <w:rPr>
                <w:rFonts w:ascii="Arial Narrow" w:hAnsi="Arial Narrow"/>
              </w:rPr>
            </w:pPr>
            <w:r w:rsidRPr="005F5BEA">
              <w:rPr>
                <w:rFonts w:ascii="Arial Narrow" w:hAnsi="Arial Narrow"/>
              </w:rPr>
              <w:t>Patient’s home, Private outpatient clinic, Inpatient private hospital (admitted patient)</w:t>
            </w:r>
          </w:p>
        </w:tc>
      </w:tr>
    </w:tbl>
    <w:p w14:paraId="41B8D97B" w14:textId="719823D3" w:rsidR="00097D90" w:rsidRPr="005F5BEA" w:rsidRDefault="00097D90" w:rsidP="00097D90">
      <w:pPr>
        <w:spacing w:after="240"/>
        <w:contextualSpacing/>
        <w:jc w:val="both"/>
        <w:rPr>
          <w:rFonts w:ascii="Arial Narrow" w:hAnsi="Arial Narrow" w:cs="Arial"/>
          <w:sz w:val="18"/>
        </w:rPr>
      </w:pPr>
      <w:r w:rsidRPr="005F5BEA">
        <w:rPr>
          <w:rFonts w:ascii="Arial Narrow" w:hAnsi="Arial Narrow" w:cs="Arial"/>
          <w:sz w:val="18"/>
        </w:rPr>
        <w:t xml:space="preserve">Source: </w:t>
      </w:r>
      <w:r w:rsidR="00D41185" w:rsidRPr="005F5BEA">
        <w:rPr>
          <w:rFonts w:ascii="Arial Narrow" w:hAnsi="Arial Narrow" w:cs="Arial"/>
          <w:sz w:val="18"/>
        </w:rPr>
        <w:t xml:space="preserve">Adapted from </w:t>
      </w:r>
      <w:bookmarkStart w:id="16" w:name="_Hlk124161086"/>
      <w:r w:rsidR="00D41185" w:rsidRPr="005F5BEA">
        <w:rPr>
          <w:rFonts w:ascii="Arial Narrow" w:hAnsi="Arial Narrow" w:cs="Arial"/>
          <w:sz w:val="18"/>
        </w:rPr>
        <w:t xml:space="preserve">MSAC 1724 ADAR </w:t>
      </w:r>
      <w:r w:rsidRPr="005F5BEA">
        <w:rPr>
          <w:rFonts w:ascii="Arial Narrow" w:hAnsi="Arial Narrow" w:cs="Arial"/>
          <w:sz w:val="18"/>
        </w:rPr>
        <w:t>Table 1-1, p</w:t>
      </w:r>
      <w:r w:rsidR="00D41185" w:rsidRPr="005F5BEA">
        <w:rPr>
          <w:rFonts w:ascii="Arial Narrow" w:hAnsi="Arial Narrow" w:cs="Arial"/>
          <w:sz w:val="18"/>
        </w:rPr>
        <w:t xml:space="preserve">age </w:t>
      </w:r>
      <w:r w:rsidRPr="005F5BEA">
        <w:rPr>
          <w:rFonts w:ascii="Arial Narrow" w:hAnsi="Arial Narrow" w:cs="Arial"/>
          <w:sz w:val="18"/>
        </w:rPr>
        <w:t>2</w:t>
      </w:r>
      <w:r w:rsidR="00D41185" w:rsidRPr="005F5BEA">
        <w:rPr>
          <w:rFonts w:ascii="Arial Narrow" w:hAnsi="Arial Narrow" w:cs="Arial"/>
          <w:sz w:val="18"/>
        </w:rPr>
        <w:t>0.</w:t>
      </w:r>
    </w:p>
    <w:bookmarkEnd w:id="16"/>
    <w:p w14:paraId="6B7C1E32" w14:textId="32E3081A" w:rsidR="00097D90" w:rsidRPr="005F5BEA" w:rsidRDefault="00097D90" w:rsidP="00097D90">
      <w:pPr>
        <w:spacing w:after="240"/>
        <w:contextualSpacing/>
        <w:jc w:val="both"/>
        <w:rPr>
          <w:rFonts w:ascii="Arial Narrow" w:hAnsi="Arial Narrow" w:cs="Arial"/>
          <w:sz w:val="18"/>
        </w:rPr>
      </w:pPr>
      <w:r w:rsidRPr="005F5BEA">
        <w:rPr>
          <w:rFonts w:ascii="Arial Narrow" w:hAnsi="Arial Narrow" w:cs="Arial"/>
          <w:sz w:val="18"/>
        </w:rPr>
        <w:t>CIED</w:t>
      </w:r>
      <w:r w:rsidR="00336A41" w:rsidRPr="005F5BEA">
        <w:rPr>
          <w:rFonts w:ascii="Arial Narrow" w:hAnsi="Arial Narrow" w:cs="Arial"/>
          <w:sz w:val="18"/>
        </w:rPr>
        <w:t xml:space="preserve"> </w:t>
      </w:r>
      <w:r w:rsidRPr="005F5BEA">
        <w:rPr>
          <w:rFonts w:ascii="Arial Narrow" w:hAnsi="Arial Narrow" w:cs="Arial"/>
          <w:sz w:val="18"/>
        </w:rPr>
        <w:t>=</w:t>
      </w:r>
      <w:r w:rsidR="00336A41" w:rsidRPr="005F5BEA">
        <w:rPr>
          <w:rFonts w:ascii="Arial Narrow" w:hAnsi="Arial Narrow" w:cs="Arial"/>
          <w:sz w:val="18"/>
        </w:rPr>
        <w:t xml:space="preserve"> </w:t>
      </w:r>
      <w:r w:rsidRPr="005F5BEA">
        <w:rPr>
          <w:rFonts w:ascii="Arial Narrow" w:hAnsi="Arial Narrow" w:cs="Arial"/>
          <w:sz w:val="18"/>
        </w:rPr>
        <w:t>Cardiac Implantable Electronic Devices; EP</w:t>
      </w:r>
      <w:r w:rsidR="00336A41" w:rsidRPr="005F5BEA">
        <w:rPr>
          <w:rFonts w:ascii="Arial Narrow" w:hAnsi="Arial Narrow" w:cs="Arial"/>
          <w:sz w:val="18"/>
        </w:rPr>
        <w:t xml:space="preserve"> </w:t>
      </w:r>
      <w:r w:rsidRPr="005F5BEA">
        <w:rPr>
          <w:rFonts w:ascii="Arial Narrow" w:hAnsi="Arial Narrow" w:cs="Arial"/>
          <w:sz w:val="18"/>
        </w:rPr>
        <w:t>=</w:t>
      </w:r>
      <w:r w:rsidR="00336A41" w:rsidRPr="005F5BEA">
        <w:rPr>
          <w:rFonts w:ascii="Arial Narrow" w:hAnsi="Arial Narrow" w:cs="Arial"/>
          <w:sz w:val="18"/>
        </w:rPr>
        <w:t xml:space="preserve"> </w:t>
      </w:r>
      <w:r w:rsidRPr="005F5BEA">
        <w:rPr>
          <w:rFonts w:ascii="Arial Narrow" w:hAnsi="Arial Narrow" w:cs="Arial"/>
          <w:sz w:val="18"/>
        </w:rPr>
        <w:t>Electrophysiology Procedure; ICD</w:t>
      </w:r>
      <w:r w:rsidR="00336A41" w:rsidRPr="005F5BEA">
        <w:rPr>
          <w:rFonts w:ascii="Arial Narrow" w:hAnsi="Arial Narrow" w:cs="Arial"/>
          <w:sz w:val="18"/>
        </w:rPr>
        <w:t xml:space="preserve"> </w:t>
      </w:r>
      <w:r w:rsidRPr="005F5BEA">
        <w:rPr>
          <w:rFonts w:ascii="Arial Narrow" w:hAnsi="Arial Narrow" w:cs="Arial"/>
          <w:sz w:val="18"/>
        </w:rPr>
        <w:t>=</w:t>
      </w:r>
      <w:r w:rsidR="00336A41" w:rsidRPr="005F5BEA">
        <w:rPr>
          <w:rFonts w:ascii="Arial Narrow" w:hAnsi="Arial Narrow" w:cs="Arial"/>
          <w:sz w:val="18"/>
        </w:rPr>
        <w:t xml:space="preserve"> </w:t>
      </w:r>
      <w:r w:rsidRPr="005F5BEA">
        <w:rPr>
          <w:rFonts w:ascii="Arial Narrow" w:hAnsi="Arial Narrow" w:cs="Arial"/>
          <w:sz w:val="18"/>
        </w:rPr>
        <w:t>Implantable cardioverter defibrillators; ICU</w:t>
      </w:r>
      <w:r w:rsidR="00336A41" w:rsidRPr="005F5BEA">
        <w:rPr>
          <w:rFonts w:ascii="Arial Narrow" w:hAnsi="Arial Narrow" w:cs="Arial"/>
          <w:sz w:val="18"/>
        </w:rPr>
        <w:t xml:space="preserve"> </w:t>
      </w:r>
      <w:r w:rsidRPr="005F5BEA">
        <w:rPr>
          <w:rFonts w:ascii="Arial Narrow" w:hAnsi="Arial Narrow" w:cs="Arial"/>
          <w:sz w:val="18"/>
        </w:rPr>
        <w:t>=</w:t>
      </w:r>
      <w:r w:rsidR="00336A41" w:rsidRPr="005F5BEA">
        <w:rPr>
          <w:rFonts w:ascii="Arial Narrow" w:hAnsi="Arial Narrow" w:cs="Arial"/>
          <w:sz w:val="18"/>
        </w:rPr>
        <w:t xml:space="preserve"> </w:t>
      </w:r>
      <w:r w:rsidRPr="005F5BEA">
        <w:rPr>
          <w:rFonts w:ascii="Arial Narrow" w:hAnsi="Arial Narrow" w:cs="Arial"/>
          <w:sz w:val="18"/>
        </w:rPr>
        <w:t>intensive care unit; ILR</w:t>
      </w:r>
      <w:r w:rsidR="00336A41" w:rsidRPr="005F5BEA">
        <w:rPr>
          <w:rFonts w:ascii="Arial Narrow" w:hAnsi="Arial Narrow" w:cs="Arial"/>
          <w:sz w:val="18"/>
        </w:rPr>
        <w:t xml:space="preserve"> </w:t>
      </w:r>
      <w:r w:rsidRPr="005F5BEA">
        <w:rPr>
          <w:rFonts w:ascii="Arial Narrow" w:hAnsi="Arial Narrow" w:cs="Arial"/>
          <w:sz w:val="18"/>
        </w:rPr>
        <w:t>=</w:t>
      </w:r>
      <w:r w:rsidR="00336A41" w:rsidRPr="005F5BEA">
        <w:rPr>
          <w:rFonts w:ascii="Arial Narrow" w:hAnsi="Arial Narrow" w:cs="Arial"/>
          <w:sz w:val="18"/>
        </w:rPr>
        <w:t xml:space="preserve"> </w:t>
      </w:r>
      <w:r w:rsidRPr="005F5BEA">
        <w:rPr>
          <w:rFonts w:ascii="Arial Narrow" w:hAnsi="Arial Narrow" w:cs="Arial"/>
          <w:sz w:val="18"/>
        </w:rPr>
        <w:t>Implantable loop recorders; MRI</w:t>
      </w:r>
      <w:r w:rsidR="00336A41" w:rsidRPr="005F5BEA">
        <w:rPr>
          <w:rFonts w:ascii="Arial Narrow" w:hAnsi="Arial Narrow" w:cs="Arial"/>
          <w:sz w:val="18"/>
        </w:rPr>
        <w:t xml:space="preserve"> </w:t>
      </w:r>
      <w:r w:rsidRPr="005F5BEA">
        <w:rPr>
          <w:rFonts w:ascii="Arial Narrow" w:hAnsi="Arial Narrow" w:cs="Arial"/>
          <w:sz w:val="18"/>
        </w:rPr>
        <w:t>=</w:t>
      </w:r>
      <w:r w:rsidR="00336A41" w:rsidRPr="005F5BEA">
        <w:rPr>
          <w:rFonts w:ascii="Arial Narrow" w:hAnsi="Arial Narrow" w:cs="Arial"/>
          <w:sz w:val="18"/>
        </w:rPr>
        <w:t xml:space="preserve"> </w:t>
      </w:r>
      <w:r w:rsidRPr="005F5BEA">
        <w:rPr>
          <w:rFonts w:ascii="Arial Narrow" w:hAnsi="Arial Narrow" w:cs="Arial"/>
          <w:sz w:val="18"/>
        </w:rPr>
        <w:t>magnetic resonance imaging; PPM</w:t>
      </w:r>
      <w:r w:rsidR="00336A41" w:rsidRPr="005F5BEA">
        <w:rPr>
          <w:rFonts w:ascii="Arial Narrow" w:hAnsi="Arial Narrow" w:cs="Arial"/>
          <w:sz w:val="18"/>
        </w:rPr>
        <w:t xml:space="preserve"> </w:t>
      </w:r>
      <w:r w:rsidRPr="005F5BEA">
        <w:rPr>
          <w:rFonts w:ascii="Arial Narrow" w:hAnsi="Arial Narrow" w:cs="Arial"/>
          <w:sz w:val="18"/>
        </w:rPr>
        <w:t>=</w:t>
      </w:r>
      <w:r w:rsidR="00336A41" w:rsidRPr="005F5BEA">
        <w:rPr>
          <w:rFonts w:ascii="Arial Narrow" w:hAnsi="Arial Narrow" w:cs="Arial"/>
          <w:sz w:val="18"/>
        </w:rPr>
        <w:t xml:space="preserve"> </w:t>
      </w:r>
      <w:r w:rsidRPr="005F5BEA">
        <w:rPr>
          <w:rFonts w:ascii="Arial Narrow" w:hAnsi="Arial Narrow" w:cs="Arial"/>
          <w:sz w:val="18"/>
        </w:rPr>
        <w:t>Pacemakers</w:t>
      </w:r>
    </w:p>
    <w:p w14:paraId="6187622D" w14:textId="77777777" w:rsidR="00097D90" w:rsidRPr="005F5BEA" w:rsidRDefault="00097D90" w:rsidP="00311959">
      <w:pPr>
        <w:pStyle w:val="Heading4"/>
      </w:pPr>
      <w:r w:rsidRPr="005F5BEA">
        <w:t>Implantation support</w:t>
      </w:r>
    </w:p>
    <w:p w14:paraId="22BD3F51" w14:textId="64294449" w:rsidR="00097D90" w:rsidRPr="005F5BEA" w:rsidRDefault="00D41185" w:rsidP="00097D90">
      <w:r w:rsidRPr="005F5BEA">
        <w:t>CIED i</w:t>
      </w:r>
      <w:r w:rsidR="00097D90" w:rsidRPr="005F5BEA">
        <w:t xml:space="preserve">mplantation support and the Day-1 post-implantation check </w:t>
      </w:r>
      <w:r w:rsidRPr="005F5BEA">
        <w:t>are</w:t>
      </w:r>
      <w:r w:rsidR="00097D90" w:rsidRPr="005F5BEA">
        <w:t xml:space="preserve"> included in the ADAR as scheduled services.  In the </w:t>
      </w:r>
      <w:r w:rsidRPr="005F5BEA">
        <w:t xml:space="preserve">2022 </w:t>
      </w:r>
      <w:r w:rsidR="00097D90" w:rsidRPr="005F5BEA">
        <w:t xml:space="preserve">CSANZ </w:t>
      </w:r>
      <w:r w:rsidRPr="005F5BEA">
        <w:t xml:space="preserve">guideline </w:t>
      </w:r>
      <w:r w:rsidR="00097D90" w:rsidRPr="005F5BEA">
        <w:t xml:space="preserve">schema, they are considered as separate </w:t>
      </w:r>
      <w:r w:rsidR="00AE1B20" w:rsidRPr="005F5BEA">
        <w:t xml:space="preserve">to scheduled </w:t>
      </w:r>
      <w:r w:rsidR="00097D90" w:rsidRPr="005F5BEA">
        <w:t>services (</w:t>
      </w:r>
      <w:r w:rsidR="00AE1B20" w:rsidRPr="005F5BEA">
        <w:fldChar w:fldCharType="begin"/>
      </w:r>
      <w:r w:rsidR="00AE1B20" w:rsidRPr="005F5BEA">
        <w:instrText xml:space="preserve"> REF _Ref119585983 \h </w:instrText>
      </w:r>
      <w:r w:rsidR="005F5BEA">
        <w:instrText xml:space="preserve"> \* MERGEFORMAT </w:instrText>
      </w:r>
      <w:r w:rsidR="00AE1B20" w:rsidRPr="005F5BEA">
        <w:fldChar w:fldCharType="separate"/>
      </w:r>
      <w:r w:rsidR="00334548" w:rsidRPr="005F5BEA">
        <w:t xml:space="preserve">Figure </w:t>
      </w:r>
      <w:r w:rsidR="00334548">
        <w:rPr>
          <w:noProof/>
        </w:rPr>
        <w:t>2</w:t>
      </w:r>
      <w:r w:rsidR="00AE1B20" w:rsidRPr="005F5BEA">
        <w:fldChar w:fldCharType="end"/>
      </w:r>
      <w:r w:rsidR="00097D90" w:rsidRPr="005F5BEA">
        <w:t>).</w:t>
      </w:r>
    </w:p>
    <w:p w14:paraId="5132CF2E" w14:textId="310C7B67" w:rsidR="00097D90" w:rsidRPr="005F5BEA" w:rsidRDefault="00B62C82" w:rsidP="00097D90">
      <w:r w:rsidRPr="005F5BEA">
        <w:lastRenderedPageBreak/>
        <w:t>IECT</w:t>
      </w:r>
      <w:r w:rsidR="00097D90" w:rsidRPr="005F5BEA">
        <w:t xml:space="preserve">s may provide peri-implantation technical support and Day-1 post-implantation device checks at the time of implantation of a CIED. These services can include providing advice to the surgeon about device specifications and features to help the surgeon select the </w:t>
      </w:r>
      <w:r w:rsidR="00885F80" w:rsidRPr="005F5BEA">
        <w:t>most appropriate</w:t>
      </w:r>
      <w:r w:rsidR="00097D90" w:rsidRPr="005F5BEA">
        <w:t xml:space="preserve"> device for their patient. It should be noted that </w:t>
      </w:r>
      <w:r w:rsidRPr="005F5BEA">
        <w:t>IECT</w:t>
      </w:r>
      <w:r w:rsidR="00097D90" w:rsidRPr="005F5BEA">
        <w:t xml:space="preserve">s only provide advice about CIEDs manufactured by their company and therefore the advice they provide is not comparative. The </w:t>
      </w:r>
      <w:r w:rsidRPr="005F5BEA">
        <w:t>IECT</w:t>
      </w:r>
      <w:r w:rsidR="00097D90" w:rsidRPr="005F5BEA">
        <w:t xml:space="preserve"> can program the new</w:t>
      </w:r>
      <w:r w:rsidR="00885F80" w:rsidRPr="005F5BEA">
        <w:t>ly implanted</w:t>
      </w:r>
      <w:r w:rsidR="00097D90" w:rsidRPr="005F5BEA">
        <w:t xml:space="preserve"> CIED (</w:t>
      </w:r>
      <w:r w:rsidR="00885F80" w:rsidRPr="005F5BEA">
        <w:t xml:space="preserve">provide </w:t>
      </w:r>
      <w:r w:rsidR="00097D90" w:rsidRPr="005F5BEA">
        <w:t>algorithm optimisation</w:t>
      </w:r>
      <w:r w:rsidR="00885F80" w:rsidRPr="005F5BEA">
        <w:t xml:space="preserve"> and </w:t>
      </w:r>
      <w:r w:rsidR="00097D90" w:rsidRPr="005F5BEA">
        <w:t xml:space="preserve">device reprogramming recommendations to the clinician) under clinical supervision and provide patient education on the new CIED and use of remote monitoring. They often provide administrative support by registering the CIED. Requests for </w:t>
      </w:r>
      <w:r w:rsidR="00885F80" w:rsidRPr="005F5BEA">
        <w:t xml:space="preserve">implantation </w:t>
      </w:r>
      <w:r w:rsidR="00097D90" w:rsidRPr="005F5BEA">
        <w:t>support are often made at short notice (within 24 to 48 hours).</w:t>
      </w:r>
      <w:r w:rsidR="006777CC" w:rsidRPr="005F5BEA">
        <w:t xml:space="preserve"> A member of the reference group </w:t>
      </w:r>
      <w:r w:rsidR="005F3A2D" w:rsidRPr="005F5BEA">
        <w:t>advised</w:t>
      </w:r>
      <w:r w:rsidR="006777CC" w:rsidRPr="005F5BEA">
        <w:t xml:space="preserve"> that </w:t>
      </w:r>
      <w:r w:rsidR="007718F6" w:rsidRPr="005F5BEA">
        <w:t xml:space="preserve">device </w:t>
      </w:r>
      <w:r w:rsidR="006777CC" w:rsidRPr="005F5BEA">
        <w:t xml:space="preserve">implantation in the public system </w:t>
      </w:r>
      <w:proofErr w:type="gramStart"/>
      <w:r w:rsidR="006777CC" w:rsidRPr="005F5BEA">
        <w:t>are</w:t>
      </w:r>
      <w:proofErr w:type="gramEnd"/>
      <w:r w:rsidR="006777CC" w:rsidRPr="005F5BEA">
        <w:t xml:space="preserve"> usually done as same day outpatient procedures. In the private system, </w:t>
      </w:r>
      <w:r w:rsidR="00AA15B0" w:rsidRPr="005F5BEA">
        <w:t>D</w:t>
      </w:r>
      <w:r w:rsidR="006777CC" w:rsidRPr="005F5BEA">
        <w:t>ay-1 post-implantation services are now mostly performed remotely. They state</w:t>
      </w:r>
      <w:r w:rsidR="00BF3093" w:rsidRPr="005F5BEA">
        <w:t>d</w:t>
      </w:r>
      <w:r w:rsidR="006777CC" w:rsidRPr="005F5BEA">
        <w:t xml:space="preserve"> that there is currently no longer a need for a routine in-hospital </w:t>
      </w:r>
      <w:r w:rsidR="00962E66" w:rsidRPr="005F5BEA">
        <w:t>D</w:t>
      </w:r>
      <w:r w:rsidR="006777CC" w:rsidRPr="005F5BEA">
        <w:t>ay</w:t>
      </w:r>
      <w:r w:rsidR="00962E66" w:rsidRPr="005F5BEA">
        <w:t>-</w:t>
      </w:r>
      <w:r w:rsidR="006777CC" w:rsidRPr="005F5BEA">
        <w:t xml:space="preserve">1 </w:t>
      </w:r>
      <w:r w:rsidRPr="005F5BEA">
        <w:t>IECT</w:t>
      </w:r>
      <w:r w:rsidR="006777CC" w:rsidRPr="005F5BEA">
        <w:t xml:space="preserve"> visit, however a remote check would be necessary. </w:t>
      </w:r>
    </w:p>
    <w:p w14:paraId="052D919B" w14:textId="75FEC283" w:rsidR="00FF3244" w:rsidRPr="005F5BEA" w:rsidRDefault="004551ED" w:rsidP="00097D90">
      <w:r w:rsidRPr="005F5BEA">
        <w:t xml:space="preserve">Cardiac support services associated with device implantation are not considered to be within the scope of ADAR assessment as it is considered that reimbursement for implantation technical support </w:t>
      </w:r>
      <w:r w:rsidR="00730A92" w:rsidRPr="005F5BEA">
        <w:t>could be</w:t>
      </w:r>
      <w:r w:rsidRPr="005F5BEA">
        <w:t xml:space="preserve"> included in the PL benefit of CIEDs. </w:t>
      </w:r>
      <w:r w:rsidR="00FF3244" w:rsidRPr="005F5BEA">
        <w:t xml:space="preserve">Implantation support and the </w:t>
      </w:r>
      <w:r w:rsidRPr="005F5BEA">
        <w:t xml:space="preserve">Day-1 post-implantation </w:t>
      </w:r>
      <w:r w:rsidR="00FF3244" w:rsidRPr="005F5BEA">
        <w:t xml:space="preserve">check </w:t>
      </w:r>
      <w:r w:rsidRPr="005F5BEA">
        <w:t>contributes to safe and effective use of the CIED. It may be reasonable to consider that customer service and technical support contributing to safe and effective use of a CIED at the point of implantation would reasonably be included in the cost of the device for both the public and private sector. This type of support service is not reimbursed in Australia for other implanted devices.</w:t>
      </w:r>
    </w:p>
    <w:p w14:paraId="165E8732" w14:textId="733BAEDC" w:rsidR="00097D90" w:rsidRPr="005F5BEA" w:rsidRDefault="00097D90" w:rsidP="00097D90">
      <w:pPr>
        <w:keepNext/>
        <w:keepLines/>
        <w:tabs>
          <w:tab w:val="left" w:pos="851"/>
        </w:tabs>
        <w:spacing w:before="360" w:after="200" w:line="240" w:lineRule="auto"/>
        <w:outlineLvl w:val="3"/>
        <w:rPr>
          <w:rFonts w:ascii="Franklin Gothic Medium" w:eastAsiaTheme="majorEastAsia" w:hAnsi="Franklin Gothic Medium" w:cstheme="majorBidi"/>
          <w:i/>
          <w:sz w:val="24"/>
          <w:szCs w:val="24"/>
        </w:rPr>
      </w:pPr>
      <w:bookmarkStart w:id="17" w:name="_Hlk124161581"/>
      <w:r w:rsidRPr="005F5BEA">
        <w:rPr>
          <w:rFonts w:ascii="Franklin Gothic Medium" w:eastAsiaTheme="majorEastAsia" w:hAnsi="Franklin Gothic Medium" w:cstheme="majorBidi"/>
          <w:i/>
          <w:sz w:val="24"/>
          <w:szCs w:val="24"/>
        </w:rPr>
        <w:t>Scheduled</w:t>
      </w:r>
      <w:r w:rsidR="00355FC6" w:rsidRPr="005F5BEA">
        <w:rPr>
          <w:rFonts w:ascii="Franklin Gothic Medium" w:eastAsiaTheme="majorEastAsia" w:hAnsi="Franklin Gothic Medium" w:cstheme="majorBidi"/>
          <w:i/>
          <w:sz w:val="24"/>
          <w:szCs w:val="24"/>
        </w:rPr>
        <w:t xml:space="preserve"> in-person</w:t>
      </w:r>
      <w:r w:rsidRPr="005F5BEA">
        <w:rPr>
          <w:rFonts w:ascii="Franklin Gothic Medium" w:eastAsiaTheme="majorEastAsia" w:hAnsi="Franklin Gothic Medium" w:cstheme="majorBidi"/>
          <w:i/>
          <w:sz w:val="24"/>
          <w:szCs w:val="24"/>
        </w:rPr>
        <w:t xml:space="preserve"> follow-up </w:t>
      </w:r>
      <w:proofErr w:type="gramStart"/>
      <w:r w:rsidRPr="005F5BEA">
        <w:rPr>
          <w:rFonts w:ascii="Franklin Gothic Medium" w:eastAsiaTheme="majorEastAsia" w:hAnsi="Franklin Gothic Medium" w:cstheme="majorBidi"/>
          <w:i/>
          <w:sz w:val="24"/>
          <w:szCs w:val="24"/>
        </w:rPr>
        <w:t>services</w:t>
      </w:r>
      <w:proofErr w:type="gramEnd"/>
    </w:p>
    <w:bookmarkEnd w:id="17"/>
    <w:p w14:paraId="671B37C7" w14:textId="68695227" w:rsidR="00BB6DED" w:rsidRPr="005F5BEA" w:rsidRDefault="00097D90" w:rsidP="00097D90">
      <w:r w:rsidRPr="005F5BEA">
        <w:t>For the purposes of the ADAR, a scheduled service is a routine service included in clinical guidance on CIED follow-up. Apart from implantation services discussed above, the remaining scheduled services are routine follow-up checks</w:t>
      </w:r>
      <w:r w:rsidR="008C4558" w:rsidRPr="005F5BEA">
        <w:t xml:space="preserve"> (whether or not they are </w:t>
      </w:r>
      <w:proofErr w:type="gramStart"/>
      <w:r w:rsidR="008C4558" w:rsidRPr="005F5BEA">
        <w:t>planned, or</w:t>
      </w:r>
      <w:proofErr w:type="gramEnd"/>
      <w:r w:rsidR="008C4558" w:rsidRPr="005F5BEA">
        <w:t xml:space="preserve"> </w:t>
      </w:r>
      <w:r w:rsidR="00B115CB" w:rsidRPr="005F5BEA">
        <w:t>requested at short notice)</w:t>
      </w:r>
      <w:r w:rsidRPr="005F5BEA">
        <w:t xml:space="preserve">. </w:t>
      </w:r>
      <w:r w:rsidR="00BB6DED" w:rsidRPr="005F5BEA">
        <w:t>The equipment used to interrogate the CIED during a scheduled follow-up check is specific to each CIED manufacturer so that multiple sets of equipment are required in a clinic/hospital to cover all brands of CIEDs likely to be encountered during consultations.</w:t>
      </w:r>
    </w:p>
    <w:p w14:paraId="6A861E66" w14:textId="17AFD2C0" w:rsidR="00BB6DED" w:rsidRPr="005F5BEA" w:rsidRDefault="00BB6DED" w:rsidP="00BB6DED">
      <w:r w:rsidRPr="005F5BEA">
        <w:t xml:space="preserve">The involvement of an </w:t>
      </w:r>
      <w:r w:rsidR="00B62C82" w:rsidRPr="005F5BEA">
        <w:t>IECT</w:t>
      </w:r>
      <w:r w:rsidRPr="005F5BEA">
        <w:t xml:space="preserve"> in scheduled follow-ups may depend upon whether the clinic or hospital employs their own cardiac technicians and </w:t>
      </w:r>
      <w:r w:rsidR="00CD3CE0" w:rsidRPr="005F5BEA">
        <w:t>whether</w:t>
      </w:r>
      <w:r w:rsidRPr="005F5BEA">
        <w:t xml:space="preserve"> </w:t>
      </w:r>
      <w:r w:rsidR="00B62C82" w:rsidRPr="005F5BEA">
        <w:t>IECT</w:t>
      </w:r>
      <w:r w:rsidRPr="005F5BEA">
        <w:t xml:space="preserve"> specialist knowledge of the </w:t>
      </w:r>
      <w:proofErr w:type="gramStart"/>
      <w:r w:rsidRPr="005F5BEA">
        <w:t>particular device</w:t>
      </w:r>
      <w:proofErr w:type="gramEnd"/>
      <w:r w:rsidRPr="005F5BEA">
        <w:t xml:space="preserve"> </w:t>
      </w:r>
      <w:r w:rsidR="00CD3CE0" w:rsidRPr="005F5BEA">
        <w:t xml:space="preserve">is required </w:t>
      </w:r>
      <w:r w:rsidRPr="005F5BEA">
        <w:t xml:space="preserve">to resolve a clinical or system issue with the patient’s CIED. </w:t>
      </w:r>
      <w:r w:rsidR="00A216D9" w:rsidRPr="005F5BEA">
        <w:t>Non-industry employed c</w:t>
      </w:r>
      <w:r w:rsidRPr="005F5BEA">
        <w:t xml:space="preserve">ardiac technicians are employed in both public and private clinics/hospitals. Although </w:t>
      </w:r>
      <w:r w:rsidR="00B62C82" w:rsidRPr="005F5BEA">
        <w:t>IECT</w:t>
      </w:r>
      <w:r w:rsidRPr="005F5BEA">
        <w:t>s predominantly support technical services in private clinics/hospitals, they also provide services on-demand to physicians and cardiac technicians working in public clinics/hospitals.</w:t>
      </w:r>
    </w:p>
    <w:p w14:paraId="4AF80E1C" w14:textId="6B4E6514" w:rsidR="00E84214" w:rsidRPr="005F5BEA" w:rsidRDefault="00097D90" w:rsidP="00097D90">
      <w:r w:rsidRPr="005F5BEA">
        <w:t xml:space="preserve">There were 9,776 scheduled services carried out by </w:t>
      </w:r>
      <w:r w:rsidR="00B62C82" w:rsidRPr="005F5BEA">
        <w:t>IECT</w:t>
      </w:r>
      <w:r w:rsidRPr="005F5BEA">
        <w:t xml:space="preserve"> staff (</w:t>
      </w:r>
      <w:r w:rsidR="00AE4FB4" w:rsidRPr="005F5BEA">
        <w:t xml:space="preserve">250 </w:t>
      </w:r>
      <w:r w:rsidR="00B62C82" w:rsidRPr="005F5BEA">
        <w:t>IECT</w:t>
      </w:r>
      <w:r w:rsidR="00AE4FB4" w:rsidRPr="005F5BEA">
        <w:t xml:space="preserve">s; </w:t>
      </w:r>
      <w:r w:rsidRPr="005F5BEA">
        <w:t>2</w:t>
      </w:r>
      <w:r w:rsidR="00AE4FB4" w:rsidRPr="005F5BEA">
        <w:t>63</w:t>
      </w:r>
      <w:r w:rsidR="007A52CE" w:rsidRPr="005F5BEA">
        <w:t>.6</w:t>
      </w:r>
      <w:r w:rsidRPr="005F5BEA">
        <w:t xml:space="preserve"> FTE) in the 4-week MTAA survey period, of which almost three quarters (71.9%; 7,028 services) were routine follow-up checks. This service is usually carried out in-person as an outpatient at a clinic or hospital</w:t>
      </w:r>
      <w:r w:rsidR="002F25B6" w:rsidRPr="005F5BEA">
        <w:t>, however remote scheduled checks can be performed (with follow up in-person consultation is required)</w:t>
      </w:r>
      <w:r w:rsidRPr="005F5BEA">
        <w:t xml:space="preserve">. </w:t>
      </w:r>
      <w:r w:rsidR="00E84214" w:rsidRPr="005F5BEA">
        <w:t xml:space="preserve">A member of the reference group </w:t>
      </w:r>
      <w:r w:rsidR="005F3A2D" w:rsidRPr="005F5BEA">
        <w:t>advised</w:t>
      </w:r>
      <w:r w:rsidR="00E84214" w:rsidRPr="005F5BEA">
        <w:t xml:space="preserve"> that scheduled checks are </w:t>
      </w:r>
      <w:r w:rsidR="00E84214" w:rsidRPr="005F5BEA">
        <w:rPr>
          <w:lang w:val="en-GB"/>
        </w:rPr>
        <w:t xml:space="preserve">most typically </w:t>
      </w:r>
      <w:r w:rsidR="00600889" w:rsidRPr="005F5BEA">
        <w:rPr>
          <w:lang w:val="en-GB"/>
        </w:rPr>
        <w:t xml:space="preserve">performed </w:t>
      </w:r>
      <w:r w:rsidR="00E84214" w:rsidRPr="005F5BEA">
        <w:rPr>
          <w:lang w:val="en-GB"/>
        </w:rPr>
        <w:t>as a combination of an in-person consultation after a scheduled remote interrogation of the CIED.</w:t>
      </w:r>
      <w:r w:rsidR="005B5A95" w:rsidRPr="005F5BEA">
        <w:rPr>
          <w:lang w:val="en-GB"/>
        </w:rPr>
        <w:t xml:space="preserve"> Furthermore, it was stated by</w:t>
      </w:r>
      <w:r w:rsidR="005405A8" w:rsidRPr="005F5BEA">
        <w:rPr>
          <w:lang w:val="en-GB"/>
        </w:rPr>
        <w:t xml:space="preserve"> another member of the reference group that the average number of scheduled checks per FTE </w:t>
      </w:r>
      <w:r w:rsidR="00B62C82" w:rsidRPr="005F5BEA">
        <w:rPr>
          <w:lang w:val="en-GB"/>
        </w:rPr>
        <w:t>IECT</w:t>
      </w:r>
      <w:r w:rsidR="005405A8" w:rsidRPr="005F5BEA">
        <w:rPr>
          <w:lang w:val="en-GB"/>
        </w:rPr>
        <w:t xml:space="preserve"> (9.3 per week) was considered a low workload for one FTE.</w:t>
      </w:r>
    </w:p>
    <w:p w14:paraId="43754EB3" w14:textId="52AD03C8" w:rsidR="00097D90" w:rsidRPr="005F5BEA" w:rsidRDefault="00097D90" w:rsidP="00097D90">
      <w:r w:rsidRPr="005F5BEA">
        <w:t xml:space="preserve">The CIED most frequently serviced by </w:t>
      </w:r>
      <w:r w:rsidR="00B62C82" w:rsidRPr="005F5BEA">
        <w:t>IECT</w:t>
      </w:r>
      <w:r w:rsidRPr="005F5BEA">
        <w:t xml:space="preserve">s in-person was PPM (63.4%, 6,794 services), </w:t>
      </w:r>
      <w:r w:rsidR="002F25B6" w:rsidRPr="005F5BEA">
        <w:t xml:space="preserve">followed by </w:t>
      </w:r>
      <w:r w:rsidRPr="005F5BEA">
        <w:t xml:space="preserve">ICD (16.2%, 1,733 services), CRT-D or CRT-P (13.1%, 1,403 services), and ILR (6.6%, 704 </w:t>
      </w:r>
      <w:r w:rsidRPr="005F5BEA">
        <w:lastRenderedPageBreak/>
        <w:t xml:space="preserve">services). </w:t>
      </w:r>
      <w:r w:rsidR="00D13727" w:rsidRPr="005F5BEA">
        <w:t xml:space="preserve">The median time to </w:t>
      </w:r>
      <w:r w:rsidR="001047BB" w:rsidRPr="005F5BEA">
        <w:t xml:space="preserve">carry out a scheduled follow-up check was 15 minutes with a range of 5 minutes to 4 hours. </w:t>
      </w:r>
    </w:p>
    <w:p w14:paraId="04DB0BAD" w14:textId="132196F5" w:rsidR="00097D90" w:rsidRPr="005F5BEA" w:rsidRDefault="00097D90" w:rsidP="00097D90">
      <w:pPr>
        <w:keepNext/>
        <w:keepLines/>
        <w:tabs>
          <w:tab w:val="left" w:pos="851"/>
        </w:tabs>
        <w:spacing w:before="360" w:after="200" w:line="240" w:lineRule="auto"/>
        <w:outlineLvl w:val="3"/>
        <w:rPr>
          <w:rFonts w:ascii="Franklin Gothic Medium" w:eastAsiaTheme="majorEastAsia" w:hAnsi="Franklin Gothic Medium" w:cstheme="majorBidi"/>
          <w:i/>
          <w:sz w:val="24"/>
          <w:szCs w:val="24"/>
        </w:rPr>
      </w:pPr>
      <w:bookmarkStart w:id="18" w:name="_Toc115881537"/>
      <w:bookmarkStart w:id="19" w:name="_Hlk124240818"/>
      <w:r w:rsidRPr="005F5BEA">
        <w:rPr>
          <w:rFonts w:ascii="Franklin Gothic Medium" w:eastAsiaTheme="majorEastAsia" w:hAnsi="Franklin Gothic Medium" w:cstheme="majorBidi"/>
          <w:i/>
          <w:sz w:val="24"/>
          <w:szCs w:val="24"/>
        </w:rPr>
        <w:t xml:space="preserve">Unscheduled </w:t>
      </w:r>
      <w:r w:rsidR="00355FC6" w:rsidRPr="005F5BEA">
        <w:rPr>
          <w:rFonts w:ascii="Franklin Gothic Medium" w:eastAsiaTheme="majorEastAsia" w:hAnsi="Franklin Gothic Medium" w:cstheme="majorBidi"/>
          <w:i/>
          <w:sz w:val="24"/>
          <w:szCs w:val="24"/>
        </w:rPr>
        <w:t xml:space="preserve">in-person </w:t>
      </w:r>
      <w:r w:rsidRPr="005F5BEA">
        <w:rPr>
          <w:rFonts w:ascii="Franklin Gothic Medium" w:eastAsiaTheme="majorEastAsia" w:hAnsi="Franklin Gothic Medium" w:cstheme="majorBidi"/>
          <w:i/>
          <w:sz w:val="24"/>
          <w:szCs w:val="24"/>
        </w:rPr>
        <w:t>cardiac technical support services</w:t>
      </w:r>
      <w:bookmarkEnd w:id="18"/>
    </w:p>
    <w:bookmarkEnd w:id="19"/>
    <w:p w14:paraId="625B8C84" w14:textId="5276ECF1" w:rsidR="00097D90" w:rsidRPr="005F5BEA" w:rsidRDefault="00097D90" w:rsidP="00097D90">
      <w:r w:rsidRPr="005F5BEA">
        <w:t xml:space="preserve">Unscheduled services </w:t>
      </w:r>
      <w:r w:rsidR="00175F8B" w:rsidRPr="005F5BEA">
        <w:t xml:space="preserve">may </w:t>
      </w:r>
      <w:r w:rsidRPr="005F5BEA">
        <w:t xml:space="preserve">require support from an </w:t>
      </w:r>
      <w:r w:rsidR="00B62C82" w:rsidRPr="005F5BEA">
        <w:t>IECT</w:t>
      </w:r>
      <w:r w:rsidRPr="005F5BEA">
        <w:t xml:space="preserve"> or </w:t>
      </w:r>
      <w:r w:rsidR="00E60553" w:rsidRPr="005F5BEA">
        <w:t>cardiac technician</w:t>
      </w:r>
      <w:r w:rsidRPr="005F5BEA">
        <w:t xml:space="preserve"> without prior notice at a clinic or hospital. They are carried out in either outpatient or inpatient settings</w:t>
      </w:r>
      <w:r w:rsidR="00B31C66" w:rsidRPr="005F5BEA">
        <w:t xml:space="preserve"> depending upon the type of service required</w:t>
      </w:r>
      <w:r w:rsidRPr="005F5BEA">
        <w:t xml:space="preserve">. </w:t>
      </w:r>
      <w:r w:rsidR="00B31C66" w:rsidRPr="005F5BEA">
        <w:t>Although t</w:t>
      </w:r>
      <w:r w:rsidRPr="005F5BEA">
        <w:t xml:space="preserve">hese services form a small proportion of overall technical services, the burden of providing them is high in terms of availability of staff at short notice </w:t>
      </w:r>
      <w:r w:rsidR="00793A62" w:rsidRPr="005F5BEA">
        <w:t xml:space="preserve">as these services can occur at any time of the day or night </w:t>
      </w:r>
      <w:r w:rsidRPr="005F5BEA">
        <w:t>and costs of in-person attendance 24 hours/7</w:t>
      </w:r>
      <w:r w:rsidR="00B31C66" w:rsidRPr="005F5BEA">
        <w:t xml:space="preserve"> </w:t>
      </w:r>
      <w:r w:rsidRPr="005F5BEA">
        <w:t>days per week to carry out the required service.</w:t>
      </w:r>
    </w:p>
    <w:p w14:paraId="6D2A8548" w14:textId="0EB1EFF2" w:rsidR="00097D90" w:rsidRPr="005F5BEA" w:rsidRDefault="00097D90" w:rsidP="00097D90">
      <w:r w:rsidRPr="005F5BEA">
        <w:t xml:space="preserve">In total, there were 935 unscheduled services completed </w:t>
      </w:r>
      <w:r w:rsidR="00CC7423" w:rsidRPr="005F5BEA">
        <w:t xml:space="preserve">by </w:t>
      </w:r>
      <w:r w:rsidR="00B62C82" w:rsidRPr="005F5BEA">
        <w:t>IECT</w:t>
      </w:r>
      <w:r w:rsidR="001378BD" w:rsidRPr="005F5BEA">
        <w:t>s</w:t>
      </w:r>
      <w:r w:rsidR="00CC7423" w:rsidRPr="005F5BEA">
        <w:t xml:space="preserve"> </w:t>
      </w:r>
      <w:r w:rsidRPr="005F5BEA">
        <w:t>during the data collection period</w:t>
      </w:r>
      <w:r w:rsidR="00CC7423" w:rsidRPr="005F5BEA">
        <w:t xml:space="preserve"> according to the MTAA survey reported in the ADAR</w:t>
      </w:r>
      <w:r w:rsidRPr="005F5BEA">
        <w:t>. The most common unscheduled service</w:t>
      </w:r>
      <w:r w:rsidR="00B31C66" w:rsidRPr="005F5BEA">
        <w:t>s</w:t>
      </w:r>
      <w:r w:rsidRPr="005F5BEA">
        <w:t xml:space="preserve"> w</w:t>
      </w:r>
      <w:r w:rsidR="00B31C66" w:rsidRPr="005F5BEA">
        <w:t xml:space="preserve">ere </w:t>
      </w:r>
      <w:r w:rsidRPr="005F5BEA">
        <w:t>ward check</w:t>
      </w:r>
      <w:r w:rsidR="00B31C66" w:rsidRPr="005F5BEA">
        <w:t>s</w:t>
      </w:r>
      <w:r w:rsidRPr="005F5BEA">
        <w:t xml:space="preserve"> (</w:t>
      </w:r>
      <w:r w:rsidR="00B31C66" w:rsidRPr="005F5BEA">
        <w:t xml:space="preserve">37.5%, </w:t>
      </w:r>
      <w:r w:rsidRPr="005F5BEA">
        <w:t xml:space="preserve">351 </w:t>
      </w:r>
      <w:r w:rsidR="00B31C66" w:rsidRPr="005F5BEA">
        <w:t>services</w:t>
      </w:r>
      <w:r w:rsidRPr="005F5BEA">
        <w:t>)</w:t>
      </w:r>
      <w:r w:rsidR="00B31C66" w:rsidRPr="005F5BEA">
        <w:t>, outpatient MRI checks (21.1%, 197 services) and pre-op/theatre checks (10.5%, 98 services)</w:t>
      </w:r>
      <w:r w:rsidR="00BA3050" w:rsidRPr="005F5BEA">
        <w:t xml:space="preserve">. </w:t>
      </w:r>
      <w:r w:rsidRPr="005F5BEA">
        <w:t>It should be noted that 77 services (8.2% of unscheduled services) were cancelled after being requested.</w:t>
      </w:r>
      <w:r w:rsidR="007007F4" w:rsidRPr="005F5BEA">
        <w:t xml:space="preserve"> A reference group member </w:t>
      </w:r>
      <w:r w:rsidR="005F3A2D" w:rsidRPr="005F5BEA">
        <w:t>advised</w:t>
      </w:r>
      <w:r w:rsidR="007007F4" w:rsidRPr="005F5BEA">
        <w:t xml:space="preserve"> that most devices do not need </w:t>
      </w:r>
      <w:r w:rsidR="00B62C82" w:rsidRPr="005F5BEA">
        <w:t>IECT</w:t>
      </w:r>
      <w:r w:rsidR="007007F4" w:rsidRPr="005F5BEA">
        <w:t xml:space="preserve"> review before or after surgery, and therefore pre-op/theatre checks are only a small component of the unscheduled workload.</w:t>
      </w:r>
    </w:p>
    <w:p w14:paraId="1348197D" w14:textId="73976076" w:rsidR="00097D90" w:rsidRPr="005F5BEA" w:rsidRDefault="00097D90" w:rsidP="00097D90">
      <w:r w:rsidRPr="005F5BEA">
        <w:t xml:space="preserve">Because </w:t>
      </w:r>
      <w:r w:rsidR="00611FBB" w:rsidRPr="005F5BEA">
        <w:t>they are unscheduled requiring attendance often at short notice</w:t>
      </w:r>
      <w:r w:rsidRPr="005F5BEA">
        <w:t xml:space="preserve">, only </w:t>
      </w:r>
      <w:r w:rsidR="00F25E6D" w:rsidRPr="005F5BEA">
        <w:t xml:space="preserve">one </w:t>
      </w:r>
      <w:r w:rsidRPr="005F5BEA">
        <w:t xml:space="preserve">technical service is likely to be required at a single location per trip. These services are therefore likely to be associated with higher costs than routine scheduled services where multiple patients </w:t>
      </w:r>
      <w:r w:rsidR="00793A62" w:rsidRPr="005F5BEA">
        <w:t>may be</w:t>
      </w:r>
      <w:r w:rsidRPr="005F5BEA">
        <w:t xml:space="preserve"> seen at a single location. The median time required to complete these services, excluding travel was variable</w:t>
      </w:r>
      <w:r w:rsidR="00F25E6D" w:rsidRPr="005F5BEA">
        <w:t>, at 15 to 45 minutes</w:t>
      </w:r>
      <w:r w:rsidRPr="005F5BEA">
        <w:t>.</w:t>
      </w:r>
    </w:p>
    <w:p w14:paraId="7BB05EBD" w14:textId="44DE7ACE" w:rsidR="00355FC6" w:rsidRPr="005F5BEA" w:rsidRDefault="00355FC6" w:rsidP="00355FC6">
      <w:bookmarkStart w:id="20" w:name="_Hlk124242918"/>
      <w:r w:rsidRPr="005F5BEA">
        <w:t xml:space="preserve">A member of the reference group has highlighted that many of the unscheduled checks described by the applicant can now be streamlined using remote monitoring technology. </w:t>
      </w:r>
      <w:bookmarkEnd w:id="20"/>
      <w:r w:rsidRPr="005F5BEA">
        <w:t xml:space="preserve">Remote monitors are now available from </w:t>
      </w:r>
      <w:r w:rsidR="00D220F7" w:rsidRPr="005F5BEA">
        <w:t>several</w:t>
      </w:r>
      <w:r w:rsidRPr="005F5BEA">
        <w:t xml:space="preserve"> CIED manufacturers and </w:t>
      </w:r>
      <w:proofErr w:type="gramStart"/>
      <w:r w:rsidRPr="005F5BEA">
        <w:t>are able to</w:t>
      </w:r>
      <w:proofErr w:type="gramEnd"/>
      <w:r w:rsidRPr="005F5BEA">
        <w:t xml:space="preserve"> interrogate all models of a specific manufacturer’s CIED. The placement of these monitors in cardiac wards, emergency departments and radiation oncology centres can remove the need for an </w:t>
      </w:r>
      <w:r w:rsidR="00B62C82" w:rsidRPr="005F5BEA">
        <w:t>IECT</w:t>
      </w:r>
      <w:r w:rsidRPr="005F5BEA">
        <w:t xml:space="preserve"> perform these checks in-person. </w:t>
      </w:r>
      <w:r w:rsidR="0030208A" w:rsidRPr="005F5BEA">
        <w:t>They advised that t</w:t>
      </w:r>
      <w:r w:rsidRPr="005F5BEA">
        <w:t xml:space="preserve">his process is well established in South Australia (reference group member’s personal experience) and potentially in other Australian </w:t>
      </w:r>
      <w:r w:rsidR="0030208A" w:rsidRPr="005F5BEA">
        <w:t>s</w:t>
      </w:r>
      <w:r w:rsidRPr="005F5BEA">
        <w:t xml:space="preserve">tates. The reference group member considers that this process is likely to continue to proliferate, significantly reducing the need for </w:t>
      </w:r>
      <w:r w:rsidR="00B62C82" w:rsidRPr="005F5BEA">
        <w:t>IECT</w:t>
      </w:r>
      <w:r w:rsidRPr="005F5BEA">
        <w:t>s to attend some of these unscheduled requests in person. This statement regarding unscheduled checks was confirmed by another reference group member. They stated that radiation oncology checks are almost entirely carried out via remote monitoring providing that the patient is enrolled in the remote monitoring service. In cases where they are not, either industry has been helpful in providing a monitor for use or the treating cardiologist has been able to arrange access via remote monitor or smartphone app.</w:t>
      </w:r>
    </w:p>
    <w:p w14:paraId="50068D7A" w14:textId="579BC146" w:rsidR="00097D90" w:rsidRPr="005F5BEA" w:rsidRDefault="00097D90" w:rsidP="00097D90">
      <w:pPr>
        <w:keepNext/>
        <w:keepLines/>
        <w:tabs>
          <w:tab w:val="left" w:pos="851"/>
        </w:tabs>
        <w:spacing w:before="360" w:after="200" w:line="240" w:lineRule="auto"/>
        <w:outlineLvl w:val="3"/>
        <w:rPr>
          <w:rFonts w:ascii="Franklin Gothic Medium" w:eastAsiaTheme="majorEastAsia" w:hAnsi="Franklin Gothic Medium" w:cstheme="majorBidi"/>
          <w:i/>
          <w:sz w:val="24"/>
          <w:szCs w:val="24"/>
        </w:rPr>
      </w:pPr>
      <w:r w:rsidRPr="005F5BEA">
        <w:rPr>
          <w:rFonts w:ascii="Franklin Gothic Medium" w:eastAsiaTheme="majorEastAsia" w:hAnsi="Franklin Gothic Medium" w:cstheme="majorBidi"/>
          <w:i/>
          <w:sz w:val="24"/>
          <w:szCs w:val="24"/>
        </w:rPr>
        <w:t>Remote monitoring services</w:t>
      </w:r>
    </w:p>
    <w:p w14:paraId="266E5C96" w14:textId="718AF627" w:rsidR="00097D90" w:rsidRPr="005F5BEA" w:rsidRDefault="00097D90" w:rsidP="00097D90">
      <w:r w:rsidRPr="005F5BEA">
        <w:t>Remote monitoring of CIEDs is considered the</w:t>
      </w:r>
      <w:r w:rsidR="001047BB" w:rsidRPr="005F5BEA">
        <w:t xml:space="preserve"> new</w:t>
      </w:r>
      <w:r w:rsidRPr="005F5BEA">
        <w:t xml:space="preserve"> standard of care and CSANZ </w:t>
      </w:r>
      <w:r w:rsidR="001047BB" w:rsidRPr="005F5BEA">
        <w:t xml:space="preserve">guidance is that </w:t>
      </w:r>
      <w:r w:rsidRPr="005F5BEA">
        <w:t xml:space="preserve">it should be offered to patients wherever possible. CSANZ </w:t>
      </w:r>
      <w:r w:rsidR="001047BB" w:rsidRPr="005F5BEA">
        <w:t xml:space="preserve">guidance </w:t>
      </w:r>
      <w:r w:rsidRPr="005F5BEA">
        <w:t>recommend</w:t>
      </w:r>
      <w:r w:rsidR="001047BB" w:rsidRPr="005F5BEA">
        <w:t>s</w:t>
      </w:r>
      <w:r w:rsidRPr="005F5BEA">
        <w:t xml:space="preserve"> a hybrid of </w:t>
      </w:r>
      <w:r w:rsidR="00793A62" w:rsidRPr="005F5BEA">
        <w:t xml:space="preserve">scheduled </w:t>
      </w:r>
      <w:r w:rsidRPr="005F5BEA">
        <w:t>in-person checks and remote monitoring of CIEDS individualised according to patient and device circumstances.</w:t>
      </w:r>
      <w:r w:rsidR="00D51568" w:rsidRPr="005F5BEA">
        <w:t xml:space="preserve"> </w:t>
      </w:r>
    </w:p>
    <w:p w14:paraId="72E2A31B" w14:textId="67BB7938" w:rsidR="00097D90" w:rsidRPr="005F5BEA" w:rsidRDefault="00097D90" w:rsidP="00097D90">
      <w:r w:rsidRPr="005F5BEA">
        <w:t>Remote monitoring of CIEDS involves remote device interrogation</w:t>
      </w:r>
      <w:r w:rsidR="00947BC5" w:rsidRPr="005F5BEA">
        <w:t xml:space="preserve"> and</w:t>
      </w:r>
      <w:r w:rsidRPr="005F5BEA">
        <w:t xml:space="preserve"> regular device monitoring</w:t>
      </w:r>
      <w:r w:rsidR="00947BC5" w:rsidRPr="005F5BEA">
        <w:t xml:space="preserve"> (for alerts)</w:t>
      </w:r>
      <w:r w:rsidRPr="005F5BEA">
        <w:t xml:space="preserve">. Remote device interrogation can be either scheduled by the physician or may be triggered by a patient who believes they are experiencing cardiac-related symptoms. During </w:t>
      </w:r>
      <w:r w:rsidR="00BB6DED" w:rsidRPr="005F5BEA">
        <w:t xml:space="preserve">daily </w:t>
      </w:r>
      <w:r w:rsidRPr="005F5BEA">
        <w:t xml:space="preserve">remote monitoring, an alert transmission may be triggered by either a cardiac event, such as arrythmias, or a system-related issue, such as abnormal lead parameters or battery depletion. </w:t>
      </w:r>
    </w:p>
    <w:p w14:paraId="7B9840FC" w14:textId="21EFEB62" w:rsidR="00097D90" w:rsidRPr="005F5BEA" w:rsidRDefault="00097D90" w:rsidP="00097D90">
      <w:r w:rsidRPr="005F5BEA">
        <w:lastRenderedPageBreak/>
        <w:t xml:space="preserve">Data from the CIED is transferred to either a transmitter carried by the patient, usually a mobile phone app, or to a transmitter installed in the patient’s home, often located in the bedroom. Patient consent is required to participate in remote monitoring </w:t>
      </w:r>
      <w:proofErr w:type="gramStart"/>
      <w:r w:rsidRPr="005F5BEA">
        <w:t>in order to</w:t>
      </w:r>
      <w:proofErr w:type="gramEnd"/>
      <w:r w:rsidRPr="005F5BEA">
        <w:t xml:space="preserve"> allow their personal data to be collected and </w:t>
      </w:r>
      <w:r w:rsidR="00BB6DED" w:rsidRPr="005F5BEA">
        <w:t>stored</w:t>
      </w:r>
      <w:r w:rsidRPr="005F5BEA">
        <w:t xml:space="preserve"> on servers belonging to the manufacturer of their CIED. Data collected on the servers from remote transmissions can be accessed via a web interface </w:t>
      </w:r>
      <w:r w:rsidR="00382191" w:rsidRPr="005F5BEA">
        <w:t>by physicians or technicians.</w:t>
      </w:r>
      <w:r w:rsidRPr="005F5BEA">
        <w:t xml:space="preserve"> </w:t>
      </w:r>
      <w:r w:rsidR="00BB6DED" w:rsidRPr="005F5BEA">
        <w:t>Each CIED manufacturer uses different hardware (transmitter) and software for remote monitoring of their CIEDs.</w:t>
      </w:r>
    </w:p>
    <w:p w14:paraId="1B01FF42" w14:textId="786C4B25" w:rsidR="00097D90" w:rsidRPr="005F5BEA" w:rsidRDefault="00382191" w:rsidP="00097D90">
      <w:r w:rsidRPr="005F5BEA">
        <w:t>Patients are</w:t>
      </w:r>
      <w:r w:rsidR="00D51568" w:rsidRPr="005F5BEA">
        <w:t xml:space="preserve"> offered access to home/remote monitoring and the equipment required at the time of CIED implantation</w:t>
      </w:r>
      <w:r w:rsidRPr="005F5BEA">
        <w:t>, however not all patients take up remote monitoring</w:t>
      </w:r>
      <w:r w:rsidR="00D51568" w:rsidRPr="005F5BEA">
        <w:t xml:space="preserve">. The </w:t>
      </w:r>
      <w:r w:rsidR="00B54B1A" w:rsidRPr="005F5BEA">
        <w:t xml:space="preserve">company-specific </w:t>
      </w:r>
      <w:r w:rsidR="00D51568" w:rsidRPr="005F5BEA">
        <w:t xml:space="preserve">equipment and infrastructure (servers </w:t>
      </w:r>
      <w:r w:rsidR="00B54B1A" w:rsidRPr="005F5BEA">
        <w:t>and</w:t>
      </w:r>
      <w:r w:rsidR="00D51568" w:rsidRPr="005F5BEA">
        <w:t xml:space="preserve"> patient transmission</w:t>
      </w:r>
      <w:r w:rsidR="00B54B1A" w:rsidRPr="005F5BEA">
        <w:t xml:space="preserve"> </w:t>
      </w:r>
      <w:r w:rsidR="00D51568" w:rsidRPr="005F5BEA">
        <w:t>database</w:t>
      </w:r>
      <w:r w:rsidR="00B54B1A" w:rsidRPr="005F5BEA">
        <w:t xml:space="preserve"> managed by each CIED company</w:t>
      </w:r>
      <w:r w:rsidR="00D51568" w:rsidRPr="005F5BEA">
        <w:t xml:space="preserve">) </w:t>
      </w:r>
      <w:r w:rsidRPr="005F5BEA">
        <w:t>are</w:t>
      </w:r>
      <w:r w:rsidR="00D51568" w:rsidRPr="005F5BEA">
        <w:t xml:space="preserve"> funded by PL benefits</w:t>
      </w:r>
      <w:r w:rsidR="00B54B1A" w:rsidRPr="005F5BEA">
        <w:t xml:space="preserve">. The benefit paid per remote monitoring system is currently set at $1,448.57 in 2022. </w:t>
      </w:r>
      <w:r w:rsidR="006136C4" w:rsidRPr="005F5BEA">
        <w:t>The item was billed 17,725 times in 2020-2021.</w:t>
      </w:r>
    </w:p>
    <w:p w14:paraId="36AA3642" w14:textId="1D3D460D" w:rsidR="00097D90" w:rsidRPr="005F5BEA" w:rsidRDefault="000349E9" w:rsidP="00097D90">
      <w:r w:rsidRPr="005F5BEA">
        <w:t>R</w:t>
      </w:r>
      <w:r w:rsidR="00097D90" w:rsidRPr="005F5BEA">
        <w:t xml:space="preserve">emote monitoring </w:t>
      </w:r>
      <w:r w:rsidRPr="005F5BEA">
        <w:t xml:space="preserve">may </w:t>
      </w:r>
      <w:r w:rsidR="00097D90" w:rsidRPr="005F5BEA">
        <w:t xml:space="preserve">reduce the number of </w:t>
      </w:r>
      <w:r w:rsidRPr="005F5BEA">
        <w:t xml:space="preserve">scheduled </w:t>
      </w:r>
      <w:r w:rsidR="00097D90" w:rsidRPr="005F5BEA">
        <w:t>in-person checks</w:t>
      </w:r>
      <w:r w:rsidRPr="005F5BEA">
        <w:t xml:space="preserve"> and therefore may provide greater convenience for </w:t>
      </w:r>
      <w:r w:rsidR="00097D90" w:rsidRPr="005F5BEA">
        <w:t xml:space="preserve">patients living in regional and remote communities and for frail patients with limited mobility. A reduction </w:t>
      </w:r>
      <w:r w:rsidRPr="005F5BEA">
        <w:t>of</w:t>
      </w:r>
      <w:r w:rsidR="00097D90" w:rsidRPr="005F5BEA">
        <w:t xml:space="preserve"> in-person visits also reduces travel required by physicians, </w:t>
      </w:r>
      <w:r w:rsidR="00E60553" w:rsidRPr="005F5BEA">
        <w:t>cardiac technician</w:t>
      </w:r>
      <w:r w:rsidR="00097D90" w:rsidRPr="005F5BEA">
        <w:t xml:space="preserve">s, nurses and </w:t>
      </w:r>
      <w:r w:rsidR="00B62C82" w:rsidRPr="005F5BEA">
        <w:t>IECT</w:t>
      </w:r>
      <w:r w:rsidR="00097D90" w:rsidRPr="005F5BEA">
        <w:t>s to regional and remote areas.</w:t>
      </w:r>
      <w:r w:rsidR="00762176" w:rsidRPr="005F5BEA">
        <w:t xml:space="preserve"> Systematic reviews of the evidence have reported that </w:t>
      </w:r>
      <w:r w:rsidR="00B260F4" w:rsidRPr="005F5BEA">
        <w:t xml:space="preserve">use of </w:t>
      </w:r>
      <w:r w:rsidR="00762176" w:rsidRPr="005F5BEA">
        <w:t xml:space="preserve">remote monitoring </w:t>
      </w:r>
      <w:r w:rsidR="007A3FFA" w:rsidRPr="005F5BEA">
        <w:t>is non-inferior to</w:t>
      </w:r>
      <w:r w:rsidR="00762176" w:rsidRPr="005F5BEA">
        <w:t xml:space="preserve"> standard in-person assessment </w:t>
      </w:r>
      <w:r w:rsidR="007A3FFA" w:rsidRPr="005F5BEA">
        <w:t>for the outcomes assessed in the studies</w:t>
      </w:r>
      <w:r w:rsidR="00CB63B2" w:rsidRPr="005F5BEA">
        <w:t>.</w:t>
      </w:r>
      <w:r w:rsidR="00CB63B2" w:rsidRPr="005F5BEA">
        <w:rPr>
          <w:rStyle w:val="FootnoteReference"/>
        </w:rPr>
        <w:footnoteReference w:id="17"/>
      </w:r>
      <w:r w:rsidR="001378BD" w:rsidRPr="005F5BEA">
        <w:rPr>
          <w:vertAlign w:val="superscript"/>
        </w:rPr>
        <w:t>,</w:t>
      </w:r>
      <w:r w:rsidR="00CB63B2" w:rsidRPr="005F5BEA">
        <w:rPr>
          <w:rStyle w:val="FootnoteReference"/>
        </w:rPr>
        <w:footnoteReference w:id="18"/>
      </w:r>
      <w:r w:rsidR="001378BD" w:rsidRPr="005F5BEA">
        <w:rPr>
          <w:vertAlign w:val="superscript"/>
        </w:rPr>
        <w:t>,</w:t>
      </w:r>
      <w:r w:rsidR="00CB63B2" w:rsidRPr="005F5BEA">
        <w:rPr>
          <w:rStyle w:val="FootnoteReference"/>
        </w:rPr>
        <w:footnoteReference w:id="19"/>
      </w:r>
    </w:p>
    <w:p w14:paraId="50CA23E2" w14:textId="24539788" w:rsidR="00BC7749" w:rsidRPr="005F5BEA" w:rsidRDefault="00097D90" w:rsidP="00097D90">
      <w:r w:rsidRPr="005F5BEA">
        <w:t>The proportion of patients enrolled in remote monitoring services has increased during the coronavirus pandemic due to limit</w:t>
      </w:r>
      <w:r w:rsidR="00762176" w:rsidRPr="005F5BEA">
        <w:t xml:space="preserve">ed availability of </w:t>
      </w:r>
      <w:r w:rsidRPr="005F5BEA">
        <w:t xml:space="preserve">in-person </w:t>
      </w:r>
      <w:r w:rsidR="0099215A" w:rsidRPr="005F5BEA">
        <w:t xml:space="preserve">CIED interrogations and </w:t>
      </w:r>
      <w:r w:rsidRPr="005F5BEA">
        <w:t xml:space="preserve">consultations at clinics and hospitals. </w:t>
      </w:r>
      <w:r w:rsidR="00BC7749" w:rsidRPr="005F5BEA">
        <w:t>Remote monitoring requires physicians or technicians to review device alerts and may therefore require more resources than an in-person only model</w:t>
      </w:r>
      <w:r w:rsidR="00CE3F66" w:rsidRPr="005F5BEA">
        <w:t xml:space="preserve">, </w:t>
      </w:r>
      <w:proofErr w:type="gramStart"/>
      <w:r w:rsidR="00CE3F66" w:rsidRPr="005F5BEA">
        <w:t>however</w:t>
      </w:r>
      <w:proofErr w:type="gramEnd"/>
      <w:r w:rsidR="00CE3F66" w:rsidRPr="005F5BEA">
        <w:t xml:space="preserve"> may also reduce the use of scheduled services</w:t>
      </w:r>
      <w:r w:rsidR="00BC7749" w:rsidRPr="005F5BEA">
        <w:t>.</w:t>
      </w:r>
      <w:r w:rsidR="00582E63" w:rsidRPr="005F5BEA">
        <w:t xml:space="preserve"> An Australian study (O’Shea et al 2021</w:t>
      </w:r>
      <w:r w:rsidR="00841863" w:rsidRPr="005F5BEA">
        <w:rPr>
          <w:rStyle w:val="FootnoteReference"/>
        </w:rPr>
        <w:footnoteReference w:id="20"/>
      </w:r>
      <w:r w:rsidR="00841863" w:rsidRPr="005F5BEA">
        <w:t>)</w:t>
      </w:r>
      <w:r w:rsidR="00582E63" w:rsidRPr="005F5BEA">
        <w:t xml:space="preserve"> </w:t>
      </w:r>
      <w:r w:rsidR="00841863" w:rsidRPr="005F5BEA">
        <w:t xml:space="preserve">reported that remote monitoring resulted in approximately 2 alerts per annum per PPM and ICD, and 4 alerts per annum for ILRs. However, it was also reported that 95.2% of alerts were non-urgent. </w:t>
      </w:r>
    </w:p>
    <w:p w14:paraId="2FC8EC13" w14:textId="47DCC143" w:rsidR="00097D90" w:rsidRPr="005F5BEA" w:rsidRDefault="009235FA" w:rsidP="00097D90">
      <w:r w:rsidRPr="005F5BEA">
        <w:t>However, ILRs were associated with a high false-positive alert rate in a</w:t>
      </w:r>
      <w:r w:rsidR="00841863" w:rsidRPr="005F5BEA">
        <w:t xml:space="preserve"> study </w:t>
      </w:r>
      <w:r w:rsidR="00595B3C" w:rsidRPr="005F5BEA">
        <w:t xml:space="preserve">by O’Shea et al (2021) </w:t>
      </w:r>
      <w:r w:rsidRPr="005F5BEA">
        <w:t xml:space="preserve">which </w:t>
      </w:r>
      <w:r w:rsidR="00841863" w:rsidRPr="005F5BEA">
        <w:t>includ</w:t>
      </w:r>
      <w:r w:rsidR="00595B3C" w:rsidRPr="005F5BEA">
        <w:t>ed</w:t>
      </w:r>
      <w:r w:rsidR="00841863" w:rsidRPr="005F5BEA">
        <w:t xml:space="preserve"> </w:t>
      </w:r>
      <w:r w:rsidR="00774D01" w:rsidRPr="005F5BEA">
        <w:t>1470 patients with ILRs remote monitored over six</w:t>
      </w:r>
      <w:r w:rsidR="00074F77" w:rsidRPr="005F5BEA">
        <w:t xml:space="preserve"> </w:t>
      </w:r>
      <w:r w:rsidR="00774D01" w:rsidRPr="005F5BEA">
        <w:t>month</w:t>
      </w:r>
      <w:r w:rsidR="00074F77" w:rsidRPr="005F5BEA">
        <w:t>s</w:t>
      </w:r>
      <w:r w:rsidR="00595B3C" w:rsidRPr="005F5BEA">
        <w:t xml:space="preserve">. They </w:t>
      </w:r>
      <w:r w:rsidR="00774D01" w:rsidRPr="005F5BEA">
        <w:t>transmitted 14,086 alerts (median 3 [interquartile range, 1–10)] alerts per patient).</w:t>
      </w:r>
      <w:r w:rsidR="00074F77" w:rsidRPr="005F5BEA">
        <w:t xml:space="preserve"> Of these alerts, 40% were true-positives (clinical or system failure events) and 60% were false-positive events. There were 387 (26.3%) patients who only had false-positive alerts (median of 2 [IQR, 1–7] false-positive alerts per device).</w:t>
      </w:r>
      <w:r w:rsidR="00595B3C" w:rsidRPr="005F5BEA">
        <w:t xml:space="preserve"> At least 1 false-positive alert was transmitted by 56% of patients, who had an average false-positive alert rate of 75.8%.</w:t>
      </w:r>
      <w:r w:rsidR="00C75621" w:rsidRPr="005F5BEA">
        <w:rPr>
          <w:rStyle w:val="FootnoteReference"/>
        </w:rPr>
        <w:footnoteReference w:id="21"/>
      </w:r>
    </w:p>
    <w:p w14:paraId="358B3879" w14:textId="52B51938" w:rsidR="00193DFB" w:rsidRPr="005F5BEA" w:rsidRDefault="00097D90" w:rsidP="00097D90">
      <w:proofErr w:type="spellStart"/>
      <w:r w:rsidRPr="005F5BEA">
        <w:t>Papavasileiou</w:t>
      </w:r>
      <w:proofErr w:type="spellEnd"/>
      <w:r w:rsidRPr="005F5BEA">
        <w:t xml:space="preserve"> et al (2013) evaluated the burden </w:t>
      </w:r>
      <w:r w:rsidR="009235FA" w:rsidRPr="005F5BEA">
        <w:t>on</w:t>
      </w:r>
      <w:r w:rsidRPr="005F5BEA">
        <w:t xml:space="preserve"> clinicians </w:t>
      </w:r>
      <w:r w:rsidR="009235FA" w:rsidRPr="005F5BEA">
        <w:t>of</w:t>
      </w:r>
      <w:r w:rsidRPr="005F5BEA">
        <w:t xml:space="preserve"> the management of ICD-implanted patients enrolled in remote monitoring. A total of 14.9 hours per month were spent on the remote monitoring of 154 patients which is equivalent to 9.7 hours for every 100 patients </w:t>
      </w:r>
      <w:r w:rsidR="00762176" w:rsidRPr="005F5BEA">
        <w:lastRenderedPageBreak/>
        <w:t>being monitored</w:t>
      </w:r>
      <w:r w:rsidR="006926CC" w:rsidRPr="005F5BEA">
        <w:t xml:space="preserve"> (or about 6 minutes per patient per month)</w:t>
      </w:r>
      <w:r w:rsidRPr="005F5BEA">
        <w:t>.</w:t>
      </w:r>
      <w:r w:rsidR="0052520F" w:rsidRPr="005F5BEA">
        <w:t xml:space="preserve"> Optimal programming and setting of alert thresholds which may require </w:t>
      </w:r>
      <w:r w:rsidR="00B62C82" w:rsidRPr="005F5BEA">
        <w:t>IECT</w:t>
      </w:r>
      <w:r w:rsidR="0052520F" w:rsidRPr="005F5BEA">
        <w:t xml:space="preserve"> input </w:t>
      </w:r>
      <w:r w:rsidR="009235FA" w:rsidRPr="005F5BEA">
        <w:t>could</w:t>
      </w:r>
      <w:r w:rsidR="0052520F" w:rsidRPr="005F5BEA">
        <w:t xml:space="preserve"> reduce the number of false positive results received.</w:t>
      </w:r>
    </w:p>
    <w:p w14:paraId="3DFC4963" w14:textId="725F5382" w:rsidR="00DD34D8" w:rsidRPr="005F5BEA" w:rsidRDefault="006B519A" w:rsidP="00DD34D8">
      <w:pPr>
        <w:pStyle w:val="Heading2"/>
      </w:pPr>
      <w:r w:rsidRPr="005F5BEA">
        <w:t>6.</w:t>
      </w:r>
      <w:r w:rsidRPr="005F5BEA">
        <w:tab/>
      </w:r>
      <w:r w:rsidR="00DD34D8" w:rsidRPr="005F5BEA">
        <w:t>Models of care</w:t>
      </w:r>
    </w:p>
    <w:p w14:paraId="3A1797BA" w14:textId="0DBD3FE8" w:rsidR="002A64A5" w:rsidRPr="005F5BEA" w:rsidRDefault="00953EEB" w:rsidP="00DD34D8">
      <w:r w:rsidRPr="005F5BEA">
        <w:t>In Australia, cardiac technical support services are currently provided through</w:t>
      </w:r>
      <w:r w:rsidR="00B2470B" w:rsidRPr="005F5BEA">
        <w:t xml:space="preserve"> </w:t>
      </w:r>
      <w:r w:rsidRPr="005F5BEA">
        <w:t xml:space="preserve">three different </w:t>
      </w:r>
      <w:r w:rsidR="00756F80" w:rsidRPr="005F5BEA">
        <w:t>care</w:t>
      </w:r>
      <w:r w:rsidR="00B2470B" w:rsidRPr="005F5BEA">
        <w:t xml:space="preserve"> models.</w:t>
      </w:r>
      <w:r w:rsidR="00756F80" w:rsidRPr="005F5BEA">
        <w:t xml:space="preserve"> </w:t>
      </w:r>
      <w:r w:rsidR="00B2470B" w:rsidRPr="005F5BEA">
        <w:t>These models are described below.</w:t>
      </w:r>
    </w:p>
    <w:p w14:paraId="7E65111A" w14:textId="08E0D984" w:rsidR="00BE6834" w:rsidRPr="005F5BEA" w:rsidRDefault="00220060" w:rsidP="00BE6834">
      <w:pPr>
        <w:pStyle w:val="Heading3"/>
      </w:pPr>
      <w:r w:rsidRPr="005F5BEA">
        <w:t xml:space="preserve">Model 1: </w:t>
      </w:r>
      <w:r w:rsidR="00BE6834" w:rsidRPr="005F5BEA">
        <w:t>Services provided through public hospitals and outreach services</w:t>
      </w:r>
      <w:r w:rsidR="00BB0017" w:rsidRPr="005F5BEA">
        <w:t xml:space="preserve"> that employ cardiac </w:t>
      </w:r>
      <w:proofErr w:type="gramStart"/>
      <w:r w:rsidR="00BB0017" w:rsidRPr="005F5BEA">
        <w:t>technicians</w:t>
      </w:r>
      <w:proofErr w:type="gramEnd"/>
    </w:p>
    <w:p w14:paraId="575C4D71" w14:textId="00B99161" w:rsidR="00311A39" w:rsidRPr="005F5BEA" w:rsidRDefault="00BE6834" w:rsidP="00240468">
      <w:r w:rsidRPr="005F5BEA">
        <w:t xml:space="preserve">A proportion of patients will have a CIED implanted in the public system. </w:t>
      </w:r>
      <w:r w:rsidR="006926CC" w:rsidRPr="005F5BEA">
        <w:t>P</w:t>
      </w:r>
      <w:r w:rsidR="00311A39" w:rsidRPr="005F5BEA">
        <w:t xml:space="preserve">atients may be followed-up after implantation in the public system or may choose to be followed-up in the private system. </w:t>
      </w:r>
    </w:p>
    <w:p w14:paraId="01524600" w14:textId="4E02A4F4" w:rsidR="00240468" w:rsidRPr="005F5BEA" w:rsidRDefault="00240468" w:rsidP="00240468">
      <w:r w:rsidRPr="005F5BEA">
        <w:t>Cardiac technical support services for patients in the public system are mostly funded by the States and Territories</w:t>
      </w:r>
      <w:r w:rsidR="00781FBC" w:rsidRPr="005F5BEA">
        <w:t>.</w:t>
      </w:r>
      <w:r w:rsidRPr="005F5BEA">
        <w:t xml:space="preserve"> These services are usually provided by </w:t>
      </w:r>
      <w:r w:rsidR="00311A39" w:rsidRPr="005F5BEA">
        <w:t>a cardiologist</w:t>
      </w:r>
      <w:r w:rsidRPr="005F5BEA">
        <w:t xml:space="preserve"> supported by hospital-employed </w:t>
      </w:r>
      <w:r w:rsidR="00311A39" w:rsidRPr="005F5BEA">
        <w:t xml:space="preserve">cardiac </w:t>
      </w:r>
      <w:r w:rsidRPr="005F5BEA">
        <w:t xml:space="preserve">technicians, cardiac </w:t>
      </w:r>
      <w:proofErr w:type="gramStart"/>
      <w:r w:rsidRPr="005F5BEA">
        <w:t>physiologists</w:t>
      </w:r>
      <w:proofErr w:type="gramEnd"/>
      <w:r w:rsidRPr="005F5BEA">
        <w:t xml:space="preserve"> and device nurses. </w:t>
      </w:r>
      <w:r w:rsidR="00311A39" w:rsidRPr="005F5BEA">
        <w:t>O</w:t>
      </w:r>
      <w:r w:rsidRPr="005F5BEA">
        <w:t xml:space="preserve">ccasionally an </w:t>
      </w:r>
      <w:r w:rsidR="00B62C82" w:rsidRPr="005F5BEA">
        <w:t>IECT</w:t>
      </w:r>
      <w:r w:rsidRPr="005F5BEA">
        <w:t xml:space="preserve"> is asked to provide support services in the public system. This usually </w:t>
      </w:r>
      <w:r w:rsidR="00311A39" w:rsidRPr="005F5BEA">
        <w:t>occurs</w:t>
      </w:r>
      <w:r w:rsidRPr="005F5BEA">
        <w:t xml:space="preserve"> when product specific training is </w:t>
      </w:r>
      <w:r w:rsidR="00311A39" w:rsidRPr="005F5BEA">
        <w:t>required</w:t>
      </w:r>
      <w:r w:rsidRPr="005F5BEA">
        <w:t xml:space="preserve">, or when </w:t>
      </w:r>
      <w:r w:rsidR="00311A39" w:rsidRPr="005F5BEA">
        <w:t xml:space="preserve">more </w:t>
      </w:r>
      <w:r w:rsidRPr="005F5BEA">
        <w:t xml:space="preserve">complex servicing tasks </w:t>
      </w:r>
      <w:r w:rsidR="00311A39" w:rsidRPr="005F5BEA">
        <w:t xml:space="preserve">are </w:t>
      </w:r>
      <w:r w:rsidRPr="005F5BEA">
        <w:t>need</w:t>
      </w:r>
      <w:r w:rsidR="00311A39" w:rsidRPr="005F5BEA">
        <w:t>ed</w:t>
      </w:r>
      <w:r w:rsidRPr="005F5BEA">
        <w:t xml:space="preserve">. </w:t>
      </w:r>
      <w:r w:rsidR="00311A39" w:rsidRPr="005F5BEA">
        <w:t xml:space="preserve">As in private clinics/hospitals, </w:t>
      </w:r>
      <w:r w:rsidR="00B62C82" w:rsidRPr="005F5BEA">
        <w:t>IECT</w:t>
      </w:r>
      <w:r w:rsidR="00311A39" w:rsidRPr="005F5BEA">
        <w:t>s</w:t>
      </w:r>
      <w:r w:rsidRPr="005F5BEA">
        <w:t xml:space="preserve"> </w:t>
      </w:r>
      <w:r w:rsidR="00311A39" w:rsidRPr="005F5BEA">
        <w:t>are</w:t>
      </w:r>
      <w:r w:rsidRPr="005F5BEA">
        <w:t xml:space="preserve"> not reimbursed for providing these services in </w:t>
      </w:r>
      <w:r w:rsidR="00311A39" w:rsidRPr="005F5BEA">
        <w:t xml:space="preserve">the </w:t>
      </w:r>
      <w:r w:rsidRPr="005F5BEA">
        <w:t xml:space="preserve">public </w:t>
      </w:r>
      <w:r w:rsidR="00311A39" w:rsidRPr="005F5BEA">
        <w:t>system</w:t>
      </w:r>
      <w:r w:rsidRPr="005F5BEA">
        <w:t>.</w:t>
      </w:r>
    </w:p>
    <w:p w14:paraId="4CEF8700" w14:textId="45609970" w:rsidR="00E310B4" w:rsidRPr="005F5BEA" w:rsidRDefault="005D664F" w:rsidP="00240468">
      <w:r w:rsidRPr="005F5BEA">
        <w:t>A member of the reference group stated that t</w:t>
      </w:r>
      <w:r w:rsidR="00E310B4" w:rsidRPr="005F5BEA">
        <w:t xml:space="preserve">he </w:t>
      </w:r>
      <w:r w:rsidRPr="005F5BEA">
        <w:t xml:space="preserve">range of support from </w:t>
      </w:r>
      <w:r w:rsidR="00B62C82" w:rsidRPr="005F5BEA">
        <w:t>IECT</w:t>
      </w:r>
      <w:r w:rsidRPr="005F5BEA">
        <w:t xml:space="preserve">s varies quite significantly in the public system (between hospitals). Some public hospitals rely heavily in </w:t>
      </w:r>
      <w:r w:rsidR="00B62C82" w:rsidRPr="005F5BEA">
        <w:t>IECT</w:t>
      </w:r>
      <w:r w:rsidRPr="005F5BEA">
        <w:t xml:space="preserve"> support (particularly for unscheduled checks, more complex CRT</w:t>
      </w:r>
      <w:r w:rsidR="005B1245" w:rsidRPr="005F5BEA">
        <w:t>D</w:t>
      </w:r>
      <w:r w:rsidRPr="005F5BEA">
        <w:t xml:space="preserve"> implants, and on weekends and out-of-hours, but even for </w:t>
      </w:r>
      <w:r w:rsidR="00962E66" w:rsidRPr="005F5BEA">
        <w:t>D</w:t>
      </w:r>
      <w:r w:rsidRPr="005F5BEA">
        <w:t xml:space="preserve">ay-1 checks). They indicated that the issue is magnified in smaller health services and regional centres with fewer expert non-industry cardiac technicians available. This reference group member raised that as the role of industry in the public system is quite varied, any alternate model of care would need to support the public services to varying degrees until the model is fully implemented.  </w:t>
      </w:r>
    </w:p>
    <w:p w14:paraId="00BFC2B0" w14:textId="25EB49D0" w:rsidR="00240468" w:rsidRPr="005F5BEA" w:rsidRDefault="00240468" w:rsidP="00240468">
      <w:r w:rsidRPr="005F5BEA">
        <w:t xml:space="preserve">The data presented by the ADAR showed that 17.6% of all in-person support services provided by </w:t>
      </w:r>
      <w:r w:rsidR="00B62C82" w:rsidRPr="005F5BEA">
        <w:t>IECT</w:t>
      </w:r>
      <w:r w:rsidRPr="005F5BEA">
        <w:t xml:space="preserve">s </w:t>
      </w:r>
      <w:r w:rsidR="00A0459E" w:rsidRPr="005F5BEA">
        <w:t xml:space="preserve">were done in a public hospital (1,886 of 10,711 services). </w:t>
      </w:r>
    </w:p>
    <w:p w14:paraId="443FBEA8" w14:textId="7C12676C" w:rsidR="00C15916" w:rsidRPr="005F5BEA" w:rsidRDefault="005A3EA3" w:rsidP="00240468">
      <w:r w:rsidRPr="005F5BEA">
        <w:t xml:space="preserve">The total number of cardiac technical support services </w:t>
      </w:r>
      <w:r w:rsidR="002E0538" w:rsidRPr="005F5BEA">
        <w:t xml:space="preserve">provided in public </w:t>
      </w:r>
      <w:r w:rsidR="00FD5A89" w:rsidRPr="005F5BEA">
        <w:t xml:space="preserve">hospitals </w:t>
      </w:r>
      <w:r w:rsidR="002E0538" w:rsidRPr="005F5BEA">
        <w:t xml:space="preserve">is unknown. </w:t>
      </w:r>
      <w:r w:rsidR="00C15916" w:rsidRPr="005F5BEA">
        <w:t xml:space="preserve">Data from the National Hospital Morbidity Database provided the total number of </w:t>
      </w:r>
      <w:r w:rsidR="001D4BB2" w:rsidRPr="005F5BEA">
        <w:t xml:space="preserve">implantations </w:t>
      </w:r>
      <w:r w:rsidR="00C15916" w:rsidRPr="005F5BEA">
        <w:t>and included both public and private Australian hospitals</w:t>
      </w:r>
      <w:r w:rsidR="002F70F8" w:rsidRPr="005F5BEA">
        <w:t xml:space="preserve">. </w:t>
      </w:r>
      <w:r w:rsidR="00AA07E6" w:rsidRPr="005F5BEA">
        <w:t>Furthermore, Mond et al. (2022)</w:t>
      </w:r>
      <w:r w:rsidR="003418AD" w:rsidRPr="005F5BEA">
        <w:t xml:space="preserve"> </w:t>
      </w:r>
      <w:r w:rsidR="00AA07E6" w:rsidRPr="005F5BEA">
        <w:t>presented data on all sold PPMs and ICDs in Australia in 2021 (implanted in both the public and private system).</w:t>
      </w:r>
      <w:r w:rsidR="00566A8E" w:rsidRPr="005F5BEA">
        <w:t xml:space="preserve"> </w:t>
      </w:r>
      <w:r w:rsidR="00AA07E6" w:rsidRPr="005F5BEA">
        <w:t xml:space="preserve">The </w:t>
      </w:r>
      <w:r w:rsidR="00566A8E" w:rsidRPr="005F5BEA">
        <w:t xml:space="preserve">Hospital </w:t>
      </w:r>
      <w:proofErr w:type="spellStart"/>
      <w:r w:rsidR="00566A8E" w:rsidRPr="005F5BEA">
        <w:t>Casemix</w:t>
      </w:r>
      <w:proofErr w:type="spellEnd"/>
      <w:r w:rsidR="00566A8E" w:rsidRPr="005F5BEA">
        <w:t xml:space="preserve"> Protocol has data of CIEDs inserted in the private system. It was recognised that the data from the National Hospital Morbidity Database was unlikely to be complete, and it was estimated that it contained data of 90% of the total number of procedures provided</w:t>
      </w:r>
      <w:r w:rsidR="00FE685A" w:rsidRPr="005F5BEA">
        <w:t xml:space="preserve"> (expert opinion)</w:t>
      </w:r>
      <w:r w:rsidR="00566A8E" w:rsidRPr="005F5BEA">
        <w:t xml:space="preserve">. </w:t>
      </w:r>
      <w:r w:rsidR="00AA07E6" w:rsidRPr="005F5BEA">
        <w:t xml:space="preserve">However, data from Mond et al. (2022) should represent all PPMs and ICDs implanted in Australia. </w:t>
      </w:r>
      <w:r w:rsidR="00566A8E" w:rsidRPr="005F5BEA">
        <w:t xml:space="preserve">Using these data </w:t>
      </w:r>
      <w:r w:rsidR="00AA07E6" w:rsidRPr="005F5BEA">
        <w:t xml:space="preserve">sources </w:t>
      </w:r>
      <w:r w:rsidR="00566A8E" w:rsidRPr="005F5BEA">
        <w:t>allows us to provide a rough estimate of the number of CIEDs implanted in the public system per year (</w:t>
      </w:r>
      <w:r w:rsidR="00B547CE" w:rsidRPr="005F5BEA">
        <w:fldChar w:fldCharType="begin"/>
      </w:r>
      <w:r w:rsidR="00B547CE" w:rsidRPr="005F5BEA">
        <w:instrText xml:space="preserve"> REF _Ref120457563 \h  \* MERGEFORMAT </w:instrText>
      </w:r>
      <w:r w:rsidR="00B547CE" w:rsidRPr="005F5BEA">
        <w:fldChar w:fldCharType="separate"/>
      </w:r>
      <w:r w:rsidR="00334548" w:rsidRPr="00334548">
        <w:t>Table 4</w:t>
      </w:r>
      <w:r w:rsidR="00B547CE" w:rsidRPr="005F5BEA">
        <w:fldChar w:fldCharType="end"/>
      </w:r>
      <w:r w:rsidR="00566A8E" w:rsidRPr="005F5BEA">
        <w:t>).</w:t>
      </w:r>
    </w:p>
    <w:p w14:paraId="005D273D" w14:textId="15ABD4A8" w:rsidR="00566A8E" w:rsidRPr="005F5BEA" w:rsidRDefault="004E6A90" w:rsidP="00240468">
      <w:r w:rsidRPr="005F5BEA">
        <w:t>The data indicate that</w:t>
      </w:r>
      <w:r w:rsidR="00776AA5" w:rsidRPr="005F5BEA">
        <w:t xml:space="preserve"> 49.2% of PPM </w:t>
      </w:r>
      <w:r w:rsidRPr="005F5BEA">
        <w:t>implantations</w:t>
      </w:r>
      <w:r w:rsidR="00651184" w:rsidRPr="005F5BEA">
        <w:t xml:space="preserve">, </w:t>
      </w:r>
      <w:r w:rsidR="00776AA5" w:rsidRPr="005F5BEA">
        <w:t>56.5% of ICD implant</w:t>
      </w:r>
      <w:r w:rsidR="00921DF2" w:rsidRPr="005F5BEA">
        <w:t>ations</w:t>
      </w:r>
      <w:r w:rsidRPr="005F5BEA">
        <w:t xml:space="preserve"> </w:t>
      </w:r>
      <w:r w:rsidR="00651184" w:rsidRPr="005F5BEA">
        <w:t xml:space="preserve">and 49.0% of ILR implantations </w:t>
      </w:r>
      <w:r w:rsidRPr="005F5BEA">
        <w:t xml:space="preserve">occur in the public system. The KPMG report </w:t>
      </w:r>
      <w:r w:rsidR="003418AD" w:rsidRPr="005F5BEA">
        <w:t xml:space="preserve">into cardiac services </w:t>
      </w:r>
      <w:r w:rsidRPr="005F5BEA">
        <w:t xml:space="preserve">assumed that approximately </w:t>
      </w:r>
      <w:r w:rsidR="00921DF2" w:rsidRPr="005F5BEA">
        <w:t>44</w:t>
      </w:r>
      <w:r w:rsidRPr="005F5BEA">
        <w:t xml:space="preserve">% of CIED services are provided in a </w:t>
      </w:r>
      <w:r w:rsidR="00921DF2" w:rsidRPr="005F5BEA">
        <w:t>public</w:t>
      </w:r>
      <w:r w:rsidRPr="005F5BEA">
        <w:t xml:space="preserve"> health care setting, </w:t>
      </w:r>
      <w:r w:rsidR="00921DF2" w:rsidRPr="005F5BEA">
        <w:t xml:space="preserve">which is a slightly lower estimate when compared to the estimate of CIEDs publicly implanted in </w:t>
      </w:r>
      <w:r w:rsidR="0097449C" w:rsidRPr="005F5BEA">
        <w:fldChar w:fldCharType="begin"/>
      </w:r>
      <w:r w:rsidR="0097449C" w:rsidRPr="005F5BEA">
        <w:instrText xml:space="preserve"> REF _Ref120457563 \h  \* MERGEFORMAT </w:instrText>
      </w:r>
      <w:r w:rsidR="0097449C" w:rsidRPr="005F5BEA">
        <w:fldChar w:fldCharType="separate"/>
      </w:r>
      <w:r w:rsidR="00334548" w:rsidRPr="00334548">
        <w:t>Table 4</w:t>
      </w:r>
      <w:r w:rsidR="0097449C" w:rsidRPr="005F5BEA">
        <w:fldChar w:fldCharType="end"/>
      </w:r>
      <w:r w:rsidR="0097449C" w:rsidRPr="005F5BEA">
        <w:t xml:space="preserve"> </w:t>
      </w:r>
      <w:r w:rsidR="00AB7C78" w:rsidRPr="005F5BEA">
        <w:t>(based on data from Mond et al (2022) and the Prostheses List)</w:t>
      </w:r>
      <w:r w:rsidR="00781FBC" w:rsidRPr="005F5BEA">
        <w:t xml:space="preserve">. </w:t>
      </w:r>
      <w:r w:rsidR="00651184" w:rsidRPr="005F5BEA">
        <w:t>This difference may reflect patients that have had their CIED implanted in the public system but have chosen to receive CIED follow-up checks in the private system.</w:t>
      </w:r>
    </w:p>
    <w:p w14:paraId="6F50F9B5" w14:textId="6D462211" w:rsidR="00781FBC" w:rsidRPr="005F5BEA" w:rsidRDefault="00B66541" w:rsidP="00383B7C">
      <w:pPr>
        <w:pStyle w:val="Caption"/>
        <w:keepNext/>
        <w:spacing w:before="360" w:after="120"/>
        <w:rPr>
          <w:rFonts w:ascii="Arial Narrow" w:eastAsia="Times New Roman" w:hAnsi="Arial Narrow" w:cs="Times New Roman"/>
          <w:b/>
          <w:bCs/>
          <w:sz w:val="20"/>
          <w:szCs w:val="20"/>
        </w:rPr>
      </w:pPr>
      <w:bookmarkStart w:id="21" w:name="_Ref120457563"/>
      <w:r w:rsidRPr="005F5BEA">
        <w:rPr>
          <w:rFonts w:ascii="Arial Narrow" w:eastAsia="Times New Roman" w:hAnsi="Arial Narrow" w:cs="Times New Roman"/>
          <w:b/>
          <w:bCs/>
          <w:i w:val="0"/>
          <w:iCs w:val="0"/>
          <w:color w:val="auto"/>
          <w:sz w:val="20"/>
          <w:szCs w:val="20"/>
        </w:rPr>
        <w:lastRenderedPageBreak/>
        <w:t>T</w:t>
      </w:r>
      <w:r w:rsidR="00781FBC" w:rsidRPr="005F5BEA">
        <w:rPr>
          <w:rFonts w:ascii="Arial Narrow" w:eastAsia="Times New Roman" w:hAnsi="Arial Narrow" w:cs="Times New Roman"/>
          <w:b/>
          <w:bCs/>
          <w:i w:val="0"/>
          <w:iCs w:val="0"/>
          <w:color w:val="auto"/>
          <w:sz w:val="20"/>
          <w:szCs w:val="20"/>
        </w:rPr>
        <w:t xml:space="preserve">able </w:t>
      </w:r>
      <w:r w:rsidR="00781FBC" w:rsidRPr="005F5BEA">
        <w:rPr>
          <w:rFonts w:ascii="Arial Narrow" w:eastAsia="Times New Roman" w:hAnsi="Arial Narrow" w:cs="Times New Roman"/>
          <w:b/>
          <w:bCs/>
          <w:i w:val="0"/>
          <w:iCs w:val="0"/>
          <w:color w:val="auto"/>
          <w:sz w:val="20"/>
          <w:szCs w:val="20"/>
        </w:rPr>
        <w:fldChar w:fldCharType="begin"/>
      </w:r>
      <w:r w:rsidR="00781FBC" w:rsidRPr="005F5BEA">
        <w:rPr>
          <w:rFonts w:ascii="Arial Narrow" w:eastAsia="Times New Roman" w:hAnsi="Arial Narrow" w:cs="Times New Roman"/>
          <w:b/>
          <w:bCs/>
          <w:i w:val="0"/>
          <w:iCs w:val="0"/>
          <w:color w:val="auto"/>
          <w:sz w:val="20"/>
          <w:szCs w:val="20"/>
        </w:rPr>
        <w:instrText xml:space="preserve"> SEQ Table \* ARABIC </w:instrText>
      </w:r>
      <w:r w:rsidR="00781FBC" w:rsidRPr="005F5BEA">
        <w:rPr>
          <w:rFonts w:ascii="Arial Narrow" w:eastAsia="Times New Roman" w:hAnsi="Arial Narrow" w:cs="Times New Roman"/>
          <w:b/>
          <w:bCs/>
          <w:i w:val="0"/>
          <w:iCs w:val="0"/>
          <w:color w:val="auto"/>
          <w:sz w:val="20"/>
          <w:szCs w:val="20"/>
        </w:rPr>
        <w:fldChar w:fldCharType="separate"/>
      </w:r>
      <w:r w:rsidR="00334548">
        <w:rPr>
          <w:rFonts w:ascii="Arial Narrow" w:eastAsia="Times New Roman" w:hAnsi="Arial Narrow" w:cs="Times New Roman"/>
          <w:b/>
          <w:bCs/>
          <w:i w:val="0"/>
          <w:iCs w:val="0"/>
          <w:noProof/>
          <w:color w:val="auto"/>
          <w:sz w:val="20"/>
          <w:szCs w:val="20"/>
        </w:rPr>
        <w:t>4</w:t>
      </w:r>
      <w:r w:rsidR="00781FBC" w:rsidRPr="005F5BEA">
        <w:rPr>
          <w:rFonts w:ascii="Arial Narrow" w:eastAsia="Times New Roman" w:hAnsi="Arial Narrow" w:cs="Times New Roman"/>
          <w:b/>
          <w:bCs/>
          <w:i w:val="0"/>
          <w:iCs w:val="0"/>
          <w:color w:val="auto"/>
          <w:sz w:val="20"/>
          <w:szCs w:val="20"/>
        </w:rPr>
        <w:fldChar w:fldCharType="end"/>
      </w:r>
      <w:bookmarkEnd w:id="21"/>
      <w:r w:rsidR="00781FBC" w:rsidRPr="005F5BEA">
        <w:rPr>
          <w:rFonts w:ascii="Arial Narrow" w:eastAsia="Times New Roman" w:hAnsi="Arial Narrow" w:cs="Times New Roman"/>
          <w:b/>
          <w:bCs/>
          <w:i w:val="0"/>
          <w:iCs w:val="0"/>
          <w:color w:val="auto"/>
          <w:sz w:val="20"/>
          <w:szCs w:val="20"/>
        </w:rPr>
        <w:tab/>
        <w:t xml:space="preserve">Estimates for number of CIEDs implanted per </w:t>
      </w:r>
      <w:proofErr w:type="gramStart"/>
      <w:r w:rsidR="00781FBC" w:rsidRPr="005F5BEA">
        <w:rPr>
          <w:rFonts w:ascii="Arial Narrow" w:eastAsia="Times New Roman" w:hAnsi="Arial Narrow" w:cs="Times New Roman"/>
          <w:b/>
          <w:bCs/>
          <w:i w:val="0"/>
          <w:iCs w:val="0"/>
          <w:color w:val="auto"/>
          <w:sz w:val="20"/>
          <w:szCs w:val="20"/>
        </w:rPr>
        <w:t>year</w:t>
      </w:r>
      <w:proofErr w:type="gramEnd"/>
    </w:p>
    <w:tbl>
      <w:tblPr>
        <w:tblStyle w:val="TableGrid"/>
        <w:tblW w:w="0" w:type="auto"/>
        <w:tblLook w:val="04A0" w:firstRow="1" w:lastRow="0" w:firstColumn="1" w:lastColumn="0" w:noHBand="0" w:noVBand="1"/>
      </w:tblPr>
      <w:tblGrid>
        <w:gridCol w:w="1696"/>
        <w:gridCol w:w="851"/>
        <w:gridCol w:w="1488"/>
        <w:gridCol w:w="1488"/>
        <w:gridCol w:w="1488"/>
        <w:gridCol w:w="1489"/>
      </w:tblGrid>
      <w:tr w:rsidR="00566A8E" w:rsidRPr="005F5BEA" w14:paraId="55657CCB" w14:textId="77777777" w:rsidTr="00B66541">
        <w:trPr>
          <w:tblHeader/>
        </w:trPr>
        <w:tc>
          <w:tcPr>
            <w:tcW w:w="1696" w:type="dxa"/>
          </w:tcPr>
          <w:p w14:paraId="39F6CC32" w14:textId="5DB35CF4" w:rsidR="00566A8E" w:rsidRPr="005F5BEA" w:rsidRDefault="00566A8E" w:rsidP="00B66541">
            <w:pPr>
              <w:pStyle w:val="Tableheader"/>
              <w:rPr>
                <w:color w:val="auto"/>
              </w:rPr>
            </w:pPr>
            <w:r w:rsidRPr="005F5BEA">
              <w:rPr>
                <w:color w:val="auto"/>
              </w:rPr>
              <w:t>Source and year</w:t>
            </w:r>
          </w:p>
        </w:tc>
        <w:tc>
          <w:tcPr>
            <w:tcW w:w="851" w:type="dxa"/>
          </w:tcPr>
          <w:p w14:paraId="4C0469F6" w14:textId="77777777" w:rsidR="00566A8E" w:rsidRPr="005F5BEA" w:rsidRDefault="00566A8E" w:rsidP="00B66541">
            <w:pPr>
              <w:pStyle w:val="Tableheader"/>
              <w:rPr>
                <w:color w:val="auto"/>
              </w:rPr>
            </w:pPr>
            <w:r w:rsidRPr="005F5BEA">
              <w:rPr>
                <w:color w:val="auto"/>
              </w:rPr>
              <w:t>Public or private</w:t>
            </w:r>
          </w:p>
        </w:tc>
        <w:tc>
          <w:tcPr>
            <w:tcW w:w="1488" w:type="dxa"/>
          </w:tcPr>
          <w:p w14:paraId="27DBF150" w14:textId="23A0DEB6" w:rsidR="00566A8E" w:rsidRPr="005F5BEA" w:rsidRDefault="00566A8E" w:rsidP="00B66541">
            <w:pPr>
              <w:pStyle w:val="Tableheader"/>
              <w:rPr>
                <w:color w:val="auto"/>
              </w:rPr>
            </w:pPr>
            <w:r w:rsidRPr="005F5BEA">
              <w:rPr>
                <w:color w:val="auto"/>
              </w:rPr>
              <w:t>PPM</w:t>
            </w:r>
            <w:r w:rsidR="00776AA5" w:rsidRPr="005F5BEA">
              <w:rPr>
                <w:color w:val="auto"/>
              </w:rPr>
              <w:t>, n (%)</w:t>
            </w:r>
          </w:p>
        </w:tc>
        <w:tc>
          <w:tcPr>
            <w:tcW w:w="1488" w:type="dxa"/>
          </w:tcPr>
          <w:p w14:paraId="3BC54C73" w14:textId="309A57E5" w:rsidR="00566A8E" w:rsidRPr="005F5BEA" w:rsidRDefault="00566A8E" w:rsidP="00B66541">
            <w:pPr>
              <w:pStyle w:val="Tableheader"/>
              <w:rPr>
                <w:color w:val="auto"/>
              </w:rPr>
            </w:pPr>
            <w:r w:rsidRPr="005F5BEA">
              <w:rPr>
                <w:color w:val="auto"/>
              </w:rPr>
              <w:t>ICD</w:t>
            </w:r>
            <w:r w:rsidR="00776AA5" w:rsidRPr="005F5BEA">
              <w:rPr>
                <w:color w:val="auto"/>
              </w:rPr>
              <w:t>, n (%)</w:t>
            </w:r>
          </w:p>
        </w:tc>
        <w:tc>
          <w:tcPr>
            <w:tcW w:w="1488" w:type="dxa"/>
          </w:tcPr>
          <w:p w14:paraId="1B12AF12" w14:textId="4B3FF694" w:rsidR="00566A8E" w:rsidRPr="005F5BEA" w:rsidRDefault="00566A8E" w:rsidP="00B66541">
            <w:pPr>
              <w:pStyle w:val="Tableheader"/>
              <w:rPr>
                <w:color w:val="auto"/>
              </w:rPr>
            </w:pPr>
            <w:r w:rsidRPr="005F5BEA">
              <w:rPr>
                <w:color w:val="auto"/>
              </w:rPr>
              <w:t>ILR / Cardiac event recorder</w:t>
            </w:r>
            <w:r w:rsidR="00776AA5" w:rsidRPr="005F5BEA">
              <w:rPr>
                <w:color w:val="auto"/>
              </w:rPr>
              <w:t>, n (%)</w:t>
            </w:r>
          </w:p>
        </w:tc>
        <w:tc>
          <w:tcPr>
            <w:tcW w:w="1489" w:type="dxa"/>
          </w:tcPr>
          <w:p w14:paraId="5A2B97A5" w14:textId="321721A7" w:rsidR="00566A8E" w:rsidRPr="005F5BEA" w:rsidRDefault="00566A8E" w:rsidP="00B66541">
            <w:pPr>
              <w:pStyle w:val="Tableheader"/>
              <w:rPr>
                <w:color w:val="auto"/>
              </w:rPr>
            </w:pPr>
            <w:r w:rsidRPr="005F5BEA">
              <w:rPr>
                <w:color w:val="auto"/>
              </w:rPr>
              <w:t xml:space="preserve">Total </w:t>
            </w:r>
            <w:r w:rsidR="00776AA5" w:rsidRPr="005F5BEA">
              <w:rPr>
                <w:color w:val="auto"/>
              </w:rPr>
              <w:t>n (%)</w:t>
            </w:r>
          </w:p>
        </w:tc>
      </w:tr>
      <w:tr w:rsidR="00566A8E" w:rsidRPr="005F5BEA" w14:paraId="4B13C5B4" w14:textId="77777777" w:rsidTr="00B66541">
        <w:tc>
          <w:tcPr>
            <w:tcW w:w="1696" w:type="dxa"/>
          </w:tcPr>
          <w:p w14:paraId="34DC79A2" w14:textId="77777777" w:rsidR="00566A8E" w:rsidRPr="005F5BEA" w:rsidRDefault="00566A8E" w:rsidP="005C06EF">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 xml:space="preserve">National Hospital Morbidity database </w:t>
            </w:r>
          </w:p>
          <w:p w14:paraId="3D239A36" w14:textId="09330D01" w:rsidR="00566A8E" w:rsidRPr="005F5BEA" w:rsidRDefault="00566A8E" w:rsidP="005C06EF">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2020/2021</w:t>
            </w:r>
          </w:p>
        </w:tc>
        <w:tc>
          <w:tcPr>
            <w:tcW w:w="851" w:type="dxa"/>
          </w:tcPr>
          <w:p w14:paraId="19DFD081" w14:textId="77777777" w:rsidR="00566A8E" w:rsidRPr="005F5BEA" w:rsidRDefault="00566A8E" w:rsidP="005C06EF">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Public and Private</w:t>
            </w:r>
          </w:p>
        </w:tc>
        <w:tc>
          <w:tcPr>
            <w:tcW w:w="1488" w:type="dxa"/>
          </w:tcPr>
          <w:p w14:paraId="4E3080DC" w14:textId="77777777" w:rsidR="00566A8E" w:rsidRPr="005F5BEA" w:rsidRDefault="00566A8E" w:rsidP="005C06EF">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90%: 19,897</w:t>
            </w:r>
          </w:p>
          <w:p w14:paraId="778D4D06" w14:textId="1671BBA9" w:rsidR="00566A8E" w:rsidRPr="005F5BEA" w:rsidRDefault="00566A8E" w:rsidP="005C06EF">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100% estimate:  22,108</w:t>
            </w:r>
          </w:p>
          <w:p w14:paraId="733FDE66" w14:textId="5A89E7C5" w:rsidR="00566A8E" w:rsidRPr="005F5BEA" w:rsidRDefault="00566A8E" w:rsidP="005C06EF">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 xml:space="preserve"> </w:t>
            </w:r>
          </w:p>
        </w:tc>
        <w:tc>
          <w:tcPr>
            <w:tcW w:w="1488" w:type="dxa"/>
          </w:tcPr>
          <w:p w14:paraId="22EB3AC8" w14:textId="77777777" w:rsidR="00566A8E" w:rsidRPr="005F5BEA" w:rsidRDefault="00566A8E" w:rsidP="005C06EF">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90%: 4,029</w:t>
            </w:r>
          </w:p>
          <w:p w14:paraId="7B343E9B" w14:textId="561C6492" w:rsidR="00566A8E" w:rsidRPr="005F5BEA" w:rsidRDefault="00566A8E" w:rsidP="005C06EF">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100% estimate: 4,477</w:t>
            </w:r>
          </w:p>
          <w:p w14:paraId="7443D195" w14:textId="02F48F90" w:rsidR="00566A8E" w:rsidRPr="005F5BEA" w:rsidRDefault="00566A8E" w:rsidP="005C06EF">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 xml:space="preserve"> </w:t>
            </w:r>
          </w:p>
        </w:tc>
        <w:tc>
          <w:tcPr>
            <w:tcW w:w="1488" w:type="dxa"/>
          </w:tcPr>
          <w:p w14:paraId="39A4334A" w14:textId="77777777" w:rsidR="00566A8E" w:rsidRPr="005F5BEA" w:rsidRDefault="00566A8E" w:rsidP="005C06EF">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90%: 7,148</w:t>
            </w:r>
          </w:p>
          <w:p w14:paraId="68CC3BEF" w14:textId="301DB6D4" w:rsidR="00566A8E" w:rsidRPr="005F5BEA" w:rsidRDefault="00566A8E" w:rsidP="005C06EF">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100% estimate: 7,942</w:t>
            </w:r>
          </w:p>
        </w:tc>
        <w:tc>
          <w:tcPr>
            <w:tcW w:w="1489" w:type="dxa"/>
          </w:tcPr>
          <w:p w14:paraId="7A1686AC" w14:textId="77777777" w:rsidR="00566A8E" w:rsidRPr="005F5BEA" w:rsidRDefault="00566A8E" w:rsidP="005C06EF">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90%: 31,074</w:t>
            </w:r>
          </w:p>
          <w:p w14:paraId="4819F910" w14:textId="7AA788FC" w:rsidR="00566A8E" w:rsidRPr="005F5BEA" w:rsidRDefault="00566A8E" w:rsidP="005C06EF">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100% estimate: 34,527</w:t>
            </w:r>
          </w:p>
          <w:p w14:paraId="4E0FB15B" w14:textId="6E54D91C" w:rsidR="00566A8E" w:rsidRPr="005F5BEA" w:rsidRDefault="00566A8E" w:rsidP="005C06EF">
            <w:pPr>
              <w:rPr>
                <w:rFonts w:ascii="Arial Narrow" w:eastAsia="Times New Roman" w:hAnsi="Arial Narrow" w:cs="Times New Roman"/>
                <w:sz w:val="20"/>
                <w:szCs w:val="20"/>
                <w:lang w:eastAsia="en-AU"/>
              </w:rPr>
            </w:pPr>
          </w:p>
        </w:tc>
      </w:tr>
      <w:tr w:rsidR="005C7D86" w:rsidRPr="005F5BEA" w14:paraId="1DBF9DBB" w14:textId="77777777" w:rsidTr="00B66541">
        <w:tc>
          <w:tcPr>
            <w:tcW w:w="1696" w:type="dxa"/>
            <w:tcBorders>
              <w:bottom w:val="single" w:sz="4" w:space="0" w:color="auto"/>
            </w:tcBorders>
          </w:tcPr>
          <w:p w14:paraId="453F9DCD" w14:textId="77777777" w:rsidR="005C7D86" w:rsidRPr="005F5BEA" w:rsidRDefault="005C7D86" w:rsidP="005C06EF">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Mond et al. (2022)</w:t>
            </w:r>
          </w:p>
          <w:p w14:paraId="133A97F3" w14:textId="3001263F" w:rsidR="00187970" w:rsidRPr="005F5BEA" w:rsidRDefault="00187970" w:rsidP="005C06EF">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2021</w:t>
            </w:r>
          </w:p>
        </w:tc>
        <w:tc>
          <w:tcPr>
            <w:tcW w:w="851" w:type="dxa"/>
            <w:tcBorders>
              <w:bottom w:val="single" w:sz="4" w:space="0" w:color="auto"/>
            </w:tcBorders>
          </w:tcPr>
          <w:p w14:paraId="49E40989" w14:textId="15A39D6C" w:rsidR="005C7D86" w:rsidRPr="005F5BEA" w:rsidRDefault="005C7D86" w:rsidP="005C06EF">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Public and Private</w:t>
            </w:r>
          </w:p>
        </w:tc>
        <w:tc>
          <w:tcPr>
            <w:tcW w:w="1488" w:type="dxa"/>
            <w:tcBorders>
              <w:bottom w:val="single" w:sz="4" w:space="0" w:color="auto"/>
            </w:tcBorders>
          </w:tcPr>
          <w:p w14:paraId="4C4EB8D1" w14:textId="6940995D" w:rsidR="005C7D86" w:rsidRPr="005F5BEA" w:rsidRDefault="00C11F09" w:rsidP="005C06EF">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25,190</w:t>
            </w:r>
          </w:p>
        </w:tc>
        <w:tc>
          <w:tcPr>
            <w:tcW w:w="1488" w:type="dxa"/>
            <w:tcBorders>
              <w:bottom w:val="single" w:sz="4" w:space="0" w:color="auto"/>
            </w:tcBorders>
          </w:tcPr>
          <w:p w14:paraId="031500EC" w14:textId="630AD4DD" w:rsidR="005C7D86" w:rsidRPr="005F5BEA" w:rsidRDefault="00C11F09" w:rsidP="005C06EF">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6,421</w:t>
            </w:r>
          </w:p>
        </w:tc>
        <w:tc>
          <w:tcPr>
            <w:tcW w:w="1488" w:type="dxa"/>
            <w:tcBorders>
              <w:bottom w:val="single" w:sz="4" w:space="0" w:color="auto"/>
            </w:tcBorders>
          </w:tcPr>
          <w:p w14:paraId="57D10CCA" w14:textId="55C0D37D" w:rsidR="005C7D86" w:rsidRPr="005F5BEA" w:rsidRDefault="00AB241D" w:rsidP="005C06EF">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6,933</w:t>
            </w:r>
          </w:p>
        </w:tc>
        <w:tc>
          <w:tcPr>
            <w:tcW w:w="1489" w:type="dxa"/>
            <w:tcBorders>
              <w:bottom w:val="single" w:sz="4" w:space="0" w:color="auto"/>
            </w:tcBorders>
          </w:tcPr>
          <w:p w14:paraId="09E47DED" w14:textId="1481DE1D" w:rsidR="002E1214" w:rsidRPr="005F5BEA" w:rsidRDefault="00CE1510" w:rsidP="005C06EF">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38,544</w:t>
            </w:r>
          </w:p>
        </w:tc>
      </w:tr>
      <w:tr w:rsidR="000266CE" w:rsidRPr="005F5BEA" w14:paraId="05A74837" w14:textId="77777777" w:rsidTr="00B66541">
        <w:tc>
          <w:tcPr>
            <w:tcW w:w="1696" w:type="dxa"/>
            <w:tcBorders>
              <w:bottom w:val="single" w:sz="18" w:space="0" w:color="auto"/>
            </w:tcBorders>
          </w:tcPr>
          <w:p w14:paraId="3DF801A2" w14:textId="77777777" w:rsidR="000266CE" w:rsidRPr="005F5BEA" w:rsidRDefault="000266CE" w:rsidP="000266CE">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 xml:space="preserve">Hospital </w:t>
            </w:r>
            <w:proofErr w:type="spellStart"/>
            <w:r w:rsidRPr="005F5BEA">
              <w:rPr>
                <w:rFonts w:ascii="Arial Narrow" w:eastAsia="Times New Roman" w:hAnsi="Arial Narrow" w:cs="Times New Roman"/>
                <w:sz w:val="20"/>
                <w:szCs w:val="20"/>
                <w:lang w:eastAsia="en-AU"/>
              </w:rPr>
              <w:t>Casemix</w:t>
            </w:r>
            <w:proofErr w:type="spellEnd"/>
            <w:r w:rsidRPr="005F5BEA">
              <w:rPr>
                <w:rFonts w:ascii="Arial Narrow" w:eastAsia="Times New Roman" w:hAnsi="Arial Narrow" w:cs="Times New Roman"/>
                <w:sz w:val="20"/>
                <w:szCs w:val="20"/>
                <w:lang w:eastAsia="en-AU"/>
              </w:rPr>
              <w:t xml:space="preserve"> Protocol 1 / Prostheses list</w:t>
            </w:r>
          </w:p>
          <w:p w14:paraId="77A3FE27" w14:textId="6EBDCFBC" w:rsidR="000266CE" w:rsidRPr="005F5BEA" w:rsidRDefault="000266CE" w:rsidP="000266CE">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2020/2021</w:t>
            </w:r>
          </w:p>
        </w:tc>
        <w:tc>
          <w:tcPr>
            <w:tcW w:w="851" w:type="dxa"/>
            <w:tcBorders>
              <w:bottom w:val="single" w:sz="18" w:space="0" w:color="auto"/>
            </w:tcBorders>
          </w:tcPr>
          <w:p w14:paraId="695A1334" w14:textId="2D137C08" w:rsidR="000266CE" w:rsidRPr="005F5BEA" w:rsidRDefault="000266CE" w:rsidP="000266CE">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Private</w:t>
            </w:r>
          </w:p>
        </w:tc>
        <w:tc>
          <w:tcPr>
            <w:tcW w:w="1488" w:type="dxa"/>
            <w:tcBorders>
              <w:bottom w:val="single" w:sz="18" w:space="0" w:color="auto"/>
            </w:tcBorders>
          </w:tcPr>
          <w:p w14:paraId="7AB9A6E5" w14:textId="77777777" w:rsidR="000266CE" w:rsidRPr="005F5BEA" w:rsidRDefault="000266CE" w:rsidP="000266CE">
            <w:pPr>
              <w:rPr>
                <w:rFonts w:ascii="Arial Narrow" w:hAnsi="Arial Narrow"/>
                <w:sz w:val="20"/>
                <w:szCs w:val="20"/>
              </w:rPr>
            </w:pPr>
            <w:r w:rsidRPr="005F5BEA">
              <w:rPr>
                <w:rFonts w:ascii="Arial Narrow" w:hAnsi="Arial Narrow"/>
                <w:sz w:val="20"/>
                <w:szCs w:val="20"/>
              </w:rPr>
              <w:t>12,800</w:t>
            </w:r>
          </w:p>
          <w:p w14:paraId="3F9FA79A" w14:textId="77777777" w:rsidR="000266CE" w:rsidRPr="005F5BEA" w:rsidRDefault="000266CE" w:rsidP="000266CE">
            <w:pPr>
              <w:rPr>
                <w:rFonts w:ascii="Arial Narrow" w:eastAsia="Times New Roman" w:hAnsi="Arial Narrow" w:cs="Times New Roman"/>
                <w:sz w:val="20"/>
                <w:szCs w:val="20"/>
                <w:lang w:eastAsia="en-AU"/>
              </w:rPr>
            </w:pPr>
          </w:p>
        </w:tc>
        <w:tc>
          <w:tcPr>
            <w:tcW w:w="1488" w:type="dxa"/>
            <w:tcBorders>
              <w:bottom w:val="single" w:sz="18" w:space="0" w:color="auto"/>
            </w:tcBorders>
          </w:tcPr>
          <w:p w14:paraId="6AEDA67E" w14:textId="463C3C18" w:rsidR="000266CE" w:rsidRPr="005F5BEA" w:rsidRDefault="000266CE" w:rsidP="000266CE">
            <w:pPr>
              <w:rPr>
                <w:rFonts w:ascii="Arial Narrow" w:eastAsia="Times New Roman" w:hAnsi="Arial Narrow" w:cs="Times New Roman"/>
                <w:sz w:val="20"/>
                <w:szCs w:val="20"/>
                <w:lang w:eastAsia="en-AU"/>
              </w:rPr>
            </w:pPr>
            <w:r w:rsidRPr="005F5BEA">
              <w:rPr>
                <w:rFonts w:ascii="Arial Narrow" w:hAnsi="Arial Narrow"/>
                <w:sz w:val="20"/>
                <w:szCs w:val="20"/>
              </w:rPr>
              <w:t>2,795</w:t>
            </w:r>
          </w:p>
        </w:tc>
        <w:tc>
          <w:tcPr>
            <w:tcW w:w="1488" w:type="dxa"/>
            <w:tcBorders>
              <w:bottom w:val="single" w:sz="18" w:space="0" w:color="auto"/>
            </w:tcBorders>
          </w:tcPr>
          <w:p w14:paraId="3A193107" w14:textId="42D5632A" w:rsidR="000266CE" w:rsidRPr="005F5BEA" w:rsidRDefault="000266CE" w:rsidP="000266CE">
            <w:pPr>
              <w:rPr>
                <w:rFonts w:ascii="Arial Narrow" w:eastAsia="Times New Roman" w:hAnsi="Arial Narrow" w:cs="Times New Roman"/>
                <w:sz w:val="20"/>
                <w:szCs w:val="20"/>
                <w:lang w:eastAsia="en-AU"/>
              </w:rPr>
            </w:pPr>
            <w:r w:rsidRPr="005F5BEA">
              <w:rPr>
                <w:rFonts w:ascii="Arial Narrow" w:hAnsi="Arial Narrow"/>
                <w:sz w:val="20"/>
                <w:szCs w:val="20"/>
              </w:rPr>
              <w:t>4,069</w:t>
            </w:r>
          </w:p>
        </w:tc>
        <w:tc>
          <w:tcPr>
            <w:tcW w:w="1489" w:type="dxa"/>
            <w:tcBorders>
              <w:bottom w:val="single" w:sz="18" w:space="0" w:color="auto"/>
            </w:tcBorders>
          </w:tcPr>
          <w:p w14:paraId="41697481" w14:textId="28D7203F" w:rsidR="000266CE" w:rsidRPr="005F5BEA" w:rsidRDefault="000266CE" w:rsidP="000266CE">
            <w:pPr>
              <w:rPr>
                <w:rFonts w:ascii="Arial Narrow" w:eastAsia="Times New Roman" w:hAnsi="Arial Narrow" w:cs="Times New Roman"/>
                <w:sz w:val="20"/>
                <w:szCs w:val="20"/>
                <w:lang w:eastAsia="en-AU"/>
              </w:rPr>
            </w:pPr>
            <w:r w:rsidRPr="005F5BEA">
              <w:rPr>
                <w:rFonts w:ascii="Arial Narrow" w:hAnsi="Arial Narrow"/>
                <w:sz w:val="20"/>
                <w:szCs w:val="20"/>
              </w:rPr>
              <w:t>19,664</w:t>
            </w:r>
          </w:p>
        </w:tc>
      </w:tr>
      <w:tr w:rsidR="00566A8E" w:rsidRPr="005F5BEA" w14:paraId="66CB94A2" w14:textId="77777777" w:rsidTr="00B66541">
        <w:tc>
          <w:tcPr>
            <w:tcW w:w="1696" w:type="dxa"/>
            <w:tcBorders>
              <w:top w:val="single" w:sz="18" w:space="0" w:color="auto"/>
            </w:tcBorders>
          </w:tcPr>
          <w:p w14:paraId="3DBE95D7" w14:textId="23042754" w:rsidR="00566A8E" w:rsidRPr="005F5BEA" w:rsidRDefault="00566A8E" w:rsidP="001D2C42">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 xml:space="preserve">Data from National Hospital Morbidity database minus Prostheses </w:t>
            </w:r>
            <w:r w:rsidR="002E1214" w:rsidRPr="005F5BEA">
              <w:rPr>
                <w:rFonts w:ascii="Arial Narrow" w:eastAsia="Times New Roman" w:hAnsi="Arial Narrow" w:cs="Times New Roman"/>
                <w:sz w:val="20"/>
                <w:szCs w:val="20"/>
                <w:lang w:eastAsia="en-AU"/>
              </w:rPr>
              <w:t>Li</w:t>
            </w:r>
            <w:r w:rsidRPr="005F5BEA">
              <w:rPr>
                <w:rFonts w:ascii="Arial Narrow" w:eastAsia="Times New Roman" w:hAnsi="Arial Narrow" w:cs="Times New Roman"/>
                <w:sz w:val="20"/>
                <w:szCs w:val="20"/>
                <w:lang w:eastAsia="en-AU"/>
              </w:rPr>
              <w:t xml:space="preserve">st data </w:t>
            </w:r>
          </w:p>
        </w:tc>
        <w:tc>
          <w:tcPr>
            <w:tcW w:w="851" w:type="dxa"/>
            <w:tcBorders>
              <w:top w:val="single" w:sz="18" w:space="0" w:color="auto"/>
            </w:tcBorders>
          </w:tcPr>
          <w:p w14:paraId="53871ECA" w14:textId="1D5840CA" w:rsidR="00566A8E" w:rsidRPr="005F5BEA" w:rsidRDefault="00566A8E" w:rsidP="001D2C42">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Public</w:t>
            </w:r>
          </w:p>
        </w:tc>
        <w:tc>
          <w:tcPr>
            <w:tcW w:w="1488" w:type="dxa"/>
            <w:tcBorders>
              <w:top w:val="single" w:sz="18" w:space="0" w:color="auto"/>
            </w:tcBorders>
          </w:tcPr>
          <w:p w14:paraId="01B50261" w14:textId="4237A883" w:rsidR="00566A8E" w:rsidRPr="005F5BEA" w:rsidRDefault="00566A8E" w:rsidP="001D2C42">
            <w:pPr>
              <w:rPr>
                <w:rFonts w:ascii="Arial Narrow" w:hAnsi="Arial Narrow"/>
                <w:sz w:val="20"/>
                <w:szCs w:val="20"/>
              </w:rPr>
            </w:pPr>
            <w:r w:rsidRPr="005F5BEA">
              <w:rPr>
                <w:rFonts w:ascii="Arial Narrow" w:hAnsi="Arial Narrow"/>
                <w:sz w:val="20"/>
                <w:szCs w:val="20"/>
              </w:rPr>
              <w:t>9,308 (42.1%)</w:t>
            </w:r>
          </w:p>
        </w:tc>
        <w:tc>
          <w:tcPr>
            <w:tcW w:w="1488" w:type="dxa"/>
            <w:tcBorders>
              <w:top w:val="single" w:sz="18" w:space="0" w:color="auto"/>
            </w:tcBorders>
          </w:tcPr>
          <w:p w14:paraId="1828F24C" w14:textId="67EC08A2" w:rsidR="00566A8E" w:rsidRPr="005F5BEA" w:rsidRDefault="00566A8E" w:rsidP="001D2C42">
            <w:pPr>
              <w:rPr>
                <w:rFonts w:ascii="Arial Narrow" w:hAnsi="Arial Narrow"/>
                <w:sz w:val="20"/>
                <w:szCs w:val="20"/>
              </w:rPr>
            </w:pPr>
            <w:r w:rsidRPr="005F5BEA">
              <w:rPr>
                <w:rFonts w:ascii="Arial Narrow" w:hAnsi="Arial Narrow"/>
                <w:sz w:val="20"/>
                <w:szCs w:val="20"/>
              </w:rPr>
              <w:t>1,234 (27.6%)</w:t>
            </w:r>
          </w:p>
        </w:tc>
        <w:tc>
          <w:tcPr>
            <w:tcW w:w="1488" w:type="dxa"/>
            <w:tcBorders>
              <w:top w:val="single" w:sz="18" w:space="0" w:color="auto"/>
            </w:tcBorders>
          </w:tcPr>
          <w:p w14:paraId="75E403C8" w14:textId="31C1E387" w:rsidR="00566A8E" w:rsidRPr="005F5BEA" w:rsidRDefault="00566A8E" w:rsidP="001D2C42">
            <w:pPr>
              <w:rPr>
                <w:rFonts w:ascii="Arial Narrow" w:hAnsi="Arial Narrow"/>
                <w:sz w:val="20"/>
                <w:szCs w:val="20"/>
              </w:rPr>
            </w:pPr>
            <w:r w:rsidRPr="005F5BEA">
              <w:rPr>
                <w:rFonts w:ascii="Arial Narrow" w:hAnsi="Arial Narrow"/>
                <w:sz w:val="20"/>
                <w:szCs w:val="20"/>
              </w:rPr>
              <w:t>3,873 (48.7%)</w:t>
            </w:r>
          </w:p>
        </w:tc>
        <w:tc>
          <w:tcPr>
            <w:tcW w:w="1489" w:type="dxa"/>
            <w:tcBorders>
              <w:top w:val="single" w:sz="18" w:space="0" w:color="auto"/>
            </w:tcBorders>
          </w:tcPr>
          <w:p w14:paraId="7D6A0194" w14:textId="11752365" w:rsidR="00566A8E" w:rsidRPr="005F5BEA" w:rsidRDefault="00566A8E" w:rsidP="001D2C42">
            <w:pPr>
              <w:rPr>
                <w:rFonts w:ascii="Arial Narrow" w:hAnsi="Arial Narrow"/>
                <w:sz w:val="20"/>
                <w:szCs w:val="20"/>
              </w:rPr>
            </w:pPr>
            <w:r w:rsidRPr="005F5BEA">
              <w:rPr>
                <w:rFonts w:ascii="Arial Narrow" w:hAnsi="Arial Narrow"/>
                <w:sz w:val="20"/>
                <w:szCs w:val="20"/>
              </w:rPr>
              <w:t>14,863 (43.0%)</w:t>
            </w:r>
          </w:p>
        </w:tc>
      </w:tr>
      <w:tr w:rsidR="005C7D86" w:rsidRPr="005F5BEA" w14:paraId="12A397A1" w14:textId="77777777" w:rsidTr="00B66541">
        <w:tc>
          <w:tcPr>
            <w:tcW w:w="1696" w:type="dxa"/>
          </w:tcPr>
          <w:p w14:paraId="1F7C6904" w14:textId="1E8372C1" w:rsidR="005C7D86" w:rsidRPr="005F5BEA" w:rsidRDefault="002E1214" w:rsidP="001D2C42">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Data from Mond et al. (2022) minus Prostheses List data</w:t>
            </w:r>
          </w:p>
        </w:tc>
        <w:tc>
          <w:tcPr>
            <w:tcW w:w="851" w:type="dxa"/>
          </w:tcPr>
          <w:p w14:paraId="02D58D48" w14:textId="2585D163" w:rsidR="005C7D86" w:rsidRPr="005F5BEA" w:rsidRDefault="002E1214" w:rsidP="001D2C42">
            <w:pPr>
              <w:rPr>
                <w:rFonts w:ascii="Arial Narrow" w:eastAsia="Times New Roman" w:hAnsi="Arial Narrow" w:cs="Times New Roman"/>
                <w:sz w:val="20"/>
                <w:szCs w:val="20"/>
                <w:lang w:eastAsia="en-AU"/>
              </w:rPr>
            </w:pPr>
            <w:r w:rsidRPr="005F5BEA">
              <w:rPr>
                <w:rFonts w:ascii="Arial Narrow" w:eastAsia="Times New Roman" w:hAnsi="Arial Narrow" w:cs="Times New Roman"/>
                <w:sz w:val="20"/>
                <w:szCs w:val="20"/>
                <w:lang w:eastAsia="en-AU"/>
              </w:rPr>
              <w:t>Public</w:t>
            </w:r>
          </w:p>
        </w:tc>
        <w:tc>
          <w:tcPr>
            <w:tcW w:w="1488" w:type="dxa"/>
          </w:tcPr>
          <w:p w14:paraId="5599B9EE" w14:textId="0F5C1D21" w:rsidR="005C7D86" w:rsidRPr="005F5BEA" w:rsidRDefault="00124054" w:rsidP="001D2C42">
            <w:pPr>
              <w:rPr>
                <w:rFonts w:ascii="Arial Narrow" w:hAnsi="Arial Narrow"/>
                <w:sz w:val="20"/>
                <w:szCs w:val="20"/>
              </w:rPr>
            </w:pPr>
            <w:r w:rsidRPr="005F5BEA">
              <w:rPr>
                <w:rFonts w:ascii="Arial Narrow" w:hAnsi="Arial Narrow"/>
                <w:sz w:val="20"/>
                <w:szCs w:val="20"/>
              </w:rPr>
              <w:t>12,390 (49.2%)</w:t>
            </w:r>
          </w:p>
        </w:tc>
        <w:tc>
          <w:tcPr>
            <w:tcW w:w="1488" w:type="dxa"/>
          </w:tcPr>
          <w:p w14:paraId="057EB0D7" w14:textId="62B9AEF6" w:rsidR="005C7D86" w:rsidRPr="005F5BEA" w:rsidRDefault="00124054" w:rsidP="001D2C42">
            <w:pPr>
              <w:rPr>
                <w:rFonts w:ascii="Arial Narrow" w:hAnsi="Arial Narrow"/>
                <w:sz w:val="20"/>
                <w:szCs w:val="20"/>
              </w:rPr>
            </w:pPr>
            <w:r w:rsidRPr="005F5BEA">
              <w:rPr>
                <w:rFonts w:ascii="Arial Narrow" w:hAnsi="Arial Narrow"/>
                <w:sz w:val="20"/>
                <w:szCs w:val="20"/>
              </w:rPr>
              <w:t>3,626 (56.5%)</w:t>
            </w:r>
          </w:p>
        </w:tc>
        <w:tc>
          <w:tcPr>
            <w:tcW w:w="1488" w:type="dxa"/>
          </w:tcPr>
          <w:p w14:paraId="6852D642" w14:textId="0C642810" w:rsidR="005C7D86" w:rsidRPr="005F5BEA" w:rsidRDefault="00B66541" w:rsidP="001D2C42">
            <w:pPr>
              <w:rPr>
                <w:rFonts w:ascii="Arial Narrow" w:hAnsi="Arial Narrow"/>
                <w:sz w:val="20"/>
                <w:szCs w:val="20"/>
              </w:rPr>
            </w:pPr>
            <w:r w:rsidRPr="005F5BEA">
              <w:rPr>
                <w:rFonts w:ascii="Arial Narrow" w:hAnsi="Arial Narrow"/>
                <w:sz w:val="20"/>
                <w:szCs w:val="20"/>
              </w:rPr>
              <w:t>2,864</w:t>
            </w:r>
            <w:r w:rsidR="00286996" w:rsidRPr="005F5BEA">
              <w:rPr>
                <w:rFonts w:ascii="Arial Narrow" w:hAnsi="Arial Narrow"/>
                <w:sz w:val="20"/>
                <w:szCs w:val="20"/>
              </w:rPr>
              <w:t xml:space="preserve"> (</w:t>
            </w:r>
            <w:r w:rsidR="00CE1510" w:rsidRPr="005F5BEA">
              <w:rPr>
                <w:rFonts w:ascii="Arial Narrow" w:hAnsi="Arial Narrow"/>
                <w:sz w:val="20"/>
                <w:szCs w:val="20"/>
              </w:rPr>
              <w:t>41.3%</w:t>
            </w:r>
            <w:r w:rsidR="00286996" w:rsidRPr="005F5BEA">
              <w:rPr>
                <w:rFonts w:ascii="Arial Narrow" w:hAnsi="Arial Narrow"/>
                <w:sz w:val="20"/>
                <w:szCs w:val="20"/>
              </w:rPr>
              <w:t>)</w:t>
            </w:r>
          </w:p>
        </w:tc>
        <w:tc>
          <w:tcPr>
            <w:tcW w:w="1489" w:type="dxa"/>
          </w:tcPr>
          <w:p w14:paraId="4CF29DFB" w14:textId="757335DE" w:rsidR="00124054" w:rsidRPr="005F5BEA" w:rsidRDefault="00124054">
            <w:pPr>
              <w:rPr>
                <w:rFonts w:ascii="Arial Narrow" w:hAnsi="Arial Narrow"/>
                <w:sz w:val="20"/>
                <w:szCs w:val="20"/>
              </w:rPr>
            </w:pPr>
            <w:r w:rsidRPr="005F5BEA">
              <w:rPr>
                <w:rFonts w:ascii="Arial Narrow" w:hAnsi="Arial Narrow"/>
                <w:sz w:val="20"/>
                <w:szCs w:val="20"/>
              </w:rPr>
              <w:t>1</w:t>
            </w:r>
            <w:r w:rsidR="007B1C7B" w:rsidRPr="005F5BEA">
              <w:rPr>
                <w:rFonts w:ascii="Arial Narrow" w:hAnsi="Arial Narrow"/>
                <w:sz w:val="20"/>
                <w:szCs w:val="20"/>
              </w:rPr>
              <w:t>8,880</w:t>
            </w:r>
            <w:r w:rsidRPr="005F5BEA">
              <w:rPr>
                <w:rFonts w:ascii="Arial Narrow" w:hAnsi="Arial Narrow"/>
                <w:sz w:val="20"/>
                <w:szCs w:val="20"/>
              </w:rPr>
              <w:t xml:space="preserve"> (</w:t>
            </w:r>
            <w:r w:rsidR="007B1C7B" w:rsidRPr="005F5BEA">
              <w:rPr>
                <w:rFonts w:ascii="Arial Narrow" w:hAnsi="Arial Narrow"/>
                <w:sz w:val="20"/>
                <w:szCs w:val="20"/>
              </w:rPr>
              <w:t>49.0</w:t>
            </w:r>
            <w:r w:rsidRPr="005F5BEA">
              <w:rPr>
                <w:rFonts w:ascii="Arial Narrow" w:hAnsi="Arial Narrow"/>
                <w:sz w:val="20"/>
                <w:szCs w:val="20"/>
              </w:rPr>
              <w:t>%)</w:t>
            </w:r>
          </w:p>
        </w:tc>
      </w:tr>
    </w:tbl>
    <w:p w14:paraId="1FFFF8C1" w14:textId="11EDB0AB" w:rsidR="00C15916" w:rsidRPr="005F5BEA" w:rsidRDefault="00776AA5" w:rsidP="00B66541">
      <w:pPr>
        <w:pStyle w:val="Tablenotes"/>
      </w:pPr>
      <w:r w:rsidRPr="005F5BEA">
        <w:t>ICD = implantable cardioverter-defibrillator; ILR = implantable loop recorder; PPM = pacemaker</w:t>
      </w:r>
    </w:p>
    <w:p w14:paraId="1DFC6D04" w14:textId="2941019C" w:rsidR="00A0459E" w:rsidRPr="005F5BEA" w:rsidRDefault="00BB0017" w:rsidP="00855E59">
      <w:pPr>
        <w:pStyle w:val="Heading3"/>
      </w:pPr>
      <w:r w:rsidRPr="005F5BEA">
        <w:t>Model 2:</w:t>
      </w:r>
      <w:r w:rsidR="003F28A3" w:rsidRPr="005F5BEA">
        <w:t xml:space="preserve"> </w:t>
      </w:r>
      <w:r w:rsidR="00855E59" w:rsidRPr="005F5BEA">
        <w:t xml:space="preserve">Services provided through </w:t>
      </w:r>
      <w:r w:rsidR="003F28A3" w:rsidRPr="005F5BEA">
        <w:t xml:space="preserve">private cardiologists who employ cardiac </w:t>
      </w:r>
      <w:proofErr w:type="gramStart"/>
      <w:r w:rsidR="003F28A3" w:rsidRPr="005F5BEA">
        <w:t>technicians</w:t>
      </w:r>
      <w:proofErr w:type="gramEnd"/>
    </w:p>
    <w:p w14:paraId="0E4363CA" w14:textId="36D1FEEA" w:rsidR="00A224F2" w:rsidRPr="005F5BEA" w:rsidRDefault="00FE09E4" w:rsidP="003F28A3">
      <w:r w:rsidRPr="005F5BEA">
        <w:t xml:space="preserve">Some private clinics employ their own cardiac technicians </w:t>
      </w:r>
      <w:r w:rsidR="00085594" w:rsidRPr="005F5BEA">
        <w:t>to provide cardiac technical services</w:t>
      </w:r>
      <w:r w:rsidR="00213985" w:rsidRPr="005F5BEA">
        <w:t xml:space="preserve"> to their patients</w:t>
      </w:r>
      <w:r w:rsidR="00085594" w:rsidRPr="005F5BEA">
        <w:t>.</w:t>
      </w:r>
      <w:r w:rsidR="00213985" w:rsidRPr="005F5BEA">
        <w:t xml:space="preserve"> </w:t>
      </w:r>
      <w:r w:rsidR="00CC3EDE" w:rsidRPr="005F5BEA">
        <w:t>The cardiologist claim</w:t>
      </w:r>
      <w:r w:rsidR="00A001B7" w:rsidRPr="005F5BEA">
        <w:t>s an</w:t>
      </w:r>
      <w:r w:rsidR="00CC3EDE" w:rsidRPr="005F5BEA">
        <w:t xml:space="preserve"> MBS fee for the</w:t>
      </w:r>
      <w:r w:rsidR="00EA6D24" w:rsidRPr="005F5BEA">
        <w:t xml:space="preserve"> patient consultation</w:t>
      </w:r>
      <w:r w:rsidR="00496D5E" w:rsidRPr="005F5BEA">
        <w:t xml:space="preserve"> which includes CIED interrogation</w:t>
      </w:r>
      <w:r w:rsidR="00CC3EDE" w:rsidRPr="005F5BEA">
        <w:t xml:space="preserve">, and often the patient attending the private clinic will have an out-of-pocket gap payment. </w:t>
      </w:r>
      <w:r w:rsidR="00F14439" w:rsidRPr="005F5BEA">
        <w:t xml:space="preserve">MBS items for services used with different CIEDs are shown below in </w:t>
      </w:r>
      <w:r w:rsidR="0064454E" w:rsidRPr="005F5BEA">
        <w:fldChar w:fldCharType="begin"/>
      </w:r>
      <w:r w:rsidR="0064454E" w:rsidRPr="005F5BEA">
        <w:instrText xml:space="preserve"> REF _Ref120457665 \h  \* MERGEFORMAT </w:instrText>
      </w:r>
      <w:r w:rsidR="0064454E" w:rsidRPr="005F5BEA">
        <w:fldChar w:fldCharType="separate"/>
      </w:r>
      <w:r w:rsidR="00334548" w:rsidRPr="00334548">
        <w:t>Table 5</w:t>
      </w:r>
      <w:r w:rsidR="0064454E" w:rsidRPr="005F5BEA">
        <w:fldChar w:fldCharType="end"/>
      </w:r>
      <w:r w:rsidR="0084694D" w:rsidRPr="005F5BEA">
        <w:t>.</w:t>
      </w:r>
    </w:p>
    <w:p w14:paraId="635A0BF6" w14:textId="1F7C7DAC" w:rsidR="0026161A" w:rsidRPr="005F5BEA" w:rsidRDefault="00EC4EE2" w:rsidP="003F28A3">
      <w:r w:rsidRPr="005F5BEA">
        <w:t xml:space="preserve">Most technical support services in this model of care will be provided by the </w:t>
      </w:r>
      <w:r w:rsidR="00DC78F7" w:rsidRPr="005F5BEA">
        <w:t>non-industry</w:t>
      </w:r>
      <w:r w:rsidR="00496D5E" w:rsidRPr="005F5BEA">
        <w:t>-</w:t>
      </w:r>
      <w:r w:rsidRPr="005F5BEA">
        <w:t xml:space="preserve">employed </w:t>
      </w:r>
      <w:r w:rsidR="00496D5E" w:rsidRPr="005F5BEA">
        <w:t xml:space="preserve">cardiac </w:t>
      </w:r>
      <w:r w:rsidRPr="005F5BEA">
        <w:t>technician in collaboration with the cardiologist. However,</w:t>
      </w:r>
      <w:r w:rsidR="00970142" w:rsidRPr="005F5BEA">
        <w:t xml:space="preserve"> </w:t>
      </w:r>
      <w:r w:rsidRPr="005F5BEA">
        <w:t xml:space="preserve">varying levels of </w:t>
      </w:r>
      <w:r w:rsidR="00970142" w:rsidRPr="005F5BEA">
        <w:t xml:space="preserve">support </w:t>
      </w:r>
      <w:r w:rsidRPr="005F5BEA">
        <w:t xml:space="preserve">are also </w:t>
      </w:r>
      <w:r w:rsidR="00970142" w:rsidRPr="005F5BEA">
        <w:t xml:space="preserve">provided by </w:t>
      </w:r>
      <w:r w:rsidR="00B62C82" w:rsidRPr="005F5BEA">
        <w:t>IECT</w:t>
      </w:r>
      <w:r w:rsidR="00970142" w:rsidRPr="005F5BEA">
        <w:t xml:space="preserve">s in this model of care. </w:t>
      </w:r>
      <w:r w:rsidR="00B62C82" w:rsidRPr="005F5BEA">
        <w:t>IECT</w:t>
      </w:r>
      <w:r w:rsidR="00970142" w:rsidRPr="005F5BEA">
        <w:t xml:space="preserve"> support in these private clinics can range from responding to a request for advice over the telephone or email to providing in-person support at the clinic during a </w:t>
      </w:r>
      <w:r w:rsidR="00DC78F7" w:rsidRPr="005F5BEA">
        <w:t xml:space="preserve">scheduled </w:t>
      </w:r>
      <w:r w:rsidR="00970142" w:rsidRPr="005F5BEA">
        <w:t>in-person check (</w:t>
      </w:r>
      <w:proofErr w:type="gramStart"/>
      <w:r w:rsidR="00970142" w:rsidRPr="005F5BEA">
        <w:t>e.g.</w:t>
      </w:r>
      <w:proofErr w:type="gramEnd"/>
      <w:r w:rsidR="00970142" w:rsidRPr="005F5BEA">
        <w:t xml:space="preserve"> in-person device interrogation and reprogramming). </w:t>
      </w:r>
      <w:r w:rsidR="0026161A" w:rsidRPr="005F5BEA">
        <w:t xml:space="preserve">One of the private clinics which uses this model of care stated that less than 10% of in-person </w:t>
      </w:r>
      <w:r w:rsidR="00F80BB2" w:rsidRPr="005F5BEA">
        <w:t>checks</w:t>
      </w:r>
      <w:r w:rsidR="0026161A" w:rsidRPr="005F5BEA">
        <w:t xml:space="preserve"> would </w:t>
      </w:r>
      <w:r w:rsidR="00F80BB2" w:rsidRPr="005F5BEA">
        <w:t>involve</w:t>
      </w:r>
      <w:r w:rsidR="0026161A" w:rsidRPr="005F5BEA">
        <w:t xml:space="preserve"> an </w:t>
      </w:r>
      <w:r w:rsidR="00B62C82" w:rsidRPr="005F5BEA">
        <w:t>IECT</w:t>
      </w:r>
      <w:r w:rsidR="00F80BB2" w:rsidRPr="005F5BEA">
        <w:t xml:space="preserve"> mainly via advice provided by email or telephone.</w:t>
      </w:r>
    </w:p>
    <w:p w14:paraId="4D0B7140" w14:textId="05EDEB95" w:rsidR="00F14439" w:rsidRPr="005F5BEA" w:rsidRDefault="00B62C82" w:rsidP="003F28A3">
      <w:r w:rsidRPr="005F5BEA">
        <w:t>IECT</w:t>
      </w:r>
      <w:r w:rsidR="00970142" w:rsidRPr="005F5BEA">
        <w:t xml:space="preserve">s also provide </w:t>
      </w:r>
      <w:r w:rsidR="00496D5E" w:rsidRPr="005F5BEA">
        <w:t xml:space="preserve">formal and ad-hoc </w:t>
      </w:r>
      <w:r w:rsidR="00970142" w:rsidRPr="005F5BEA">
        <w:t xml:space="preserve">education </w:t>
      </w:r>
      <w:r w:rsidR="00496D5E" w:rsidRPr="005F5BEA">
        <w:t xml:space="preserve">to cardiac staff (cardiologist, cardiac </w:t>
      </w:r>
      <w:proofErr w:type="gramStart"/>
      <w:r w:rsidR="00496D5E" w:rsidRPr="005F5BEA">
        <w:t>technicians</w:t>
      </w:r>
      <w:proofErr w:type="gramEnd"/>
      <w:r w:rsidR="00496D5E" w:rsidRPr="005F5BEA">
        <w:t xml:space="preserve"> and nurses) employed by private clinics about the</w:t>
      </w:r>
      <w:r w:rsidR="00156F74" w:rsidRPr="005F5BEA">
        <w:t xml:space="preserve"> device</w:t>
      </w:r>
      <w:r w:rsidR="00496D5E" w:rsidRPr="005F5BEA">
        <w:t>s supplied by their company</w:t>
      </w:r>
      <w:r w:rsidR="00970142" w:rsidRPr="005F5BEA">
        <w:t xml:space="preserve">. </w:t>
      </w:r>
    </w:p>
    <w:p w14:paraId="15EF36EE" w14:textId="0E3FE31C" w:rsidR="003F28A3" w:rsidRPr="005F5BEA" w:rsidRDefault="00F14439" w:rsidP="003F28A3">
      <w:r w:rsidRPr="005F5BEA">
        <w:t xml:space="preserve">It is unclear how many </w:t>
      </w:r>
      <w:r w:rsidR="00156F74" w:rsidRPr="005F5BEA">
        <w:t xml:space="preserve">non-industry </w:t>
      </w:r>
      <w:r w:rsidRPr="005F5BEA">
        <w:t>cardiac technicians are employed by private clinics</w:t>
      </w:r>
      <w:r w:rsidR="00970142" w:rsidRPr="005F5BEA">
        <w:t>, or how many cardiac support services are provided by cardiologists and nurses</w:t>
      </w:r>
      <w:r w:rsidR="00822169" w:rsidRPr="005F5BEA">
        <w:t xml:space="preserve"> instead</w:t>
      </w:r>
      <w:r w:rsidRPr="005F5BEA">
        <w:t>.</w:t>
      </w:r>
      <w:r w:rsidR="00CC3EDE" w:rsidRPr="005F5BEA">
        <w:t xml:space="preserve"> </w:t>
      </w:r>
      <w:r w:rsidR="006D64A7" w:rsidRPr="005F5BEA">
        <w:t xml:space="preserve">Therefore, it is extremely difficult to estimate the total cost of cardiac technical support services </w:t>
      </w:r>
      <w:r w:rsidR="00496D5E" w:rsidRPr="005F5BEA">
        <w:t>provided via this</w:t>
      </w:r>
      <w:r w:rsidR="006D64A7" w:rsidRPr="005F5BEA">
        <w:t xml:space="preserve"> model of care. </w:t>
      </w:r>
    </w:p>
    <w:p w14:paraId="0740B95F" w14:textId="1F98B3AB" w:rsidR="00961838" w:rsidRPr="005F5BEA" w:rsidRDefault="00156F74" w:rsidP="003F28A3">
      <w:r w:rsidRPr="005F5BEA">
        <w:t xml:space="preserve">Remote monitoring is encouraged in the CSANZ guidelines and considered the new standard of care. </w:t>
      </w:r>
      <w:r w:rsidR="0095723C" w:rsidRPr="005F5BEA">
        <w:t xml:space="preserve">A </w:t>
      </w:r>
      <w:r w:rsidR="00592096" w:rsidRPr="005F5BEA">
        <w:t>private clinic which uses this model of care</w:t>
      </w:r>
      <w:r w:rsidR="00076525" w:rsidRPr="005F5BEA">
        <w:t xml:space="preserve"> </w:t>
      </w:r>
      <w:r w:rsidR="00C257F4" w:rsidRPr="005F5BEA">
        <w:t xml:space="preserve">runs a fully independent remote monitoring </w:t>
      </w:r>
      <w:r w:rsidR="00C257F4" w:rsidRPr="005F5BEA">
        <w:lastRenderedPageBreak/>
        <w:t>service</w:t>
      </w:r>
      <w:r w:rsidR="00201794" w:rsidRPr="005F5BEA">
        <w:t xml:space="preserve"> staffed by their own cardiac technicians</w:t>
      </w:r>
      <w:r w:rsidR="00C257F4" w:rsidRPr="005F5BEA">
        <w:t xml:space="preserve">. It was estimated that 80-90% of ICD patients and 60-70% of the pacemaker patients attending this private </w:t>
      </w:r>
      <w:r w:rsidR="00D753E4" w:rsidRPr="005F5BEA">
        <w:t xml:space="preserve">CIED </w:t>
      </w:r>
      <w:r w:rsidR="00C257F4" w:rsidRPr="005F5BEA">
        <w:t>clinic are currently enrolled in remote monitoring, and this proportion is increasing</w:t>
      </w:r>
      <w:r w:rsidR="00D753E4" w:rsidRPr="005F5BEA">
        <w:t xml:space="preserve"> each year</w:t>
      </w:r>
      <w:r w:rsidR="00C257F4" w:rsidRPr="005F5BEA">
        <w:t xml:space="preserve">. </w:t>
      </w:r>
      <w:r w:rsidR="00D753E4" w:rsidRPr="005F5BEA">
        <w:t xml:space="preserve">Patients are </w:t>
      </w:r>
      <w:r w:rsidR="00076525" w:rsidRPr="005F5BEA">
        <w:t>charge</w:t>
      </w:r>
      <w:r w:rsidR="00D753E4" w:rsidRPr="005F5BEA">
        <w:t>d</w:t>
      </w:r>
      <w:r w:rsidR="00592096" w:rsidRPr="005F5BEA">
        <w:t xml:space="preserve"> </w:t>
      </w:r>
      <w:r w:rsidR="00076525" w:rsidRPr="005F5BEA">
        <w:t>$200 for a</w:t>
      </w:r>
      <w:r w:rsidR="00C257F4" w:rsidRPr="005F5BEA">
        <w:t xml:space="preserve"> PPM</w:t>
      </w:r>
      <w:r w:rsidR="00076525" w:rsidRPr="005F5BEA">
        <w:t xml:space="preserve"> and $300 for an ICD (MBS rebate + out-of-pocket expense for a patient) per year for </w:t>
      </w:r>
      <w:r w:rsidR="00C257F4" w:rsidRPr="005F5BEA">
        <w:t xml:space="preserve">enrolment in the </w:t>
      </w:r>
      <w:r w:rsidR="00076525" w:rsidRPr="005F5BEA">
        <w:t>remote monitoring</w:t>
      </w:r>
      <w:r w:rsidR="00C257F4" w:rsidRPr="005F5BEA">
        <w:t xml:space="preserve"> service</w:t>
      </w:r>
      <w:r w:rsidR="00076525" w:rsidRPr="005F5BEA">
        <w:t xml:space="preserve">. </w:t>
      </w:r>
      <w:r w:rsidR="00592096" w:rsidRPr="005F5BEA">
        <w:t xml:space="preserve">These fees are used to pay the </w:t>
      </w:r>
      <w:r w:rsidR="006F1CA7" w:rsidRPr="005F5BEA">
        <w:t xml:space="preserve">cardiac </w:t>
      </w:r>
      <w:r w:rsidR="00592096" w:rsidRPr="005F5BEA">
        <w:t>technician</w:t>
      </w:r>
      <w:r w:rsidR="00BA2A8E" w:rsidRPr="005F5BEA">
        <w:t>’</w:t>
      </w:r>
      <w:r w:rsidR="00592096" w:rsidRPr="005F5BEA">
        <w:t xml:space="preserve">s salary. </w:t>
      </w:r>
      <w:r w:rsidR="00F75054" w:rsidRPr="005F5BEA">
        <w:t xml:space="preserve">It was estimated that one full time cardiac technician (1FTE) </w:t>
      </w:r>
      <w:r w:rsidR="00D220F7" w:rsidRPr="005F5BEA">
        <w:t>can</w:t>
      </w:r>
      <w:r w:rsidR="00F75054" w:rsidRPr="005F5BEA">
        <w:t xml:space="preserve"> provide services for </w:t>
      </w:r>
      <w:r w:rsidR="00397DC5" w:rsidRPr="005F5BEA">
        <w:t>400-</w:t>
      </w:r>
      <w:r w:rsidR="00F75054" w:rsidRPr="005F5BEA">
        <w:t>500 patients</w:t>
      </w:r>
      <w:r w:rsidR="000D381C" w:rsidRPr="005F5BEA">
        <w:t xml:space="preserve">. </w:t>
      </w:r>
      <w:r w:rsidR="00961838" w:rsidRPr="005F5BEA">
        <w:t xml:space="preserve">Similarly, another cardiology clinic </w:t>
      </w:r>
      <w:r w:rsidR="0053522D" w:rsidRPr="005F5BEA">
        <w:t xml:space="preserve">charges similar annual </w:t>
      </w:r>
      <w:r w:rsidR="00961838" w:rsidRPr="005F5BEA">
        <w:t xml:space="preserve">fees </w:t>
      </w:r>
      <w:r w:rsidR="0053522D" w:rsidRPr="005F5BEA">
        <w:t>(</w:t>
      </w:r>
      <w:r w:rsidR="00961838" w:rsidRPr="005F5BEA">
        <w:t>$300 for a PPM and $400 for an ICD</w:t>
      </w:r>
      <w:r w:rsidR="0053522D" w:rsidRPr="005F5BEA">
        <w:t xml:space="preserve">; </w:t>
      </w:r>
      <w:r w:rsidR="00961838" w:rsidRPr="005F5BEA">
        <w:t>fees are in addition to the MBS benefit rebate provided to specialists for this service)</w:t>
      </w:r>
      <w:r w:rsidR="0053522D" w:rsidRPr="005F5BEA">
        <w:t xml:space="preserve"> for its remote monitoring service</w:t>
      </w:r>
      <w:r w:rsidR="00961838" w:rsidRPr="005F5BEA">
        <w:t>. The</w:t>
      </w:r>
      <w:r w:rsidR="0053522D" w:rsidRPr="005F5BEA">
        <w:t xml:space="preserve">se </w:t>
      </w:r>
      <w:r w:rsidR="00961838" w:rsidRPr="005F5BEA">
        <w:t xml:space="preserve">fees are reduced by $100 </w:t>
      </w:r>
      <w:r w:rsidR="0053522D" w:rsidRPr="005F5BEA">
        <w:t>for pensioners</w:t>
      </w:r>
      <w:r w:rsidR="00961838" w:rsidRPr="005F5BEA">
        <w:t xml:space="preserve"> and are free for Veterans with a Gold Card.</w:t>
      </w:r>
    </w:p>
    <w:p w14:paraId="355BE818" w14:textId="0D050D1A" w:rsidR="00592096" w:rsidRPr="005F5BEA" w:rsidRDefault="00961838" w:rsidP="003F28A3">
      <w:r w:rsidRPr="005F5BEA">
        <w:t>In both c</w:t>
      </w:r>
      <w:r w:rsidR="0053522D" w:rsidRPr="005F5BEA">
        <w:t>linics</w:t>
      </w:r>
      <w:r w:rsidRPr="005F5BEA">
        <w:t>, t</w:t>
      </w:r>
      <w:r w:rsidR="00D753E4" w:rsidRPr="005F5BEA">
        <w:t>he fee</w:t>
      </w:r>
      <w:r w:rsidRPr="005F5BEA">
        <w:t>s</w:t>
      </w:r>
      <w:r w:rsidR="00D753E4" w:rsidRPr="005F5BEA">
        <w:t xml:space="preserve"> cover the provision of </w:t>
      </w:r>
      <w:r w:rsidR="00201794" w:rsidRPr="005F5BEA">
        <w:t>remote monitoring</w:t>
      </w:r>
      <w:r w:rsidR="00D753E4" w:rsidRPr="005F5BEA">
        <w:t xml:space="preserve">, checking </w:t>
      </w:r>
      <w:r w:rsidR="00201794" w:rsidRPr="005F5BEA">
        <w:t xml:space="preserve">of transmission </w:t>
      </w:r>
      <w:r w:rsidR="00D753E4" w:rsidRPr="005F5BEA">
        <w:t xml:space="preserve">alerts, sorting out monitor </w:t>
      </w:r>
      <w:r w:rsidR="00201794" w:rsidRPr="005F5BEA">
        <w:t xml:space="preserve">connection </w:t>
      </w:r>
      <w:r w:rsidR="00D753E4" w:rsidRPr="005F5BEA">
        <w:t>problems and phone calls</w:t>
      </w:r>
      <w:r w:rsidR="00201794" w:rsidRPr="005F5BEA">
        <w:t xml:space="preserve"> or </w:t>
      </w:r>
      <w:r w:rsidR="00D753E4" w:rsidRPr="005F5BEA">
        <w:t>letter</w:t>
      </w:r>
      <w:r w:rsidR="00201794" w:rsidRPr="005F5BEA">
        <w:t>s</w:t>
      </w:r>
      <w:r w:rsidR="00D753E4" w:rsidRPr="005F5BEA">
        <w:t xml:space="preserve"> to patients</w:t>
      </w:r>
      <w:r w:rsidR="00201794" w:rsidRPr="005F5BEA">
        <w:t xml:space="preserve"> or the</w:t>
      </w:r>
      <w:r w:rsidR="0053522D" w:rsidRPr="005F5BEA">
        <w:t>ir</w:t>
      </w:r>
      <w:r w:rsidR="00201794" w:rsidRPr="005F5BEA">
        <w:t xml:space="preserve"> physician</w:t>
      </w:r>
      <w:r w:rsidR="00D753E4" w:rsidRPr="005F5BEA">
        <w:t xml:space="preserve"> by </w:t>
      </w:r>
      <w:r w:rsidR="00201794" w:rsidRPr="005F5BEA">
        <w:t xml:space="preserve">the cardiac </w:t>
      </w:r>
      <w:r w:rsidR="00D753E4" w:rsidRPr="005F5BEA">
        <w:t>technician</w:t>
      </w:r>
      <w:r w:rsidR="00201794" w:rsidRPr="005F5BEA">
        <w:t>s</w:t>
      </w:r>
      <w:r w:rsidR="00D753E4" w:rsidRPr="005F5BEA">
        <w:t xml:space="preserve"> and </w:t>
      </w:r>
      <w:r w:rsidR="00201794" w:rsidRPr="005F5BEA">
        <w:t>cardiologists</w:t>
      </w:r>
      <w:r w:rsidR="00D753E4" w:rsidRPr="005F5BEA">
        <w:t xml:space="preserve"> in response to </w:t>
      </w:r>
      <w:r w:rsidR="00201794" w:rsidRPr="005F5BEA">
        <w:t xml:space="preserve">these </w:t>
      </w:r>
      <w:r w:rsidR="00D753E4" w:rsidRPr="005F5BEA">
        <w:t>alerts. If a patient require</w:t>
      </w:r>
      <w:r w:rsidR="00201794" w:rsidRPr="005F5BEA">
        <w:t>s an</w:t>
      </w:r>
      <w:r w:rsidR="00D753E4" w:rsidRPr="005F5BEA">
        <w:t xml:space="preserve"> in</w:t>
      </w:r>
      <w:r w:rsidR="00201794" w:rsidRPr="005F5BEA">
        <w:t>-</w:t>
      </w:r>
      <w:r w:rsidR="00D753E4" w:rsidRPr="005F5BEA">
        <w:t xml:space="preserve">person </w:t>
      </w:r>
      <w:r w:rsidR="00201794" w:rsidRPr="005F5BEA">
        <w:t xml:space="preserve">follow-up check </w:t>
      </w:r>
      <w:r w:rsidR="00D753E4" w:rsidRPr="005F5BEA">
        <w:t>in response to an alert</w:t>
      </w:r>
      <w:r w:rsidR="00201794" w:rsidRPr="005F5BEA">
        <w:t>,</w:t>
      </w:r>
      <w:r w:rsidR="00D753E4" w:rsidRPr="005F5BEA">
        <w:t xml:space="preserve"> there </w:t>
      </w:r>
      <w:r w:rsidR="00201794" w:rsidRPr="005F5BEA">
        <w:t>are</w:t>
      </w:r>
      <w:r w:rsidR="00D753E4" w:rsidRPr="005F5BEA">
        <w:t xml:space="preserve"> </w:t>
      </w:r>
      <w:r w:rsidR="0012607B" w:rsidRPr="005F5BEA">
        <w:t xml:space="preserve">MBS item numbers for </w:t>
      </w:r>
      <w:r w:rsidR="00B40B18" w:rsidRPr="005F5BEA">
        <w:t xml:space="preserve">a </w:t>
      </w:r>
      <w:r w:rsidR="0012607B" w:rsidRPr="005F5BEA">
        <w:t xml:space="preserve">rebate of the fee charged according to the CIED </w:t>
      </w:r>
      <w:r w:rsidRPr="005F5BEA">
        <w:t>type</w:t>
      </w:r>
      <w:r w:rsidR="00201794" w:rsidRPr="005F5BEA">
        <w:t xml:space="preserve">, although the patient </w:t>
      </w:r>
      <w:r w:rsidRPr="005F5BEA">
        <w:t xml:space="preserve">may also be </w:t>
      </w:r>
      <w:r w:rsidR="00201794" w:rsidRPr="005F5BEA">
        <w:t>charged a gap fee</w:t>
      </w:r>
      <w:r w:rsidRPr="005F5BEA">
        <w:t xml:space="preserve"> for th</w:t>
      </w:r>
      <w:r w:rsidR="0053522D" w:rsidRPr="005F5BEA">
        <w:t>eir</w:t>
      </w:r>
      <w:r w:rsidRPr="005F5BEA">
        <w:t xml:space="preserve"> </w:t>
      </w:r>
      <w:r w:rsidR="0095747A" w:rsidRPr="005F5BEA">
        <w:t xml:space="preserve">in-person </w:t>
      </w:r>
      <w:r w:rsidRPr="005F5BEA">
        <w:t>consultation (</w:t>
      </w:r>
      <w:r w:rsidRPr="005F5BEA">
        <w:fldChar w:fldCharType="begin"/>
      </w:r>
      <w:r w:rsidRPr="005F5BEA">
        <w:instrText xml:space="preserve"> REF _Ref120457665 \h  \* MERGEFORMAT </w:instrText>
      </w:r>
      <w:r w:rsidRPr="005F5BEA">
        <w:fldChar w:fldCharType="separate"/>
      </w:r>
      <w:r w:rsidR="00334548" w:rsidRPr="00334548">
        <w:t>Table 5</w:t>
      </w:r>
      <w:r w:rsidRPr="005F5BEA">
        <w:fldChar w:fldCharType="end"/>
      </w:r>
      <w:r w:rsidRPr="005F5BEA">
        <w:t>).</w:t>
      </w:r>
    </w:p>
    <w:p w14:paraId="1490947A" w14:textId="7AD5A7DB" w:rsidR="002A64A5" w:rsidRPr="005F5BEA" w:rsidRDefault="002A64A5" w:rsidP="002A64A5">
      <w:pPr>
        <w:pStyle w:val="Caption"/>
        <w:keepNext/>
        <w:rPr>
          <w:rFonts w:ascii="Arial Narrow" w:eastAsia="Times New Roman" w:hAnsi="Arial Narrow" w:cs="Times New Roman"/>
          <w:b/>
          <w:bCs/>
          <w:i w:val="0"/>
          <w:iCs w:val="0"/>
          <w:color w:val="auto"/>
          <w:sz w:val="20"/>
          <w:szCs w:val="20"/>
        </w:rPr>
      </w:pPr>
      <w:bookmarkStart w:id="22" w:name="_Ref120457665"/>
      <w:r w:rsidRPr="005F5BEA">
        <w:rPr>
          <w:rFonts w:ascii="Arial Narrow" w:eastAsia="Times New Roman" w:hAnsi="Arial Narrow" w:cs="Times New Roman"/>
          <w:b/>
          <w:bCs/>
          <w:i w:val="0"/>
          <w:iCs w:val="0"/>
          <w:color w:val="auto"/>
          <w:sz w:val="20"/>
          <w:szCs w:val="20"/>
        </w:rPr>
        <w:t xml:space="preserve">Table </w:t>
      </w:r>
      <w:r w:rsidR="001C01D4" w:rsidRPr="005F5BEA">
        <w:rPr>
          <w:rFonts w:ascii="Arial Narrow" w:eastAsia="Times New Roman" w:hAnsi="Arial Narrow" w:cs="Times New Roman"/>
          <w:b/>
          <w:bCs/>
          <w:i w:val="0"/>
          <w:iCs w:val="0"/>
          <w:color w:val="auto"/>
          <w:sz w:val="20"/>
          <w:szCs w:val="20"/>
        </w:rPr>
        <w:fldChar w:fldCharType="begin"/>
      </w:r>
      <w:r w:rsidR="001C01D4" w:rsidRPr="005F5BEA">
        <w:rPr>
          <w:rFonts w:ascii="Arial Narrow" w:eastAsia="Times New Roman" w:hAnsi="Arial Narrow" w:cs="Times New Roman"/>
          <w:b/>
          <w:bCs/>
          <w:i w:val="0"/>
          <w:iCs w:val="0"/>
          <w:color w:val="auto"/>
          <w:sz w:val="20"/>
          <w:szCs w:val="20"/>
        </w:rPr>
        <w:instrText xml:space="preserve"> SEQ Table \* ARABIC </w:instrText>
      </w:r>
      <w:r w:rsidR="001C01D4" w:rsidRPr="005F5BEA">
        <w:rPr>
          <w:rFonts w:ascii="Arial Narrow" w:eastAsia="Times New Roman" w:hAnsi="Arial Narrow" w:cs="Times New Roman"/>
          <w:b/>
          <w:bCs/>
          <w:i w:val="0"/>
          <w:iCs w:val="0"/>
          <w:color w:val="auto"/>
          <w:sz w:val="20"/>
          <w:szCs w:val="20"/>
        </w:rPr>
        <w:fldChar w:fldCharType="separate"/>
      </w:r>
      <w:r w:rsidR="00334548">
        <w:rPr>
          <w:rFonts w:ascii="Arial Narrow" w:eastAsia="Times New Roman" w:hAnsi="Arial Narrow" w:cs="Times New Roman"/>
          <w:b/>
          <w:bCs/>
          <w:i w:val="0"/>
          <w:iCs w:val="0"/>
          <w:noProof/>
          <w:color w:val="auto"/>
          <w:sz w:val="20"/>
          <w:szCs w:val="20"/>
        </w:rPr>
        <w:t>5</w:t>
      </w:r>
      <w:r w:rsidR="001C01D4" w:rsidRPr="005F5BEA">
        <w:rPr>
          <w:rFonts w:ascii="Arial Narrow" w:eastAsia="Times New Roman" w:hAnsi="Arial Narrow" w:cs="Times New Roman"/>
          <w:b/>
          <w:bCs/>
          <w:i w:val="0"/>
          <w:iCs w:val="0"/>
          <w:color w:val="auto"/>
          <w:sz w:val="20"/>
          <w:szCs w:val="20"/>
        </w:rPr>
        <w:fldChar w:fldCharType="end"/>
      </w:r>
      <w:bookmarkEnd w:id="22"/>
      <w:r w:rsidRPr="005F5BEA">
        <w:rPr>
          <w:rFonts w:ascii="Arial Narrow" w:eastAsia="Times New Roman" w:hAnsi="Arial Narrow" w:cs="Times New Roman"/>
          <w:b/>
          <w:bCs/>
          <w:i w:val="0"/>
          <w:iCs w:val="0"/>
          <w:color w:val="auto"/>
          <w:sz w:val="20"/>
          <w:szCs w:val="20"/>
        </w:rPr>
        <w:t xml:space="preserve"> MBS items</w:t>
      </w:r>
      <w:r w:rsidR="00076CAF" w:rsidRPr="005F5BEA">
        <w:rPr>
          <w:rFonts w:ascii="Arial Narrow" w:eastAsia="Times New Roman" w:hAnsi="Arial Narrow" w:cs="Times New Roman"/>
          <w:b/>
          <w:bCs/>
          <w:i w:val="0"/>
          <w:iCs w:val="0"/>
          <w:color w:val="auto"/>
          <w:sz w:val="20"/>
          <w:szCs w:val="20"/>
        </w:rPr>
        <w:t xml:space="preserve"> relevant to cardiac technical support services</w:t>
      </w:r>
      <w:r w:rsidR="00961838" w:rsidRPr="005F5BEA">
        <w:rPr>
          <w:rFonts w:ascii="Arial Narrow" w:eastAsia="Times New Roman" w:hAnsi="Arial Narrow" w:cs="Times New Roman"/>
          <w:b/>
          <w:bCs/>
          <w:i w:val="0"/>
          <w:iCs w:val="0"/>
          <w:color w:val="auto"/>
          <w:sz w:val="20"/>
          <w:szCs w:val="20"/>
        </w:rPr>
        <w:t xml:space="preserve"> provided by cardiologists/</w:t>
      </w:r>
      <w:proofErr w:type="gramStart"/>
      <w:r w:rsidR="00961838" w:rsidRPr="005F5BEA">
        <w:rPr>
          <w:rFonts w:ascii="Arial Narrow" w:eastAsia="Times New Roman" w:hAnsi="Arial Narrow" w:cs="Times New Roman"/>
          <w:b/>
          <w:bCs/>
          <w:i w:val="0"/>
          <w:iCs w:val="0"/>
          <w:color w:val="auto"/>
          <w:sz w:val="20"/>
          <w:szCs w:val="20"/>
        </w:rPr>
        <w:t>specialists</w:t>
      </w:r>
      <w:proofErr w:type="gramEnd"/>
    </w:p>
    <w:tbl>
      <w:tblPr>
        <w:tblStyle w:val="MSAC"/>
        <w:tblW w:w="5000" w:type="pct"/>
        <w:tblLook w:val="01E0" w:firstRow="1" w:lastRow="1" w:firstColumn="1" w:lastColumn="1" w:noHBand="0" w:noVBand="0"/>
        <w:tblCaption w:val="Current MBS items for CIED servicing/monitoring"/>
      </w:tblPr>
      <w:tblGrid>
        <w:gridCol w:w="930"/>
        <w:gridCol w:w="673"/>
        <w:gridCol w:w="810"/>
        <w:gridCol w:w="5379"/>
        <w:gridCol w:w="1224"/>
      </w:tblGrid>
      <w:tr w:rsidR="002A64A5" w:rsidRPr="005F5BEA" w14:paraId="447E1B42" w14:textId="77777777" w:rsidTr="008460DC">
        <w:trPr>
          <w:cnfStyle w:val="100000000000" w:firstRow="1" w:lastRow="0" w:firstColumn="0" w:lastColumn="0" w:oddVBand="0" w:evenVBand="0" w:oddHBand="0" w:evenHBand="0" w:firstRowFirstColumn="0" w:firstRowLastColumn="0" w:lastRowFirstColumn="0" w:lastRowLastColumn="0"/>
          <w:trHeight w:val="504"/>
        </w:trPr>
        <w:tc>
          <w:tcPr>
            <w:tcW w:w="516" w:type="pct"/>
            <w:vAlign w:val="top"/>
          </w:tcPr>
          <w:p w14:paraId="6E6A74F3" w14:textId="77777777" w:rsidR="002A64A5" w:rsidRPr="005F5BEA" w:rsidRDefault="002A64A5" w:rsidP="008460DC">
            <w:pPr>
              <w:pStyle w:val="Tableheader"/>
              <w:rPr>
                <w:b/>
                <w:color w:val="auto"/>
              </w:rPr>
            </w:pPr>
            <w:r w:rsidRPr="005F5BEA">
              <w:rPr>
                <w:b/>
                <w:color w:val="auto"/>
              </w:rPr>
              <w:t>Device category</w:t>
            </w:r>
          </w:p>
        </w:tc>
        <w:tc>
          <w:tcPr>
            <w:tcW w:w="373" w:type="pct"/>
            <w:vAlign w:val="top"/>
          </w:tcPr>
          <w:p w14:paraId="0515809F" w14:textId="77777777" w:rsidR="002A64A5" w:rsidRPr="005F5BEA" w:rsidRDefault="002A64A5" w:rsidP="008460DC">
            <w:pPr>
              <w:pStyle w:val="Tableheader"/>
              <w:rPr>
                <w:b/>
                <w:color w:val="auto"/>
              </w:rPr>
            </w:pPr>
            <w:r w:rsidRPr="005F5BEA">
              <w:rPr>
                <w:b/>
                <w:color w:val="auto"/>
              </w:rPr>
              <w:t>Item</w:t>
            </w:r>
          </w:p>
        </w:tc>
        <w:tc>
          <w:tcPr>
            <w:tcW w:w="449" w:type="pct"/>
            <w:vAlign w:val="top"/>
          </w:tcPr>
          <w:p w14:paraId="24F40E6F" w14:textId="77777777" w:rsidR="002A64A5" w:rsidRPr="005F5BEA" w:rsidRDefault="002A64A5" w:rsidP="008460DC">
            <w:pPr>
              <w:pStyle w:val="Tableheader"/>
              <w:rPr>
                <w:b/>
                <w:color w:val="auto"/>
              </w:rPr>
            </w:pPr>
            <w:r w:rsidRPr="005F5BEA">
              <w:rPr>
                <w:b/>
                <w:color w:val="auto"/>
              </w:rPr>
              <w:t>Fee</w:t>
            </w:r>
          </w:p>
        </w:tc>
        <w:tc>
          <w:tcPr>
            <w:tcW w:w="2983" w:type="pct"/>
            <w:vAlign w:val="top"/>
          </w:tcPr>
          <w:p w14:paraId="41DA746B" w14:textId="77777777" w:rsidR="002A64A5" w:rsidRPr="005F5BEA" w:rsidRDefault="002A64A5" w:rsidP="008460DC">
            <w:pPr>
              <w:pStyle w:val="Tableheader"/>
              <w:rPr>
                <w:b/>
                <w:color w:val="auto"/>
              </w:rPr>
            </w:pPr>
            <w:r w:rsidRPr="005F5BEA">
              <w:rPr>
                <w:b/>
                <w:color w:val="auto"/>
              </w:rPr>
              <w:t>Description</w:t>
            </w:r>
          </w:p>
        </w:tc>
        <w:tc>
          <w:tcPr>
            <w:tcW w:w="679" w:type="pct"/>
            <w:vAlign w:val="top"/>
          </w:tcPr>
          <w:p w14:paraId="74B0FA45" w14:textId="77777777" w:rsidR="002A64A5" w:rsidRPr="005F5BEA" w:rsidRDefault="002A64A5" w:rsidP="008460DC">
            <w:pPr>
              <w:pStyle w:val="Tableheader"/>
              <w:rPr>
                <w:b/>
                <w:color w:val="auto"/>
              </w:rPr>
            </w:pPr>
            <w:r w:rsidRPr="005F5BEA">
              <w:rPr>
                <w:b/>
                <w:color w:val="auto"/>
              </w:rPr>
              <w:t>Date listed</w:t>
            </w:r>
          </w:p>
        </w:tc>
      </w:tr>
      <w:tr w:rsidR="002A64A5" w:rsidRPr="005F5BEA" w14:paraId="625DC319" w14:textId="77777777" w:rsidTr="008460DC">
        <w:trPr>
          <w:trHeight w:val="110"/>
        </w:trPr>
        <w:tc>
          <w:tcPr>
            <w:tcW w:w="516" w:type="pct"/>
            <w:vMerge w:val="restart"/>
          </w:tcPr>
          <w:p w14:paraId="34E885EC" w14:textId="77777777" w:rsidR="002A64A5" w:rsidRPr="005F5BEA" w:rsidRDefault="002A64A5" w:rsidP="008460DC">
            <w:pPr>
              <w:pStyle w:val="TableText"/>
              <w:keepLines/>
            </w:pPr>
            <w:r w:rsidRPr="005F5BEA">
              <w:t>PPM</w:t>
            </w:r>
          </w:p>
        </w:tc>
        <w:tc>
          <w:tcPr>
            <w:tcW w:w="373" w:type="pct"/>
          </w:tcPr>
          <w:p w14:paraId="57668B7F" w14:textId="77777777" w:rsidR="002A64A5" w:rsidRPr="005F5BEA" w:rsidRDefault="002A64A5" w:rsidP="008460DC">
            <w:pPr>
              <w:pStyle w:val="TableText"/>
              <w:keepLines/>
            </w:pPr>
            <w:r w:rsidRPr="005F5BEA">
              <w:t>11719</w:t>
            </w:r>
          </w:p>
        </w:tc>
        <w:tc>
          <w:tcPr>
            <w:tcW w:w="449" w:type="pct"/>
          </w:tcPr>
          <w:p w14:paraId="14025C09" w14:textId="409287CC" w:rsidR="002A64A5" w:rsidRPr="005F5BEA" w:rsidRDefault="002A64A5" w:rsidP="008460DC">
            <w:pPr>
              <w:pStyle w:val="TableText"/>
              <w:keepLines/>
            </w:pPr>
            <w:r w:rsidRPr="005F5BEA">
              <w:t>$</w:t>
            </w:r>
            <w:r w:rsidR="00970142" w:rsidRPr="005F5BEA">
              <w:t>70.60</w:t>
            </w:r>
          </w:p>
        </w:tc>
        <w:tc>
          <w:tcPr>
            <w:tcW w:w="2983" w:type="pct"/>
          </w:tcPr>
          <w:p w14:paraId="39917107" w14:textId="77777777" w:rsidR="002A64A5" w:rsidRPr="005F5BEA" w:rsidRDefault="002A64A5" w:rsidP="008460DC">
            <w:pPr>
              <w:pStyle w:val="TableText"/>
              <w:keepLines/>
            </w:pPr>
            <w:r w:rsidRPr="005F5BEA">
              <w:t xml:space="preserve">Implanted pacemaker (including cardiac resynchronisation pacemaker) remote monitoring involving reviews (without patient attendance) or arrhythmias, </w:t>
            </w:r>
            <w:proofErr w:type="gramStart"/>
            <w:r w:rsidRPr="005F5BEA">
              <w:t>lead</w:t>
            </w:r>
            <w:proofErr w:type="gramEnd"/>
            <w:r w:rsidRPr="005F5BEA">
              <w:t xml:space="preserve"> and device parameters, if at least one remote review is provided in a 12-month period. Payable only once in any 12-month period.</w:t>
            </w:r>
          </w:p>
        </w:tc>
        <w:tc>
          <w:tcPr>
            <w:tcW w:w="679" w:type="pct"/>
          </w:tcPr>
          <w:p w14:paraId="1BA9F662" w14:textId="77777777" w:rsidR="002A64A5" w:rsidRPr="005F5BEA" w:rsidRDefault="002A64A5" w:rsidP="008460DC">
            <w:pPr>
              <w:pStyle w:val="TableText"/>
              <w:keepLines/>
            </w:pPr>
            <w:r w:rsidRPr="005F5BEA">
              <w:t>01 Sep 2015</w:t>
            </w:r>
          </w:p>
        </w:tc>
      </w:tr>
      <w:tr w:rsidR="002A64A5" w:rsidRPr="005F5BEA" w14:paraId="2E75271D" w14:textId="77777777" w:rsidTr="008460DC">
        <w:trPr>
          <w:trHeight w:val="504"/>
        </w:trPr>
        <w:tc>
          <w:tcPr>
            <w:tcW w:w="516" w:type="pct"/>
            <w:vMerge/>
          </w:tcPr>
          <w:p w14:paraId="42128A72" w14:textId="77777777" w:rsidR="002A64A5" w:rsidRPr="005F5BEA" w:rsidRDefault="002A64A5" w:rsidP="008460DC">
            <w:pPr>
              <w:pStyle w:val="TableText"/>
            </w:pPr>
          </w:p>
        </w:tc>
        <w:tc>
          <w:tcPr>
            <w:tcW w:w="373" w:type="pct"/>
          </w:tcPr>
          <w:p w14:paraId="5C5614A0" w14:textId="77777777" w:rsidR="002A64A5" w:rsidRPr="005F5BEA" w:rsidRDefault="002A64A5" w:rsidP="008460DC">
            <w:pPr>
              <w:pStyle w:val="TableText"/>
            </w:pPr>
            <w:r w:rsidRPr="005F5BEA">
              <w:t>11720</w:t>
            </w:r>
          </w:p>
        </w:tc>
        <w:tc>
          <w:tcPr>
            <w:tcW w:w="449" w:type="pct"/>
          </w:tcPr>
          <w:p w14:paraId="6D621677" w14:textId="6A03D3F6" w:rsidR="002A64A5" w:rsidRPr="005F5BEA" w:rsidRDefault="00970142" w:rsidP="008460DC">
            <w:pPr>
              <w:pStyle w:val="TableText"/>
            </w:pPr>
            <w:r w:rsidRPr="005F5BEA">
              <w:t>$70.60</w:t>
            </w:r>
          </w:p>
        </w:tc>
        <w:tc>
          <w:tcPr>
            <w:tcW w:w="2983" w:type="pct"/>
          </w:tcPr>
          <w:p w14:paraId="6704B2FD" w14:textId="0BD5C382" w:rsidR="002A64A5" w:rsidRPr="005F5BEA" w:rsidRDefault="002A64A5" w:rsidP="008460DC">
            <w:pPr>
              <w:pStyle w:val="TableText"/>
            </w:pPr>
            <w:r w:rsidRPr="005F5BEA">
              <w:t>Implanted pacemaker testing, with patient attendance, following detection of abnormality by remote monitoring involving electrocardiography, measurement of rate, width and amplitude of stimulus including reprogramming when required, not being a service associated with a service to which item 11721 applies.</w:t>
            </w:r>
          </w:p>
        </w:tc>
        <w:tc>
          <w:tcPr>
            <w:tcW w:w="679" w:type="pct"/>
          </w:tcPr>
          <w:p w14:paraId="3A537325" w14:textId="77777777" w:rsidR="002A64A5" w:rsidRPr="005F5BEA" w:rsidRDefault="002A64A5" w:rsidP="008460DC">
            <w:pPr>
              <w:pStyle w:val="TableText"/>
            </w:pPr>
            <w:r w:rsidRPr="005F5BEA">
              <w:t>01 Sep 2015</w:t>
            </w:r>
          </w:p>
        </w:tc>
      </w:tr>
      <w:tr w:rsidR="002A64A5" w:rsidRPr="005F5BEA" w14:paraId="1E0F109F" w14:textId="77777777" w:rsidTr="008460DC">
        <w:trPr>
          <w:trHeight w:val="504"/>
        </w:trPr>
        <w:tc>
          <w:tcPr>
            <w:tcW w:w="516" w:type="pct"/>
            <w:vMerge/>
          </w:tcPr>
          <w:p w14:paraId="5F6A40C0" w14:textId="77777777" w:rsidR="002A64A5" w:rsidRPr="005F5BEA" w:rsidRDefault="002A64A5" w:rsidP="008460DC">
            <w:pPr>
              <w:pStyle w:val="TableText"/>
            </w:pPr>
          </w:p>
        </w:tc>
        <w:tc>
          <w:tcPr>
            <w:tcW w:w="373" w:type="pct"/>
          </w:tcPr>
          <w:p w14:paraId="0A42EEF4" w14:textId="77777777" w:rsidR="002A64A5" w:rsidRPr="005F5BEA" w:rsidRDefault="002A64A5" w:rsidP="008460DC">
            <w:pPr>
              <w:pStyle w:val="TableText"/>
            </w:pPr>
            <w:r w:rsidRPr="005F5BEA">
              <w:t>11721</w:t>
            </w:r>
          </w:p>
        </w:tc>
        <w:tc>
          <w:tcPr>
            <w:tcW w:w="449" w:type="pct"/>
          </w:tcPr>
          <w:p w14:paraId="44D5BB04" w14:textId="043A3373" w:rsidR="002A64A5" w:rsidRPr="005F5BEA" w:rsidRDefault="002A64A5" w:rsidP="008460DC">
            <w:pPr>
              <w:pStyle w:val="TableText"/>
            </w:pPr>
            <w:r w:rsidRPr="005F5BEA">
              <w:t>$</w:t>
            </w:r>
            <w:r w:rsidR="00970142" w:rsidRPr="005F5BEA">
              <w:t>73.70</w:t>
            </w:r>
          </w:p>
        </w:tc>
        <w:tc>
          <w:tcPr>
            <w:tcW w:w="2983" w:type="pct"/>
          </w:tcPr>
          <w:p w14:paraId="56746104" w14:textId="22BA12BE" w:rsidR="002A64A5" w:rsidRPr="005F5BEA" w:rsidRDefault="002A64A5" w:rsidP="008460DC">
            <w:pPr>
              <w:pStyle w:val="TableText"/>
            </w:pPr>
            <w:r w:rsidRPr="005F5BEA">
              <w:t xml:space="preserve">Implanted pacemaker testing of atrioventricular (AV) sequential, rate responsive, or anti-tachycardia pacemakers, including reprogramming when required, not being a service associated with a service to which item </w:t>
            </w:r>
            <w:r w:rsidR="00797AB4" w:rsidRPr="005F5BEA">
              <w:t>11704</w:t>
            </w:r>
            <w:r w:rsidRPr="005F5BEA">
              <w:t xml:space="preserve"> 11719, 11720, 11725 or 11726 applies.</w:t>
            </w:r>
          </w:p>
        </w:tc>
        <w:tc>
          <w:tcPr>
            <w:tcW w:w="679" w:type="pct"/>
          </w:tcPr>
          <w:p w14:paraId="49BACB1E" w14:textId="77777777" w:rsidR="002A64A5" w:rsidRPr="005F5BEA" w:rsidRDefault="002A64A5" w:rsidP="008460DC">
            <w:pPr>
              <w:pStyle w:val="TableText"/>
            </w:pPr>
            <w:r w:rsidRPr="005F5BEA">
              <w:t>31 Oct 1992</w:t>
            </w:r>
          </w:p>
        </w:tc>
      </w:tr>
      <w:tr w:rsidR="002A64A5" w:rsidRPr="005F5BEA" w14:paraId="23139B08" w14:textId="77777777" w:rsidTr="008460DC">
        <w:trPr>
          <w:trHeight w:val="504"/>
        </w:trPr>
        <w:tc>
          <w:tcPr>
            <w:tcW w:w="516" w:type="pct"/>
            <w:vMerge w:val="restart"/>
          </w:tcPr>
          <w:p w14:paraId="42FD6B9E" w14:textId="77777777" w:rsidR="002A64A5" w:rsidRPr="005F5BEA" w:rsidRDefault="002A64A5" w:rsidP="008460DC">
            <w:pPr>
              <w:pStyle w:val="TableText"/>
            </w:pPr>
            <w:r w:rsidRPr="005F5BEA">
              <w:t>ICD</w:t>
            </w:r>
          </w:p>
        </w:tc>
        <w:tc>
          <w:tcPr>
            <w:tcW w:w="373" w:type="pct"/>
          </w:tcPr>
          <w:p w14:paraId="0F166DA9" w14:textId="77777777" w:rsidR="002A64A5" w:rsidRPr="005F5BEA" w:rsidRDefault="002A64A5" w:rsidP="008460DC">
            <w:pPr>
              <w:pStyle w:val="TableText"/>
            </w:pPr>
            <w:r w:rsidRPr="005F5BEA">
              <w:t>11725</w:t>
            </w:r>
          </w:p>
        </w:tc>
        <w:tc>
          <w:tcPr>
            <w:tcW w:w="449" w:type="pct"/>
          </w:tcPr>
          <w:p w14:paraId="6A799707" w14:textId="41BCA161" w:rsidR="002A64A5" w:rsidRPr="005F5BEA" w:rsidRDefault="002A64A5" w:rsidP="008460DC">
            <w:pPr>
              <w:pStyle w:val="TableText"/>
            </w:pPr>
            <w:r w:rsidRPr="005F5BEA">
              <w:t>$</w:t>
            </w:r>
            <w:r w:rsidR="00970142" w:rsidRPr="005F5BEA">
              <w:t>200.35</w:t>
            </w:r>
          </w:p>
        </w:tc>
        <w:tc>
          <w:tcPr>
            <w:tcW w:w="2983" w:type="pct"/>
          </w:tcPr>
          <w:p w14:paraId="55A3CEF1" w14:textId="77777777" w:rsidR="002A64A5" w:rsidRPr="005F5BEA" w:rsidRDefault="002A64A5" w:rsidP="008460DC">
            <w:pPr>
              <w:pStyle w:val="TableText"/>
            </w:pPr>
            <w:r w:rsidRPr="005F5BEA">
              <w:t xml:space="preserve">Implanted defibrillator (including Cardiac Resynchronisation Defibrillator) remote monitoring involving reviews (without patient attendance) of arrhythmias, </w:t>
            </w:r>
            <w:proofErr w:type="gramStart"/>
            <w:r w:rsidRPr="005F5BEA">
              <w:t>lead</w:t>
            </w:r>
            <w:proofErr w:type="gramEnd"/>
            <w:r w:rsidRPr="005F5BEA">
              <w:t xml:space="preserve"> and device parameters, if at least 2 remote reviews are provided in a 12-month period. Payable only once in any 12-month period.</w:t>
            </w:r>
          </w:p>
        </w:tc>
        <w:tc>
          <w:tcPr>
            <w:tcW w:w="679" w:type="pct"/>
          </w:tcPr>
          <w:p w14:paraId="0846E6DF" w14:textId="77777777" w:rsidR="002A64A5" w:rsidRPr="005F5BEA" w:rsidRDefault="002A64A5" w:rsidP="008460DC">
            <w:pPr>
              <w:pStyle w:val="TableText"/>
            </w:pPr>
            <w:r w:rsidRPr="005F5BEA">
              <w:t>01 Sep 2015</w:t>
            </w:r>
          </w:p>
        </w:tc>
      </w:tr>
      <w:tr w:rsidR="002A64A5" w:rsidRPr="005F5BEA" w14:paraId="47F84C35" w14:textId="77777777" w:rsidTr="008460DC">
        <w:trPr>
          <w:trHeight w:val="504"/>
        </w:trPr>
        <w:tc>
          <w:tcPr>
            <w:tcW w:w="516" w:type="pct"/>
            <w:vMerge/>
          </w:tcPr>
          <w:p w14:paraId="422F4737" w14:textId="77777777" w:rsidR="002A64A5" w:rsidRPr="005F5BEA" w:rsidRDefault="002A64A5" w:rsidP="008460DC">
            <w:pPr>
              <w:pStyle w:val="TableText"/>
            </w:pPr>
          </w:p>
        </w:tc>
        <w:tc>
          <w:tcPr>
            <w:tcW w:w="373" w:type="pct"/>
          </w:tcPr>
          <w:p w14:paraId="2ACBE37F" w14:textId="77777777" w:rsidR="002A64A5" w:rsidRPr="005F5BEA" w:rsidRDefault="002A64A5" w:rsidP="008460DC">
            <w:pPr>
              <w:pStyle w:val="TableText"/>
            </w:pPr>
            <w:r w:rsidRPr="005F5BEA">
              <w:t>11726</w:t>
            </w:r>
          </w:p>
        </w:tc>
        <w:tc>
          <w:tcPr>
            <w:tcW w:w="449" w:type="pct"/>
          </w:tcPr>
          <w:p w14:paraId="6AE342CB" w14:textId="5C9B145D" w:rsidR="002A64A5" w:rsidRPr="005F5BEA" w:rsidRDefault="002A64A5" w:rsidP="008460DC">
            <w:pPr>
              <w:pStyle w:val="TableText"/>
            </w:pPr>
            <w:r w:rsidRPr="005F5BEA">
              <w:t>$</w:t>
            </w:r>
            <w:r w:rsidR="00970142" w:rsidRPr="005F5BEA">
              <w:t>100.20</w:t>
            </w:r>
          </w:p>
        </w:tc>
        <w:tc>
          <w:tcPr>
            <w:tcW w:w="2983" w:type="pct"/>
          </w:tcPr>
          <w:p w14:paraId="2B8666C6" w14:textId="77777777" w:rsidR="002A64A5" w:rsidRPr="005F5BEA" w:rsidRDefault="002A64A5" w:rsidP="008460DC">
            <w:pPr>
              <w:pStyle w:val="TableText"/>
            </w:pPr>
            <w:r w:rsidRPr="005F5BEA">
              <w:t xml:space="preserve">Implanted defibrillator testing with patient attendance following detection of abnormality by remote monitoring involving electrocardiography, measurement of rate, </w:t>
            </w:r>
            <w:proofErr w:type="gramStart"/>
            <w:r w:rsidRPr="005F5BEA">
              <w:t>width</w:t>
            </w:r>
            <w:proofErr w:type="gramEnd"/>
            <w:r w:rsidRPr="005F5BEA">
              <w:t xml:space="preserve"> and amplitude of stimulus, not being a service associated with a service to which item 11727 applies.</w:t>
            </w:r>
          </w:p>
        </w:tc>
        <w:tc>
          <w:tcPr>
            <w:tcW w:w="679" w:type="pct"/>
          </w:tcPr>
          <w:p w14:paraId="5E218BAD" w14:textId="77777777" w:rsidR="002A64A5" w:rsidRPr="005F5BEA" w:rsidRDefault="002A64A5" w:rsidP="008460DC">
            <w:pPr>
              <w:pStyle w:val="TableText"/>
            </w:pPr>
            <w:r w:rsidRPr="005F5BEA">
              <w:t>01 Sep 2015</w:t>
            </w:r>
          </w:p>
        </w:tc>
      </w:tr>
      <w:tr w:rsidR="002A64A5" w:rsidRPr="005F5BEA" w14:paraId="342E23DF" w14:textId="77777777" w:rsidTr="008460DC">
        <w:trPr>
          <w:trHeight w:val="60"/>
        </w:trPr>
        <w:tc>
          <w:tcPr>
            <w:tcW w:w="516" w:type="pct"/>
            <w:vMerge/>
          </w:tcPr>
          <w:p w14:paraId="1B90575C" w14:textId="77777777" w:rsidR="002A64A5" w:rsidRPr="005F5BEA" w:rsidRDefault="002A64A5" w:rsidP="008460DC">
            <w:pPr>
              <w:pStyle w:val="TableText"/>
            </w:pPr>
          </w:p>
        </w:tc>
        <w:tc>
          <w:tcPr>
            <w:tcW w:w="373" w:type="pct"/>
          </w:tcPr>
          <w:p w14:paraId="0B74308D" w14:textId="77777777" w:rsidR="002A64A5" w:rsidRPr="005F5BEA" w:rsidRDefault="002A64A5" w:rsidP="008460DC">
            <w:pPr>
              <w:pStyle w:val="TableText"/>
            </w:pPr>
            <w:r w:rsidRPr="005F5BEA">
              <w:t>11727</w:t>
            </w:r>
          </w:p>
        </w:tc>
        <w:tc>
          <w:tcPr>
            <w:tcW w:w="449" w:type="pct"/>
          </w:tcPr>
          <w:p w14:paraId="037759AF" w14:textId="1B712ACA" w:rsidR="002A64A5" w:rsidRPr="005F5BEA" w:rsidRDefault="002A64A5" w:rsidP="008460DC">
            <w:pPr>
              <w:pStyle w:val="TableText"/>
            </w:pPr>
            <w:r w:rsidRPr="005F5BEA">
              <w:t>$</w:t>
            </w:r>
            <w:r w:rsidR="00970142" w:rsidRPr="005F5BEA">
              <w:t>100.20</w:t>
            </w:r>
          </w:p>
        </w:tc>
        <w:tc>
          <w:tcPr>
            <w:tcW w:w="2983" w:type="pct"/>
          </w:tcPr>
          <w:p w14:paraId="14B8347E" w14:textId="10906B74" w:rsidR="002A64A5" w:rsidRPr="005F5BEA" w:rsidRDefault="002A64A5" w:rsidP="008460DC">
            <w:pPr>
              <w:pStyle w:val="TableText"/>
            </w:pPr>
            <w:r w:rsidRPr="005F5BEA">
              <w:t>Implanted defibrillator testing involving electrocardiography, assessment of pacing and sensing thresholds for pacing and defibrillation electrodes, download and interpretation of stored events and electrograms, including programming when required, not being a service associated with a service to which item 11719, 11720, 11721, 11725 or 11726 applies.</w:t>
            </w:r>
          </w:p>
        </w:tc>
        <w:tc>
          <w:tcPr>
            <w:tcW w:w="679" w:type="pct"/>
          </w:tcPr>
          <w:p w14:paraId="79C275CD" w14:textId="77777777" w:rsidR="002A64A5" w:rsidRPr="005F5BEA" w:rsidRDefault="002A64A5" w:rsidP="008460DC">
            <w:pPr>
              <w:pStyle w:val="TableText"/>
            </w:pPr>
            <w:r w:rsidRPr="005F5BEA">
              <w:t>01 Nov 2006</w:t>
            </w:r>
          </w:p>
        </w:tc>
      </w:tr>
      <w:tr w:rsidR="002A64A5" w:rsidRPr="005F5BEA" w14:paraId="2BC43716" w14:textId="77777777" w:rsidTr="008460DC">
        <w:trPr>
          <w:trHeight w:val="504"/>
        </w:trPr>
        <w:tc>
          <w:tcPr>
            <w:tcW w:w="516" w:type="pct"/>
            <w:vMerge/>
          </w:tcPr>
          <w:p w14:paraId="6922F927" w14:textId="77777777" w:rsidR="002A64A5" w:rsidRPr="005F5BEA" w:rsidRDefault="002A64A5" w:rsidP="008460DC">
            <w:pPr>
              <w:pStyle w:val="TableText"/>
            </w:pPr>
          </w:p>
        </w:tc>
        <w:tc>
          <w:tcPr>
            <w:tcW w:w="373" w:type="pct"/>
          </w:tcPr>
          <w:p w14:paraId="7DBD3085" w14:textId="77777777" w:rsidR="002A64A5" w:rsidRPr="005F5BEA" w:rsidRDefault="002A64A5" w:rsidP="008460DC">
            <w:pPr>
              <w:pStyle w:val="TableText"/>
            </w:pPr>
            <w:r w:rsidRPr="005F5BEA">
              <w:t>38213</w:t>
            </w:r>
          </w:p>
        </w:tc>
        <w:tc>
          <w:tcPr>
            <w:tcW w:w="449" w:type="pct"/>
          </w:tcPr>
          <w:p w14:paraId="5DFB58F9" w14:textId="7CBF0C26" w:rsidR="002A64A5" w:rsidRPr="005F5BEA" w:rsidRDefault="002A64A5" w:rsidP="008460DC">
            <w:pPr>
              <w:pStyle w:val="TableText"/>
            </w:pPr>
            <w:r w:rsidRPr="005F5BEA">
              <w:t>$4</w:t>
            </w:r>
            <w:r w:rsidR="00970142" w:rsidRPr="005F5BEA">
              <w:t>32.10</w:t>
            </w:r>
          </w:p>
        </w:tc>
        <w:tc>
          <w:tcPr>
            <w:tcW w:w="2983" w:type="pct"/>
          </w:tcPr>
          <w:p w14:paraId="0E912FA3" w14:textId="77777777" w:rsidR="002A64A5" w:rsidRPr="005F5BEA" w:rsidRDefault="002A64A5" w:rsidP="008460DC">
            <w:pPr>
              <w:pStyle w:val="TableText"/>
            </w:pPr>
            <w:r w:rsidRPr="005F5BEA">
              <w:t xml:space="preserve">Cardiac electrophysiological study, performed either: (a) during insertion of implantable defibrillator; or (b) for defibrillation threshold testing at a different time to implantation; other than a service </w:t>
            </w:r>
            <w:r w:rsidRPr="005F5BEA">
              <w:lastRenderedPageBreak/>
              <w:t>associated with a service to which item 38209 or 38212 applies</w:t>
            </w:r>
          </w:p>
        </w:tc>
        <w:tc>
          <w:tcPr>
            <w:tcW w:w="679" w:type="pct"/>
          </w:tcPr>
          <w:p w14:paraId="72DD3842" w14:textId="77777777" w:rsidR="002A64A5" w:rsidRPr="005F5BEA" w:rsidRDefault="002A64A5" w:rsidP="008460DC">
            <w:pPr>
              <w:pStyle w:val="TableText"/>
            </w:pPr>
            <w:r w:rsidRPr="005F5BEA">
              <w:lastRenderedPageBreak/>
              <w:t>01 Nov 1996</w:t>
            </w:r>
          </w:p>
        </w:tc>
      </w:tr>
      <w:tr w:rsidR="002A64A5" w:rsidRPr="005F5BEA" w14:paraId="65AB8137" w14:textId="77777777" w:rsidTr="008460DC">
        <w:trPr>
          <w:trHeight w:val="100"/>
        </w:trPr>
        <w:tc>
          <w:tcPr>
            <w:tcW w:w="516" w:type="pct"/>
            <w:vMerge w:val="restart"/>
          </w:tcPr>
          <w:p w14:paraId="21820B41" w14:textId="77777777" w:rsidR="002A64A5" w:rsidRPr="005F5BEA" w:rsidRDefault="002A64A5" w:rsidP="008460DC">
            <w:pPr>
              <w:pStyle w:val="TableText"/>
            </w:pPr>
            <w:r w:rsidRPr="005F5BEA">
              <w:t>ILR</w:t>
            </w:r>
          </w:p>
        </w:tc>
        <w:tc>
          <w:tcPr>
            <w:tcW w:w="373" w:type="pct"/>
          </w:tcPr>
          <w:p w14:paraId="14F6824D" w14:textId="77777777" w:rsidR="002A64A5" w:rsidRPr="005F5BEA" w:rsidRDefault="002A64A5" w:rsidP="008460DC">
            <w:pPr>
              <w:pStyle w:val="TableText"/>
            </w:pPr>
            <w:r w:rsidRPr="005F5BEA">
              <w:t>11728</w:t>
            </w:r>
          </w:p>
        </w:tc>
        <w:tc>
          <w:tcPr>
            <w:tcW w:w="449" w:type="pct"/>
          </w:tcPr>
          <w:p w14:paraId="4FF1749A" w14:textId="26624F9C" w:rsidR="002A64A5" w:rsidRPr="005F5BEA" w:rsidRDefault="002A64A5" w:rsidP="008460DC">
            <w:pPr>
              <w:pStyle w:val="TableText"/>
            </w:pPr>
            <w:r w:rsidRPr="005F5BEA">
              <w:t>$36.</w:t>
            </w:r>
            <w:r w:rsidR="00970142" w:rsidRPr="005F5BEA">
              <w:t>75</w:t>
            </w:r>
          </w:p>
        </w:tc>
        <w:tc>
          <w:tcPr>
            <w:tcW w:w="2983" w:type="pct"/>
          </w:tcPr>
          <w:p w14:paraId="7D130D5C" w14:textId="77777777" w:rsidR="002A64A5" w:rsidRPr="005F5BEA" w:rsidRDefault="002A64A5" w:rsidP="008460DC">
            <w:pPr>
              <w:pStyle w:val="TableText"/>
            </w:pPr>
            <w:r w:rsidRPr="005F5BEA">
              <w:t xml:space="preserve">Implanted loop recording for the investigation of atrial fibrillation if the patient to whom the service is provided has been diagnosed as having had an embolic stroke of undetermined source, including reprogramming when required, retrieval of stored data, analysis, </w:t>
            </w:r>
            <w:proofErr w:type="gramStart"/>
            <w:r w:rsidRPr="005F5BEA">
              <w:t>interpretation</w:t>
            </w:r>
            <w:proofErr w:type="gramEnd"/>
            <w:r w:rsidRPr="005F5BEA">
              <w:t xml:space="preserve"> and report, other than a service to which item 38288 applies. For any </w:t>
            </w:r>
            <w:proofErr w:type="gramStart"/>
            <w:r w:rsidRPr="005F5BEA">
              <w:t>particular patient</w:t>
            </w:r>
            <w:proofErr w:type="gramEnd"/>
            <w:r w:rsidRPr="005F5BEA">
              <w:t>—applicable not more than 4 times in any 12 months.</w:t>
            </w:r>
          </w:p>
        </w:tc>
        <w:tc>
          <w:tcPr>
            <w:tcW w:w="679" w:type="pct"/>
          </w:tcPr>
          <w:p w14:paraId="5EF48552" w14:textId="77777777" w:rsidR="002A64A5" w:rsidRPr="005F5BEA" w:rsidRDefault="002A64A5" w:rsidP="008460DC">
            <w:pPr>
              <w:pStyle w:val="TableText"/>
            </w:pPr>
            <w:r w:rsidRPr="005F5BEA">
              <w:t>01 May 2018</w:t>
            </w:r>
          </w:p>
        </w:tc>
      </w:tr>
      <w:tr w:rsidR="002A64A5" w:rsidRPr="005F5BEA" w14:paraId="14E3A633" w14:textId="77777777" w:rsidTr="008460DC">
        <w:trPr>
          <w:trHeight w:val="100"/>
        </w:trPr>
        <w:tc>
          <w:tcPr>
            <w:tcW w:w="516" w:type="pct"/>
            <w:vMerge/>
          </w:tcPr>
          <w:p w14:paraId="7F89006E" w14:textId="77777777" w:rsidR="002A64A5" w:rsidRPr="005F5BEA" w:rsidRDefault="002A64A5" w:rsidP="008460DC">
            <w:pPr>
              <w:pStyle w:val="TableText"/>
            </w:pPr>
          </w:p>
        </w:tc>
        <w:tc>
          <w:tcPr>
            <w:tcW w:w="373" w:type="pct"/>
          </w:tcPr>
          <w:p w14:paraId="45E279EA" w14:textId="77777777" w:rsidR="002A64A5" w:rsidRPr="005F5BEA" w:rsidRDefault="002A64A5" w:rsidP="008460DC">
            <w:pPr>
              <w:pStyle w:val="TableText"/>
            </w:pPr>
            <w:r w:rsidRPr="005F5BEA">
              <w:t>11731</w:t>
            </w:r>
          </w:p>
        </w:tc>
        <w:tc>
          <w:tcPr>
            <w:tcW w:w="449" w:type="pct"/>
          </w:tcPr>
          <w:p w14:paraId="1C6BECE3" w14:textId="19719A36" w:rsidR="002A64A5" w:rsidRPr="005F5BEA" w:rsidRDefault="002A64A5" w:rsidP="008460DC">
            <w:pPr>
              <w:pStyle w:val="TableText"/>
            </w:pPr>
            <w:r w:rsidRPr="005F5BEA">
              <w:t>$36.</w:t>
            </w:r>
            <w:r w:rsidR="00970142" w:rsidRPr="005F5BEA">
              <w:t>75</w:t>
            </w:r>
          </w:p>
        </w:tc>
        <w:tc>
          <w:tcPr>
            <w:tcW w:w="2983" w:type="pct"/>
          </w:tcPr>
          <w:p w14:paraId="736B8300" w14:textId="77777777" w:rsidR="002A64A5" w:rsidRPr="005F5BEA" w:rsidRDefault="002A64A5" w:rsidP="008460DC">
            <w:pPr>
              <w:pStyle w:val="TableText"/>
            </w:pPr>
            <w:r w:rsidRPr="005F5BEA">
              <w:t xml:space="preserve">Implanted electrocardiogram loop recording, by a medical practitioner, including reprogramming (if required), retrieval of stored data, analysis, </w:t>
            </w:r>
            <w:proofErr w:type="gramStart"/>
            <w:r w:rsidRPr="005F5BEA">
              <w:t>interpretation</w:t>
            </w:r>
            <w:proofErr w:type="gramEnd"/>
            <w:r w:rsidRPr="005F5BEA">
              <w:t xml:space="preserve"> and report, if the service is: (a) an investigation for a patient with: (</w:t>
            </w:r>
            <w:proofErr w:type="spellStart"/>
            <w:r w:rsidRPr="005F5BEA">
              <w:t>i</w:t>
            </w:r>
            <w:proofErr w:type="spellEnd"/>
            <w:r w:rsidRPr="005F5BEA">
              <w:t>) cryptogenic stroke; or (ii) recurrent unexplained syncope; and (b) not a service to which item 38285 applies. Applicable only once in any 4-week period.</w:t>
            </w:r>
          </w:p>
        </w:tc>
        <w:tc>
          <w:tcPr>
            <w:tcW w:w="679" w:type="pct"/>
          </w:tcPr>
          <w:p w14:paraId="7E8D7C3A" w14:textId="77777777" w:rsidR="002A64A5" w:rsidRPr="005F5BEA" w:rsidRDefault="002A64A5" w:rsidP="008460DC">
            <w:pPr>
              <w:pStyle w:val="TableText"/>
            </w:pPr>
            <w:r w:rsidRPr="005F5BEA">
              <w:t>01 Mar 2021</w:t>
            </w:r>
          </w:p>
        </w:tc>
      </w:tr>
      <w:tr w:rsidR="002A64A5" w:rsidRPr="005F5BEA" w14:paraId="173F17D3" w14:textId="77777777" w:rsidTr="008460DC">
        <w:trPr>
          <w:trHeight w:val="100"/>
        </w:trPr>
        <w:tc>
          <w:tcPr>
            <w:tcW w:w="516" w:type="pct"/>
          </w:tcPr>
          <w:p w14:paraId="7C6BA001" w14:textId="77777777" w:rsidR="002A64A5" w:rsidRPr="005F5BEA" w:rsidRDefault="002A64A5" w:rsidP="008460DC">
            <w:pPr>
              <w:pStyle w:val="TableText"/>
            </w:pPr>
          </w:p>
        </w:tc>
        <w:tc>
          <w:tcPr>
            <w:tcW w:w="373" w:type="pct"/>
          </w:tcPr>
          <w:p w14:paraId="47E65062" w14:textId="77777777" w:rsidR="002A64A5" w:rsidRPr="005F5BEA" w:rsidRDefault="002A64A5" w:rsidP="008460DC">
            <w:pPr>
              <w:pStyle w:val="TableText"/>
            </w:pPr>
            <w:r w:rsidRPr="005F5BEA">
              <w:t>11736</w:t>
            </w:r>
          </w:p>
        </w:tc>
        <w:tc>
          <w:tcPr>
            <w:tcW w:w="449" w:type="pct"/>
          </w:tcPr>
          <w:p w14:paraId="69A6898E" w14:textId="77777777" w:rsidR="002A64A5" w:rsidRPr="005F5BEA" w:rsidRDefault="002A64A5" w:rsidP="008460DC">
            <w:pPr>
              <w:pStyle w:val="TableText"/>
            </w:pPr>
            <w:r w:rsidRPr="005F5BEA">
              <w:t>$36.75</w:t>
            </w:r>
          </w:p>
        </w:tc>
        <w:tc>
          <w:tcPr>
            <w:tcW w:w="2983" w:type="pct"/>
          </w:tcPr>
          <w:p w14:paraId="34F7F124" w14:textId="77777777" w:rsidR="002A64A5" w:rsidRPr="005F5BEA" w:rsidRDefault="002A64A5" w:rsidP="008460DC">
            <w:pPr>
              <w:spacing w:before="100" w:beforeAutospacing="1" w:after="100" w:afterAutospacing="1"/>
              <w:rPr>
                <w:rFonts w:ascii="Arial Narrow" w:hAnsi="Arial Narrow"/>
              </w:rPr>
            </w:pPr>
            <w:r w:rsidRPr="005F5BEA">
              <w:rPr>
                <w:rFonts w:ascii="Arial Narrow" w:hAnsi="Arial Narrow"/>
              </w:rPr>
              <w:t xml:space="preserve">Implanted loop recording via remote monitoring (including reprogramming (if required), retrieval of stored data, analysis, </w:t>
            </w:r>
            <w:proofErr w:type="gramStart"/>
            <w:r w:rsidRPr="005F5BEA">
              <w:rPr>
                <w:rFonts w:ascii="Arial Narrow" w:hAnsi="Arial Narrow"/>
              </w:rPr>
              <w:t>interpretation</w:t>
            </w:r>
            <w:proofErr w:type="gramEnd"/>
            <w:r w:rsidRPr="005F5BEA">
              <w:rPr>
                <w:rFonts w:ascii="Arial Narrow" w:hAnsi="Arial Narrow"/>
              </w:rPr>
              <w:t xml:space="preserve"> and report), for the investigation of atrial fibrillation, if the service: (a) is provided to a patient who has been diagnosed as having had an embolic stroke of undetermined source; and (b) is not a service to which item 38288 applies. Applicable not more than 4 times in any </w:t>
            </w:r>
            <w:proofErr w:type="gramStart"/>
            <w:r w:rsidRPr="005F5BEA">
              <w:rPr>
                <w:rFonts w:ascii="Arial Narrow" w:hAnsi="Arial Narrow"/>
              </w:rPr>
              <w:t>12 month</w:t>
            </w:r>
            <w:proofErr w:type="gramEnd"/>
            <w:r w:rsidRPr="005F5BEA">
              <w:rPr>
                <w:rFonts w:ascii="Arial Narrow" w:hAnsi="Arial Narrow"/>
              </w:rPr>
              <w:t xml:space="preserve"> period.</w:t>
            </w:r>
          </w:p>
        </w:tc>
        <w:tc>
          <w:tcPr>
            <w:tcW w:w="679" w:type="pct"/>
          </w:tcPr>
          <w:p w14:paraId="26EAC2C7" w14:textId="77777777" w:rsidR="002A64A5" w:rsidRPr="005F5BEA" w:rsidRDefault="002A64A5" w:rsidP="008460DC">
            <w:pPr>
              <w:pStyle w:val="TableText"/>
            </w:pPr>
            <w:r w:rsidRPr="005F5BEA">
              <w:t>01 Nov 2022</w:t>
            </w:r>
          </w:p>
        </w:tc>
      </w:tr>
      <w:tr w:rsidR="002A64A5" w:rsidRPr="005F5BEA" w14:paraId="53280410" w14:textId="77777777" w:rsidTr="008460DC">
        <w:trPr>
          <w:trHeight w:val="100"/>
        </w:trPr>
        <w:tc>
          <w:tcPr>
            <w:tcW w:w="516" w:type="pct"/>
          </w:tcPr>
          <w:p w14:paraId="6A81B0B9" w14:textId="77777777" w:rsidR="002A64A5" w:rsidRPr="005F5BEA" w:rsidRDefault="002A64A5" w:rsidP="008460DC">
            <w:pPr>
              <w:pStyle w:val="TableText"/>
            </w:pPr>
          </w:p>
        </w:tc>
        <w:tc>
          <w:tcPr>
            <w:tcW w:w="373" w:type="pct"/>
          </w:tcPr>
          <w:p w14:paraId="0C659675" w14:textId="77777777" w:rsidR="002A64A5" w:rsidRPr="005F5BEA" w:rsidRDefault="002A64A5" w:rsidP="008460DC">
            <w:pPr>
              <w:pStyle w:val="TableText"/>
            </w:pPr>
            <w:r w:rsidRPr="005F5BEA">
              <w:t>11737</w:t>
            </w:r>
          </w:p>
        </w:tc>
        <w:tc>
          <w:tcPr>
            <w:tcW w:w="449" w:type="pct"/>
          </w:tcPr>
          <w:p w14:paraId="3049B389" w14:textId="77777777" w:rsidR="002A64A5" w:rsidRPr="005F5BEA" w:rsidRDefault="002A64A5" w:rsidP="008460DC">
            <w:pPr>
              <w:pStyle w:val="TableText"/>
            </w:pPr>
            <w:r w:rsidRPr="005F5BEA">
              <w:t>$36.75</w:t>
            </w:r>
          </w:p>
        </w:tc>
        <w:tc>
          <w:tcPr>
            <w:tcW w:w="2983" w:type="pct"/>
          </w:tcPr>
          <w:p w14:paraId="16796EFB" w14:textId="77777777" w:rsidR="002A64A5" w:rsidRPr="005F5BEA" w:rsidRDefault="002A64A5" w:rsidP="008460DC">
            <w:pPr>
              <w:spacing w:before="100" w:beforeAutospacing="1" w:after="100" w:afterAutospacing="1"/>
              <w:rPr>
                <w:rFonts w:ascii="Arial Narrow" w:hAnsi="Arial Narrow"/>
              </w:rPr>
            </w:pPr>
            <w:r w:rsidRPr="005F5BEA">
              <w:rPr>
                <w:rFonts w:ascii="Arial Narrow" w:hAnsi="Arial Narrow"/>
              </w:rPr>
              <w:t xml:space="preserve">Implanted electrocardiogram loop recording via remote monitoring (including reprogramming (if required), retrieval of stored data, analysis, </w:t>
            </w:r>
            <w:proofErr w:type="gramStart"/>
            <w:r w:rsidRPr="005F5BEA">
              <w:rPr>
                <w:rFonts w:ascii="Arial Narrow" w:hAnsi="Arial Narrow"/>
              </w:rPr>
              <w:t>interpretation</w:t>
            </w:r>
            <w:proofErr w:type="gramEnd"/>
            <w:r w:rsidRPr="005F5BEA">
              <w:rPr>
                <w:rFonts w:ascii="Arial Narrow" w:hAnsi="Arial Narrow"/>
              </w:rPr>
              <w:t xml:space="preserve"> and report), by a medical practitioner, if the service is: (a) an investigation for a patient with: (</w:t>
            </w:r>
            <w:proofErr w:type="spellStart"/>
            <w:r w:rsidRPr="005F5BEA">
              <w:rPr>
                <w:rFonts w:ascii="Arial Narrow" w:hAnsi="Arial Narrow"/>
              </w:rPr>
              <w:t>i</w:t>
            </w:r>
            <w:proofErr w:type="spellEnd"/>
            <w:r w:rsidRPr="005F5BEA">
              <w:rPr>
                <w:rFonts w:ascii="Arial Narrow" w:hAnsi="Arial Narrow"/>
              </w:rPr>
              <w:t xml:space="preserve">) cryptogenic stroke; or (ii) recurrent unexplained syncope; and (b) not a service to which item 38285 applies. Applicable only once in any </w:t>
            </w:r>
            <w:proofErr w:type="gramStart"/>
            <w:r w:rsidRPr="005F5BEA">
              <w:rPr>
                <w:rFonts w:ascii="Arial Narrow" w:hAnsi="Arial Narrow"/>
              </w:rPr>
              <w:t>4 week</w:t>
            </w:r>
            <w:proofErr w:type="gramEnd"/>
            <w:r w:rsidRPr="005F5BEA">
              <w:rPr>
                <w:rFonts w:ascii="Arial Narrow" w:hAnsi="Arial Narrow"/>
              </w:rPr>
              <w:t xml:space="preserve"> period</w:t>
            </w:r>
          </w:p>
        </w:tc>
        <w:tc>
          <w:tcPr>
            <w:tcW w:w="679" w:type="pct"/>
          </w:tcPr>
          <w:p w14:paraId="4BA34F5A" w14:textId="77777777" w:rsidR="002A64A5" w:rsidRPr="005F5BEA" w:rsidRDefault="002A64A5" w:rsidP="008460DC">
            <w:pPr>
              <w:pStyle w:val="TableText"/>
            </w:pPr>
            <w:r w:rsidRPr="005F5BEA">
              <w:t>01 Nov 2022</w:t>
            </w:r>
          </w:p>
        </w:tc>
      </w:tr>
    </w:tbl>
    <w:p w14:paraId="2067812C" w14:textId="56DC345F" w:rsidR="002A64A5" w:rsidRPr="005F5BEA" w:rsidRDefault="002A64A5" w:rsidP="005924C3">
      <w:pPr>
        <w:pStyle w:val="Tablenotes"/>
      </w:pPr>
      <w:r w:rsidRPr="005F5BEA">
        <w:t xml:space="preserve">Source: </w:t>
      </w:r>
      <w:r w:rsidR="005924C3" w:rsidRPr="005F5BEA">
        <w:t xml:space="preserve">MSAC 1724 ADAR; </w:t>
      </w:r>
      <w:r w:rsidRPr="005F5BEA">
        <w:t>Table 1-</w:t>
      </w:r>
      <w:r w:rsidR="005924C3" w:rsidRPr="005F5BEA">
        <w:t>5</w:t>
      </w:r>
      <w:r w:rsidRPr="005F5BEA">
        <w:t>, p</w:t>
      </w:r>
      <w:r w:rsidR="005924C3" w:rsidRPr="005F5BEA">
        <w:t>age 34</w:t>
      </w:r>
      <w:r w:rsidR="00B556EB" w:rsidRPr="005F5BEA">
        <w:t>, but item descriptors and fees have been updated.</w:t>
      </w:r>
    </w:p>
    <w:p w14:paraId="3E89F2CF" w14:textId="3F7D49A0" w:rsidR="005924C3" w:rsidRPr="005F5BEA" w:rsidRDefault="005924C3" w:rsidP="00485C95">
      <w:pPr>
        <w:pStyle w:val="Tablenotes"/>
      </w:pPr>
      <w:r w:rsidRPr="005F5BEA">
        <w:t xml:space="preserve">Please note that </w:t>
      </w:r>
      <w:r w:rsidR="006367E0" w:rsidRPr="005F5BEA">
        <w:t xml:space="preserve">the </w:t>
      </w:r>
      <w:r w:rsidRPr="005F5BEA">
        <w:t xml:space="preserve">MBS fees for 2022 have been </w:t>
      </w:r>
      <w:r w:rsidR="0035784E" w:rsidRPr="005F5BEA">
        <w:t>added</w:t>
      </w:r>
      <w:r w:rsidRPr="005F5BEA">
        <w:t xml:space="preserve"> to update this table</w:t>
      </w:r>
      <w:r w:rsidR="006367E0" w:rsidRPr="005F5BEA">
        <w:t xml:space="preserve"> from MSAC 1724 ADAR; Table 1-5.</w:t>
      </w:r>
      <w:r w:rsidR="008A62DC" w:rsidRPr="005F5BEA">
        <w:t xml:space="preserve"> The MBS item descriptors for MBS items 11721 and 11727 have also been updated.</w:t>
      </w:r>
    </w:p>
    <w:p w14:paraId="7A3D8F52" w14:textId="588863BE" w:rsidR="006D64A7" w:rsidRPr="005F5BEA" w:rsidRDefault="003148FA" w:rsidP="006D64A7">
      <w:pPr>
        <w:pStyle w:val="Heading3"/>
      </w:pPr>
      <w:r w:rsidRPr="005F5BEA">
        <w:t>Model 3:</w:t>
      </w:r>
      <w:r w:rsidR="006D64A7" w:rsidRPr="005F5BEA">
        <w:t xml:space="preserve"> Services provided through private cardiologists w</w:t>
      </w:r>
      <w:r w:rsidRPr="005F5BEA">
        <w:t xml:space="preserve">ith only </w:t>
      </w:r>
      <w:r w:rsidR="00B62C82" w:rsidRPr="005F5BEA">
        <w:t>IECT</w:t>
      </w:r>
      <w:r w:rsidR="00BB0017" w:rsidRPr="005F5BEA">
        <w:t xml:space="preserve"> </w:t>
      </w:r>
      <w:r w:rsidRPr="005F5BEA">
        <w:t xml:space="preserve">technical </w:t>
      </w:r>
      <w:proofErr w:type="gramStart"/>
      <w:r w:rsidR="00BB0017" w:rsidRPr="005F5BEA">
        <w:t>support</w:t>
      </w:r>
      <w:proofErr w:type="gramEnd"/>
    </w:p>
    <w:p w14:paraId="105BD0DF" w14:textId="06D4BA37" w:rsidR="006D64A7" w:rsidRPr="005F5BEA" w:rsidRDefault="006D64A7" w:rsidP="006D64A7">
      <w:r w:rsidRPr="005F5BEA">
        <w:t>In this model of care</w:t>
      </w:r>
      <w:r w:rsidR="000D381C" w:rsidRPr="005F5BEA">
        <w:t xml:space="preserve"> (the main focus of the ADAR)</w:t>
      </w:r>
      <w:r w:rsidRPr="005F5BEA">
        <w:t xml:space="preserve">, the treating physician </w:t>
      </w:r>
      <w:r w:rsidR="00812524" w:rsidRPr="005F5BEA">
        <w:t>can</w:t>
      </w:r>
      <w:r w:rsidR="00535D86" w:rsidRPr="005F5BEA">
        <w:t xml:space="preserve"> </w:t>
      </w:r>
      <w:r w:rsidRPr="005F5BEA">
        <w:t xml:space="preserve">claim </w:t>
      </w:r>
      <w:r w:rsidR="00130045" w:rsidRPr="005F5BEA">
        <w:t>the MBS fees</w:t>
      </w:r>
      <w:r w:rsidR="002C6216" w:rsidRPr="005F5BEA">
        <w:t xml:space="preserve"> if they </w:t>
      </w:r>
      <w:r w:rsidR="00D41A81" w:rsidRPr="005F5BEA">
        <w:t>have a</w:t>
      </w:r>
      <w:r w:rsidR="00812524" w:rsidRPr="005F5BEA">
        <w:t>n</w:t>
      </w:r>
      <w:r w:rsidR="00D41A81" w:rsidRPr="005F5BEA">
        <w:t xml:space="preserve"> </w:t>
      </w:r>
      <w:r w:rsidR="00812524" w:rsidRPr="005F5BEA">
        <w:t xml:space="preserve">in-person </w:t>
      </w:r>
      <w:r w:rsidR="00D41A81" w:rsidRPr="005F5BEA">
        <w:t>consultation</w:t>
      </w:r>
      <w:r w:rsidRPr="005F5BEA">
        <w:t xml:space="preserve"> </w:t>
      </w:r>
      <w:r w:rsidR="00812524" w:rsidRPr="005F5BEA">
        <w:t xml:space="preserve">with the patient </w:t>
      </w:r>
      <w:r w:rsidR="0078567E" w:rsidRPr="005F5BEA">
        <w:t>(</w:t>
      </w:r>
      <w:r w:rsidR="0084694D" w:rsidRPr="005F5BEA">
        <w:fldChar w:fldCharType="begin"/>
      </w:r>
      <w:r w:rsidR="0084694D" w:rsidRPr="005F5BEA">
        <w:instrText xml:space="preserve"> REF _Ref120457665 \h  \* MERGEFORMAT </w:instrText>
      </w:r>
      <w:r w:rsidR="0084694D" w:rsidRPr="005F5BEA">
        <w:fldChar w:fldCharType="separate"/>
      </w:r>
      <w:r w:rsidR="00334548" w:rsidRPr="00334548">
        <w:t>Table 5</w:t>
      </w:r>
      <w:r w:rsidR="0084694D" w:rsidRPr="005F5BEA">
        <w:fldChar w:fldCharType="end"/>
      </w:r>
      <w:r w:rsidR="0078567E" w:rsidRPr="005F5BEA">
        <w:t xml:space="preserve">) </w:t>
      </w:r>
      <w:r w:rsidR="008215F6" w:rsidRPr="005F5BEA">
        <w:t xml:space="preserve">and </w:t>
      </w:r>
      <w:r w:rsidR="00D41A81" w:rsidRPr="005F5BEA">
        <w:t xml:space="preserve">they </w:t>
      </w:r>
      <w:r w:rsidR="008215F6" w:rsidRPr="005F5BEA">
        <w:t xml:space="preserve">rely on support from </w:t>
      </w:r>
      <w:r w:rsidR="00B62C82" w:rsidRPr="005F5BEA">
        <w:t>IECT</w:t>
      </w:r>
      <w:r w:rsidR="008215F6" w:rsidRPr="005F5BEA">
        <w:t xml:space="preserve">s </w:t>
      </w:r>
      <w:r w:rsidR="00812524" w:rsidRPr="005F5BEA">
        <w:t xml:space="preserve">to deliver services </w:t>
      </w:r>
      <w:r w:rsidR="008215F6" w:rsidRPr="005F5BEA">
        <w:t xml:space="preserve">in their clinic. </w:t>
      </w:r>
      <w:r w:rsidR="00B62C82" w:rsidRPr="005F5BEA">
        <w:t>IECT</w:t>
      </w:r>
      <w:r w:rsidR="008215F6" w:rsidRPr="005F5BEA">
        <w:t>s will travel to the cardiologist’s practice to perform technical services on</w:t>
      </w:r>
      <w:r w:rsidR="003148FA" w:rsidRPr="005F5BEA">
        <w:t>-</w:t>
      </w:r>
      <w:r w:rsidR="008215F6" w:rsidRPr="005F5BEA">
        <w:t xml:space="preserve">demand </w:t>
      </w:r>
      <w:r w:rsidR="003148FA" w:rsidRPr="005F5BEA">
        <w:t xml:space="preserve">at the request </w:t>
      </w:r>
      <w:r w:rsidR="008215F6" w:rsidRPr="005F5BEA">
        <w:t>of the physician</w:t>
      </w:r>
      <w:r w:rsidR="00812524" w:rsidRPr="005F5BEA">
        <w:t xml:space="preserve"> or can supply advice remotely via email or telephone</w:t>
      </w:r>
      <w:r w:rsidR="008215F6" w:rsidRPr="005F5BEA">
        <w:t>.</w:t>
      </w:r>
    </w:p>
    <w:p w14:paraId="5C8C5778" w14:textId="2429609C" w:rsidR="002A64A5" w:rsidRPr="005F5BEA" w:rsidRDefault="007A3A24" w:rsidP="0078567E">
      <w:r w:rsidRPr="005F5BEA">
        <w:t xml:space="preserve">In this model of care, </w:t>
      </w:r>
      <w:r w:rsidR="00B62C82" w:rsidRPr="005F5BEA">
        <w:t>IECT</w:t>
      </w:r>
      <w:r w:rsidRPr="005F5BEA">
        <w:t xml:space="preserve">s </w:t>
      </w:r>
      <w:r w:rsidR="007D46D2" w:rsidRPr="005F5BEA">
        <w:t xml:space="preserve">costs </w:t>
      </w:r>
      <w:r w:rsidRPr="005F5BEA">
        <w:t xml:space="preserve">are </w:t>
      </w:r>
      <w:r w:rsidR="00C52885" w:rsidRPr="005F5BEA">
        <w:t>considered</w:t>
      </w:r>
      <w:r w:rsidR="00482D15" w:rsidRPr="005F5BEA">
        <w:t xml:space="preserve"> by industry to be </w:t>
      </w:r>
      <w:r w:rsidRPr="005F5BEA">
        <w:t xml:space="preserve">funded through </w:t>
      </w:r>
      <w:r w:rsidR="003148FA" w:rsidRPr="005F5BEA">
        <w:t>an</w:t>
      </w:r>
      <w:r w:rsidRPr="005F5BEA">
        <w:t xml:space="preserve"> up-front </w:t>
      </w:r>
      <w:r w:rsidR="003148FA" w:rsidRPr="005F5BEA">
        <w:t>payment</w:t>
      </w:r>
      <w:r w:rsidRPr="005F5BEA">
        <w:t xml:space="preserve"> </w:t>
      </w:r>
      <w:r w:rsidR="003148FA" w:rsidRPr="005F5BEA">
        <w:t>included in the Prostheses List</w:t>
      </w:r>
      <w:r w:rsidR="00967DC0" w:rsidRPr="005F5BEA">
        <w:t xml:space="preserve"> (PL)</w:t>
      </w:r>
      <w:r w:rsidR="003148FA" w:rsidRPr="005F5BEA">
        <w:t xml:space="preserve"> benefit that </w:t>
      </w:r>
      <w:r w:rsidR="007D46D2" w:rsidRPr="005F5BEA">
        <w:t>a</w:t>
      </w:r>
      <w:r w:rsidR="0084694D" w:rsidRPr="005F5BEA">
        <w:t xml:space="preserve"> </w:t>
      </w:r>
      <w:r w:rsidR="007D46D2" w:rsidRPr="005F5BEA">
        <w:t xml:space="preserve">CIED </w:t>
      </w:r>
      <w:r w:rsidR="0084694D" w:rsidRPr="005F5BEA">
        <w:t>company</w:t>
      </w:r>
      <w:r w:rsidRPr="005F5BEA">
        <w:t xml:space="preserve"> receive</w:t>
      </w:r>
      <w:r w:rsidR="0084694D" w:rsidRPr="005F5BEA">
        <w:t>s</w:t>
      </w:r>
      <w:r w:rsidRPr="005F5BEA">
        <w:t xml:space="preserve"> when the device is being implanted</w:t>
      </w:r>
      <w:r w:rsidR="001E0C92" w:rsidRPr="005F5BEA">
        <w:t xml:space="preserve"> (</w:t>
      </w:r>
      <w:r w:rsidR="0084694D" w:rsidRPr="005F5BEA">
        <w:fldChar w:fldCharType="begin"/>
      </w:r>
      <w:r w:rsidR="0084694D" w:rsidRPr="005F5BEA">
        <w:instrText xml:space="preserve"> REF _Ref120457912 \h  \* MERGEFORMAT </w:instrText>
      </w:r>
      <w:r w:rsidR="0084694D" w:rsidRPr="005F5BEA">
        <w:fldChar w:fldCharType="separate"/>
      </w:r>
      <w:r w:rsidR="00334548" w:rsidRPr="00334548">
        <w:t>Table 6</w:t>
      </w:r>
      <w:r w:rsidR="0084694D" w:rsidRPr="005F5BEA">
        <w:fldChar w:fldCharType="end"/>
      </w:r>
      <w:r w:rsidR="001E0C92" w:rsidRPr="005F5BEA">
        <w:t>)</w:t>
      </w:r>
      <w:r w:rsidRPr="005F5BEA">
        <w:t>, and through any p</w:t>
      </w:r>
      <w:r w:rsidR="007D46D2" w:rsidRPr="005F5BEA">
        <w:t>rivate</w:t>
      </w:r>
      <w:r w:rsidRPr="005F5BEA">
        <w:t xml:space="preserve"> arrangement made </w:t>
      </w:r>
      <w:r w:rsidR="007D46D2" w:rsidRPr="005F5BEA">
        <w:t xml:space="preserve">between the individual </w:t>
      </w:r>
      <w:r w:rsidR="00B62C82" w:rsidRPr="005F5BEA">
        <w:t>IECT</w:t>
      </w:r>
      <w:r w:rsidR="007D46D2" w:rsidRPr="005F5BEA">
        <w:t xml:space="preserve"> and </w:t>
      </w:r>
      <w:r w:rsidRPr="005F5BEA">
        <w:t xml:space="preserve">the treating physician who requested </w:t>
      </w:r>
      <w:r w:rsidR="00B62C82" w:rsidRPr="005F5BEA">
        <w:t>IECT</w:t>
      </w:r>
      <w:r w:rsidRPr="005F5BEA">
        <w:t xml:space="preserve"> </w:t>
      </w:r>
      <w:r w:rsidR="007D46D2" w:rsidRPr="005F5BEA">
        <w:t xml:space="preserve">technical </w:t>
      </w:r>
      <w:r w:rsidRPr="005F5BEA">
        <w:t xml:space="preserve">support. </w:t>
      </w:r>
      <w:r w:rsidR="00473660" w:rsidRPr="005F5BEA">
        <w:t>The cost of remote monitoring equipment (transmitter or smartphone app) and monitoring infrastructure (</w:t>
      </w:r>
      <w:r w:rsidR="00967DC0" w:rsidRPr="005F5BEA">
        <w:t xml:space="preserve">company-owned and maintained secure </w:t>
      </w:r>
      <w:r w:rsidR="00473660" w:rsidRPr="005F5BEA">
        <w:t xml:space="preserve">servers to store patients remote monitoring data either located in Australia or offshore) are also funded through </w:t>
      </w:r>
      <w:r w:rsidR="00967DC0" w:rsidRPr="005F5BEA">
        <w:t>a separate</w:t>
      </w:r>
      <w:r w:rsidR="00473660" w:rsidRPr="005F5BEA">
        <w:t xml:space="preserve"> </w:t>
      </w:r>
      <w:r w:rsidR="00967DC0" w:rsidRPr="005F5BEA">
        <w:t>PL benefit</w:t>
      </w:r>
      <w:r w:rsidR="00473660" w:rsidRPr="005F5BEA">
        <w:t>; it is unclear whether th</w:t>
      </w:r>
      <w:r w:rsidR="00CB083F" w:rsidRPr="005F5BEA">
        <w:t>is</w:t>
      </w:r>
      <w:r w:rsidR="00473660" w:rsidRPr="005F5BEA">
        <w:t xml:space="preserve"> </w:t>
      </w:r>
      <w:r w:rsidR="00967DC0" w:rsidRPr="005F5BEA">
        <w:t xml:space="preserve">PL benefit for remote monitoring equipment </w:t>
      </w:r>
      <w:r w:rsidR="00473660" w:rsidRPr="005F5BEA">
        <w:t xml:space="preserve">includes </w:t>
      </w:r>
      <w:r w:rsidR="00CB083F" w:rsidRPr="005F5BEA">
        <w:t xml:space="preserve">an allowance for </w:t>
      </w:r>
      <w:r w:rsidR="008635F0" w:rsidRPr="005F5BEA">
        <w:t>funding of</w:t>
      </w:r>
      <w:r w:rsidR="00C44281" w:rsidRPr="005F5BEA">
        <w:t xml:space="preserve"> </w:t>
      </w:r>
      <w:r w:rsidR="00473660" w:rsidRPr="005F5BEA">
        <w:t xml:space="preserve">technical support </w:t>
      </w:r>
      <w:r w:rsidR="008635F0" w:rsidRPr="005F5BEA">
        <w:t>services (transmission review and associated administration activities) for</w:t>
      </w:r>
      <w:r w:rsidR="00473660" w:rsidRPr="005F5BEA">
        <w:t xml:space="preserve"> </w:t>
      </w:r>
      <w:r w:rsidR="00C44281" w:rsidRPr="005F5BEA">
        <w:t xml:space="preserve">remote monitoring </w:t>
      </w:r>
      <w:r w:rsidR="00473660" w:rsidRPr="005F5BEA">
        <w:t>services</w:t>
      </w:r>
      <w:r w:rsidR="00967DC0" w:rsidRPr="005F5BEA">
        <w:t xml:space="preserve"> as considered by industry for </w:t>
      </w:r>
      <w:r w:rsidR="008635F0" w:rsidRPr="005F5BEA">
        <w:t xml:space="preserve">CIED </w:t>
      </w:r>
      <w:r w:rsidR="00CB083F" w:rsidRPr="005F5BEA">
        <w:t xml:space="preserve">follow-up </w:t>
      </w:r>
      <w:r w:rsidR="00967DC0" w:rsidRPr="005F5BEA">
        <w:t>technical support</w:t>
      </w:r>
      <w:r w:rsidR="008635F0" w:rsidRPr="005F5BEA">
        <w:t xml:space="preserve"> services</w:t>
      </w:r>
      <w:r w:rsidR="00967DC0" w:rsidRPr="005F5BEA">
        <w:t xml:space="preserve"> funded by CIED PL benefit</w:t>
      </w:r>
      <w:r w:rsidR="00CB083F" w:rsidRPr="005F5BEA">
        <w:t>s</w:t>
      </w:r>
      <w:r w:rsidR="00473660" w:rsidRPr="005F5BEA">
        <w:t>.</w:t>
      </w:r>
    </w:p>
    <w:p w14:paraId="350BC22A" w14:textId="3E8CB682" w:rsidR="002A64A5" w:rsidRPr="005F5BEA" w:rsidRDefault="002A64A5" w:rsidP="005926D9">
      <w:pPr>
        <w:keepNext/>
        <w:rPr>
          <w:rFonts w:ascii="Arial Narrow" w:eastAsia="Times New Roman" w:hAnsi="Arial Narrow" w:cs="Times New Roman"/>
          <w:b/>
          <w:bCs/>
          <w:sz w:val="20"/>
          <w:szCs w:val="20"/>
        </w:rPr>
      </w:pPr>
      <w:bookmarkStart w:id="23" w:name="_Ref120457912"/>
      <w:r w:rsidRPr="005F5BEA">
        <w:rPr>
          <w:rFonts w:ascii="Arial Narrow" w:eastAsia="Times New Roman" w:hAnsi="Arial Narrow" w:cs="Times New Roman"/>
          <w:b/>
          <w:bCs/>
          <w:sz w:val="20"/>
          <w:szCs w:val="20"/>
        </w:rPr>
        <w:lastRenderedPageBreak/>
        <w:t xml:space="preserve">Table </w:t>
      </w:r>
      <w:r w:rsidR="001C01D4" w:rsidRPr="005F5BEA">
        <w:rPr>
          <w:rFonts w:ascii="Arial Narrow" w:eastAsia="Times New Roman" w:hAnsi="Arial Narrow" w:cs="Times New Roman"/>
          <w:b/>
          <w:bCs/>
          <w:sz w:val="20"/>
          <w:szCs w:val="20"/>
        </w:rPr>
        <w:fldChar w:fldCharType="begin"/>
      </w:r>
      <w:r w:rsidR="001C01D4" w:rsidRPr="005F5BEA">
        <w:rPr>
          <w:rFonts w:ascii="Arial Narrow" w:eastAsia="Times New Roman" w:hAnsi="Arial Narrow" w:cs="Times New Roman"/>
          <w:b/>
          <w:bCs/>
          <w:sz w:val="20"/>
          <w:szCs w:val="20"/>
        </w:rPr>
        <w:instrText xml:space="preserve"> SEQ Table \* ARABIC </w:instrText>
      </w:r>
      <w:r w:rsidR="001C01D4" w:rsidRPr="005F5BEA">
        <w:rPr>
          <w:rFonts w:ascii="Arial Narrow" w:eastAsia="Times New Roman" w:hAnsi="Arial Narrow" w:cs="Times New Roman"/>
          <w:b/>
          <w:bCs/>
          <w:sz w:val="20"/>
          <w:szCs w:val="20"/>
        </w:rPr>
        <w:fldChar w:fldCharType="separate"/>
      </w:r>
      <w:r w:rsidR="00334548">
        <w:rPr>
          <w:rFonts w:ascii="Arial Narrow" w:eastAsia="Times New Roman" w:hAnsi="Arial Narrow" w:cs="Times New Roman"/>
          <w:b/>
          <w:bCs/>
          <w:noProof/>
          <w:sz w:val="20"/>
          <w:szCs w:val="20"/>
        </w:rPr>
        <w:t>6</w:t>
      </w:r>
      <w:r w:rsidR="001C01D4" w:rsidRPr="005F5BEA">
        <w:rPr>
          <w:rFonts w:ascii="Arial Narrow" w:eastAsia="Times New Roman" w:hAnsi="Arial Narrow" w:cs="Times New Roman"/>
          <w:b/>
          <w:bCs/>
          <w:sz w:val="20"/>
          <w:szCs w:val="20"/>
        </w:rPr>
        <w:fldChar w:fldCharType="end"/>
      </w:r>
      <w:bookmarkEnd w:id="23"/>
      <w:r w:rsidRPr="005F5BEA">
        <w:rPr>
          <w:rFonts w:ascii="Arial Narrow" w:eastAsia="Times New Roman" w:hAnsi="Arial Narrow" w:cs="Times New Roman"/>
          <w:b/>
          <w:bCs/>
          <w:sz w:val="20"/>
          <w:szCs w:val="20"/>
        </w:rPr>
        <w:t xml:space="preserve"> Prostheses list items</w:t>
      </w:r>
    </w:p>
    <w:tbl>
      <w:tblPr>
        <w:tblStyle w:val="MSAC"/>
        <w:tblW w:w="4933" w:type="pct"/>
        <w:tblLook w:val="01E0" w:firstRow="1" w:lastRow="1" w:firstColumn="1" w:lastColumn="1" w:noHBand="0" w:noVBand="0"/>
      </w:tblPr>
      <w:tblGrid>
        <w:gridCol w:w="1440"/>
        <w:gridCol w:w="3233"/>
        <w:gridCol w:w="2126"/>
        <w:gridCol w:w="2096"/>
      </w:tblGrid>
      <w:tr w:rsidR="008821CD" w:rsidRPr="005F5BEA" w14:paraId="1F0814A5" w14:textId="77777777" w:rsidTr="008821CD">
        <w:trPr>
          <w:cnfStyle w:val="100000000000" w:firstRow="1" w:lastRow="0" w:firstColumn="0" w:lastColumn="0" w:oddVBand="0" w:evenVBand="0" w:oddHBand="0" w:evenHBand="0" w:firstRowFirstColumn="0" w:firstRowLastColumn="0" w:lastRowFirstColumn="0" w:lastRowLastColumn="0"/>
          <w:trHeight w:val="322"/>
        </w:trPr>
        <w:tc>
          <w:tcPr>
            <w:tcW w:w="809" w:type="pct"/>
            <w:vAlign w:val="top"/>
          </w:tcPr>
          <w:p w14:paraId="547644C3" w14:textId="77777777" w:rsidR="008821CD" w:rsidRPr="005F5BEA" w:rsidRDefault="008821CD" w:rsidP="005926D9">
            <w:pPr>
              <w:pStyle w:val="Tableheader"/>
              <w:spacing w:before="0"/>
              <w:rPr>
                <w:b/>
                <w:color w:val="auto"/>
              </w:rPr>
            </w:pPr>
            <w:r w:rsidRPr="005F5BEA">
              <w:rPr>
                <w:b/>
                <w:color w:val="auto"/>
              </w:rPr>
              <w:t>Device category</w:t>
            </w:r>
          </w:p>
        </w:tc>
        <w:tc>
          <w:tcPr>
            <w:tcW w:w="1817" w:type="pct"/>
            <w:vAlign w:val="top"/>
          </w:tcPr>
          <w:p w14:paraId="5838C94D" w14:textId="77777777" w:rsidR="008821CD" w:rsidRPr="005F5BEA" w:rsidRDefault="008821CD" w:rsidP="005926D9">
            <w:pPr>
              <w:pStyle w:val="Tableheader"/>
              <w:spacing w:before="0"/>
              <w:rPr>
                <w:b/>
                <w:color w:val="auto"/>
              </w:rPr>
            </w:pPr>
            <w:r w:rsidRPr="005F5BEA">
              <w:rPr>
                <w:b/>
                <w:color w:val="auto"/>
              </w:rPr>
              <w:t>Product group</w:t>
            </w:r>
          </w:p>
        </w:tc>
        <w:tc>
          <w:tcPr>
            <w:tcW w:w="1195" w:type="pct"/>
            <w:vAlign w:val="top"/>
          </w:tcPr>
          <w:p w14:paraId="475A0418" w14:textId="77777777" w:rsidR="008821CD" w:rsidRPr="005F5BEA" w:rsidRDefault="008821CD" w:rsidP="005926D9">
            <w:pPr>
              <w:pStyle w:val="Tableheader"/>
              <w:spacing w:before="0"/>
              <w:rPr>
                <w:b/>
                <w:color w:val="auto"/>
              </w:rPr>
            </w:pPr>
            <w:r w:rsidRPr="005F5BEA">
              <w:rPr>
                <w:b/>
                <w:color w:val="auto"/>
              </w:rPr>
              <w:t>Benefit</w:t>
            </w:r>
          </w:p>
        </w:tc>
        <w:tc>
          <w:tcPr>
            <w:tcW w:w="1178" w:type="pct"/>
            <w:vAlign w:val="top"/>
          </w:tcPr>
          <w:p w14:paraId="5A12D1D1" w14:textId="77777777" w:rsidR="008821CD" w:rsidRPr="005F5BEA" w:rsidRDefault="008821CD" w:rsidP="005926D9">
            <w:pPr>
              <w:pStyle w:val="Tableheader"/>
              <w:spacing w:before="0"/>
              <w:rPr>
                <w:b/>
                <w:color w:val="auto"/>
              </w:rPr>
            </w:pPr>
            <w:r w:rsidRPr="005F5BEA">
              <w:rPr>
                <w:b/>
                <w:color w:val="auto"/>
              </w:rPr>
              <w:t>Last updated</w:t>
            </w:r>
          </w:p>
        </w:tc>
      </w:tr>
      <w:tr w:rsidR="008821CD" w:rsidRPr="005F5BEA" w14:paraId="633658CF" w14:textId="77777777" w:rsidTr="008821CD">
        <w:trPr>
          <w:trHeight w:val="287"/>
        </w:trPr>
        <w:tc>
          <w:tcPr>
            <w:tcW w:w="809" w:type="pct"/>
            <w:vMerge w:val="restart"/>
          </w:tcPr>
          <w:p w14:paraId="140CCFFE" w14:textId="77777777" w:rsidR="008821CD" w:rsidRPr="005F5BEA" w:rsidRDefault="008821CD" w:rsidP="005926D9">
            <w:pPr>
              <w:pStyle w:val="TableText"/>
              <w:keepNext/>
              <w:spacing w:before="0" w:after="0"/>
            </w:pPr>
            <w:r w:rsidRPr="005F5BEA">
              <w:t>PPM</w:t>
            </w:r>
          </w:p>
        </w:tc>
        <w:tc>
          <w:tcPr>
            <w:tcW w:w="1817" w:type="pct"/>
          </w:tcPr>
          <w:p w14:paraId="4A93F2C7" w14:textId="77777777" w:rsidR="008821CD" w:rsidRPr="005F5BEA" w:rsidRDefault="008821CD" w:rsidP="005926D9">
            <w:pPr>
              <w:pStyle w:val="TableText"/>
              <w:keepNext/>
              <w:spacing w:before="0" w:after="0"/>
            </w:pPr>
            <w:r w:rsidRPr="005F5BEA">
              <w:t>08.04 - Single Chamber Pacemakers</w:t>
            </w:r>
          </w:p>
        </w:tc>
        <w:tc>
          <w:tcPr>
            <w:tcW w:w="1195" w:type="pct"/>
          </w:tcPr>
          <w:p w14:paraId="154A729B" w14:textId="77777777" w:rsidR="008821CD" w:rsidRPr="005F5BEA" w:rsidRDefault="008821CD" w:rsidP="005926D9">
            <w:pPr>
              <w:pStyle w:val="TableText"/>
              <w:keepNext/>
              <w:spacing w:before="0" w:after="0"/>
              <w:jc w:val="center"/>
            </w:pPr>
            <w:r w:rsidRPr="005F5BEA">
              <w:t>$3,948-$5,398</w:t>
            </w:r>
          </w:p>
        </w:tc>
        <w:tc>
          <w:tcPr>
            <w:tcW w:w="1178" w:type="pct"/>
          </w:tcPr>
          <w:p w14:paraId="0AE08AB8" w14:textId="77777777" w:rsidR="008821CD" w:rsidRPr="005F5BEA" w:rsidRDefault="008821CD" w:rsidP="005926D9">
            <w:pPr>
              <w:pStyle w:val="TableText"/>
              <w:keepNext/>
              <w:spacing w:before="0" w:after="0"/>
            </w:pPr>
            <w:r w:rsidRPr="005F5BEA">
              <w:t>May 2018-July 2021</w:t>
            </w:r>
          </w:p>
        </w:tc>
      </w:tr>
      <w:tr w:rsidR="008821CD" w:rsidRPr="005F5BEA" w14:paraId="3AABBFD8" w14:textId="77777777" w:rsidTr="008821CD">
        <w:trPr>
          <w:trHeight w:val="355"/>
        </w:trPr>
        <w:tc>
          <w:tcPr>
            <w:tcW w:w="809" w:type="pct"/>
            <w:vMerge/>
          </w:tcPr>
          <w:p w14:paraId="36F9DE3B" w14:textId="77777777" w:rsidR="008821CD" w:rsidRPr="005F5BEA" w:rsidRDefault="008821CD" w:rsidP="005926D9">
            <w:pPr>
              <w:pStyle w:val="TableText"/>
              <w:keepNext/>
              <w:spacing w:before="0" w:after="0"/>
            </w:pPr>
          </w:p>
        </w:tc>
        <w:tc>
          <w:tcPr>
            <w:tcW w:w="1817" w:type="pct"/>
          </w:tcPr>
          <w:p w14:paraId="2ACF5FE4" w14:textId="77777777" w:rsidR="008821CD" w:rsidRPr="005F5BEA" w:rsidRDefault="008821CD" w:rsidP="005926D9">
            <w:pPr>
              <w:pStyle w:val="TableText"/>
              <w:keepNext/>
              <w:spacing w:before="0" w:after="0"/>
            </w:pPr>
            <w:r w:rsidRPr="005F5BEA">
              <w:t>08.05 - Dual Chamber Pacemakers</w:t>
            </w:r>
          </w:p>
        </w:tc>
        <w:tc>
          <w:tcPr>
            <w:tcW w:w="1195" w:type="pct"/>
          </w:tcPr>
          <w:p w14:paraId="5A62A749" w14:textId="77777777" w:rsidR="008821CD" w:rsidRPr="005F5BEA" w:rsidRDefault="008821CD" w:rsidP="005926D9">
            <w:pPr>
              <w:pStyle w:val="TableText"/>
              <w:keepNext/>
              <w:spacing w:before="0" w:after="0"/>
              <w:jc w:val="center"/>
            </w:pPr>
            <w:r w:rsidRPr="005F5BEA">
              <w:t>$4,502-$9,296</w:t>
            </w:r>
          </w:p>
        </w:tc>
        <w:tc>
          <w:tcPr>
            <w:tcW w:w="1178" w:type="pct"/>
          </w:tcPr>
          <w:p w14:paraId="60EB370C" w14:textId="77777777" w:rsidR="008821CD" w:rsidRPr="005F5BEA" w:rsidRDefault="008821CD" w:rsidP="005926D9">
            <w:pPr>
              <w:pStyle w:val="TableText"/>
              <w:keepNext/>
              <w:spacing w:before="0" w:after="0"/>
            </w:pPr>
            <w:r w:rsidRPr="005F5BEA">
              <w:t>May 2018-July 2021</w:t>
            </w:r>
          </w:p>
        </w:tc>
      </w:tr>
      <w:tr w:rsidR="008821CD" w:rsidRPr="005F5BEA" w14:paraId="482450CF" w14:textId="77777777" w:rsidTr="008821CD">
        <w:trPr>
          <w:trHeight w:val="355"/>
        </w:trPr>
        <w:tc>
          <w:tcPr>
            <w:tcW w:w="809" w:type="pct"/>
            <w:vMerge/>
          </w:tcPr>
          <w:p w14:paraId="69EB9E4D" w14:textId="77777777" w:rsidR="008821CD" w:rsidRPr="005F5BEA" w:rsidRDefault="008821CD" w:rsidP="005926D9">
            <w:pPr>
              <w:pStyle w:val="TableText"/>
              <w:keepNext/>
              <w:spacing w:before="0" w:after="0"/>
            </w:pPr>
          </w:p>
        </w:tc>
        <w:tc>
          <w:tcPr>
            <w:tcW w:w="1817" w:type="pct"/>
          </w:tcPr>
          <w:p w14:paraId="0F24F234" w14:textId="77777777" w:rsidR="008821CD" w:rsidRPr="005F5BEA" w:rsidRDefault="008821CD" w:rsidP="005926D9">
            <w:pPr>
              <w:pStyle w:val="TableText"/>
              <w:keepNext/>
              <w:spacing w:before="0" w:after="0"/>
            </w:pPr>
            <w:r w:rsidRPr="005F5BEA">
              <w:t>08.09 - Pacemaker/ICD Adaptors</w:t>
            </w:r>
          </w:p>
        </w:tc>
        <w:tc>
          <w:tcPr>
            <w:tcW w:w="1195" w:type="pct"/>
          </w:tcPr>
          <w:p w14:paraId="67AC89F4" w14:textId="77777777" w:rsidR="008821CD" w:rsidRPr="005F5BEA" w:rsidRDefault="008821CD" w:rsidP="005926D9">
            <w:pPr>
              <w:pStyle w:val="TableText"/>
              <w:keepNext/>
              <w:spacing w:before="0" w:after="0"/>
              <w:jc w:val="center"/>
            </w:pPr>
            <w:r w:rsidRPr="005F5BEA">
              <w:t>$333</w:t>
            </w:r>
          </w:p>
        </w:tc>
        <w:tc>
          <w:tcPr>
            <w:tcW w:w="1178" w:type="pct"/>
          </w:tcPr>
          <w:p w14:paraId="514E6923" w14:textId="77777777" w:rsidR="008821CD" w:rsidRPr="005F5BEA" w:rsidRDefault="008821CD" w:rsidP="005926D9">
            <w:pPr>
              <w:pStyle w:val="TableText"/>
              <w:keepNext/>
              <w:spacing w:before="0" w:after="0"/>
            </w:pPr>
            <w:r w:rsidRPr="005F5BEA">
              <w:t>May 2018- March 2021</w:t>
            </w:r>
          </w:p>
        </w:tc>
      </w:tr>
      <w:tr w:rsidR="008821CD" w:rsidRPr="005F5BEA" w14:paraId="6E65FCC5" w14:textId="77777777" w:rsidTr="008821CD">
        <w:trPr>
          <w:trHeight w:val="355"/>
        </w:trPr>
        <w:tc>
          <w:tcPr>
            <w:tcW w:w="809" w:type="pct"/>
            <w:vMerge/>
          </w:tcPr>
          <w:p w14:paraId="343D0106" w14:textId="77777777" w:rsidR="008821CD" w:rsidRPr="005F5BEA" w:rsidRDefault="008821CD" w:rsidP="005926D9">
            <w:pPr>
              <w:pStyle w:val="TableText"/>
              <w:spacing w:before="0" w:after="0"/>
            </w:pPr>
          </w:p>
        </w:tc>
        <w:tc>
          <w:tcPr>
            <w:tcW w:w="1817" w:type="pct"/>
          </w:tcPr>
          <w:p w14:paraId="235D0545" w14:textId="77777777" w:rsidR="008821CD" w:rsidRPr="005F5BEA" w:rsidRDefault="008821CD" w:rsidP="005926D9">
            <w:pPr>
              <w:pStyle w:val="TableText"/>
              <w:spacing w:before="0" w:after="0"/>
            </w:pPr>
            <w:r w:rsidRPr="005F5BEA">
              <w:t>08.10 - Pacemaker/ICD Extenders</w:t>
            </w:r>
          </w:p>
        </w:tc>
        <w:tc>
          <w:tcPr>
            <w:tcW w:w="1195" w:type="pct"/>
          </w:tcPr>
          <w:p w14:paraId="574A646B" w14:textId="77777777" w:rsidR="008821CD" w:rsidRPr="005F5BEA" w:rsidRDefault="008821CD" w:rsidP="005926D9">
            <w:pPr>
              <w:pStyle w:val="TableText"/>
              <w:spacing w:before="0" w:after="0"/>
              <w:jc w:val="center"/>
            </w:pPr>
            <w:r w:rsidRPr="005F5BEA">
              <w:t>$353</w:t>
            </w:r>
          </w:p>
        </w:tc>
        <w:tc>
          <w:tcPr>
            <w:tcW w:w="1178" w:type="pct"/>
          </w:tcPr>
          <w:p w14:paraId="53A4A54A" w14:textId="77777777" w:rsidR="008821CD" w:rsidRPr="005F5BEA" w:rsidRDefault="008821CD" w:rsidP="005926D9">
            <w:pPr>
              <w:pStyle w:val="TableText"/>
              <w:spacing w:before="0" w:after="0"/>
            </w:pPr>
            <w:r w:rsidRPr="005F5BEA">
              <w:t>May 2018- March 2021</w:t>
            </w:r>
          </w:p>
        </w:tc>
      </w:tr>
      <w:tr w:rsidR="008821CD" w:rsidRPr="005F5BEA" w14:paraId="7A8A5909" w14:textId="77777777" w:rsidTr="008821CD">
        <w:trPr>
          <w:trHeight w:val="355"/>
        </w:trPr>
        <w:tc>
          <w:tcPr>
            <w:tcW w:w="809" w:type="pct"/>
            <w:vMerge/>
          </w:tcPr>
          <w:p w14:paraId="599EF931" w14:textId="77777777" w:rsidR="008821CD" w:rsidRPr="005F5BEA" w:rsidRDefault="008821CD" w:rsidP="005926D9">
            <w:pPr>
              <w:pStyle w:val="TableText"/>
              <w:spacing w:before="0" w:after="0"/>
            </w:pPr>
          </w:p>
        </w:tc>
        <w:tc>
          <w:tcPr>
            <w:tcW w:w="1817" w:type="pct"/>
          </w:tcPr>
          <w:p w14:paraId="42CAAEBB" w14:textId="77777777" w:rsidR="008821CD" w:rsidRPr="005F5BEA" w:rsidRDefault="008821CD" w:rsidP="005926D9">
            <w:pPr>
              <w:pStyle w:val="TableText"/>
              <w:spacing w:before="0" w:after="0"/>
            </w:pPr>
            <w:r w:rsidRPr="005F5BEA">
              <w:t>08.11 - Pacemaker/Lead Accessories</w:t>
            </w:r>
          </w:p>
        </w:tc>
        <w:tc>
          <w:tcPr>
            <w:tcW w:w="1195" w:type="pct"/>
          </w:tcPr>
          <w:p w14:paraId="63B072C6" w14:textId="77777777" w:rsidR="008821CD" w:rsidRPr="005F5BEA" w:rsidRDefault="008821CD" w:rsidP="005926D9">
            <w:pPr>
              <w:pStyle w:val="TableText"/>
              <w:spacing w:before="0" w:after="0"/>
              <w:jc w:val="center"/>
            </w:pPr>
            <w:r w:rsidRPr="005F5BEA">
              <w:t>$54-$867</w:t>
            </w:r>
          </w:p>
        </w:tc>
        <w:tc>
          <w:tcPr>
            <w:tcW w:w="1178" w:type="pct"/>
          </w:tcPr>
          <w:p w14:paraId="663E2E7D" w14:textId="77777777" w:rsidR="008821CD" w:rsidRPr="005F5BEA" w:rsidRDefault="008821CD" w:rsidP="005926D9">
            <w:pPr>
              <w:pStyle w:val="TableText"/>
              <w:spacing w:before="0" w:after="0"/>
            </w:pPr>
            <w:r w:rsidRPr="005F5BEA">
              <w:t>May 2018- March 2021</w:t>
            </w:r>
          </w:p>
        </w:tc>
      </w:tr>
      <w:tr w:rsidR="008821CD" w:rsidRPr="005F5BEA" w14:paraId="75F535CD" w14:textId="77777777" w:rsidTr="008821CD">
        <w:trPr>
          <w:trHeight w:val="355"/>
        </w:trPr>
        <w:tc>
          <w:tcPr>
            <w:tcW w:w="809" w:type="pct"/>
            <w:vMerge/>
          </w:tcPr>
          <w:p w14:paraId="2886A721" w14:textId="77777777" w:rsidR="008821CD" w:rsidRPr="005F5BEA" w:rsidRDefault="008821CD" w:rsidP="005926D9">
            <w:pPr>
              <w:pStyle w:val="TableText"/>
              <w:spacing w:before="0" w:after="0"/>
            </w:pPr>
          </w:p>
        </w:tc>
        <w:tc>
          <w:tcPr>
            <w:tcW w:w="1817" w:type="pct"/>
          </w:tcPr>
          <w:p w14:paraId="50C67661" w14:textId="77777777" w:rsidR="008821CD" w:rsidRPr="005F5BEA" w:rsidRDefault="008821CD" w:rsidP="005926D9">
            <w:pPr>
              <w:pStyle w:val="TableText"/>
              <w:spacing w:before="0" w:after="0"/>
            </w:pPr>
            <w:r w:rsidRPr="005F5BEA">
              <w:t>08.16 - Remote Monitoring System</w:t>
            </w:r>
          </w:p>
        </w:tc>
        <w:tc>
          <w:tcPr>
            <w:tcW w:w="1195" w:type="pct"/>
          </w:tcPr>
          <w:p w14:paraId="43D54C86" w14:textId="77777777" w:rsidR="008821CD" w:rsidRPr="005F5BEA" w:rsidRDefault="008821CD" w:rsidP="005926D9">
            <w:pPr>
              <w:pStyle w:val="TableText"/>
              <w:spacing w:before="0" w:after="0"/>
              <w:jc w:val="center"/>
            </w:pPr>
            <w:r w:rsidRPr="005F5BEA">
              <w:t>$1,450</w:t>
            </w:r>
          </w:p>
        </w:tc>
        <w:tc>
          <w:tcPr>
            <w:tcW w:w="1178" w:type="pct"/>
          </w:tcPr>
          <w:p w14:paraId="4A13D593" w14:textId="77777777" w:rsidR="008821CD" w:rsidRPr="005F5BEA" w:rsidRDefault="008821CD" w:rsidP="005926D9">
            <w:pPr>
              <w:pStyle w:val="TableText"/>
              <w:spacing w:before="0" w:after="0"/>
            </w:pPr>
            <w:r w:rsidRPr="005F5BEA">
              <w:t>July 2019- March 2021</w:t>
            </w:r>
          </w:p>
        </w:tc>
      </w:tr>
      <w:tr w:rsidR="008821CD" w:rsidRPr="005F5BEA" w14:paraId="69212FCA" w14:textId="77777777" w:rsidTr="008821CD">
        <w:trPr>
          <w:trHeight w:val="355"/>
        </w:trPr>
        <w:tc>
          <w:tcPr>
            <w:tcW w:w="809" w:type="pct"/>
            <w:vMerge w:val="restart"/>
          </w:tcPr>
          <w:p w14:paraId="25E6ABB5" w14:textId="78BB9F89" w:rsidR="008821CD" w:rsidRPr="005F5BEA" w:rsidRDefault="008821CD" w:rsidP="005926D9">
            <w:pPr>
              <w:pStyle w:val="TableText"/>
              <w:spacing w:before="0" w:after="0"/>
            </w:pPr>
            <w:r w:rsidRPr="005F5BEA">
              <w:t>ICD</w:t>
            </w:r>
          </w:p>
        </w:tc>
        <w:tc>
          <w:tcPr>
            <w:tcW w:w="1817" w:type="pct"/>
          </w:tcPr>
          <w:p w14:paraId="1D55F527" w14:textId="77777777" w:rsidR="008821CD" w:rsidRPr="005F5BEA" w:rsidRDefault="008821CD" w:rsidP="005926D9">
            <w:pPr>
              <w:pStyle w:val="TableText"/>
              <w:spacing w:before="0" w:after="0"/>
            </w:pPr>
            <w:r w:rsidRPr="005F5BEA">
              <w:t>08.01 - Single Chamber ICDs</w:t>
            </w:r>
          </w:p>
        </w:tc>
        <w:tc>
          <w:tcPr>
            <w:tcW w:w="1195" w:type="pct"/>
          </w:tcPr>
          <w:p w14:paraId="795A46A8" w14:textId="77777777" w:rsidR="008821CD" w:rsidRPr="005F5BEA" w:rsidRDefault="008821CD" w:rsidP="005926D9">
            <w:pPr>
              <w:pStyle w:val="TableText"/>
              <w:spacing w:before="0" w:after="0"/>
              <w:jc w:val="center"/>
            </w:pPr>
            <w:r w:rsidRPr="005F5BEA">
              <w:t>$28,398 -$31,200</w:t>
            </w:r>
          </w:p>
        </w:tc>
        <w:tc>
          <w:tcPr>
            <w:tcW w:w="1178" w:type="pct"/>
          </w:tcPr>
          <w:p w14:paraId="4A819AEC" w14:textId="77777777" w:rsidR="008821CD" w:rsidRPr="005F5BEA" w:rsidRDefault="008821CD" w:rsidP="005926D9">
            <w:pPr>
              <w:pStyle w:val="TableText"/>
              <w:spacing w:before="0" w:after="0"/>
            </w:pPr>
            <w:r w:rsidRPr="005F5BEA">
              <w:t>May 2018-November 2020</w:t>
            </w:r>
          </w:p>
        </w:tc>
      </w:tr>
      <w:tr w:rsidR="008821CD" w:rsidRPr="005F5BEA" w14:paraId="22B6C64C" w14:textId="77777777" w:rsidTr="008821CD">
        <w:trPr>
          <w:trHeight w:val="355"/>
        </w:trPr>
        <w:tc>
          <w:tcPr>
            <w:tcW w:w="809" w:type="pct"/>
            <w:vMerge/>
          </w:tcPr>
          <w:p w14:paraId="39335357" w14:textId="77777777" w:rsidR="008821CD" w:rsidRPr="005F5BEA" w:rsidRDefault="008821CD" w:rsidP="005926D9">
            <w:pPr>
              <w:pStyle w:val="TableText"/>
              <w:spacing w:before="0" w:after="0"/>
            </w:pPr>
          </w:p>
        </w:tc>
        <w:tc>
          <w:tcPr>
            <w:tcW w:w="1817" w:type="pct"/>
          </w:tcPr>
          <w:p w14:paraId="01110D39" w14:textId="77777777" w:rsidR="008821CD" w:rsidRPr="005F5BEA" w:rsidRDefault="008821CD" w:rsidP="005926D9">
            <w:pPr>
              <w:pStyle w:val="TableText"/>
              <w:spacing w:before="0" w:after="0"/>
            </w:pPr>
            <w:r w:rsidRPr="005F5BEA">
              <w:t>08.02 - Dual Chamber ICDs</w:t>
            </w:r>
          </w:p>
        </w:tc>
        <w:tc>
          <w:tcPr>
            <w:tcW w:w="1195" w:type="pct"/>
          </w:tcPr>
          <w:p w14:paraId="19A922D4" w14:textId="77777777" w:rsidR="008821CD" w:rsidRPr="005F5BEA" w:rsidRDefault="008821CD" w:rsidP="005926D9">
            <w:pPr>
              <w:pStyle w:val="TableText"/>
              <w:spacing w:before="0" w:after="0"/>
              <w:jc w:val="center"/>
            </w:pPr>
            <w:r w:rsidRPr="005F5BEA">
              <w:t>$31,389-$33,338</w:t>
            </w:r>
          </w:p>
        </w:tc>
        <w:tc>
          <w:tcPr>
            <w:tcW w:w="1178" w:type="pct"/>
          </w:tcPr>
          <w:p w14:paraId="786701A3" w14:textId="77777777" w:rsidR="008821CD" w:rsidRPr="005F5BEA" w:rsidRDefault="008821CD" w:rsidP="005926D9">
            <w:pPr>
              <w:pStyle w:val="TableText"/>
              <w:spacing w:before="0" w:after="0"/>
            </w:pPr>
            <w:r w:rsidRPr="005F5BEA">
              <w:t>July 2019-November 2020</w:t>
            </w:r>
          </w:p>
        </w:tc>
      </w:tr>
      <w:tr w:rsidR="008821CD" w:rsidRPr="005F5BEA" w14:paraId="1FF5227C" w14:textId="77777777" w:rsidTr="008821CD">
        <w:trPr>
          <w:trHeight w:val="355"/>
        </w:trPr>
        <w:tc>
          <w:tcPr>
            <w:tcW w:w="809" w:type="pct"/>
            <w:vMerge/>
          </w:tcPr>
          <w:p w14:paraId="58E223A8" w14:textId="77777777" w:rsidR="008821CD" w:rsidRPr="005F5BEA" w:rsidRDefault="008821CD" w:rsidP="005926D9">
            <w:pPr>
              <w:pStyle w:val="TableText"/>
              <w:spacing w:before="0" w:after="0"/>
            </w:pPr>
          </w:p>
        </w:tc>
        <w:tc>
          <w:tcPr>
            <w:tcW w:w="1817" w:type="pct"/>
          </w:tcPr>
          <w:p w14:paraId="767EB9E5" w14:textId="77777777" w:rsidR="008821CD" w:rsidRPr="005F5BEA" w:rsidRDefault="008821CD" w:rsidP="005926D9">
            <w:pPr>
              <w:pStyle w:val="TableText"/>
              <w:spacing w:before="0" w:after="0"/>
            </w:pPr>
            <w:r w:rsidRPr="005F5BEA">
              <w:t>08.07 - ICD Leads</w:t>
            </w:r>
          </w:p>
        </w:tc>
        <w:tc>
          <w:tcPr>
            <w:tcW w:w="1195" w:type="pct"/>
          </w:tcPr>
          <w:p w14:paraId="6F006E27" w14:textId="77777777" w:rsidR="008821CD" w:rsidRPr="005F5BEA" w:rsidRDefault="008821CD" w:rsidP="005926D9">
            <w:pPr>
              <w:pStyle w:val="TableText"/>
              <w:spacing w:before="0" w:after="0"/>
              <w:jc w:val="center"/>
            </w:pPr>
            <w:r w:rsidRPr="005F5BEA">
              <w:t>$1,559-$5,994</w:t>
            </w:r>
          </w:p>
        </w:tc>
        <w:tc>
          <w:tcPr>
            <w:tcW w:w="1178" w:type="pct"/>
          </w:tcPr>
          <w:p w14:paraId="451A6082" w14:textId="77777777" w:rsidR="008821CD" w:rsidRPr="005F5BEA" w:rsidRDefault="008821CD" w:rsidP="005926D9">
            <w:pPr>
              <w:pStyle w:val="TableText"/>
              <w:spacing w:before="0" w:after="0"/>
            </w:pPr>
            <w:r w:rsidRPr="005F5BEA">
              <w:t>May 2018- November 2020</w:t>
            </w:r>
          </w:p>
        </w:tc>
      </w:tr>
      <w:tr w:rsidR="008821CD" w:rsidRPr="005F5BEA" w14:paraId="53F1DE41" w14:textId="77777777" w:rsidTr="008821CD">
        <w:trPr>
          <w:trHeight w:val="355"/>
        </w:trPr>
        <w:tc>
          <w:tcPr>
            <w:tcW w:w="809" w:type="pct"/>
            <w:vMerge/>
          </w:tcPr>
          <w:p w14:paraId="1A38BEEC" w14:textId="77777777" w:rsidR="008821CD" w:rsidRPr="005F5BEA" w:rsidRDefault="008821CD" w:rsidP="005926D9">
            <w:pPr>
              <w:pStyle w:val="TableText"/>
              <w:spacing w:before="0" w:after="0"/>
            </w:pPr>
          </w:p>
        </w:tc>
        <w:tc>
          <w:tcPr>
            <w:tcW w:w="1817" w:type="pct"/>
          </w:tcPr>
          <w:p w14:paraId="0E012F57" w14:textId="77777777" w:rsidR="008821CD" w:rsidRPr="005F5BEA" w:rsidRDefault="008821CD" w:rsidP="005926D9">
            <w:pPr>
              <w:pStyle w:val="TableText"/>
              <w:spacing w:before="0" w:after="0"/>
            </w:pPr>
            <w:r w:rsidRPr="005F5BEA">
              <w:t>08.09 - Pacemaker/ICD Adaptors</w:t>
            </w:r>
          </w:p>
        </w:tc>
        <w:tc>
          <w:tcPr>
            <w:tcW w:w="1195" w:type="pct"/>
          </w:tcPr>
          <w:p w14:paraId="45D3C0F2" w14:textId="77777777" w:rsidR="008821CD" w:rsidRPr="005F5BEA" w:rsidRDefault="008821CD" w:rsidP="005926D9">
            <w:pPr>
              <w:pStyle w:val="TableText"/>
              <w:spacing w:before="0" w:after="0"/>
              <w:jc w:val="center"/>
            </w:pPr>
            <w:r w:rsidRPr="005F5BEA">
              <w:t>$333</w:t>
            </w:r>
          </w:p>
        </w:tc>
        <w:tc>
          <w:tcPr>
            <w:tcW w:w="1178" w:type="pct"/>
          </w:tcPr>
          <w:p w14:paraId="2EBE41DF" w14:textId="77777777" w:rsidR="008821CD" w:rsidRPr="005F5BEA" w:rsidRDefault="008821CD" w:rsidP="005926D9">
            <w:pPr>
              <w:pStyle w:val="TableText"/>
              <w:spacing w:before="0" w:after="0"/>
            </w:pPr>
            <w:r w:rsidRPr="005F5BEA">
              <w:t>May 2018- March 2021</w:t>
            </w:r>
          </w:p>
        </w:tc>
      </w:tr>
      <w:tr w:rsidR="008821CD" w:rsidRPr="005F5BEA" w14:paraId="1F396B27" w14:textId="77777777" w:rsidTr="008821CD">
        <w:trPr>
          <w:trHeight w:val="355"/>
        </w:trPr>
        <w:tc>
          <w:tcPr>
            <w:tcW w:w="809" w:type="pct"/>
            <w:vMerge/>
          </w:tcPr>
          <w:p w14:paraId="00E84014" w14:textId="77777777" w:rsidR="008821CD" w:rsidRPr="005F5BEA" w:rsidRDefault="008821CD" w:rsidP="005926D9">
            <w:pPr>
              <w:pStyle w:val="TableText"/>
              <w:spacing w:before="0" w:after="0"/>
            </w:pPr>
          </w:p>
        </w:tc>
        <w:tc>
          <w:tcPr>
            <w:tcW w:w="1817" w:type="pct"/>
          </w:tcPr>
          <w:p w14:paraId="68EEF849" w14:textId="77777777" w:rsidR="008821CD" w:rsidRPr="005F5BEA" w:rsidRDefault="008821CD" w:rsidP="005926D9">
            <w:pPr>
              <w:pStyle w:val="TableText"/>
              <w:spacing w:before="0" w:after="0"/>
            </w:pPr>
            <w:r w:rsidRPr="005F5BEA">
              <w:t>08.10 - Pacemaker/ICD Extenders</w:t>
            </w:r>
          </w:p>
        </w:tc>
        <w:tc>
          <w:tcPr>
            <w:tcW w:w="1195" w:type="pct"/>
          </w:tcPr>
          <w:p w14:paraId="00DD6488" w14:textId="77777777" w:rsidR="008821CD" w:rsidRPr="005F5BEA" w:rsidRDefault="008821CD" w:rsidP="005926D9">
            <w:pPr>
              <w:pStyle w:val="TableText"/>
              <w:spacing w:before="0" w:after="0"/>
              <w:jc w:val="center"/>
            </w:pPr>
            <w:r w:rsidRPr="005F5BEA">
              <w:t>$353</w:t>
            </w:r>
          </w:p>
        </w:tc>
        <w:tc>
          <w:tcPr>
            <w:tcW w:w="1178" w:type="pct"/>
          </w:tcPr>
          <w:p w14:paraId="1E257D02" w14:textId="77777777" w:rsidR="008821CD" w:rsidRPr="005F5BEA" w:rsidRDefault="008821CD" w:rsidP="005926D9">
            <w:pPr>
              <w:pStyle w:val="TableText"/>
              <w:spacing w:before="0" w:after="0"/>
            </w:pPr>
            <w:r w:rsidRPr="005F5BEA">
              <w:t>May 2018- March 2021</w:t>
            </w:r>
          </w:p>
        </w:tc>
      </w:tr>
      <w:tr w:rsidR="008821CD" w:rsidRPr="005F5BEA" w14:paraId="29771F05" w14:textId="77777777" w:rsidTr="008821CD">
        <w:trPr>
          <w:trHeight w:val="355"/>
        </w:trPr>
        <w:tc>
          <w:tcPr>
            <w:tcW w:w="809" w:type="pct"/>
            <w:vMerge/>
          </w:tcPr>
          <w:p w14:paraId="78D07E32" w14:textId="77777777" w:rsidR="008821CD" w:rsidRPr="005F5BEA" w:rsidRDefault="008821CD" w:rsidP="005926D9">
            <w:pPr>
              <w:pStyle w:val="TableText"/>
              <w:spacing w:before="0" w:after="0"/>
            </w:pPr>
          </w:p>
        </w:tc>
        <w:tc>
          <w:tcPr>
            <w:tcW w:w="1817" w:type="pct"/>
          </w:tcPr>
          <w:p w14:paraId="71864BDB" w14:textId="77777777" w:rsidR="008821CD" w:rsidRPr="005F5BEA" w:rsidRDefault="008821CD" w:rsidP="005926D9">
            <w:pPr>
              <w:pStyle w:val="TableText"/>
              <w:spacing w:before="0" w:after="0"/>
            </w:pPr>
            <w:r w:rsidRPr="005F5BEA">
              <w:t>08.16 - Remote Monitoring System</w:t>
            </w:r>
          </w:p>
        </w:tc>
        <w:tc>
          <w:tcPr>
            <w:tcW w:w="1195" w:type="pct"/>
          </w:tcPr>
          <w:p w14:paraId="6CC89F79" w14:textId="77777777" w:rsidR="008821CD" w:rsidRPr="005F5BEA" w:rsidRDefault="008821CD" w:rsidP="005926D9">
            <w:pPr>
              <w:pStyle w:val="TableText"/>
              <w:spacing w:before="0" w:after="0"/>
              <w:jc w:val="center"/>
            </w:pPr>
            <w:r w:rsidRPr="005F5BEA">
              <w:t>$1,450</w:t>
            </w:r>
          </w:p>
        </w:tc>
        <w:tc>
          <w:tcPr>
            <w:tcW w:w="1178" w:type="pct"/>
          </w:tcPr>
          <w:p w14:paraId="38A19252" w14:textId="77777777" w:rsidR="008821CD" w:rsidRPr="005F5BEA" w:rsidRDefault="008821CD" w:rsidP="005926D9">
            <w:pPr>
              <w:pStyle w:val="TableText"/>
              <w:spacing w:before="0" w:after="0"/>
            </w:pPr>
            <w:r w:rsidRPr="005F5BEA">
              <w:t>July 2019- March 2021</w:t>
            </w:r>
          </w:p>
        </w:tc>
      </w:tr>
      <w:tr w:rsidR="008821CD" w:rsidRPr="005F5BEA" w14:paraId="4BFAADFE" w14:textId="77777777" w:rsidTr="008821CD">
        <w:trPr>
          <w:trHeight w:val="355"/>
        </w:trPr>
        <w:tc>
          <w:tcPr>
            <w:tcW w:w="809" w:type="pct"/>
            <w:vMerge w:val="restart"/>
          </w:tcPr>
          <w:p w14:paraId="59EDC461" w14:textId="052AF55C" w:rsidR="008821CD" w:rsidRPr="005F5BEA" w:rsidRDefault="008821CD" w:rsidP="005926D9">
            <w:pPr>
              <w:pStyle w:val="TableText"/>
              <w:spacing w:before="0" w:after="0"/>
            </w:pPr>
            <w:r w:rsidRPr="005F5BEA">
              <w:t>CRT</w:t>
            </w:r>
            <w:r w:rsidR="005B1245" w:rsidRPr="005F5BEA">
              <w:t>D</w:t>
            </w:r>
          </w:p>
        </w:tc>
        <w:tc>
          <w:tcPr>
            <w:tcW w:w="1817" w:type="pct"/>
          </w:tcPr>
          <w:p w14:paraId="1193949C" w14:textId="77777777" w:rsidR="008821CD" w:rsidRPr="005F5BEA" w:rsidRDefault="008821CD" w:rsidP="005926D9">
            <w:pPr>
              <w:pStyle w:val="TableText"/>
              <w:spacing w:before="0" w:after="0"/>
            </w:pPr>
            <w:r w:rsidRPr="005F5BEA">
              <w:t>08.03 - ICDs with CRT</w:t>
            </w:r>
          </w:p>
        </w:tc>
        <w:tc>
          <w:tcPr>
            <w:tcW w:w="1195" w:type="pct"/>
          </w:tcPr>
          <w:p w14:paraId="04BC784E" w14:textId="77777777" w:rsidR="008821CD" w:rsidRPr="005F5BEA" w:rsidRDefault="008821CD" w:rsidP="005926D9">
            <w:pPr>
              <w:pStyle w:val="TableText"/>
              <w:spacing w:before="0" w:after="0"/>
              <w:jc w:val="center"/>
            </w:pPr>
            <w:r w:rsidRPr="005F5BEA">
              <w:t>$34,632-$36,582</w:t>
            </w:r>
          </w:p>
        </w:tc>
        <w:tc>
          <w:tcPr>
            <w:tcW w:w="1178" w:type="pct"/>
          </w:tcPr>
          <w:p w14:paraId="745DC27A" w14:textId="77777777" w:rsidR="008821CD" w:rsidRPr="005F5BEA" w:rsidRDefault="008821CD" w:rsidP="005926D9">
            <w:pPr>
              <w:pStyle w:val="TableText"/>
              <w:spacing w:before="0" w:after="0"/>
            </w:pPr>
            <w:r w:rsidRPr="005F5BEA">
              <w:t>July 2019-November 2020</w:t>
            </w:r>
          </w:p>
        </w:tc>
      </w:tr>
      <w:tr w:rsidR="008821CD" w:rsidRPr="005F5BEA" w14:paraId="5D17E304" w14:textId="77777777" w:rsidTr="008821CD">
        <w:trPr>
          <w:trHeight w:val="355"/>
        </w:trPr>
        <w:tc>
          <w:tcPr>
            <w:tcW w:w="809" w:type="pct"/>
            <w:vMerge/>
          </w:tcPr>
          <w:p w14:paraId="6AF1C3DC" w14:textId="77777777" w:rsidR="008821CD" w:rsidRPr="005F5BEA" w:rsidRDefault="008821CD" w:rsidP="005926D9">
            <w:pPr>
              <w:pStyle w:val="TableText"/>
              <w:spacing w:before="0" w:after="0"/>
            </w:pPr>
          </w:p>
        </w:tc>
        <w:tc>
          <w:tcPr>
            <w:tcW w:w="1817" w:type="pct"/>
          </w:tcPr>
          <w:p w14:paraId="57F3BFEA" w14:textId="5C138A7C" w:rsidR="008821CD" w:rsidRPr="005F5BEA" w:rsidRDefault="008821CD" w:rsidP="005926D9">
            <w:pPr>
              <w:pStyle w:val="TableText"/>
              <w:spacing w:before="0" w:after="0"/>
            </w:pPr>
            <w:r w:rsidRPr="005F5BEA">
              <w:t>08.06 - CRT</w:t>
            </w:r>
            <w:r w:rsidR="005B1245" w:rsidRPr="005F5BEA">
              <w:t>D</w:t>
            </w:r>
            <w:r w:rsidRPr="005F5BEA">
              <w:t xml:space="preserve"> Pacemakers</w:t>
            </w:r>
          </w:p>
        </w:tc>
        <w:tc>
          <w:tcPr>
            <w:tcW w:w="1195" w:type="pct"/>
          </w:tcPr>
          <w:p w14:paraId="219DAE11" w14:textId="77777777" w:rsidR="008821CD" w:rsidRPr="005F5BEA" w:rsidRDefault="008821CD" w:rsidP="005926D9">
            <w:pPr>
              <w:pStyle w:val="TableText"/>
              <w:spacing w:before="0" w:after="0"/>
              <w:jc w:val="center"/>
            </w:pPr>
            <w:r w:rsidRPr="005F5BEA">
              <w:t>$9,004-$10,454</w:t>
            </w:r>
          </w:p>
        </w:tc>
        <w:tc>
          <w:tcPr>
            <w:tcW w:w="1178" w:type="pct"/>
          </w:tcPr>
          <w:p w14:paraId="54D7279F" w14:textId="77777777" w:rsidR="008821CD" w:rsidRPr="005F5BEA" w:rsidRDefault="008821CD" w:rsidP="005926D9">
            <w:pPr>
              <w:pStyle w:val="TableText"/>
              <w:spacing w:before="0" w:after="0"/>
            </w:pPr>
            <w:r w:rsidRPr="005F5BEA">
              <w:t>May 2018-July 2021</w:t>
            </w:r>
          </w:p>
        </w:tc>
      </w:tr>
      <w:tr w:rsidR="008821CD" w:rsidRPr="005F5BEA" w14:paraId="46C6B32D" w14:textId="77777777" w:rsidTr="008821CD">
        <w:trPr>
          <w:trHeight w:val="355"/>
        </w:trPr>
        <w:tc>
          <w:tcPr>
            <w:tcW w:w="809" w:type="pct"/>
            <w:vMerge/>
          </w:tcPr>
          <w:p w14:paraId="786CEBA3" w14:textId="77777777" w:rsidR="008821CD" w:rsidRPr="005F5BEA" w:rsidRDefault="008821CD" w:rsidP="005926D9">
            <w:pPr>
              <w:pStyle w:val="TableText"/>
              <w:spacing w:before="0" w:after="0"/>
            </w:pPr>
          </w:p>
        </w:tc>
        <w:tc>
          <w:tcPr>
            <w:tcW w:w="1817" w:type="pct"/>
          </w:tcPr>
          <w:p w14:paraId="0598CE98" w14:textId="77777777" w:rsidR="008821CD" w:rsidRPr="005F5BEA" w:rsidRDefault="008821CD" w:rsidP="005926D9">
            <w:pPr>
              <w:pStyle w:val="TableText"/>
              <w:spacing w:before="0" w:after="0"/>
            </w:pPr>
            <w:r w:rsidRPr="005F5BEA">
              <w:t>08.16 - Remote Monitoring System</w:t>
            </w:r>
          </w:p>
        </w:tc>
        <w:tc>
          <w:tcPr>
            <w:tcW w:w="1195" w:type="pct"/>
          </w:tcPr>
          <w:p w14:paraId="31B2E792" w14:textId="77777777" w:rsidR="008821CD" w:rsidRPr="005F5BEA" w:rsidRDefault="008821CD" w:rsidP="005926D9">
            <w:pPr>
              <w:pStyle w:val="TableText"/>
              <w:spacing w:before="0" w:after="0"/>
              <w:jc w:val="center"/>
            </w:pPr>
            <w:r w:rsidRPr="005F5BEA">
              <w:t>$1,450</w:t>
            </w:r>
          </w:p>
        </w:tc>
        <w:tc>
          <w:tcPr>
            <w:tcW w:w="1178" w:type="pct"/>
          </w:tcPr>
          <w:p w14:paraId="113F5C5A" w14:textId="77777777" w:rsidR="008821CD" w:rsidRPr="005F5BEA" w:rsidRDefault="008821CD" w:rsidP="005926D9">
            <w:pPr>
              <w:pStyle w:val="TableText"/>
              <w:spacing w:before="0" w:after="0"/>
            </w:pPr>
            <w:r w:rsidRPr="005F5BEA">
              <w:t>July 2019- March 2021</w:t>
            </w:r>
          </w:p>
        </w:tc>
      </w:tr>
      <w:tr w:rsidR="008821CD" w:rsidRPr="005F5BEA" w14:paraId="49B219EC" w14:textId="77777777" w:rsidTr="008821CD">
        <w:trPr>
          <w:trHeight w:val="355"/>
        </w:trPr>
        <w:tc>
          <w:tcPr>
            <w:tcW w:w="809" w:type="pct"/>
            <w:vMerge w:val="restart"/>
          </w:tcPr>
          <w:p w14:paraId="4FD48DF4" w14:textId="77777777" w:rsidR="008821CD" w:rsidRPr="005F5BEA" w:rsidRDefault="008821CD" w:rsidP="005926D9">
            <w:pPr>
              <w:pStyle w:val="TableText"/>
              <w:spacing w:before="0" w:after="0"/>
            </w:pPr>
            <w:r w:rsidRPr="005F5BEA">
              <w:t>ILR</w:t>
            </w:r>
          </w:p>
        </w:tc>
        <w:tc>
          <w:tcPr>
            <w:tcW w:w="1817" w:type="pct"/>
          </w:tcPr>
          <w:p w14:paraId="2856A3DB" w14:textId="77777777" w:rsidR="008821CD" w:rsidRPr="005F5BEA" w:rsidRDefault="008821CD" w:rsidP="005926D9">
            <w:pPr>
              <w:pStyle w:val="TableText"/>
              <w:spacing w:before="0" w:after="0"/>
            </w:pPr>
            <w:r w:rsidRPr="005F5BEA">
              <w:t>08.14 - Implantable Cardiac Event Recorder</w:t>
            </w:r>
          </w:p>
        </w:tc>
        <w:tc>
          <w:tcPr>
            <w:tcW w:w="1195" w:type="pct"/>
          </w:tcPr>
          <w:p w14:paraId="62751604" w14:textId="77777777" w:rsidR="008821CD" w:rsidRPr="005F5BEA" w:rsidRDefault="008821CD" w:rsidP="005926D9">
            <w:pPr>
              <w:pStyle w:val="TableText"/>
              <w:spacing w:before="0" w:after="0"/>
              <w:jc w:val="center"/>
            </w:pPr>
            <w:r w:rsidRPr="005F5BEA">
              <w:t>$2,886</w:t>
            </w:r>
          </w:p>
        </w:tc>
        <w:tc>
          <w:tcPr>
            <w:tcW w:w="1178" w:type="pct"/>
          </w:tcPr>
          <w:p w14:paraId="183BD048" w14:textId="77777777" w:rsidR="008821CD" w:rsidRPr="005F5BEA" w:rsidRDefault="008821CD" w:rsidP="005926D9">
            <w:pPr>
              <w:pStyle w:val="TableText"/>
              <w:spacing w:before="0" w:after="0"/>
            </w:pPr>
            <w:r w:rsidRPr="005F5BEA">
              <w:t>May 2018-March 2021</w:t>
            </w:r>
          </w:p>
        </w:tc>
      </w:tr>
      <w:tr w:rsidR="008821CD" w:rsidRPr="005F5BEA" w14:paraId="795B3E26" w14:textId="77777777" w:rsidTr="008821CD">
        <w:trPr>
          <w:trHeight w:val="355"/>
        </w:trPr>
        <w:tc>
          <w:tcPr>
            <w:tcW w:w="809" w:type="pct"/>
            <w:vMerge/>
          </w:tcPr>
          <w:p w14:paraId="50993C50" w14:textId="77777777" w:rsidR="008821CD" w:rsidRPr="005F5BEA" w:rsidRDefault="008821CD" w:rsidP="005926D9">
            <w:pPr>
              <w:pStyle w:val="TableText"/>
              <w:spacing w:before="0" w:after="0"/>
            </w:pPr>
          </w:p>
        </w:tc>
        <w:tc>
          <w:tcPr>
            <w:tcW w:w="1817" w:type="pct"/>
          </w:tcPr>
          <w:p w14:paraId="21ABB124" w14:textId="77777777" w:rsidR="008821CD" w:rsidRPr="005F5BEA" w:rsidRDefault="008821CD" w:rsidP="005926D9">
            <w:pPr>
              <w:pStyle w:val="TableText"/>
              <w:spacing w:before="0" w:after="0"/>
            </w:pPr>
            <w:r w:rsidRPr="005F5BEA">
              <w:t>08.16 - Remote Monitoring System</w:t>
            </w:r>
          </w:p>
        </w:tc>
        <w:tc>
          <w:tcPr>
            <w:tcW w:w="1195" w:type="pct"/>
          </w:tcPr>
          <w:p w14:paraId="20D468A4" w14:textId="77777777" w:rsidR="008821CD" w:rsidRPr="005F5BEA" w:rsidRDefault="008821CD" w:rsidP="005926D9">
            <w:pPr>
              <w:pStyle w:val="TableText"/>
              <w:spacing w:before="0" w:after="0"/>
              <w:jc w:val="center"/>
            </w:pPr>
            <w:r w:rsidRPr="005F5BEA">
              <w:t>$1,450</w:t>
            </w:r>
          </w:p>
        </w:tc>
        <w:tc>
          <w:tcPr>
            <w:tcW w:w="1178" w:type="pct"/>
          </w:tcPr>
          <w:p w14:paraId="30CB1116" w14:textId="77777777" w:rsidR="008821CD" w:rsidRPr="005F5BEA" w:rsidRDefault="008821CD" w:rsidP="005926D9">
            <w:pPr>
              <w:pStyle w:val="TableText"/>
              <w:spacing w:before="0" w:after="0"/>
            </w:pPr>
            <w:r w:rsidRPr="005F5BEA">
              <w:t>July 2019- March 2021</w:t>
            </w:r>
          </w:p>
        </w:tc>
      </w:tr>
    </w:tbl>
    <w:p w14:paraId="3A9E5419" w14:textId="54AF24B3" w:rsidR="00453450" w:rsidRPr="005F5BEA" w:rsidRDefault="00AE0F57" w:rsidP="00AE0F57">
      <w:pPr>
        <w:pStyle w:val="Tablenotes"/>
      </w:pPr>
      <w:r w:rsidRPr="005F5BEA">
        <w:t>Source: MSAC 1724 ADAR; Table 1-6, page 35</w:t>
      </w:r>
    </w:p>
    <w:p w14:paraId="7EE746B6" w14:textId="2CDA1317" w:rsidR="00453450" w:rsidRPr="005F5BEA" w:rsidRDefault="00453450" w:rsidP="00453450">
      <w:pPr>
        <w:pStyle w:val="Tablenotes"/>
      </w:pPr>
      <w:r w:rsidRPr="005F5BEA">
        <w:t>CRT</w:t>
      </w:r>
      <w:r w:rsidR="005B1245" w:rsidRPr="005F5BEA">
        <w:t>D</w:t>
      </w:r>
      <w:r w:rsidRPr="005F5BEA">
        <w:t xml:space="preserve"> = cardiac resynchronisation therapy</w:t>
      </w:r>
      <w:r w:rsidR="005B1245" w:rsidRPr="005F5BEA">
        <w:t xml:space="preserve"> device</w:t>
      </w:r>
      <w:r w:rsidRPr="005F5BEA">
        <w:t>; ICD = implantable cardioverter-defibrillator; ILR = implantable loop recorder; PPM = pacemaker</w:t>
      </w:r>
    </w:p>
    <w:p w14:paraId="6B3CE4FA" w14:textId="05864A0B" w:rsidR="00FE675E" w:rsidRPr="005F5BEA" w:rsidRDefault="00FE675E" w:rsidP="00DD34D8">
      <w:r w:rsidRPr="005F5BEA">
        <w:t xml:space="preserve">The </w:t>
      </w:r>
      <w:r w:rsidR="00731F01" w:rsidRPr="005F5BEA">
        <w:t xml:space="preserve">model presented with the </w:t>
      </w:r>
      <w:r w:rsidRPr="005F5BEA">
        <w:t xml:space="preserve">ADAR </w:t>
      </w:r>
      <w:r w:rsidR="005F726F" w:rsidRPr="005F5BEA">
        <w:t>reported</w:t>
      </w:r>
      <w:r w:rsidR="00731F01" w:rsidRPr="005F5BEA">
        <w:t xml:space="preserve"> </w:t>
      </w:r>
      <w:r w:rsidRPr="005F5BEA">
        <w:t xml:space="preserve">that the total annual number of services provided by </w:t>
      </w:r>
      <w:r w:rsidR="00B62C82" w:rsidRPr="005F5BEA">
        <w:t>IECT</w:t>
      </w:r>
      <w:r w:rsidRPr="005F5BEA">
        <w:t>s is estimated to be 697,258 in 2022</w:t>
      </w:r>
      <w:r w:rsidR="005F726F" w:rsidRPr="005F5BEA">
        <w:t xml:space="preserve">. The model estimates 286.6 full time equivalent </w:t>
      </w:r>
      <w:r w:rsidR="00B62C82" w:rsidRPr="005F5BEA">
        <w:t>IECT</w:t>
      </w:r>
      <w:r w:rsidR="005F726F" w:rsidRPr="005F5BEA">
        <w:t xml:space="preserve">s provide these services, which is equivalent to each </w:t>
      </w:r>
      <w:r w:rsidR="00B62C82" w:rsidRPr="005F5BEA">
        <w:t>IECT</w:t>
      </w:r>
      <w:r w:rsidR="005F726F" w:rsidRPr="005F5BEA">
        <w:t xml:space="preserve"> (1.0 FTE) providing 2,433 services (comprised of </w:t>
      </w:r>
      <w:r w:rsidR="00E60283" w:rsidRPr="005F5BEA">
        <w:t>comprised of 409 in-person scheduled follow up services, 210 implantation services</w:t>
      </w:r>
      <w:r w:rsidR="00E60283" w:rsidRPr="005F5BEA" w:rsidDel="00E60283">
        <w:t xml:space="preserve"> </w:t>
      </w:r>
      <w:r w:rsidR="005F726F" w:rsidRPr="005F5BEA">
        <w:t>and 1,814 remote services per year)</w:t>
      </w:r>
      <w:r w:rsidRPr="005F5BEA">
        <w:t xml:space="preserve">. </w:t>
      </w:r>
    </w:p>
    <w:p w14:paraId="415A77A7" w14:textId="21409CC6" w:rsidR="00D81C55" w:rsidRPr="005F5BEA" w:rsidRDefault="007555B8" w:rsidP="00DD34D8">
      <w:r w:rsidRPr="005F5BEA">
        <w:t xml:space="preserve">The ADAR did not estimate the costs of services per device or per patient. </w:t>
      </w:r>
      <w:r w:rsidR="00491F40" w:rsidRPr="005F5BEA">
        <w:t xml:space="preserve">It </w:t>
      </w:r>
      <w:r w:rsidR="00D81C55" w:rsidRPr="005F5BEA">
        <w:t xml:space="preserve">did however present </w:t>
      </w:r>
      <w:r w:rsidR="00512215" w:rsidRPr="005F5BEA">
        <w:t>the</w:t>
      </w:r>
      <w:r w:rsidR="00D81C55" w:rsidRPr="005F5BEA">
        <w:t xml:space="preserve"> estimated total costs of services and a breakdown of these costs</w:t>
      </w:r>
      <w:r w:rsidR="00166AE6" w:rsidRPr="005F5BEA">
        <w:t xml:space="preserve"> over 4 years (to</w:t>
      </w:r>
      <w:r w:rsidR="00D81C55" w:rsidRPr="005F5BEA">
        <w:t xml:space="preserve"> 2025</w:t>
      </w:r>
      <w:r w:rsidR="00166AE6" w:rsidRPr="005F5BEA">
        <w:t>,</w:t>
      </w:r>
      <w:r w:rsidR="00D81C55" w:rsidRPr="005F5BEA">
        <w:t xml:space="preserve"> </w:t>
      </w:r>
      <w:r w:rsidR="004649F1" w:rsidRPr="005F5BEA">
        <w:t>(</w:t>
      </w:r>
      <w:r w:rsidR="004649F1" w:rsidRPr="005F5BEA">
        <w:fldChar w:fldCharType="begin"/>
      </w:r>
      <w:r w:rsidR="004649F1" w:rsidRPr="005F5BEA">
        <w:instrText xml:space="preserve"> REF _Ref120673898 \h  \* MERGEFORMAT </w:instrText>
      </w:r>
      <w:r w:rsidR="004649F1" w:rsidRPr="005F5BEA">
        <w:fldChar w:fldCharType="separate"/>
      </w:r>
      <w:r w:rsidR="00334548" w:rsidRPr="00334548">
        <w:t>Table 7</w:t>
      </w:r>
      <w:r w:rsidR="004649F1" w:rsidRPr="005F5BEA">
        <w:fldChar w:fldCharType="end"/>
      </w:r>
      <w:r w:rsidR="00D81C55" w:rsidRPr="005F5BEA">
        <w:t xml:space="preserve">). The total costs </w:t>
      </w:r>
      <w:r w:rsidR="004649F1" w:rsidRPr="005F5BEA">
        <w:t xml:space="preserve">of cardiac services by </w:t>
      </w:r>
      <w:r w:rsidR="00B62C82" w:rsidRPr="005F5BEA">
        <w:t>IECT</w:t>
      </w:r>
      <w:r w:rsidR="004649F1" w:rsidRPr="005F5BEA">
        <w:t xml:space="preserve">s </w:t>
      </w:r>
      <w:r w:rsidR="00D81C55" w:rsidRPr="005F5BEA">
        <w:t xml:space="preserve">consisted of travel costs (8% of total costs), training costs for </w:t>
      </w:r>
      <w:r w:rsidR="00B62C82" w:rsidRPr="005F5BEA">
        <w:t>IECT</w:t>
      </w:r>
      <w:r w:rsidR="00D81C55" w:rsidRPr="005F5BEA">
        <w:t xml:space="preserve">s (21% of total costs), labour costs (48% of total costs), and overhead costs (23% of total costs). </w:t>
      </w:r>
    </w:p>
    <w:p w14:paraId="4DA5EBC3" w14:textId="3BD8BF42" w:rsidR="00D81C55" w:rsidRPr="005F5BEA" w:rsidRDefault="00D81C55" w:rsidP="00383B7C">
      <w:pPr>
        <w:pStyle w:val="Caption"/>
        <w:keepNext/>
        <w:rPr>
          <w:rFonts w:ascii="Arial Narrow" w:hAnsi="Arial Narrow"/>
          <w:b/>
          <w:sz w:val="20"/>
          <w:szCs w:val="20"/>
        </w:rPr>
      </w:pPr>
      <w:bookmarkStart w:id="24" w:name="_Ref120673898"/>
      <w:r w:rsidRPr="005F5BEA">
        <w:rPr>
          <w:rFonts w:ascii="Arial Narrow" w:hAnsi="Arial Narrow"/>
          <w:b/>
          <w:i w:val="0"/>
          <w:color w:val="auto"/>
          <w:sz w:val="20"/>
          <w:szCs w:val="20"/>
        </w:rPr>
        <w:lastRenderedPageBreak/>
        <w:t xml:space="preserve">Table </w:t>
      </w:r>
      <w:r w:rsidRPr="005F5BEA">
        <w:rPr>
          <w:rFonts w:ascii="Arial Narrow" w:hAnsi="Arial Narrow"/>
          <w:b/>
          <w:i w:val="0"/>
          <w:color w:val="auto"/>
          <w:sz w:val="20"/>
          <w:szCs w:val="20"/>
        </w:rPr>
        <w:fldChar w:fldCharType="begin"/>
      </w:r>
      <w:r w:rsidRPr="005F5BEA">
        <w:rPr>
          <w:rFonts w:ascii="Arial Narrow" w:hAnsi="Arial Narrow"/>
          <w:b/>
          <w:i w:val="0"/>
          <w:color w:val="auto"/>
          <w:sz w:val="20"/>
          <w:szCs w:val="20"/>
        </w:rPr>
        <w:instrText xml:space="preserve"> SEQ Table \* ARABIC </w:instrText>
      </w:r>
      <w:r w:rsidRPr="005F5BEA">
        <w:rPr>
          <w:rFonts w:ascii="Arial Narrow" w:hAnsi="Arial Narrow"/>
          <w:b/>
          <w:i w:val="0"/>
          <w:color w:val="auto"/>
          <w:sz w:val="20"/>
          <w:szCs w:val="20"/>
        </w:rPr>
        <w:fldChar w:fldCharType="separate"/>
      </w:r>
      <w:r w:rsidR="00334548">
        <w:rPr>
          <w:rFonts w:ascii="Arial Narrow" w:hAnsi="Arial Narrow"/>
          <w:b/>
          <w:i w:val="0"/>
          <w:noProof/>
          <w:color w:val="auto"/>
          <w:sz w:val="20"/>
          <w:szCs w:val="20"/>
        </w:rPr>
        <w:t>7</w:t>
      </w:r>
      <w:r w:rsidRPr="005F5BEA">
        <w:rPr>
          <w:rFonts w:ascii="Arial Narrow" w:hAnsi="Arial Narrow"/>
          <w:b/>
          <w:i w:val="0"/>
          <w:color w:val="auto"/>
          <w:sz w:val="20"/>
          <w:szCs w:val="20"/>
        </w:rPr>
        <w:fldChar w:fldCharType="end"/>
      </w:r>
      <w:bookmarkEnd w:id="24"/>
      <w:r w:rsidRPr="005F5BEA">
        <w:rPr>
          <w:rFonts w:ascii="Arial Narrow" w:hAnsi="Arial Narrow"/>
          <w:b/>
          <w:i w:val="0"/>
          <w:color w:val="auto"/>
          <w:sz w:val="20"/>
          <w:szCs w:val="20"/>
        </w:rPr>
        <w:t xml:space="preserve"> Total cost of cardiac services by </w:t>
      </w:r>
      <w:r w:rsidR="00B62C82" w:rsidRPr="005F5BEA">
        <w:rPr>
          <w:rFonts w:ascii="Arial Narrow" w:hAnsi="Arial Narrow"/>
          <w:b/>
          <w:i w:val="0"/>
          <w:color w:val="auto"/>
          <w:sz w:val="20"/>
          <w:szCs w:val="20"/>
        </w:rPr>
        <w:t>IECT</w:t>
      </w:r>
      <w:r w:rsidRPr="005F5BEA">
        <w:rPr>
          <w:rFonts w:ascii="Arial Narrow" w:hAnsi="Arial Narrow"/>
          <w:b/>
          <w:i w:val="0"/>
          <w:color w:val="auto"/>
          <w:sz w:val="20"/>
          <w:szCs w:val="20"/>
        </w:rPr>
        <w:t>s</w:t>
      </w:r>
    </w:p>
    <w:tbl>
      <w:tblPr>
        <w:tblStyle w:val="MSAC"/>
        <w:tblpPr w:leftFromText="180" w:rightFromText="180" w:vertAnchor="text" w:horzAnchor="margin" w:tblpY="-66"/>
        <w:tblW w:w="5000" w:type="pct"/>
        <w:tblLook w:val="04A0" w:firstRow="1" w:lastRow="0" w:firstColumn="1" w:lastColumn="0" w:noHBand="0" w:noVBand="1"/>
        <w:tblCaption w:val="Total cost of cardiac services"/>
      </w:tblPr>
      <w:tblGrid>
        <w:gridCol w:w="1993"/>
        <w:gridCol w:w="1755"/>
        <w:gridCol w:w="1755"/>
        <w:gridCol w:w="1755"/>
        <w:gridCol w:w="1758"/>
      </w:tblGrid>
      <w:tr w:rsidR="00D81C55" w:rsidRPr="005F5BEA" w14:paraId="67B0938B" w14:textId="77777777" w:rsidTr="00D53678">
        <w:trPr>
          <w:cnfStyle w:val="100000000000" w:firstRow="1" w:lastRow="0" w:firstColumn="0" w:lastColumn="0" w:oddVBand="0" w:evenVBand="0" w:oddHBand="0" w:evenHBand="0" w:firstRowFirstColumn="0" w:firstRowLastColumn="0" w:lastRowFirstColumn="0" w:lastRowLastColumn="0"/>
        </w:trPr>
        <w:tc>
          <w:tcPr>
            <w:tcW w:w="1106" w:type="pct"/>
          </w:tcPr>
          <w:p w14:paraId="533BAEAC" w14:textId="77777777" w:rsidR="00D81C55" w:rsidRPr="005F5BEA" w:rsidRDefault="00D81C55" w:rsidP="002375F7">
            <w:pPr>
              <w:pStyle w:val="TableHeading"/>
              <w:jc w:val="center"/>
              <w:rPr>
                <w:b/>
              </w:rPr>
            </w:pPr>
          </w:p>
        </w:tc>
        <w:tc>
          <w:tcPr>
            <w:tcW w:w="973" w:type="pct"/>
            <w:vAlign w:val="top"/>
          </w:tcPr>
          <w:p w14:paraId="33A8D92D" w14:textId="77777777" w:rsidR="00D81C55" w:rsidRPr="005F5BEA" w:rsidRDefault="00D81C55" w:rsidP="002375F7">
            <w:pPr>
              <w:pStyle w:val="Tableheader"/>
              <w:jc w:val="center"/>
              <w:rPr>
                <w:b/>
                <w:color w:val="auto"/>
              </w:rPr>
            </w:pPr>
            <w:r w:rsidRPr="005F5BEA">
              <w:rPr>
                <w:b/>
                <w:color w:val="auto"/>
              </w:rPr>
              <w:t>2022</w:t>
            </w:r>
          </w:p>
        </w:tc>
        <w:tc>
          <w:tcPr>
            <w:tcW w:w="973" w:type="pct"/>
            <w:vAlign w:val="top"/>
          </w:tcPr>
          <w:p w14:paraId="6FA051E9" w14:textId="77777777" w:rsidR="00D81C55" w:rsidRPr="005F5BEA" w:rsidRDefault="00D81C55" w:rsidP="002375F7">
            <w:pPr>
              <w:pStyle w:val="Tableheader"/>
              <w:jc w:val="center"/>
              <w:rPr>
                <w:b/>
                <w:color w:val="auto"/>
              </w:rPr>
            </w:pPr>
            <w:r w:rsidRPr="005F5BEA">
              <w:rPr>
                <w:b/>
                <w:color w:val="auto"/>
              </w:rPr>
              <w:t>2023</w:t>
            </w:r>
          </w:p>
        </w:tc>
        <w:tc>
          <w:tcPr>
            <w:tcW w:w="973" w:type="pct"/>
            <w:vAlign w:val="top"/>
          </w:tcPr>
          <w:p w14:paraId="74734B2E" w14:textId="77777777" w:rsidR="00D81C55" w:rsidRPr="005F5BEA" w:rsidRDefault="00D81C55" w:rsidP="002375F7">
            <w:pPr>
              <w:pStyle w:val="Tableheader"/>
              <w:jc w:val="center"/>
              <w:rPr>
                <w:b/>
                <w:color w:val="auto"/>
              </w:rPr>
            </w:pPr>
            <w:r w:rsidRPr="005F5BEA">
              <w:rPr>
                <w:b/>
                <w:color w:val="auto"/>
              </w:rPr>
              <w:t>2024</w:t>
            </w:r>
          </w:p>
        </w:tc>
        <w:tc>
          <w:tcPr>
            <w:tcW w:w="973" w:type="pct"/>
            <w:vAlign w:val="top"/>
          </w:tcPr>
          <w:p w14:paraId="06182783" w14:textId="77777777" w:rsidR="00D81C55" w:rsidRPr="005F5BEA" w:rsidRDefault="00D81C55" w:rsidP="002375F7">
            <w:pPr>
              <w:pStyle w:val="Tableheader"/>
              <w:jc w:val="center"/>
              <w:rPr>
                <w:b/>
                <w:color w:val="auto"/>
              </w:rPr>
            </w:pPr>
            <w:r w:rsidRPr="005F5BEA">
              <w:rPr>
                <w:b/>
                <w:color w:val="auto"/>
              </w:rPr>
              <w:t>2025</w:t>
            </w:r>
          </w:p>
        </w:tc>
      </w:tr>
      <w:tr w:rsidR="00D81C55" w:rsidRPr="005F5BEA" w14:paraId="6F2832CB" w14:textId="77777777" w:rsidTr="00D53678">
        <w:tc>
          <w:tcPr>
            <w:tcW w:w="5000" w:type="pct"/>
            <w:gridSpan w:val="5"/>
          </w:tcPr>
          <w:p w14:paraId="7C193C38" w14:textId="77777777" w:rsidR="00D81C55" w:rsidRPr="005F5BEA" w:rsidRDefault="00D81C55" w:rsidP="002375F7">
            <w:pPr>
              <w:pStyle w:val="TableText"/>
              <w:jc w:val="center"/>
            </w:pPr>
          </w:p>
        </w:tc>
      </w:tr>
      <w:tr w:rsidR="00D81C55" w:rsidRPr="005F5BEA" w14:paraId="35AF7508" w14:textId="77777777" w:rsidTr="00D53678">
        <w:tc>
          <w:tcPr>
            <w:tcW w:w="1106" w:type="pct"/>
          </w:tcPr>
          <w:p w14:paraId="743178B9" w14:textId="77777777" w:rsidR="00D81C55" w:rsidRPr="005F5BEA" w:rsidRDefault="00D81C55" w:rsidP="002375F7">
            <w:pPr>
              <w:pStyle w:val="TableText"/>
            </w:pPr>
            <w:r w:rsidRPr="005F5BEA">
              <w:t>Private</w:t>
            </w:r>
          </w:p>
        </w:tc>
        <w:tc>
          <w:tcPr>
            <w:tcW w:w="973" w:type="pct"/>
            <w:vAlign w:val="top"/>
          </w:tcPr>
          <w:p w14:paraId="28F14F77" w14:textId="77777777" w:rsidR="00D81C55" w:rsidRPr="005F5BEA" w:rsidRDefault="00D81C55" w:rsidP="002375F7">
            <w:pPr>
              <w:pStyle w:val="TableText"/>
              <w:jc w:val="center"/>
              <w:rPr>
                <w:b/>
              </w:rPr>
            </w:pPr>
            <w:r w:rsidRPr="005F5BEA">
              <w:t>$53,478,816</w:t>
            </w:r>
          </w:p>
        </w:tc>
        <w:tc>
          <w:tcPr>
            <w:tcW w:w="973" w:type="pct"/>
            <w:vAlign w:val="top"/>
          </w:tcPr>
          <w:p w14:paraId="4C823E41" w14:textId="77777777" w:rsidR="00D81C55" w:rsidRPr="005F5BEA" w:rsidRDefault="00D81C55" w:rsidP="002375F7">
            <w:pPr>
              <w:pStyle w:val="TableText"/>
              <w:jc w:val="center"/>
              <w:rPr>
                <w:b/>
              </w:rPr>
            </w:pPr>
            <w:r w:rsidRPr="005F5BEA">
              <w:t>$58,273,421</w:t>
            </w:r>
          </w:p>
        </w:tc>
        <w:tc>
          <w:tcPr>
            <w:tcW w:w="973" w:type="pct"/>
            <w:vAlign w:val="top"/>
          </w:tcPr>
          <w:p w14:paraId="3B9B1C07" w14:textId="77777777" w:rsidR="00D81C55" w:rsidRPr="005F5BEA" w:rsidRDefault="00D81C55" w:rsidP="002375F7">
            <w:pPr>
              <w:pStyle w:val="TableText"/>
              <w:jc w:val="center"/>
              <w:rPr>
                <w:b/>
              </w:rPr>
            </w:pPr>
            <w:r w:rsidRPr="005F5BEA">
              <w:t>$63,432,283</w:t>
            </w:r>
          </w:p>
        </w:tc>
        <w:tc>
          <w:tcPr>
            <w:tcW w:w="973" w:type="pct"/>
            <w:vAlign w:val="top"/>
          </w:tcPr>
          <w:p w14:paraId="488F1F45" w14:textId="77777777" w:rsidR="00D81C55" w:rsidRPr="005F5BEA" w:rsidRDefault="00D81C55" w:rsidP="002375F7">
            <w:pPr>
              <w:pStyle w:val="TableText"/>
              <w:jc w:val="center"/>
              <w:rPr>
                <w:b/>
              </w:rPr>
            </w:pPr>
            <w:r w:rsidRPr="005F5BEA">
              <w:t>$68,985,517</w:t>
            </w:r>
          </w:p>
        </w:tc>
      </w:tr>
      <w:tr w:rsidR="00D81C55" w:rsidRPr="005F5BEA" w14:paraId="3427861C" w14:textId="77777777" w:rsidTr="00D53678">
        <w:tc>
          <w:tcPr>
            <w:tcW w:w="1106" w:type="pct"/>
          </w:tcPr>
          <w:p w14:paraId="27297B04" w14:textId="77777777" w:rsidR="00D81C55" w:rsidRPr="005F5BEA" w:rsidRDefault="00D81C55" w:rsidP="002375F7">
            <w:pPr>
              <w:pStyle w:val="TableText"/>
            </w:pPr>
            <w:r w:rsidRPr="005F5BEA">
              <w:t>Public</w:t>
            </w:r>
          </w:p>
        </w:tc>
        <w:tc>
          <w:tcPr>
            <w:tcW w:w="973" w:type="pct"/>
            <w:vAlign w:val="top"/>
          </w:tcPr>
          <w:p w14:paraId="7D610A63" w14:textId="77777777" w:rsidR="00D81C55" w:rsidRPr="005F5BEA" w:rsidRDefault="00D81C55" w:rsidP="002375F7">
            <w:pPr>
              <w:pStyle w:val="TableText"/>
              <w:jc w:val="center"/>
              <w:rPr>
                <w:b/>
              </w:rPr>
            </w:pPr>
            <w:r w:rsidRPr="005F5BEA">
              <w:t>$19,797,096</w:t>
            </w:r>
          </w:p>
        </w:tc>
        <w:tc>
          <w:tcPr>
            <w:tcW w:w="973" w:type="pct"/>
            <w:vAlign w:val="top"/>
          </w:tcPr>
          <w:p w14:paraId="0ED8722D" w14:textId="77777777" w:rsidR="00D81C55" w:rsidRPr="005F5BEA" w:rsidRDefault="00D81C55" w:rsidP="002375F7">
            <w:pPr>
              <w:pStyle w:val="TableText"/>
              <w:jc w:val="center"/>
              <w:rPr>
                <w:b/>
              </w:rPr>
            </w:pPr>
            <w:r w:rsidRPr="005F5BEA">
              <w:t>$21,581,901</w:t>
            </w:r>
          </w:p>
        </w:tc>
        <w:tc>
          <w:tcPr>
            <w:tcW w:w="973" w:type="pct"/>
            <w:vAlign w:val="top"/>
          </w:tcPr>
          <w:p w14:paraId="20A0E5B7" w14:textId="77777777" w:rsidR="00D81C55" w:rsidRPr="005F5BEA" w:rsidRDefault="00D81C55" w:rsidP="002375F7">
            <w:pPr>
              <w:pStyle w:val="TableText"/>
              <w:jc w:val="center"/>
              <w:rPr>
                <w:b/>
              </w:rPr>
            </w:pPr>
            <w:r w:rsidRPr="005F5BEA">
              <w:t>$23,500,974</w:t>
            </w:r>
          </w:p>
        </w:tc>
        <w:tc>
          <w:tcPr>
            <w:tcW w:w="973" w:type="pct"/>
            <w:vAlign w:val="top"/>
          </w:tcPr>
          <w:p w14:paraId="57996E41" w14:textId="77777777" w:rsidR="00D81C55" w:rsidRPr="005F5BEA" w:rsidRDefault="00D81C55" w:rsidP="002375F7">
            <w:pPr>
              <w:pStyle w:val="TableText"/>
              <w:jc w:val="center"/>
              <w:rPr>
                <w:b/>
              </w:rPr>
            </w:pPr>
            <w:r w:rsidRPr="005F5BEA">
              <w:t>$25,565,446</w:t>
            </w:r>
          </w:p>
        </w:tc>
      </w:tr>
      <w:tr w:rsidR="00D81C55" w:rsidRPr="005F5BEA" w14:paraId="12E8B7AC" w14:textId="77777777" w:rsidTr="00D53678">
        <w:tc>
          <w:tcPr>
            <w:tcW w:w="5000" w:type="pct"/>
            <w:gridSpan w:val="5"/>
          </w:tcPr>
          <w:p w14:paraId="6B50B97C" w14:textId="77777777" w:rsidR="00D81C55" w:rsidRPr="005F5BEA" w:rsidRDefault="00D81C55" w:rsidP="002375F7">
            <w:pPr>
              <w:pStyle w:val="TableText"/>
              <w:jc w:val="center"/>
            </w:pPr>
          </w:p>
        </w:tc>
      </w:tr>
      <w:tr w:rsidR="00D81C55" w:rsidRPr="005F5BEA" w14:paraId="486EFC19" w14:textId="77777777" w:rsidTr="00D53678">
        <w:tc>
          <w:tcPr>
            <w:tcW w:w="1106" w:type="pct"/>
          </w:tcPr>
          <w:p w14:paraId="04DAEB13" w14:textId="77777777" w:rsidR="00D81C55" w:rsidRPr="005F5BEA" w:rsidRDefault="00D81C55" w:rsidP="002375F7">
            <w:pPr>
              <w:pStyle w:val="TableText"/>
            </w:pPr>
            <w:r w:rsidRPr="005F5BEA">
              <w:t>Travel cost</w:t>
            </w:r>
          </w:p>
        </w:tc>
        <w:tc>
          <w:tcPr>
            <w:tcW w:w="973" w:type="pct"/>
            <w:vAlign w:val="top"/>
          </w:tcPr>
          <w:p w14:paraId="5D78E41C" w14:textId="77777777" w:rsidR="00D81C55" w:rsidRPr="005F5BEA" w:rsidRDefault="00D81C55" w:rsidP="002375F7">
            <w:pPr>
              <w:pStyle w:val="TableText"/>
              <w:jc w:val="center"/>
              <w:rPr>
                <w:b/>
              </w:rPr>
            </w:pPr>
            <w:r w:rsidRPr="005F5BEA">
              <w:t>$5,964,370</w:t>
            </w:r>
          </w:p>
        </w:tc>
        <w:tc>
          <w:tcPr>
            <w:tcW w:w="973" w:type="pct"/>
            <w:vAlign w:val="top"/>
          </w:tcPr>
          <w:p w14:paraId="01D3E675" w14:textId="77777777" w:rsidR="00D81C55" w:rsidRPr="005F5BEA" w:rsidRDefault="00D81C55" w:rsidP="002375F7">
            <w:pPr>
              <w:pStyle w:val="TableText"/>
              <w:jc w:val="center"/>
              <w:rPr>
                <w:b/>
              </w:rPr>
            </w:pPr>
            <w:r w:rsidRPr="005F5BEA">
              <w:t>$6,771,171</w:t>
            </w:r>
          </w:p>
        </w:tc>
        <w:tc>
          <w:tcPr>
            <w:tcW w:w="973" w:type="pct"/>
            <w:vAlign w:val="top"/>
          </w:tcPr>
          <w:p w14:paraId="393CD9A4" w14:textId="77777777" w:rsidR="00D81C55" w:rsidRPr="005F5BEA" w:rsidRDefault="00D81C55" w:rsidP="002375F7">
            <w:pPr>
              <w:pStyle w:val="TableText"/>
              <w:jc w:val="center"/>
              <w:rPr>
                <w:b/>
              </w:rPr>
            </w:pPr>
            <w:r w:rsidRPr="005F5BEA">
              <w:t>$7,661,698</w:t>
            </w:r>
          </w:p>
        </w:tc>
        <w:tc>
          <w:tcPr>
            <w:tcW w:w="973" w:type="pct"/>
            <w:vAlign w:val="top"/>
          </w:tcPr>
          <w:p w14:paraId="6E7638D3" w14:textId="77777777" w:rsidR="00D81C55" w:rsidRPr="005F5BEA" w:rsidRDefault="00D81C55" w:rsidP="002375F7">
            <w:pPr>
              <w:pStyle w:val="TableText"/>
              <w:jc w:val="center"/>
              <w:rPr>
                <w:b/>
              </w:rPr>
            </w:pPr>
            <w:r w:rsidRPr="005F5BEA">
              <w:t>$8,643,720</w:t>
            </w:r>
          </w:p>
        </w:tc>
      </w:tr>
      <w:tr w:rsidR="00D81C55" w:rsidRPr="005F5BEA" w14:paraId="1B14ECDB" w14:textId="77777777" w:rsidTr="00D53678">
        <w:tc>
          <w:tcPr>
            <w:tcW w:w="1106" w:type="pct"/>
          </w:tcPr>
          <w:p w14:paraId="64CA3840" w14:textId="77777777" w:rsidR="00D81C55" w:rsidRPr="005F5BEA" w:rsidRDefault="00D81C55" w:rsidP="002375F7">
            <w:pPr>
              <w:pStyle w:val="TableText"/>
            </w:pPr>
            <w:r w:rsidRPr="005F5BEA">
              <w:t>Training cost</w:t>
            </w:r>
          </w:p>
        </w:tc>
        <w:tc>
          <w:tcPr>
            <w:tcW w:w="973" w:type="pct"/>
            <w:vAlign w:val="top"/>
          </w:tcPr>
          <w:p w14:paraId="3CDCE20A" w14:textId="77777777" w:rsidR="00D81C55" w:rsidRPr="005F5BEA" w:rsidRDefault="00D81C55" w:rsidP="002375F7">
            <w:pPr>
              <w:pStyle w:val="TableText"/>
              <w:jc w:val="center"/>
              <w:rPr>
                <w:b/>
              </w:rPr>
            </w:pPr>
            <w:r w:rsidRPr="005F5BEA">
              <w:t>$15,175,253</w:t>
            </w:r>
          </w:p>
        </w:tc>
        <w:tc>
          <w:tcPr>
            <w:tcW w:w="973" w:type="pct"/>
            <w:vAlign w:val="top"/>
          </w:tcPr>
          <w:p w14:paraId="00D87DF7" w14:textId="77777777" w:rsidR="00D81C55" w:rsidRPr="005F5BEA" w:rsidRDefault="00D81C55" w:rsidP="002375F7">
            <w:pPr>
              <w:pStyle w:val="TableText"/>
              <w:jc w:val="center"/>
              <w:rPr>
                <w:b/>
              </w:rPr>
            </w:pPr>
            <w:r w:rsidRPr="005F5BEA">
              <w:t>$16,100,943</w:t>
            </w:r>
          </w:p>
        </w:tc>
        <w:tc>
          <w:tcPr>
            <w:tcW w:w="973" w:type="pct"/>
            <w:vAlign w:val="top"/>
          </w:tcPr>
          <w:p w14:paraId="0C652887" w14:textId="77777777" w:rsidR="00D81C55" w:rsidRPr="005F5BEA" w:rsidRDefault="00D81C55" w:rsidP="002375F7">
            <w:pPr>
              <w:pStyle w:val="TableText"/>
              <w:jc w:val="center"/>
              <w:rPr>
                <w:b/>
              </w:rPr>
            </w:pPr>
            <w:r w:rsidRPr="005F5BEA">
              <w:t>$17,026,634</w:t>
            </w:r>
          </w:p>
        </w:tc>
        <w:tc>
          <w:tcPr>
            <w:tcW w:w="973" w:type="pct"/>
            <w:vAlign w:val="top"/>
          </w:tcPr>
          <w:p w14:paraId="1FD07493" w14:textId="77777777" w:rsidR="00D81C55" w:rsidRPr="005F5BEA" w:rsidRDefault="00D81C55" w:rsidP="002375F7">
            <w:pPr>
              <w:pStyle w:val="TableText"/>
              <w:jc w:val="center"/>
              <w:rPr>
                <w:b/>
              </w:rPr>
            </w:pPr>
            <w:r w:rsidRPr="005F5BEA">
              <w:t>$17,952,324</w:t>
            </w:r>
          </w:p>
        </w:tc>
      </w:tr>
      <w:tr w:rsidR="00D81C55" w:rsidRPr="005F5BEA" w14:paraId="07769911" w14:textId="77777777" w:rsidTr="00D53678">
        <w:tc>
          <w:tcPr>
            <w:tcW w:w="1106" w:type="pct"/>
          </w:tcPr>
          <w:p w14:paraId="0CCF474B" w14:textId="77777777" w:rsidR="00D81C55" w:rsidRPr="005F5BEA" w:rsidRDefault="00D81C55" w:rsidP="002375F7">
            <w:pPr>
              <w:pStyle w:val="TableText"/>
            </w:pPr>
            <w:r w:rsidRPr="005F5BEA">
              <w:t>Labour cost</w:t>
            </w:r>
          </w:p>
        </w:tc>
        <w:tc>
          <w:tcPr>
            <w:tcW w:w="973" w:type="pct"/>
            <w:vAlign w:val="top"/>
          </w:tcPr>
          <w:p w14:paraId="06EECD25" w14:textId="77777777" w:rsidR="00D81C55" w:rsidRPr="005F5BEA" w:rsidRDefault="00D81C55" w:rsidP="002375F7">
            <w:pPr>
              <w:pStyle w:val="TableText"/>
              <w:jc w:val="center"/>
            </w:pPr>
            <w:r w:rsidRPr="005F5BEA">
              <w:t>$35,226,463</w:t>
            </w:r>
          </w:p>
        </w:tc>
        <w:tc>
          <w:tcPr>
            <w:tcW w:w="973" w:type="pct"/>
            <w:vAlign w:val="top"/>
          </w:tcPr>
          <w:p w14:paraId="1240CBD0" w14:textId="77777777" w:rsidR="00D81C55" w:rsidRPr="005F5BEA" w:rsidRDefault="00D81C55" w:rsidP="002375F7">
            <w:pPr>
              <w:pStyle w:val="TableText"/>
              <w:jc w:val="center"/>
            </w:pPr>
            <w:r w:rsidRPr="005F5BEA">
              <w:t>$37,702,355</w:t>
            </w:r>
          </w:p>
        </w:tc>
        <w:tc>
          <w:tcPr>
            <w:tcW w:w="973" w:type="pct"/>
            <w:vAlign w:val="top"/>
          </w:tcPr>
          <w:p w14:paraId="5AD7B1B5" w14:textId="77777777" w:rsidR="00D81C55" w:rsidRPr="005F5BEA" w:rsidRDefault="00D81C55" w:rsidP="002375F7">
            <w:pPr>
              <w:pStyle w:val="TableText"/>
              <w:jc w:val="center"/>
            </w:pPr>
            <w:r w:rsidRPr="005F5BEA">
              <w:t>$40,352,262</w:t>
            </w:r>
          </w:p>
        </w:tc>
        <w:tc>
          <w:tcPr>
            <w:tcW w:w="973" w:type="pct"/>
            <w:vAlign w:val="top"/>
          </w:tcPr>
          <w:p w14:paraId="1FC9455C" w14:textId="77777777" w:rsidR="00D81C55" w:rsidRPr="005F5BEA" w:rsidRDefault="00D81C55" w:rsidP="002375F7">
            <w:pPr>
              <w:pStyle w:val="TableText"/>
              <w:jc w:val="center"/>
            </w:pPr>
            <w:r w:rsidRPr="005F5BEA">
              <w:t>$43,188,415</w:t>
            </w:r>
          </w:p>
        </w:tc>
      </w:tr>
      <w:tr w:rsidR="00D81C55" w:rsidRPr="005F5BEA" w14:paraId="63DC3B20" w14:textId="77777777" w:rsidTr="00D53678">
        <w:tc>
          <w:tcPr>
            <w:tcW w:w="1106" w:type="pct"/>
          </w:tcPr>
          <w:p w14:paraId="6BDACEF4" w14:textId="77777777" w:rsidR="00D81C55" w:rsidRPr="005F5BEA" w:rsidRDefault="00D81C55" w:rsidP="002375F7">
            <w:pPr>
              <w:pStyle w:val="TableText"/>
            </w:pPr>
            <w:r w:rsidRPr="005F5BEA">
              <w:t>Overhead cost</w:t>
            </w:r>
          </w:p>
        </w:tc>
        <w:tc>
          <w:tcPr>
            <w:tcW w:w="973" w:type="pct"/>
            <w:vAlign w:val="top"/>
          </w:tcPr>
          <w:p w14:paraId="4442662B" w14:textId="77777777" w:rsidR="00D81C55" w:rsidRPr="005F5BEA" w:rsidRDefault="00D81C55" w:rsidP="002375F7">
            <w:pPr>
              <w:pStyle w:val="TableText"/>
              <w:jc w:val="center"/>
            </w:pPr>
            <w:r w:rsidRPr="005F5BEA">
              <w:t>$16,909,826</w:t>
            </w:r>
          </w:p>
        </w:tc>
        <w:tc>
          <w:tcPr>
            <w:tcW w:w="973" w:type="pct"/>
            <w:vAlign w:val="top"/>
          </w:tcPr>
          <w:p w14:paraId="42565F74" w14:textId="77777777" w:rsidR="00D81C55" w:rsidRPr="005F5BEA" w:rsidRDefault="00D81C55" w:rsidP="002375F7">
            <w:pPr>
              <w:pStyle w:val="TableText"/>
              <w:jc w:val="center"/>
            </w:pPr>
            <w:r w:rsidRPr="005F5BEA">
              <w:t>$19,280,853</w:t>
            </w:r>
          </w:p>
        </w:tc>
        <w:tc>
          <w:tcPr>
            <w:tcW w:w="973" w:type="pct"/>
            <w:vAlign w:val="top"/>
          </w:tcPr>
          <w:p w14:paraId="0698CB32" w14:textId="77777777" w:rsidR="00D81C55" w:rsidRPr="005F5BEA" w:rsidRDefault="00D81C55" w:rsidP="002375F7">
            <w:pPr>
              <w:pStyle w:val="TableText"/>
              <w:jc w:val="center"/>
            </w:pPr>
            <w:r w:rsidRPr="005F5BEA">
              <w:t>$21,892,664</w:t>
            </w:r>
          </w:p>
        </w:tc>
        <w:tc>
          <w:tcPr>
            <w:tcW w:w="973" w:type="pct"/>
            <w:vAlign w:val="top"/>
          </w:tcPr>
          <w:p w14:paraId="2EB7FFC7" w14:textId="77777777" w:rsidR="00D81C55" w:rsidRPr="005F5BEA" w:rsidRDefault="00D81C55" w:rsidP="002375F7">
            <w:pPr>
              <w:pStyle w:val="TableText"/>
              <w:jc w:val="center"/>
            </w:pPr>
            <w:r w:rsidRPr="005F5BEA">
              <w:t>$24,766,504</w:t>
            </w:r>
          </w:p>
        </w:tc>
      </w:tr>
      <w:tr w:rsidR="00D81C55" w:rsidRPr="005F5BEA" w14:paraId="152857C4" w14:textId="77777777" w:rsidTr="00D53678">
        <w:tc>
          <w:tcPr>
            <w:tcW w:w="5000" w:type="pct"/>
            <w:gridSpan w:val="5"/>
          </w:tcPr>
          <w:p w14:paraId="12D51F8E" w14:textId="77777777" w:rsidR="00D81C55" w:rsidRPr="005F5BEA" w:rsidRDefault="00D81C55" w:rsidP="002375F7">
            <w:pPr>
              <w:pStyle w:val="TableText"/>
              <w:jc w:val="center"/>
            </w:pPr>
          </w:p>
        </w:tc>
      </w:tr>
      <w:tr w:rsidR="00D81C55" w:rsidRPr="005F5BEA" w14:paraId="564BA3CA" w14:textId="77777777" w:rsidTr="00D53678">
        <w:tc>
          <w:tcPr>
            <w:tcW w:w="1106" w:type="pct"/>
          </w:tcPr>
          <w:p w14:paraId="47BBB120" w14:textId="77777777" w:rsidR="00D81C55" w:rsidRPr="005F5BEA" w:rsidRDefault="00D81C55" w:rsidP="002375F7">
            <w:pPr>
              <w:pStyle w:val="TableText"/>
              <w:rPr>
                <w:b/>
              </w:rPr>
            </w:pPr>
            <w:r w:rsidRPr="005F5BEA">
              <w:rPr>
                <w:b/>
              </w:rPr>
              <w:t>Total cost</w:t>
            </w:r>
          </w:p>
        </w:tc>
        <w:tc>
          <w:tcPr>
            <w:tcW w:w="973" w:type="pct"/>
            <w:vAlign w:val="top"/>
          </w:tcPr>
          <w:p w14:paraId="0686F7F0" w14:textId="77777777" w:rsidR="00D81C55" w:rsidRPr="005F5BEA" w:rsidRDefault="00D81C55" w:rsidP="002375F7">
            <w:pPr>
              <w:pStyle w:val="TableText"/>
              <w:jc w:val="center"/>
              <w:rPr>
                <w:b/>
              </w:rPr>
            </w:pPr>
            <w:r w:rsidRPr="005F5BEA">
              <w:rPr>
                <w:b/>
                <w:bCs/>
              </w:rPr>
              <w:t>$73,275,613</w:t>
            </w:r>
          </w:p>
        </w:tc>
        <w:tc>
          <w:tcPr>
            <w:tcW w:w="973" w:type="pct"/>
            <w:vAlign w:val="top"/>
          </w:tcPr>
          <w:p w14:paraId="02E26777" w14:textId="77777777" w:rsidR="00D81C55" w:rsidRPr="005F5BEA" w:rsidRDefault="00D81C55" w:rsidP="002375F7">
            <w:pPr>
              <w:pStyle w:val="TableText"/>
              <w:jc w:val="center"/>
              <w:rPr>
                <w:b/>
              </w:rPr>
            </w:pPr>
            <w:r w:rsidRPr="005F5BEA">
              <w:rPr>
                <w:b/>
                <w:bCs/>
              </w:rPr>
              <w:t>$79,855,322</w:t>
            </w:r>
          </w:p>
        </w:tc>
        <w:tc>
          <w:tcPr>
            <w:tcW w:w="973" w:type="pct"/>
            <w:vAlign w:val="top"/>
          </w:tcPr>
          <w:p w14:paraId="42A7F953" w14:textId="77777777" w:rsidR="00D81C55" w:rsidRPr="005F5BEA" w:rsidRDefault="00D81C55" w:rsidP="002375F7">
            <w:pPr>
              <w:pStyle w:val="TableText"/>
              <w:jc w:val="center"/>
              <w:rPr>
                <w:b/>
              </w:rPr>
            </w:pPr>
            <w:r w:rsidRPr="005F5BEA">
              <w:rPr>
                <w:b/>
                <w:bCs/>
              </w:rPr>
              <w:t>$86,933,257</w:t>
            </w:r>
          </w:p>
        </w:tc>
        <w:tc>
          <w:tcPr>
            <w:tcW w:w="973" w:type="pct"/>
            <w:vAlign w:val="top"/>
          </w:tcPr>
          <w:p w14:paraId="4114CEBB" w14:textId="77777777" w:rsidR="00D81C55" w:rsidRPr="005F5BEA" w:rsidRDefault="00D81C55" w:rsidP="002375F7">
            <w:pPr>
              <w:pStyle w:val="TableText"/>
              <w:jc w:val="center"/>
              <w:rPr>
                <w:b/>
              </w:rPr>
            </w:pPr>
            <w:r w:rsidRPr="005F5BEA">
              <w:rPr>
                <w:b/>
                <w:bCs/>
              </w:rPr>
              <w:t>$94,550,963</w:t>
            </w:r>
          </w:p>
        </w:tc>
      </w:tr>
    </w:tbl>
    <w:p w14:paraId="196252E7" w14:textId="75A49A36" w:rsidR="00512215" w:rsidRPr="005F5BEA" w:rsidRDefault="00512215" w:rsidP="00512215">
      <w:pPr>
        <w:pStyle w:val="Tablenotes"/>
      </w:pPr>
      <w:r w:rsidRPr="005F5BEA">
        <w:t>Source: MSAC 1724 ADAR, Table 4-17, page 69.</w:t>
      </w:r>
    </w:p>
    <w:p w14:paraId="54714995" w14:textId="3676F0B8" w:rsidR="00D81C55" w:rsidRPr="005F5BEA" w:rsidRDefault="00D81C55" w:rsidP="00D81C55">
      <w:pPr>
        <w:pStyle w:val="Tablenotes"/>
      </w:pPr>
      <w:r w:rsidRPr="005F5BEA">
        <w:t>Note: Cost inflated using annual CPI in June 2022 quarter (6%)</w:t>
      </w:r>
    </w:p>
    <w:p w14:paraId="64F0E666" w14:textId="00D5B311" w:rsidR="00166AE6" w:rsidRPr="005F5BEA" w:rsidRDefault="00166AE6" w:rsidP="005926D9">
      <w:pPr>
        <w:pStyle w:val="Heading4"/>
      </w:pPr>
      <w:r w:rsidRPr="005F5BEA">
        <w:t>Travel costs</w:t>
      </w:r>
    </w:p>
    <w:p w14:paraId="65CA9591" w14:textId="3D1AF674" w:rsidR="0040580E" w:rsidRPr="005F5BEA" w:rsidRDefault="0040580E" w:rsidP="0040580E">
      <w:r w:rsidRPr="005F5BEA">
        <w:t xml:space="preserve">The travel costs for in-person services assume an average travel time of at least one hour per </w:t>
      </w:r>
      <w:r w:rsidR="00B911AC" w:rsidRPr="005F5BEA">
        <w:t>service location</w:t>
      </w:r>
      <w:r w:rsidRPr="005F5BEA">
        <w:t xml:space="preserve"> (</w:t>
      </w:r>
      <w:r w:rsidRPr="005F5BEA">
        <w:fldChar w:fldCharType="begin"/>
      </w:r>
      <w:r w:rsidRPr="005F5BEA">
        <w:instrText xml:space="preserve"> REF _Ref120696754 \h  \* MERGEFORMAT </w:instrText>
      </w:r>
      <w:r w:rsidRPr="005F5BEA">
        <w:fldChar w:fldCharType="separate"/>
      </w:r>
      <w:r w:rsidR="00334548" w:rsidRPr="00334548">
        <w:t>Table 8</w:t>
      </w:r>
      <w:r w:rsidRPr="005F5BEA">
        <w:fldChar w:fldCharType="end"/>
      </w:r>
      <w:r w:rsidRPr="005F5BEA">
        <w:t xml:space="preserve">). The costs for travel are shown in </w:t>
      </w:r>
      <w:r w:rsidR="0064454E" w:rsidRPr="005F5BEA">
        <w:fldChar w:fldCharType="begin"/>
      </w:r>
      <w:r w:rsidR="0064454E" w:rsidRPr="005F5BEA">
        <w:instrText xml:space="preserve"> REF _Ref120696810 \h  \* MERGEFORMAT </w:instrText>
      </w:r>
      <w:r w:rsidR="0064454E" w:rsidRPr="005F5BEA">
        <w:fldChar w:fldCharType="separate"/>
      </w:r>
      <w:r w:rsidR="00334548" w:rsidRPr="00334548">
        <w:t>Table 9</w:t>
      </w:r>
      <w:r w:rsidR="0064454E" w:rsidRPr="005F5BEA">
        <w:fldChar w:fldCharType="end"/>
      </w:r>
      <w:r w:rsidRPr="005F5BEA">
        <w:t>.</w:t>
      </w:r>
    </w:p>
    <w:p w14:paraId="27D8D0A4" w14:textId="5793B805" w:rsidR="0040580E" w:rsidRPr="005F5BEA" w:rsidRDefault="0040580E" w:rsidP="0040580E">
      <w:pPr>
        <w:pStyle w:val="Caption"/>
        <w:keepNext/>
        <w:rPr>
          <w:rFonts w:ascii="Arial Narrow" w:hAnsi="Arial Narrow"/>
          <w:b/>
          <w:i w:val="0"/>
          <w:color w:val="auto"/>
          <w:sz w:val="20"/>
          <w:szCs w:val="20"/>
        </w:rPr>
      </w:pPr>
      <w:bookmarkStart w:id="25" w:name="_Ref120696754"/>
      <w:r w:rsidRPr="005F5BEA">
        <w:rPr>
          <w:rFonts w:ascii="Arial Narrow" w:hAnsi="Arial Narrow"/>
          <w:b/>
          <w:i w:val="0"/>
          <w:color w:val="auto"/>
          <w:sz w:val="20"/>
          <w:szCs w:val="20"/>
        </w:rPr>
        <w:t xml:space="preserve">Table </w:t>
      </w:r>
      <w:r w:rsidRPr="005F5BEA">
        <w:rPr>
          <w:rFonts w:ascii="Arial Narrow" w:hAnsi="Arial Narrow"/>
          <w:b/>
          <w:i w:val="0"/>
          <w:color w:val="auto"/>
          <w:sz w:val="20"/>
          <w:szCs w:val="20"/>
        </w:rPr>
        <w:fldChar w:fldCharType="begin"/>
      </w:r>
      <w:r w:rsidRPr="005F5BEA">
        <w:rPr>
          <w:rFonts w:ascii="Arial Narrow" w:hAnsi="Arial Narrow"/>
          <w:b/>
          <w:i w:val="0"/>
          <w:color w:val="auto"/>
          <w:sz w:val="20"/>
          <w:szCs w:val="20"/>
        </w:rPr>
        <w:instrText xml:space="preserve"> SEQ Table \* ARABIC </w:instrText>
      </w:r>
      <w:r w:rsidRPr="005F5BEA">
        <w:rPr>
          <w:rFonts w:ascii="Arial Narrow" w:hAnsi="Arial Narrow"/>
          <w:b/>
          <w:i w:val="0"/>
          <w:color w:val="auto"/>
          <w:sz w:val="20"/>
          <w:szCs w:val="20"/>
        </w:rPr>
        <w:fldChar w:fldCharType="separate"/>
      </w:r>
      <w:r w:rsidR="00334548">
        <w:rPr>
          <w:rFonts w:ascii="Arial Narrow" w:hAnsi="Arial Narrow"/>
          <w:b/>
          <w:i w:val="0"/>
          <w:noProof/>
          <w:color w:val="auto"/>
          <w:sz w:val="20"/>
          <w:szCs w:val="20"/>
        </w:rPr>
        <w:t>8</w:t>
      </w:r>
      <w:r w:rsidRPr="005F5BEA">
        <w:rPr>
          <w:rFonts w:ascii="Arial Narrow" w:hAnsi="Arial Narrow"/>
          <w:b/>
          <w:i w:val="0"/>
          <w:color w:val="auto"/>
          <w:sz w:val="20"/>
          <w:szCs w:val="20"/>
        </w:rPr>
        <w:fldChar w:fldCharType="end"/>
      </w:r>
      <w:bookmarkEnd w:id="25"/>
      <w:r w:rsidRPr="005F5BEA">
        <w:rPr>
          <w:rFonts w:ascii="Arial Narrow" w:hAnsi="Arial Narrow"/>
          <w:b/>
          <w:i w:val="0"/>
          <w:color w:val="auto"/>
          <w:sz w:val="20"/>
          <w:szCs w:val="20"/>
        </w:rPr>
        <w:tab/>
        <w:t xml:space="preserve">Total travel time to provide cardiac </w:t>
      </w:r>
      <w:proofErr w:type="gramStart"/>
      <w:r w:rsidRPr="005F5BEA">
        <w:rPr>
          <w:rFonts w:ascii="Arial Narrow" w:hAnsi="Arial Narrow"/>
          <w:b/>
          <w:i w:val="0"/>
          <w:color w:val="auto"/>
          <w:sz w:val="20"/>
          <w:szCs w:val="20"/>
        </w:rPr>
        <w:t>service</w:t>
      </w:r>
      <w:r w:rsidR="00B911AC" w:rsidRPr="005F5BEA">
        <w:rPr>
          <w:rFonts w:ascii="Arial Narrow" w:hAnsi="Arial Narrow"/>
          <w:b/>
          <w:i w:val="0"/>
          <w:color w:val="auto"/>
          <w:sz w:val="20"/>
          <w:szCs w:val="20"/>
        </w:rPr>
        <w:t>s</w:t>
      </w:r>
      <w:proofErr w:type="gramEnd"/>
    </w:p>
    <w:tbl>
      <w:tblPr>
        <w:tblStyle w:val="MSAC"/>
        <w:tblW w:w="5000" w:type="pct"/>
        <w:tblLook w:val="04A0" w:firstRow="1" w:lastRow="0" w:firstColumn="1" w:lastColumn="0" w:noHBand="0" w:noVBand="1"/>
        <w:tblCaption w:val="Total travel time to provide a cardiac technical support service in a metro locality, MAS"/>
      </w:tblPr>
      <w:tblGrid>
        <w:gridCol w:w="3690"/>
        <w:gridCol w:w="2663"/>
        <w:gridCol w:w="2663"/>
      </w:tblGrid>
      <w:tr w:rsidR="0040580E" w:rsidRPr="005F5BEA" w14:paraId="0B39270B" w14:textId="77777777" w:rsidTr="00EC391A">
        <w:trPr>
          <w:cnfStyle w:val="100000000000" w:firstRow="1" w:lastRow="0" w:firstColumn="0" w:lastColumn="0" w:oddVBand="0" w:evenVBand="0" w:oddHBand="0" w:evenHBand="0" w:firstRowFirstColumn="0" w:firstRowLastColumn="0" w:lastRowFirstColumn="0" w:lastRowLastColumn="0"/>
        </w:trPr>
        <w:tc>
          <w:tcPr>
            <w:tcW w:w="2046" w:type="pct"/>
          </w:tcPr>
          <w:p w14:paraId="43C8EBCF" w14:textId="77777777" w:rsidR="0040580E" w:rsidRPr="005F5BEA" w:rsidRDefault="0040580E" w:rsidP="00EC391A">
            <w:pPr>
              <w:pStyle w:val="Tableheader"/>
              <w:rPr>
                <w:b/>
                <w:color w:val="auto"/>
              </w:rPr>
            </w:pPr>
            <w:r w:rsidRPr="005F5BEA">
              <w:rPr>
                <w:b/>
                <w:color w:val="auto"/>
              </w:rPr>
              <w:t>Time</w:t>
            </w:r>
          </w:p>
        </w:tc>
        <w:tc>
          <w:tcPr>
            <w:tcW w:w="1477" w:type="pct"/>
          </w:tcPr>
          <w:p w14:paraId="0E0B41F0" w14:textId="77777777" w:rsidR="0040580E" w:rsidRPr="005F5BEA" w:rsidRDefault="0040580E" w:rsidP="00EC391A">
            <w:pPr>
              <w:pStyle w:val="Tableheader"/>
              <w:jc w:val="center"/>
              <w:rPr>
                <w:b/>
                <w:color w:val="auto"/>
              </w:rPr>
            </w:pPr>
            <w:r w:rsidRPr="005F5BEA">
              <w:rPr>
                <w:b/>
                <w:color w:val="auto"/>
              </w:rPr>
              <w:t>Number of services (%)</w:t>
            </w:r>
          </w:p>
        </w:tc>
        <w:tc>
          <w:tcPr>
            <w:tcW w:w="1477" w:type="pct"/>
          </w:tcPr>
          <w:p w14:paraId="60ED5094" w14:textId="77777777" w:rsidR="0040580E" w:rsidRPr="005F5BEA" w:rsidRDefault="0040580E" w:rsidP="00EC391A">
            <w:pPr>
              <w:pStyle w:val="Tableheader"/>
              <w:jc w:val="center"/>
              <w:rPr>
                <w:b/>
                <w:color w:val="auto"/>
              </w:rPr>
            </w:pPr>
            <w:r w:rsidRPr="005F5BEA">
              <w:rPr>
                <w:b/>
                <w:color w:val="auto"/>
              </w:rPr>
              <w:t>Average time (</w:t>
            </w:r>
            <w:proofErr w:type="spellStart"/>
            <w:proofErr w:type="gramStart"/>
            <w:r w:rsidRPr="005F5BEA">
              <w:rPr>
                <w:b/>
                <w:color w:val="auto"/>
              </w:rPr>
              <w:t>hr:mins</w:t>
            </w:r>
            <w:proofErr w:type="spellEnd"/>
            <w:proofErr w:type="gramEnd"/>
            <w:r w:rsidRPr="005F5BEA">
              <w:rPr>
                <w:b/>
                <w:color w:val="auto"/>
              </w:rPr>
              <w:t>)</w:t>
            </w:r>
          </w:p>
        </w:tc>
      </w:tr>
      <w:tr w:rsidR="0040580E" w:rsidRPr="005F5BEA" w14:paraId="60BD3F41" w14:textId="77777777" w:rsidTr="00EC391A">
        <w:tc>
          <w:tcPr>
            <w:tcW w:w="2046" w:type="pct"/>
          </w:tcPr>
          <w:p w14:paraId="2A9B8C57" w14:textId="77777777" w:rsidR="0040580E" w:rsidRPr="005F5BEA" w:rsidRDefault="0040580E" w:rsidP="00EC391A">
            <w:pPr>
              <w:pStyle w:val="TableText"/>
              <w:widowControl/>
              <w:rPr>
                <w:b/>
              </w:rPr>
            </w:pPr>
            <w:r w:rsidRPr="005F5BEA">
              <w:t>Travel to metro area</w:t>
            </w:r>
          </w:p>
        </w:tc>
        <w:tc>
          <w:tcPr>
            <w:tcW w:w="1477" w:type="pct"/>
          </w:tcPr>
          <w:p w14:paraId="2C63BA0D" w14:textId="77777777" w:rsidR="0040580E" w:rsidRPr="005F5BEA" w:rsidRDefault="0040580E" w:rsidP="00EC391A">
            <w:pPr>
              <w:pStyle w:val="TableText"/>
              <w:jc w:val="center"/>
              <w:rPr>
                <w:b/>
              </w:rPr>
            </w:pPr>
            <w:r w:rsidRPr="005F5BEA">
              <w:t>8,811 (82.7)</w:t>
            </w:r>
          </w:p>
        </w:tc>
        <w:tc>
          <w:tcPr>
            <w:tcW w:w="1477" w:type="pct"/>
          </w:tcPr>
          <w:p w14:paraId="08E55367" w14:textId="77777777" w:rsidR="0040580E" w:rsidRPr="005F5BEA" w:rsidRDefault="0040580E" w:rsidP="00EC391A">
            <w:pPr>
              <w:pStyle w:val="TableText"/>
              <w:widowControl/>
              <w:jc w:val="center"/>
              <w:rPr>
                <w:b/>
              </w:rPr>
            </w:pPr>
            <w:r w:rsidRPr="005F5BEA">
              <w:t>1:03</w:t>
            </w:r>
          </w:p>
        </w:tc>
      </w:tr>
      <w:tr w:rsidR="0040580E" w:rsidRPr="005F5BEA" w14:paraId="3D814F68" w14:textId="77777777" w:rsidTr="00EC391A">
        <w:tc>
          <w:tcPr>
            <w:tcW w:w="2046" w:type="pct"/>
          </w:tcPr>
          <w:p w14:paraId="57307A3A" w14:textId="77777777" w:rsidR="0040580E" w:rsidRPr="005F5BEA" w:rsidRDefault="0040580E" w:rsidP="00EC391A">
            <w:pPr>
              <w:pStyle w:val="TableText"/>
              <w:widowControl/>
              <w:rPr>
                <w:b/>
              </w:rPr>
            </w:pPr>
            <w:r w:rsidRPr="005F5BEA">
              <w:t>Travel to regional area</w:t>
            </w:r>
          </w:p>
        </w:tc>
        <w:tc>
          <w:tcPr>
            <w:tcW w:w="1477" w:type="pct"/>
          </w:tcPr>
          <w:p w14:paraId="79CDE632" w14:textId="77777777" w:rsidR="0040580E" w:rsidRPr="005F5BEA" w:rsidRDefault="0040580E" w:rsidP="00EC391A">
            <w:pPr>
              <w:pStyle w:val="TableText"/>
              <w:jc w:val="center"/>
              <w:rPr>
                <w:b/>
              </w:rPr>
            </w:pPr>
            <w:r w:rsidRPr="005F5BEA">
              <w:t>1,810 (17.0)</w:t>
            </w:r>
          </w:p>
        </w:tc>
        <w:tc>
          <w:tcPr>
            <w:tcW w:w="1477" w:type="pct"/>
          </w:tcPr>
          <w:p w14:paraId="6B051847" w14:textId="77777777" w:rsidR="0040580E" w:rsidRPr="005F5BEA" w:rsidRDefault="0040580E" w:rsidP="00EC391A">
            <w:pPr>
              <w:pStyle w:val="TableText"/>
              <w:widowControl/>
              <w:jc w:val="center"/>
              <w:rPr>
                <w:b/>
              </w:rPr>
            </w:pPr>
            <w:r w:rsidRPr="005F5BEA">
              <w:t>1:58</w:t>
            </w:r>
          </w:p>
        </w:tc>
      </w:tr>
      <w:tr w:rsidR="0040580E" w:rsidRPr="005F5BEA" w14:paraId="7412FD17" w14:textId="77777777" w:rsidTr="00EC391A">
        <w:tc>
          <w:tcPr>
            <w:tcW w:w="2046" w:type="pct"/>
          </w:tcPr>
          <w:p w14:paraId="24D02D1D" w14:textId="77777777" w:rsidR="0040580E" w:rsidRPr="005F5BEA" w:rsidRDefault="0040580E" w:rsidP="00EC391A">
            <w:pPr>
              <w:pStyle w:val="TableText"/>
              <w:widowControl/>
              <w:rPr>
                <w:b/>
              </w:rPr>
            </w:pPr>
            <w:r w:rsidRPr="005F5BEA">
              <w:t>Travel to remote area</w:t>
            </w:r>
          </w:p>
        </w:tc>
        <w:tc>
          <w:tcPr>
            <w:tcW w:w="1477" w:type="pct"/>
          </w:tcPr>
          <w:p w14:paraId="615F6D54" w14:textId="77777777" w:rsidR="0040580E" w:rsidRPr="005F5BEA" w:rsidRDefault="0040580E" w:rsidP="00EC391A">
            <w:pPr>
              <w:pStyle w:val="TableText"/>
              <w:jc w:val="center"/>
              <w:rPr>
                <w:b/>
              </w:rPr>
            </w:pPr>
            <w:r w:rsidRPr="005F5BEA">
              <w:t>34 (0.3)</w:t>
            </w:r>
          </w:p>
        </w:tc>
        <w:tc>
          <w:tcPr>
            <w:tcW w:w="1477" w:type="pct"/>
          </w:tcPr>
          <w:p w14:paraId="24F20769" w14:textId="77777777" w:rsidR="0040580E" w:rsidRPr="005F5BEA" w:rsidRDefault="0040580E" w:rsidP="00EC391A">
            <w:pPr>
              <w:pStyle w:val="TableText"/>
              <w:widowControl/>
              <w:jc w:val="center"/>
              <w:rPr>
                <w:b/>
              </w:rPr>
            </w:pPr>
            <w:r w:rsidRPr="005F5BEA">
              <w:t>2:55</w:t>
            </w:r>
          </w:p>
        </w:tc>
      </w:tr>
      <w:tr w:rsidR="0040580E" w:rsidRPr="005F5BEA" w14:paraId="5B0B1093" w14:textId="77777777" w:rsidTr="00EC391A">
        <w:tc>
          <w:tcPr>
            <w:tcW w:w="2046" w:type="pct"/>
          </w:tcPr>
          <w:p w14:paraId="1784532B" w14:textId="6DF9BB9A" w:rsidR="0040580E" w:rsidRPr="005F5BEA" w:rsidRDefault="00166AE6" w:rsidP="00EC391A">
            <w:pPr>
              <w:pStyle w:val="TableText"/>
              <w:widowControl/>
              <w:rPr>
                <w:b/>
              </w:rPr>
            </w:pPr>
            <w:r w:rsidRPr="005F5BEA">
              <w:t>Weighted average</w:t>
            </w:r>
          </w:p>
        </w:tc>
        <w:tc>
          <w:tcPr>
            <w:tcW w:w="1477" w:type="pct"/>
          </w:tcPr>
          <w:p w14:paraId="4A775D2E" w14:textId="77777777" w:rsidR="0040580E" w:rsidRPr="005F5BEA" w:rsidRDefault="0040580E" w:rsidP="00EC391A">
            <w:pPr>
              <w:pStyle w:val="TableText"/>
              <w:jc w:val="center"/>
              <w:rPr>
                <w:b/>
              </w:rPr>
            </w:pPr>
            <w:r w:rsidRPr="005F5BEA">
              <w:t>10,655 (100)</w:t>
            </w:r>
          </w:p>
        </w:tc>
        <w:tc>
          <w:tcPr>
            <w:tcW w:w="1477" w:type="pct"/>
          </w:tcPr>
          <w:p w14:paraId="603E8F44" w14:textId="77777777" w:rsidR="0040580E" w:rsidRPr="005F5BEA" w:rsidRDefault="0040580E" w:rsidP="00EC391A">
            <w:pPr>
              <w:pStyle w:val="TableText"/>
              <w:jc w:val="center"/>
              <w:rPr>
                <w:b/>
              </w:rPr>
            </w:pPr>
            <w:r w:rsidRPr="005F5BEA">
              <w:t>1:10</w:t>
            </w:r>
          </w:p>
        </w:tc>
      </w:tr>
    </w:tbl>
    <w:p w14:paraId="5287AE51" w14:textId="7DBA0D3B" w:rsidR="0040580E" w:rsidRPr="005F5BEA" w:rsidRDefault="0040580E" w:rsidP="0040580E">
      <w:pPr>
        <w:pStyle w:val="Tablenotes"/>
      </w:pPr>
      <w:r w:rsidRPr="005F5BEA">
        <w:t>Abbreviations: hr=hour; MAS=modified analysis set; mins=minutes</w:t>
      </w:r>
    </w:p>
    <w:p w14:paraId="76C15AD1" w14:textId="78EDF470" w:rsidR="0040580E" w:rsidRPr="005F5BEA" w:rsidRDefault="0040580E" w:rsidP="0040580E">
      <w:pPr>
        <w:pStyle w:val="Caption"/>
        <w:keepNext/>
        <w:rPr>
          <w:rFonts w:ascii="Arial Narrow" w:hAnsi="Arial Narrow"/>
          <w:b/>
          <w:i w:val="0"/>
          <w:color w:val="auto"/>
          <w:sz w:val="20"/>
          <w:szCs w:val="20"/>
        </w:rPr>
      </w:pPr>
      <w:bookmarkStart w:id="26" w:name="_Ref120696810"/>
      <w:r w:rsidRPr="005F5BEA">
        <w:rPr>
          <w:rFonts w:ascii="Arial Narrow" w:hAnsi="Arial Narrow"/>
          <w:b/>
          <w:i w:val="0"/>
          <w:color w:val="auto"/>
          <w:sz w:val="20"/>
          <w:szCs w:val="20"/>
        </w:rPr>
        <w:t xml:space="preserve">Table </w:t>
      </w:r>
      <w:r w:rsidRPr="005F5BEA">
        <w:rPr>
          <w:rFonts w:ascii="Arial Narrow" w:hAnsi="Arial Narrow"/>
          <w:b/>
          <w:i w:val="0"/>
          <w:color w:val="auto"/>
          <w:sz w:val="20"/>
          <w:szCs w:val="20"/>
        </w:rPr>
        <w:fldChar w:fldCharType="begin"/>
      </w:r>
      <w:r w:rsidRPr="005F5BEA">
        <w:rPr>
          <w:rFonts w:ascii="Arial Narrow" w:hAnsi="Arial Narrow"/>
          <w:b/>
          <w:i w:val="0"/>
          <w:color w:val="auto"/>
          <w:sz w:val="20"/>
          <w:szCs w:val="20"/>
        </w:rPr>
        <w:instrText xml:space="preserve"> SEQ Table \* ARABIC </w:instrText>
      </w:r>
      <w:r w:rsidRPr="005F5BEA">
        <w:rPr>
          <w:rFonts w:ascii="Arial Narrow" w:hAnsi="Arial Narrow"/>
          <w:b/>
          <w:i w:val="0"/>
          <w:color w:val="auto"/>
          <w:sz w:val="20"/>
          <w:szCs w:val="20"/>
        </w:rPr>
        <w:fldChar w:fldCharType="separate"/>
      </w:r>
      <w:r w:rsidR="00334548">
        <w:rPr>
          <w:rFonts w:ascii="Arial Narrow" w:hAnsi="Arial Narrow"/>
          <w:b/>
          <w:i w:val="0"/>
          <w:noProof/>
          <w:color w:val="auto"/>
          <w:sz w:val="20"/>
          <w:szCs w:val="20"/>
        </w:rPr>
        <w:t>9</w:t>
      </w:r>
      <w:r w:rsidRPr="005F5BEA">
        <w:rPr>
          <w:rFonts w:ascii="Arial Narrow" w:hAnsi="Arial Narrow"/>
          <w:b/>
          <w:i w:val="0"/>
          <w:color w:val="auto"/>
          <w:sz w:val="20"/>
          <w:szCs w:val="20"/>
        </w:rPr>
        <w:fldChar w:fldCharType="end"/>
      </w:r>
      <w:bookmarkEnd w:id="26"/>
      <w:r w:rsidRPr="005F5BEA">
        <w:rPr>
          <w:rFonts w:ascii="Arial Narrow" w:hAnsi="Arial Narrow"/>
          <w:b/>
          <w:i w:val="0"/>
          <w:color w:val="auto"/>
          <w:sz w:val="20"/>
          <w:szCs w:val="20"/>
        </w:rPr>
        <w:tab/>
        <w:t>Travel costs</w:t>
      </w:r>
    </w:p>
    <w:tbl>
      <w:tblPr>
        <w:tblStyle w:val="TableGrid"/>
        <w:tblW w:w="9016" w:type="dxa"/>
        <w:tblLayout w:type="fixed"/>
        <w:tblLook w:val="04A0" w:firstRow="1" w:lastRow="0" w:firstColumn="1" w:lastColumn="0" w:noHBand="0" w:noVBand="1"/>
      </w:tblPr>
      <w:tblGrid>
        <w:gridCol w:w="345"/>
        <w:gridCol w:w="3761"/>
        <w:gridCol w:w="1227"/>
        <w:gridCol w:w="1228"/>
        <w:gridCol w:w="1227"/>
        <w:gridCol w:w="1228"/>
      </w:tblGrid>
      <w:tr w:rsidR="0040580E" w:rsidRPr="005F5BEA" w14:paraId="3E51A3AF" w14:textId="77777777" w:rsidTr="0040580E">
        <w:trPr>
          <w:trHeight w:val="300"/>
          <w:tblHeader/>
        </w:trPr>
        <w:tc>
          <w:tcPr>
            <w:tcW w:w="345" w:type="dxa"/>
          </w:tcPr>
          <w:p w14:paraId="72C5E9E7" w14:textId="77777777" w:rsidR="0040580E" w:rsidRPr="005F5BEA" w:rsidRDefault="0040580E" w:rsidP="00EC391A">
            <w:pPr>
              <w:pStyle w:val="TableText"/>
              <w:rPr>
                <w:lang w:eastAsia="en-AU"/>
              </w:rPr>
            </w:pPr>
          </w:p>
        </w:tc>
        <w:tc>
          <w:tcPr>
            <w:tcW w:w="3761" w:type="dxa"/>
            <w:noWrap/>
            <w:hideMark/>
          </w:tcPr>
          <w:p w14:paraId="2DAB2500" w14:textId="77777777" w:rsidR="0040580E" w:rsidRPr="005F5BEA" w:rsidRDefault="0040580E" w:rsidP="00EC391A">
            <w:pPr>
              <w:pStyle w:val="TableText"/>
              <w:rPr>
                <w:lang w:eastAsia="en-AU"/>
              </w:rPr>
            </w:pPr>
          </w:p>
        </w:tc>
        <w:tc>
          <w:tcPr>
            <w:tcW w:w="1227" w:type="dxa"/>
            <w:noWrap/>
            <w:hideMark/>
          </w:tcPr>
          <w:p w14:paraId="19B74200" w14:textId="77777777" w:rsidR="0040580E" w:rsidRPr="005F5BEA" w:rsidRDefault="0040580E" w:rsidP="00EC391A">
            <w:pPr>
              <w:pStyle w:val="TableText"/>
              <w:rPr>
                <w:b/>
                <w:lang w:eastAsia="en-AU"/>
              </w:rPr>
            </w:pPr>
            <w:r w:rsidRPr="005F5BEA">
              <w:rPr>
                <w:b/>
                <w:lang w:eastAsia="en-AU"/>
              </w:rPr>
              <w:t>2022</w:t>
            </w:r>
          </w:p>
        </w:tc>
        <w:tc>
          <w:tcPr>
            <w:tcW w:w="1228" w:type="dxa"/>
            <w:noWrap/>
            <w:hideMark/>
          </w:tcPr>
          <w:p w14:paraId="266BBB0A" w14:textId="77777777" w:rsidR="0040580E" w:rsidRPr="005F5BEA" w:rsidRDefault="0040580E" w:rsidP="00EC391A">
            <w:pPr>
              <w:pStyle w:val="TableText"/>
              <w:rPr>
                <w:b/>
                <w:lang w:eastAsia="en-AU"/>
              </w:rPr>
            </w:pPr>
            <w:r w:rsidRPr="005F5BEA">
              <w:rPr>
                <w:b/>
                <w:lang w:eastAsia="en-AU"/>
              </w:rPr>
              <w:t>2023</w:t>
            </w:r>
          </w:p>
        </w:tc>
        <w:tc>
          <w:tcPr>
            <w:tcW w:w="1227" w:type="dxa"/>
            <w:noWrap/>
            <w:hideMark/>
          </w:tcPr>
          <w:p w14:paraId="0DF33B96" w14:textId="77777777" w:rsidR="0040580E" w:rsidRPr="005F5BEA" w:rsidRDefault="0040580E" w:rsidP="00EC391A">
            <w:pPr>
              <w:pStyle w:val="TableText"/>
              <w:rPr>
                <w:b/>
                <w:lang w:eastAsia="en-AU"/>
              </w:rPr>
            </w:pPr>
            <w:r w:rsidRPr="005F5BEA">
              <w:rPr>
                <w:b/>
                <w:lang w:eastAsia="en-AU"/>
              </w:rPr>
              <w:t>2024</w:t>
            </w:r>
          </w:p>
        </w:tc>
        <w:tc>
          <w:tcPr>
            <w:tcW w:w="1228" w:type="dxa"/>
            <w:noWrap/>
            <w:hideMark/>
          </w:tcPr>
          <w:p w14:paraId="4741B1DF" w14:textId="77777777" w:rsidR="0040580E" w:rsidRPr="005F5BEA" w:rsidRDefault="0040580E" w:rsidP="00EC391A">
            <w:pPr>
              <w:pStyle w:val="TableText"/>
              <w:rPr>
                <w:b/>
                <w:lang w:eastAsia="en-AU"/>
              </w:rPr>
            </w:pPr>
            <w:r w:rsidRPr="005F5BEA">
              <w:rPr>
                <w:b/>
                <w:lang w:eastAsia="en-AU"/>
              </w:rPr>
              <w:t>2025</w:t>
            </w:r>
          </w:p>
        </w:tc>
      </w:tr>
      <w:tr w:rsidR="0040580E" w:rsidRPr="005F5BEA" w14:paraId="42362DFD" w14:textId="77777777" w:rsidTr="00D865D4">
        <w:trPr>
          <w:trHeight w:val="300"/>
        </w:trPr>
        <w:tc>
          <w:tcPr>
            <w:tcW w:w="345" w:type="dxa"/>
          </w:tcPr>
          <w:p w14:paraId="5D014B16" w14:textId="77777777" w:rsidR="0040580E" w:rsidRPr="005F5BEA" w:rsidRDefault="0040580E" w:rsidP="00EC391A">
            <w:pPr>
              <w:pStyle w:val="TableText"/>
              <w:rPr>
                <w:lang w:eastAsia="en-AU"/>
              </w:rPr>
            </w:pPr>
            <w:r w:rsidRPr="005F5BEA">
              <w:rPr>
                <w:lang w:eastAsia="en-AU"/>
              </w:rPr>
              <w:t>A</w:t>
            </w:r>
          </w:p>
        </w:tc>
        <w:tc>
          <w:tcPr>
            <w:tcW w:w="3761" w:type="dxa"/>
            <w:noWrap/>
          </w:tcPr>
          <w:p w14:paraId="15AA7505" w14:textId="77777777" w:rsidR="0040580E" w:rsidRPr="005F5BEA" w:rsidRDefault="0040580E" w:rsidP="00EC391A">
            <w:pPr>
              <w:pStyle w:val="TableText"/>
              <w:rPr>
                <w:lang w:eastAsia="en-AU"/>
              </w:rPr>
            </w:pPr>
            <w:r w:rsidRPr="005F5BEA">
              <w:rPr>
                <w:lang w:eastAsia="en-AU"/>
              </w:rPr>
              <w:t xml:space="preserve">Total number of in-person services </w:t>
            </w:r>
            <w:r w:rsidRPr="005F5BEA">
              <w:rPr>
                <w:lang w:eastAsia="en-AU"/>
              </w:rPr>
              <w:br/>
              <w:t xml:space="preserve">(scheduled or </w:t>
            </w:r>
            <w:proofErr w:type="gramStart"/>
            <w:r w:rsidRPr="005F5BEA">
              <w:rPr>
                <w:lang w:eastAsia="en-AU"/>
              </w:rPr>
              <w:t>unscheduled)</w:t>
            </w:r>
            <w:r w:rsidRPr="005F5BEA">
              <w:rPr>
                <w:vertAlign w:val="superscript"/>
                <w:lang w:eastAsia="en-AU"/>
              </w:rPr>
              <w:t>a</w:t>
            </w:r>
            <w:proofErr w:type="gramEnd"/>
          </w:p>
        </w:tc>
        <w:tc>
          <w:tcPr>
            <w:tcW w:w="1227" w:type="dxa"/>
            <w:tcBorders>
              <w:bottom w:val="single" w:sz="4" w:space="0" w:color="auto"/>
            </w:tcBorders>
            <w:noWrap/>
          </w:tcPr>
          <w:p w14:paraId="4757F51E" w14:textId="77777777" w:rsidR="0040580E" w:rsidRPr="005F5BEA" w:rsidRDefault="0040580E" w:rsidP="00EC391A">
            <w:pPr>
              <w:pStyle w:val="TableText"/>
              <w:rPr>
                <w:lang w:eastAsia="en-AU"/>
              </w:rPr>
            </w:pPr>
            <w:r w:rsidRPr="005F5BEA">
              <w:rPr>
                <w:lang w:eastAsia="en-AU"/>
              </w:rPr>
              <w:t>177,388</w:t>
            </w:r>
          </w:p>
        </w:tc>
        <w:tc>
          <w:tcPr>
            <w:tcW w:w="1228" w:type="dxa"/>
            <w:tcBorders>
              <w:bottom w:val="single" w:sz="4" w:space="0" w:color="auto"/>
            </w:tcBorders>
            <w:noWrap/>
          </w:tcPr>
          <w:p w14:paraId="14635180" w14:textId="77777777" w:rsidR="0040580E" w:rsidRPr="005F5BEA" w:rsidRDefault="0040580E" w:rsidP="00EC391A">
            <w:pPr>
              <w:pStyle w:val="TableText"/>
              <w:rPr>
                <w:lang w:eastAsia="en-AU"/>
              </w:rPr>
            </w:pPr>
            <w:r w:rsidRPr="005F5BEA">
              <w:rPr>
                <w:lang w:eastAsia="en-AU"/>
              </w:rPr>
              <w:t>189,805</w:t>
            </w:r>
          </w:p>
        </w:tc>
        <w:tc>
          <w:tcPr>
            <w:tcW w:w="1227" w:type="dxa"/>
            <w:tcBorders>
              <w:bottom w:val="single" w:sz="4" w:space="0" w:color="auto"/>
            </w:tcBorders>
            <w:noWrap/>
          </w:tcPr>
          <w:p w14:paraId="413A478F" w14:textId="77777777" w:rsidR="0040580E" w:rsidRPr="005F5BEA" w:rsidRDefault="0040580E" w:rsidP="00EC391A">
            <w:pPr>
              <w:pStyle w:val="TableText"/>
              <w:rPr>
                <w:lang w:eastAsia="en-AU"/>
              </w:rPr>
            </w:pPr>
            <w:r w:rsidRPr="005F5BEA">
              <w:rPr>
                <w:lang w:eastAsia="en-AU"/>
              </w:rPr>
              <w:t>203,091</w:t>
            </w:r>
          </w:p>
        </w:tc>
        <w:tc>
          <w:tcPr>
            <w:tcW w:w="1228" w:type="dxa"/>
            <w:tcBorders>
              <w:bottom w:val="single" w:sz="4" w:space="0" w:color="auto"/>
            </w:tcBorders>
            <w:noWrap/>
          </w:tcPr>
          <w:p w14:paraId="73D80B4B" w14:textId="77777777" w:rsidR="0040580E" w:rsidRPr="005F5BEA" w:rsidRDefault="0040580E" w:rsidP="00EC391A">
            <w:pPr>
              <w:pStyle w:val="TableText"/>
              <w:rPr>
                <w:lang w:eastAsia="en-AU"/>
              </w:rPr>
            </w:pPr>
            <w:r w:rsidRPr="005F5BEA">
              <w:rPr>
                <w:lang w:eastAsia="en-AU"/>
              </w:rPr>
              <w:t>217,307</w:t>
            </w:r>
          </w:p>
        </w:tc>
      </w:tr>
      <w:tr w:rsidR="0040580E" w:rsidRPr="005F5BEA" w14:paraId="08E2C1FE" w14:textId="77777777" w:rsidTr="00D865D4">
        <w:trPr>
          <w:trHeight w:val="300"/>
        </w:trPr>
        <w:tc>
          <w:tcPr>
            <w:tcW w:w="345" w:type="dxa"/>
          </w:tcPr>
          <w:p w14:paraId="338F128F" w14:textId="77777777" w:rsidR="0040580E" w:rsidRPr="005F5BEA" w:rsidRDefault="0040580E" w:rsidP="00EC391A">
            <w:pPr>
              <w:pStyle w:val="TableText"/>
              <w:rPr>
                <w:lang w:eastAsia="en-AU"/>
              </w:rPr>
            </w:pPr>
            <w:r w:rsidRPr="005F5BEA">
              <w:rPr>
                <w:lang w:eastAsia="en-AU"/>
              </w:rPr>
              <w:t>B</w:t>
            </w:r>
          </w:p>
        </w:tc>
        <w:tc>
          <w:tcPr>
            <w:tcW w:w="3761" w:type="dxa"/>
            <w:noWrap/>
          </w:tcPr>
          <w:p w14:paraId="12C7D503" w14:textId="11FC2FD3" w:rsidR="0040580E" w:rsidRPr="005F5BEA" w:rsidRDefault="0040580E" w:rsidP="00EC391A">
            <w:pPr>
              <w:pStyle w:val="TableText"/>
              <w:rPr>
                <w:lang w:eastAsia="en-AU"/>
              </w:rPr>
            </w:pPr>
            <w:r w:rsidRPr="005F5BEA">
              <w:rPr>
                <w:lang w:eastAsia="en-AU"/>
              </w:rPr>
              <w:t xml:space="preserve">Travel time for in-patient services </w:t>
            </w:r>
            <w:r w:rsidRPr="005F5BEA">
              <w:rPr>
                <w:lang w:eastAsia="en-AU"/>
              </w:rPr>
              <w:br/>
              <w:t xml:space="preserve">(A × </w:t>
            </w:r>
            <w:r w:rsidR="00D865D4" w:rsidRPr="00185424">
              <w:rPr>
                <w:color w:val="000000"/>
                <w:spacing w:val="109"/>
                <w:shd w:val="solid" w:color="000000" w:fill="000000"/>
                <w:fitText w:val="195" w:id="-1157883392"/>
                <w:lang w:eastAsia="en-AU"/>
                <w14:textFill>
                  <w14:solidFill>
                    <w14:srgbClr w14:val="000000">
                      <w14:alpha w14:val="100000"/>
                    </w14:srgbClr>
                  </w14:solidFill>
                </w14:textFill>
              </w:rPr>
              <w:t>|</w:t>
            </w:r>
            <w:r w:rsidR="00D865D4" w:rsidRPr="00185424">
              <w:rPr>
                <w:color w:val="000000"/>
                <w:spacing w:val="1"/>
                <w:shd w:val="solid" w:color="000000" w:fill="000000"/>
                <w:fitText w:val="195" w:id="-1157883392"/>
                <w:lang w:eastAsia="en-AU"/>
                <w14:textFill>
                  <w14:solidFill>
                    <w14:srgbClr w14:val="000000">
                      <w14:alpha w14:val="100000"/>
                    </w14:srgbClr>
                  </w14:solidFill>
                </w14:textFill>
              </w:rPr>
              <w:t>|</w:t>
            </w:r>
            <w:r w:rsidRPr="005F5BEA">
              <w:rPr>
                <w:lang w:eastAsia="en-AU"/>
              </w:rPr>
              <w:t xml:space="preserve"> hours per service)</w:t>
            </w:r>
          </w:p>
        </w:tc>
        <w:tc>
          <w:tcPr>
            <w:tcW w:w="1227" w:type="dxa"/>
            <w:tcBorders>
              <w:bottom w:val="single" w:sz="4" w:space="0" w:color="auto"/>
            </w:tcBorders>
            <w:shd w:val="solid" w:color="000000" w:fill="000000"/>
            <w:noWrap/>
          </w:tcPr>
          <w:p w14:paraId="17439E7F" w14:textId="12C3723E" w:rsidR="0040580E" w:rsidRPr="00D865D4" w:rsidRDefault="00D865D4" w:rsidP="00EC391A">
            <w:pPr>
              <w:pStyle w:val="TableText"/>
              <w:rPr>
                <w:lang w:eastAsia="en-AU"/>
              </w:rPr>
            </w:pPr>
            <w:r w:rsidRPr="00185424">
              <w:rPr>
                <w:color w:val="000000"/>
                <w:spacing w:val="94"/>
                <w:fitText w:val="180" w:id="-1157883391"/>
                <w:lang w:eastAsia="en-AU"/>
                <w14:textFill>
                  <w14:solidFill>
                    <w14:srgbClr w14:val="000000">
                      <w14:alpha w14:val="100000"/>
                    </w14:srgbClr>
                  </w14:solidFill>
                </w14:textFill>
              </w:rPr>
              <w:t>|</w:t>
            </w:r>
            <w:r w:rsidRPr="00185424">
              <w:rPr>
                <w:color w:val="000000"/>
                <w:spacing w:val="1"/>
                <w:fitText w:val="180" w:id="-1157883391"/>
                <w:lang w:eastAsia="en-AU"/>
                <w14:textFill>
                  <w14:solidFill>
                    <w14:srgbClr w14:val="000000">
                      <w14:alpha w14:val="100000"/>
                    </w14:srgbClr>
                  </w14:solidFill>
                </w14:textFill>
              </w:rPr>
              <w:t>|</w:t>
            </w:r>
          </w:p>
        </w:tc>
        <w:tc>
          <w:tcPr>
            <w:tcW w:w="1228" w:type="dxa"/>
            <w:tcBorders>
              <w:bottom w:val="single" w:sz="4" w:space="0" w:color="auto"/>
            </w:tcBorders>
            <w:shd w:val="solid" w:color="000000" w:fill="000000"/>
            <w:noWrap/>
          </w:tcPr>
          <w:p w14:paraId="18242FC7" w14:textId="6F027E07" w:rsidR="0040580E" w:rsidRPr="00D865D4" w:rsidRDefault="00D865D4" w:rsidP="00EC391A">
            <w:pPr>
              <w:pStyle w:val="TableText"/>
              <w:rPr>
                <w:lang w:eastAsia="en-AU"/>
              </w:rPr>
            </w:pPr>
            <w:r w:rsidRPr="00185424">
              <w:rPr>
                <w:color w:val="000000"/>
                <w:spacing w:val="94"/>
                <w:fitText w:val="180" w:id="-1157883390"/>
                <w:lang w:eastAsia="en-AU"/>
                <w14:textFill>
                  <w14:solidFill>
                    <w14:srgbClr w14:val="000000">
                      <w14:alpha w14:val="100000"/>
                    </w14:srgbClr>
                  </w14:solidFill>
                </w14:textFill>
              </w:rPr>
              <w:t>|</w:t>
            </w:r>
            <w:r w:rsidRPr="00185424">
              <w:rPr>
                <w:color w:val="000000"/>
                <w:spacing w:val="1"/>
                <w:fitText w:val="180" w:id="-1157883390"/>
                <w:lang w:eastAsia="en-AU"/>
                <w14:textFill>
                  <w14:solidFill>
                    <w14:srgbClr w14:val="000000">
                      <w14:alpha w14:val="100000"/>
                    </w14:srgbClr>
                  </w14:solidFill>
                </w14:textFill>
              </w:rPr>
              <w:t>|</w:t>
            </w:r>
          </w:p>
        </w:tc>
        <w:tc>
          <w:tcPr>
            <w:tcW w:w="1227" w:type="dxa"/>
            <w:tcBorders>
              <w:bottom w:val="single" w:sz="4" w:space="0" w:color="auto"/>
            </w:tcBorders>
            <w:shd w:val="solid" w:color="000000" w:fill="000000"/>
            <w:noWrap/>
          </w:tcPr>
          <w:p w14:paraId="3F499D44" w14:textId="4DA9B3A6" w:rsidR="0040580E" w:rsidRPr="00D865D4" w:rsidRDefault="00D865D4" w:rsidP="00EC391A">
            <w:pPr>
              <w:pStyle w:val="TableText"/>
              <w:rPr>
                <w:lang w:eastAsia="en-AU"/>
              </w:rPr>
            </w:pPr>
            <w:r w:rsidRPr="00185424">
              <w:rPr>
                <w:color w:val="000000"/>
                <w:spacing w:val="94"/>
                <w:fitText w:val="180" w:id="-1157883389"/>
                <w:lang w:eastAsia="en-AU"/>
                <w14:textFill>
                  <w14:solidFill>
                    <w14:srgbClr w14:val="000000">
                      <w14:alpha w14:val="100000"/>
                    </w14:srgbClr>
                  </w14:solidFill>
                </w14:textFill>
              </w:rPr>
              <w:t>|</w:t>
            </w:r>
            <w:r w:rsidRPr="00185424">
              <w:rPr>
                <w:color w:val="000000"/>
                <w:spacing w:val="1"/>
                <w:fitText w:val="180" w:id="-1157883389"/>
                <w:lang w:eastAsia="en-AU"/>
                <w14:textFill>
                  <w14:solidFill>
                    <w14:srgbClr w14:val="000000">
                      <w14:alpha w14:val="100000"/>
                    </w14:srgbClr>
                  </w14:solidFill>
                </w14:textFill>
              </w:rPr>
              <w:t>|</w:t>
            </w:r>
          </w:p>
        </w:tc>
        <w:tc>
          <w:tcPr>
            <w:tcW w:w="1228" w:type="dxa"/>
            <w:tcBorders>
              <w:bottom w:val="single" w:sz="4" w:space="0" w:color="auto"/>
            </w:tcBorders>
            <w:shd w:val="solid" w:color="000000" w:fill="000000"/>
            <w:noWrap/>
          </w:tcPr>
          <w:p w14:paraId="0623077C" w14:textId="025DD0BC" w:rsidR="0040580E" w:rsidRPr="00D865D4" w:rsidRDefault="00D865D4" w:rsidP="00EC391A">
            <w:pPr>
              <w:pStyle w:val="TableText"/>
              <w:rPr>
                <w:lang w:eastAsia="en-AU"/>
              </w:rPr>
            </w:pPr>
            <w:r w:rsidRPr="00185424">
              <w:rPr>
                <w:color w:val="000000"/>
                <w:spacing w:val="94"/>
                <w:fitText w:val="180" w:id="-1157883388"/>
                <w:lang w:eastAsia="en-AU"/>
                <w14:textFill>
                  <w14:solidFill>
                    <w14:srgbClr w14:val="000000">
                      <w14:alpha w14:val="100000"/>
                    </w14:srgbClr>
                  </w14:solidFill>
                </w14:textFill>
              </w:rPr>
              <w:t>|</w:t>
            </w:r>
            <w:r w:rsidRPr="00185424">
              <w:rPr>
                <w:color w:val="000000"/>
                <w:spacing w:val="1"/>
                <w:fitText w:val="180" w:id="-1157883388"/>
                <w:lang w:eastAsia="en-AU"/>
                <w14:textFill>
                  <w14:solidFill>
                    <w14:srgbClr w14:val="000000">
                      <w14:alpha w14:val="100000"/>
                    </w14:srgbClr>
                  </w14:solidFill>
                </w14:textFill>
              </w:rPr>
              <w:t>|</w:t>
            </w:r>
          </w:p>
        </w:tc>
      </w:tr>
      <w:tr w:rsidR="0040580E" w:rsidRPr="005F5BEA" w14:paraId="371EA8C3" w14:textId="77777777" w:rsidTr="00D865D4">
        <w:trPr>
          <w:trHeight w:val="300"/>
        </w:trPr>
        <w:tc>
          <w:tcPr>
            <w:tcW w:w="345" w:type="dxa"/>
          </w:tcPr>
          <w:p w14:paraId="7E38EB9C" w14:textId="77777777" w:rsidR="0040580E" w:rsidRPr="005F5BEA" w:rsidRDefault="0040580E" w:rsidP="00EC391A">
            <w:pPr>
              <w:pStyle w:val="TableText"/>
              <w:rPr>
                <w:lang w:eastAsia="en-AU"/>
              </w:rPr>
            </w:pPr>
            <w:r w:rsidRPr="005F5BEA">
              <w:rPr>
                <w:lang w:eastAsia="en-AU"/>
              </w:rPr>
              <w:t>C</w:t>
            </w:r>
          </w:p>
        </w:tc>
        <w:tc>
          <w:tcPr>
            <w:tcW w:w="3761" w:type="dxa"/>
            <w:noWrap/>
          </w:tcPr>
          <w:p w14:paraId="68B3C4AB" w14:textId="77777777" w:rsidR="0040580E" w:rsidRPr="005F5BEA" w:rsidRDefault="0040580E" w:rsidP="00EC391A">
            <w:pPr>
              <w:pStyle w:val="TableText"/>
              <w:rPr>
                <w:lang w:eastAsia="en-AU"/>
              </w:rPr>
            </w:pPr>
            <w:r w:rsidRPr="005F5BEA">
              <w:rPr>
                <w:lang w:eastAsia="en-AU"/>
              </w:rPr>
              <w:t xml:space="preserve">Average cost per hour of travel </w:t>
            </w:r>
            <w:r w:rsidRPr="005F5BEA">
              <w:rPr>
                <w:vertAlign w:val="superscript"/>
                <w:lang w:eastAsia="en-AU"/>
              </w:rPr>
              <w:t>b</w:t>
            </w:r>
          </w:p>
        </w:tc>
        <w:tc>
          <w:tcPr>
            <w:tcW w:w="1227" w:type="dxa"/>
            <w:tcBorders>
              <w:bottom w:val="single" w:sz="4" w:space="0" w:color="auto"/>
            </w:tcBorders>
            <w:shd w:val="solid" w:color="000000" w:fill="000000"/>
            <w:noWrap/>
          </w:tcPr>
          <w:p w14:paraId="538CBDD8" w14:textId="641D5F36" w:rsidR="0040580E" w:rsidRPr="00D865D4" w:rsidRDefault="00D865D4" w:rsidP="00EC391A">
            <w:pPr>
              <w:pStyle w:val="TableText"/>
              <w:rPr>
                <w:lang w:eastAsia="en-AU"/>
              </w:rPr>
            </w:pPr>
            <w:r w:rsidRPr="00185424">
              <w:rPr>
                <w:color w:val="000000"/>
                <w:spacing w:val="94"/>
                <w:fitText w:val="180" w:id="-1157883387"/>
                <w:lang w:eastAsia="en-AU"/>
                <w14:textFill>
                  <w14:solidFill>
                    <w14:srgbClr w14:val="000000">
                      <w14:alpha w14:val="100000"/>
                    </w14:srgbClr>
                  </w14:solidFill>
                </w14:textFill>
              </w:rPr>
              <w:t>|</w:t>
            </w:r>
            <w:r w:rsidRPr="00185424">
              <w:rPr>
                <w:color w:val="000000"/>
                <w:spacing w:val="1"/>
                <w:fitText w:val="180" w:id="-1157883387"/>
                <w:lang w:eastAsia="en-AU"/>
                <w14:textFill>
                  <w14:solidFill>
                    <w14:srgbClr w14:val="000000">
                      <w14:alpha w14:val="100000"/>
                    </w14:srgbClr>
                  </w14:solidFill>
                </w14:textFill>
              </w:rPr>
              <w:t>|</w:t>
            </w:r>
          </w:p>
        </w:tc>
        <w:tc>
          <w:tcPr>
            <w:tcW w:w="1228" w:type="dxa"/>
            <w:tcBorders>
              <w:bottom w:val="single" w:sz="4" w:space="0" w:color="auto"/>
            </w:tcBorders>
            <w:shd w:val="solid" w:color="000000" w:fill="000000"/>
            <w:noWrap/>
          </w:tcPr>
          <w:p w14:paraId="595BEC9F" w14:textId="55DA8D2F" w:rsidR="0040580E" w:rsidRPr="00D865D4" w:rsidRDefault="00D865D4" w:rsidP="00EC391A">
            <w:pPr>
              <w:pStyle w:val="TableText"/>
              <w:rPr>
                <w:lang w:eastAsia="en-AU"/>
              </w:rPr>
            </w:pPr>
            <w:r w:rsidRPr="00185424">
              <w:rPr>
                <w:color w:val="000000"/>
                <w:spacing w:val="94"/>
                <w:fitText w:val="180" w:id="-1157883386"/>
                <w:lang w:eastAsia="en-AU"/>
                <w14:textFill>
                  <w14:solidFill>
                    <w14:srgbClr w14:val="000000">
                      <w14:alpha w14:val="100000"/>
                    </w14:srgbClr>
                  </w14:solidFill>
                </w14:textFill>
              </w:rPr>
              <w:t>|</w:t>
            </w:r>
            <w:r w:rsidRPr="00185424">
              <w:rPr>
                <w:color w:val="000000"/>
                <w:spacing w:val="1"/>
                <w:fitText w:val="180" w:id="-1157883386"/>
                <w:lang w:eastAsia="en-AU"/>
                <w14:textFill>
                  <w14:solidFill>
                    <w14:srgbClr w14:val="000000">
                      <w14:alpha w14:val="100000"/>
                    </w14:srgbClr>
                  </w14:solidFill>
                </w14:textFill>
              </w:rPr>
              <w:t>|</w:t>
            </w:r>
          </w:p>
        </w:tc>
        <w:tc>
          <w:tcPr>
            <w:tcW w:w="1227" w:type="dxa"/>
            <w:tcBorders>
              <w:bottom w:val="single" w:sz="4" w:space="0" w:color="auto"/>
            </w:tcBorders>
            <w:shd w:val="solid" w:color="000000" w:fill="000000"/>
            <w:noWrap/>
          </w:tcPr>
          <w:p w14:paraId="369171D8" w14:textId="3C672A80" w:rsidR="0040580E" w:rsidRPr="00D865D4" w:rsidRDefault="00D865D4" w:rsidP="00EC391A">
            <w:pPr>
              <w:pStyle w:val="TableText"/>
              <w:rPr>
                <w:lang w:eastAsia="en-AU"/>
              </w:rPr>
            </w:pPr>
            <w:r w:rsidRPr="00185424">
              <w:rPr>
                <w:color w:val="000000"/>
                <w:spacing w:val="94"/>
                <w:fitText w:val="180" w:id="-1157883385"/>
                <w:lang w:eastAsia="en-AU"/>
                <w14:textFill>
                  <w14:solidFill>
                    <w14:srgbClr w14:val="000000">
                      <w14:alpha w14:val="100000"/>
                    </w14:srgbClr>
                  </w14:solidFill>
                </w14:textFill>
              </w:rPr>
              <w:t>|</w:t>
            </w:r>
            <w:r w:rsidRPr="00185424">
              <w:rPr>
                <w:color w:val="000000"/>
                <w:spacing w:val="1"/>
                <w:fitText w:val="180" w:id="-1157883385"/>
                <w:lang w:eastAsia="en-AU"/>
                <w14:textFill>
                  <w14:solidFill>
                    <w14:srgbClr w14:val="000000">
                      <w14:alpha w14:val="100000"/>
                    </w14:srgbClr>
                  </w14:solidFill>
                </w14:textFill>
              </w:rPr>
              <w:t>|</w:t>
            </w:r>
          </w:p>
        </w:tc>
        <w:tc>
          <w:tcPr>
            <w:tcW w:w="1228" w:type="dxa"/>
            <w:tcBorders>
              <w:bottom w:val="single" w:sz="4" w:space="0" w:color="auto"/>
            </w:tcBorders>
            <w:shd w:val="solid" w:color="000000" w:fill="000000"/>
            <w:noWrap/>
          </w:tcPr>
          <w:p w14:paraId="04C93C65" w14:textId="5CD655F4" w:rsidR="0040580E" w:rsidRPr="00D865D4" w:rsidRDefault="00D865D4" w:rsidP="00EC391A">
            <w:pPr>
              <w:pStyle w:val="TableText"/>
              <w:rPr>
                <w:lang w:eastAsia="en-AU"/>
              </w:rPr>
            </w:pPr>
            <w:r w:rsidRPr="00185424">
              <w:rPr>
                <w:color w:val="000000"/>
                <w:spacing w:val="94"/>
                <w:fitText w:val="180" w:id="-1157883384"/>
                <w:lang w:eastAsia="en-AU"/>
                <w14:textFill>
                  <w14:solidFill>
                    <w14:srgbClr w14:val="000000">
                      <w14:alpha w14:val="100000"/>
                    </w14:srgbClr>
                  </w14:solidFill>
                </w14:textFill>
              </w:rPr>
              <w:t>|</w:t>
            </w:r>
            <w:r w:rsidRPr="00185424">
              <w:rPr>
                <w:color w:val="000000"/>
                <w:spacing w:val="1"/>
                <w:fitText w:val="180" w:id="-1157883384"/>
                <w:lang w:eastAsia="en-AU"/>
                <w14:textFill>
                  <w14:solidFill>
                    <w14:srgbClr w14:val="000000">
                      <w14:alpha w14:val="100000"/>
                    </w14:srgbClr>
                  </w14:solidFill>
                </w14:textFill>
              </w:rPr>
              <w:t>|</w:t>
            </w:r>
          </w:p>
        </w:tc>
      </w:tr>
      <w:tr w:rsidR="0040580E" w:rsidRPr="005F5BEA" w14:paraId="1962313E" w14:textId="77777777" w:rsidTr="00D865D4">
        <w:trPr>
          <w:trHeight w:val="300"/>
        </w:trPr>
        <w:tc>
          <w:tcPr>
            <w:tcW w:w="345" w:type="dxa"/>
          </w:tcPr>
          <w:p w14:paraId="2E3D11EA" w14:textId="77777777" w:rsidR="0040580E" w:rsidRPr="005F5BEA" w:rsidRDefault="0040580E" w:rsidP="00EC391A">
            <w:pPr>
              <w:pStyle w:val="TableText"/>
              <w:rPr>
                <w:lang w:eastAsia="en-AU"/>
              </w:rPr>
            </w:pPr>
            <w:r w:rsidRPr="005F5BEA">
              <w:rPr>
                <w:lang w:eastAsia="en-AU"/>
              </w:rPr>
              <w:t>D</w:t>
            </w:r>
          </w:p>
        </w:tc>
        <w:tc>
          <w:tcPr>
            <w:tcW w:w="3761" w:type="dxa"/>
            <w:noWrap/>
          </w:tcPr>
          <w:p w14:paraId="77E50603" w14:textId="77777777" w:rsidR="0040580E" w:rsidRPr="005F5BEA" w:rsidRDefault="0040580E" w:rsidP="00EC391A">
            <w:pPr>
              <w:pStyle w:val="TableText"/>
              <w:rPr>
                <w:lang w:eastAsia="en-AU"/>
              </w:rPr>
            </w:pPr>
            <w:r w:rsidRPr="005F5BEA">
              <w:rPr>
                <w:lang w:eastAsia="en-AU"/>
              </w:rPr>
              <w:t xml:space="preserve">Average cost of tolls/flights per service </w:t>
            </w:r>
            <w:r w:rsidRPr="005F5BEA">
              <w:rPr>
                <w:vertAlign w:val="superscript"/>
                <w:lang w:eastAsia="en-AU"/>
              </w:rPr>
              <w:t>c</w:t>
            </w:r>
          </w:p>
        </w:tc>
        <w:tc>
          <w:tcPr>
            <w:tcW w:w="1227" w:type="dxa"/>
            <w:tcBorders>
              <w:bottom w:val="single" w:sz="4" w:space="0" w:color="auto"/>
            </w:tcBorders>
            <w:shd w:val="solid" w:color="000000" w:fill="000000"/>
            <w:noWrap/>
          </w:tcPr>
          <w:p w14:paraId="28249049" w14:textId="25AC493C" w:rsidR="0040580E" w:rsidRPr="00D865D4" w:rsidRDefault="00D865D4" w:rsidP="00EC391A">
            <w:pPr>
              <w:pStyle w:val="TableText"/>
              <w:rPr>
                <w:lang w:eastAsia="en-AU"/>
              </w:rPr>
            </w:pPr>
            <w:r w:rsidRPr="00185424">
              <w:rPr>
                <w:color w:val="000000"/>
                <w:spacing w:val="94"/>
                <w:fitText w:val="180" w:id="-1157883383"/>
                <w:lang w:eastAsia="en-AU"/>
                <w14:textFill>
                  <w14:solidFill>
                    <w14:srgbClr w14:val="000000">
                      <w14:alpha w14:val="100000"/>
                    </w14:srgbClr>
                  </w14:solidFill>
                </w14:textFill>
              </w:rPr>
              <w:t>|</w:t>
            </w:r>
            <w:r w:rsidRPr="00185424">
              <w:rPr>
                <w:color w:val="000000"/>
                <w:spacing w:val="1"/>
                <w:fitText w:val="180" w:id="-1157883383"/>
                <w:lang w:eastAsia="en-AU"/>
                <w14:textFill>
                  <w14:solidFill>
                    <w14:srgbClr w14:val="000000">
                      <w14:alpha w14:val="100000"/>
                    </w14:srgbClr>
                  </w14:solidFill>
                </w14:textFill>
              </w:rPr>
              <w:t>|</w:t>
            </w:r>
          </w:p>
        </w:tc>
        <w:tc>
          <w:tcPr>
            <w:tcW w:w="1228" w:type="dxa"/>
            <w:tcBorders>
              <w:bottom w:val="single" w:sz="4" w:space="0" w:color="auto"/>
            </w:tcBorders>
            <w:shd w:val="solid" w:color="000000" w:fill="000000"/>
            <w:noWrap/>
          </w:tcPr>
          <w:p w14:paraId="1DC00947" w14:textId="5D82433C" w:rsidR="0040580E" w:rsidRPr="00D865D4" w:rsidRDefault="00D865D4" w:rsidP="00EC391A">
            <w:pPr>
              <w:pStyle w:val="TableText"/>
              <w:rPr>
                <w:lang w:eastAsia="en-AU"/>
              </w:rPr>
            </w:pPr>
            <w:r w:rsidRPr="00185424">
              <w:rPr>
                <w:color w:val="000000"/>
                <w:spacing w:val="94"/>
                <w:fitText w:val="180" w:id="-1157883382"/>
                <w:lang w:eastAsia="en-AU"/>
                <w14:textFill>
                  <w14:solidFill>
                    <w14:srgbClr w14:val="000000">
                      <w14:alpha w14:val="100000"/>
                    </w14:srgbClr>
                  </w14:solidFill>
                </w14:textFill>
              </w:rPr>
              <w:t>|</w:t>
            </w:r>
            <w:r w:rsidRPr="00185424">
              <w:rPr>
                <w:color w:val="000000"/>
                <w:spacing w:val="1"/>
                <w:fitText w:val="180" w:id="-1157883382"/>
                <w:lang w:eastAsia="en-AU"/>
                <w14:textFill>
                  <w14:solidFill>
                    <w14:srgbClr w14:val="000000">
                      <w14:alpha w14:val="100000"/>
                    </w14:srgbClr>
                  </w14:solidFill>
                </w14:textFill>
              </w:rPr>
              <w:t>|</w:t>
            </w:r>
          </w:p>
        </w:tc>
        <w:tc>
          <w:tcPr>
            <w:tcW w:w="1227" w:type="dxa"/>
            <w:tcBorders>
              <w:bottom w:val="single" w:sz="4" w:space="0" w:color="auto"/>
            </w:tcBorders>
            <w:shd w:val="solid" w:color="000000" w:fill="000000"/>
            <w:noWrap/>
          </w:tcPr>
          <w:p w14:paraId="6B30AA94" w14:textId="695A36BA" w:rsidR="0040580E" w:rsidRPr="00D865D4" w:rsidRDefault="00D865D4" w:rsidP="00EC391A">
            <w:pPr>
              <w:pStyle w:val="TableText"/>
              <w:rPr>
                <w:lang w:eastAsia="en-AU"/>
              </w:rPr>
            </w:pPr>
            <w:r w:rsidRPr="00185424">
              <w:rPr>
                <w:color w:val="000000"/>
                <w:spacing w:val="94"/>
                <w:fitText w:val="180" w:id="-1157883381"/>
                <w:lang w:eastAsia="en-AU"/>
                <w14:textFill>
                  <w14:solidFill>
                    <w14:srgbClr w14:val="000000">
                      <w14:alpha w14:val="100000"/>
                    </w14:srgbClr>
                  </w14:solidFill>
                </w14:textFill>
              </w:rPr>
              <w:t>|</w:t>
            </w:r>
            <w:r w:rsidRPr="00185424">
              <w:rPr>
                <w:color w:val="000000"/>
                <w:spacing w:val="1"/>
                <w:fitText w:val="180" w:id="-1157883381"/>
                <w:lang w:eastAsia="en-AU"/>
                <w14:textFill>
                  <w14:solidFill>
                    <w14:srgbClr w14:val="000000">
                      <w14:alpha w14:val="100000"/>
                    </w14:srgbClr>
                  </w14:solidFill>
                </w14:textFill>
              </w:rPr>
              <w:t>|</w:t>
            </w:r>
          </w:p>
        </w:tc>
        <w:tc>
          <w:tcPr>
            <w:tcW w:w="1228" w:type="dxa"/>
            <w:tcBorders>
              <w:bottom w:val="single" w:sz="4" w:space="0" w:color="auto"/>
            </w:tcBorders>
            <w:shd w:val="solid" w:color="000000" w:fill="000000"/>
            <w:noWrap/>
          </w:tcPr>
          <w:p w14:paraId="450CDC09" w14:textId="44F266EB" w:rsidR="0040580E" w:rsidRPr="00D865D4" w:rsidRDefault="00D865D4" w:rsidP="00EC391A">
            <w:pPr>
              <w:pStyle w:val="TableText"/>
              <w:rPr>
                <w:lang w:eastAsia="en-AU"/>
              </w:rPr>
            </w:pPr>
            <w:r w:rsidRPr="00185424">
              <w:rPr>
                <w:color w:val="000000"/>
                <w:spacing w:val="94"/>
                <w:fitText w:val="180" w:id="-1157883380"/>
                <w:lang w:eastAsia="en-AU"/>
                <w14:textFill>
                  <w14:solidFill>
                    <w14:srgbClr w14:val="000000">
                      <w14:alpha w14:val="100000"/>
                    </w14:srgbClr>
                  </w14:solidFill>
                </w14:textFill>
              </w:rPr>
              <w:t>|</w:t>
            </w:r>
            <w:r w:rsidRPr="00185424">
              <w:rPr>
                <w:color w:val="000000"/>
                <w:spacing w:val="1"/>
                <w:fitText w:val="180" w:id="-1157883380"/>
                <w:lang w:eastAsia="en-AU"/>
                <w14:textFill>
                  <w14:solidFill>
                    <w14:srgbClr w14:val="000000">
                      <w14:alpha w14:val="100000"/>
                    </w14:srgbClr>
                  </w14:solidFill>
                </w14:textFill>
              </w:rPr>
              <w:t>|</w:t>
            </w:r>
          </w:p>
        </w:tc>
      </w:tr>
      <w:tr w:rsidR="0040580E" w:rsidRPr="005F5BEA" w14:paraId="3567D618" w14:textId="77777777" w:rsidTr="00D865D4">
        <w:trPr>
          <w:trHeight w:val="300"/>
        </w:trPr>
        <w:tc>
          <w:tcPr>
            <w:tcW w:w="345" w:type="dxa"/>
          </w:tcPr>
          <w:p w14:paraId="6707E78B" w14:textId="77777777" w:rsidR="0040580E" w:rsidRPr="005F5BEA" w:rsidRDefault="0040580E" w:rsidP="00EC391A">
            <w:pPr>
              <w:pStyle w:val="TableText"/>
              <w:rPr>
                <w:lang w:eastAsia="en-AU"/>
              </w:rPr>
            </w:pPr>
            <w:r w:rsidRPr="005F5BEA">
              <w:rPr>
                <w:lang w:eastAsia="en-AU"/>
              </w:rPr>
              <w:t>E</w:t>
            </w:r>
          </w:p>
        </w:tc>
        <w:tc>
          <w:tcPr>
            <w:tcW w:w="3761" w:type="dxa"/>
            <w:noWrap/>
          </w:tcPr>
          <w:p w14:paraId="354ABF66" w14:textId="77777777" w:rsidR="0040580E" w:rsidRPr="005F5BEA" w:rsidRDefault="0040580E" w:rsidP="00EC391A">
            <w:pPr>
              <w:pStyle w:val="TableText"/>
              <w:rPr>
                <w:lang w:eastAsia="en-AU"/>
              </w:rPr>
            </w:pPr>
            <w:r w:rsidRPr="005F5BEA">
              <w:rPr>
                <w:lang w:eastAsia="en-AU"/>
              </w:rPr>
              <w:t>Average cost of parking per service</w:t>
            </w:r>
          </w:p>
        </w:tc>
        <w:tc>
          <w:tcPr>
            <w:tcW w:w="1227" w:type="dxa"/>
            <w:tcBorders>
              <w:bottom w:val="single" w:sz="4" w:space="0" w:color="auto"/>
            </w:tcBorders>
            <w:shd w:val="solid" w:color="000000" w:fill="000000"/>
            <w:noWrap/>
          </w:tcPr>
          <w:p w14:paraId="0F9D8838" w14:textId="22632E0C" w:rsidR="0040580E" w:rsidRPr="00D865D4" w:rsidRDefault="00D865D4" w:rsidP="00EC391A">
            <w:pPr>
              <w:pStyle w:val="TableText"/>
              <w:rPr>
                <w:lang w:eastAsia="en-AU"/>
              </w:rPr>
            </w:pPr>
            <w:r w:rsidRPr="00185424">
              <w:rPr>
                <w:color w:val="000000"/>
                <w:spacing w:val="94"/>
                <w:fitText w:val="180" w:id="-1157883379"/>
                <w:lang w:eastAsia="en-AU"/>
                <w14:textFill>
                  <w14:solidFill>
                    <w14:srgbClr w14:val="000000">
                      <w14:alpha w14:val="100000"/>
                    </w14:srgbClr>
                  </w14:solidFill>
                </w14:textFill>
              </w:rPr>
              <w:t>|</w:t>
            </w:r>
            <w:r w:rsidRPr="00185424">
              <w:rPr>
                <w:color w:val="000000"/>
                <w:spacing w:val="1"/>
                <w:fitText w:val="180" w:id="-1157883379"/>
                <w:lang w:eastAsia="en-AU"/>
                <w14:textFill>
                  <w14:solidFill>
                    <w14:srgbClr w14:val="000000">
                      <w14:alpha w14:val="100000"/>
                    </w14:srgbClr>
                  </w14:solidFill>
                </w14:textFill>
              </w:rPr>
              <w:t>|</w:t>
            </w:r>
          </w:p>
        </w:tc>
        <w:tc>
          <w:tcPr>
            <w:tcW w:w="1228" w:type="dxa"/>
            <w:tcBorders>
              <w:bottom w:val="single" w:sz="4" w:space="0" w:color="auto"/>
            </w:tcBorders>
            <w:shd w:val="solid" w:color="000000" w:fill="000000"/>
            <w:noWrap/>
          </w:tcPr>
          <w:p w14:paraId="297F8FDB" w14:textId="51EA52AF" w:rsidR="0040580E" w:rsidRPr="00D865D4" w:rsidRDefault="00D865D4" w:rsidP="00EC391A">
            <w:pPr>
              <w:pStyle w:val="TableText"/>
              <w:rPr>
                <w:lang w:eastAsia="en-AU"/>
              </w:rPr>
            </w:pPr>
            <w:r w:rsidRPr="00185424">
              <w:rPr>
                <w:color w:val="000000"/>
                <w:spacing w:val="94"/>
                <w:fitText w:val="180" w:id="-1157883378"/>
                <w:lang w:eastAsia="en-AU"/>
                <w14:textFill>
                  <w14:solidFill>
                    <w14:srgbClr w14:val="000000">
                      <w14:alpha w14:val="100000"/>
                    </w14:srgbClr>
                  </w14:solidFill>
                </w14:textFill>
              </w:rPr>
              <w:t>|</w:t>
            </w:r>
            <w:r w:rsidRPr="00185424">
              <w:rPr>
                <w:color w:val="000000"/>
                <w:spacing w:val="1"/>
                <w:fitText w:val="180" w:id="-1157883378"/>
                <w:lang w:eastAsia="en-AU"/>
                <w14:textFill>
                  <w14:solidFill>
                    <w14:srgbClr w14:val="000000">
                      <w14:alpha w14:val="100000"/>
                    </w14:srgbClr>
                  </w14:solidFill>
                </w14:textFill>
              </w:rPr>
              <w:t>|</w:t>
            </w:r>
          </w:p>
        </w:tc>
        <w:tc>
          <w:tcPr>
            <w:tcW w:w="1227" w:type="dxa"/>
            <w:tcBorders>
              <w:bottom w:val="single" w:sz="4" w:space="0" w:color="auto"/>
            </w:tcBorders>
            <w:shd w:val="solid" w:color="000000" w:fill="000000"/>
            <w:noWrap/>
          </w:tcPr>
          <w:p w14:paraId="1DBE914A" w14:textId="2572D2A0" w:rsidR="0040580E" w:rsidRPr="00D865D4" w:rsidRDefault="00D865D4" w:rsidP="00EC391A">
            <w:pPr>
              <w:pStyle w:val="TableText"/>
              <w:rPr>
                <w:lang w:eastAsia="en-AU"/>
              </w:rPr>
            </w:pPr>
            <w:r w:rsidRPr="00185424">
              <w:rPr>
                <w:color w:val="000000"/>
                <w:spacing w:val="94"/>
                <w:fitText w:val="180" w:id="-1157883377"/>
                <w:lang w:eastAsia="en-AU"/>
                <w14:textFill>
                  <w14:solidFill>
                    <w14:srgbClr w14:val="000000">
                      <w14:alpha w14:val="100000"/>
                    </w14:srgbClr>
                  </w14:solidFill>
                </w14:textFill>
              </w:rPr>
              <w:t>|</w:t>
            </w:r>
            <w:r w:rsidRPr="00185424">
              <w:rPr>
                <w:color w:val="000000"/>
                <w:spacing w:val="1"/>
                <w:fitText w:val="180" w:id="-1157883377"/>
                <w:lang w:eastAsia="en-AU"/>
                <w14:textFill>
                  <w14:solidFill>
                    <w14:srgbClr w14:val="000000">
                      <w14:alpha w14:val="100000"/>
                    </w14:srgbClr>
                  </w14:solidFill>
                </w14:textFill>
              </w:rPr>
              <w:t>|</w:t>
            </w:r>
          </w:p>
        </w:tc>
        <w:tc>
          <w:tcPr>
            <w:tcW w:w="1228" w:type="dxa"/>
            <w:tcBorders>
              <w:bottom w:val="single" w:sz="4" w:space="0" w:color="auto"/>
            </w:tcBorders>
            <w:shd w:val="solid" w:color="000000" w:fill="000000"/>
            <w:noWrap/>
          </w:tcPr>
          <w:p w14:paraId="32D8775C" w14:textId="41070FCE" w:rsidR="0040580E" w:rsidRPr="00D865D4" w:rsidRDefault="00D865D4" w:rsidP="00EC391A">
            <w:pPr>
              <w:pStyle w:val="TableText"/>
              <w:rPr>
                <w:lang w:eastAsia="en-AU"/>
              </w:rPr>
            </w:pPr>
            <w:r w:rsidRPr="00185424">
              <w:rPr>
                <w:color w:val="000000"/>
                <w:spacing w:val="94"/>
                <w:fitText w:val="180" w:id="-1157883376"/>
                <w:lang w:eastAsia="en-AU"/>
                <w14:textFill>
                  <w14:solidFill>
                    <w14:srgbClr w14:val="000000">
                      <w14:alpha w14:val="100000"/>
                    </w14:srgbClr>
                  </w14:solidFill>
                </w14:textFill>
              </w:rPr>
              <w:t>|</w:t>
            </w:r>
            <w:r w:rsidRPr="00185424">
              <w:rPr>
                <w:color w:val="000000"/>
                <w:spacing w:val="1"/>
                <w:fitText w:val="180" w:id="-1157883376"/>
                <w:lang w:eastAsia="en-AU"/>
                <w14:textFill>
                  <w14:solidFill>
                    <w14:srgbClr w14:val="000000">
                      <w14:alpha w14:val="100000"/>
                    </w14:srgbClr>
                  </w14:solidFill>
                </w14:textFill>
              </w:rPr>
              <w:t>|</w:t>
            </w:r>
          </w:p>
        </w:tc>
      </w:tr>
      <w:tr w:rsidR="0040580E" w:rsidRPr="005F5BEA" w14:paraId="0C6C4912" w14:textId="77777777" w:rsidTr="00D865D4">
        <w:trPr>
          <w:trHeight w:val="300"/>
        </w:trPr>
        <w:tc>
          <w:tcPr>
            <w:tcW w:w="345" w:type="dxa"/>
          </w:tcPr>
          <w:p w14:paraId="6B8D301B" w14:textId="77777777" w:rsidR="0040580E" w:rsidRPr="005F5BEA" w:rsidRDefault="0040580E" w:rsidP="00EC391A">
            <w:pPr>
              <w:pStyle w:val="TableText"/>
              <w:rPr>
                <w:lang w:eastAsia="en-AU"/>
              </w:rPr>
            </w:pPr>
            <w:r w:rsidRPr="005F5BEA">
              <w:rPr>
                <w:lang w:eastAsia="en-AU"/>
              </w:rPr>
              <w:t>F</w:t>
            </w:r>
          </w:p>
        </w:tc>
        <w:tc>
          <w:tcPr>
            <w:tcW w:w="3761" w:type="dxa"/>
            <w:noWrap/>
          </w:tcPr>
          <w:p w14:paraId="227B7066" w14:textId="77777777" w:rsidR="0040580E" w:rsidRPr="005F5BEA" w:rsidRDefault="0040580E" w:rsidP="00EC391A">
            <w:pPr>
              <w:pStyle w:val="TableText"/>
              <w:rPr>
                <w:lang w:eastAsia="en-AU"/>
              </w:rPr>
            </w:pPr>
            <w:r w:rsidRPr="005F5BEA">
              <w:rPr>
                <w:lang w:eastAsia="en-AU"/>
              </w:rPr>
              <w:t>Average cost of additional travel per service</w:t>
            </w:r>
          </w:p>
        </w:tc>
        <w:tc>
          <w:tcPr>
            <w:tcW w:w="1227" w:type="dxa"/>
            <w:shd w:val="solid" w:color="000000" w:fill="000000"/>
            <w:noWrap/>
          </w:tcPr>
          <w:p w14:paraId="7493C4CE" w14:textId="46F616D8" w:rsidR="0040580E" w:rsidRPr="00D865D4" w:rsidRDefault="00D865D4" w:rsidP="00EC391A">
            <w:pPr>
              <w:pStyle w:val="TableText"/>
              <w:rPr>
                <w:lang w:eastAsia="en-AU"/>
              </w:rPr>
            </w:pPr>
            <w:r w:rsidRPr="00185424">
              <w:rPr>
                <w:color w:val="000000"/>
                <w:spacing w:val="94"/>
                <w:fitText w:val="180" w:id="-1157883392"/>
                <w:lang w:eastAsia="en-AU"/>
                <w14:textFill>
                  <w14:solidFill>
                    <w14:srgbClr w14:val="000000">
                      <w14:alpha w14:val="100000"/>
                    </w14:srgbClr>
                  </w14:solidFill>
                </w14:textFill>
              </w:rPr>
              <w:t>|</w:t>
            </w:r>
            <w:r w:rsidRPr="00185424">
              <w:rPr>
                <w:color w:val="000000"/>
                <w:spacing w:val="1"/>
                <w:fitText w:val="180" w:id="-1157883392"/>
                <w:lang w:eastAsia="en-AU"/>
                <w14:textFill>
                  <w14:solidFill>
                    <w14:srgbClr w14:val="000000">
                      <w14:alpha w14:val="100000"/>
                    </w14:srgbClr>
                  </w14:solidFill>
                </w14:textFill>
              </w:rPr>
              <w:t>|</w:t>
            </w:r>
          </w:p>
        </w:tc>
        <w:tc>
          <w:tcPr>
            <w:tcW w:w="1228" w:type="dxa"/>
            <w:shd w:val="solid" w:color="000000" w:fill="000000"/>
            <w:noWrap/>
          </w:tcPr>
          <w:p w14:paraId="63F2052D" w14:textId="69D74178" w:rsidR="0040580E" w:rsidRPr="00D865D4" w:rsidRDefault="00D865D4" w:rsidP="00EC391A">
            <w:pPr>
              <w:pStyle w:val="TableText"/>
              <w:rPr>
                <w:lang w:eastAsia="en-AU"/>
              </w:rPr>
            </w:pPr>
            <w:r w:rsidRPr="00185424">
              <w:rPr>
                <w:color w:val="000000"/>
                <w:spacing w:val="94"/>
                <w:fitText w:val="180" w:id="-1157883391"/>
                <w:lang w:eastAsia="en-AU"/>
                <w14:textFill>
                  <w14:solidFill>
                    <w14:srgbClr w14:val="000000">
                      <w14:alpha w14:val="100000"/>
                    </w14:srgbClr>
                  </w14:solidFill>
                </w14:textFill>
              </w:rPr>
              <w:t>|</w:t>
            </w:r>
            <w:r w:rsidRPr="00185424">
              <w:rPr>
                <w:color w:val="000000"/>
                <w:spacing w:val="1"/>
                <w:fitText w:val="180" w:id="-1157883391"/>
                <w:lang w:eastAsia="en-AU"/>
                <w14:textFill>
                  <w14:solidFill>
                    <w14:srgbClr w14:val="000000">
                      <w14:alpha w14:val="100000"/>
                    </w14:srgbClr>
                  </w14:solidFill>
                </w14:textFill>
              </w:rPr>
              <w:t>|</w:t>
            </w:r>
          </w:p>
        </w:tc>
        <w:tc>
          <w:tcPr>
            <w:tcW w:w="1227" w:type="dxa"/>
            <w:shd w:val="solid" w:color="000000" w:fill="000000"/>
            <w:noWrap/>
          </w:tcPr>
          <w:p w14:paraId="56BD7061" w14:textId="01F7931B" w:rsidR="0040580E" w:rsidRPr="00D865D4" w:rsidRDefault="00D865D4" w:rsidP="00EC391A">
            <w:pPr>
              <w:pStyle w:val="TableText"/>
              <w:rPr>
                <w:lang w:eastAsia="en-AU"/>
              </w:rPr>
            </w:pPr>
            <w:r w:rsidRPr="00185424">
              <w:rPr>
                <w:color w:val="000000"/>
                <w:spacing w:val="94"/>
                <w:fitText w:val="180" w:id="-1157883390"/>
                <w:lang w:eastAsia="en-AU"/>
                <w14:textFill>
                  <w14:solidFill>
                    <w14:srgbClr w14:val="000000">
                      <w14:alpha w14:val="100000"/>
                    </w14:srgbClr>
                  </w14:solidFill>
                </w14:textFill>
              </w:rPr>
              <w:t>|</w:t>
            </w:r>
            <w:r w:rsidRPr="00185424">
              <w:rPr>
                <w:color w:val="000000"/>
                <w:spacing w:val="1"/>
                <w:fitText w:val="180" w:id="-1157883390"/>
                <w:lang w:eastAsia="en-AU"/>
                <w14:textFill>
                  <w14:solidFill>
                    <w14:srgbClr w14:val="000000">
                      <w14:alpha w14:val="100000"/>
                    </w14:srgbClr>
                  </w14:solidFill>
                </w14:textFill>
              </w:rPr>
              <w:t>|</w:t>
            </w:r>
          </w:p>
        </w:tc>
        <w:tc>
          <w:tcPr>
            <w:tcW w:w="1228" w:type="dxa"/>
            <w:shd w:val="solid" w:color="000000" w:fill="000000"/>
            <w:noWrap/>
          </w:tcPr>
          <w:p w14:paraId="3C8D1BB2" w14:textId="11D3259D" w:rsidR="0040580E" w:rsidRPr="00D865D4" w:rsidRDefault="00D865D4" w:rsidP="00EC391A">
            <w:pPr>
              <w:pStyle w:val="TableText"/>
              <w:rPr>
                <w:lang w:eastAsia="en-AU"/>
              </w:rPr>
            </w:pPr>
            <w:r w:rsidRPr="00185424">
              <w:rPr>
                <w:color w:val="000000"/>
                <w:spacing w:val="94"/>
                <w:fitText w:val="180" w:id="-1157883389"/>
                <w:lang w:eastAsia="en-AU"/>
                <w14:textFill>
                  <w14:solidFill>
                    <w14:srgbClr w14:val="000000">
                      <w14:alpha w14:val="100000"/>
                    </w14:srgbClr>
                  </w14:solidFill>
                </w14:textFill>
              </w:rPr>
              <w:t>|</w:t>
            </w:r>
            <w:r w:rsidRPr="00185424">
              <w:rPr>
                <w:color w:val="000000"/>
                <w:spacing w:val="1"/>
                <w:fitText w:val="180" w:id="-1157883389"/>
                <w:lang w:eastAsia="en-AU"/>
                <w14:textFill>
                  <w14:solidFill>
                    <w14:srgbClr w14:val="000000">
                      <w14:alpha w14:val="100000"/>
                    </w14:srgbClr>
                  </w14:solidFill>
                </w14:textFill>
              </w:rPr>
              <w:t>|</w:t>
            </w:r>
          </w:p>
        </w:tc>
      </w:tr>
      <w:tr w:rsidR="0040580E" w:rsidRPr="005F5BEA" w14:paraId="0A8BDEC2" w14:textId="77777777" w:rsidTr="00EC391A">
        <w:trPr>
          <w:trHeight w:val="300"/>
        </w:trPr>
        <w:tc>
          <w:tcPr>
            <w:tcW w:w="345" w:type="dxa"/>
          </w:tcPr>
          <w:p w14:paraId="313BDD01" w14:textId="77777777" w:rsidR="0040580E" w:rsidRPr="005F5BEA" w:rsidRDefault="0040580E" w:rsidP="00EC391A">
            <w:pPr>
              <w:pStyle w:val="TableText"/>
              <w:rPr>
                <w:b/>
                <w:lang w:eastAsia="en-AU"/>
              </w:rPr>
            </w:pPr>
          </w:p>
        </w:tc>
        <w:tc>
          <w:tcPr>
            <w:tcW w:w="3761" w:type="dxa"/>
            <w:noWrap/>
          </w:tcPr>
          <w:p w14:paraId="609A424F" w14:textId="77777777" w:rsidR="0040580E" w:rsidRPr="005F5BEA" w:rsidRDefault="0040580E" w:rsidP="00EC391A">
            <w:pPr>
              <w:pStyle w:val="TableText"/>
              <w:rPr>
                <w:b/>
                <w:lang w:eastAsia="en-AU"/>
              </w:rPr>
            </w:pPr>
            <w:r w:rsidRPr="005F5BEA">
              <w:rPr>
                <w:b/>
                <w:lang w:eastAsia="en-AU"/>
              </w:rPr>
              <w:t>Travel cost (B × C + A × (D + E + F))</w:t>
            </w:r>
          </w:p>
        </w:tc>
        <w:tc>
          <w:tcPr>
            <w:tcW w:w="1227" w:type="dxa"/>
            <w:noWrap/>
          </w:tcPr>
          <w:p w14:paraId="18EEAD77" w14:textId="77777777" w:rsidR="0040580E" w:rsidRPr="00461D0D" w:rsidRDefault="0040580E" w:rsidP="00EC391A">
            <w:pPr>
              <w:pStyle w:val="TableText"/>
              <w:rPr>
                <w:b/>
                <w:lang w:eastAsia="en-AU"/>
              </w:rPr>
            </w:pPr>
            <w:r w:rsidRPr="00461D0D">
              <w:rPr>
                <w:b/>
                <w:lang w:eastAsia="en-AU"/>
              </w:rPr>
              <w:t>$5,964,370</w:t>
            </w:r>
          </w:p>
        </w:tc>
        <w:tc>
          <w:tcPr>
            <w:tcW w:w="1228" w:type="dxa"/>
            <w:noWrap/>
          </w:tcPr>
          <w:p w14:paraId="17815CC4" w14:textId="77777777" w:rsidR="0040580E" w:rsidRPr="00461D0D" w:rsidRDefault="0040580E" w:rsidP="00EC391A">
            <w:pPr>
              <w:pStyle w:val="TableText"/>
              <w:rPr>
                <w:b/>
                <w:lang w:eastAsia="en-AU"/>
              </w:rPr>
            </w:pPr>
            <w:r w:rsidRPr="00461D0D">
              <w:rPr>
                <w:b/>
                <w:lang w:eastAsia="en-AU"/>
              </w:rPr>
              <w:t>$6,771,171</w:t>
            </w:r>
          </w:p>
        </w:tc>
        <w:tc>
          <w:tcPr>
            <w:tcW w:w="1227" w:type="dxa"/>
            <w:noWrap/>
          </w:tcPr>
          <w:p w14:paraId="58D076F6" w14:textId="77777777" w:rsidR="0040580E" w:rsidRPr="00461D0D" w:rsidRDefault="0040580E" w:rsidP="00EC391A">
            <w:pPr>
              <w:pStyle w:val="TableText"/>
              <w:rPr>
                <w:b/>
                <w:lang w:eastAsia="en-AU"/>
              </w:rPr>
            </w:pPr>
            <w:r w:rsidRPr="00461D0D">
              <w:rPr>
                <w:b/>
                <w:lang w:eastAsia="en-AU"/>
              </w:rPr>
              <w:t>$7,661,698</w:t>
            </w:r>
          </w:p>
        </w:tc>
        <w:tc>
          <w:tcPr>
            <w:tcW w:w="1228" w:type="dxa"/>
            <w:noWrap/>
          </w:tcPr>
          <w:p w14:paraId="50709834" w14:textId="77777777" w:rsidR="0040580E" w:rsidRPr="00461D0D" w:rsidRDefault="0040580E" w:rsidP="00EC391A">
            <w:pPr>
              <w:pStyle w:val="TableText"/>
              <w:rPr>
                <w:b/>
                <w:lang w:eastAsia="en-AU"/>
              </w:rPr>
            </w:pPr>
            <w:r w:rsidRPr="00461D0D">
              <w:rPr>
                <w:b/>
                <w:lang w:eastAsia="en-AU"/>
              </w:rPr>
              <w:t>$8,643,720</w:t>
            </w:r>
          </w:p>
        </w:tc>
      </w:tr>
    </w:tbl>
    <w:p w14:paraId="32ED601D" w14:textId="77777777" w:rsidR="0040580E" w:rsidRPr="005F5BEA" w:rsidRDefault="0040580E" w:rsidP="0040580E">
      <w:pPr>
        <w:pStyle w:val="Tablenotes"/>
      </w:pPr>
      <w:r w:rsidRPr="005F5BEA">
        <w:rPr>
          <w:vertAlign w:val="superscript"/>
        </w:rPr>
        <w:t>a</w:t>
      </w:r>
      <w:r w:rsidRPr="005F5BEA">
        <w:t xml:space="preserve"> No. services reported in tables used to estimate the labour cost of in-person services.</w:t>
      </w:r>
    </w:p>
    <w:p w14:paraId="578D15BF" w14:textId="77777777" w:rsidR="0040580E" w:rsidRPr="005F5BEA" w:rsidRDefault="0040580E" w:rsidP="0040580E">
      <w:pPr>
        <w:pStyle w:val="Tablenotes"/>
      </w:pPr>
      <w:r w:rsidRPr="005F5BEA">
        <w:rPr>
          <w:vertAlign w:val="superscript"/>
        </w:rPr>
        <w:t>b</w:t>
      </w:r>
      <w:r w:rsidRPr="005F5BEA">
        <w:t xml:space="preserve"> Travel costs varied by area (due to more KMs travelled) (</w:t>
      </w:r>
      <w:proofErr w:type="gramStart"/>
      <w:r w:rsidRPr="005F5BEA">
        <w:t>i.e.</w:t>
      </w:r>
      <w:proofErr w:type="gramEnd"/>
      <w:r w:rsidRPr="005F5BEA">
        <w:t xml:space="preserve"> metro, regional or remote), which varied across cardiac device type</w:t>
      </w:r>
    </w:p>
    <w:p w14:paraId="5A8818BA" w14:textId="77777777" w:rsidR="0040580E" w:rsidRPr="005F5BEA" w:rsidRDefault="0040580E" w:rsidP="0040580E">
      <w:pPr>
        <w:pStyle w:val="Tablenotes"/>
      </w:pPr>
      <w:r w:rsidRPr="005F5BEA">
        <w:rPr>
          <w:vertAlign w:val="superscript"/>
        </w:rPr>
        <w:t>c</w:t>
      </w:r>
      <w:r w:rsidRPr="005F5BEA">
        <w:t xml:space="preserve"> Tolls/flight costs varied by area (</w:t>
      </w:r>
      <w:proofErr w:type="gramStart"/>
      <w:r w:rsidRPr="005F5BEA">
        <w:t>i.e.</w:t>
      </w:r>
      <w:proofErr w:type="gramEnd"/>
      <w:r w:rsidRPr="005F5BEA">
        <w:t xml:space="preserve"> metro, regional or remote), which varied across cardiac device type</w:t>
      </w:r>
    </w:p>
    <w:p w14:paraId="2D61C1B0" w14:textId="4C7A239B" w:rsidR="00166AE6" w:rsidRPr="005F5BEA" w:rsidRDefault="00166AE6" w:rsidP="005926D9">
      <w:pPr>
        <w:pStyle w:val="Heading4"/>
      </w:pPr>
      <w:r w:rsidRPr="005F5BEA">
        <w:lastRenderedPageBreak/>
        <w:t>Training costs</w:t>
      </w:r>
    </w:p>
    <w:p w14:paraId="7BD3B099" w14:textId="70C04ABF" w:rsidR="0040580E" w:rsidRPr="005F5BEA" w:rsidRDefault="0040580E" w:rsidP="0040580E">
      <w:r w:rsidRPr="005F5BEA">
        <w:t>For each new staff member, the on-boarding costs were assumed to $212,278</w:t>
      </w:r>
      <w:r w:rsidR="00C33453" w:rsidRPr="005F5BEA">
        <w:t xml:space="preserve"> (with 10% staff turnover)</w:t>
      </w:r>
      <w:r w:rsidRPr="005F5BEA">
        <w:t>, in addition to certification</w:t>
      </w:r>
      <w:r w:rsidR="00C33453" w:rsidRPr="005F5BEA">
        <w:t xml:space="preserve"> costing</w:t>
      </w:r>
      <w:r w:rsidRPr="005F5BEA">
        <w:t xml:space="preserve"> $13,267, and annual updating of training for all </w:t>
      </w:r>
      <w:r w:rsidR="00B62C82" w:rsidRPr="005F5BEA">
        <w:t>IECT</w:t>
      </w:r>
      <w:r w:rsidRPr="005F5BEA">
        <w:t xml:space="preserve">s. These costs were insufficiently justified.  </w:t>
      </w:r>
    </w:p>
    <w:p w14:paraId="032ACAAF" w14:textId="65F538D9" w:rsidR="0040580E" w:rsidRPr="005F5BEA" w:rsidRDefault="0040580E" w:rsidP="004B25CC">
      <w:pPr>
        <w:pStyle w:val="Caption"/>
        <w:keepNext/>
        <w:spacing w:after="0"/>
        <w:rPr>
          <w:rFonts w:ascii="Arial Narrow" w:hAnsi="Arial Narrow"/>
          <w:b/>
          <w:i w:val="0"/>
          <w:color w:val="auto"/>
          <w:sz w:val="20"/>
          <w:szCs w:val="20"/>
        </w:rPr>
      </w:pPr>
      <w:r w:rsidRPr="005F5BEA">
        <w:rPr>
          <w:rFonts w:ascii="Arial Narrow" w:hAnsi="Arial Narrow"/>
          <w:b/>
          <w:i w:val="0"/>
          <w:color w:val="auto"/>
          <w:sz w:val="20"/>
          <w:szCs w:val="20"/>
        </w:rPr>
        <w:t xml:space="preserve">Table </w:t>
      </w:r>
      <w:r w:rsidRPr="005F5BEA">
        <w:rPr>
          <w:rFonts w:ascii="Arial Narrow" w:hAnsi="Arial Narrow"/>
          <w:b/>
          <w:i w:val="0"/>
          <w:color w:val="auto"/>
          <w:sz w:val="20"/>
          <w:szCs w:val="20"/>
        </w:rPr>
        <w:fldChar w:fldCharType="begin"/>
      </w:r>
      <w:r w:rsidRPr="005F5BEA">
        <w:rPr>
          <w:rFonts w:ascii="Arial Narrow" w:hAnsi="Arial Narrow"/>
          <w:b/>
          <w:i w:val="0"/>
          <w:color w:val="auto"/>
          <w:sz w:val="20"/>
          <w:szCs w:val="20"/>
        </w:rPr>
        <w:instrText xml:space="preserve"> SEQ Table \* ARABIC </w:instrText>
      </w:r>
      <w:r w:rsidRPr="005F5BEA">
        <w:rPr>
          <w:rFonts w:ascii="Arial Narrow" w:hAnsi="Arial Narrow"/>
          <w:b/>
          <w:i w:val="0"/>
          <w:color w:val="auto"/>
          <w:sz w:val="20"/>
          <w:szCs w:val="20"/>
        </w:rPr>
        <w:fldChar w:fldCharType="separate"/>
      </w:r>
      <w:r w:rsidR="00334548">
        <w:rPr>
          <w:rFonts w:ascii="Arial Narrow" w:hAnsi="Arial Narrow"/>
          <w:b/>
          <w:i w:val="0"/>
          <w:noProof/>
          <w:color w:val="auto"/>
          <w:sz w:val="20"/>
          <w:szCs w:val="20"/>
        </w:rPr>
        <w:t>10</w:t>
      </w:r>
      <w:r w:rsidRPr="005F5BEA">
        <w:rPr>
          <w:rFonts w:ascii="Arial Narrow" w:hAnsi="Arial Narrow"/>
          <w:b/>
          <w:i w:val="0"/>
          <w:color w:val="auto"/>
          <w:sz w:val="20"/>
          <w:szCs w:val="20"/>
        </w:rPr>
        <w:fldChar w:fldCharType="end"/>
      </w:r>
      <w:r w:rsidRPr="005F5BEA">
        <w:rPr>
          <w:rFonts w:ascii="Arial Narrow" w:hAnsi="Arial Narrow"/>
          <w:b/>
          <w:i w:val="0"/>
          <w:color w:val="auto"/>
          <w:sz w:val="20"/>
          <w:szCs w:val="20"/>
        </w:rPr>
        <w:tab/>
        <w:t>Training costs</w:t>
      </w:r>
    </w:p>
    <w:tbl>
      <w:tblPr>
        <w:tblStyle w:val="TableGrid"/>
        <w:tblW w:w="9016" w:type="dxa"/>
        <w:tblLook w:val="04A0" w:firstRow="1" w:lastRow="0" w:firstColumn="1" w:lastColumn="0" w:noHBand="0" w:noVBand="1"/>
      </w:tblPr>
      <w:tblGrid>
        <w:gridCol w:w="343"/>
        <w:gridCol w:w="3669"/>
        <w:gridCol w:w="1251"/>
        <w:gridCol w:w="1251"/>
        <w:gridCol w:w="1251"/>
        <w:gridCol w:w="1251"/>
      </w:tblGrid>
      <w:tr w:rsidR="0040580E" w:rsidRPr="005F5BEA" w14:paraId="1AAA6CC9" w14:textId="77777777" w:rsidTr="00EC391A">
        <w:trPr>
          <w:trHeight w:val="300"/>
        </w:trPr>
        <w:tc>
          <w:tcPr>
            <w:tcW w:w="298" w:type="dxa"/>
          </w:tcPr>
          <w:p w14:paraId="1BAE3AAC" w14:textId="77777777" w:rsidR="0040580E" w:rsidRPr="005F5BEA" w:rsidRDefault="0040580E" w:rsidP="004B25CC">
            <w:pPr>
              <w:pStyle w:val="TableText"/>
              <w:spacing w:before="0" w:after="0"/>
              <w:rPr>
                <w:lang w:eastAsia="en-AU"/>
              </w:rPr>
            </w:pPr>
          </w:p>
        </w:tc>
        <w:tc>
          <w:tcPr>
            <w:tcW w:w="3690" w:type="dxa"/>
            <w:noWrap/>
            <w:hideMark/>
          </w:tcPr>
          <w:p w14:paraId="060D9A94" w14:textId="77777777" w:rsidR="0040580E" w:rsidRPr="005F5BEA" w:rsidRDefault="0040580E" w:rsidP="004B25CC">
            <w:pPr>
              <w:pStyle w:val="TableText"/>
              <w:spacing w:before="0" w:after="0"/>
              <w:rPr>
                <w:b/>
                <w:lang w:eastAsia="en-AU"/>
              </w:rPr>
            </w:pPr>
          </w:p>
        </w:tc>
        <w:tc>
          <w:tcPr>
            <w:tcW w:w="1257" w:type="dxa"/>
            <w:noWrap/>
            <w:hideMark/>
          </w:tcPr>
          <w:p w14:paraId="52EFCBD3" w14:textId="77777777" w:rsidR="0040580E" w:rsidRPr="005F5BEA" w:rsidRDefault="0040580E" w:rsidP="004B25CC">
            <w:pPr>
              <w:pStyle w:val="TableText"/>
              <w:spacing w:before="0" w:after="0"/>
              <w:rPr>
                <w:b/>
                <w:lang w:eastAsia="en-AU"/>
              </w:rPr>
            </w:pPr>
            <w:r w:rsidRPr="005F5BEA">
              <w:rPr>
                <w:b/>
                <w:lang w:eastAsia="en-AU"/>
              </w:rPr>
              <w:t>2022</w:t>
            </w:r>
          </w:p>
        </w:tc>
        <w:tc>
          <w:tcPr>
            <w:tcW w:w="1257" w:type="dxa"/>
            <w:noWrap/>
            <w:hideMark/>
          </w:tcPr>
          <w:p w14:paraId="546B2FFF" w14:textId="77777777" w:rsidR="0040580E" w:rsidRPr="005F5BEA" w:rsidRDefault="0040580E" w:rsidP="004B25CC">
            <w:pPr>
              <w:pStyle w:val="TableText"/>
              <w:spacing w:before="0" w:after="0"/>
              <w:rPr>
                <w:b/>
                <w:lang w:eastAsia="en-AU"/>
              </w:rPr>
            </w:pPr>
            <w:r w:rsidRPr="005F5BEA">
              <w:rPr>
                <w:b/>
                <w:lang w:eastAsia="en-AU"/>
              </w:rPr>
              <w:t>2023</w:t>
            </w:r>
          </w:p>
        </w:tc>
        <w:tc>
          <w:tcPr>
            <w:tcW w:w="1257" w:type="dxa"/>
            <w:noWrap/>
            <w:hideMark/>
          </w:tcPr>
          <w:p w14:paraId="2F1D3B61" w14:textId="77777777" w:rsidR="0040580E" w:rsidRPr="005F5BEA" w:rsidRDefault="0040580E" w:rsidP="004B25CC">
            <w:pPr>
              <w:pStyle w:val="TableText"/>
              <w:spacing w:before="0" w:after="0"/>
              <w:rPr>
                <w:b/>
                <w:lang w:eastAsia="en-AU"/>
              </w:rPr>
            </w:pPr>
            <w:r w:rsidRPr="005F5BEA">
              <w:rPr>
                <w:b/>
                <w:lang w:eastAsia="en-AU"/>
              </w:rPr>
              <w:t>2024</w:t>
            </w:r>
          </w:p>
        </w:tc>
        <w:tc>
          <w:tcPr>
            <w:tcW w:w="1257" w:type="dxa"/>
            <w:noWrap/>
            <w:hideMark/>
          </w:tcPr>
          <w:p w14:paraId="0F7BC7BE" w14:textId="77777777" w:rsidR="0040580E" w:rsidRPr="005F5BEA" w:rsidRDefault="0040580E" w:rsidP="004B25CC">
            <w:pPr>
              <w:pStyle w:val="TableText"/>
              <w:spacing w:before="0" w:after="0"/>
              <w:rPr>
                <w:b/>
                <w:lang w:eastAsia="en-AU"/>
              </w:rPr>
            </w:pPr>
            <w:r w:rsidRPr="005F5BEA">
              <w:rPr>
                <w:b/>
                <w:lang w:eastAsia="en-AU"/>
              </w:rPr>
              <w:t>2025</w:t>
            </w:r>
          </w:p>
        </w:tc>
      </w:tr>
      <w:tr w:rsidR="0040580E" w:rsidRPr="005F5BEA" w14:paraId="770DC2C5" w14:textId="77777777" w:rsidTr="00EC391A">
        <w:trPr>
          <w:trHeight w:val="300"/>
        </w:trPr>
        <w:tc>
          <w:tcPr>
            <w:tcW w:w="298" w:type="dxa"/>
          </w:tcPr>
          <w:p w14:paraId="171C2DAB" w14:textId="77777777" w:rsidR="0040580E" w:rsidRPr="005F5BEA" w:rsidRDefault="0040580E" w:rsidP="004B25CC">
            <w:pPr>
              <w:pStyle w:val="TableText"/>
              <w:spacing w:before="0" w:after="0"/>
              <w:rPr>
                <w:lang w:eastAsia="en-AU"/>
              </w:rPr>
            </w:pPr>
            <w:r w:rsidRPr="005F5BEA">
              <w:rPr>
                <w:lang w:eastAsia="en-AU"/>
              </w:rPr>
              <w:t>A</w:t>
            </w:r>
          </w:p>
        </w:tc>
        <w:tc>
          <w:tcPr>
            <w:tcW w:w="3690" w:type="dxa"/>
            <w:noWrap/>
            <w:hideMark/>
          </w:tcPr>
          <w:p w14:paraId="2F10BA03" w14:textId="405E8ACE" w:rsidR="0040580E" w:rsidRPr="005F5BEA" w:rsidRDefault="0040580E" w:rsidP="004B25CC">
            <w:pPr>
              <w:pStyle w:val="TableText"/>
              <w:spacing w:before="0" w:after="0"/>
              <w:rPr>
                <w:lang w:eastAsia="en-AU"/>
              </w:rPr>
            </w:pPr>
            <w:r w:rsidRPr="005F5BEA">
              <w:rPr>
                <w:lang w:eastAsia="en-AU"/>
              </w:rPr>
              <w:t xml:space="preserve">No. </w:t>
            </w:r>
            <w:r w:rsidR="00B62C82" w:rsidRPr="005F5BEA">
              <w:rPr>
                <w:lang w:eastAsia="en-AU"/>
              </w:rPr>
              <w:t>IECT</w:t>
            </w:r>
          </w:p>
        </w:tc>
        <w:tc>
          <w:tcPr>
            <w:tcW w:w="1257" w:type="dxa"/>
            <w:noWrap/>
            <w:hideMark/>
          </w:tcPr>
          <w:p w14:paraId="2FBCC41B" w14:textId="77777777" w:rsidR="0040580E" w:rsidRPr="00461D0D" w:rsidRDefault="0040580E" w:rsidP="004B25CC">
            <w:pPr>
              <w:pStyle w:val="TableText"/>
              <w:spacing w:before="0" w:after="0"/>
              <w:rPr>
                <w:lang w:eastAsia="en-AU"/>
              </w:rPr>
            </w:pPr>
            <w:r w:rsidRPr="00461D0D">
              <w:rPr>
                <w:lang w:eastAsia="en-AU"/>
              </w:rPr>
              <w:t>301</w:t>
            </w:r>
          </w:p>
        </w:tc>
        <w:tc>
          <w:tcPr>
            <w:tcW w:w="1257" w:type="dxa"/>
            <w:noWrap/>
            <w:hideMark/>
          </w:tcPr>
          <w:p w14:paraId="77BC106E" w14:textId="77777777" w:rsidR="0040580E" w:rsidRPr="00461D0D" w:rsidRDefault="0040580E" w:rsidP="004B25CC">
            <w:pPr>
              <w:pStyle w:val="TableText"/>
              <w:spacing w:before="0" w:after="0"/>
              <w:rPr>
                <w:lang w:eastAsia="en-AU"/>
              </w:rPr>
            </w:pPr>
            <w:r w:rsidRPr="00461D0D">
              <w:rPr>
                <w:lang w:eastAsia="en-AU"/>
              </w:rPr>
              <w:t>301</w:t>
            </w:r>
          </w:p>
        </w:tc>
        <w:tc>
          <w:tcPr>
            <w:tcW w:w="1257" w:type="dxa"/>
            <w:noWrap/>
            <w:hideMark/>
          </w:tcPr>
          <w:p w14:paraId="04CF36E3" w14:textId="77777777" w:rsidR="0040580E" w:rsidRPr="00461D0D" w:rsidRDefault="0040580E" w:rsidP="004B25CC">
            <w:pPr>
              <w:pStyle w:val="TableText"/>
              <w:spacing w:before="0" w:after="0"/>
              <w:rPr>
                <w:lang w:eastAsia="en-AU"/>
              </w:rPr>
            </w:pPr>
            <w:r w:rsidRPr="00461D0D">
              <w:rPr>
                <w:lang w:eastAsia="en-AU"/>
              </w:rPr>
              <w:t>301</w:t>
            </w:r>
          </w:p>
        </w:tc>
        <w:tc>
          <w:tcPr>
            <w:tcW w:w="1257" w:type="dxa"/>
            <w:noWrap/>
            <w:hideMark/>
          </w:tcPr>
          <w:p w14:paraId="1C795DBC" w14:textId="77777777" w:rsidR="0040580E" w:rsidRPr="00461D0D" w:rsidRDefault="0040580E" w:rsidP="004B25CC">
            <w:pPr>
              <w:pStyle w:val="TableText"/>
              <w:spacing w:before="0" w:after="0"/>
              <w:rPr>
                <w:lang w:eastAsia="en-AU"/>
              </w:rPr>
            </w:pPr>
            <w:r w:rsidRPr="00461D0D">
              <w:rPr>
                <w:lang w:eastAsia="en-AU"/>
              </w:rPr>
              <w:t>301</w:t>
            </w:r>
          </w:p>
        </w:tc>
      </w:tr>
      <w:tr w:rsidR="0040580E" w:rsidRPr="005F5BEA" w14:paraId="74C9C6DE" w14:textId="77777777" w:rsidTr="00EC391A">
        <w:trPr>
          <w:trHeight w:val="300"/>
        </w:trPr>
        <w:tc>
          <w:tcPr>
            <w:tcW w:w="298" w:type="dxa"/>
          </w:tcPr>
          <w:p w14:paraId="65F5F8B9" w14:textId="77777777" w:rsidR="0040580E" w:rsidRPr="005F5BEA" w:rsidRDefault="0040580E" w:rsidP="004B25CC">
            <w:pPr>
              <w:pStyle w:val="TableText"/>
              <w:spacing w:before="0" w:after="0"/>
              <w:rPr>
                <w:lang w:eastAsia="en-AU"/>
              </w:rPr>
            </w:pPr>
            <w:r w:rsidRPr="005F5BEA">
              <w:rPr>
                <w:lang w:eastAsia="en-AU"/>
              </w:rPr>
              <w:t>B</w:t>
            </w:r>
          </w:p>
        </w:tc>
        <w:tc>
          <w:tcPr>
            <w:tcW w:w="3690" w:type="dxa"/>
            <w:noWrap/>
            <w:hideMark/>
          </w:tcPr>
          <w:p w14:paraId="2853C679" w14:textId="05FFC819" w:rsidR="0040580E" w:rsidRPr="005F5BEA" w:rsidRDefault="0040580E" w:rsidP="004B25CC">
            <w:pPr>
              <w:pStyle w:val="TableText"/>
              <w:spacing w:before="0" w:after="0"/>
              <w:rPr>
                <w:lang w:eastAsia="en-AU"/>
              </w:rPr>
            </w:pPr>
            <w:r w:rsidRPr="005F5BEA">
              <w:rPr>
                <w:lang w:eastAsia="en-AU"/>
              </w:rPr>
              <w:t xml:space="preserve">Training cost per </w:t>
            </w:r>
            <w:r w:rsidR="00B62C82" w:rsidRPr="005F5BEA">
              <w:rPr>
                <w:lang w:eastAsia="en-AU"/>
              </w:rPr>
              <w:t>IECT</w:t>
            </w:r>
            <w:r w:rsidRPr="005F5BEA">
              <w:rPr>
                <w:lang w:eastAsia="en-AU"/>
              </w:rPr>
              <w:t xml:space="preserve"> </w:t>
            </w:r>
            <w:r w:rsidRPr="005F5BEA">
              <w:rPr>
                <w:vertAlign w:val="superscript"/>
                <w:lang w:eastAsia="en-AU"/>
              </w:rPr>
              <w:t>a</w:t>
            </w:r>
          </w:p>
        </w:tc>
        <w:tc>
          <w:tcPr>
            <w:tcW w:w="1257" w:type="dxa"/>
            <w:noWrap/>
            <w:hideMark/>
          </w:tcPr>
          <w:p w14:paraId="30F1CDB3" w14:textId="77777777" w:rsidR="0040580E" w:rsidRPr="00461D0D" w:rsidRDefault="0040580E" w:rsidP="004B25CC">
            <w:pPr>
              <w:pStyle w:val="TableText"/>
              <w:spacing w:before="0" w:after="0"/>
              <w:rPr>
                <w:lang w:eastAsia="en-AU"/>
              </w:rPr>
            </w:pPr>
            <w:r w:rsidRPr="00461D0D">
              <w:rPr>
                <w:lang w:eastAsia="en-AU"/>
              </w:rPr>
              <w:t>$15,921</w:t>
            </w:r>
          </w:p>
        </w:tc>
        <w:tc>
          <w:tcPr>
            <w:tcW w:w="1257" w:type="dxa"/>
            <w:noWrap/>
            <w:hideMark/>
          </w:tcPr>
          <w:p w14:paraId="476D1947" w14:textId="77777777" w:rsidR="0040580E" w:rsidRPr="00461D0D" w:rsidRDefault="0040580E" w:rsidP="004B25CC">
            <w:pPr>
              <w:pStyle w:val="TableText"/>
              <w:spacing w:before="0" w:after="0"/>
              <w:rPr>
                <w:lang w:eastAsia="en-AU"/>
              </w:rPr>
            </w:pPr>
            <w:r w:rsidRPr="00461D0D">
              <w:rPr>
                <w:lang w:eastAsia="en-AU"/>
              </w:rPr>
              <w:t>$16,892</w:t>
            </w:r>
          </w:p>
        </w:tc>
        <w:tc>
          <w:tcPr>
            <w:tcW w:w="1257" w:type="dxa"/>
            <w:noWrap/>
            <w:hideMark/>
          </w:tcPr>
          <w:p w14:paraId="3F6F9D0C" w14:textId="77777777" w:rsidR="0040580E" w:rsidRPr="00461D0D" w:rsidRDefault="0040580E" w:rsidP="004B25CC">
            <w:pPr>
              <w:pStyle w:val="TableText"/>
              <w:spacing w:before="0" w:after="0"/>
              <w:rPr>
                <w:lang w:eastAsia="en-AU"/>
              </w:rPr>
            </w:pPr>
            <w:r w:rsidRPr="00461D0D">
              <w:rPr>
                <w:lang w:eastAsia="en-AU"/>
              </w:rPr>
              <w:t>$17,863</w:t>
            </w:r>
          </w:p>
        </w:tc>
        <w:tc>
          <w:tcPr>
            <w:tcW w:w="1257" w:type="dxa"/>
            <w:noWrap/>
            <w:hideMark/>
          </w:tcPr>
          <w:p w14:paraId="37E8B08C" w14:textId="77777777" w:rsidR="0040580E" w:rsidRPr="00461D0D" w:rsidRDefault="0040580E" w:rsidP="004B25CC">
            <w:pPr>
              <w:pStyle w:val="TableText"/>
              <w:spacing w:before="0" w:after="0"/>
              <w:rPr>
                <w:lang w:eastAsia="en-AU"/>
              </w:rPr>
            </w:pPr>
            <w:r w:rsidRPr="00461D0D">
              <w:rPr>
                <w:lang w:eastAsia="en-AU"/>
              </w:rPr>
              <w:t>$18,834</w:t>
            </w:r>
          </w:p>
        </w:tc>
      </w:tr>
      <w:tr w:rsidR="0040580E" w:rsidRPr="005F5BEA" w14:paraId="067E3E24" w14:textId="77777777" w:rsidTr="00EC391A">
        <w:trPr>
          <w:trHeight w:val="300"/>
        </w:trPr>
        <w:tc>
          <w:tcPr>
            <w:tcW w:w="298" w:type="dxa"/>
          </w:tcPr>
          <w:p w14:paraId="7BDF34F2" w14:textId="77777777" w:rsidR="0040580E" w:rsidRPr="005F5BEA" w:rsidRDefault="0040580E" w:rsidP="004B25CC">
            <w:pPr>
              <w:pStyle w:val="TableText"/>
              <w:spacing w:before="0" w:after="0"/>
              <w:rPr>
                <w:lang w:eastAsia="en-AU"/>
              </w:rPr>
            </w:pPr>
            <w:r w:rsidRPr="005F5BEA">
              <w:rPr>
                <w:lang w:eastAsia="en-AU"/>
              </w:rPr>
              <w:t>C</w:t>
            </w:r>
          </w:p>
        </w:tc>
        <w:tc>
          <w:tcPr>
            <w:tcW w:w="3690" w:type="dxa"/>
            <w:noWrap/>
            <w:hideMark/>
          </w:tcPr>
          <w:p w14:paraId="3CFF2352" w14:textId="77777777" w:rsidR="0040580E" w:rsidRPr="005F5BEA" w:rsidRDefault="0040580E" w:rsidP="004B25CC">
            <w:pPr>
              <w:pStyle w:val="TableText"/>
              <w:spacing w:before="0" w:after="0"/>
              <w:rPr>
                <w:lang w:eastAsia="en-AU"/>
              </w:rPr>
            </w:pPr>
            <w:r w:rsidRPr="005F5BEA">
              <w:rPr>
                <w:lang w:eastAsia="en-AU"/>
              </w:rPr>
              <w:t>Total training cost (A × B)</w:t>
            </w:r>
          </w:p>
        </w:tc>
        <w:tc>
          <w:tcPr>
            <w:tcW w:w="1257" w:type="dxa"/>
            <w:noWrap/>
            <w:hideMark/>
          </w:tcPr>
          <w:p w14:paraId="22FAE0ED" w14:textId="77777777" w:rsidR="0040580E" w:rsidRPr="00461D0D" w:rsidRDefault="0040580E" w:rsidP="004B25CC">
            <w:pPr>
              <w:pStyle w:val="TableText"/>
              <w:spacing w:before="0" w:after="0"/>
              <w:rPr>
                <w:lang w:eastAsia="en-AU"/>
              </w:rPr>
            </w:pPr>
            <w:r w:rsidRPr="00461D0D">
              <w:rPr>
                <w:lang w:eastAsia="en-AU"/>
              </w:rPr>
              <w:t>$4,792,185</w:t>
            </w:r>
          </w:p>
        </w:tc>
        <w:tc>
          <w:tcPr>
            <w:tcW w:w="1257" w:type="dxa"/>
            <w:noWrap/>
            <w:hideMark/>
          </w:tcPr>
          <w:p w14:paraId="0D93994D" w14:textId="77777777" w:rsidR="0040580E" w:rsidRPr="00461D0D" w:rsidRDefault="0040580E" w:rsidP="004B25CC">
            <w:pPr>
              <w:pStyle w:val="TableText"/>
              <w:spacing w:before="0" w:after="0"/>
              <w:rPr>
                <w:lang w:eastAsia="en-AU"/>
              </w:rPr>
            </w:pPr>
            <w:r w:rsidRPr="00461D0D">
              <w:rPr>
                <w:lang w:eastAsia="en-AU"/>
              </w:rPr>
              <w:t>$5,084,508</w:t>
            </w:r>
          </w:p>
        </w:tc>
        <w:tc>
          <w:tcPr>
            <w:tcW w:w="1257" w:type="dxa"/>
            <w:noWrap/>
            <w:hideMark/>
          </w:tcPr>
          <w:p w14:paraId="726CD119" w14:textId="77777777" w:rsidR="0040580E" w:rsidRPr="00461D0D" w:rsidRDefault="0040580E" w:rsidP="004B25CC">
            <w:pPr>
              <w:pStyle w:val="TableText"/>
              <w:spacing w:before="0" w:after="0"/>
              <w:rPr>
                <w:lang w:eastAsia="en-AU"/>
              </w:rPr>
            </w:pPr>
            <w:r w:rsidRPr="00461D0D">
              <w:rPr>
                <w:lang w:eastAsia="en-AU"/>
              </w:rPr>
              <w:t>$5,376,831</w:t>
            </w:r>
          </w:p>
        </w:tc>
        <w:tc>
          <w:tcPr>
            <w:tcW w:w="1257" w:type="dxa"/>
            <w:noWrap/>
            <w:hideMark/>
          </w:tcPr>
          <w:p w14:paraId="539E99C7" w14:textId="77777777" w:rsidR="0040580E" w:rsidRPr="00461D0D" w:rsidRDefault="0040580E" w:rsidP="004B25CC">
            <w:pPr>
              <w:pStyle w:val="TableText"/>
              <w:spacing w:before="0" w:after="0"/>
              <w:rPr>
                <w:lang w:eastAsia="en-AU"/>
              </w:rPr>
            </w:pPr>
            <w:r w:rsidRPr="00461D0D">
              <w:rPr>
                <w:lang w:eastAsia="en-AU"/>
              </w:rPr>
              <w:t>$5,669,155</w:t>
            </w:r>
          </w:p>
        </w:tc>
      </w:tr>
      <w:tr w:rsidR="0040580E" w:rsidRPr="005F5BEA" w14:paraId="20F1FE46" w14:textId="77777777" w:rsidTr="00EC391A">
        <w:trPr>
          <w:trHeight w:val="300"/>
        </w:trPr>
        <w:tc>
          <w:tcPr>
            <w:tcW w:w="298" w:type="dxa"/>
          </w:tcPr>
          <w:p w14:paraId="34228C33" w14:textId="77777777" w:rsidR="0040580E" w:rsidRPr="005F5BEA" w:rsidRDefault="0040580E" w:rsidP="004B25CC">
            <w:pPr>
              <w:pStyle w:val="TableText"/>
              <w:spacing w:before="0" w:after="0"/>
              <w:rPr>
                <w:lang w:eastAsia="en-AU"/>
              </w:rPr>
            </w:pPr>
            <w:r w:rsidRPr="005F5BEA">
              <w:rPr>
                <w:lang w:eastAsia="en-AU"/>
              </w:rPr>
              <w:t>D</w:t>
            </w:r>
          </w:p>
        </w:tc>
        <w:tc>
          <w:tcPr>
            <w:tcW w:w="3690" w:type="dxa"/>
            <w:noWrap/>
            <w:hideMark/>
          </w:tcPr>
          <w:p w14:paraId="2C693EF2" w14:textId="40AC1098" w:rsidR="0040580E" w:rsidRPr="005F5BEA" w:rsidRDefault="0040580E" w:rsidP="004B25CC">
            <w:pPr>
              <w:pStyle w:val="TableText"/>
              <w:spacing w:before="0" w:after="0"/>
              <w:rPr>
                <w:lang w:eastAsia="en-AU"/>
              </w:rPr>
            </w:pPr>
            <w:r w:rsidRPr="005F5BEA">
              <w:rPr>
                <w:lang w:eastAsia="en-AU"/>
              </w:rPr>
              <w:t xml:space="preserve">Certification cost per </w:t>
            </w:r>
            <w:r w:rsidR="00B62C82" w:rsidRPr="005F5BEA">
              <w:rPr>
                <w:lang w:eastAsia="en-AU"/>
              </w:rPr>
              <w:t>IECT</w:t>
            </w:r>
            <w:r w:rsidRPr="005F5BEA">
              <w:rPr>
                <w:lang w:eastAsia="en-AU"/>
              </w:rPr>
              <w:t xml:space="preserve"> </w:t>
            </w:r>
            <w:r w:rsidRPr="005F5BEA">
              <w:rPr>
                <w:vertAlign w:val="superscript"/>
                <w:lang w:eastAsia="en-AU"/>
              </w:rPr>
              <w:t>a</w:t>
            </w:r>
          </w:p>
        </w:tc>
        <w:tc>
          <w:tcPr>
            <w:tcW w:w="1257" w:type="dxa"/>
            <w:noWrap/>
            <w:hideMark/>
          </w:tcPr>
          <w:p w14:paraId="5CA08927" w14:textId="77777777" w:rsidR="0040580E" w:rsidRPr="00461D0D" w:rsidRDefault="0040580E" w:rsidP="004B25CC">
            <w:pPr>
              <w:pStyle w:val="TableText"/>
              <w:spacing w:before="0" w:after="0"/>
              <w:rPr>
                <w:lang w:eastAsia="en-AU"/>
              </w:rPr>
            </w:pPr>
            <w:r w:rsidRPr="00461D0D">
              <w:rPr>
                <w:lang w:eastAsia="en-AU"/>
              </w:rPr>
              <w:t>$13,267</w:t>
            </w:r>
          </w:p>
        </w:tc>
        <w:tc>
          <w:tcPr>
            <w:tcW w:w="1257" w:type="dxa"/>
            <w:noWrap/>
            <w:hideMark/>
          </w:tcPr>
          <w:p w14:paraId="15BA82B3" w14:textId="77777777" w:rsidR="0040580E" w:rsidRPr="00461D0D" w:rsidRDefault="0040580E" w:rsidP="004B25CC">
            <w:pPr>
              <w:pStyle w:val="TableText"/>
              <w:spacing w:before="0" w:after="0"/>
              <w:rPr>
                <w:lang w:eastAsia="en-AU"/>
              </w:rPr>
            </w:pPr>
            <w:r w:rsidRPr="00461D0D">
              <w:rPr>
                <w:lang w:eastAsia="en-AU"/>
              </w:rPr>
              <w:t>$14,077</w:t>
            </w:r>
          </w:p>
        </w:tc>
        <w:tc>
          <w:tcPr>
            <w:tcW w:w="1257" w:type="dxa"/>
            <w:noWrap/>
            <w:hideMark/>
          </w:tcPr>
          <w:p w14:paraId="2F34C53A" w14:textId="77777777" w:rsidR="0040580E" w:rsidRPr="00461D0D" w:rsidRDefault="0040580E" w:rsidP="004B25CC">
            <w:pPr>
              <w:pStyle w:val="TableText"/>
              <w:spacing w:before="0" w:after="0"/>
              <w:rPr>
                <w:lang w:eastAsia="en-AU"/>
              </w:rPr>
            </w:pPr>
            <w:r w:rsidRPr="00461D0D">
              <w:rPr>
                <w:lang w:eastAsia="en-AU"/>
              </w:rPr>
              <w:t>$14,886</w:t>
            </w:r>
          </w:p>
        </w:tc>
        <w:tc>
          <w:tcPr>
            <w:tcW w:w="1257" w:type="dxa"/>
            <w:noWrap/>
            <w:hideMark/>
          </w:tcPr>
          <w:p w14:paraId="167EFE64" w14:textId="77777777" w:rsidR="0040580E" w:rsidRPr="00461D0D" w:rsidRDefault="0040580E" w:rsidP="004B25CC">
            <w:pPr>
              <w:pStyle w:val="TableText"/>
              <w:spacing w:before="0" w:after="0"/>
              <w:rPr>
                <w:lang w:eastAsia="en-AU"/>
              </w:rPr>
            </w:pPr>
            <w:r w:rsidRPr="00461D0D">
              <w:rPr>
                <w:lang w:eastAsia="en-AU"/>
              </w:rPr>
              <w:t>$15,695</w:t>
            </w:r>
          </w:p>
        </w:tc>
      </w:tr>
      <w:tr w:rsidR="0040580E" w:rsidRPr="005F5BEA" w14:paraId="501D3C8E" w14:textId="77777777" w:rsidTr="00EC391A">
        <w:trPr>
          <w:trHeight w:val="300"/>
        </w:trPr>
        <w:tc>
          <w:tcPr>
            <w:tcW w:w="298" w:type="dxa"/>
          </w:tcPr>
          <w:p w14:paraId="7EB482E4" w14:textId="77777777" w:rsidR="0040580E" w:rsidRPr="005F5BEA" w:rsidRDefault="0040580E" w:rsidP="004B25CC">
            <w:pPr>
              <w:pStyle w:val="TableText"/>
              <w:spacing w:before="0" w:after="0"/>
              <w:rPr>
                <w:lang w:eastAsia="en-AU"/>
              </w:rPr>
            </w:pPr>
            <w:r w:rsidRPr="005F5BEA">
              <w:rPr>
                <w:lang w:eastAsia="en-AU"/>
              </w:rPr>
              <w:t>E</w:t>
            </w:r>
          </w:p>
        </w:tc>
        <w:tc>
          <w:tcPr>
            <w:tcW w:w="3690" w:type="dxa"/>
            <w:noWrap/>
            <w:hideMark/>
          </w:tcPr>
          <w:p w14:paraId="6E0E5F42" w14:textId="77777777" w:rsidR="0040580E" w:rsidRPr="005F5BEA" w:rsidRDefault="0040580E" w:rsidP="004B25CC">
            <w:pPr>
              <w:pStyle w:val="TableText"/>
              <w:spacing w:before="0" w:after="0"/>
              <w:rPr>
                <w:lang w:eastAsia="en-AU"/>
              </w:rPr>
            </w:pPr>
            <w:r w:rsidRPr="005F5BEA">
              <w:rPr>
                <w:lang w:eastAsia="en-AU"/>
              </w:rPr>
              <w:t>Total certification cost (A × D)</w:t>
            </w:r>
          </w:p>
        </w:tc>
        <w:tc>
          <w:tcPr>
            <w:tcW w:w="1257" w:type="dxa"/>
            <w:noWrap/>
            <w:hideMark/>
          </w:tcPr>
          <w:p w14:paraId="38695FB0" w14:textId="77777777" w:rsidR="0040580E" w:rsidRPr="00461D0D" w:rsidRDefault="0040580E" w:rsidP="004B25CC">
            <w:pPr>
              <w:pStyle w:val="TableText"/>
              <w:spacing w:before="0" w:after="0"/>
              <w:rPr>
                <w:lang w:eastAsia="en-AU"/>
              </w:rPr>
            </w:pPr>
            <w:r w:rsidRPr="00461D0D">
              <w:rPr>
                <w:lang w:eastAsia="en-AU"/>
              </w:rPr>
              <w:t>$3,993,487</w:t>
            </w:r>
          </w:p>
        </w:tc>
        <w:tc>
          <w:tcPr>
            <w:tcW w:w="1257" w:type="dxa"/>
            <w:noWrap/>
            <w:hideMark/>
          </w:tcPr>
          <w:p w14:paraId="3D88AE64" w14:textId="77777777" w:rsidR="0040580E" w:rsidRPr="00461D0D" w:rsidRDefault="0040580E" w:rsidP="004B25CC">
            <w:pPr>
              <w:pStyle w:val="TableText"/>
              <w:spacing w:before="0" w:after="0"/>
              <w:rPr>
                <w:lang w:eastAsia="en-AU"/>
              </w:rPr>
            </w:pPr>
            <w:r w:rsidRPr="00461D0D">
              <w:rPr>
                <w:lang w:eastAsia="en-AU"/>
              </w:rPr>
              <w:t>$4,237,090</w:t>
            </w:r>
          </w:p>
        </w:tc>
        <w:tc>
          <w:tcPr>
            <w:tcW w:w="1257" w:type="dxa"/>
            <w:noWrap/>
            <w:hideMark/>
          </w:tcPr>
          <w:p w14:paraId="3F9708CC" w14:textId="77777777" w:rsidR="0040580E" w:rsidRPr="00461D0D" w:rsidRDefault="0040580E" w:rsidP="004B25CC">
            <w:pPr>
              <w:pStyle w:val="TableText"/>
              <w:spacing w:before="0" w:after="0"/>
              <w:rPr>
                <w:lang w:eastAsia="en-AU"/>
              </w:rPr>
            </w:pPr>
            <w:r w:rsidRPr="00461D0D">
              <w:rPr>
                <w:lang w:eastAsia="en-AU"/>
              </w:rPr>
              <w:t>$4,480,693</w:t>
            </w:r>
          </w:p>
        </w:tc>
        <w:tc>
          <w:tcPr>
            <w:tcW w:w="1257" w:type="dxa"/>
            <w:noWrap/>
            <w:hideMark/>
          </w:tcPr>
          <w:p w14:paraId="2039451D" w14:textId="77777777" w:rsidR="0040580E" w:rsidRPr="00461D0D" w:rsidRDefault="0040580E" w:rsidP="004B25CC">
            <w:pPr>
              <w:pStyle w:val="TableText"/>
              <w:spacing w:before="0" w:after="0"/>
              <w:rPr>
                <w:lang w:eastAsia="en-AU"/>
              </w:rPr>
            </w:pPr>
            <w:r w:rsidRPr="00461D0D">
              <w:rPr>
                <w:lang w:eastAsia="en-AU"/>
              </w:rPr>
              <w:t>$4,724,296</w:t>
            </w:r>
          </w:p>
        </w:tc>
      </w:tr>
      <w:tr w:rsidR="0040580E" w:rsidRPr="005F5BEA" w14:paraId="558EDC6D" w14:textId="77777777" w:rsidTr="00EC391A">
        <w:trPr>
          <w:trHeight w:val="300"/>
        </w:trPr>
        <w:tc>
          <w:tcPr>
            <w:tcW w:w="298" w:type="dxa"/>
          </w:tcPr>
          <w:p w14:paraId="0CA8F752" w14:textId="77777777" w:rsidR="0040580E" w:rsidRPr="005F5BEA" w:rsidRDefault="0040580E" w:rsidP="004B25CC">
            <w:pPr>
              <w:pStyle w:val="TableText"/>
              <w:spacing w:before="0" w:after="0"/>
              <w:rPr>
                <w:lang w:eastAsia="en-AU"/>
              </w:rPr>
            </w:pPr>
            <w:r w:rsidRPr="005F5BEA">
              <w:rPr>
                <w:lang w:eastAsia="en-AU"/>
              </w:rPr>
              <w:t>F</w:t>
            </w:r>
          </w:p>
        </w:tc>
        <w:tc>
          <w:tcPr>
            <w:tcW w:w="3690" w:type="dxa"/>
            <w:noWrap/>
            <w:hideMark/>
          </w:tcPr>
          <w:p w14:paraId="4924AF33" w14:textId="240562D3" w:rsidR="0040580E" w:rsidRPr="005F5BEA" w:rsidRDefault="00B62C82" w:rsidP="004B25CC">
            <w:pPr>
              <w:pStyle w:val="TableText"/>
              <w:spacing w:before="0" w:after="0"/>
              <w:rPr>
                <w:lang w:eastAsia="en-AU"/>
              </w:rPr>
            </w:pPr>
            <w:r w:rsidRPr="005F5BEA">
              <w:rPr>
                <w:lang w:eastAsia="en-AU"/>
              </w:rPr>
              <w:t>IECT</w:t>
            </w:r>
            <w:r w:rsidR="0040580E" w:rsidRPr="005F5BEA">
              <w:rPr>
                <w:lang w:eastAsia="en-AU"/>
              </w:rPr>
              <w:t xml:space="preserve"> turnover</w:t>
            </w:r>
          </w:p>
        </w:tc>
        <w:tc>
          <w:tcPr>
            <w:tcW w:w="1257" w:type="dxa"/>
            <w:noWrap/>
            <w:hideMark/>
          </w:tcPr>
          <w:p w14:paraId="1F620A07" w14:textId="77777777" w:rsidR="0040580E" w:rsidRPr="00461D0D" w:rsidRDefault="0040580E" w:rsidP="004B25CC">
            <w:pPr>
              <w:pStyle w:val="TableText"/>
              <w:spacing w:before="0" w:after="0"/>
              <w:rPr>
                <w:lang w:eastAsia="en-AU"/>
              </w:rPr>
            </w:pPr>
            <w:r w:rsidRPr="00461D0D">
              <w:rPr>
                <w:lang w:eastAsia="en-AU"/>
              </w:rPr>
              <w:t>10.0%</w:t>
            </w:r>
          </w:p>
        </w:tc>
        <w:tc>
          <w:tcPr>
            <w:tcW w:w="1257" w:type="dxa"/>
            <w:noWrap/>
            <w:hideMark/>
          </w:tcPr>
          <w:p w14:paraId="0F27617F" w14:textId="77777777" w:rsidR="0040580E" w:rsidRPr="00461D0D" w:rsidRDefault="0040580E" w:rsidP="004B25CC">
            <w:pPr>
              <w:pStyle w:val="TableText"/>
              <w:spacing w:before="0" w:after="0"/>
              <w:rPr>
                <w:lang w:eastAsia="en-AU"/>
              </w:rPr>
            </w:pPr>
            <w:r w:rsidRPr="00461D0D">
              <w:rPr>
                <w:lang w:eastAsia="en-AU"/>
              </w:rPr>
              <w:t>10.0%</w:t>
            </w:r>
          </w:p>
        </w:tc>
        <w:tc>
          <w:tcPr>
            <w:tcW w:w="1257" w:type="dxa"/>
            <w:noWrap/>
            <w:hideMark/>
          </w:tcPr>
          <w:p w14:paraId="74D40C64" w14:textId="77777777" w:rsidR="0040580E" w:rsidRPr="00461D0D" w:rsidRDefault="0040580E" w:rsidP="004B25CC">
            <w:pPr>
              <w:pStyle w:val="TableText"/>
              <w:spacing w:before="0" w:after="0"/>
              <w:rPr>
                <w:lang w:eastAsia="en-AU"/>
              </w:rPr>
            </w:pPr>
            <w:r w:rsidRPr="00461D0D">
              <w:rPr>
                <w:lang w:eastAsia="en-AU"/>
              </w:rPr>
              <w:t>10.0%</w:t>
            </w:r>
          </w:p>
        </w:tc>
        <w:tc>
          <w:tcPr>
            <w:tcW w:w="1257" w:type="dxa"/>
            <w:noWrap/>
            <w:hideMark/>
          </w:tcPr>
          <w:p w14:paraId="05EC4E92" w14:textId="77777777" w:rsidR="0040580E" w:rsidRPr="00461D0D" w:rsidRDefault="0040580E" w:rsidP="004B25CC">
            <w:pPr>
              <w:pStyle w:val="TableText"/>
              <w:spacing w:before="0" w:after="0"/>
              <w:rPr>
                <w:lang w:eastAsia="en-AU"/>
              </w:rPr>
            </w:pPr>
            <w:r w:rsidRPr="00461D0D">
              <w:rPr>
                <w:lang w:eastAsia="en-AU"/>
              </w:rPr>
              <w:t>10.0%</w:t>
            </w:r>
          </w:p>
        </w:tc>
      </w:tr>
      <w:tr w:rsidR="0040580E" w:rsidRPr="005F5BEA" w14:paraId="3F8528B1" w14:textId="77777777" w:rsidTr="00EC391A">
        <w:trPr>
          <w:trHeight w:val="300"/>
        </w:trPr>
        <w:tc>
          <w:tcPr>
            <w:tcW w:w="298" w:type="dxa"/>
          </w:tcPr>
          <w:p w14:paraId="64AB33F0" w14:textId="77777777" w:rsidR="0040580E" w:rsidRPr="005F5BEA" w:rsidRDefault="0040580E" w:rsidP="004B25CC">
            <w:pPr>
              <w:pStyle w:val="TableText"/>
              <w:spacing w:before="0" w:after="0"/>
              <w:rPr>
                <w:lang w:eastAsia="en-AU"/>
              </w:rPr>
            </w:pPr>
            <w:r w:rsidRPr="005F5BEA">
              <w:rPr>
                <w:lang w:eastAsia="en-AU"/>
              </w:rPr>
              <w:t>G</w:t>
            </w:r>
          </w:p>
        </w:tc>
        <w:tc>
          <w:tcPr>
            <w:tcW w:w="3690" w:type="dxa"/>
            <w:noWrap/>
            <w:hideMark/>
          </w:tcPr>
          <w:p w14:paraId="16F45F13" w14:textId="7DACF6B1" w:rsidR="0040580E" w:rsidRPr="005F5BEA" w:rsidRDefault="0040580E" w:rsidP="004B25CC">
            <w:pPr>
              <w:pStyle w:val="TableText"/>
              <w:spacing w:before="0" w:after="0"/>
              <w:rPr>
                <w:lang w:eastAsia="en-AU"/>
              </w:rPr>
            </w:pPr>
            <w:r w:rsidRPr="005F5BEA">
              <w:rPr>
                <w:lang w:eastAsia="en-AU"/>
              </w:rPr>
              <w:t xml:space="preserve">Onboarding cost per </w:t>
            </w:r>
            <w:r w:rsidR="00B62C82" w:rsidRPr="005F5BEA">
              <w:rPr>
                <w:lang w:eastAsia="en-AU"/>
              </w:rPr>
              <w:t>IECT</w:t>
            </w:r>
            <w:r w:rsidRPr="005F5BEA">
              <w:rPr>
                <w:lang w:eastAsia="en-AU"/>
              </w:rPr>
              <w:t xml:space="preserve"> </w:t>
            </w:r>
            <w:r w:rsidRPr="005F5BEA">
              <w:rPr>
                <w:vertAlign w:val="superscript"/>
                <w:lang w:eastAsia="en-AU"/>
              </w:rPr>
              <w:t>a</w:t>
            </w:r>
          </w:p>
        </w:tc>
        <w:tc>
          <w:tcPr>
            <w:tcW w:w="1257" w:type="dxa"/>
            <w:noWrap/>
            <w:hideMark/>
          </w:tcPr>
          <w:p w14:paraId="37F00A0F" w14:textId="77777777" w:rsidR="0040580E" w:rsidRPr="00461D0D" w:rsidRDefault="0040580E" w:rsidP="004B25CC">
            <w:pPr>
              <w:pStyle w:val="TableText"/>
              <w:spacing w:before="0" w:after="0"/>
              <w:rPr>
                <w:lang w:eastAsia="en-AU"/>
              </w:rPr>
            </w:pPr>
            <w:r w:rsidRPr="00461D0D">
              <w:rPr>
                <w:lang w:eastAsia="en-AU"/>
              </w:rPr>
              <w:t>$212,278</w:t>
            </w:r>
          </w:p>
        </w:tc>
        <w:tc>
          <w:tcPr>
            <w:tcW w:w="1257" w:type="dxa"/>
            <w:noWrap/>
            <w:hideMark/>
          </w:tcPr>
          <w:p w14:paraId="0EBEB718" w14:textId="77777777" w:rsidR="0040580E" w:rsidRPr="00461D0D" w:rsidRDefault="0040580E" w:rsidP="004B25CC">
            <w:pPr>
              <w:pStyle w:val="TableText"/>
              <w:spacing w:before="0" w:after="0"/>
              <w:rPr>
                <w:lang w:eastAsia="en-AU"/>
              </w:rPr>
            </w:pPr>
            <w:r w:rsidRPr="00461D0D">
              <w:rPr>
                <w:lang w:eastAsia="en-AU"/>
              </w:rPr>
              <w:t>$225,227</w:t>
            </w:r>
          </w:p>
        </w:tc>
        <w:tc>
          <w:tcPr>
            <w:tcW w:w="1257" w:type="dxa"/>
            <w:noWrap/>
            <w:hideMark/>
          </w:tcPr>
          <w:p w14:paraId="4582DECC" w14:textId="77777777" w:rsidR="0040580E" w:rsidRPr="00461D0D" w:rsidRDefault="0040580E" w:rsidP="004B25CC">
            <w:pPr>
              <w:pStyle w:val="TableText"/>
              <w:spacing w:before="0" w:after="0"/>
              <w:rPr>
                <w:lang w:eastAsia="en-AU"/>
              </w:rPr>
            </w:pPr>
            <w:r w:rsidRPr="00461D0D">
              <w:rPr>
                <w:lang w:eastAsia="en-AU"/>
              </w:rPr>
              <w:t>$238,176</w:t>
            </w:r>
          </w:p>
        </w:tc>
        <w:tc>
          <w:tcPr>
            <w:tcW w:w="1257" w:type="dxa"/>
            <w:noWrap/>
            <w:hideMark/>
          </w:tcPr>
          <w:p w14:paraId="48AA1219" w14:textId="77777777" w:rsidR="0040580E" w:rsidRPr="00461D0D" w:rsidRDefault="0040580E" w:rsidP="004B25CC">
            <w:pPr>
              <w:pStyle w:val="TableText"/>
              <w:spacing w:before="0" w:after="0"/>
              <w:rPr>
                <w:lang w:eastAsia="en-AU"/>
              </w:rPr>
            </w:pPr>
            <w:r w:rsidRPr="00461D0D">
              <w:rPr>
                <w:lang w:eastAsia="en-AU"/>
              </w:rPr>
              <w:t>$251,125</w:t>
            </w:r>
          </w:p>
        </w:tc>
      </w:tr>
      <w:tr w:rsidR="0040580E" w:rsidRPr="005F5BEA" w14:paraId="652B443B" w14:textId="77777777" w:rsidTr="00EC391A">
        <w:trPr>
          <w:trHeight w:val="300"/>
        </w:trPr>
        <w:tc>
          <w:tcPr>
            <w:tcW w:w="298" w:type="dxa"/>
          </w:tcPr>
          <w:p w14:paraId="7276DF72" w14:textId="77777777" w:rsidR="0040580E" w:rsidRPr="005F5BEA" w:rsidRDefault="0040580E" w:rsidP="004B25CC">
            <w:pPr>
              <w:pStyle w:val="TableText"/>
              <w:spacing w:before="0" w:after="0"/>
              <w:rPr>
                <w:lang w:eastAsia="en-AU"/>
              </w:rPr>
            </w:pPr>
            <w:r w:rsidRPr="005F5BEA">
              <w:rPr>
                <w:lang w:eastAsia="en-AU"/>
              </w:rPr>
              <w:t>H</w:t>
            </w:r>
          </w:p>
        </w:tc>
        <w:tc>
          <w:tcPr>
            <w:tcW w:w="3690" w:type="dxa"/>
            <w:noWrap/>
            <w:hideMark/>
          </w:tcPr>
          <w:p w14:paraId="55670DC0" w14:textId="16349540" w:rsidR="0040580E" w:rsidRPr="005F5BEA" w:rsidRDefault="0040580E" w:rsidP="004B25CC">
            <w:pPr>
              <w:pStyle w:val="TableText"/>
              <w:spacing w:before="0" w:after="0"/>
              <w:rPr>
                <w:lang w:eastAsia="en-AU"/>
              </w:rPr>
            </w:pPr>
            <w:r w:rsidRPr="005F5BEA">
              <w:rPr>
                <w:lang w:eastAsia="en-AU"/>
              </w:rPr>
              <w:t>Total onboarding cost (A × F × G)</w:t>
            </w:r>
          </w:p>
        </w:tc>
        <w:tc>
          <w:tcPr>
            <w:tcW w:w="1257" w:type="dxa"/>
            <w:noWrap/>
            <w:hideMark/>
          </w:tcPr>
          <w:p w14:paraId="6D8769F8" w14:textId="77777777" w:rsidR="0040580E" w:rsidRPr="00461D0D" w:rsidRDefault="0040580E" w:rsidP="004B25CC">
            <w:pPr>
              <w:pStyle w:val="TableText"/>
              <w:spacing w:before="0" w:after="0"/>
              <w:rPr>
                <w:lang w:eastAsia="en-AU"/>
              </w:rPr>
            </w:pPr>
            <w:r w:rsidRPr="00461D0D">
              <w:rPr>
                <w:lang w:eastAsia="en-AU"/>
              </w:rPr>
              <w:t>$6,389,581</w:t>
            </w:r>
          </w:p>
        </w:tc>
        <w:tc>
          <w:tcPr>
            <w:tcW w:w="1257" w:type="dxa"/>
            <w:noWrap/>
            <w:hideMark/>
          </w:tcPr>
          <w:p w14:paraId="7EF94C85" w14:textId="77777777" w:rsidR="0040580E" w:rsidRPr="00461D0D" w:rsidRDefault="0040580E" w:rsidP="004B25CC">
            <w:pPr>
              <w:pStyle w:val="TableText"/>
              <w:spacing w:before="0" w:after="0"/>
              <w:rPr>
                <w:lang w:eastAsia="en-AU"/>
              </w:rPr>
            </w:pPr>
            <w:r w:rsidRPr="00461D0D">
              <w:rPr>
                <w:lang w:eastAsia="en-AU"/>
              </w:rPr>
              <w:t>$6,779,345</w:t>
            </w:r>
          </w:p>
        </w:tc>
        <w:tc>
          <w:tcPr>
            <w:tcW w:w="1257" w:type="dxa"/>
            <w:noWrap/>
            <w:hideMark/>
          </w:tcPr>
          <w:p w14:paraId="3CF98D37" w14:textId="77777777" w:rsidR="0040580E" w:rsidRPr="00461D0D" w:rsidRDefault="0040580E" w:rsidP="004B25CC">
            <w:pPr>
              <w:pStyle w:val="TableText"/>
              <w:spacing w:before="0" w:after="0"/>
              <w:rPr>
                <w:lang w:eastAsia="en-AU"/>
              </w:rPr>
            </w:pPr>
            <w:r w:rsidRPr="00461D0D">
              <w:rPr>
                <w:lang w:eastAsia="en-AU"/>
              </w:rPr>
              <w:t>$7,169,110</w:t>
            </w:r>
          </w:p>
        </w:tc>
        <w:tc>
          <w:tcPr>
            <w:tcW w:w="1257" w:type="dxa"/>
            <w:noWrap/>
            <w:hideMark/>
          </w:tcPr>
          <w:p w14:paraId="4CAB5D68" w14:textId="77777777" w:rsidR="0040580E" w:rsidRPr="00461D0D" w:rsidRDefault="0040580E" w:rsidP="004B25CC">
            <w:pPr>
              <w:pStyle w:val="TableText"/>
              <w:spacing w:before="0" w:after="0"/>
              <w:rPr>
                <w:lang w:eastAsia="en-AU"/>
              </w:rPr>
            </w:pPr>
            <w:r w:rsidRPr="00461D0D">
              <w:rPr>
                <w:lang w:eastAsia="en-AU"/>
              </w:rPr>
              <w:t>$7,558,874</w:t>
            </w:r>
          </w:p>
        </w:tc>
      </w:tr>
      <w:tr w:rsidR="0040580E" w:rsidRPr="005F5BEA" w14:paraId="35F5767A" w14:textId="77777777" w:rsidTr="00EC391A">
        <w:trPr>
          <w:trHeight w:val="300"/>
        </w:trPr>
        <w:tc>
          <w:tcPr>
            <w:tcW w:w="298" w:type="dxa"/>
          </w:tcPr>
          <w:p w14:paraId="47E58963" w14:textId="77777777" w:rsidR="0040580E" w:rsidRPr="005F5BEA" w:rsidRDefault="0040580E" w:rsidP="004B25CC">
            <w:pPr>
              <w:pStyle w:val="TableText"/>
              <w:spacing w:before="0" w:after="0"/>
              <w:rPr>
                <w:lang w:eastAsia="en-AU"/>
              </w:rPr>
            </w:pPr>
          </w:p>
        </w:tc>
        <w:tc>
          <w:tcPr>
            <w:tcW w:w="3690" w:type="dxa"/>
            <w:noWrap/>
            <w:hideMark/>
          </w:tcPr>
          <w:p w14:paraId="4BD481C4" w14:textId="77777777" w:rsidR="0040580E" w:rsidRPr="005F5BEA" w:rsidRDefault="0040580E" w:rsidP="004B25CC">
            <w:pPr>
              <w:pStyle w:val="TableText"/>
              <w:spacing w:before="0" w:after="0"/>
              <w:rPr>
                <w:b/>
                <w:lang w:eastAsia="en-AU"/>
              </w:rPr>
            </w:pPr>
            <w:r w:rsidRPr="005F5BEA">
              <w:rPr>
                <w:b/>
                <w:lang w:eastAsia="en-AU"/>
              </w:rPr>
              <w:t>Total training cost (C + E + H)</w:t>
            </w:r>
          </w:p>
        </w:tc>
        <w:tc>
          <w:tcPr>
            <w:tcW w:w="1257" w:type="dxa"/>
            <w:noWrap/>
            <w:hideMark/>
          </w:tcPr>
          <w:p w14:paraId="32831E23" w14:textId="77777777" w:rsidR="0040580E" w:rsidRPr="00461D0D" w:rsidRDefault="0040580E" w:rsidP="004B25CC">
            <w:pPr>
              <w:pStyle w:val="TableText"/>
              <w:spacing w:before="0" w:after="0"/>
              <w:rPr>
                <w:b/>
                <w:lang w:eastAsia="en-AU"/>
              </w:rPr>
            </w:pPr>
            <w:r w:rsidRPr="00461D0D">
              <w:rPr>
                <w:b/>
                <w:lang w:eastAsia="en-AU"/>
              </w:rPr>
              <w:t>$15,175,253</w:t>
            </w:r>
          </w:p>
        </w:tc>
        <w:tc>
          <w:tcPr>
            <w:tcW w:w="1257" w:type="dxa"/>
            <w:noWrap/>
            <w:hideMark/>
          </w:tcPr>
          <w:p w14:paraId="6B27E7B3" w14:textId="77777777" w:rsidR="0040580E" w:rsidRPr="00461D0D" w:rsidRDefault="0040580E" w:rsidP="004B25CC">
            <w:pPr>
              <w:pStyle w:val="TableText"/>
              <w:spacing w:before="0" w:after="0"/>
              <w:rPr>
                <w:b/>
                <w:lang w:eastAsia="en-AU"/>
              </w:rPr>
            </w:pPr>
            <w:r w:rsidRPr="00461D0D">
              <w:rPr>
                <w:b/>
                <w:lang w:eastAsia="en-AU"/>
              </w:rPr>
              <w:t>$16,100,943</w:t>
            </w:r>
          </w:p>
        </w:tc>
        <w:tc>
          <w:tcPr>
            <w:tcW w:w="1257" w:type="dxa"/>
            <w:noWrap/>
            <w:hideMark/>
          </w:tcPr>
          <w:p w14:paraId="74F0A6B3" w14:textId="77777777" w:rsidR="0040580E" w:rsidRPr="00461D0D" w:rsidRDefault="0040580E" w:rsidP="004B25CC">
            <w:pPr>
              <w:pStyle w:val="TableText"/>
              <w:spacing w:before="0" w:after="0"/>
              <w:rPr>
                <w:b/>
                <w:lang w:eastAsia="en-AU"/>
              </w:rPr>
            </w:pPr>
            <w:r w:rsidRPr="00461D0D">
              <w:rPr>
                <w:b/>
                <w:lang w:eastAsia="en-AU"/>
              </w:rPr>
              <w:t>$17,026,634</w:t>
            </w:r>
          </w:p>
        </w:tc>
        <w:tc>
          <w:tcPr>
            <w:tcW w:w="1257" w:type="dxa"/>
            <w:noWrap/>
            <w:hideMark/>
          </w:tcPr>
          <w:p w14:paraId="4F3817CA" w14:textId="77777777" w:rsidR="0040580E" w:rsidRPr="00461D0D" w:rsidRDefault="0040580E" w:rsidP="004B25CC">
            <w:pPr>
              <w:pStyle w:val="TableText"/>
              <w:spacing w:before="0" w:after="0"/>
              <w:rPr>
                <w:b/>
                <w:lang w:eastAsia="en-AU"/>
              </w:rPr>
            </w:pPr>
            <w:r w:rsidRPr="00461D0D">
              <w:rPr>
                <w:b/>
                <w:lang w:eastAsia="en-AU"/>
              </w:rPr>
              <w:t>$17,952,324</w:t>
            </w:r>
          </w:p>
        </w:tc>
      </w:tr>
    </w:tbl>
    <w:p w14:paraId="24CEF4D9" w14:textId="77777777" w:rsidR="0040580E" w:rsidRPr="005F5BEA" w:rsidRDefault="0040580E" w:rsidP="004B25CC">
      <w:pPr>
        <w:pStyle w:val="Tablenotes"/>
        <w:spacing w:before="0"/>
      </w:pPr>
      <w:proofErr w:type="spellStart"/>
      <w:r w:rsidRPr="005F5BEA">
        <w:rPr>
          <w:i/>
          <w:vertAlign w:val="superscript"/>
        </w:rPr>
        <w:t>a</w:t>
      </w:r>
      <w:proofErr w:type="spellEnd"/>
      <w:r w:rsidRPr="005F5BEA">
        <w:rPr>
          <w:i/>
        </w:rPr>
        <w:t xml:space="preserve"> </w:t>
      </w:r>
      <w:r w:rsidRPr="005F5BEA">
        <w:t>Costs have been inflated each year by 6.1%, relative to the base year (</w:t>
      </w:r>
      <w:proofErr w:type="gramStart"/>
      <w:r w:rsidRPr="005F5BEA">
        <w:t>e.g.</w:t>
      </w:r>
      <w:proofErr w:type="gramEnd"/>
      <w:r w:rsidRPr="005F5BEA">
        <w:t xml:space="preserve"> training cost in 2024 is equivalent to the training cost in 2022 [$15,291] multiplied by 112.2% [i.e. 1 + 6.1% annual inflation × 2 years])</w:t>
      </w:r>
    </w:p>
    <w:p w14:paraId="253BB57D" w14:textId="5BAB4505" w:rsidR="00166AE6" w:rsidRPr="005F5BEA" w:rsidRDefault="00166AE6" w:rsidP="005926D9">
      <w:pPr>
        <w:pStyle w:val="Heading4"/>
      </w:pPr>
      <w:r w:rsidRPr="005F5BEA">
        <w:t>Labour costs</w:t>
      </w:r>
    </w:p>
    <w:p w14:paraId="3293EA19" w14:textId="09AF5FB3" w:rsidR="0040580E" w:rsidRPr="005F5BEA" w:rsidRDefault="0040580E" w:rsidP="0040580E">
      <w:pPr>
        <w:rPr>
          <w:i/>
          <w:color w:val="4472C4" w:themeColor="accent1"/>
        </w:rPr>
      </w:pPr>
      <w:r w:rsidRPr="005F5BEA">
        <w:t xml:space="preserve">Labour costs included not only the time spent in-person with a patient, or the time spent reviewing transmissions or alerts for remote monitoring, but also elements such as waiting time (an average of </w:t>
      </w:r>
      <w:r w:rsidR="00D865D4" w:rsidRPr="00D865D4">
        <w:rPr>
          <w:color w:val="000000"/>
          <w:spacing w:val="74"/>
          <w:w w:val="82"/>
          <w:shd w:val="solid" w:color="000000" w:fill="000000"/>
          <w:fitText w:val="255" w:id="-1157883388"/>
          <w14:textFill>
            <w14:solidFill>
              <w14:srgbClr w14:val="000000">
                <w14:alpha w14:val="100000"/>
              </w14:srgbClr>
            </w14:solidFill>
          </w14:textFill>
        </w:rPr>
        <w:t>|</w:t>
      </w:r>
      <w:r w:rsidR="00D865D4" w:rsidRPr="00D865D4">
        <w:rPr>
          <w:color w:val="000000"/>
          <w:spacing w:val="1"/>
          <w:w w:val="82"/>
          <w:shd w:val="solid" w:color="000000" w:fill="000000"/>
          <w:fitText w:val="255" w:id="-1157883388"/>
          <w14:textFill>
            <w14:solidFill>
              <w14:srgbClr w14:val="000000">
                <w14:alpha w14:val="100000"/>
              </w14:srgbClr>
            </w14:solidFill>
          </w14:textFill>
        </w:rPr>
        <w:t>|</w:t>
      </w:r>
      <w:r w:rsidRPr="005F5BEA">
        <w:t xml:space="preserve"> minutes per </w:t>
      </w:r>
      <w:r w:rsidR="004B1599" w:rsidRPr="005F5BEA">
        <w:t>service location</w:t>
      </w:r>
      <w:r w:rsidRPr="005F5BEA">
        <w:t>), and loadings. There was a 25% regional loading to account for setting up local support networks in regional areas, a 40% remote loading, and an on-demand loading of 1.55, to allow for coverage of peak demand times. It is suggested that the regional loading and on-demand loading are higher than required. The base wage ($85/hr) is also higher than several websites suggest is likely for cardiac technologists (~$49/hr)</w:t>
      </w:r>
      <w:r w:rsidR="00F3014B" w:rsidRPr="005F5BEA">
        <w:t>, and higher than the salary for cardiac technicians employed by private clinics</w:t>
      </w:r>
      <w:r w:rsidRPr="005F5BEA">
        <w:t>.</w:t>
      </w:r>
    </w:p>
    <w:p w14:paraId="6F887C93" w14:textId="49CD3447" w:rsidR="0040580E" w:rsidRPr="005F5BEA" w:rsidRDefault="0040580E" w:rsidP="00A97436">
      <w:pPr>
        <w:pStyle w:val="Caption"/>
        <w:spacing w:after="0"/>
        <w:rPr>
          <w:i w:val="0"/>
          <w:color w:val="4472C4" w:themeColor="accent1"/>
        </w:rPr>
      </w:pPr>
      <w:bookmarkStart w:id="27" w:name="_Toc120693755"/>
      <w:r w:rsidRPr="005F5BEA">
        <w:rPr>
          <w:rFonts w:ascii="Arial Narrow" w:hAnsi="Arial Narrow"/>
          <w:b/>
          <w:i w:val="0"/>
          <w:color w:val="auto"/>
          <w:sz w:val="20"/>
          <w:szCs w:val="20"/>
        </w:rPr>
        <w:t xml:space="preserve">Table </w:t>
      </w:r>
      <w:r w:rsidRPr="005F5BEA">
        <w:rPr>
          <w:rFonts w:ascii="Arial Narrow" w:hAnsi="Arial Narrow"/>
          <w:b/>
          <w:i w:val="0"/>
          <w:color w:val="auto"/>
          <w:sz w:val="20"/>
          <w:szCs w:val="20"/>
        </w:rPr>
        <w:fldChar w:fldCharType="begin"/>
      </w:r>
      <w:r w:rsidRPr="005F5BEA">
        <w:rPr>
          <w:rFonts w:ascii="Arial Narrow" w:hAnsi="Arial Narrow"/>
          <w:b/>
          <w:i w:val="0"/>
          <w:color w:val="auto"/>
          <w:sz w:val="20"/>
          <w:szCs w:val="20"/>
        </w:rPr>
        <w:instrText xml:space="preserve"> SEQ Table \* ARABIC </w:instrText>
      </w:r>
      <w:r w:rsidRPr="005F5BEA">
        <w:rPr>
          <w:rFonts w:ascii="Arial Narrow" w:hAnsi="Arial Narrow"/>
          <w:b/>
          <w:i w:val="0"/>
          <w:color w:val="auto"/>
          <w:sz w:val="20"/>
          <w:szCs w:val="20"/>
        </w:rPr>
        <w:fldChar w:fldCharType="separate"/>
      </w:r>
      <w:r w:rsidR="00334548">
        <w:rPr>
          <w:rFonts w:ascii="Arial Narrow" w:hAnsi="Arial Narrow"/>
          <w:b/>
          <w:i w:val="0"/>
          <w:noProof/>
          <w:color w:val="auto"/>
          <w:sz w:val="20"/>
          <w:szCs w:val="20"/>
        </w:rPr>
        <w:t>11</w:t>
      </w:r>
      <w:r w:rsidRPr="005F5BEA">
        <w:rPr>
          <w:rFonts w:ascii="Arial Narrow" w:hAnsi="Arial Narrow"/>
          <w:b/>
          <w:i w:val="0"/>
          <w:color w:val="auto"/>
          <w:sz w:val="20"/>
          <w:szCs w:val="20"/>
        </w:rPr>
        <w:fldChar w:fldCharType="end"/>
      </w:r>
      <w:r w:rsidRPr="005F5BEA">
        <w:rPr>
          <w:rFonts w:ascii="Arial Narrow" w:hAnsi="Arial Narrow"/>
          <w:b/>
          <w:i w:val="0"/>
          <w:color w:val="auto"/>
          <w:sz w:val="20"/>
          <w:szCs w:val="20"/>
        </w:rPr>
        <w:tab/>
        <w:t xml:space="preserve"> Labour costs, scheduled in-person </w:t>
      </w:r>
      <w:proofErr w:type="gramStart"/>
      <w:r w:rsidRPr="005F5BEA">
        <w:rPr>
          <w:rFonts w:ascii="Arial Narrow" w:hAnsi="Arial Narrow"/>
          <w:b/>
          <w:i w:val="0"/>
          <w:color w:val="auto"/>
          <w:sz w:val="20"/>
          <w:szCs w:val="20"/>
        </w:rPr>
        <w:t>services</w:t>
      </w:r>
      <w:bookmarkEnd w:id="27"/>
      <w:proofErr w:type="gramEnd"/>
    </w:p>
    <w:tbl>
      <w:tblPr>
        <w:tblStyle w:val="TableGrid"/>
        <w:tblW w:w="9016" w:type="dxa"/>
        <w:tblLayout w:type="fixed"/>
        <w:tblLook w:val="04A0" w:firstRow="1" w:lastRow="0" w:firstColumn="1" w:lastColumn="0" w:noHBand="0" w:noVBand="1"/>
      </w:tblPr>
      <w:tblGrid>
        <w:gridCol w:w="345"/>
        <w:gridCol w:w="3761"/>
        <w:gridCol w:w="1227"/>
        <w:gridCol w:w="1228"/>
        <w:gridCol w:w="1227"/>
        <w:gridCol w:w="1228"/>
      </w:tblGrid>
      <w:tr w:rsidR="0040580E" w:rsidRPr="005F5BEA" w14:paraId="728D67D0" w14:textId="77777777" w:rsidTr="005926D9">
        <w:trPr>
          <w:trHeight w:val="300"/>
          <w:tblHeader/>
        </w:trPr>
        <w:tc>
          <w:tcPr>
            <w:tcW w:w="345" w:type="dxa"/>
          </w:tcPr>
          <w:p w14:paraId="621FF5C8" w14:textId="77777777" w:rsidR="0040580E" w:rsidRPr="005F5BEA" w:rsidRDefault="0040580E" w:rsidP="00A97436">
            <w:pPr>
              <w:pStyle w:val="TableText"/>
              <w:spacing w:before="0" w:after="0"/>
              <w:rPr>
                <w:lang w:eastAsia="en-AU"/>
              </w:rPr>
            </w:pPr>
          </w:p>
        </w:tc>
        <w:tc>
          <w:tcPr>
            <w:tcW w:w="3761" w:type="dxa"/>
            <w:noWrap/>
            <w:hideMark/>
          </w:tcPr>
          <w:p w14:paraId="7F24E686" w14:textId="77777777" w:rsidR="0040580E" w:rsidRPr="005F5BEA" w:rsidRDefault="0040580E" w:rsidP="00A97436">
            <w:pPr>
              <w:pStyle w:val="TableText"/>
              <w:spacing w:before="0" w:after="0"/>
              <w:rPr>
                <w:lang w:eastAsia="en-AU"/>
              </w:rPr>
            </w:pPr>
          </w:p>
        </w:tc>
        <w:tc>
          <w:tcPr>
            <w:tcW w:w="1227" w:type="dxa"/>
            <w:noWrap/>
            <w:hideMark/>
          </w:tcPr>
          <w:p w14:paraId="45AC9FF6" w14:textId="77777777" w:rsidR="0040580E" w:rsidRPr="005F5BEA" w:rsidRDefault="0040580E" w:rsidP="00A97436">
            <w:pPr>
              <w:pStyle w:val="TableText"/>
              <w:spacing w:before="0" w:after="0"/>
              <w:rPr>
                <w:b/>
                <w:lang w:eastAsia="en-AU"/>
              </w:rPr>
            </w:pPr>
            <w:r w:rsidRPr="005F5BEA">
              <w:rPr>
                <w:b/>
                <w:lang w:eastAsia="en-AU"/>
              </w:rPr>
              <w:t>2022</w:t>
            </w:r>
          </w:p>
        </w:tc>
        <w:tc>
          <w:tcPr>
            <w:tcW w:w="1228" w:type="dxa"/>
            <w:noWrap/>
            <w:hideMark/>
          </w:tcPr>
          <w:p w14:paraId="0A816ED2" w14:textId="77777777" w:rsidR="0040580E" w:rsidRPr="005F5BEA" w:rsidRDefault="0040580E" w:rsidP="00A97436">
            <w:pPr>
              <w:pStyle w:val="TableText"/>
              <w:spacing w:before="0" w:after="0"/>
              <w:rPr>
                <w:b/>
                <w:lang w:eastAsia="en-AU"/>
              </w:rPr>
            </w:pPr>
            <w:r w:rsidRPr="005F5BEA">
              <w:rPr>
                <w:b/>
                <w:lang w:eastAsia="en-AU"/>
              </w:rPr>
              <w:t>2023</w:t>
            </w:r>
          </w:p>
        </w:tc>
        <w:tc>
          <w:tcPr>
            <w:tcW w:w="1227" w:type="dxa"/>
            <w:noWrap/>
            <w:hideMark/>
          </w:tcPr>
          <w:p w14:paraId="22852896" w14:textId="77777777" w:rsidR="0040580E" w:rsidRPr="005F5BEA" w:rsidRDefault="0040580E" w:rsidP="00A97436">
            <w:pPr>
              <w:pStyle w:val="TableText"/>
              <w:spacing w:before="0" w:after="0"/>
              <w:rPr>
                <w:b/>
                <w:lang w:eastAsia="en-AU"/>
              </w:rPr>
            </w:pPr>
            <w:r w:rsidRPr="005F5BEA">
              <w:rPr>
                <w:b/>
                <w:lang w:eastAsia="en-AU"/>
              </w:rPr>
              <w:t>2024</w:t>
            </w:r>
          </w:p>
        </w:tc>
        <w:tc>
          <w:tcPr>
            <w:tcW w:w="1228" w:type="dxa"/>
            <w:noWrap/>
            <w:hideMark/>
          </w:tcPr>
          <w:p w14:paraId="6972C21B" w14:textId="77777777" w:rsidR="0040580E" w:rsidRPr="005F5BEA" w:rsidRDefault="0040580E" w:rsidP="00A97436">
            <w:pPr>
              <w:pStyle w:val="TableText"/>
              <w:spacing w:before="0" w:after="0"/>
              <w:rPr>
                <w:b/>
                <w:lang w:eastAsia="en-AU"/>
              </w:rPr>
            </w:pPr>
            <w:r w:rsidRPr="005F5BEA">
              <w:rPr>
                <w:b/>
                <w:lang w:eastAsia="en-AU"/>
              </w:rPr>
              <w:t>2025</w:t>
            </w:r>
          </w:p>
        </w:tc>
      </w:tr>
      <w:tr w:rsidR="0040580E" w:rsidRPr="005F5BEA" w14:paraId="0720238D" w14:textId="77777777" w:rsidTr="00D865D4">
        <w:trPr>
          <w:trHeight w:val="300"/>
        </w:trPr>
        <w:tc>
          <w:tcPr>
            <w:tcW w:w="345" w:type="dxa"/>
          </w:tcPr>
          <w:p w14:paraId="35D486E2" w14:textId="77777777" w:rsidR="0040580E" w:rsidRPr="005F5BEA" w:rsidRDefault="0040580E" w:rsidP="00A97436">
            <w:pPr>
              <w:pStyle w:val="TableText"/>
              <w:spacing w:before="0" w:after="0"/>
              <w:rPr>
                <w:lang w:eastAsia="en-AU"/>
              </w:rPr>
            </w:pPr>
            <w:r w:rsidRPr="005F5BEA">
              <w:rPr>
                <w:lang w:eastAsia="en-AU"/>
              </w:rPr>
              <w:t>A</w:t>
            </w:r>
          </w:p>
        </w:tc>
        <w:tc>
          <w:tcPr>
            <w:tcW w:w="3761" w:type="dxa"/>
            <w:noWrap/>
            <w:hideMark/>
          </w:tcPr>
          <w:p w14:paraId="35474A5E" w14:textId="77777777" w:rsidR="0040580E" w:rsidRPr="005F5BEA" w:rsidRDefault="0040580E" w:rsidP="00A97436">
            <w:pPr>
              <w:pStyle w:val="TableText"/>
              <w:spacing w:before="0" w:after="0"/>
            </w:pPr>
            <w:r w:rsidRPr="005F5BEA">
              <w:t>No. implantation support services</w:t>
            </w:r>
          </w:p>
        </w:tc>
        <w:tc>
          <w:tcPr>
            <w:tcW w:w="1227" w:type="dxa"/>
            <w:tcBorders>
              <w:bottom w:val="single" w:sz="4" w:space="0" w:color="auto"/>
            </w:tcBorders>
            <w:noWrap/>
            <w:hideMark/>
          </w:tcPr>
          <w:p w14:paraId="0AFCCFD1" w14:textId="77777777" w:rsidR="0040580E" w:rsidRPr="005F5BEA" w:rsidRDefault="0040580E" w:rsidP="00A97436">
            <w:pPr>
              <w:pStyle w:val="TableText"/>
              <w:spacing w:before="0" w:after="0"/>
            </w:pPr>
            <w:r w:rsidRPr="005F5BEA">
              <w:t>32,895</w:t>
            </w:r>
          </w:p>
        </w:tc>
        <w:tc>
          <w:tcPr>
            <w:tcW w:w="1228" w:type="dxa"/>
            <w:tcBorders>
              <w:bottom w:val="single" w:sz="4" w:space="0" w:color="auto"/>
            </w:tcBorders>
            <w:noWrap/>
            <w:hideMark/>
          </w:tcPr>
          <w:p w14:paraId="1FBD4C56" w14:textId="77777777" w:rsidR="0040580E" w:rsidRPr="005F5BEA" w:rsidRDefault="0040580E" w:rsidP="00A97436">
            <w:pPr>
              <w:pStyle w:val="TableText"/>
              <w:spacing w:before="0" w:after="0"/>
            </w:pPr>
            <w:r w:rsidRPr="005F5BEA">
              <w:t>35,198</w:t>
            </w:r>
          </w:p>
        </w:tc>
        <w:tc>
          <w:tcPr>
            <w:tcW w:w="1227" w:type="dxa"/>
            <w:tcBorders>
              <w:bottom w:val="single" w:sz="4" w:space="0" w:color="auto"/>
            </w:tcBorders>
            <w:noWrap/>
            <w:hideMark/>
          </w:tcPr>
          <w:p w14:paraId="3C2636B1" w14:textId="77777777" w:rsidR="0040580E" w:rsidRPr="005F5BEA" w:rsidRDefault="0040580E" w:rsidP="00A97436">
            <w:pPr>
              <w:pStyle w:val="TableText"/>
              <w:spacing w:before="0" w:after="0"/>
            </w:pPr>
            <w:r w:rsidRPr="005F5BEA">
              <w:t>37,662</w:t>
            </w:r>
          </w:p>
        </w:tc>
        <w:tc>
          <w:tcPr>
            <w:tcW w:w="1228" w:type="dxa"/>
            <w:tcBorders>
              <w:bottom w:val="single" w:sz="4" w:space="0" w:color="auto"/>
            </w:tcBorders>
            <w:noWrap/>
            <w:hideMark/>
          </w:tcPr>
          <w:p w14:paraId="210CE7AA" w14:textId="77777777" w:rsidR="0040580E" w:rsidRPr="005F5BEA" w:rsidRDefault="0040580E" w:rsidP="00A97436">
            <w:pPr>
              <w:pStyle w:val="TableText"/>
              <w:spacing w:before="0" w:after="0"/>
            </w:pPr>
            <w:r w:rsidRPr="005F5BEA">
              <w:t>40,298</w:t>
            </w:r>
          </w:p>
        </w:tc>
      </w:tr>
      <w:tr w:rsidR="0040580E" w:rsidRPr="005F5BEA" w14:paraId="5A97FDFE" w14:textId="77777777" w:rsidTr="00D865D4">
        <w:trPr>
          <w:trHeight w:val="300"/>
        </w:trPr>
        <w:tc>
          <w:tcPr>
            <w:tcW w:w="345" w:type="dxa"/>
          </w:tcPr>
          <w:p w14:paraId="770093F0" w14:textId="77777777" w:rsidR="0040580E" w:rsidRPr="005F5BEA" w:rsidRDefault="0040580E" w:rsidP="00A97436">
            <w:pPr>
              <w:pStyle w:val="TableText"/>
              <w:spacing w:before="0" w:after="0"/>
              <w:rPr>
                <w:lang w:eastAsia="en-AU"/>
              </w:rPr>
            </w:pPr>
            <w:r w:rsidRPr="005F5BEA">
              <w:rPr>
                <w:lang w:eastAsia="en-AU"/>
              </w:rPr>
              <w:t>B</w:t>
            </w:r>
          </w:p>
        </w:tc>
        <w:tc>
          <w:tcPr>
            <w:tcW w:w="3761" w:type="dxa"/>
            <w:noWrap/>
            <w:hideMark/>
          </w:tcPr>
          <w:p w14:paraId="6C385579" w14:textId="27F71B90" w:rsidR="0040580E" w:rsidRPr="005F5BEA" w:rsidRDefault="0040580E" w:rsidP="00A97436">
            <w:pPr>
              <w:pStyle w:val="TableText"/>
              <w:spacing w:before="0" w:after="0"/>
            </w:pPr>
            <w:r w:rsidRPr="005F5BEA">
              <w:t xml:space="preserve">Hours related to implantation support services </w:t>
            </w:r>
            <w:r w:rsidRPr="005F5BEA">
              <w:br/>
              <w:t xml:space="preserve">(A × </w:t>
            </w:r>
            <w:r w:rsidR="00D865D4" w:rsidRPr="00185424">
              <w:rPr>
                <w:color w:val="000000"/>
                <w:spacing w:val="109"/>
                <w:shd w:val="solid" w:color="000000" w:fill="000000"/>
                <w:fitText w:val="195" w:id="-1157883387"/>
                <w14:textFill>
                  <w14:solidFill>
                    <w14:srgbClr w14:val="000000">
                      <w14:alpha w14:val="100000"/>
                    </w14:srgbClr>
                  </w14:solidFill>
                </w14:textFill>
              </w:rPr>
              <w:t>|</w:t>
            </w:r>
            <w:r w:rsidR="00D865D4" w:rsidRPr="00185424">
              <w:rPr>
                <w:color w:val="000000"/>
                <w:spacing w:val="1"/>
                <w:shd w:val="solid" w:color="000000" w:fill="000000"/>
                <w:fitText w:val="195" w:id="-1157883387"/>
                <w14:textFill>
                  <w14:solidFill>
                    <w14:srgbClr w14:val="000000">
                      <w14:alpha w14:val="100000"/>
                    </w14:srgbClr>
                  </w14:solidFill>
                </w14:textFill>
              </w:rPr>
              <w:t>|</w:t>
            </w:r>
            <w:r w:rsidR="008A6620" w:rsidRPr="008A6620">
              <w:t xml:space="preserve"> hours </w:t>
            </w:r>
            <w:r w:rsidRPr="005F5BEA">
              <w:t xml:space="preserve">per </w:t>
            </w:r>
            <w:proofErr w:type="gramStart"/>
            <w:r w:rsidRPr="005F5BEA">
              <w:t>service)</w:t>
            </w:r>
            <w:r w:rsidRPr="005F5BEA">
              <w:rPr>
                <w:vertAlign w:val="superscript"/>
              </w:rPr>
              <w:t>a</w:t>
            </w:r>
            <w:proofErr w:type="gramEnd"/>
          </w:p>
        </w:tc>
        <w:tc>
          <w:tcPr>
            <w:tcW w:w="1227" w:type="dxa"/>
            <w:tcBorders>
              <w:bottom w:val="single" w:sz="4" w:space="0" w:color="auto"/>
            </w:tcBorders>
            <w:shd w:val="solid" w:color="000000" w:fill="000000"/>
            <w:noWrap/>
            <w:hideMark/>
          </w:tcPr>
          <w:p w14:paraId="4833E364" w14:textId="4DE92C5E" w:rsidR="0040580E" w:rsidRPr="00D865D4" w:rsidRDefault="00D865D4" w:rsidP="00A97436">
            <w:pPr>
              <w:pStyle w:val="TableText"/>
              <w:spacing w:before="0" w:after="0"/>
            </w:pPr>
            <w:r w:rsidRPr="00185424">
              <w:rPr>
                <w:color w:val="000000"/>
                <w:spacing w:val="94"/>
                <w:fitText w:val="180" w:id="-1157883386"/>
                <w14:textFill>
                  <w14:solidFill>
                    <w14:srgbClr w14:val="000000">
                      <w14:alpha w14:val="100000"/>
                    </w14:srgbClr>
                  </w14:solidFill>
                </w14:textFill>
              </w:rPr>
              <w:t>|</w:t>
            </w:r>
            <w:r w:rsidRPr="00185424">
              <w:rPr>
                <w:color w:val="000000"/>
                <w:spacing w:val="1"/>
                <w:fitText w:val="180" w:id="-1157883386"/>
                <w14:textFill>
                  <w14:solidFill>
                    <w14:srgbClr w14:val="000000">
                      <w14:alpha w14:val="100000"/>
                    </w14:srgbClr>
                  </w14:solidFill>
                </w14:textFill>
              </w:rPr>
              <w:t>|</w:t>
            </w:r>
          </w:p>
        </w:tc>
        <w:tc>
          <w:tcPr>
            <w:tcW w:w="1228" w:type="dxa"/>
            <w:tcBorders>
              <w:bottom w:val="single" w:sz="4" w:space="0" w:color="auto"/>
            </w:tcBorders>
            <w:shd w:val="solid" w:color="000000" w:fill="000000"/>
            <w:noWrap/>
            <w:hideMark/>
          </w:tcPr>
          <w:p w14:paraId="09A7447B" w14:textId="0557EFD0" w:rsidR="0040580E" w:rsidRPr="00D865D4" w:rsidRDefault="00D865D4" w:rsidP="00A97436">
            <w:pPr>
              <w:pStyle w:val="TableText"/>
              <w:spacing w:before="0" w:after="0"/>
            </w:pPr>
            <w:r w:rsidRPr="00185424">
              <w:rPr>
                <w:color w:val="000000"/>
                <w:spacing w:val="94"/>
                <w:fitText w:val="180" w:id="-1157883385"/>
                <w14:textFill>
                  <w14:solidFill>
                    <w14:srgbClr w14:val="000000">
                      <w14:alpha w14:val="100000"/>
                    </w14:srgbClr>
                  </w14:solidFill>
                </w14:textFill>
              </w:rPr>
              <w:t>|</w:t>
            </w:r>
            <w:r w:rsidRPr="00185424">
              <w:rPr>
                <w:color w:val="000000"/>
                <w:spacing w:val="1"/>
                <w:fitText w:val="180" w:id="-1157883385"/>
                <w14:textFill>
                  <w14:solidFill>
                    <w14:srgbClr w14:val="000000">
                      <w14:alpha w14:val="100000"/>
                    </w14:srgbClr>
                  </w14:solidFill>
                </w14:textFill>
              </w:rPr>
              <w:t>|</w:t>
            </w:r>
          </w:p>
        </w:tc>
        <w:tc>
          <w:tcPr>
            <w:tcW w:w="1227" w:type="dxa"/>
            <w:tcBorders>
              <w:bottom w:val="single" w:sz="4" w:space="0" w:color="auto"/>
            </w:tcBorders>
            <w:shd w:val="solid" w:color="000000" w:fill="000000"/>
            <w:noWrap/>
            <w:hideMark/>
          </w:tcPr>
          <w:p w14:paraId="70FACB4B" w14:textId="1997B3FD" w:rsidR="0040580E" w:rsidRPr="00D865D4" w:rsidRDefault="00D865D4" w:rsidP="00A97436">
            <w:pPr>
              <w:pStyle w:val="TableText"/>
              <w:spacing w:before="0" w:after="0"/>
            </w:pPr>
            <w:r w:rsidRPr="00185424">
              <w:rPr>
                <w:color w:val="000000"/>
                <w:spacing w:val="94"/>
                <w:fitText w:val="180" w:id="-1157883384"/>
                <w14:textFill>
                  <w14:solidFill>
                    <w14:srgbClr w14:val="000000">
                      <w14:alpha w14:val="100000"/>
                    </w14:srgbClr>
                  </w14:solidFill>
                </w14:textFill>
              </w:rPr>
              <w:t>|</w:t>
            </w:r>
            <w:r w:rsidRPr="00185424">
              <w:rPr>
                <w:color w:val="000000"/>
                <w:spacing w:val="1"/>
                <w:fitText w:val="180" w:id="-1157883384"/>
                <w14:textFill>
                  <w14:solidFill>
                    <w14:srgbClr w14:val="000000">
                      <w14:alpha w14:val="100000"/>
                    </w14:srgbClr>
                  </w14:solidFill>
                </w14:textFill>
              </w:rPr>
              <w:t>|</w:t>
            </w:r>
          </w:p>
        </w:tc>
        <w:tc>
          <w:tcPr>
            <w:tcW w:w="1228" w:type="dxa"/>
            <w:tcBorders>
              <w:bottom w:val="single" w:sz="4" w:space="0" w:color="auto"/>
            </w:tcBorders>
            <w:shd w:val="solid" w:color="000000" w:fill="000000"/>
            <w:noWrap/>
            <w:hideMark/>
          </w:tcPr>
          <w:p w14:paraId="6055E751" w14:textId="6BE0B7F1" w:rsidR="0040580E" w:rsidRPr="00D865D4" w:rsidRDefault="00D865D4" w:rsidP="00A97436">
            <w:pPr>
              <w:pStyle w:val="TableText"/>
              <w:spacing w:before="0" w:after="0"/>
            </w:pPr>
            <w:r w:rsidRPr="00185424">
              <w:rPr>
                <w:color w:val="000000"/>
                <w:spacing w:val="94"/>
                <w:fitText w:val="180" w:id="-1157883383"/>
                <w14:textFill>
                  <w14:solidFill>
                    <w14:srgbClr w14:val="000000">
                      <w14:alpha w14:val="100000"/>
                    </w14:srgbClr>
                  </w14:solidFill>
                </w14:textFill>
              </w:rPr>
              <w:t>|</w:t>
            </w:r>
            <w:r w:rsidRPr="00185424">
              <w:rPr>
                <w:color w:val="000000"/>
                <w:spacing w:val="1"/>
                <w:fitText w:val="180" w:id="-1157883383"/>
                <w14:textFill>
                  <w14:solidFill>
                    <w14:srgbClr w14:val="000000">
                      <w14:alpha w14:val="100000"/>
                    </w14:srgbClr>
                  </w14:solidFill>
                </w14:textFill>
              </w:rPr>
              <w:t>|</w:t>
            </w:r>
          </w:p>
        </w:tc>
      </w:tr>
      <w:tr w:rsidR="0040580E" w:rsidRPr="005F5BEA" w14:paraId="36D51AC2" w14:textId="77777777" w:rsidTr="00D865D4">
        <w:trPr>
          <w:trHeight w:val="300"/>
        </w:trPr>
        <w:tc>
          <w:tcPr>
            <w:tcW w:w="345" w:type="dxa"/>
          </w:tcPr>
          <w:p w14:paraId="13F7E4E0" w14:textId="77777777" w:rsidR="0040580E" w:rsidRPr="005F5BEA" w:rsidRDefault="0040580E" w:rsidP="00A97436">
            <w:pPr>
              <w:pStyle w:val="TableText"/>
              <w:spacing w:before="0" w:after="0"/>
              <w:rPr>
                <w:lang w:eastAsia="en-AU"/>
              </w:rPr>
            </w:pPr>
            <w:r w:rsidRPr="005F5BEA">
              <w:rPr>
                <w:lang w:eastAsia="en-AU"/>
              </w:rPr>
              <w:t>C</w:t>
            </w:r>
          </w:p>
        </w:tc>
        <w:tc>
          <w:tcPr>
            <w:tcW w:w="3761" w:type="dxa"/>
            <w:noWrap/>
            <w:hideMark/>
          </w:tcPr>
          <w:p w14:paraId="2814128F" w14:textId="77777777" w:rsidR="0040580E" w:rsidRPr="005F5BEA" w:rsidRDefault="0040580E" w:rsidP="00A97436">
            <w:pPr>
              <w:pStyle w:val="TableText"/>
              <w:spacing w:before="0" w:after="0"/>
            </w:pPr>
            <w:r w:rsidRPr="005F5BEA">
              <w:t>No. day 1 post-implantation checks</w:t>
            </w:r>
          </w:p>
        </w:tc>
        <w:tc>
          <w:tcPr>
            <w:tcW w:w="1227" w:type="dxa"/>
            <w:tcBorders>
              <w:bottom w:val="single" w:sz="4" w:space="0" w:color="auto"/>
            </w:tcBorders>
            <w:shd w:val="solid" w:color="000000" w:fill="000000"/>
            <w:noWrap/>
            <w:hideMark/>
          </w:tcPr>
          <w:p w14:paraId="2518BFBC" w14:textId="26FD79E2" w:rsidR="0040580E" w:rsidRPr="00D865D4" w:rsidRDefault="00D865D4" w:rsidP="00A97436">
            <w:pPr>
              <w:pStyle w:val="TableText"/>
              <w:spacing w:before="0" w:after="0"/>
            </w:pPr>
            <w:r w:rsidRPr="00185424">
              <w:rPr>
                <w:color w:val="000000"/>
                <w:spacing w:val="94"/>
                <w:fitText w:val="180" w:id="-1157883382"/>
                <w14:textFill>
                  <w14:solidFill>
                    <w14:srgbClr w14:val="000000">
                      <w14:alpha w14:val="100000"/>
                    </w14:srgbClr>
                  </w14:solidFill>
                </w14:textFill>
              </w:rPr>
              <w:t>|</w:t>
            </w:r>
            <w:r w:rsidRPr="00185424">
              <w:rPr>
                <w:color w:val="000000"/>
                <w:spacing w:val="1"/>
                <w:fitText w:val="180" w:id="-1157883382"/>
                <w14:textFill>
                  <w14:solidFill>
                    <w14:srgbClr w14:val="000000">
                      <w14:alpha w14:val="100000"/>
                    </w14:srgbClr>
                  </w14:solidFill>
                </w14:textFill>
              </w:rPr>
              <w:t>|</w:t>
            </w:r>
          </w:p>
        </w:tc>
        <w:tc>
          <w:tcPr>
            <w:tcW w:w="1228" w:type="dxa"/>
            <w:tcBorders>
              <w:bottom w:val="single" w:sz="4" w:space="0" w:color="auto"/>
            </w:tcBorders>
            <w:shd w:val="solid" w:color="000000" w:fill="000000"/>
            <w:noWrap/>
            <w:hideMark/>
          </w:tcPr>
          <w:p w14:paraId="41804339" w14:textId="6539AB24" w:rsidR="0040580E" w:rsidRPr="00D865D4" w:rsidRDefault="00D865D4" w:rsidP="00A97436">
            <w:pPr>
              <w:pStyle w:val="TableText"/>
              <w:spacing w:before="0" w:after="0"/>
            </w:pPr>
            <w:r w:rsidRPr="00185424">
              <w:rPr>
                <w:color w:val="000000"/>
                <w:spacing w:val="94"/>
                <w:fitText w:val="180" w:id="-1157883381"/>
                <w14:textFill>
                  <w14:solidFill>
                    <w14:srgbClr w14:val="000000">
                      <w14:alpha w14:val="100000"/>
                    </w14:srgbClr>
                  </w14:solidFill>
                </w14:textFill>
              </w:rPr>
              <w:t>|</w:t>
            </w:r>
            <w:r w:rsidRPr="00185424">
              <w:rPr>
                <w:color w:val="000000"/>
                <w:spacing w:val="1"/>
                <w:fitText w:val="180" w:id="-1157883381"/>
                <w14:textFill>
                  <w14:solidFill>
                    <w14:srgbClr w14:val="000000">
                      <w14:alpha w14:val="100000"/>
                    </w14:srgbClr>
                  </w14:solidFill>
                </w14:textFill>
              </w:rPr>
              <w:t>|</w:t>
            </w:r>
          </w:p>
        </w:tc>
        <w:tc>
          <w:tcPr>
            <w:tcW w:w="1227" w:type="dxa"/>
            <w:tcBorders>
              <w:bottom w:val="single" w:sz="4" w:space="0" w:color="auto"/>
            </w:tcBorders>
            <w:shd w:val="solid" w:color="000000" w:fill="000000"/>
            <w:noWrap/>
            <w:hideMark/>
          </w:tcPr>
          <w:p w14:paraId="709FB6D3" w14:textId="70676E53" w:rsidR="0040580E" w:rsidRPr="00D865D4" w:rsidRDefault="00D865D4" w:rsidP="00A97436">
            <w:pPr>
              <w:pStyle w:val="TableText"/>
              <w:spacing w:before="0" w:after="0"/>
            </w:pPr>
            <w:r w:rsidRPr="00185424">
              <w:rPr>
                <w:color w:val="000000"/>
                <w:spacing w:val="94"/>
                <w:fitText w:val="180" w:id="-1157883380"/>
                <w14:textFill>
                  <w14:solidFill>
                    <w14:srgbClr w14:val="000000">
                      <w14:alpha w14:val="100000"/>
                    </w14:srgbClr>
                  </w14:solidFill>
                </w14:textFill>
              </w:rPr>
              <w:t>|</w:t>
            </w:r>
            <w:r w:rsidRPr="00185424">
              <w:rPr>
                <w:color w:val="000000"/>
                <w:spacing w:val="1"/>
                <w:fitText w:val="180" w:id="-1157883380"/>
                <w14:textFill>
                  <w14:solidFill>
                    <w14:srgbClr w14:val="000000">
                      <w14:alpha w14:val="100000"/>
                    </w14:srgbClr>
                  </w14:solidFill>
                </w14:textFill>
              </w:rPr>
              <w:t>|</w:t>
            </w:r>
          </w:p>
        </w:tc>
        <w:tc>
          <w:tcPr>
            <w:tcW w:w="1228" w:type="dxa"/>
            <w:tcBorders>
              <w:bottom w:val="single" w:sz="4" w:space="0" w:color="auto"/>
            </w:tcBorders>
            <w:shd w:val="solid" w:color="000000" w:fill="000000"/>
            <w:noWrap/>
            <w:hideMark/>
          </w:tcPr>
          <w:p w14:paraId="3A35A3AE" w14:textId="4B0055B8" w:rsidR="0040580E" w:rsidRPr="00D865D4" w:rsidRDefault="00D865D4" w:rsidP="00A97436">
            <w:pPr>
              <w:pStyle w:val="TableText"/>
              <w:spacing w:before="0" w:after="0"/>
            </w:pPr>
            <w:r w:rsidRPr="00185424">
              <w:rPr>
                <w:color w:val="000000"/>
                <w:spacing w:val="94"/>
                <w:fitText w:val="180" w:id="-1157883379"/>
                <w14:textFill>
                  <w14:solidFill>
                    <w14:srgbClr w14:val="000000">
                      <w14:alpha w14:val="100000"/>
                    </w14:srgbClr>
                  </w14:solidFill>
                </w14:textFill>
              </w:rPr>
              <w:t>|</w:t>
            </w:r>
            <w:r w:rsidRPr="00185424">
              <w:rPr>
                <w:color w:val="000000"/>
                <w:spacing w:val="1"/>
                <w:fitText w:val="180" w:id="-1157883379"/>
                <w14:textFill>
                  <w14:solidFill>
                    <w14:srgbClr w14:val="000000">
                      <w14:alpha w14:val="100000"/>
                    </w14:srgbClr>
                  </w14:solidFill>
                </w14:textFill>
              </w:rPr>
              <w:t>|</w:t>
            </w:r>
          </w:p>
        </w:tc>
      </w:tr>
      <w:tr w:rsidR="0040580E" w:rsidRPr="005F5BEA" w14:paraId="5F746301" w14:textId="77777777" w:rsidTr="00D865D4">
        <w:trPr>
          <w:trHeight w:val="300"/>
        </w:trPr>
        <w:tc>
          <w:tcPr>
            <w:tcW w:w="345" w:type="dxa"/>
          </w:tcPr>
          <w:p w14:paraId="2870686F" w14:textId="77777777" w:rsidR="0040580E" w:rsidRPr="005F5BEA" w:rsidRDefault="0040580E" w:rsidP="00A97436">
            <w:pPr>
              <w:pStyle w:val="TableText"/>
              <w:spacing w:before="0" w:after="0"/>
              <w:rPr>
                <w:lang w:eastAsia="en-AU"/>
              </w:rPr>
            </w:pPr>
            <w:r w:rsidRPr="005F5BEA">
              <w:rPr>
                <w:lang w:eastAsia="en-AU"/>
              </w:rPr>
              <w:t>D</w:t>
            </w:r>
          </w:p>
        </w:tc>
        <w:tc>
          <w:tcPr>
            <w:tcW w:w="3761" w:type="dxa"/>
            <w:noWrap/>
            <w:hideMark/>
          </w:tcPr>
          <w:p w14:paraId="7B6329A3" w14:textId="66E55F83" w:rsidR="0040580E" w:rsidRPr="005F5BEA" w:rsidRDefault="0040580E" w:rsidP="00A97436">
            <w:pPr>
              <w:pStyle w:val="TableText"/>
              <w:spacing w:before="0" w:after="0"/>
            </w:pPr>
            <w:r w:rsidRPr="005F5BEA">
              <w:t xml:space="preserve">Hours related to day 1 post-implantation checks </w:t>
            </w:r>
            <w:r w:rsidRPr="005F5BEA">
              <w:br/>
              <w:t xml:space="preserve">(C × </w:t>
            </w:r>
            <w:r w:rsidR="00D865D4" w:rsidRPr="00185424">
              <w:rPr>
                <w:color w:val="000000"/>
                <w:spacing w:val="94"/>
                <w:shd w:val="solid" w:color="000000" w:fill="000000"/>
                <w:fitText w:val="180" w:id="-1157883378"/>
                <w14:textFill>
                  <w14:solidFill>
                    <w14:srgbClr w14:val="000000">
                      <w14:alpha w14:val="100000"/>
                    </w14:srgbClr>
                  </w14:solidFill>
                </w14:textFill>
              </w:rPr>
              <w:t>|</w:t>
            </w:r>
            <w:r w:rsidR="00D865D4" w:rsidRPr="00185424">
              <w:rPr>
                <w:color w:val="000000"/>
                <w:spacing w:val="1"/>
                <w:shd w:val="solid" w:color="000000" w:fill="000000"/>
                <w:fitText w:val="180" w:id="-1157883378"/>
                <w14:textFill>
                  <w14:solidFill>
                    <w14:srgbClr w14:val="000000">
                      <w14:alpha w14:val="100000"/>
                    </w14:srgbClr>
                  </w14:solidFill>
                </w14:textFill>
              </w:rPr>
              <w:t>|</w:t>
            </w:r>
            <w:r w:rsidR="008A6620" w:rsidRPr="008A6620">
              <w:t xml:space="preserve"> hours </w:t>
            </w:r>
            <w:r w:rsidRPr="005F5BEA">
              <w:t>per service)</w:t>
            </w:r>
            <w:r w:rsidRPr="005F5BEA">
              <w:rPr>
                <w:vertAlign w:val="superscript"/>
              </w:rPr>
              <w:t xml:space="preserve"> b</w:t>
            </w:r>
          </w:p>
        </w:tc>
        <w:tc>
          <w:tcPr>
            <w:tcW w:w="1227" w:type="dxa"/>
            <w:tcBorders>
              <w:bottom w:val="single" w:sz="4" w:space="0" w:color="auto"/>
            </w:tcBorders>
            <w:shd w:val="solid" w:color="000000" w:fill="000000"/>
            <w:noWrap/>
            <w:hideMark/>
          </w:tcPr>
          <w:p w14:paraId="26413EB7" w14:textId="088E2578" w:rsidR="0040580E" w:rsidRPr="00D865D4" w:rsidRDefault="00D865D4" w:rsidP="00A97436">
            <w:pPr>
              <w:pStyle w:val="TableText"/>
              <w:spacing w:before="0" w:after="0"/>
            </w:pPr>
            <w:r w:rsidRPr="00185424">
              <w:rPr>
                <w:color w:val="000000"/>
                <w:spacing w:val="94"/>
                <w:fitText w:val="180" w:id="-1157883377"/>
                <w14:textFill>
                  <w14:solidFill>
                    <w14:srgbClr w14:val="000000">
                      <w14:alpha w14:val="100000"/>
                    </w14:srgbClr>
                  </w14:solidFill>
                </w14:textFill>
              </w:rPr>
              <w:t>|</w:t>
            </w:r>
            <w:r w:rsidRPr="00185424">
              <w:rPr>
                <w:color w:val="000000"/>
                <w:spacing w:val="1"/>
                <w:fitText w:val="180" w:id="-1157883377"/>
                <w14:textFill>
                  <w14:solidFill>
                    <w14:srgbClr w14:val="000000">
                      <w14:alpha w14:val="100000"/>
                    </w14:srgbClr>
                  </w14:solidFill>
                </w14:textFill>
              </w:rPr>
              <w:t>|</w:t>
            </w:r>
          </w:p>
        </w:tc>
        <w:tc>
          <w:tcPr>
            <w:tcW w:w="1228" w:type="dxa"/>
            <w:tcBorders>
              <w:bottom w:val="single" w:sz="4" w:space="0" w:color="auto"/>
            </w:tcBorders>
            <w:shd w:val="solid" w:color="000000" w:fill="000000"/>
            <w:noWrap/>
            <w:hideMark/>
          </w:tcPr>
          <w:p w14:paraId="300FA68F" w14:textId="50403041" w:rsidR="0040580E" w:rsidRPr="00D865D4" w:rsidRDefault="00D865D4" w:rsidP="00A97436">
            <w:pPr>
              <w:pStyle w:val="TableText"/>
              <w:spacing w:before="0" w:after="0"/>
            </w:pPr>
            <w:r w:rsidRPr="00185424">
              <w:rPr>
                <w:color w:val="000000"/>
                <w:spacing w:val="94"/>
                <w:fitText w:val="180" w:id="-1157883376"/>
                <w14:textFill>
                  <w14:solidFill>
                    <w14:srgbClr w14:val="000000">
                      <w14:alpha w14:val="100000"/>
                    </w14:srgbClr>
                  </w14:solidFill>
                </w14:textFill>
              </w:rPr>
              <w:t>|</w:t>
            </w:r>
            <w:r w:rsidRPr="00185424">
              <w:rPr>
                <w:color w:val="000000"/>
                <w:spacing w:val="1"/>
                <w:fitText w:val="180" w:id="-1157883376"/>
                <w14:textFill>
                  <w14:solidFill>
                    <w14:srgbClr w14:val="000000">
                      <w14:alpha w14:val="100000"/>
                    </w14:srgbClr>
                  </w14:solidFill>
                </w14:textFill>
              </w:rPr>
              <w:t>|</w:t>
            </w:r>
          </w:p>
        </w:tc>
        <w:tc>
          <w:tcPr>
            <w:tcW w:w="1227" w:type="dxa"/>
            <w:tcBorders>
              <w:bottom w:val="single" w:sz="4" w:space="0" w:color="auto"/>
            </w:tcBorders>
            <w:shd w:val="solid" w:color="000000" w:fill="000000"/>
            <w:noWrap/>
            <w:hideMark/>
          </w:tcPr>
          <w:p w14:paraId="637578A4" w14:textId="49880847" w:rsidR="0040580E" w:rsidRPr="00D865D4" w:rsidRDefault="00D865D4" w:rsidP="00A97436">
            <w:pPr>
              <w:pStyle w:val="TableText"/>
              <w:spacing w:before="0" w:after="0"/>
            </w:pPr>
            <w:r w:rsidRPr="00185424">
              <w:rPr>
                <w:color w:val="000000"/>
                <w:spacing w:val="94"/>
                <w:fitText w:val="180" w:id="-1157883392"/>
                <w14:textFill>
                  <w14:solidFill>
                    <w14:srgbClr w14:val="000000">
                      <w14:alpha w14:val="100000"/>
                    </w14:srgbClr>
                  </w14:solidFill>
                </w14:textFill>
              </w:rPr>
              <w:t>|</w:t>
            </w:r>
            <w:r w:rsidRPr="00185424">
              <w:rPr>
                <w:color w:val="000000"/>
                <w:spacing w:val="1"/>
                <w:fitText w:val="180" w:id="-1157883392"/>
                <w14:textFill>
                  <w14:solidFill>
                    <w14:srgbClr w14:val="000000">
                      <w14:alpha w14:val="100000"/>
                    </w14:srgbClr>
                  </w14:solidFill>
                </w14:textFill>
              </w:rPr>
              <w:t>|</w:t>
            </w:r>
          </w:p>
        </w:tc>
        <w:tc>
          <w:tcPr>
            <w:tcW w:w="1228" w:type="dxa"/>
            <w:tcBorders>
              <w:bottom w:val="single" w:sz="4" w:space="0" w:color="auto"/>
            </w:tcBorders>
            <w:shd w:val="solid" w:color="000000" w:fill="000000"/>
            <w:noWrap/>
            <w:hideMark/>
          </w:tcPr>
          <w:p w14:paraId="2CA20A5D" w14:textId="02B25D65" w:rsidR="0040580E" w:rsidRPr="00D865D4" w:rsidRDefault="00D865D4" w:rsidP="00A97436">
            <w:pPr>
              <w:pStyle w:val="TableText"/>
              <w:spacing w:before="0" w:after="0"/>
            </w:pPr>
            <w:r w:rsidRPr="00185424">
              <w:rPr>
                <w:color w:val="000000"/>
                <w:spacing w:val="94"/>
                <w:fitText w:val="180" w:id="-1157883391"/>
                <w14:textFill>
                  <w14:solidFill>
                    <w14:srgbClr w14:val="000000">
                      <w14:alpha w14:val="100000"/>
                    </w14:srgbClr>
                  </w14:solidFill>
                </w14:textFill>
              </w:rPr>
              <w:t>|</w:t>
            </w:r>
            <w:r w:rsidRPr="00185424">
              <w:rPr>
                <w:color w:val="000000"/>
                <w:spacing w:val="1"/>
                <w:fitText w:val="180" w:id="-1157883391"/>
                <w14:textFill>
                  <w14:solidFill>
                    <w14:srgbClr w14:val="000000">
                      <w14:alpha w14:val="100000"/>
                    </w14:srgbClr>
                  </w14:solidFill>
                </w14:textFill>
              </w:rPr>
              <w:t>|</w:t>
            </w:r>
          </w:p>
        </w:tc>
      </w:tr>
      <w:tr w:rsidR="0040580E" w:rsidRPr="005F5BEA" w14:paraId="53A8B386" w14:textId="77777777" w:rsidTr="00D865D4">
        <w:trPr>
          <w:trHeight w:val="300"/>
        </w:trPr>
        <w:tc>
          <w:tcPr>
            <w:tcW w:w="345" w:type="dxa"/>
          </w:tcPr>
          <w:p w14:paraId="0F0719AC" w14:textId="77777777" w:rsidR="0040580E" w:rsidRPr="005F5BEA" w:rsidRDefault="0040580E" w:rsidP="00A97436">
            <w:pPr>
              <w:pStyle w:val="TableText"/>
              <w:spacing w:before="0" w:after="0"/>
              <w:rPr>
                <w:lang w:eastAsia="en-AU"/>
              </w:rPr>
            </w:pPr>
            <w:r w:rsidRPr="005F5BEA">
              <w:rPr>
                <w:lang w:eastAsia="en-AU"/>
              </w:rPr>
              <w:t>E</w:t>
            </w:r>
          </w:p>
        </w:tc>
        <w:tc>
          <w:tcPr>
            <w:tcW w:w="3761" w:type="dxa"/>
            <w:noWrap/>
            <w:hideMark/>
          </w:tcPr>
          <w:p w14:paraId="1E709C13" w14:textId="77777777" w:rsidR="0040580E" w:rsidRPr="005F5BEA" w:rsidRDefault="0040580E" w:rsidP="00A97436">
            <w:pPr>
              <w:pStyle w:val="TableText"/>
              <w:spacing w:before="0" w:after="0"/>
            </w:pPr>
            <w:r w:rsidRPr="005F5BEA">
              <w:t>No. routine follow-up services</w:t>
            </w:r>
          </w:p>
        </w:tc>
        <w:tc>
          <w:tcPr>
            <w:tcW w:w="1227" w:type="dxa"/>
            <w:tcBorders>
              <w:bottom w:val="single" w:sz="4" w:space="0" w:color="auto"/>
            </w:tcBorders>
            <w:shd w:val="solid" w:color="000000" w:fill="000000"/>
            <w:noWrap/>
            <w:hideMark/>
          </w:tcPr>
          <w:p w14:paraId="61204E68" w14:textId="0FB597C1" w:rsidR="0040580E" w:rsidRPr="00D865D4" w:rsidRDefault="00D865D4" w:rsidP="00A97436">
            <w:pPr>
              <w:pStyle w:val="TableText"/>
              <w:spacing w:before="0" w:after="0"/>
            </w:pPr>
            <w:r w:rsidRPr="00185424">
              <w:rPr>
                <w:color w:val="000000"/>
                <w:spacing w:val="94"/>
                <w:fitText w:val="180" w:id="-1157883390"/>
                <w14:textFill>
                  <w14:solidFill>
                    <w14:srgbClr w14:val="000000">
                      <w14:alpha w14:val="100000"/>
                    </w14:srgbClr>
                  </w14:solidFill>
                </w14:textFill>
              </w:rPr>
              <w:t>|</w:t>
            </w:r>
            <w:r w:rsidRPr="00185424">
              <w:rPr>
                <w:color w:val="000000"/>
                <w:spacing w:val="1"/>
                <w:fitText w:val="180" w:id="-1157883390"/>
                <w14:textFill>
                  <w14:solidFill>
                    <w14:srgbClr w14:val="000000">
                      <w14:alpha w14:val="100000"/>
                    </w14:srgbClr>
                  </w14:solidFill>
                </w14:textFill>
              </w:rPr>
              <w:t>|</w:t>
            </w:r>
          </w:p>
        </w:tc>
        <w:tc>
          <w:tcPr>
            <w:tcW w:w="1228" w:type="dxa"/>
            <w:tcBorders>
              <w:bottom w:val="single" w:sz="4" w:space="0" w:color="auto"/>
            </w:tcBorders>
            <w:shd w:val="solid" w:color="000000" w:fill="000000"/>
            <w:noWrap/>
            <w:hideMark/>
          </w:tcPr>
          <w:p w14:paraId="2F6CCCE4" w14:textId="448B7319" w:rsidR="0040580E" w:rsidRPr="00D865D4" w:rsidRDefault="00D865D4" w:rsidP="00A97436">
            <w:pPr>
              <w:pStyle w:val="TableText"/>
              <w:spacing w:before="0" w:after="0"/>
            </w:pPr>
            <w:r w:rsidRPr="00185424">
              <w:rPr>
                <w:color w:val="000000"/>
                <w:spacing w:val="94"/>
                <w:fitText w:val="180" w:id="-1157883389"/>
                <w14:textFill>
                  <w14:solidFill>
                    <w14:srgbClr w14:val="000000">
                      <w14:alpha w14:val="100000"/>
                    </w14:srgbClr>
                  </w14:solidFill>
                </w14:textFill>
              </w:rPr>
              <w:t>|</w:t>
            </w:r>
            <w:r w:rsidRPr="00185424">
              <w:rPr>
                <w:color w:val="000000"/>
                <w:spacing w:val="1"/>
                <w:fitText w:val="180" w:id="-1157883389"/>
                <w14:textFill>
                  <w14:solidFill>
                    <w14:srgbClr w14:val="000000">
                      <w14:alpha w14:val="100000"/>
                    </w14:srgbClr>
                  </w14:solidFill>
                </w14:textFill>
              </w:rPr>
              <w:t>|</w:t>
            </w:r>
          </w:p>
        </w:tc>
        <w:tc>
          <w:tcPr>
            <w:tcW w:w="1227" w:type="dxa"/>
            <w:tcBorders>
              <w:bottom w:val="single" w:sz="4" w:space="0" w:color="auto"/>
            </w:tcBorders>
            <w:shd w:val="solid" w:color="000000" w:fill="000000"/>
            <w:noWrap/>
            <w:hideMark/>
          </w:tcPr>
          <w:p w14:paraId="7BFD09E3" w14:textId="34CB6877" w:rsidR="0040580E" w:rsidRPr="00D865D4" w:rsidRDefault="00D865D4" w:rsidP="00A97436">
            <w:pPr>
              <w:pStyle w:val="TableText"/>
              <w:spacing w:before="0" w:after="0"/>
            </w:pPr>
            <w:r w:rsidRPr="00185424">
              <w:rPr>
                <w:color w:val="000000"/>
                <w:spacing w:val="94"/>
                <w:fitText w:val="180" w:id="-1157883388"/>
                <w14:textFill>
                  <w14:solidFill>
                    <w14:srgbClr w14:val="000000">
                      <w14:alpha w14:val="100000"/>
                    </w14:srgbClr>
                  </w14:solidFill>
                </w14:textFill>
              </w:rPr>
              <w:t>|</w:t>
            </w:r>
            <w:r w:rsidRPr="00185424">
              <w:rPr>
                <w:color w:val="000000"/>
                <w:spacing w:val="1"/>
                <w:fitText w:val="180" w:id="-1157883388"/>
                <w14:textFill>
                  <w14:solidFill>
                    <w14:srgbClr w14:val="000000">
                      <w14:alpha w14:val="100000"/>
                    </w14:srgbClr>
                  </w14:solidFill>
                </w14:textFill>
              </w:rPr>
              <w:t>|</w:t>
            </w:r>
          </w:p>
        </w:tc>
        <w:tc>
          <w:tcPr>
            <w:tcW w:w="1228" w:type="dxa"/>
            <w:tcBorders>
              <w:bottom w:val="single" w:sz="4" w:space="0" w:color="auto"/>
            </w:tcBorders>
            <w:shd w:val="solid" w:color="000000" w:fill="000000"/>
            <w:noWrap/>
            <w:hideMark/>
          </w:tcPr>
          <w:p w14:paraId="3571391C" w14:textId="7A7363A9" w:rsidR="0040580E" w:rsidRPr="00D865D4" w:rsidRDefault="00D865D4" w:rsidP="00A97436">
            <w:pPr>
              <w:pStyle w:val="TableText"/>
              <w:spacing w:before="0" w:after="0"/>
            </w:pPr>
            <w:r w:rsidRPr="00185424">
              <w:rPr>
                <w:color w:val="000000"/>
                <w:spacing w:val="94"/>
                <w:fitText w:val="180" w:id="-1157883387"/>
                <w14:textFill>
                  <w14:solidFill>
                    <w14:srgbClr w14:val="000000">
                      <w14:alpha w14:val="100000"/>
                    </w14:srgbClr>
                  </w14:solidFill>
                </w14:textFill>
              </w:rPr>
              <w:t>|</w:t>
            </w:r>
            <w:r w:rsidRPr="00185424">
              <w:rPr>
                <w:color w:val="000000"/>
                <w:spacing w:val="1"/>
                <w:fitText w:val="180" w:id="-1157883387"/>
                <w14:textFill>
                  <w14:solidFill>
                    <w14:srgbClr w14:val="000000">
                      <w14:alpha w14:val="100000"/>
                    </w14:srgbClr>
                  </w14:solidFill>
                </w14:textFill>
              </w:rPr>
              <w:t>|</w:t>
            </w:r>
          </w:p>
        </w:tc>
      </w:tr>
      <w:tr w:rsidR="0040580E" w:rsidRPr="005F5BEA" w14:paraId="7FD2597D" w14:textId="77777777" w:rsidTr="00D865D4">
        <w:trPr>
          <w:trHeight w:val="300"/>
        </w:trPr>
        <w:tc>
          <w:tcPr>
            <w:tcW w:w="345" w:type="dxa"/>
          </w:tcPr>
          <w:p w14:paraId="09FBF90B" w14:textId="77777777" w:rsidR="0040580E" w:rsidRPr="005F5BEA" w:rsidRDefault="0040580E" w:rsidP="00A97436">
            <w:pPr>
              <w:pStyle w:val="TableText"/>
              <w:spacing w:before="0" w:after="0"/>
              <w:rPr>
                <w:lang w:eastAsia="en-AU"/>
              </w:rPr>
            </w:pPr>
            <w:r w:rsidRPr="005F5BEA">
              <w:rPr>
                <w:lang w:eastAsia="en-AU"/>
              </w:rPr>
              <w:t>F</w:t>
            </w:r>
          </w:p>
        </w:tc>
        <w:tc>
          <w:tcPr>
            <w:tcW w:w="3761" w:type="dxa"/>
            <w:noWrap/>
            <w:hideMark/>
          </w:tcPr>
          <w:p w14:paraId="228DDAE9" w14:textId="37C340B5" w:rsidR="0040580E" w:rsidRPr="005F5BEA" w:rsidRDefault="0040580E" w:rsidP="00A97436">
            <w:pPr>
              <w:pStyle w:val="TableText"/>
              <w:spacing w:before="0" w:after="0"/>
            </w:pPr>
            <w:r w:rsidRPr="005F5BEA">
              <w:t xml:space="preserve">Hours related to routine follow-up services </w:t>
            </w:r>
            <w:r w:rsidRPr="005F5BEA">
              <w:br/>
              <w:t xml:space="preserve">(E × </w:t>
            </w:r>
            <w:r w:rsidR="00D865D4" w:rsidRPr="00185424">
              <w:rPr>
                <w:color w:val="000000"/>
                <w:spacing w:val="109"/>
                <w:shd w:val="solid" w:color="000000" w:fill="000000"/>
                <w:fitText w:val="195" w:id="-1157883386"/>
                <w14:textFill>
                  <w14:solidFill>
                    <w14:srgbClr w14:val="000000">
                      <w14:alpha w14:val="100000"/>
                    </w14:srgbClr>
                  </w14:solidFill>
                </w14:textFill>
              </w:rPr>
              <w:t>|</w:t>
            </w:r>
            <w:r w:rsidR="00D865D4" w:rsidRPr="00185424">
              <w:rPr>
                <w:color w:val="000000"/>
                <w:spacing w:val="1"/>
                <w:shd w:val="solid" w:color="000000" w:fill="000000"/>
                <w:fitText w:val="195" w:id="-1157883386"/>
                <w14:textFill>
                  <w14:solidFill>
                    <w14:srgbClr w14:val="000000">
                      <w14:alpha w14:val="100000"/>
                    </w14:srgbClr>
                  </w14:solidFill>
                </w14:textFill>
              </w:rPr>
              <w:t>|</w:t>
            </w:r>
            <w:r w:rsidR="008A6620" w:rsidRPr="008A6620">
              <w:t xml:space="preserve"> hours </w:t>
            </w:r>
            <w:r w:rsidRPr="005F5BEA">
              <w:t>per service)</w:t>
            </w:r>
            <w:r w:rsidRPr="005F5BEA">
              <w:rPr>
                <w:vertAlign w:val="superscript"/>
              </w:rPr>
              <w:t xml:space="preserve"> c</w:t>
            </w:r>
          </w:p>
        </w:tc>
        <w:tc>
          <w:tcPr>
            <w:tcW w:w="1227" w:type="dxa"/>
            <w:tcBorders>
              <w:bottom w:val="single" w:sz="4" w:space="0" w:color="auto"/>
            </w:tcBorders>
            <w:shd w:val="solid" w:color="000000" w:fill="000000"/>
            <w:noWrap/>
            <w:hideMark/>
          </w:tcPr>
          <w:p w14:paraId="3713F429" w14:textId="58963266" w:rsidR="0040580E" w:rsidRPr="00D865D4" w:rsidRDefault="00D865D4" w:rsidP="00A97436">
            <w:pPr>
              <w:pStyle w:val="TableText"/>
              <w:spacing w:before="0" w:after="0"/>
            </w:pPr>
            <w:r w:rsidRPr="00185424">
              <w:rPr>
                <w:color w:val="000000"/>
                <w:spacing w:val="94"/>
                <w:fitText w:val="180" w:id="-1157883385"/>
                <w14:textFill>
                  <w14:solidFill>
                    <w14:srgbClr w14:val="000000">
                      <w14:alpha w14:val="100000"/>
                    </w14:srgbClr>
                  </w14:solidFill>
                </w14:textFill>
              </w:rPr>
              <w:t>|</w:t>
            </w:r>
            <w:r w:rsidRPr="00185424">
              <w:rPr>
                <w:color w:val="000000"/>
                <w:spacing w:val="1"/>
                <w:fitText w:val="180" w:id="-1157883385"/>
                <w14:textFill>
                  <w14:solidFill>
                    <w14:srgbClr w14:val="000000">
                      <w14:alpha w14:val="100000"/>
                    </w14:srgbClr>
                  </w14:solidFill>
                </w14:textFill>
              </w:rPr>
              <w:t>|</w:t>
            </w:r>
          </w:p>
        </w:tc>
        <w:tc>
          <w:tcPr>
            <w:tcW w:w="1228" w:type="dxa"/>
            <w:tcBorders>
              <w:bottom w:val="single" w:sz="4" w:space="0" w:color="auto"/>
            </w:tcBorders>
            <w:shd w:val="solid" w:color="000000" w:fill="000000"/>
            <w:noWrap/>
            <w:hideMark/>
          </w:tcPr>
          <w:p w14:paraId="138AA8BB" w14:textId="15185A4F" w:rsidR="0040580E" w:rsidRPr="00D865D4" w:rsidRDefault="00D865D4" w:rsidP="00A97436">
            <w:pPr>
              <w:pStyle w:val="TableText"/>
              <w:spacing w:before="0" w:after="0"/>
            </w:pPr>
            <w:r w:rsidRPr="00185424">
              <w:rPr>
                <w:color w:val="000000"/>
                <w:spacing w:val="94"/>
                <w:fitText w:val="180" w:id="-1157883384"/>
                <w14:textFill>
                  <w14:solidFill>
                    <w14:srgbClr w14:val="000000">
                      <w14:alpha w14:val="100000"/>
                    </w14:srgbClr>
                  </w14:solidFill>
                </w14:textFill>
              </w:rPr>
              <w:t>|</w:t>
            </w:r>
            <w:r w:rsidRPr="00185424">
              <w:rPr>
                <w:color w:val="000000"/>
                <w:spacing w:val="1"/>
                <w:fitText w:val="180" w:id="-1157883384"/>
                <w14:textFill>
                  <w14:solidFill>
                    <w14:srgbClr w14:val="000000">
                      <w14:alpha w14:val="100000"/>
                    </w14:srgbClr>
                  </w14:solidFill>
                </w14:textFill>
              </w:rPr>
              <w:t>|</w:t>
            </w:r>
          </w:p>
        </w:tc>
        <w:tc>
          <w:tcPr>
            <w:tcW w:w="1227" w:type="dxa"/>
            <w:tcBorders>
              <w:bottom w:val="single" w:sz="4" w:space="0" w:color="auto"/>
            </w:tcBorders>
            <w:shd w:val="solid" w:color="000000" w:fill="000000"/>
            <w:noWrap/>
            <w:hideMark/>
          </w:tcPr>
          <w:p w14:paraId="4977CD9F" w14:textId="624D47B6" w:rsidR="0040580E" w:rsidRPr="00D865D4" w:rsidRDefault="00D865D4" w:rsidP="00A97436">
            <w:pPr>
              <w:pStyle w:val="TableText"/>
              <w:spacing w:before="0" w:after="0"/>
            </w:pPr>
            <w:r w:rsidRPr="00185424">
              <w:rPr>
                <w:color w:val="000000"/>
                <w:spacing w:val="94"/>
                <w:fitText w:val="180" w:id="-1157883383"/>
                <w14:textFill>
                  <w14:solidFill>
                    <w14:srgbClr w14:val="000000">
                      <w14:alpha w14:val="100000"/>
                    </w14:srgbClr>
                  </w14:solidFill>
                </w14:textFill>
              </w:rPr>
              <w:t>|</w:t>
            </w:r>
            <w:r w:rsidRPr="00185424">
              <w:rPr>
                <w:color w:val="000000"/>
                <w:spacing w:val="1"/>
                <w:fitText w:val="180" w:id="-1157883383"/>
                <w14:textFill>
                  <w14:solidFill>
                    <w14:srgbClr w14:val="000000">
                      <w14:alpha w14:val="100000"/>
                    </w14:srgbClr>
                  </w14:solidFill>
                </w14:textFill>
              </w:rPr>
              <w:t>|</w:t>
            </w:r>
          </w:p>
        </w:tc>
        <w:tc>
          <w:tcPr>
            <w:tcW w:w="1228" w:type="dxa"/>
            <w:tcBorders>
              <w:bottom w:val="single" w:sz="4" w:space="0" w:color="auto"/>
            </w:tcBorders>
            <w:shd w:val="solid" w:color="000000" w:fill="000000"/>
            <w:noWrap/>
            <w:hideMark/>
          </w:tcPr>
          <w:p w14:paraId="141835BD" w14:textId="49C5081A" w:rsidR="0040580E" w:rsidRPr="00D865D4" w:rsidRDefault="00D865D4" w:rsidP="00A97436">
            <w:pPr>
              <w:pStyle w:val="TableText"/>
              <w:spacing w:before="0" w:after="0"/>
            </w:pPr>
            <w:r w:rsidRPr="00185424">
              <w:rPr>
                <w:color w:val="000000"/>
                <w:spacing w:val="94"/>
                <w:fitText w:val="180" w:id="-1157883382"/>
                <w14:textFill>
                  <w14:solidFill>
                    <w14:srgbClr w14:val="000000">
                      <w14:alpha w14:val="100000"/>
                    </w14:srgbClr>
                  </w14:solidFill>
                </w14:textFill>
              </w:rPr>
              <w:t>|</w:t>
            </w:r>
            <w:r w:rsidRPr="00185424">
              <w:rPr>
                <w:color w:val="000000"/>
                <w:spacing w:val="1"/>
                <w:fitText w:val="180" w:id="-1157883382"/>
                <w14:textFill>
                  <w14:solidFill>
                    <w14:srgbClr w14:val="000000">
                      <w14:alpha w14:val="100000"/>
                    </w14:srgbClr>
                  </w14:solidFill>
                </w14:textFill>
              </w:rPr>
              <w:t>|</w:t>
            </w:r>
          </w:p>
        </w:tc>
      </w:tr>
      <w:tr w:rsidR="0040580E" w:rsidRPr="005F5BEA" w14:paraId="050A9159" w14:textId="77777777" w:rsidTr="00D865D4">
        <w:trPr>
          <w:trHeight w:val="300"/>
        </w:trPr>
        <w:tc>
          <w:tcPr>
            <w:tcW w:w="345" w:type="dxa"/>
          </w:tcPr>
          <w:p w14:paraId="43C01BB4" w14:textId="77777777" w:rsidR="0040580E" w:rsidRPr="005F5BEA" w:rsidRDefault="0040580E" w:rsidP="00A97436">
            <w:pPr>
              <w:pStyle w:val="TableText"/>
              <w:spacing w:before="0" w:after="0"/>
              <w:rPr>
                <w:lang w:eastAsia="en-AU"/>
              </w:rPr>
            </w:pPr>
            <w:r w:rsidRPr="005F5BEA">
              <w:rPr>
                <w:lang w:eastAsia="en-AU"/>
              </w:rPr>
              <w:t>G</w:t>
            </w:r>
          </w:p>
        </w:tc>
        <w:tc>
          <w:tcPr>
            <w:tcW w:w="3761" w:type="dxa"/>
            <w:noWrap/>
            <w:hideMark/>
          </w:tcPr>
          <w:p w14:paraId="3BF395A4" w14:textId="77777777" w:rsidR="0040580E" w:rsidRPr="005F5BEA" w:rsidRDefault="0040580E" w:rsidP="00A97436">
            <w:pPr>
              <w:pStyle w:val="TableText"/>
              <w:spacing w:before="0" w:after="0"/>
            </w:pPr>
            <w:r w:rsidRPr="005F5BEA">
              <w:t xml:space="preserve">Total hours related to </w:t>
            </w:r>
            <w:proofErr w:type="spellStart"/>
            <w:r w:rsidRPr="005F5BEA">
              <w:t>scheduled</w:t>
            </w:r>
            <w:proofErr w:type="spellEnd"/>
            <w:r w:rsidRPr="005F5BEA">
              <w:t xml:space="preserve"> in-person services (B + D + F)</w:t>
            </w:r>
          </w:p>
        </w:tc>
        <w:tc>
          <w:tcPr>
            <w:tcW w:w="1227" w:type="dxa"/>
            <w:tcBorders>
              <w:bottom w:val="single" w:sz="4" w:space="0" w:color="auto"/>
            </w:tcBorders>
            <w:shd w:val="solid" w:color="000000" w:fill="000000"/>
            <w:noWrap/>
            <w:hideMark/>
          </w:tcPr>
          <w:p w14:paraId="0AC098D6" w14:textId="26D4B85F" w:rsidR="0040580E" w:rsidRPr="00D865D4" w:rsidRDefault="00D865D4" w:rsidP="00A97436">
            <w:pPr>
              <w:pStyle w:val="TableText"/>
              <w:spacing w:before="0" w:after="0"/>
            </w:pPr>
            <w:r w:rsidRPr="00185424">
              <w:rPr>
                <w:color w:val="000000"/>
                <w:spacing w:val="94"/>
                <w:fitText w:val="180" w:id="-1157883381"/>
                <w14:textFill>
                  <w14:solidFill>
                    <w14:srgbClr w14:val="000000">
                      <w14:alpha w14:val="100000"/>
                    </w14:srgbClr>
                  </w14:solidFill>
                </w14:textFill>
              </w:rPr>
              <w:t>|</w:t>
            </w:r>
            <w:r w:rsidRPr="00185424">
              <w:rPr>
                <w:color w:val="000000"/>
                <w:spacing w:val="1"/>
                <w:fitText w:val="180" w:id="-1157883381"/>
                <w14:textFill>
                  <w14:solidFill>
                    <w14:srgbClr w14:val="000000">
                      <w14:alpha w14:val="100000"/>
                    </w14:srgbClr>
                  </w14:solidFill>
                </w14:textFill>
              </w:rPr>
              <w:t>|</w:t>
            </w:r>
          </w:p>
        </w:tc>
        <w:tc>
          <w:tcPr>
            <w:tcW w:w="1228" w:type="dxa"/>
            <w:tcBorders>
              <w:bottom w:val="single" w:sz="4" w:space="0" w:color="auto"/>
            </w:tcBorders>
            <w:shd w:val="solid" w:color="000000" w:fill="000000"/>
            <w:noWrap/>
            <w:hideMark/>
          </w:tcPr>
          <w:p w14:paraId="19B3FE92" w14:textId="49B1CFB4" w:rsidR="0040580E" w:rsidRPr="00D865D4" w:rsidRDefault="00D865D4" w:rsidP="00A97436">
            <w:pPr>
              <w:pStyle w:val="TableText"/>
              <w:spacing w:before="0" w:after="0"/>
            </w:pPr>
            <w:r w:rsidRPr="00185424">
              <w:rPr>
                <w:color w:val="000000"/>
                <w:spacing w:val="94"/>
                <w:fitText w:val="180" w:id="-1157883380"/>
                <w14:textFill>
                  <w14:solidFill>
                    <w14:srgbClr w14:val="000000">
                      <w14:alpha w14:val="100000"/>
                    </w14:srgbClr>
                  </w14:solidFill>
                </w14:textFill>
              </w:rPr>
              <w:t>|</w:t>
            </w:r>
            <w:r w:rsidRPr="00185424">
              <w:rPr>
                <w:color w:val="000000"/>
                <w:spacing w:val="1"/>
                <w:fitText w:val="180" w:id="-1157883380"/>
                <w14:textFill>
                  <w14:solidFill>
                    <w14:srgbClr w14:val="000000">
                      <w14:alpha w14:val="100000"/>
                    </w14:srgbClr>
                  </w14:solidFill>
                </w14:textFill>
              </w:rPr>
              <w:t>|</w:t>
            </w:r>
          </w:p>
        </w:tc>
        <w:tc>
          <w:tcPr>
            <w:tcW w:w="1227" w:type="dxa"/>
            <w:tcBorders>
              <w:bottom w:val="single" w:sz="4" w:space="0" w:color="auto"/>
            </w:tcBorders>
            <w:shd w:val="solid" w:color="000000" w:fill="000000"/>
            <w:noWrap/>
            <w:hideMark/>
          </w:tcPr>
          <w:p w14:paraId="2939DCB0" w14:textId="457A1943" w:rsidR="0040580E" w:rsidRPr="00D865D4" w:rsidRDefault="00D865D4" w:rsidP="00A97436">
            <w:pPr>
              <w:pStyle w:val="TableText"/>
              <w:spacing w:before="0" w:after="0"/>
            </w:pPr>
            <w:r w:rsidRPr="00185424">
              <w:rPr>
                <w:color w:val="000000"/>
                <w:spacing w:val="94"/>
                <w:fitText w:val="180" w:id="-1157883379"/>
                <w14:textFill>
                  <w14:solidFill>
                    <w14:srgbClr w14:val="000000">
                      <w14:alpha w14:val="100000"/>
                    </w14:srgbClr>
                  </w14:solidFill>
                </w14:textFill>
              </w:rPr>
              <w:t>|</w:t>
            </w:r>
            <w:r w:rsidRPr="00185424">
              <w:rPr>
                <w:color w:val="000000"/>
                <w:spacing w:val="1"/>
                <w:fitText w:val="180" w:id="-1157883379"/>
                <w14:textFill>
                  <w14:solidFill>
                    <w14:srgbClr w14:val="000000">
                      <w14:alpha w14:val="100000"/>
                    </w14:srgbClr>
                  </w14:solidFill>
                </w14:textFill>
              </w:rPr>
              <w:t>|</w:t>
            </w:r>
          </w:p>
        </w:tc>
        <w:tc>
          <w:tcPr>
            <w:tcW w:w="1228" w:type="dxa"/>
            <w:tcBorders>
              <w:bottom w:val="single" w:sz="4" w:space="0" w:color="auto"/>
            </w:tcBorders>
            <w:shd w:val="solid" w:color="000000" w:fill="000000"/>
            <w:noWrap/>
            <w:hideMark/>
          </w:tcPr>
          <w:p w14:paraId="2BD427E0" w14:textId="7827F641" w:rsidR="0040580E" w:rsidRPr="00D865D4" w:rsidRDefault="00D865D4" w:rsidP="00A97436">
            <w:pPr>
              <w:pStyle w:val="TableText"/>
              <w:spacing w:before="0" w:after="0"/>
            </w:pPr>
            <w:r w:rsidRPr="00185424">
              <w:rPr>
                <w:color w:val="000000"/>
                <w:spacing w:val="94"/>
                <w:fitText w:val="180" w:id="-1157883378"/>
                <w14:textFill>
                  <w14:solidFill>
                    <w14:srgbClr w14:val="000000">
                      <w14:alpha w14:val="100000"/>
                    </w14:srgbClr>
                  </w14:solidFill>
                </w14:textFill>
              </w:rPr>
              <w:t>|</w:t>
            </w:r>
            <w:r w:rsidRPr="00185424">
              <w:rPr>
                <w:color w:val="000000"/>
                <w:spacing w:val="1"/>
                <w:fitText w:val="180" w:id="-1157883378"/>
                <w14:textFill>
                  <w14:solidFill>
                    <w14:srgbClr w14:val="000000">
                      <w14:alpha w14:val="100000"/>
                    </w14:srgbClr>
                  </w14:solidFill>
                </w14:textFill>
              </w:rPr>
              <w:t>|</w:t>
            </w:r>
          </w:p>
        </w:tc>
      </w:tr>
      <w:tr w:rsidR="0040580E" w:rsidRPr="005F5BEA" w14:paraId="5C4A8003" w14:textId="77777777" w:rsidTr="00D865D4">
        <w:trPr>
          <w:trHeight w:val="300"/>
        </w:trPr>
        <w:tc>
          <w:tcPr>
            <w:tcW w:w="345" w:type="dxa"/>
          </w:tcPr>
          <w:p w14:paraId="0176B610" w14:textId="77777777" w:rsidR="0040580E" w:rsidRPr="005F5BEA" w:rsidRDefault="0040580E" w:rsidP="00A97436">
            <w:pPr>
              <w:pStyle w:val="TableText"/>
              <w:spacing w:before="0" w:after="0"/>
              <w:rPr>
                <w:lang w:eastAsia="en-AU"/>
              </w:rPr>
            </w:pPr>
            <w:r w:rsidRPr="005F5BEA">
              <w:rPr>
                <w:lang w:eastAsia="en-AU"/>
              </w:rPr>
              <w:t>H</w:t>
            </w:r>
          </w:p>
        </w:tc>
        <w:tc>
          <w:tcPr>
            <w:tcW w:w="3761" w:type="dxa"/>
            <w:noWrap/>
            <w:hideMark/>
          </w:tcPr>
          <w:p w14:paraId="4233362A" w14:textId="77777777" w:rsidR="0040580E" w:rsidRPr="005F5BEA" w:rsidRDefault="0040580E" w:rsidP="00A97436">
            <w:pPr>
              <w:pStyle w:val="TableText"/>
              <w:spacing w:before="0" w:after="0"/>
            </w:pPr>
            <w:r w:rsidRPr="005F5BEA">
              <w:t xml:space="preserve">Average cost per hour </w:t>
            </w:r>
            <w:r w:rsidRPr="005F5BEA">
              <w:rPr>
                <w:vertAlign w:val="superscript"/>
              </w:rPr>
              <w:t>d</w:t>
            </w:r>
          </w:p>
        </w:tc>
        <w:tc>
          <w:tcPr>
            <w:tcW w:w="1227" w:type="dxa"/>
            <w:shd w:val="solid" w:color="000000" w:fill="000000"/>
            <w:noWrap/>
            <w:hideMark/>
          </w:tcPr>
          <w:p w14:paraId="41B1C57F" w14:textId="301F106E" w:rsidR="0040580E" w:rsidRPr="00D865D4" w:rsidRDefault="00D865D4" w:rsidP="00A97436">
            <w:pPr>
              <w:pStyle w:val="TableText"/>
              <w:spacing w:before="0" w:after="0"/>
            </w:pPr>
            <w:r w:rsidRPr="00185424">
              <w:rPr>
                <w:color w:val="000000"/>
                <w:spacing w:val="94"/>
                <w:fitText w:val="180" w:id="-1157883377"/>
                <w14:textFill>
                  <w14:solidFill>
                    <w14:srgbClr w14:val="000000">
                      <w14:alpha w14:val="100000"/>
                    </w14:srgbClr>
                  </w14:solidFill>
                </w14:textFill>
              </w:rPr>
              <w:t>|</w:t>
            </w:r>
            <w:r w:rsidRPr="00185424">
              <w:rPr>
                <w:color w:val="000000"/>
                <w:spacing w:val="1"/>
                <w:fitText w:val="180" w:id="-1157883377"/>
                <w14:textFill>
                  <w14:solidFill>
                    <w14:srgbClr w14:val="000000">
                      <w14:alpha w14:val="100000"/>
                    </w14:srgbClr>
                  </w14:solidFill>
                </w14:textFill>
              </w:rPr>
              <w:t>|</w:t>
            </w:r>
          </w:p>
        </w:tc>
        <w:tc>
          <w:tcPr>
            <w:tcW w:w="1228" w:type="dxa"/>
            <w:shd w:val="solid" w:color="000000" w:fill="000000"/>
            <w:noWrap/>
            <w:hideMark/>
          </w:tcPr>
          <w:p w14:paraId="5BF26F14" w14:textId="32C60655" w:rsidR="0040580E" w:rsidRPr="00D865D4" w:rsidRDefault="00D865D4" w:rsidP="00A97436">
            <w:pPr>
              <w:pStyle w:val="TableText"/>
              <w:spacing w:before="0" w:after="0"/>
            </w:pPr>
            <w:r w:rsidRPr="00185424">
              <w:rPr>
                <w:color w:val="000000"/>
                <w:spacing w:val="94"/>
                <w:fitText w:val="180" w:id="-1157883376"/>
                <w14:textFill>
                  <w14:solidFill>
                    <w14:srgbClr w14:val="000000">
                      <w14:alpha w14:val="100000"/>
                    </w14:srgbClr>
                  </w14:solidFill>
                </w14:textFill>
              </w:rPr>
              <w:t>|</w:t>
            </w:r>
            <w:r w:rsidRPr="00185424">
              <w:rPr>
                <w:color w:val="000000"/>
                <w:spacing w:val="1"/>
                <w:fitText w:val="180" w:id="-1157883376"/>
                <w14:textFill>
                  <w14:solidFill>
                    <w14:srgbClr w14:val="000000">
                      <w14:alpha w14:val="100000"/>
                    </w14:srgbClr>
                  </w14:solidFill>
                </w14:textFill>
              </w:rPr>
              <w:t>|</w:t>
            </w:r>
          </w:p>
        </w:tc>
        <w:tc>
          <w:tcPr>
            <w:tcW w:w="1227" w:type="dxa"/>
            <w:shd w:val="solid" w:color="000000" w:fill="000000"/>
            <w:noWrap/>
            <w:hideMark/>
          </w:tcPr>
          <w:p w14:paraId="7E9C3937" w14:textId="71EDB175" w:rsidR="0040580E" w:rsidRPr="00D865D4" w:rsidRDefault="00D865D4" w:rsidP="00A97436">
            <w:pPr>
              <w:pStyle w:val="TableText"/>
              <w:spacing w:before="0" w:after="0"/>
            </w:pPr>
            <w:r w:rsidRPr="00185424">
              <w:rPr>
                <w:color w:val="000000"/>
                <w:spacing w:val="94"/>
                <w:fitText w:val="180" w:id="-1157883392"/>
                <w14:textFill>
                  <w14:solidFill>
                    <w14:srgbClr w14:val="000000">
                      <w14:alpha w14:val="100000"/>
                    </w14:srgbClr>
                  </w14:solidFill>
                </w14:textFill>
              </w:rPr>
              <w:t>|</w:t>
            </w:r>
            <w:r w:rsidRPr="00185424">
              <w:rPr>
                <w:color w:val="000000"/>
                <w:spacing w:val="1"/>
                <w:fitText w:val="180" w:id="-1157883392"/>
                <w14:textFill>
                  <w14:solidFill>
                    <w14:srgbClr w14:val="000000">
                      <w14:alpha w14:val="100000"/>
                    </w14:srgbClr>
                  </w14:solidFill>
                </w14:textFill>
              </w:rPr>
              <w:t>|</w:t>
            </w:r>
          </w:p>
        </w:tc>
        <w:tc>
          <w:tcPr>
            <w:tcW w:w="1228" w:type="dxa"/>
            <w:shd w:val="solid" w:color="000000" w:fill="000000"/>
            <w:noWrap/>
            <w:hideMark/>
          </w:tcPr>
          <w:p w14:paraId="4A4BE2D9" w14:textId="46BDD9C1" w:rsidR="0040580E" w:rsidRPr="00D865D4" w:rsidRDefault="00D865D4" w:rsidP="00A97436">
            <w:pPr>
              <w:pStyle w:val="TableText"/>
              <w:spacing w:before="0" w:after="0"/>
            </w:pPr>
            <w:r w:rsidRPr="00185424">
              <w:rPr>
                <w:color w:val="000000"/>
                <w:spacing w:val="94"/>
                <w:fitText w:val="180" w:id="-1157883391"/>
                <w14:textFill>
                  <w14:solidFill>
                    <w14:srgbClr w14:val="000000">
                      <w14:alpha w14:val="100000"/>
                    </w14:srgbClr>
                  </w14:solidFill>
                </w14:textFill>
              </w:rPr>
              <w:t>|</w:t>
            </w:r>
            <w:r w:rsidRPr="00185424">
              <w:rPr>
                <w:color w:val="000000"/>
                <w:spacing w:val="1"/>
                <w:fitText w:val="180" w:id="-1157883391"/>
                <w14:textFill>
                  <w14:solidFill>
                    <w14:srgbClr w14:val="000000">
                      <w14:alpha w14:val="100000"/>
                    </w14:srgbClr>
                  </w14:solidFill>
                </w14:textFill>
              </w:rPr>
              <w:t>|</w:t>
            </w:r>
          </w:p>
        </w:tc>
      </w:tr>
      <w:tr w:rsidR="0040580E" w:rsidRPr="005F5BEA" w14:paraId="054959FC" w14:textId="77777777" w:rsidTr="00EC391A">
        <w:trPr>
          <w:trHeight w:val="300"/>
        </w:trPr>
        <w:tc>
          <w:tcPr>
            <w:tcW w:w="345" w:type="dxa"/>
          </w:tcPr>
          <w:p w14:paraId="311DE37C" w14:textId="77777777" w:rsidR="0040580E" w:rsidRPr="005F5BEA" w:rsidRDefault="0040580E" w:rsidP="00A97436">
            <w:pPr>
              <w:pStyle w:val="TableText"/>
              <w:spacing w:before="0" w:after="0"/>
              <w:rPr>
                <w:b/>
                <w:lang w:eastAsia="en-AU"/>
              </w:rPr>
            </w:pPr>
          </w:p>
        </w:tc>
        <w:tc>
          <w:tcPr>
            <w:tcW w:w="3761" w:type="dxa"/>
            <w:noWrap/>
            <w:hideMark/>
          </w:tcPr>
          <w:p w14:paraId="62ACD134" w14:textId="77777777" w:rsidR="0040580E" w:rsidRPr="005F5BEA" w:rsidRDefault="0040580E" w:rsidP="00A97436">
            <w:pPr>
              <w:pStyle w:val="TableText"/>
              <w:spacing w:before="0" w:after="0"/>
              <w:rPr>
                <w:b/>
              </w:rPr>
            </w:pPr>
            <w:r w:rsidRPr="005F5BEA">
              <w:rPr>
                <w:b/>
              </w:rPr>
              <w:t>Labour cost of scheduled in-person services (G × H)</w:t>
            </w:r>
          </w:p>
        </w:tc>
        <w:tc>
          <w:tcPr>
            <w:tcW w:w="1227" w:type="dxa"/>
            <w:noWrap/>
            <w:hideMark/>
          </w:tcPr>
          <w:p w14:paraId="1AE2AAD5" w14:textId="77777777" w:rsidR="0040580E" w:rsidRPr="005F5BEA" w:rsidRDefault="0040580E" w:rsidP="00A97436">
            <w:pPr>
              <w:pStyle w:val="TableText"/>
              <w:spacing w:before="0" w:after="0"/>
              <w:rPr>
                <w:b/>
              </w:rPr>
            </w:pPr>
            <w:r w:rsidRPr="005F5BEA">
              <w:rPr>
                <w:b/>
              </w:rPr>
              <w:t>$24,896,510</w:t>
            </w:r>
          </w:p>
        </w:tc>
        <w:tc>
          <w:tcPr>
            <w:tcW w:w="1228" w:type="dxa"/>
            <w:noWrap/>
            <w:hideMark/>
          </w:tcPr>
          <w:p w14:paraId="04C07949" w14:textId="77777777" w:rsidR="0040580E" w:rsidRPr="005F5BEA" w:rsidRDefault="0040580E" w:rsidP="00A97436">
            <w:pPr>
              <w:pStyle w:val="TableText"/>
              <w:spacing w:before="0" w:after="0"/>
              <w:rPr>
                <w:b/>
              </w:rPr>
            </w:pPr>
            <w:r w:rsidRPr="005F5BEA">
              <w:rPr>
                <w:b/>
              </w:rPr>
              <w:t>$26,646,251</w:t>
            </w:r>
          </w:p>
        </w:tc>
        <w:tc>
          <w:tcPr>
            <w:tcW w:w="1227" w:type="dxa"/>
            <w:noWrap/>
            <w:hideMark/>
          </w:tcPr>
          <w:p w14:paraId="66F99911" w14:textId="77777777" w:rsidR="0040580E" w:rsidRPr="005F5BEA" w:rsidRDefault="0040580E" w:rsidP="00A97436">
            <w:pPr>
              <w:pStyle w:val="TableText"/>
              <w:spacing w:before="0" w:after="0"/>
              <w:rPr>
                <w:b/>
              </w:rPr>
            </w:pPr>
            <w:r w:rsidRPr="005F5BEA">
              <w:rPr>
                <w:b/>
              </w:rPr>
              <w:t>$28,518,962</w:t>
            </w:r>
          </w:p>
        </w:tc>
        <w:tc>
          <w:tcPr>
            <w:tcW w:w="1228" w:type="dxa"/>
            <w:noWrap/>
            <w:hideMark/>
          </w:tcPr>
          <w:p w14:paraId="1072202F" w14:textId="77777777" w:rsidR="0040580E" w:rsidRPr="005F5BEA" w:rsidRDefault="0040580E" w:rsidP="00A97436">
            <w:pPr>
              <w:pStyle w:val="TableText"/>
              <w:spacing w:before="0" w:after="0"/>
              <w:rPr>
                <w:b/>
              </w:rPr>
            </w:pPr>
            <w:r w:rsidRPr="005F5BEA">
              <w:rPr>
                <w:b/>
              </w:rPr>
              <w:t>$30,523,286</w:t>
            </w:r>
          </w:p>
        </w:tc>
      </w:tr>
    </w:tbl>
    <w:p w14:paraId="42BA3E80" w14:textId="5BF42D86" w:rsidR="005F5BEA" w:rsidRPr="00CE1D27" w:rsidRDefault="005F5BEA" w:rsidP="005F5BEA">
      <w:pPr>
        <w:pStyle w:val="Tablenotes"/>
        <w:spacing w:before="0"/>
      </w:pPr>
      <w:bookmarkStart w:id="28" w:name="_Hlk149659998"/>
      <w:bookmarkStart w:id="29" w:name="_Toc120693756"/>
      <w:r w:rsidRPr="00CE1D27">
        <w:rPr>
          <w:vertAlign w:val="superscript"/>
        </w:rPr>
        <w:t>a</w:t>
      </w:r>
      <w:r w:rsidRPr="00CE1D27">
        <w:t xml:space="preserve"> Comprised of </w:t>
      </w:r>
      <w:r w:rsidR="00D865D4" w:rsidRPr="0035075A">
        <w:rPr>
          <w:color w:val="000000"/>
          <w:spacing w:val="8"/>
          <w:w w:val="43"/>
          <w:shd w:val="solid" w:color="000000" w:fill="000000"/>
          <w:fitText w:val="145" w:id="-1157883390"/>
          <w14:textFill>
            <w14:solidFill>
              <w14:srgbClr w14:val="000000">
                <w14:alpha w14:val="100000"/>
              </w14:srgbClr>
            </w14:solidFill>
          </w14:textFill>
        </w:rPr>
        <w:t>|</w:t>
      </w:r>
      <w:proofErr w:type="gramStart"/>
      <w:r w:rsidR="00D865D4" w:rsidRPr="0035075A">
        <w:rPr>
          <w:color w:val="000000"/>
          <w:spacing w:val="8"/>
          <w:w w:val="43"/>
          <w:shd w:val="solid" w:color="000000" w:fill="000000"/>
          <w:fitText w:val="145" w:id="-1157883390"/>
          <w14:textFill>
            <w14:solidFill>
              <w14:srgbClr w14:val="000000">
                <w14:alpha w14:val="100000"/>
              </w14:srgbClr>
            </w14:solidFill>
          </w14:textFill>
        </w:rPr>
        <w:t>|  |</w:t>
      </w:r>
      <w:proofErr w:type="gramEnd"/>
      <w:r w:rsidR="00D865D4" w:rsidRPr="0035075A">
        <w:rPr>
          <w:color w:val="000000"/>
          <w:spacing w:val="5"/>
          <w:w w:val="43"/>
          <w:shd w:val="solid" w:color="000000" w:fill="000000"/>
          <w:fitText w:val="145" w:id="-1157883390"/>
          <w14:textFill>
            <w14:solidFill>
              <w14:srgbClr w14:val="000000">
                <w14:alpha w14:val="100000"/>
              </w14:srgbClr>
            </w14:solidFill>
          </w14:textFill>
        </w:rPr>
        <w:t>|</w:t>
      </w:r>
      <w:r w:rsidR="008A6620" w:rsidRPr="008A6620">
        <w:t xml:space="preserve"> hours </w:t>
      </w:r>
      <w:r w:rsidRPr="00CE1D27">
        <w:t xml:space="preserve">labour, </w:t>
      </w:r>
      <w:r w:rsidR="00D865D4" w:rsidRPr="0035075A">
        <w:rPr>
          <w:color w:val="000000"/>
          <w:spacing w:val="8"/>
          <w:w w:val="43"/>
          <w:shd w:val="solid" w:color="000000" w:fill="000000"/>
          <w:fitText w:val="145" w:id="-1157883389"/>
          <w14:textFill>
            <w14:solidFill>
              <w14:srgbClr w14:val="000000">
                <w14:alpha w14:val="100000"/>
              </w14:srgbClr>
            </w14:solidFill>
          </w14:textFill>
        </w:rPr>
        <w:t>||  |</w:t>
      </w:r>
      <w:r w:rsidR="00D865D4" w:rsidRPr="0035075A">
        <w:rPr>
          <w:color w:val="000000"/>
          <w:spacing w:val="5"/>
          <w:w w:val="43"/>
          <w:shd w:val="solid" w:color="000000" w:fill="000000"/>
          <w:fitText w:val="145" w:id="-1157883389"/>
          <w14:textFill>
            <w14:solidFill>
              <w14:srgbClr w14:val="000000">
                <w14:alpha w14:val="100000"/>
              </w14:srgbClr>
            </w14:solidFill>
          </w14:textFill>
        </w:rPr>
        <w:t>|</w:t>
      </w:r>
      <w:r w:rsidR="008A6620" w:rsidRPr="008A6620">
        <w:t xml:space="preserve"> hours </w:t>
      </w:r>
      <w:r w:rsidRPr="00CE1D27">
        <w:t xml:space="preserve">travel and </w:t>
      </w:r>
      <w:r w:rsidR="00D865D4" w:rsidRPr="0035075A">
        <w:rPr>
          <w:color w:val="000000"/>
          <w:spacing w:val="8"/>
          <w:w w:val="43"/>
          <w:shd w:val="solid" w:color="000000" w:fill="000000"/>
          <w:fitText w:val="145" w:id="-1157883388"/>
          <w14:textFill>
            <w14:solidFill>
              <w14:srgbClr w14:val="000000">
                <w14:alpha w14:val="100000"/>
              </w14:srgbClr>
            </w14:solidFill>
          </w14:textFill>
        </w:rPr>
        <w:t>||  |</w:t>
      </w:r>
      <w:r w:rsidR="00D865D4" w:rsidRPr="0035075A">
        <w:rPr>
          <w:color w:val="000000"/>
          <w:spacing w:val="5"/>
          <w:w w:val="43"/>
          <w:shd w:val="solid" w:color="000000" w:fill="000000"/>
          <w:fitText w:val="145" w:id="-1157883388"/>
          <w14:textFill>
            <w14:solidFill>
              <w14:srgbClr w14:val="000000">
                <w14:alpha w14:val="100000"/>
              </w14:srgbClr>
            </w14:solidFill>
          </w14:textFill>
        </w:rPr>
        <w:t>|</w:t>
      </w:r>
      <w:r w:rsidR="008A6620" w:rsidRPr="008A6620">
        <w:t xml:space="preserve"> hours </w:t>
      </w:r>
      <w:r w:rsidRPr="00CE1D27">
        <w:t>waiting</w:t>
      </w:r>
    </w:p>
    <w:p w14:paraId="7DFC9634" w14:textId="3A522542" w:rsidR="005F5BEA" w:rsidRPr="00CE1D27" w:rsidRDefault="005F5BEA" w:rsidP="005F5BEA">
      <w:pPr>
        <w:pStyle w:val="Tablenotes"/>
      </w:pPr>
      <w:r w:rsidRPr="00CE1D27">
        <w:rPr>
          <w:vertAlign w:val="superscript"/>
        </w:rPr>
        <w:t>b</w:t>
      </w:r>
      <w:r w:rsidRPr="00CE1D27">
        <w:t xml:space="preserve"> Comprised of </w:t>
      </w:r>
      <w:r w:rsidR="00D865D4" w:rsidRPr="0035075A">
        <w:rPr>
          <w:color w:val="000000"/>
          <w:spacing w:val="8"/>
          <w:w w:val="43"/>
          <w:shd w:val="solid" w:color="000000" w:fill="000000"/>
          <w:fitText w:val="145" w:id="-1157883387"/>
          <w14:textFill>
            <w14:solidFill>
              <w14:srgbClr w14:val="000000">
                <w14:alpha w14:val="100000"/>
              </w14:srgbClr>
            </w14:solidFill>
          </w14:textFill>
        </w:rPr>
        <w:t>|</w:t>
      </w:r>
      <w:proofErr w:type="gramStart"/>
      <w:r w:rsidR="00D865D4" w:rsidRPr="0035075A">
        <w:rPr>
          <w:color w:val="000000"/>
          <w:spacing w:val="8"/>
          <w:w w:val="43"/>
          <w:shd w:val="solid" w:color="000000" w:fill="000000"/>
          <w:fitText w:val="145" w:id="-1157883387"/>
          <w14:textFill>
            <w14:solidFill>
              <w14:srgbClr w14:val="000000">
                <w14:alpha w14:val="100000"/>
              </w14:srgbClr>
            </w14:solidFill>
          </w14:textFill>
        </w:rPr>
        <w:t>|  |</w:t>
      </w:r>
      <w:proofErr w:type="gramEnd"/>
      <w:r w:rsidR="00D865D4" w:rsidRPr="0035075A">
        <w:rPr>
          <w:color w:val="000000"/>
          <w:spacing w:val="5"/>
          <w:w w:val="43"/>
          <w:shd w:val="solid" w:color="000000" w:fill="000000"/>
          <w:fitText w:val="145" w:id="-1157883387"/>
          <w14:textFill>
            <w14:solidFill>
              <w14:srgbClr w14:val="000000">
                <w14:alpha w14:val="100000"/>
              </w14:srgbClr>
            </w14:solidFill>
          </w14:textFill>
        </w:rPr>
        <w:t>|</w:t>
      </w:r>
      <w:r w:rsidR="008A6620" w:rsidRPr="008A6620">
        <w:t xml:space="preserve"> hours </w:t>
      </w:r>
      <w:r w:rsidRPr="00CE1D27">
        <w:t xml:space="preserve">labour, </w:t>
      </w:r>
      <w:r w:rsidR="00D865D4" w:rsidRPr="0035075A">
        <w:rPr>
          <w:color w:val="000000"/>
          <w:spacing w:val="8"/>
          <w:w w:val="43"/>
          <w:shd w:val="solid" w:color="000000" w:fill="000000"/>
          <w:fitText w:val="145" w:id="-1157883386"/>
          <w14:textFill>
            <w14:solidFill>
              <w14:srgbClr w14:val="000000">
                <w14:alpha w14:val="100000"/>
              </w14:srgbClr>
            </w14:solidFill>
          </w14:textFill>
        </w:rPr>
        <w:t>||  |</w:t>
      </w:r>
      <w:r w:rsidR="00D865D4" w:rsidRPr="0035075A">
        <w:rPr>
          <w:color w:val="000000"/>
          <w:spacing w:val="5"/>
          <w:w w:val="43"/>
          <w:shd w:val="solid" w:color="000000" w:fill="000000"/>
          <w:fitText w:val="145" w:id="-1157883386"/>
          <w14:textFill>
            <w14:solidFill>
              <w14:srgbClr w14:val="000000">
                <w14:alpha w14:val="100000"/>
              </w14:srgbClr>
            </w14:solidFill>
          </w14:textFill>
        </w:rPr>
        <w:t>|</w:t>
      </w:r>
      <w:r w:rsidR="008A6620" w:rsidRPr="008A6620">
        <w:t xml:space="preserve"> hours </w:t>
      </w:r>
      <w:r w:rsidRPr="00CE1D27">
        <w:t xml:space="preserve">travel and </w:t>
      </w:r>
      <w:r w:rsidR="00D865D4" w:rsidRPr="0035075A">
        <w:rPr>
          <w:color w:val="000000"/>
          <w:spacing w:val="8"/>
          <w:w w:val="43"/>
          <w:shd w:val="solid" w:color="000000" w:fill="000000"/>
          <w:fitText w:val="145" w:id="-1157883385"/>
          <w14:textFill>
            <w14:solidFill>
              <w14:srgbClr w14:val="000000">
                <w14:alpha w14:val="100000"/>
              </w14:srgbClr>
            </w14:solidFill>
          </w14:textFill>
        </w:rPr>
        <w:t>||  |</w:t>
      </w:r>
      <w:r w:rsidR="00D865D4" w:rsidRPr="0035075A">
        <w:rPr>
          <w:color w:val="000000"/>
          <w:spacing w:val="5"/>
          <w:w w:val="43"/>
          <w:shd w:val="solid" w:color="000000" w:fill="000000"/>
          <w:fitText w:val="145" w:id="-1157883385"/>
          <w14:textFill>
            <w14:solidFill>
              <w14:srgbClr w14:val="000000">
                <w14:alpha w14:val="100000"/>
              </w14:srgbClr>
            </w14:solidFill>
          </w14:textFill>
        </w:rPr>
        <w:t>|</w:t>
      </w:r>
      <w:r w:rsidR="008A6620" w:rsidRPr="008A6620">
        <w:t xml:space="preserve"> hours </w:t>
      </w:r>
      <w:r w:rsidRPr="00CE1D27">
        <w:t>waiting</w:t>
      </w:r>
    </w:p>
    <w:p w14:paraId="5E1B43B2" w14:textId="77B9F6B1" w:rsidR="005F5BEA" w:rsidRPr="00CE1D27" w:rsidRDefault="005F5BEA" w:rsidP="005F5BEA">
      <w:pPr>
        <w:pStyle w:val="Tablenotes"/>
      </w:pPr>
      <w:r w:rsidRPr="00CE1D27">
        <w:rPr>
          <w:vertAlign w:val="superscript"/>
        </w:rPr>
        <w:t>c</w:t>
      </w:r>
      <w:r w:rsidRPr="00CE1D27">
        <w:t xml:space="preserve"> Comprised of </w:t>
      </w:r>
      <w:r w:rsidR="00D865D4" w:rsidRPr="0035075A">
        <w:rPr>
          <w:color w:val="000000"/>
          <w:spacing w:val="8"/>
          <w:w w:val="43"/>
          <w:shd w:val="solid" w:color="000000" w:fill="000000"/>
          <w:fitText w:val="145" w:id="-1157883384"/>
          <w14:textFill>
            <w14:solidFill>
              <w14:srgbClr w14:val="000000">
                <w14:alpha w14:val="100000"/>
              </w14:srgbClr>
            </w14:solidFill>
          </w14:textFill>
        </w:rPr>
        <w:t>|</w:t>
      </w:r>
      <w:proofErr w:type="gramStart"/>
      <w:r w:rsidR="00D865D4" w:rsidRPr="0035075A">
        <w:rPr>
          <w:color w:val="000000"/>
          <w:spacing w:val="8"/>
          <w:w w:val="43"/>
          <w:shd w:val="solid" w:color="000000" w:fill="000000"/>
          <w:fitText w:val="145" w:id="-1157883384"/>
          <w14:textFill>
            <w14:solidFill>
              <w14:srgbClr w14:val="000000">
                <w14:alpha w14:val="100000"/>
              </w14:srgbClr>
            </w14:solidFill>
          </w14:textFill>
        </w:rPr>
        <w:t>|  |</w:t>
      </w:r>
      <w:proofErr w:type="gramEnd"/>
      <w:r w:rsidR="00D865D4" w:rsidRPr="0035075A">
        <w:rPr>
          <w:color w:val="000000"/>
          <w:spacing w:val="5"/>
          <w:w w:val="43"/>
          <w:shd w:val="solid" w:color="000000" w:fill="000000"/>
          <w:fitText w:val="145" w:id="-1157883384"/>
          <w14:textFill>
            <w14:solidFill>
              <w14:srgbClr w14:val="000000">
                <w14:alpha w14:val="100000"/>
              </w14:srgbClr>
            </w14:solidFill>
          </w14:textFill>
        </w:rPr>
        <w:t>|</w:t>
      </w:r>
      <w:r w:rsidR="008A6620" w:rsidRPr="008A6620">
        <w:t xml:space="preserve"> hours </w:t>
      </w:r>
      <w:r w:rsidRPr="00CE1D27">
        <w:t xml:space="preserve">labour, </w:t>
      </w:r>
      <w:r w:rsidR="00D865D4" w:rsidRPr="0035075A">
        <w:rPr>
          <w:color w:val="000000"/>
          <w:spacing w:val="8"/>
          <w:w w:val="43"/>
          <w:shd w:val="solid" w:color="000000" w:fill="000000"/>
          <w:fitText w:val="145" w:id="-1157883383"/>
          <w14:textFill>
            <w14:solidFill>
              <w14:srgbClr w14:val="000000">
                <w14:alpha w14:val="100000"/>
              </w14:srgbClr>
            </w14:solidFill>
          </w14:textFill>
        </w:rPr>
        <w:t>||  |</w:t>
      </w:r>
      <w:r w:rsidR="00D865D4" w:rsidRPr="0035075A">
        <w:rPr>
          <w:color w:val="000000"/>
          <w:spacing w:val="5"/>
          <w:w w:val="43"/>
          <w:shd w:val="solid" w:color="000000" w:fill="000000"/>
          <w:fitText w:val="145" w:id="-1157883383"/>
          <w14:textFill>
            <w14:solidFill>
              <w14:srgbClr w14:val="000000">
                <w14:alpha w14:val="100000"/>
              </w14:srgbClr>
            </w14:solidFill>
          </w14:textFill>
        </w:rPr>
        <w:t>|</w:t>
      </w:r>
      <w:r w:rsidR="008A6620" w:rsidRPr="008A6620">
        <w:t xml:space="preserve"> hours </w:t>
      </w:r>
      <w:r w:rsidRPr="00CE1D27">
        <w:t xml:space="preserve">travel and </w:t>
      </w:r>
      <w:r w:rsidR="00D865D4" w:rsidRPr="0035075A">
        <w:rPr>
          <w:color w:val="000000"/>
          <w:spacing w:val="8"/>
          <w:w w:val="43"/>
          <w:shd w:val="solid" w:color="000000" w:fill="000000"/>
          <w:fitText w:val="145" w:id="-1157883382"/>
          <w14:textFill>
            <w14:solidFill>
              <w14:srgbClr w14:val="000000">
                <w14:alpha w14:val="100000"/>
              </w14:srgbClr>
            </w14:solidFill>
          </w14:textFill>
        </w:rPr>
        <w:t>||  |</w:t>
      </w:r>
      <w:r w:rsidR="00D865D4" w:rsidRPr="0035075A">
        <w:rPr>
          <w:color w:val="000000"/>
          <w:spacing w:val="5"/>
          <w:w w:val="43"/>
          <w:shd w:val="solid" w:color="000000" w:fill="000000"/>
          <w:fitText w:val="145" w:id="-1157883382"/>
          <w14:textFill>
            <w14:solidFill>
              <w14:srgbClr w14:val="000000">
                <w14:alpha w14:val="100000"/>
              </w14:srgbClr>
            </w14:solidFill>
          </w14:textFill>
        </w:rPr>
        <w:t>|</w:t>
      </w:r>
      <w:r w:rsidR="008A6620" w:rsidRPr="008A6620">
        <w:t xml:space="preserve"> hours </w:t>
      </w:r>
      <w:r w:rsidRPr="00CE1D27">
        <w:t>waiting</w:t>
      </w:r>
    </w:p>
    <w:p w14:paraId="5700F8C7" w14:textId="2D618AC8" w:rsidR="005F5BEA" w:rsidRPr="00CE1D27" w:rsidRDefault="005F5BEA" w:rsidP="005F5BEA">
      <w:pPr>
        <w:pStyle w:val="Tablenotes"/>
      </w:pPr>
      <w:r w:rsidRPr="00CE1D27">
        <w:rPr>
          <w:vertAlign w:val="superscript"/>
        </w:rPr>
        <w:t>d</w:t>
      </w:r>
      <w:r w:rsidRPr="00CE1D27">
        <w:t xml:space="preserve"> Wages ranged from </w:t>
      </w:r>
      <w:r w:rsidR="00D865D4" w:rsidRPr="0035075A">
        <w:rPr>
          <w:color w:val="000000"/>
          <w:spacing w:val="8"/>
          <w:w w:val="43"/>
          <w:shd w:val="solid" w:color="000000" w:fill="000000"/>
          <w:fitText w:val="145" w:id="-1157883381"/>
          <w14:textFill>
            <w14:solidFill>
              <w14:srgbClr w14:val="000000">
                <w14:alpha w14:val="100000"/>
              </w14:srgbClr>
            </w14:solidFill>
          </w14:textFill>
        </w:rPr>
        <w:t>|</w:t>
      </w:r>
      <w:proofErr w:type="gramStart"/>
      <w:r w:rsidR="00D865D4" w:rsidRPr="0035075A">
        <w:rPr>
          <w:color w:val="000000"/>
          <w:spacing w:val="8"/>
          <w:w w:val="43"/>
          <w:shd w:val="solid" w:color="000000" w:fill="000000"/>
          <w:fitText w:val="145" w:id="-1157883381"/>
          <w14:textFill>
            <w14:solidFill>
              <w14:srgbClr w14:val="000000">
                <w14:alpha w14:val="100000"/>
              </w14:srgbClr>
            </w14:solidFill>
          </w14:textFill>
        </w:rPr>
        <w:t>|  |</w:t>
      </w:r>
      <w:proofErr w:type="gramEnd"/>
      <w:r w:rsidR="00D865D4" w:rsidRPr="0035075A">
        <w:rPr>
          <w:color w:val="000000"/>
          <w:spacing w:val="5"/>
          <w:w w:val="43"/>
          <w:shd w:val="solid" w:color="000000" w:fill="000000"/>
          <w:fitText w:val="145" w:id="-1157883381"/>
          <w14:textFill>
            <w14:solidFill>
              <w14:srgbClr w14:val="000000">
                <w14:alpha w14:val="100000"/>
              </w14:srgbClr>
            </w14:solidFill>
          </w14:textFill>
        </w:rPr>
        <w:t>|</w:t>
      </w:r>
      <w:r w:rsidR="00376955" w:rsidRPr="00376955">
        <w:t xml:space="preserve"> in </w:t>
      </w:r>
      <w:r w:rsidRPr="00CE1D27">
        <w:t xml:space="preserve">metro areas to </w:t>
      </w:r>
      <w:r w:rsidR="00D865D4" w:rsidRPr="0035075A">
        <w:rPr>
          <w:color w:val="000000"/>
          <w:spacing w:val="8"/>
          <w:w w:val="43"/>
          <w:shd w:val="solid" w:color="000000" w:fill="000000"/>
          <w:fitText w:val="145" w:id="-1157883380"/>
          <w14:textFill>
            <w14:solidFill>
              <w14:srgbClr w14:val="000000">
                <w14:alpha w14:val="100000"/>
              </w14:srgbClr>
            </w14:solidFill>
          </w14:textFill>
        </w:rPr>
        <w:t>||  |</w:t>
      </w:r>
      <w:r w:rsidR="00D865D4" w:rsidRPr="0035075A">
        <w:rPr>
          <w:color w:val="000000"/>
          <w:spacing w:val="5"/>
          <w:w w:val="43"/>
          <w:shd w:val="solid" w:color="000000" w:fill="000000"/>
          <w:fitText w:val="145" w:id="-1157883380"/>
          <w14:textFill>
            <w14:solidFill>
              <w14:srgbClr w14:val="000000">
                <w14:alpha w14:val="100000"/>
              </w14:srgbClr>
            </w14:solidFill>
          </w14:textFill>
        </w:rPr>
        <w:t>|</w:t>
      </w:r>
      <w:r w:rsidRPr="00CE1D27">
        <w:t xml:space="preserve"> in remote. The average wage was weighted by the location of the service, which varied by cardiac device type. Inflation (6.1% each year, relative to the base year) was only applied on remote wages.</w:t>
      </w:r>
    </w:p>
    <w:bookmarkEnd w:id="28"/>
    <w:p w14:paraId="7430183E" w14:textId="30AF3BE0" w:rsidR="0040580E" w:rsidRPr="005F5BEA" w:rsidRDefault="0040580E" w:rsidP="0040580E">
      <w:pPr>
        <w:pStyle w:val="Caption"/>
        <w:rPr>
          <w:i w:val="0"/>
          <w:color w:val="4472C4" w:themeColor="accent1"/>
        </w:rPr>
      </w:pPr>
      <w:r w:rsidRPr="005F5BEA">
        <w:rPr>
          <w:rFonts w:ascii="Arial Narrow" w:hAnsi="Arial Narrow"/>
          <w:b/>
          <w:i w:val="0"/>
          <w:color w:val="auto"/>
          <w:sz w:val="20"/>
          <w:szCs w:val="20"/>
        </w:rPr>
        <w:lastRenderedPageBreak/>
        <w:t xml:space="preserve">Table </w:t>
      </w:r>
      <w:r w:rsidRPr="005F5BEA">
        <w:rPr>
          <w:rFonts w:ascii="Arial Narrow" w:hAnsi="Arial Narrow"/>
          <w:b/>
          <w:i w:val="0"/>
          <w:color w:val="auto"/>
          <w:sz w:val="20"/>
          <w:szCs w:val="20"/>
        </w:rPr>
        <w:fldChar w:fldCharType="begin"/>
      </w:r>
      <w:r w:rsidRPr="005F5BEA">
        <w:rPr>
          <w:rFonts w:ascii="Arial Narrow" w:hAnsi="Arial Narrow"/>
          <w:b/>
          <w:i w:val="0"/>
          <w:color w:val="auto"/>
          <w:sz w:val="20"/>
          <w:szCs w:val="20"/>
        </w:rPr>
        <w:instrText xml:space="preserve"> SEQ Table \* ARABIC </w:instrText>
      </w:r>
      <w:r w:rsidRPr="005F5BEA">
        <w:rPr>
          <w:rFonts w:ascii="Arial Narrow" w:hAnsi="Arial Narrow"/>
          <w:b/>
          <w:i w:val="0"/>
          <w:color w:val="auto"/>
          <w:sz w:val="20"/>
          <w:szCs w:val="20"/>
        </w:rPr>
        <w:fldChar w:fldCharType="separate"/>
      </w:r>
      <w:r w:rsidR="00334548">
        <w:rPr>
          <w:rFonts w:ascii="Arial Narrow" w:hAnsi="Arial Narrow"/>
          <w:b/>
          <w:i w:val="0"/>
          <w:noProof/>
          <w:color w:val="auto"/>
          <w:sz w:val="20"/>
          <w:szCs w:val="20"/>
        </w:rPr>
        <w:t>12</w:t>
      </w:r>
      <w:r w:rsidRPr="005F5BEA">
        <w:rPr>
          <w:rFonts w:ascii="Arial Narrow" w:hAnsi="Arial Narrow"/>
          <w:b/>
          <w:i w:val="0"/>
          <w:color w:val="auto"/>
          <w:sz w:val="20"/>
          <w:szCs w:val="20"/>
        </w:rPr>
        <w:fldChar w:fldCharType="end"/>
      </w:r>
      <w:r w:rsidRPr="005F5BEA">
        <w:rPr>
          <w:rFonts w:ascii="Arial Narrow" w:hAnsi="Arial Narrow"/>
          <w:b/>
          <w:i w:val="0"/>
          <w:color w:val="auto"/>
          <w:sz w:val="20"/>
          <w:szCs w:val="20"/>
        </w:rPr>
        <w:tab/>
        <w:t xml:space="preserve"> Labour costs, unscheduled in-person services</w:t>
      </w:r>
      <w:bookmarkEnd w:id="29"/>
    </w:p>
    <w:tbl>
      <w:tblPr>
        <w:tblStyle w:val="TableGrid"/>
        <w:tblW w:w="9016" w:type="dxa"/>
        <w:tblLayout w:type="fixed"/>
        <w:tblLook w:val="04A0" w:firstRow="1" w:lastRow="0" w:firstColumn="1" w:lastColumn="0" w:noHBand="0" w:noVBand="1"/>
      </w:tblPr>
      <w:tblGrid>
        <w:gridCol w:w="345"/>
        <w:gridCol w:w="3761"/>
        <w:gridCol w:w="1227"/>
        <w:gridCol w:w="1228"/>
        <w:gridCol w:w="1227"/>
        <w:gridCol w:w="1228"/>
      </w:tblGrid>
      <w:tr w:rsidR="0040580E" w:rsidRPr="005F5BEA" w14:paraId="59D713FF" w14:textId="77777777" w:rsidTr="005926D9">
        <w:trPr>
          <w:trHeight w:val="300"/>
          <w:tblHeader/>
        </w:trPr>
        <w:tc>
          <w:tcPr>
            <w:tcW w:w="345" w:type="dxa"/>
          </w:tcPr>
          <w:p w14:paraId="741F0A97" w14:textId="77777777" w:rsidR="0040580E" w:rsidRPr="005F5BEA" w:rsidRDefault="0040580E" w:rsidP="00EC391A">
            <w:pPr>
              <w:pStyle w:val="TableText"/>
              <w:rPr>
                <w:lang w:eastAsia="en-AU"/>
              </w:rPr>
            </w:pPr>
          </w:p>
        </w:tc>
        <w:tc>
          <w:tcPr>
            <w:tcW w:w="3761" w:type="dxa"/>
            <w:noWrap/>
            <w:hideMark/>
          </w:tcPr>
          <w:p w14:paraId="65E63DA9" w14:textId="77777777" w:rsidR="0040580E" w:rsidRPr="005F5BEA" w:rsidRDefault="0040580E" w:rsidP="00EC391A">
            <w:pPr>
              <w:pStyle w:val="TableText"/>
              <w:rPr>
                <w:lang w:eastAsia="en-AU"/>
              </w:rPr>
            </w:pPr>
          </w:p>
        </w:tc>
        <w:tc>
          <w:tcPr>
            <w:tcW w:w="1227" w:type="dxa"/>
            <w:noWrap/>
            <w:hideMark/>
          </w:tcPr>
          <w:p w14:paraId="4CD87182" w14:textId="77777777" w:rsidR="0040580E" w:rsidRPr="005F5BEA" w:rsidRDefault="0040580E" w:rsidP="00EC391A">
            <w:pPr>
              <w:pStyle w:val="TableText"/>
              <w:rPr>
                <w:b/>
                <w:lang w:eastAsia="en-AU"/>
              </w:rPr>
            </w:pPr>
            <w:r w:rsidRPr="005F5BEA">
              <w:rPr>
                <w:b/>
                <w:lang w:eastAsia="en-AU"/>
              </w:rPr>
              <w:t>2022</w:t>
            </w:r>
          </w:p>
        </w:tc>
        <w:tc>
          <w:tcPr>
            <w:tcW w:w="1228" w:type="dxa"/>
            <w:noWrap/>
            <w:hideMark/>
          </w:tcPr>
          <w:p w14:paraId="26875E65" w14:textId="77777777" w:rsidR="0040580E" w:rsidRPr="005F5BEA" w:rsidRDefault="0040580E" w:rsidP="00EC391A">
            <w:pPr>
              <w:pStyle w:val="TableText"/>
              <w:rPr>
                <w:b/>
                <w:lang w:eastAsia="en-AU"/>
              </w:rPr>
            </w:pPr>
            <w:r w:rsidRPr="005F5BEA">
              <w:rPr>
                <w:b/>
                <w:lang w:eastAsia="en-AU"/>
              </w:rPr>
              <w:t>2023</w:t>
            </w:r>
          </w:p>
        </w:tc>
        <w:tc>
          <w:tcPr>
            <w:tcW w:w="1227" w:type="dxa"/>
            <w:noWrap/>
            <w:hideMark/>
          </w:tcPr>
          <w:p w14:paraId="323D1E30" w14:textId="77777777" w:rsidR="0040580E" w:rsidRPr="005F5BEA" w:rsidRDefault="0040580E" w:rsidP="00EC391A">
            <w:pPr>
              <w:pStyle w:val="TableText"/>
              <w:rPr>
                <w:b/>
                <w:lang w:eastAsia="en-AU"/>
              </w:rPr>
            </w:pPr>
            <w:r w:rsidRPr="005F5BEA">
              <w:rPr>
                <w:b/>
                <w:lang w:eastAsia="en-AU"/>
              </w:rPr>
              <w:t>2024</w:t>
            </w:r>
          </w:p>
        </w:tc>
        <w:tc>
          <w:tcPr>
            <w:tcW w:w="1228" w:type="dxa"/>
            <w:noWrap/>
            <w:hideMark/>
          </w:tcPr>
          <w:p w14:paraId="6DBBD494" w14:textId="77777777" w:rsidR="0040580E" w:rsidRPr="005F5BEA" w:rsidRDefault="0040580E" w:rsidP="00EC391A">
            <w:pPr>
              <w:pStyle w:val="TableText"/>
              <w:rPr>
                <w:b/>
                <w:lang w:eastAsia="en-AU"/>
              </w:rPr>
            </w:pPr>
            <w:r w:rsidRPr="005F5BEA">
              <w:rPr>
                <w:b/>
                <w:lang w:eastAsia="en-AU"/>
              </w:rPr>
              <w:t>2025</w:t>
            </w:r>
          </w:p>
        </w:tc>
      </w:tr>
      <w:tr w:rsidR="005F5BEA" w:rsidRPr="005F5BEA" w14:paraId="07995DAB" w14:textId="77777777" w:rsidTr="00D865D4">
        <w:trPr>
          <w:trHeight w:val="300"/>
        </w:trPr>
        <w:tc>
          <w:tcPr>
            <w:tcW w:w="345" w:type="dxa"/>
          </w:tcPr>
          <w:p w14:paraId="2B26FC93" w14:textId="77777777" w:rsidR="005F5BEA" w:rsidRPr="005F5BEA" w:rsidRDefault="005F5BEA" w:rsidP="005F5BEA">
            <w:pPr>
              <w:pStyle w:val="TableText"/>
              <w:rPr>
                <w:lang w:eastAsia="en-AU"/>
              </w:rPr>
            </w:pPr>
            <w:r w:rsidRPr="005F5BEA">
              <w:rPr>
                <w:lang w:eastAsia="en-AU"/>
              </w:rPr>
              <w:t>A</w:t>
            </w:r>
          </w:p>
        </w:tc>
        <w:tc>
          <w:tcPr>
            <w:tcW w:w="3761" w:type="dxa"/>
            <w:noWrap/>
          </w:tcPr>
          <w:p w14:paraId="11B44C33" w14:textId="5AE7B15B" w:rsidR="005F5BEA" w:rsidRPr="005F5BEA" w:rsidRDefault="005F5BEA" w:rsidP="005F5BEA">
            <w:pPr>
              <w:pStyle w:val="TableText"/>
            </w:pPr>
            <w:r w:rsidRPr="0015623F">
              <w:t>No. ward checks</w:t>
            </w:r>
          </w:p>
        </w:tc>
        <w:tc>
          <w:tcPr>
            <w:tcW w:w="1227" w:type="dxa"/>
            <w:tcBorders>
              <w:bottom w:val="single" w:sz="4" w:space="0" w:color="auto"/>
            </w:tcBorders>
            <w:noWrap/>
          </w:tcPr>
          <w:p w14:paraId="4CDC0E3A" w14:textId="61E6AA88" w:rsidR="005F5BEA" w:rsidRPr="005F5BEA" w:rsidRDefault="005F5BEA" w:rsidP="005F5BEA">
            <w:pPr>
              <w:pStyle w:val="TableText"/>
            </w:pPr>
            <w:r w:rsidRPr="007243B7">
              <w:t>5,855</w:t>
            </w:r>
          </w:p>
        </w:tc>
        <w:tc>
          <w:tcPr>
            <w:tcW w:w="1228" w:type="dxa"/>
            <w:tcBorders>
              <w:bottom w:val="single" w:sz="4" w:space="0" w:color="auto"/>
            </w:tcBorders>
            <w:noWrap/>
          </w:tcPr>
          <w:p w14:paraId="311AAEC6" w14:textId="667C550E" w:rsidR="005F5BEA" w:rsidRPr="005F5BEA" w:rsidRDefault="005F5BEA" w:rsidP="005F5BEA">
            <w:pPr>
              <w:pStyle w:val="TableText"/>
            </w:pPr>
            <w:r w:rsidRPr="007243B7">
              <w:t>6,265</w:t>
            </w:r>
          </w:p>
        </w:tc>
        <w:tc>
          <w:tcPr>
            <w:tcW w:w="1227" w:type="dxa"/>
            <w:tcBorders>
              <w:bottom w:val="single" w:sz="4" w:space="0" w:color="auto"/>
            </w:tcBorders>
            <w:noWrap/>
          </w:tcPr>
          <w:p w14:paraId="67AFA464" w14:textId="569EE91C" w:rsidR="005F5BEA" w:rsidRPr="005F5BEA" w:rsidRDefault="005F5BEA" w:rsidP="005F5BEA">
            <w:pPr>
              <w:pStyle w:val="TableText"/>
            </w:pPr>
            <w:r w:rsidRPr="007243B7">
              <w:t>6,703</w:t>
            </w:r>
          </w:p>
        </w:tc>
        <w:tc>
          <w:tcPr>
            <w:tcW w:w="1228" w:type="dxa"/>
            <w:tcBorders>
              <w:bottom w:val="single" w:sz="4" w:space="0" w:color="auto"/>
            </w:tcBorders>
            <w:noWrap/>
          </w:tcPr>
          <w:p w14:paraId="58426E96" w14:textId="279C260D" w:rsidR="005F5BEA" w:rsidRPr="005F5BEA" w:rsidRDefault="005F5BEA" w:rsidP="005F5BEA">
            <w:pPr>
              <w:pStyle w:val="TableText"/>
            </w:pPr>
            <w:r w:rsidRPr="007243B7">
              <w:t>7,173</w:t>
            </w:r>
          </w:p>
        </w:tc>
      </w:tr>
      <w:tr w:rsidR="005F5BEA" w:rsidRPr="005F5BEA" w14:paraId="34BFC78A" w14:textId="77777777" w:rsidTr="00D865D4">
        <w:trPr>
          <w:trHeight w:val="300"/>
        </w:trPr>
        <w:tc>
          <w:tcPr>
            <w:tcW w:w="345" w:type="dxa"/>
          </w:tcPr>
          <w:p w14:paraId="21AB0F30" w14:textId="77777777" w:rsidR="005F5BEA" w:rsidRPr="005F5BEA" w:rsidRDefault="005F5BEA" w:rsidP="005F5BEA">
            <w:pPr>
              <w:pStyle w:val="TableText"/>
              <w:rPr>
                <w:lang w:eastAsia="en-AU"/>
              </w:rPr>
            </w:pPr>
            <w:r w:rsidRPr="005F5BEA">
              <w:rPr>
                <w:lang w:eastAsia="en-AU"/>
              </w:rPr>
              <w:t>B</w:t>
            </w:r>
          </w:p>
        </w:tc>
        <w:tc>
          <w:tcPr>
            <w:tcW w:w="3761" w:type="dxa"/>
            <w:noWrap/>
          </w:tcPr>
          <w:p w14:paraId="3A726267" w14:textId="0FA9548C" w:rsidR="005F5BEA" w:rsidRPr="005F5BEA" w:rsidRDefault="005F5BEA" w:rsidP="005F5BEA">
            <w:pPr>
              <w:pStyle w:val="TableText"/>
            </w:pPr>
            <w:r w:rsidRPr="0015623F">
              <w:t xml:space="preserve">Hours related to ward checks </w:t>
            </w:r>
            <w:r w:rsidRPr="0015623F">
              <w:br/>
              <w:t xml:space="preserve">(A × </w:t>
            </w:r>
            <w:r w:rsidR="00D865D4" w:rsidRPr="00185424">
              <w:rPr>
                <w:color w:val="000000"/>
                <w:spacing w:val="109"/>
                <w:shd w:val="solid" w:color="000000" w:fill="000000"/>
                <w:fitText w:val="195" w:id="-1157883379"/>
                <w14:textFill>
                  <w14:solidFill>
                    <w14:srgbClr w14:val="000000">
                      <w14:alpha w14:val="100000"/>
                    </w14:srgbClr>
                  </w14:solidFill>
                </w14:textFill>
              </w:rPr>
              <w:t>|</w:t>
            </w:r>
            <w:r w:rsidR="00D865D4" w:rsidRPr="00185424">
              <w:rPr>
                <w:color w:val="000000"/>
                <w:spacing w:val="1"/>
                <w:shd w:val="solid" w:color="000000" w:fill="000000"/>
                <w:fitText w:val="195" w:id="-1157883379"/>
                <w14:textFill>
                  <w14:solidFill>
                    <w14:srgbClr w14:val="000000">
                      <w14:alpha w14:val="100000"/>
                    </w14:srgbClr>
                  </w14:solidFill>
                </w14:textFill>
              </w:rPr>
              <w:t>|</w:t>
            </w:r>
            <w:r w:rsidR="008A6620" w:rsidRPr="008A6620">
              <w:t xml:space="preserve"> hours </w:t>
            </w:r>
            <w:r w:rsidRPr="0015623F">
              <w:t xml:space="preserve">per service) </w:t>
            </w:r>
            <w:r w:rsidRPr="0015623F">
              <w:rPr>
                <w:vertAlign w:val="superscript"/>
              </w:rPr>
              <w:t>a</w:t>
            </w:r>
          </w:p>
        </w:tc>
        <w:tc>
          <w:tcPr>
            <w:tcW w:w="1227" w:type="dxa"/>
            <w:shd w:val="solid" w:color="000000" w:fill="000000"/>
            <w:noWrap/>
          </w:tcPr>
          <w:p w14:paraId="5135EB93" w14:textId="6E1D47B1" w:rsidR="005F5BEA" w:rsidRPr="00D865D4" w:rsidRDefault="00D865D4" w:rsidP="005F5BEA">
            <w:pPr>
              <w:pStyle w:val="TableText"/>
            </w:pPr>
            <w:r w:rsidRPr="00185424">
              <w:rPr>
                <w:color w:val="000000"/>
                <w:spacing w:val="94"/>
                <w:fitText w:val="180" w:id="-1157883378"/>
                <w14:textFill>
                  <w14:solidFill>
                    <w14:srgbClr w14:val="000000">
                      <w14:alpha w14:val="100000"/>
                    </w14:srgbClr>
                  </w14:solidFill>
                </w14:textFill>
              </w:rPr>
              <w:t>|</w:t>
            </w:r>
            <w:r w:rsidRPr="00185424">
              <w:rPr>
                <w:color w:val="000000"/>
                <w:spacing w:val="1"/>
                <w:fitText w:val="180" w:id="-1157883378"/>
                <w14:textFill>
                  <w14:solidFill>
                    <w14:srgbClr w14:val="000000">
                      <w14:alpha w14:val="100000"/>
                    </w14:srgbClr>
                  </w14:solidFill>
                </w14:textFill>
              </w:rPr>
              <w:t>|</w:t>
            </w:r>
          </w:p>
        </w:tc>
        <w:tc>
          <w:tcPr>
            <w:tcW w:w="1228" w:type="dxa"/>
            <w:shd w:val="solid" w:color="000000" w:fill="000000"/>
            <w:noWrap/>
          </w:tcPr>
          <w:p w14:paraId="1C9B3E4C" w14:textId="7454310E" w:rsidR="005F5BEA" w:rsidRPr="00D865D4" w:rsidRDefault="00D865D4" w:rsidP="005F5BEA">
            <w:pPr>
              <w:pStyle w:val="TableText"/>
            </w:pPr>
            <w:r w:rsidRPr="00185424">
              <w:rPr>
                <w:color w:val="000000"/>
                <w:spacing w:val="94"/>
                <w:fitText w:val="180" w:id="-1157883377"/>
                <w14:textFill>
                  <w14:solidFill>
                    <w14:srgbClr w14:val="000000">
                      <w14:alpha w14:val="100000"/>
                    </w14:srgbClr>
                  </w14:solidFill>
                </w14:textFill>
              </w:rPr>
              <w:t>|</w:t>
            </w:r>
            <w:r w:rsidRPr="00185424">
              <w:rPr>
                <w:color w:val="000000"/>
                <w:spacing w:val="1"/>
                <w:fitText w:val="180" w:id="-1157883377"/>
                <w14:textFill>
                  <w14:solidFill>
                    <w14:srgbClr w14:val="000000">
                      <w14:alpha w14:val="100000"/>
                    </w14:srgbClr>
                  </w14:solidFill>
                </w14:textFill>
              </w:rPr>
              <w:t>|</w:t>
            </w:r>
          </w:p>
        </w:tc>
        <w:tc>
          <w:tcPr>
            <w:tcW w:w="1227" w:type="dxa"/>
            <w:shd w:val="solid" w:color="000000" w:fill="000000"/>
            <w:noWrap/>
          </w:tcPr>
          <w:p w14:paraId="0AB19F90" w14:textId="5CEAEBAF" w:rsidR="005F5BEA" w:rsidRPr="00D865D4" w:rsidRDefault="00D865D4" w:rsidP="005F5BEA">
            <w:pPr>
              <w:pStyle w:val="TableText"/>
            </w:pPr>
            <w:r w:rsidRPr="00185424">
              <w:rPr>
                <w:color w:val="000000"/>
                <w:spacing w:val="94"/>
                <w:fitText w:val="180" w:id="-1157883376"/>
                <w14:textFill>
                  <w14:solidFill>
                    <w14:srgbClr w14:val="000000">
                      <w14:alpha w14:val="100000"/>
                    </w14:srgbClr>
                  </w14:solidFill>
                </w14:textFill>
              </w:rPr>
              <w:t>|</w:t>
            </w:r>
            <w:r w:rsidRPr="00185424">
              <w:rPr>
                <w:color w:val="000000"/>
                <w:spacing w:val="1"/>
                <w:fitText w:val="180" w:id="-1157883376"/>
                <w14:textFill>
                  <w14:solidFill>
                    <w14:srgbClr w14:val="000000">
                      <w14:alpha w14:val="100000"/>
                    </w14:srgbClr>
                  </w14:solidFill>
                </w14:textFill>
              </w:rPr>
              <w:t>|</w:t>
            </w:r>
          </w:p>
        </w:tc>
        <w:tc>
          <w:tcPr>
            <w:tcW w:w="1228" w:type="dxa"/>
            <w:shd w:val="solid" w:color="000000" w:fill="000000"/>
            <w:noWrap/>
          </w:tcPr>
          <w:p w14:paraId="5B430265" w14:textId="3B606D52" w:rsidR="005F5BEA" w:rsidRPr="00D865D4" w:rsidRDefault="00D865D4" w:rsidP="005F5BEA">
            <w:pPr>
              <w:pStyle w:val="TableText"/>
            </w:pPr>
            <w:r w:rsidRPr="00185424">
              <w:rPr>
                <w:color w:val="000000"/>
                <w:spacing w:val="94"/>
                <w:fitText w:val="180" w:id="-1157883392"/>
                <w14:textFill>
                  <w14:solidFill>
                    <w14:srgbClr w14:val="000000">
                      <w14:alpha w14:val="100000"/>
                    </w14:srgbClr>
                  </w14:solidFill>
                </w14:textFill>
              </w:rPr>
              <w:t>|</w:t>
            </w:r>
            <w:r w:rsidRPr="00185424">
              <w:rPr>
                <w:color w:val="000000"/>
                <w:spacing w:val="1"/>
                <w:fitText w:val="180" w:id="-1157883392"/>
                <w14:textFill>
                  <w14:solidFill>
                    <w14:srgbClr w14:val="000000">
                      <w14:alpha w14:val="100000"/>
                    </w14:srgbClr>
                  </w14:solidFill>
                </w14:textFill>
              </w:rPr>
              <w:t>|</w:t>
            </w:r>
          </w:p>
        </w:tc>
      </w:tr>
      <w:tr w:rsidR="005F5BEA" w:rsidRPr="005F5BEA" w14:paraId="71E4741B" w14:textId="77777777" w:rsidTr="00D865D4">
        <w:trPr>
          <w:trHeight w:val="300"/>
        </w:trPr>
        <w:tc>
          <w:tcPr>
            <w:tcW w:w="345" w:type="dxa"/>
          </w:tcPr>
          <w:p w14:paraId="3C56D3B9" w14:textId="77777777" w:rsidR="005F5BEA" w:rsidRPr="005F5BEA" w:rsidRDefault="005F5BEA" w:rsidP="005F5BEA">
            <w:pPr>
              <w:pStyle w:val="TableText"/>
              <w:rPr>
                <w:lang w:eastAsia="en-AU"/>
              </w:rPr>
            </w:pPr>
            <w:r w:rsidRPr="005F5BEA">
              <w:rPr>
                <w:lang w:eastAsia="en-AU"/>
              </w:rPr>
              <w:t>C</w:t>
            </w:r>
          </w:p>
        </w:tc>
        <w:tc>
          <w:tcPr>
            <w:tcW w:w="3761" w:type="dxa"/>
            <w:noWrap/>
          </w:tcPr>
          <w:p w14:paraId="6A052AD5" w14:textId="25EB2F56" w:rsidR="005F5BEA" w:rsidRPr="005F5BEA" w:rsidRDefault="005F5BEA" w:rsidP="005F5BEA">
            <w:pPr>
              <w:pStyle w:val="TableText"/>
            </w:pPr>
            <w:r w:rsidRPr="0015623F">
              <w:t>No. emergency department checks</w:t>
            </w:r>
          </w:p>
        </w:tc>
        <w:tc>
          <w:tcPr>
            <w:tcW w:w="1227" w:type="dxa"/>
            <w:tcBorders>
              <w:bottom w:val="single" w:sz="4" w:space="0" w:color="auto"/>
            </w:tcBorders>
            <w:noWrap/>
          </w:tcPr>
          <w:p w14:paraId="63492A48" w14:textId="3826E89C" w:rsidR="005F5BEA" w:rsidRPr="005F5BEA" w:rsidRDefault="005F5BEA" w:rsidP="005F5BEA">
            <w:pPr>
              <w:pStyle w:val="TableText"/>
            </w:pPr>
            <w:r w:rsidRPr="007243B7">
              <w:t>1,234</w:t>
            </w:r>
          </w:p>
        </w:tc>
        <w:tc>
          <w:tcPr>
            <w:tcW w:w="1228" w:type="dxa"/>
            <w:tcBorders>
              <w:bottom w:val="single" w:sz="4" w:space="0" w:color="auto"/>
            </w:tcBorders>
            <w:noWrap/>
          </w:tcPr>
          <w:p w14:paraId="08E8047F" w14:textId="41157D9D" w:rsidR="005F5BEA" w:rsidRPr="005F5BEA" w:rsidRDefault="005F5BEA" w:rsidP="005F5BEA">
            <w:pPr>
              <w:pStyle w:val="TableText"/>
            </w:pPr>
            <w:r w:rsidRPr="007243B7">
              <w:t>1,321</w:t>
            </w:r>
          </w:p>
        </w:tc>
        <w:tc>
          <w:tcPr>
            <w:tcW w:w="1227" w:type="dxa"/>
            <w:tcBorders>
              <w:bottom w:val="single" w:sz="4" w:space="0" w:color="auto"/>
            </w:tcBorders>
            <w:noWrap/>
          </w:tcPr>
          <w:p w14:paraId="480124AC" w14:textId="17BF08B2" w:rsidR="005F5BEA" w:rsidRPr="005F5BEA" w:rsidRDefault="005F5BEA" w:rsidP="005F5BEA">
            <w:pPr>
              <w:pStyle w:val="TableText"/>
            </w:pPr>
            <w:r w:rsidRPr="007243B7">
              <w:t>1,413</w:t>
            </w:r>
          </w:p>
        </w:tc>
        <w:tc>
          <w:tcPr>
            <w:tcW w:w="1228" w:type="dxa"/>
            <w:tcBorders>
              <w:bottom w:val="single" w:sz="4" w:space="0" w:color="auto"/>
            </w:tcBorders>
            <w:noWrap/>
          </w:tcPr>
          <w:p w14:paraId="6EE8BE96" w14:textId="798D7BD4" w:rsidR="005F5BEA" w:rsidRPr="005F5BEA" w:rsidRDefault="005F5BEA" w:rsidP="005F5BEA">
            <w:pPr>
              <w:pStyle w:val="TableText"/>
            </w:pPr>
            <w:r w:rsidRPr="007243B7">
              <w:t>1,512</w:t>
            </w:r>
          </w:p>
        </w:tc>
      </w:tr>
      <w:tr w:rsidR="005F5BEA" w:rsidRPr="005F5BEA" w14:paraId="119731FD" w14:textId="77777777" w:rsidTr="00D865D4">
        <w:trPr>
          <w:trHeight w:val="300"/>
        </w:trPr>
        <w:tc>
          <w:tcPr>
            <w:tcW w:w="345" w:type="dxa"/>
          </w:tcPr>
          <w:p w14:paraId="64471423" w14:textId="77777777" w:rsidR="005F5BEA" w:rsidRPr="005F5BEA" w:rsidRDefault="005F5BEA" w:rsidP="005F5BEA">
            <w:pPr>
              <w:pStyle w:val="TableText"/>
              <w:rPr>
                <w:lang w:eastAsia="en-AU"/>
              </w:rPr>
            </w:pPr>
            <w:r w:rsidRPr="005F5BEA">
              <w:rPr>
                <w:lang w:eastAsia="en-AU"/>
              </w:rPr>
              <w:t>D</w:t>
            </w:r>
          </w:p>
        </w:tc>
        <w:tc>
          <w:tcPr>
            <w:tcW w:w="3761" w:type="dxa"/>
            <w:noWrap/>
          </w:tcPr>
          <w:p w14:paraId="15DC64F3" w14:textId="7D4EA6F8" w:rsidR="005F5BEA" w:rsidRPr="005F5BEA" w:rsidRDefault="005F5BEA" w:rsidP="005F5BEA">
            <w:pPr>
              <w:pStyle w:val="TableText"/>
            </w:pPr>
            <w:r w:rsidRPr="0015623F">
              <w:t xml:space="preserve">Hours related to emergency department checks </w:t>
            </w:r>
            <w:r w:rsidRPr="0015623F">
              <w:br/>
              <w:t xml:space="preserve">(C × </w:t>
            </w:r>
            <w:r w:rsidR="00D865D4" w:rsidRPr="00185424">
              <w:rPr>
                <w:color w:val="000000"/>
                <w:spacing w:val="94"/>
                <w:shd w:val="solid" w:color="000000" w:fill="000000"/>
                <w:fitText w:val="180" w:id="-1157883391"/>
                <w14:textFill>
                  <w14:solidFill>
                    <w14:srgbClr w14:val="000000">
                      <w14:alpha w14:val="100000"/>
                    </w14:srgbClr>
                  </w14:solidFill>
                </w14:textFill>
              </w:rPr>
              <w:t>|</w:t>
            </w:r>
            <w:r w:rsidR="00D865D4" w:rsidRPr="00185424">
              <w:rPr>
                <w:color w:val="000000"/>
                <w:spacing w:val="1"/>
                <w:shd w:val="solid" w:color="000000" w:fill="000000"/>
                <w:fitText w:val="180" w:id="-1157883391"/>
                <w14:textFill>
                  <w14:solidFill>
                    <w14:srgbClr w14:val="000000">
                      <w14:alpha w14:val="100000"/>
                    </w14:srgbClr>
                  </w14:solidFill>
                </w14:textFill>
              </w:rPr>
              <w:t>|</w:t>
            </w:r>
            <w:r w:rsidR="008A6620" w:rsidRPr="008A6620">
              <w:t xml:space="preserve"> hours </w:t>
            </w:r>
            <w:r w:rsidRPr="0015623F">
              <w:t xml:space="preserve">per service) </w:t>
            </w:r>
            <w:r w:rsidRPr="0015623F">
              <w:rPr>
                <w:vertAlign w:val="superscript"/>
              </w:rPr>
              <w:t>b</w:t>
            </w:r>
          </w:p>
        </w:tc>
        <w:tc>
          <w:tcPr>
            <w:tcW w:w="1227" w:type="dxa"/>
            <w:shd w:val="solid" w:color="000000" w:fill="000000"/>
            <w:noWrap/>
          </w:tcPr>
          <w:p w14:paraId="431976C6" w14:textId="4D688389" w:rsidR="005F5BEA" w:rsidRPr="00D865D4" w:rsidRDefault="00D865D4" w:rsidP="005F5BEA">
            <w:pPr>
              <w:pStyle w:val="TableText"/>
            </w:pPr>
            <w:r w:rsidRPr="00185424">
              <w:rPr>
                <w:color w:val="000000"/>
                <w:spacing w:val="94"/>
                <w:fitText w:val="180" w:id="-1157883390"/>
                <w14:textFill>
                  <w14:solidFill>
                    <w14:srgbClr w14:val="000000">
                      <w14:alpha w14:val="100000"/>
                    </w14:srgbClr>
                  </w14:solidFill>
                </w14:textFill>
              </w:rPr>
              <w:t>|</w:t>
            </w:r>
            <w:r w:rsidRPr="00185424">
              <w:rPr>
                <w:color w:val="000000"/>
                <w:spacing w:val="1"/>
                <w:fitText w:val="180" w:id="-1157883390"/>
                <w14:textFill>
                  <w14:solidFill>
                    <w14:srgbClr w14:val="000000">
                      <w14:alpha w14:val="100000"/>
                    </w14:srgbClr>
                  </w14:solidFill>
                </w14:textFill>
              </w:rPr>
              <w:t>|</w:t>
            </w:r>
          </w:p>
        </w:tc>
        <w:tc>
          <w:tcPr>
            <w:tcW w:w="1228" w:type="dxa"/>
            <w:shd w:val="solid" w:color="000000" w:fill="000000"/>
            <w:noWrap/>
          </w:tcPr>
          <w:p w14:paraId="42EE621F" w14:textId="3D8AF9F5" w:rsidR="005F5BEA" w:rsidRPr="00D865D4" w:rsidRDefault="00D865D4" w:rsidP="005F5BEA">
            <w:pPr>
              <w:pStyle w:val="TableText"/>
            </w:pPr>
            <w:r w:rsidRPr="00185424">
              <w:rPr>
                <w:color w:val="000000"/>
                <w:spacing w:val="94"/>
                <w:fitText w:val="180" w:id="-1157883389"/>
                <w14:textFill>
                  <w14:solidFill>
                    <w14:srgbClr w14:val="000000">
                      <w14:alpha w14:val="100000"/>
                    </w14:srgbClr>
                  </w14:solidFill>
                </w14:textFill>
              </w:rPr>
              <w:t>|</w:t>
            </w:r>
            <w:r w:rsidRPr="00185424">
              <w:rPr>
                <w:color w:val="000000"/>
                <w:spacing w:val="1"/>
                <w:fitText w:val="180" w:id="-1157883389"/>
                <w14:textFill>
                  <w14:solidFill>
                    <w14:srgbClr w14:val="000000">
                      <w14:alpha w14:val="100000"/>
                    </w14:srgbClr>
                  </w14:solidFill>
                </w14:textFill>
              </w:rPr>
              <w:t>|</w:t>
            </w:r>
          </w:p>
        </w:tc>
        <w:tc>
          <w:tcPr>
            <w:tcW w:w="1227" w:type="dxa"/>
            <w:shd w:val="solid" w:color="000000" w:fill="000000"/>
            <w:noWrap/>
          </w:tcPr>
          <w:p w14:paraId="4E371115" w14:textId="17A40805" w:rsidR="005F5BEA" w:rsidRPr="00D865D4" w:rsidRDefault="00D865D4" w:rsidP="005F5BEA">
            <w:pPr>
              <w:pStyle w:val="TableText"/>
            </w:pPr>
            <w:r w:rsidRPr="00185424">
              <w:rPr>
                <w:color w:val="000000"/>
                <w:spacing w:val="94"/>
                <w:fitText w:val="180" w:id="-1157883388"/>
                <w14:textFill>
                  <w14:solidFill>
                    <w14:srgbClr w14:val="000000">
                      <w14:alpha w14:val="100000"/>
                    </w14:srgbClr>
                  </w14:solidFill>
                </w14:textFill>
              </w:rPr>
              <w:t>|</w:t>
            </w:r>
            <w:r w:rsidRPr="00185424">
              <w:rPr>
                <w:color w:val="000000"/>
                <w:spacing w:val="1"/>
                <w:fitText w:val="180" w:id="-1157883388"/>
                <w14:textFill>
                  <w14:solidFill>
                    <w14:srgbClr w14:val="000000">
                      <w14:alpha w14:val="100000"/>
                    </w14:srgbClr>
                  </w14:solidFill>
                </w14:textFill>
              </w:rPr>
              <w:t>|</w:t>
            </w:r>
          </w:p>
        </w:tc>
        <w:tc>
          <w:tcPr>
            <w:tcW w:w="1228" w:type="dxa"/>
            <w:shd w:val="solid" w:color="000000" w:fill="000000"/>
            <w:noWrap/>
          </w:tcPr>
          <w:p w14:paraId="319739F5" w14:textId="0AD45D65" w:rsidR="005F5BEA" w:rsidRPr="00D865D4" w:rsidRDefault="00D865D4" w:rsidP="005F5BEA">
            <w:pPr>
              <w:pStyle w:val="TableText"/>
            </w:pPr>
            <w:r w:rsidRPr="00185424">
              <w:rPr>
                <w:color w:val="000000"/>
                <w:spacing w:val="94"/>
                <w:fitText w:val="180" w:id="-1157883387"/>
                <w14:textFill>
                  <w14:solidFill>
                    <w14:srgbClr w14:val="000000">
                      <w14:alpha w14:val="100000"/>
                    </w14:srgbClr>
                  </w14:solidFill>
                </w14:textFill>
              </w:rPr>
              <w:t>|</w:t>
            </w:r>
            <w:r w:rsidRPr="00185424">
              <w:rPr>
                <w:color w:val="000000"/>
                <w:spacing w:val="1"/>
                <w:fitText w:val="180" w:id="-1157883387"/>
                <w14:textFill>
                  <w14:solidFill>
                    <w14:srgbClr w14:val="000000">
                      <w14:alpha w14:val="100000"/>
                    </w14:srgbClr>
                  </w14:solidFill>
                </w14:textFill>
              </w:rPr>
              <w:t>|</w:t>
            </w:r>
          </w:p>
        </w:tc>
      </w:tr>
      <w:tr w:rsidR="005F5BEA" w:rsidRPr="005F5BEA" w14:paraId="69E67DA7" w14:textId="77777777" w:rsidTr="00D865D4">
        <w:trPr>
          <w:trHeight w:val="300"/>
        </w:trPr>
        <w:tc>
          <w:tcPr>
            <w:tcW w:w="345" w:type="dxa"/>
          </w:tcPr>
          <w:p w14:paraId="70658369" w14:textId="77777777" w:rsidR="005F5BEA" w:rsidRPr="005F5BEA" w:rsidRDefault="005F5BEA" w:rsidP="005F5BEA">
            <w:pPr>
              <w:pStyle w:val="TableText"/>
              <w:rPr>
                <w:lang w:eastAsia="en-AU"/>
              </w:rPr>
            </w:pPr>
            <w:r w:rsidRPr="005F5BEA">
              <w:rPr>
                <w:lang w:eastAsia="en-AU"/>
              </w:rPr>
              <w:t>E</w:t>
            </w:r>
          </w:p>
        </w:tc>
        <w:tc>
          <w:tcPr>
            <w:tcW w:w="3761" w:type="dxa"/>
            <w:noWrap/>
          </w:tcPr>
          <w:p w14:paraId="016F3E72" w14:textId="29C315EA" w:rsidR="005F5BEA" w:rsidRPr="005F5BEA" w:rsidRDefault="005F5BEA" w:rsidP="005F5BEA">
            <w:pPr>
              <w:pStyle w:val="TableText"/>
            </w:pPr>
            <w:r w:rsidRPr="0015623F">
              <w:t>No. MRI checks (inpatient)</w:t>
            </w:r>
          </w:p>
        </w:tc>
        <w:tc>
          <w:tcPr>
            <w:tcW w:w="1227" w:type="dxa"/>
            <w:tcBorders>
              <w:bottom w:val="single" w:sz="4" w:space="0" w:color="auto"/>
            </w:tcBorders>
            <w:noWrap/>
          </w:tcPr>
          <w:p w14:paraId="23BB5316" w14:textId="1193D150" w:rsidR="005F5BEA" w:rsidRPr="005F5BEA" w:rsidRDefault="005F5BEA" w:rsidP="005F5BEA">
            <w:pPr>
              <w:pStyle w:val="TableText"/>
            </w:pPr>
            <w:r w:rsidRPr="007243B7">
              <w:t>834</w:t>
            </w:r>
          </w:p>
        </w:tc>
        <w:tc>
          <w:tcPr>
            <w:tcW w:w="1228" w:type="dxa"/>
            <w:tcBorders>
              <w:bottom w:val="single" w:sz="4" w:space="0" w:color="auto"/>
            </w:tcBorders>
            <w:noWrap/>
          </w:tcPr>
          <w:p w14:paraId="646F4B42" w14:textId="7B11233E" w:rsidR="005F5BEA" w:rsidRPr="005F5BEA" w:rsidRDefault="005F5BEA" w:rsidP="005F5BEA">
            <w:pPr>
              <w:pStyle w:val="TableText"/>
            </w:pPr>
            <w:r w:rsidRPr="007243B7">
              <w:t>892</w:t>
            </w:r>
          </w:p>
        </w:tc>
        <w:tc>
          <w:tcPr>
            <w:tcW w:w="1227" w:type="dxa"/>
            <w:tcBorders>
              <w:bottom w:val="single" w:sz="4" w:space="0" w:color="auto"/>
            </w:tcBorders>
            <w:noWrap/>
          </w:tcPr>
          <w:p w14:paraId="1CA70745" w14:textId="21EB77F6" w:rsidR="005F5BEA" w:rsidRPr="005F5BEA" w:rsidRDefault="005F5BEA" w:rsidP="005F5BEA">
            <w:pPr>
              <w:pStyle w:val="TableText"/>
            </w:pPr>
            <w:r w:rsidRPr="007243B7">
              <w:t>955</w:t>
            </w:r>
          </w:p>
        </w:tc>
        <w:tc>
          <w:tcPr>
            <w:tcW w:w="1228" w:type="dxa"/>
            <w:tcBorders>
              <w:bottom w:val="single" w:sz="4" w:space="0" w:color="auto"/>
            </w:tcBorders>
            <w:noWrap/>
          </w:tcPr>
          <w:p w14:paraId="4ECEAD98" w14:textId="1DA81CD6" w:rsidR="005F5BEA" w:rsidRPr="005F5BEA" w:rsidRDefault="005F5BEA" w:rsidP="005F5BEA">
            <w:pPr>
              <w:pStyle w:val="TableText"/>
            </w:pPr>
            <w:r w:rsidRPr="007243B7">
              <w:t>1,022</w:t>
            </w:r>
          </w:p>
        </w:tc>
      </w:tr>
      <w:tr w:rsidR="005F5BEA" w:rsidRPr="005F5BEA" w14:paraId="2AF33DF3" w14:textId="77777777" w:rsidTr="00D865D4">
        <w:trPr>
          <w:trHeight w:val="300"/>
        </w:trPr>
        <w:tc>
          <w:tcPr>
            <w:tcW w:w="345" w:type="dxa"/>
          </w:tcPr>
          <w:p w14:paraId="4A6F5CEA" w14:textId="77777777" w:rsidR="005F5BEA" w:rsidRPr="005F5BEA" w:rsidRDefault="005F5BEA" w:rsidP="005F5BEA">
            <w:pPr>
              <w:pStyle w:val="TableText"/>
              <w:rPr>
                <w:lang w:eastAsia="en-AU"/>
              </w:rPr>
            </w:pPr>
            <w:r w:rsidRPr="005F5BEA">
              <w:rPr>
                <w:lang w:eastAsia="en-AU"/>
              </w:rPr>
              <w:t>F</w:t>
            </w:r>
          </w:p>
        </w:tc>
        <w:tc>
          <w:tcPr>
            <w:tcW w:w="3761" w:type="dxa"/>
            <w:noWrap/>
          </w:tcPr>
          <w:p w14:paraId="2D4C5068" w14:textId="100F9A4D" w:rsidR="005F5BEA" w:rsidRPr="005F5BEA" w:rsidRDefault="005F5BEA" w:rsidP="005F5BEA">
            <w:pPr>
              <w:pStyle w:val="TableText"/>
            </w:pPr>
            <w:r w:rsidRPr="0015623F">
              <w:t xml:space="preserve">Hours related to MRI checks (inpatient) </w:t>
            </w:r>
            <w:r w:rsidRPr="0015623F">
              <w:br/>
              <w:t xml:space="preserve">(E × </w:t>
            </w:r>
            <w:r w:rsidR="00D865D4" w:rsidRPr="00185424">
              <w:rPr>
                <w:color w:val="000000"/>
                <w:spacing w:val="109"/>
                <w:shd w:val="solid" w:color="000000" w:fill="000000"/>
                <w:fitText w:val="195" w:id="-1157883386"/>
                <w14:textFill>
                  <w14:solidFill>
                    <w14:srgbClr w14:val="000000">
                      <w14:alpha w14:val="100000"/>
                    </w14:srgbClr>
                  </w14:solidFill>
                </w14:textFill>
              </w:rPr>
              <w:t>|</w:t>
            </w:r>
            <w:r w:rsidR="00D865D4" w:rsidRPr="00185424">
              <w:rPr>
                <w:color w:val="000000"/>
                <w:spacing w:val="1"/>
                <w:shd w:val="solid" w:color="000000" w:fill="000000"/>
                <w:fitText w:val="195" w:id="-1157883386"/>
                <w14:textFill>
                  <w14:solidFill>
                    <w14:srgbClr w14:val="000000">
                      <w14:alpha w14:val="100000"/>
                    </w14:srgbClr>
                  </w14:solidFill>
                </w14:textFill>
              </w:rPr>
              <w:t>|</w:t>
            </w:r>
            <w:r w:rsidR="008A6620" w:rsidRPr="008A6620">
              <w:t xml:space="preserve"> hours </w:t>
            </w:r>
            <w:r w:rsidRPr="0015623F">
              <w:t xml:space="preserve">per service) </w:t>
            </w:r>
            <w:r w:rsidRPr="0015623F">
              <w:rPr>
                <w:vertAlign w:val="superscript"/>
              </w:rPr>
              <w:t>c</w:t>
            </w:r>
          </w:p>
        </w:tc>
        <w:tc>
          <w:tcPr>
            <w:tcW w:w="1227" w:type="dxa"/>
            <w:shd w:val="solid" w:color="000000" w:fill="000000"/>
            <w:noWrap/>
          </w:tcPr>
          <w:p w14:paraId="63B55FA0" w14:textId="419F2EB3" w:rsidR="005F5BEA" w:rsidRPr="00D865D4" w:rsidRDefault="00D865D4" w:rsidP="005F5BEA">
            <w:pPr>
              <w:pStyle w:val="TableText"/>
            </w:pPr>
            <w:r w:rsidRPr="00185424">
              <w:rPr>
                <w:color w:val="000000"/>
                <w:spacing w:val="94"/>
                <w:fitText w:val="180" w:id="-1157883136"/>
                <w14:textFill>
                  <w14:solidFill>
                    <w14:srgbClr w14:val="000000">
                      <w14:alpha w14:val="100000"/>
                    </w14:srgbClr>
                  </w14:solidFill>
                </w14:textFill>
              </w:rPr>
              <w:t>|</w:t>
            </w:r>
            <w:r w:rsidRPr="00185424">
              <w:rPr>
                <w:color w:val="000000"/>
                <w:spacing w:val="1"/>
                <w:fitText w:val="180" w:id="-1157883136"/>
                <w14:textFill>
                  <w14:solidFill>
                    <w14:srgbClr w14:val="000000">
                      <w14:alpha w14:val="100000"/>
                    </w14:srgbClr>
                  </w14:solidFill>
                </w14:textFill>
              </w:rPr>
              <w:t>|</w:t>
            </w:r>
          </w:p>
        </w:tc>
        <w:tc>
          <w:tcPr>
            <w:tcW w:w="1228" w:type="dxa"/>
            <w:shd w:val="solid" w:color="000000" w:fill="000000"/>
            <w:noWrap/>
          </w:tcPr>
          <w:p w14:paraId="40225FA8" w14:textId="12CF61BF" w:rsidR="005F5BEA" w:rsidRPr="00D865D4" w:rsidRDefault="00D865D4" w:rsidP="005F5BEA">
            <w:pPr>
              <w:pStyle w:val="TableText"/>
            </w:pPr>
            <w:r w:rsidRPr="00185424">
              <w:rPr>
                <w:color w:val="000000"/>
                <w:spacing w:val="94"/>
                <w:fitText w:val="180" w:id="-1157883135"/>
                <w14:textFill>
                  <w14:solidFill>
                    <w14:srgbClr w14:val="000000">
                      <w14:alpha w14:val="100000"/>
                    </w14:srgbClr>
                  </w14:solidFill>
                </w14:textFill>
              </w:rPr>
              <w:t>|</w:t>
            </w:r>
            <w:r w:rsidRPr="00185424">
              <w:rPr>
                <w:color w:val="000000"/>
                <w:spacing w:val="1"/>
                <w:fitText w:val="180" w:id="-1157883135"/>
                <w14:textFill>
                  <w14:solidFill>
                    <w14:srgbClr w14:val="000000">
                      <w14:alpha w14:val="100000"/>
                    </w14:srgbClr>
                  </w14:solidFill>
                </w14:textFill>
              </w:rPr>
              <w:t>|</w:t>
            </w:r>
          </w:p>
        </w:tc>
        <w:tc>
          <w:tcPr>
            <w:tcW w:w="1227" w:type="dxa"/>
            <w:shd w:val="solid" w:color="000000" w:fill="000000"/>
            <w:noWrap/>
          </w:tcPr>
          <w:p w14:paraId="01BC8468" w14:textId="38E59243" w:rsidR="005F5BEA" w:rsidRPr="00D865D4" w:rsidRDefault="00D865D4" w:rsidP="005F5BEA">
            <w:pPr>
              <w:pStyle w:val="TableText"/>
            </w:pPr>
            <w:r w:rsidRPr="00185424">
              <w:rPr>
                <w:color w:val="000000"/>
                <w:spacing w:val="94"/>
                <w:fitText w:val="180" w:id="-1157883134"/>
                <w14:textFill>
                  <w14:solidFill>
                    <w14:srgbClr w14:val="000000">
                      <w14:alpha w14:val="100000"/>
                    </w14:srgbClr>
                  </w14:solidFill>
                </w14:textFill>
              </w:rPr>
              <w:t>|</w:t>
            </w:r>
            <w:r w:rsidRPr="00185424">
              <w:rPr>
                <w:color w:val="000000"/>
                <w:spacing w:val="1"/>
                <w:fitText w:val="180" w:id="-1157883134"/>
                <w14:textFill>
                  <w14:solidFill>
                    <w14:srgbClr w14:val="000000">
                      <w14:alpha w14:val="100000"/>
                    </w14:srgbClr>
                  </w14:solidFill>
                </w14:textFill>
              </w:rPr>
              <w:t>|</w:t>
            </w:r>
          </w:p>
        </w:tc>
        <w:tc>
          <w:tcPr>
            <w:tcW w:w="1228" w:type="dxa"/>
            <w:shd w:val="solid" w:color="000000" w:fill="000000"/>
            <w:noWrap/>
          </w:tcPr>
          <w:p w14:paraId="38302B20" w14:textId="5A28DED1" w:rsidR="005F5BEA" w:rsidRPr="00D865D4" w:rsidRDefault="00D865D4" w:rsidP="005F5BEA">
            <w:pPr>
              <w:pStyle w:val="TableText"/>
            </w:pPr>
            <w:r w:rsidRPr="00185424">
              <w:rPr>
                <w:color w:val="000000"/>
                <w:spacing w:val="94"/>
                <w:fitText w:val="180" w:id="-1157883133"/>
                <w14:textFill>
                  <w14:solidFill>
                    <w14:srgbClr w14:val="000000">
                      <w14:alpha w14:val="100000"/>
                    </w14:srgbClr>
                  </w14:solidFill>
                </w14:textFill>
              </w:rPr>
              <w:t>|</w:t>
            </w:r>
            <w:r w:rsidRPr="00185424">
              <w:rPr>
                <w:color w:val="000000"/>
                <w:spacing w:val="1"/>
                <w:fitText w:val="180" w:id="-1157883133"/>
                <w14:textFill>
                  <w14:solidFill>
                    <w14:srgbClr w14:val="000000">
                      <w14:alpha w14:val="100000"/>
                    </w14:srgbClr>
                  </w14:solidFill>
                </w14:textFill>
              </w:rPr>
              <w:t>|</w:t>
            </w:r>
          </w:p>
        </w:tc>
      </w:tr>
      <w:tr w:rsidR="005F5BEA" w:rsidRPr="005F5BEA" w14:paraId="54142F46" w14:textId="77777777" w:rsidTr="00D865D4">
        <w:trPr>
          <w:trHeight w:val="300"/>
        </w:trPr>
        <w:tc>
          <w:tcPr>
            <w:tcW w:w="345" w:type="dxa"/>
          </w:tcPr>
          <w:p w14:paraId="509C5D28" w14:textId="77777777" w:rsidR="005F5BEA" w:rsidRPr="005F5BEA" w:rsidRDefault="005F5BEA" w:rsidP="005F5BEA">
            <w:pPr>
              <w:pStyle w:val="TableText"/>
              <w:rPr>
                <w:lang w:eastAsia="en-AU"/>
              </w:rPr>
            </w:pPr>
            <w:r w:rsidRPr="005F5BEA">
              <w:rPr>
                <w:lang w:eastAsia="en-AU"/>
              </w:rPr>
              <w:t>G</w:t>
            </w:r>
          </w:p>
        </w:tc>
        <w:tc>
          <w:tcPr>
            <w:tcW w:w="3761" w:type="dxa"/>
            <w:noWrap/>
          </w:tcPr>
          <w:p w14:paraId="19AEA51F" w14:textId="3AAB1308" w:rsidR="005F5BEA" w:rsidRPr="005F5BEA" w:rsidRDefault="005F5BEA" w:rsidP="005F5BEA">
            <w:pPr>
              <w:pStyle w:val="TableText"/>
            </w:pPr>
            <w:r w:rsidRPr="0015623F">
              <w:t>No. MRI checks (outpatient)</w:t>
            </w:r>
          </w:p>
        </w:tc>
        <w:tc>
          <w:tcPr>
            <w:tcW w:w="1227" w:type="dxa"/>
            <w:tcBorders>
              <w:bottom w:val="single" w:sz="4" w:space="0" w:color="auto"/>
            </w:tcBorders>
            <w:noWrap/>
          </w:tcPr>
          <w:p w14:paraId="5C0144B7" w14:textId="0CD5558C" w:rsidR="005F5BEA" w:rsidRPr="005F5BEA" w:rsidRDefault="005F5BEA" w:rsidP="005F5BEA">
            <w:pPr>
              <w:pStyle w:val="TableText"/>
            </w:pPr>
            <w:r w:rsidRPr="007243B7">
              <w:t>3,286</w:t>
            </w:r>
          </w:p>
        </w:tc>
        <w:tc>
          <w:tcPr>
            <w:tcW w:w="1228" w:type="dxa"/>
            <w:tcBorders>
              <w:bottom w:val="single" w:sz="4" w:space="0" w:color="auto"/>
            </w:tcBorders>
            <w:noWrap/>
          </w:tcPr>
          <w:p w14:paraId="37B611FF" w14:textId="772DC819" w:rsidR="005F5BEA" w:rsidRPr="005F5BEA" w:rsidRDefault="005F5BEA" w:rsidP="005F5BEA">
            <w:pPr>
              <w:pStyle w:val="TableText"/>
            </w:pPr>
            <w:r w:rsidRPr="007243B7">
              <w:t>3,516</w:t>
            </w:r>
          </w:p>
        </w:tc>
        <w:tc>
          <w:tcPr>
            <w:tcW w:w="1227" w:type="dxa"/>
            <w:tcBorders>
              <w:bottom w:val="single" w:sz="4" w:space="0" w:color="auto"/>
            </w:tcBorders>
            <w:noWrap/>
          </w:tcPr>
          <w:p w14:paraId="5EDD4498" w14:textId="019D4A3D" w:rsidR="005F5BEA" w:rsidRPr="005F5BEA" w:rsidRDefault="005F5BEA" w:rsidP="005F5BEA">
            <w:pPr>
              <w:pStyle w:val="TableText"/>
            </w:pPr>
            <w:r w:rsidRPr="007243B7">
              <w:t>3,762</w:t>
            </w:r>
          </w:p>
        </w:tc>
        <w:tc>
          <w:tcPr>
            <w:tcW w:w="1228" w:type="dxa"/>
            <w:tcBorders>
              <w:bottom w:val="single" w:sz="4" w:space="0" w:color="auto"/>
            </w:tcBorders>
            <w:noWrap/>
          </w:tcPr>
          <w:p w14:paraId="699D56B4" w14:textId="4B75847F" w:rsidR="005F5BEA" w:rsidRPr="005F5BEA" w:rsidRDefault="005F5BEA" w:rsidP="005F5BEA">
            <w:pPr>
              <w:pStyle w:val="TableText"/>
            </w:pPr>
            <w:r w:rsidRPr="007243B7">
              <w:t>4,026</w:t>
            </w:r>
          </w:p>
        </w:tc>
      </w:tr>
      <w:tr w:rsidR="005F5BEA" w:rsidRPr="005F5BEA" w14:paraId="14F4AA6A" w14:textId="77777777" w:rsidTr="00D865D4">
        <w:trPr>
          <w:trHeight w:val="300"/>
        </w:trPr>
        <w:tc>
          <w:tcPr>
            <w:tcW w:w="345" w:type="dxa"/>
          </w:tcPr>
          <w:p w14:paraId="2566823F" w14:textId="77777777" w:rsidR="005F5BEA" w:rsidRPr="005F5BEA" w:rsidRDefault="005F5BEA" w:rsidP="005F5BEA">
            <w:pPr>
              <w:pStyle w:val="TableText"/>
              <w:rPr>
                <w:lang w:eastAsia="en-AU"/>
              </w:rPr>
            </w:pPr>
            <w:r w:rsidRPr="005F5BEA">
              <w:rPr>
                <w:lang w:eastAsia="en-AU"/>
              </w:rPr>
              <w:t>H</w:t>
            </w:r>
          </w:p>
        </w:tc>
        <w:tc>
          <w:tcPr>
            <w:tcW w:w="3761" w:type="dxa"/>
            <w:noWrap/>
          </w:tcPr>
          <w:p w14:paraId="689F815A" w14:textId="6CF8E6E4" w:rsidR="005F5BEA" w:rsidRPr="005F5BEA" w:rsidRDefault="005F5BEA" w:rsidP="005F5BEA">
            <w:pPr>
              <w:pStyle w:val="TableText"/>
            </w:pPr>
            <w:r w:rsidRPr="0015623F">
              <w:t xml:space="preserve">Hours related to MRI checks (outpatient) </w:t>
            </w:r>
            <w:r w:rsidRPr="0015623F">
              <w:br/>
              <w:t xml:space="preserve">(G </w:t>
            </w:r>
            <w:r w:rsidR="00D865D4" w:rsidRPr="00185424">
              <w:rPr>
                <w:color w:val="000000"/>
                <w:spacing w:val="94"/>
                <w:shd w:val="solid" w:color="000000" w:fill="000000"/>
                <w:fitText w:val="180" w:id="-1157883132"/>
                <w14:textFill>
                  <w14:solidFill>
                    <w14:srgbClr w14:val="000000">
                      <w14:alpha w14:val="100000"/>
                    </w14:srgbClr>
                  </w14:solidFill>
                </w14:textFill>
              </w:rPr>
              <w:t>|</w:t>
            </w:r>
            <w:r w:rsidR="00D865D4" w:rsidRPr="00185424">
              <w:rPr>
                <w:color w:val="000000"/>
                <w:spacing w:val="1"/>
                <w:shd w:val="solid" w:color="000000" w:fill="000000"/>
                <w:fitText w:val="180" w:id="-1157883132"/>
                <w14:textFill>
                  <w14:solidFill>
                    <w14:srgbClr w14:val="000000">
                      <w14:alpha w14:val="100000"/>
                    </w14:srgbClr>
                  </w14:solidFill>
                </w14:textFill>
              </w:rPr>
              <w:t>|</w:t>
            </w:r>
            <w:r w:rsidRPr="0015623F">
              <w:t xml:space="preserve"> hours per service) </w:t>
            </w:r>
            <w:r w:rsidRPr="0015623F">
              <w:rPr>
                <w:vertAlign w:val="superscript"/>
              </w:rPr>
              <w:t>d</w:t>
            </w:r>
          </w:p>
        </w:tc>
        <w:tc>
          <w:tcPr>
            <w:tcW w:w="1227" w:type="dxa"/>
            <w:shd w:val="solid" w:color="000000" w:fill="000000"/>
            <w:noWrap/>
          </w:tcPr>
          <w:p w14:paraId="4A324B10" w14:textId="23BEB968" w:rsidR="005F5BEA" w:rsidRPr="00D865D4" w:rsidRDefault="00D865D4" w:rsidP="005F5BEA">
            <w:pPr>
              <w:pStyle w:val="TableText"/>
            </w:pPr>
            <w:r w:rsidRPr="00185424">
              <w:rPr>
                <w:color w:val="000000"/>
                <w:spacing w:val="94"/>
                <w:fitText w:val="180" w:id="-1157883131"/>
                <w14:textFill>
                  <w14:solidFill>
                    <w14:srgbClr w14:val="000000">
                      <w14:alpha w14:val="100000"/>
                    </w14:srgbClr>
                  </w14:solidFill>
                </w14:textFill>
              </w:rPr>
              <w:t>|</w:t>
            </w:r>
            <w:r w:rsidRPr="00185424">
              <w:rPr>
                <w:color w:val="000000"/>
                <w:spacing w:val="1"/>
                <w:fitText w:val="180" w:id="-1157883131"/>
                <w14:textFill>
                  <w14:solidFill>
                    <w14:srgbClr w14:val="000000">
                      <w14:alpha w14:val="100000"/>
                    </w14:srgbClr>
                  </w14:solidFill>
                </w14:textFill>
              </w:rPr>
              <w:t>|</w:t>
            </w:r>
          </w:p>
        </w:tc>
        <w:tc>
          <w:tcPr>
            <w:tcW w:w="1228" w:type="dxa"/>
            <w:shd w:val="solid" w:color="000000" w:fill="000000"/>
            <w:noWrap/>
          </w:tcPr>
          <w:p w14:paraId="067677D6" w14:textId="66DB98EE" w:rsidR="005F5BEA" w:rsidRPr="00D865D4" w:rsidRDefault="00D865D4" w:rsidP="005F5BEA">
            <w:pPr>
              <w:pStyle w:val="TableText"/>
            </w:pPr>
            <w:r w:rsidRPr="00185424">
              <w:rPr>
                <w:color w:val="000000"/>
                <w:spacing w:val="94"/>
                <w:fitText w:val="180" w:id="-1157883130"/>
                <w14:textFill>
                  <w14:solidFill>
                    <w14:srgbClr w14:val="000000">
                      <w14:alpha w14:val="100000"/>
                    </w14:srgbClr>
                  </w14:solidFill>
                </w14:textFill>
              </w:rPr>
              <w:t>|</w:t>
            </w:r>
            <w:r w:rsidRPr="00185424">
              <w:rPr>
                <w:color w:val="000000"/>
                <w:spacing w:val="1"/>
                <w:fitText w:val="180" w:id="-1157883130"/>
                <w14:textFill>
                  <w14:solidFill>
                    <w14:srgbClr w14:val="000000">
                      <w14:alpha w14:val="100000"/>
                    </w14:srgbClr>
                  </w14:solidFill>
                </w14:textFill>
              </w:rPr>
              <w:t>|</w:t>
            </w:r>
          </w:p>
        </w:tc>
        <w:tc>
          <w:tcPr>
            <w:tcW w:w="1227" w:type="dxa"/>
            <w:shd w:val="solid" w:color="000000" w:fill="000000"/>
            <w:noWrap/>
          </w:tcPr>
          <w:p w14:paraId="09E00A1D" w14:textId="1186CD9D" w:rsidR="005F5BEA" w:rsidRPr="00D865D4" w:rsidRDefault="00D865D4" w:rsidP="005F5BEA">
            <w:pPr>
              <w:pStyle w:val="TableText"/>
            </w:pPr>
            <w:r w:rsidRPr="00185424">
              <w:rPr>
                <w:color w:val="000000"/>
                <w:spacing w:val="94"/>
                <w:fitText w:val="180" w:id="-1157883129"/>
                <w14:textFill>
                  <w14:solidFill>
                    <w14:srgbClr w14:val="000000">
                      <w14:alpha w14:val="100000"/>
                    </w14:srgbClr>
                  </w14:solidFill>
                </w14:textFill>
              </w:rPr>
              <w:t>|</w:t>
            </w:r>
            <w:r w:rsidRPr="00185424">
              <w:rPr>
                <w:color w:val="000000"/>
                <w:spacing w:val="1"/>
                <w:fitText w:val="180" w:id="-1157883129"/>
                <w14:textFill>
                  <w14:solidFill>
                    <w14:srgbClr w14:val="000000">
                      <w14:alpha w14:val="100000"/>
                    </w14:srgbClr>
                  </w14:solidFill>
                </w14:textFill>
              </w:rPr>
              <w:t>|</w:t>
            </w:r>
          </w:p>
        </w:tc>
        <w:tc>
          <w:tcPr>
            <w:tcW w:w="1228" w:type="dxa"/>
            <w:shd w:val="solid" w:color="000000" w:fill="000000"/>
            <w:noWrap/>
          </w:tcPr>
          <w:p w14:paraId="72F0A4F1" w14:textId="7B8AA9C4" w:rsidR="005F5BEA" w:rsidRPr="00D865D4" w:rsidRDefault="00D865D4" w:rsidP="005F5BEA">
            <w:pPr>
              <w:pStyle w:val="TableText"/>
            </w:pPr>
            <w:r w:rsidRPr="00185424">
              <w:rPr>
                <w:color w:val="000000"/>
                <w:spacing w:val="94"/>
                <w:fitText w:val="180" w:id="-1157883128"/>
                <w14:textFill>
                  <w14:solidFill>
                    <w14:srgbClr w14:val="000000">
                      <w14:alpha w14:val="100000"/>
                    </w14:srgbClr>
                  </w14:solidFill>
                </w14:textFill>
              </w:rPr>
              <w:t>|</w:t>
            </w:r>
            <w:r w:rsidRPr="00185424">
              <w:rPr>
                <w:color w:val="000000"/>
                <w:spacing w:val="1"/>
                <w:fitText w:val="180" w:id="-1157883128"/>
                <w14:textFill>
                  <w14:solidFill>
                    <w14:srgbClr w14:val="000000">
                      <w14:alpha w14:val="100000"/>
                    </w14:srgbClr>
                  </w14:solidFill>
                </w14:textFill>
              </w:rPr>
              <w:t>|</w:t>
            </w:r>
          </w:p>
        </w:tc>
      </w:tr>
      <w:tr w:rsidR="005F5BEA" w:rsidRPr="005F5BEA" w14:paraId="1D71DEEE" w14:textId="77777777" w:rsidTr="00D865D4">
        <w:trPr>
          <w:trHeight w:val="300"/>
        </w:trPr>
        <w:tc>
          <w:tcPr>
            <w:tcW w:w="345" w:type="dxa"/>
          </w:tcPr>
          <w:p w14:paraId="093A578A" w14:textId="77777777" w:rsidR="005F5BEA" w:rsidRPr="005F5BEA" w:rsidRDefault="005F5BEA" w:rsidP="005F5BEA">
            <w:pPr>
              <w:pStyle w:val="TableText"/>
              <w:rPr>
                <w:lang w:eastAsia="en-AU"/>
              </w:rPr>
            </w:pPr>
            <w:r w:rsidRPr="005F5BEA">
              <w:rPr>
                <w:lang w:eastAsia="en-AU"/>
              </w:rPr>
              <w:t>I</w:t>
            </w:r>
          </w:p>
        </w:tc>
        <w:tc>
          <w:tcPr>
            <w:tcW w:w="3761" w:type="dxa"/>
            <w:noWrap/>
          </w:tcPr>
          <w:p w14:paraId="1E3CF0FF" w14:textId="301C58F6" w:rsidR="005F5BEA" w:rsidRPr="005F5BEA" w:rsidRDefault="005F5BEA" w:rsidP="005F5BEA">
            <w:pPr>
              <w:pStyle w:val="TableText"/>
            </w:pPr>
            <w:r w:rsidRPr="0015623F">
              <w:t>No. radiation oncology checks (inpatient)</w:t>
            </w:r>
          </w:p>
        </w:tc>
        <w:tc>
          <w:tcPr>
            <w:tcW w:w="1227" w:type="dxa"/>
            <w:tcBorders>
              <w:bottom w:val="single" w:sz="4" w:space="0" w:color="auto"/>
            </w:tcBorders>
            <w:noWrap/>
          </w:tcPr>
          <w:p w14:paraId="22F63264" w14:textId="344E868E" w:rsidR="005F5BEA" w:rsidRPr="005F5BEA" w:rsidRDefault="005F5BEA" w:rsidP="005F5BEA">
            <w:pPr>
              <w:pStyle w:val="TableText"/>
            </w:pPr>
            <w:r w:rsidRPr="007243B7">
              <w:t>67</w:t>
            </w:r>
          </w:p>
        </w:tc>
        <w:tc>
          <w:tcPr>
            <w:tcW w:w="1228" w:type="dxa"/>
            <w:tcBorders>
              <w:bottom w:val="single" w:sz="4" w:space="0" w:color="auto"/>
            </w:tcBorders>
            <w:noWrap/>
          </w:tcPr>
          <w:p w14:paraId="59F7F24E" w14:textId="086C4366" w:rsidR="005F5BEA" w:rsidRPr="005F5BEA" w:rsidRDefault="005F5BEA" w:rsidP="005F5BEA">
            <w:pPr>
              <w:pStyle w:val="TableText"/>
            </w:pPr>
            <w:r w:rsidRPr="007243B7">
              <w:t>71</w:t>
            </w:r>
          </w:p>
        </w:tc>
        <w:tc>
          <w:tcPr>
            <w:tcW w:w="1227" w:type="dxa"/>
            <w:tcBorders>
              <w:bottom w:val="single" w:sz="4" w:space="0" w:color="auto"/>
            </w:tcBorders>
            <w:noWrap/>
          </w:tcPr>
          <w:p w14:paraId="18177B39" w14:textId="2405D040" w:rsidR="005F5BEA" w:rsidRPr="005F5BEA" w:rsidRDefault="005F5BEA" w:rsidP="005F5BEA">
            <w:pPr>
              <w:pStyle w:val="TableText"/>
            </w:pPr>
            <w:r w:rsidRPr="007243B7">
              <w:t>76</w:t>
            </w:r>
          </w:p>
        </w:tc>
        <w:tc>
          <w:tcPr>
            <w:tcW w:w="1228" w:type="dxa"/>
            <w:tcBorders>
              <w:bottom w:val="single" w:sz="4" w:space="0" w:color="auto"/>
            </w:tcBorders>
            <w:noWrap/>
          </w:tcPr>
          <w:p w14:paraId="57DEE7DD" w14:textId="091AECAC" w:rsidR="005F5BEA" w:rsidRPr="005F5BEA" w:rsidRDefault="005F5BEA" w:rsidP="005F5BEA">
            <w:pPr>
              <w:pStyle w:val="TableText"/>
            </w:pPr>
            <w:r w:rsidRPr="007243B7">
              <w:t>82</w:t>
            </w:r>
          </w:p>
        </w:tc>
      </w:tr>
      <w:tr w:rsidR="005F5BEA" w:rsidRPr="005F5BEA" w14:paraId="2DF69B28" w14:textId="77777777" w:rsidTr="00D865D4">
        <w:trPr>
          <w:trHeight w:val="300"/>
        </w:trPr>
        <w:tc>
          <w:tcPr>
            <w:tcW w:w="345" w:type="dxa"/>
          </w:tcPr>
          <w:p w14:paraId="34821B8A" w14:textId="77777777" w:rsidR="005F5BEA" w:rsidRPr="005F5BEA" w:rsidRDefault="005F5BEA" w:rsidP="005F5BEA">
            <w:pPr>
              <w:pStyle w:val="TableText"/>
              <w:rPr>
                <w:lang w:eastAsia="en-AU"/>
              </w:rPr>
            </w:pPr>
            <w:r w:rsidRPr="005F5BEA">
              <w:rPr>
                <w:lang w:eastAsia="en-AU"/>
              </w:rPr>
              <w:t>J</w:t>
            </w:r>
          </w:p>
        </w:tc>
        <w:tc>
          <w:tcPr>
            <w:tcW w:w="3761" w:type="dxa"/>
            <w:noWrap/>
          </w:tcPr>
          <w:p w14:paraId="7E67571E" w14:textId="119FCB14" w:rsidR="005F5BEA" w:rsidRPr="005F5BEA" w:rsidRDefault="005F5BEA" w:rsidP="005F5BEA">
            <w:pPr>
              <w:pStyle w:val="TableText"/>
            </w:pPr>
            <w:r w:rsidRPr="0015623F">
              <w:t xml:space="preserve">Hours related to radiation oncology checks (inpatient) (I × </w:t>
            </w:r>
            <w:r w:rsidR="00D865D4" w:rsidRPr="00185424">
              <w:rPr>
                <w:color w:val="000000"/>
                <w:spacing w:val="94"/>
                <w:shd w:val="solid" w:color="000000" w:fill="000000"/>
                <w:fitText w:val="180" w:id="-1157883127"/>
                <w14:textFill>
                  <w14:solidFill>
                    <w14:srgbClr w14:val="000000">
                      <w14:alpha w14:val="100000"/>
                    </w14:srgbClr>
                  </w14:solidFill>
                </w14:textFill>
              </w:rPr>
              <w:t>|</w:t>
            </w:r>
            <w:r w:rsidR="00D865D4" w:rsidRPr="00185424">
              <w:rPr>
                <w:color w:val="000000"/>
                <w:spacing w:val="1"/>
                <w:shd w:val="solid" w:color="000000" w:fill="000000"/>
                <w:fitText w:val="180" w:id="-1157883127"/>
                <w14:textFill>
                  <w14:solidFill>
                    <w14:srgbClr w14:val="000000">
                      <w14:alpha w14:val="100000"/>
                    </w14:srgbClr>
                  </w14:solidFill>
                </w14:textFill>
              </w:rPr>
              <w:t>|</w:t>
            </w:r>
            <w:r w:rsidR="008A6620" w:rsidRPr="008A6620">
              <w:t xml:space="preserve"> hours </w:t>
            </w:r>
            <w:r w:rsidRPr="0015623F">
              <w:t xml:space="preserve">per service) </w:t>
            </w:r>
            <w:r w:rsidRPr="0015623F">
              <w:rPr>
                <w:vertAlign w:val="superscript"/>
              </w:rPr>
              <w:t>e</w:t>
            </w:r>
          </w:p>
        </w:tc>
        <w:tc>
          <w:tcPr>
            <w:tcW w:w="1227" w:type="dxa"/>
            <w:shd w:val="solid" w:color="000000" w:fill="000000"/>
            <w:noWrap/>
          </w:tcPr>
          <w:p w14:paraId="5D861FDE" w14:textId="3A3E6FF2" w:rsidR="005F5BEA" w:rsidRPr="00D865D4" w:rsidRDefault="00D865D4" w:rsidP="005F5BEA">
            <w:pPr>
              <w:pStyle w:val="TableText"/>
            </w:pPr>
            <w:r w:rsidRPr="00185424">
              <w:rPr>
                <w:color w:val="000000"/>
                <w:spacing w:val="94"/>
                <w:fitText w:val="180" w:id="-1157883126"/>
                <w14:textFill>
                  <w14:solidFill>
                    <w14:srgbClr w14:val="000000">
                      <w14:alpha w14:val="100000"/>
                    </w14:srgbClr>
                  </w14:solidFill>
                </w14:textFill>
              </w:rPr>
              <w:t>|</w:t>
            </w:r>
            <w:r w:rsidRPr="00185424">
              <w:rPr>
                <w:color w:val="000000"/>
                <w:spacing w:val="1"/>
                <w:fitText w:val="180" w:id="-1157883126"/>
                <w14:textFill>
                  <w14:solidFill>
                    <w14:srgbClr w14:val="000000">
                      <w14:alpha w14:val="100000"/>
                    </w14:srgbClr>
                  </w14:solidFill>
                </w14:textFill>
              </w:rPr>
              <w:t>|</w:t>
            </w:r>
          </w:p>
        </w:tc>
        <w:tc>
          <w:tcPr>
            <w:tcW w:w="1228" w:type="dxa"/>
            <w:shd w:val="solid" w:color="000000" w:fill="000000"/>
            <w:noWrap/>
          </w:tcPr>
          <w:p w14:paraId="7D817F28" w14:textId="08595ACE" w:rsidR="005F5BEA" w:rsidRPr="00D865D4" w:rsidRDefault="00D865D4" w:rsidP="005F5BEA">
            <w:pPr>
              <w:pStyle w:val="TableText"/>
            </w:pPr>
            <w:r w:rsidRPr="00185424">
              <w:rPr>
                <w:color w:val="000000"/>
                <w:spacing w:val="94"/>
                <w:fitText w:val="180" w:id="-1157883125"/>
                <w14:textFill>
                  <w14:solidFill>
                    <w14:srgbClr w14:val="000000">
                      <w14:alpha w14:val="100000"/>
                    </w14:srgbClr>
                  </w14:solidFill>
                </w14:textFill>
              </w:rPr>
              <w:t>|</w:t>
            </w:r>
            <w:r w:rsidRPr="00185424">
              <w:rPr>
                <w:color w:val="000000"/>
                <w:spacing w:val="1"/>
                <w:fitText w:val="180" w:id="-1157883125"/>
                <w14:textFill>
                  <w14:solidFill>
                    <w14:srgbClr w14:val="000000">
                      <w14:alpha w14:val="100000"/>
                    </w14:srgbClr>
                  </w14:solidFill>
                </w14:textFill>
              </w:rPr>
              <w:t>|</w:t>
            </w:r>
          </w:p>
        </w:tc>
        <w:tc>
          <w:tcPr>
            <w:tcW w:w="1227" w:type="dxa"/>
            <w:shd w:val="solid" w:color="000000" w:fill="000000"/>
            <w:noWrap/>
          </w:tcPr>
          <w:p w14:paraId="6BF816DE" w14:textId="66FD33AD" w:rsidR="005F5BEA" w:rsidRPr="00D865D4" w:rsidRDefault="00D865D4" w:rsidP="005F5BEA">
            <w:pPr>
              <w:pStyle w:val="TableText"/>
            </w:pPr>
            <w:r w:rsidRPr="00185424">
              <w:rPr>
                <w:color w:val="000000"/>
                <w:spacing w:val="94"/>
                <w:fitText w:val="180" w:id="-1157883124"/>
                <w14:textFill>
                  <w14:solidFill>
                    <w14:srgbClr w14:val="000000">
                      <w14:alpha w14:val="100000"/>
                    </w14:srgbClr>
                  </w14:solidFill>
                </w14:textFill>
              </w:rPr>
              <w:t>|</w:t>
            </w:r>
            <w:r w:rsidRPr="00185424">
              <w:rPr>
                <w:color w:val="000000"/>
                <w:spacing w:val="1"/>
                <w:fitText w:val="180" w:id="-1157883124"/>
                <w14:textFill>
                  <w14:solidFill>
                    <w14:srgbClr w14:val="000000">
                      <w14:alpha w14:val="100000"/>
                    </w14:srgbClr>
                  </w14:solidFill>
                </w14:textFill>
              </w:rPr>
              <w:t>|</w:t>
            </w:r>
          </w:p>
        </w:tc>
        <w:tc>
          <w:tcPr>
            <w:tcW w:w="1228" w:type="dxa"/>
            <w:shd w:val="solid" w:color="000000" w:fill="000000"/>
            <w:noWrap/>
          </w:tcPr>
          <w:p w14:paraId="27922DDF" w14:textId="1AB45F73" w:rsidR="005F5BEA" w:rsidRPr="00D865D4" w:rsidRDefault="00D865D4" w:rsidP="005F5BEA">
            <w:pPr>
              <w:pStyle w:val="TableText"/>
            </w:pPr>
            <w:r w:rsidRPr="00185424">
              <w:rPr>
                <w:color w:val="000000"/>
                <w:spacing w:val="94"/>
                <w:fitText w:val="180" w:id="-1157883123"/>
                <w14:textFill>
                  <w14:solidFill>
                    <w14:srgbClr w14:val="000000">
                      <w14:alpha w14:val="100000"/>
                    </w14:srgbClr>
                  </w14:solidFill>
                </w14:textFill>
              </w:rPr>
              <w:t>|</w:t>
            </w:r>
            <w:r w:rsidRPr="00185424">
              <w:rPr>
                <w:color w:val="000000"/>
                <w:spacing w:val="1"/>
                <w:fitText w:val="180" w:id="-1157883123"/>
                <w14:textFill>
                  <w14:solidFill>
                    <w14:srgbClr w14:val="000000">
                      <w14:alpha w14:val="100000"/>
                    </w14:srgbClr>
                  </w14:solidFill>
                </w14:textFill>
              </w:rPr>
              <w:t>|</w:t>
            </w:r>
          </w:p>
        </w:tc>
      </w:tr>
      <w:tr w:rsidR="005F5BEA" w:rsidRPr="005F5BEA" w14:paraId="02AD1523" w14:textId="77777777" w:rsidTr="00D865D4">
        <w:trPr>
          <w:trHeight w:val="300"/>
        </w:trPr>
        <w:tc>
          <w:tcPr>
            <w:tcW w:w="345" w:type="dxa"/>
          </w:tcPr>
          <w:p w14:paraId="68AB0A85" w14:textId="77777777" w:rsidR="005F5BEA" w:rsidRPr="005F5BEA" w:rsidRDefault="005F5BEA" w:rsidP="005F5BEA">
            <w:pPr>
              <w:pStyle w:val="TableText"/>
              <w:rPr>
                <w:lang w:eastAsia="en-AU"/>
              </w:rPr>
            </w:pPr>
            <w:r w:rsidRPr="005F5BEA">
              <w:rPr>
                <w:lang w:eastAsia="en-AU"/>
              </w:rPr>
              <w:t>K</w:t>
            </w:r>
          </w:p>
        </w:tc>
        <w:tc>
          <w:tcPr>
            <w:tcW w:w="3761" w:type="dxa"/>
            <w:noWrap/>
          </w:tcPr>
          <w:p w14:paraId="04BF8AFA" w14:textId="39823A18" w:rsidR="005F5BEA" w:rsidRPr="005F5BEA" w:rsidRDefault="005F5BEA" w:rsidP="005F5BEA">
            <w:pPr>
              <w:pStyle w:val="TableText"/>
            </w:pPr>
            <w:r w:rsidRPr="0015623F">
              <w:t>No. radiation oncology checks (outpatient)</w:t>
            </w:r>
          </w:p>
        </w:tc>
        <w:tc>
          <w:tcPr>
            <w:tcW w:w="1227" w:type="dxa"/>
            <w:tcBorders>
              <w:bottom w:val="single" w:sz="4" w:space="0" w:color="auto"/>
            </w:tcBorders>
            <w:noWrap/>
          </w:tcPr>
          <w:p w14:paraId="4343598F" w14:textId="6F701DC7" w:rsidR="005F5BEA" w:rsidRPr="005F5BEA" w:rsidRDefault="005F5BEA" w:rsidP="005F5BEA">
            <w:pPr>
              <w:pStyle w:val="TableText"/>
            </w:pPr>
            <w:r w:rsidRPr="007243B7">
              <w:t>250</w:t>
            </w:r>
          </w:p>
        </w:tc>
        <w:tc>
          <w:tcPr>
            <w:tcW w:w="1228" w:type="dxa"/>
            <w:tcBorders>
              <w:bottom w:val="single" w:sz="4" w:space="0" w:color="auto"/>
            </w:tcBorders>
            <w:noWrap/>
          </w:tcPr>
          <w:p w14:paraId="09CF9A65" w14:textId="3C55685E" w:rsidR="005F5BEA" w:rsidRPr="005F5BEA" w:rsidRDefault="005F5BEA" w:rsidP="005F5BEA">
            <w:pPr>
              <w:pStyle w:val="TableText"/>
            </w:pPr>
            <w:r w:rsidRPr="007243B7">
              <w:t>268</w:t>
            </w:r>
          </w:p>
        </w:tc>
        <w:tc>
          <w:tcPr>
            <w:tcW w:w="1227" w:type="dxa"/>
            <w:tcBorders>
              <w:bottom w:val="single" w:sz="4" w:space="0" w:color="auto"/>
            </w:tcBorders>
            <w:noWrap/>
          </w:tcPr>
          <w:p w14:paraId="7C62C731" w14:textId="76CDE7C8" w:rsidR="005F5BEA" w:rsidRPr="005F5BEA" w:rsidRDefault="005F5BEA" w:rsidP="005F5BEA">
            <w:pPr>
              <w:pStyle w:val="TableText"/>
            </w:pPr>
            <w:r w:rsidRPr="007243B7">
              <w:t>286</w:t>
            </w:r>
          </w:p>
        </w:tc>
        <w:tc>
          <w:tcPr>
            <w:tcW w:w="1228" w:type="dxa"/>
            <w:tcBorders>
              <w:bottom w:val="single" w:sz="4" w:space="0" w:color="auto"/>
            </w:tcBorders>
            <w:noWrap/>
          </w:tcPr>
          <w:p w14:paraId="74808CF9" w14:textId="7AA4D092" w:rsidR="005F5BEA" w:rsidRPr="005F5BEA" w:rsidRDefault="005F5BEA" w:rsidP="005F5BEA">
            <w:pPr>
              <w:pStyle w:val="TableText"/>
            </w:pPr>
            <w:r w:rsidRPr="007243B7">
              <w:t>307</w:t>
            </w:r>
          </w:p>
        </w:tc>
      </w:tr>
      <w:tr w:rsidR="005F5BEA" w:rsidRPr="005F5BEA" w14:paraId="4529EADA" w14:textId="77777777" w:rsidTr="00D865D4">
        <w:trPr>
          <w:trHeight w:val="300"/>
        </w:trPr>
        <w:tc>
          <w:tcPr>
            <w:tcW w:w="345" w:type="dxa"/>
          </w:tcPr>
          <w:p w14:paraId="451089C0" w14:textId="77777777" w:rsidR="005F5BEA" w:rsidRPr="005F5BEA" w:rsidRDefault="005F5BEA" w:rsidP="005F5BEA">
            <w:pPr>
              <w:pStyle w:val="TableText"/>
              <w:rPr>
                <w:lang w:eastAsia="en-AU"/>
              </w:rPr>
            </w:pPr>
            <w:r w:rsidRPr="005F5BEA">
              <w:rPr>
                <w:lang w:eastAsia="en-AU"/>
              </w:rPr>
              <w:t>L</w:t>
            </w:r>
          </w:p>
        </w:tc>
        <w:tc>
          <w:tcPr>
            <w:tcW w:w="3761" w:type="dxa"/>
            <w:noWrap/>
          </w:tcPr>
          <w:p w14:paraId="268160C6" w14:textId="14BE6BF6" w:rsidR="005F5BEA" w:rsidRPr="005F5BEA" w:rsidRDefault="005F5BEA" w:rsidP="005F5BEA">
            <w:pPr>
              <w:pStyle w:val="TableText"/>
            </w:pPr>
            <w:r w:rsidRPr="0015623F">
              <w:t xml:space="preserve">Hours related to radiation oncology checks (outpatient) (K × </w:t>
            </w:r>
            <w:r w:rsidR="00D865D4" w:rsidRPr="00185424">
              <w:rPr>
                <w:color w:val="000000"/>
                <w:spacing w:val="94"/>
                <w:shd w:val="solid" w:color="000000" w:fill="000000"/>
                <w:fitText w:val="180" w:id="-1157883122"/>
                <w14:textFill>
                  <w14:solidFill>
                    <w14:srgbClr w14:val="000000">
                      <w14:alpha w14:val="100000"/>
                    </w14:srgbClr>
                  </w14:solidFill>
                </w14:textFill>
              </w:rPr>
              <w:t>|</w:t>
            </w:r>
            <w:r w:rsidR="00D865D4" w:rsidRPr="00185424">
              <w:rPr>
                <w:color w:val="000000"/>
                <w:spacing w:val="1"/>
                <w:shd w:val="solid" w:color="000000" w:fill="000000"/>
                <w:fitText w:val="180" w:id="-1157883122"/>
                <w14:textFill>
                  <w14:solidFill>
                    <w14:srgbClr w14:val="000000">
                      <w14:alpha w14:val="100000"/>
                    </w14:srgbClr>
                  </w14:solidFill>
                </w14:textFill>
              </w:rPr>
              <w:t>|</w:t>
            </w:r>
            <w:r w:rsidR="008A6620" w:rsidRPr="008A6620">
              <w:t xml:space="preserve"> hours </w:t>
            </w:r>
            <w:r w:rsidRPr="0015623F">
              <w:t xml:space="preserve">per service) </w:t>
            </w:r>
            <w:r w:rsidRPr="0015623F">
              <w:rPr>
                <w:vertAlign w:val="superscript"/>
              </w:rPr>
              <w:t>f</w:t>
            </w:r>
          </w:p>
        </w:tc>
        <w:tc>
          <w:tcPr>
            <w:tcW w:w="1227" w:type="dxa"/>
            <w:shd w:val="solid" w:color="000000" w:fill="000000"/>
            <w:noWrap/>
          </w:tcPr>
          <w:p w14:paraId="4C6A4420" w14:textId="68408425" w:rsidR="005F5BEA" w:rsidRPr="00D865D4" w:rsidRDefault="00D865D4" w:rsidP="005F5BEA">
            <w:pPr>
              <w:pStyle w:val="TableText"/>
            </w:pPr>
            <w:r w:rsidRPr="00185424">
              <w:rPr>
                <w:color w:val="000000"/>
                <w:spacing w:val="94"/>
                <w:fitText w:val="180" w:id="-1157883121"/>
                <w14:textFill>
                  <w14:solidFill>
                    <w14:srgbClr w14:val="000000">
                      <w14:alpha w14:val="100000"/>
                    </w14:srgbClr>
                  </w14:solidFill>
                </w14:textFill>
              </w:rPr>
              <w:t>|</w:t>
            </w:r>
            <w:r w:rsidRPr="00185424">
              <w:rPr>
                <w:color w:val="000000"/>
                <w:spacing w:val="1"/>
                <w:fitText w:val="180" w:id="-1157883121"/>
                <w14:textFill>
                  <w14:solidFill>
                    <w14:srgbClr w14:val="000000">
                      <w14:alpha w14:val="100000"/>
                    </w14:srgbClr>
                  </w14:solidFill>
                </w14:textFill>
              </w:rPr>
              <w:t>|</w:t>
            </w:r>
          </w:p>
        </w:tc>
        <w:tc>
          <w:tcPr>
            <w:tcW w:w="1228" w:type="dxa"/>
            <w:shd w:val="solid" w:color="000000" w:fill="000000"/>
            <w:noWrap/>
          </w:tcPr>
          <w:p w14:paraId="23C4624F" w14:textId="0E1A8019" w:rsidR="005F5BEA" w:rsidRPr="00D865D4" w:rsidRDefault="00D865D4" w:rsidP="005F5BEA">
            <w:pPr>
              <w:pStyle w:val="TableText"/>
            </w:pPr>
            <w:r w:rsidRPr="00185424">
              <w:rPr>
                <w:color w:val="000000"/>
                <w:spacing w:val="94"/>
                <w:fitText w:val="180" w:id="-1157883120"/>
                <w14:textFill>
                  <w14:solidFill>
                    <w14:srgbClr w14:val="000000">
                      <w14:alpha w14:val="100000"/>
                    </w14:srgbClr>
                  </w14:solidFill>
                </w14:textFill>
              </w:rPr>
              <w:t>|</w:t>
            </w:r>
            <w:r w:rsidRPr="00185424">
              <w:rPr>
                <w:color w:val="000000"/>
                <w:spacing w:val="1"/>
                <w:fitText w:val="180" w:id="-1157883120"/>
                <w14:textFill>
                  <w14:solidFill>
                    <w14:srgbClr w14:val="000000">
                      <w14:alpha w14:val="100000"/>
                    </w14:srgbClr>
                  </w14:solidFill>
                </w14:textFill>
              </w:rPr>
              <w:t>|</w:t>
            </w:r>
          </w:p>
        </w:tc>
        <w:tc>
          <w:tcPr>
            <w:tcW w:w="1227" w:type="dxa"/>
            <w:shd w:val="solid" w:color="000000" w:fill="000000"/>
            <w:noWrap/>
          </w:tcPr>
          <w:p w14:paraId="3FFC2CA4" w14:textId="29B0EDD7" w:rsidR="005F5BEA" w:rsidRPr="00D865D4" w:rsidRDefault="00D865D4" w:rsidP="005F5BEA">
            <w:pPr>
              <w:pStyle w:val="TableText"/>
            </w:pPr>
            <w:r w:rsidRPr="00185424">
              <w:rPr>
                <w:color w:val="000000"/>
                <w:spacing w:val="94"/>
                <w:fitText w:val="180" w:id="-1157883136"/>
                <w14:textFill>
                  <w14:solidFill>
                    <w14:srgbClr w14:val="000000">
                      <w14:alpha w14:val="100000"/>
                    </w14:srgbClr>
                  </w14:solidFill>
                </w14:textFill>
              </w:rPr>
              <w:t>|</w:t>
            </w:r>
            <w:r w:rsidRPr="00185424">
              <w:rPr>
                <w:color w:val="000000"/>
                <w:spacing w:val="1"/>
                <w:fitText w:val="180" w:id="-1157883136"/>
                <w14:textFill>
                  <w14:solidFill>
                    <w14:srgbClr w14:val="000000">
                      <w14:alpha w14:val="100000"/>
                    </w14:srgbClr>
                  </w14:solidFill>
                </w14:textFill>
              </w:rPr>
              <w:t>|</w:t>
            </w:r>
          </w:p>
        </w:tc>
        <w:tc>
          <w:tcPr>
            <w:tcW w:w="1228" w:type="dxa"/>
            <w:shd w:val="solid" w:color="000000" w:fill="000000"/>
            <w:noWrap/>
          </w:tcPr>
          <w:p w14:paraId="48497568" w14:textId="03A111C6" w:rsidR="005F5BEA" w:rsidRPr="00D865D4" w:rsidRDefault="00D865D4" w:rsidP="005F5BEA">
            <w:pPr>
              <w:pStyle w:val="TableText"/>
            </w:pPr>
            <w:r w:rsidRPr="00185424">
              <w:rPr>
                <w:color w:val="000000"/>
                <w:spacing w:val="94"/>
                <w:fitText w:val="180" w:id="-1157883135"/>
                <w14:textFill>
                  <w14:solidFill>
                    <w14:srgbClr w14:val="000000">
                      <w14:alpha w14:val="100000"/>
                    </w14:srgbClr>
                  </w14:solidFill>
                </w14:textFill>
              </w:rPr>
              <w:t>|</w:t>
            </w:r>
            <w:r w:rsidRPr="00185424">
              <w:rPr>
                <w:color w:val="000000"/>
                <w:spacing w:val="1"/>
                <w:fitText w:val="180" w:id="-1157883135"/>
                <w14:textFill>
                  <w14:solidFill>
                    <w14:srgbClr w14:val="000000">
                      <w14:alpha w14:val="100000"/>
                    </w14:srgbClr>
                  </w14:solidFill>
                </w14:textFill>
              </w:rPr>
              <w:t>|</w:t>
            </w:r>
          </w:p>
        </w:tc>
      </w:tr>
      <w:tr w:rsidR="005F5BEA" w:rsidRPr="005F5BEA" w14:paraId="2A6AF85F" w14:textId="77777777" w:rsidTr="00D865D4">
        <w:trPr>
          <w:trHeight w:val="300"/>
        </w:trPr>
        <w:tc>
          <w:tcPr>
            <w:tcW w:w="345" w:type="dxa"/>
          </w:tcPr>
          <w:p w14:paraId="74237F64" w14:textId="77777777" w:rsidR="005F5BEA" w:rsidRPr="005F5BEA" w:rsidRDefault="005F5BEA" w:rsidP="005F5BEA">
            <w:pPr>
              <w:pStyle w:val="TableText"/>
              <w:rPr>
                <w:lang w:eastAsia="en-AU"/>
              </w:rPr>
            </w:pPr>
            <w:r w:rsidRPr="005F5BEA">
              <w:rPr>
                <w:lang w:eastAsia="en-AU"/>
              </w:rPr>
              <w:t>M</w:t>
            </w:r>
          </w:p>
        </w:tc>
        <w:tc>
          <w:tcPr>
            <w:tcW w:w="3761" w:type="dxa"/>
            <w:noWrap/>
          </w:tcPr>
          <w:p w14:paraId="10DB0323" w14:textId="1FF0A2A1" w:rsidR="005F5BEA" w:rsidRPr="005F5BEA" w:rsidRDefault="005F5BEA" w:rsidP="005F5BEA">
            <w:pPr>
              <w:pStyle w:val="TableText"/>
            </w:pPr>
            <w:r w:rsidRPr="0015623F">
              <w:t>No. pre-op/theatre checks</w:t>
            </w:r>
          </w:p>
        </w:tc>
        <w:tc>
          <w:tcPr>
            <w:tcW w:w="1227" w:type="dxa"/>
            <w:tcBorders>
              <w:bottom w:val="single" w:sz="4" w:space="0" w:color="auto"/>
            </w:tcBorders>
            <w:noWrap/>
          </w:tcPr>
          <w:p w14:paraId="3D140718" w14:textId="08AA0BB1" w:rsidR="005F5BEA" w:rsidRPr="005F5BEA" w:rsidRDefault="005F5BEA" w:rsidP="005F5BEA">
            <w:pPr>
              <w:pStyle w:val="TableText"/>
            </w:pPr>
            <w:r w:rsidRPr="007243B7">
              <w:t>1,635</w:t>
            </w:r>
          </w:p>
        </w:tc>
        <w:tc>
          <w:tcPr>
            <w:tcW w:w="1228" w:type="dxa"/>
            <w:tcBorders>
              <w:bottom w:val="single" w:sz="4" w:space="0" w:color="auto"/>
            </w:tcBorders>
            <w:noWrap/>
          </w:tcPr>
          <w:p w14:paraId="4460F218" w14:textId="55FB0D8D" w:rsidR="005F5BEA" w:rsidRPr="005F5BEA" w:rsidRDefault="005F5BEA" w:rsidP="005F5BEA">
            <w:pPr>
              <w:pStyle w:val="TableText"/>
            </w:pPr>
            <w:r w:rsidRPr="007243B7">
              <w:t>1,749</w:t>
            </w:r>
          </w:p>
        </w:tc>
        <w:tc>
          <w:tcPr>
            <w:tcW w:w="1227" w:type="dxa"/>
            <w:tcBorders>
              <w:bottom w:val="single" w:sz="4" w:space="0" w:color="auto"/>
            </w:tcBorders>
            <w:noWrap/>
          </w:tcPr>
          <w:p w14:paraId="56345C68" w14:textId="12D4F3A8" w:rsidR="005F5BEA" w:rsidRPr="005F5BEA" w:rsidRDefault="005F5BEA" w:rsidP="005F5BEA">
            <w:pPr>
              <w:pStyle w:val="TableText"/>
            </w:pPr>
            <w:r w:rsidRPr="007243B7">
              <w:t>1,872</w:t>
            </w:r>
          </w:p>
        </w:tc>
        <w:tc>
          <w:tcPr>
            <w:tcW w:w="1228" w:type="dxa"/>
            <w:tcBorders>
              <w:bottom w:val="single" w:sz="4" w:space="0" w:color="auto"/>
            </w:tcBorders>
            <w:noWrap/>
          </w:tcPr>
          <w:p w14:paraId="31C9EBE2" w14:textId="642CBE5D" w:rsidR="005F5BEA" w:rsidRPr="005F5BEA" w:rsidRDefault="005F5BEA" w:rsidP="005F5BEA">
            <w:pPr>
              <w:pStyle w:val="TableText"/>
            </w:pPr>
            <w:r w:rsidRPr="007243B7">
              <w:t>2,003</w:t>
            </w:r>
          </w:p>
        </w:tc>
      </w:tr>
      <w:tr w:rsidR="005F5BEA" w:rsidRPr="005F5BEA" w14:paraId="5151D58C" w14:textId="77777777" w:rsidTr="00D865D4">
        <w:trPr>
          <w:trHeight w:val="300"/>
        </w:trPr>
        <w:tc>
          <w:tcPr>
            <w:tcW w:w="345" w:type="dxa"/>
          </w:tcPr>
          <w:p w14:paraId="64C721FC" w14:textId="77777777" w:rsidR="005F5BEA" w:rsidRPr="005F5BEA" w:rsidRDefault="005F5BEA" w:rsidP="005F5BEA">
            <w:pPr>
              <w:pStyle w:val="TableText"/>
              <w:rPr>
                <w:lang w:eastAsia="en-AU"/>
              </w:rPr>
            </w:pPr>
            <w:r w:rsidRPr="005F5BEA">
              <w:rPr>
                <w:lang w:eastAsia="en-AU"/>
              </w:rPr>
              <w:t>N</w:t>
            </w:r>
          </w:p>
        </w:tc>
        <w:tc>
          <w:tcPr>
            <w:tcW w:w="3761" w:type="dxa"/>
            <w:noWrap/>
          </w:tcPr>
          <w:p w14:paraId="466FB9B5" w14:textId="5533830A" w:rsidR="005F5BEA" w:rsidRPr="005F5BEA" w:rsidRDefault="005F5BEA" w:rsidP="005F5BEA">
            <w:pPr>
              <w:pStyle w:val="TableText"/>
            </w:pPr>
            <w:r w:rsidRPr="0015623F">
              <w:t xml:space="preserve">Hours related to pre-op/theatre checks </w:t>
            </w:r>
            <w:r w:rsidRPr="0015623F">
              <w:br/>
              <w:t xml:space="preserve">(N × </w:t>
            </w:r>
            <w:r w:rsidR="00D865D4" w:rsidRPr="00185424">
              <w:rPr>
                <w:color w:val="000000"/>
                <w:spacing w:val="94"/>
                <w:shd w:val="solid" w:color="000000" w:fill="000000"/>
                <w:fitText w:val="180" w:id="-1157883134"/>
                <w14:textFill>
                  <w14:solidFill>
                    <w14:srgbClr w14:val="000000">
                      <w14:alpha w14:val="100000"/>
                    </w14:srgbClr>
                  </w14:solidFill>
                </w14:textFill>
              </w:rPr>
              <w:t>|</w:t>
            </w:r>
            <w:r w:rsidR="00D865D4" w:rsidRPr="00185424">
              <w:rPr>
                <w:color w:val="000000"/>
                <w:spacing w:val="1"/>
                <w:shd w:val="solid" w:color="000000" w:fill="000000"/>
                <w:fitText w:val="180" w:id="-1157883134"/>
                <w14:textFill>
                  <w14:solidFill>
                    <w14:srgbClr w14:val="000000">
                      <w14:alpha w14:val="100000"/>
                    </w14:srgbClr>
                  </w14:solidFill>
                </w14:textFill>
              </w:rPr>
              <w:t>|</w:t>
            </w:r>
            <w:r w:rsidR="008A6620" w:rsidRPr="008A6620">
              <w:t xml:space="preserve"> hours </w:t>
            </w:r>
            <w:r w:rsidRPr="0015623F">
              <w:t xml:space="preserve">per service) </w:t>
            </w:r>
            <w:r w:rsidRPr="0015623F">
              <w:rPr>
                <w:vertAlign w:val="superscript"/>
              </w:rPr>
              <w:t>g</w:t>
            </w:r>
          </w:p>
        </w:tc>
        <w:tc>
          <w:tcPr>
            <w:tcW w:w="1227" w:type="dxa"/>
            <w:shd w:val="solid" w:color="000000" w:fill="000000"/>
            <w:noWrap/>
          </w:tcPr>
          <w:p w14:paraId="47342394" w14:textId="3436F39F" w:rsidR="005F5BEA" w:rsidRPr="00D865D4" w:rsidRDefault="00D865D4" w:rsidP="005F5BEA">
            <w:pPr>
              <w:pStyle w:val="TableText"/>
            </w:pPr>
            <w:r w:rsidRPr="00185424">
              <w:rPr>
                <w:color w:val="000000"/>
                <w:spacing w:val="94"/>
                <w:fitText w:val="180" w:id="-1157883133"/>
                <w14:textFill>
                  <w14:solidFill>
                    <w14:srgbClr w14:val="000000">
                      <w14:alpha w14:val="100000"/>
                    </w14:srgbClr>
                  </w14:solidFill>
                </w14:textFill>
              </w:rPr>
              <w:t>|</w:t>
            </w:r>
            <w:r w:rsidRPr="00185424">
              <w:rPr>
                <w:color w:val="000000"/>
                <w:spacing w:val="1"/>
                <w:fitText w:val="180" w:id="-1157883133"/>
                <w14:textFill>
                  <w14:solidFill>
                    <w14:srgbClr w14:val="000000">
                      <w14:alpha w14:val="100000"/>
                    </w14:srgbClr>
                  </w14:solidFill>
                </w14:textFill>
              </w:rPr>
              <w:t>|</w:t>
            </w:r>
          </w:p>
        </w:tc>
        <w:tc>
          <w:tcPr>
            <w:tcW w:w="1228" w:type="dxa"/>
            <w:shd w:val="solid" w:color="000000" w:fill="000000"/>
            <w:noWrap/>
          </w:tcPr>
          <w:p w14:paraId="3645C1E7" w14:textId="3B2CDE33" w:rsidR="005F5BEA" w:rsidRPr="00D865D4" w:rsidRDefault="00D865D4" w:rsidP="005F5BEA">
            <w:pPr>
              <w:pStyle w:val="TableText"/>
            </w:pPr>
            <w:r w:rsidRPr="00185424">
              <w:rPr>
                <w:color w:val="000000"/>
                <w:spacing w:val="94"/>
                <w:fitText w:val="180" w:id="-1157883132"/>
                <w14:textFill>
                  <w14:solidFill>
                    <w14:srgbClr w14:val="000000">
                      <w14:alpha w14:val="100000"/>
                    </w14:srgbClr>
                  </w14:solidFill>
                </w14:textFill>
              </w:rPr>
              <w:t>|</w:t>
            </w:r>
            <w:r w:rsidRPr="00185424">
              <w:rPr>
                <w:color w:val="000000"/>
                <w:spacing w:val="1"/>
                <w:fitText w:val="180" w:id="-1157883132"/>
                <w14:textFill>
                  <w14:solidFill>
                    <w14:srgbClr w14:val="000000">
                      <w14:alpha w14:val="100000"/>
                    </w14:srgbClr>
                  </w14:solidFill>
                </w14:textFill>
              </w:rPr>
              <w:t>|</w:t>
            </w:r>
          </w:p>
        </w:tc>
        <w:tc>
          <w:tcPr>
            <w:tcW w:w="1227" w:type="dxa"/>
            <w:shd w:val="solid" w:color="000000" w:fill="000000"/>
            <w:noWrap/>
          </w:tcPr>
          <w:p w14:paraId="2D2C8C4B" w14:textId="43551049" w:rsidR="005F5BEA" w:rsidRPr="00D865D4" w:rsidRDefault="00D865D4" w:rsidP="005F5BEA">
            <w:pPr>
              <w:pStyle w:val="TableText"/>
            </w:pPr>
            <w:r w:rsidRPr="00185424">
              <w:rPr>
                <w:color w:val="000000"/>
                <w:spacing w:val="94"/>
                <w:fitText w:val="180" w:id="-1157883131"/>
                <w14:textFill>
                  <w14:solidFill>
                    <w14:srgbClr w14:val="000000">
                      <w14:alpha w14:val="100000"/>
                    </w14:srgbClr>
                  </w14:solidFill>
                </w14:textFill>
              </w:rPr>
              <w:t>|</w:t>
            </w:r>
            <w:r w:rsidRPr="00185424">
              <w:rPr>
                <w:color w:val="000000"/>
                <w:spacing w:val="1"/>
                <w:fitText w:val="180" w:id="-1157883131"/>
                <w14:textFill>
                  <w14:solidFill>
                    <w14:srgbClr w14:val="000000">
                      <w14:alpha w14:val="100000"/>
                    </w14:srgbClr>
                  </w14:solidFill>
                </w14:textFill>
              </w:rPr>
              <w:t>|</w:t>
            </w:r>
          </w:p>
        </w:tc>
        <w:tc>
          <w:tcPr>
            <w:tcW w:w="1228" w:type="dxa"/>
            <w:shd w:val="solid" w:color="000000" w:fill="000000"/>
            <w:noWrap/>
          </w:tcPr>
          <w:p w14:paraId="210ED6C4" w14:textId="315E9E7B" w:rsidR="005F5BEA" w:rsidRPr="00D865D4" w:rsidRDefault="00D865D4" w:rsidP="005F5BEA">
            <w:pPr>
              <w:pStyle w:val="TableText"/>
            </w:pPr>
            <w:r w:rsidRPr="00185424">
              <w:rPr>
                <w:color w:val="000000"/>
                <w:spacing w:val="94"/>
                <w:fitText w:val="180" w:id="-1157883130"/>
                <w14:textFill>
                  <w14:solidFill>
                    <w14:srgbClr w14:val="000000">
                      <w14:alpha w14:val="100000"/>
                    </w14:srgbClr>
                  </w14:solidFill>
                </w14:textFill>
              </w:rPr>
              <w:t>|</w:t>
            </w:r>
            <w:r w:rsidRPr="00185424">
              <w:rPr>
                <w:color w:val="000000"/>
                <w:spacing w:val="1"/>
                <w:fitText w:val="180" w:id="-1157883130"/>
                <w14:textFill>
                  <w14:solidFill>
                    <w14:srgbClr w14:val="000000">
                      <w14:alpha w14:val="100000"/>
                    </w14:srgbClr>
                  </w14:solidFill>
                </w14:textFill>
              </w:rPr>
              <w:t>|</w:t>
            </w:r>
          </w:p>
        </w:tc>
      </w:tr>
      <w:tr w:rsidR="005F5BEA" w:rsidRPr="005F5BEA" w14:paraId="0906E5AF" w14:textId="77777777" w:rsidTr="00D865D4">
        <w:trPr>
          <w:trHeight w:val="300"/>
        </w:trPr>
        <w:tc>
          <w:tcPr>
            <w:tcW w:w="345" w:type="dxa"/>
          </w:tcPr>
          <w:p w14:paraId="4B7A4C7A" w14:textId="77777777" w:rsidR="005F5BEA" w:rsidRPr="005F5BEA" w:rsidRDefault="005F5BEA" w:rsidP="005F5BEA">
            <w:pPr>
              <w:pStyle w:val="TableText"/>
              <w:rPr>
                <w:lang w:eastAsia="en-AU"/>
              </w:rPr>
            </w:pPr>
            <w:r w:rsidRPr="005F5BEA">
              <w:rPr>
                <w:lang w:eastAsia="en-AU"/>
              </w:rPr>
              <w:t>O</w:t>
            </w:r>
          </w:p>
        </w:tc>
        <w:tc>
          <w:tcPr>
            <w:tcW w:w="3761" w:type="dxa"/>
            <w:noWrap/>
          </w:tcPr>
          <w:p w14:paraId="2DD4BE63" w14:textId="2F3327EE" w:rsidR="005F5BEA" w:rsidRPr="005F5BEA" w:rsidRDefault="005F5BEA" w:rsidP="005F5BEA">
            <w:pPr>
              <w:pStyle w:val="TableText"/>
            </w:pPr>
            <w:r w:rsidRPr="0015623F">
              <w:t>No. ICU reprogramming services</w:t>
            </w:r>
          </w:p>
        </w:tc>
        <w:tc>
          <w:tcPr>
            <w:tcW w:w="1227" w:type="dxa"/>
            <w:tcBorders>
              <w:bottom w:val="single" w:sz="4" w:space="0" w:color="auto"/>
            </w:tcBorders>
            <w:noWrap/>
          </w:tcPr>
          <w:p w14:paraId="55989C2D" w14:textId="18C3EB7D" w:rsidR="005F5BEA" w:rsidRPr="005F5BEA" w:rsidRDefault="005F5BEA" w:rsidP="005F5BEA">
            <w:pPr>
              <w:pStyle w:val="TableText"/>
            </w:pPr>
            <w:r w:rsidRPr="007243B7">
              <w:t>701</w:t>
            </w:r>
          </w:p>
        </w:tc>
        <w:tc>
          <w:tcPr>
            <w:tcW w:w="1228" w:type="dxa"/>
            <w:tcBorders>
              <w:bottom w:val="single" w:sz="4" w:space="0" w:color="auto"/>
            </w:tcBorders>
            <w:noWrap/>
          </w:tcPr>
          <w:p w14:paraId="5AAC5DBC" w14:textId="0AECF2E4" w:rsidR="005F5BEA" w:rsidRPr="005F5BEA" w:rsidRDefault="005F5BEA" w:rsidP="005F5BEA">
            <w:pPr>
              <w:pStyle w:val="TableText"/>
            </w:pPr>
            <w:r w:rsidRPr="007243B7">
              <w:t>750</w:t>
            </w:r>
          </w:p>
        </w:tc>
        <w:tc>
          <w:tcPr>
            <w:tcW w:w="1227" w:type="dxa"/>
            <w:tcBorders>
              <w:bottom w:val="single" w:sz="4" w:space="0" w:color="auto"/>
            </w:tcBorders>
            <w:noWrap/>
          </w:tcPr>
          <w:p w14:paraId="2194EB03" w14:textId="015F8328" w:rsidR="005F5BEA" w:rsidRPr="005F5BEA" w:rsidRDefault="005F5BEA" w:rsidP="005F5BEA">
            <w:pPr>
              <w:pStyle w:val="TableText"/>
            </w:pPr>
            <w:r w:rsidRPr="007243B7">
              <w:t>802</w:t>
            </w:r>
          </w:p>
        </w:tc>
        <w:tc>
          <w:tcPr>
            <w:tcW w:w="1228" w:type="dxa"/>
            <w:tcBorders>
              <w:bottom w:val="single" w:sz="4" w:space="0" w:color="auto"/>
            </w:tcBorders>
            <w:noWrap/>
          </w:tcPr>
          <w:p w14:paraId="69089346" w14:textId="0DAAAFE0" w:rsidR="005F5BEA" w:rsidRPr="005F5BEA" w:rsidRDefault="005F5BEA" w:rsidP="005F5BEA">
            <w:pPr>
              <w:pStyle w:val="TableText"/>
            </w:pPr>
            <w:r w:rsidRPr="007243B7">
              <w:t>858</w:t>
            </w:r>
          </w:p>
        </w:tc>
      </w:tr>
      <w:tr w:rsidR="005F5BEA" w:rsidRPr="005F5BEA" w14:paraId="15EA619F" w14:textId="77777777" w:rsidTr="00D865D4">
        <w:trPr>
          <w:trHeight w:val="300"/>
        </w:trPr>
        <w:tc>
          <w:tcPr>
            <w:tcW w:w="345" w:type="dxa"/>
          </w:tcPr>
          <w:p w14:paraId="68A62AB6" w14:textId="77777777" w:rsidR="005F5BEA" w:rsidRPr="005F5BEA" w:rsidRDefault="005F5BEA" w:rsidP="005F5BEA">
            <w:pPr>
              <w:pStyle w:val="TableText"/>
              <w:rPr>
                <w:lang w:eastAsia="en-AU"/>
              </w:rPr>
            </w:pPr>
            <w:r w:rsidRPr="005F5BEA">
              <w:rPr>
                <w:lang w:eastAsia="en-AU"/>
              </w:rPr>
              <w:t>P</w:t>
            </w:r>
          </w:p>
        </w:tc>
        <w:tc>
          <w:tcPr>
            <w:tcW w:w="3761" w:type="dxa"/>
            <w:noWrap/>
          </w:tcPr>
          <w:p w14:paraId="49C1748A" w14:textId="15F2A5FC" w:rsidR="005F5BEA" w:rsidRPr="005F5BEA" w:rsidRDefault="005F5BEA" w:rsidP="005F5BEA">
            <w:pPr>
              <w:pStyle w:val="TableText"/>
            </w:pPr>
            <w:r w:rsidRPr="0015623F">
              <w:t xml:space="preserve">Hours related to ICU reprogramming services </w:t>
            </w:r>
            <w:r w:rsidRPr="0015623F">
              <w:br/>
              <w:t xml:space="preserve">(O × </w:t>
            </w:r>
            <w:r w:rsidR="00D865D4" w:rsidRPr="00185424">
              <w:rPr>
                <w:color w:val="000000"/>
                <w:spacing w:val="94"/>
                <w:shd w:val="solid" w:color="000000" w:fill="000000"/>
                <w:fitText w:val="180" w:id="-1157883129"/>
                <w14:textFill>
                  <w14:solidFill>
                    <w14:srgbClr w14:val="000000">
                      <w14:alpha w14:val="100000"/>
                    </w14:srgbClr>
                  </w14:solidFill>
                </w14:textFill>
              </w:rPr>
              <w:t>|</w:t>
            </w:r>
            <w:r w:rsidR="00D865D4" w:rsidRPr="00185424">
              <w:rPr>
                <w:color w:val="000000"/>
                <w:spacing w:val="1"/>
                <w:shd w:val="solid" w:color="000000" w:fill="000000"/>
                <w:fitText w:val="180" w:id="-1157883129"/>
                <w14:textFill>
                  <w14:solidFill>
                    <w14:srgbClr w14:val="000000">
                      <w14:alpha w14:val="100000"/>
                    </w14:srgbClr>
                  </w14:solidFill>
                </w14:textFill>
              </w:rPr>
              <w:t>|</w:t>
            </w:r>
            <w:r w:rsidR="008A6620" w:rsidRPr="008A6620">
              <w:t xml:space="preserve"> hours </w:t>
            </w:r>
            <w:r w:rsidRPr="0015623F">
              <w:t xml:space="preserve">per service) </w:t>
            </w:r>
            <w:r w:rsidRPr="0015623F">
              <w:rPr>
                <w:vertAlign w:val="superscript"/>
              </w:rPr>
              <w:t>h</w:t>
            </w:r>
          </w:p>
        </w:tc>
        <w:tc>
          <w:tcPr>
            <w:tcW w:w="1227" w:type="dxa"/>
            <w:shd w:val="solid" w:color="000000" w:fill="000000"/>
            <w:noWrap/>
          </w:tcPr>
          <w:p w14:paraId="1DA0A59B" w14:textId="18D66B19" w:rsidR="005F5BEA" w:rsidRPr="00D865D4" w:rsidRDefault="00D865D4" w:rsidP="005F5BEA">
            <w:pPr>
              <w:pStyle w:val="TableText"/>
            </w:pPr>
            <w:r w:rsidRPr="00185424">
              <w:rPr>
                <w:color w:val="000000"/>
                <w:spacing w:val="94"/>
                <w:fitText w:val="180" w:id="-1157883128"/>
                <w14:textFill>
                  <w14:solidFill>
                    <w14:srgbClr w14:val="000000">
                      <w14:alpha w14:val="100000"/>
                    </w14:srgbClr>
                  </w14:solidFill>
                </w14:textFill>
              </w:rPr>
              <w:t>|</w:t>
            </w:r>
            <w:r w:rsidRPr="00185424">
              <w:rPr>
                <w:color w:val="000000"/>
                <w:spacing w:val="1"/>
                <w:fitText w:val="180" w:id="-1157883128"/>
                <w14:textFill>
                  <w14:solidFill>
                    <w14:srgbClr w14:val="000000">
                      <w14:alpha w14:val="100000"/>
                    </w14:srgbClr>
                  </w14:solidFill>
                </w14:textFill>
              </w:rPr>
              <w:t>|</w:t>
            </w:r>
          </w:p>
        </w:tc>
        <w:tc>
          <w:tcPr>
            <w:tcW w:w="1228" w:type="dxa"/>
            <w:shd w:val="solid" w:color="000000" w:fill="000000"/>
            <w:noWrap/>
          </w:tcPr>
          <w:p w14:paraId="36FDEC1F" w14:textId="74D75A8C" w:rsidR="005F5BEA" w:rsidRPr="00D865D4" w:rsidRDefault="00D865D4" w:rsidP="005F5BEA">
            <w:pPr>
              <w:pStyle w:val="TableText"/>
            </w:pPr>
            <w:r w:rsidRPr="00185424">
              <w:rPr>
                <w:color w:val="000000"/>
                <w:spacing w:val="94"/>
                <w:fitText w:val="180" w:id="-1157883127"/>
                <w14:textFill>
                  <w14:solidFill>
                    <w14:srgbClr w14:val="000000">
                      <w14:alpha w14:val="100000"/>
                    </w14:srgbClr>
                  </w14:solidFill>
                </w14:textFill>
              </w:rPr>
              <w:t>|</w:t>
            </w:r>
            <w:r w:rsidRPr="00185424">
              <w:rPr>
                <w:color w:val="000000"/>
                <w:spacing w:val="1"/>
                <w:fitText w:val="180" w:id="-1157883127"/>
                <w14:textFill>
                  <w14:solidFill>
                    <w14:srgbClr w14:val="000000">
                      <w14:alpha w14:val="100000"/>
                    </w14:srgbClr>
                  </w14:solidFill>
                </w14:textFill>
              </w:rPr>
              <w:t>|</w:t>
            </w:r>
          </w:p>
        </w:tc>
        <w:tc>
          <w:tcPr>
            <w:tcW w:w="1227" w:type="dxa"/>
            <w:shd w:val="solid" w:color="000000" w:fill="000000"/>
            <w:noWrap/>
          </w:tcPr>
          <w:p w14:paraId="46583FAC" w14:textId="04B99D1B" w:rsidR="005F5BEA" w:rsidRPr="00D865D4" w:rsidRDefault="00D865D4" w:rsidP="005F5BEA">
            <w:pPr>
              <w:pStyle w:val="TableText"/>
            </w:pPr>
            <w:r w:rsidRPr="00185424">
              <w:rPr>
                <w:color w:val="000000"/>
                <w:spacing w:val="94"/>
                <w:fitText w:val="180" w:id="-1157883126"/>
                <w14:textFill>
                  <w14:solidFill>
                    <w14:srgbClr w14:val="000000">
                      <w14:alpha w14:val="100000"/>
                    </w14:srgbClr>
                  </w14:solidFill>
                </w14:textFill>
              </w:rPr>
              <w:t>|</w:t>
            </w:r>
            <w:r w:rsidRPr="00185424">
              <w:rPr>
                <w:color w:val="000000"/>
                <w:spacing w:val="1"/>
                <w:fitText w:val="180" w:id="-1157883126"/>
                <w14:textFill>
                  <w14:solidFill>
                    <w14:srgbClr w14:val="000000">
                      <w14:alpha w14:val="100000"/>
                    </w14:srgbClr>
                  </w14:solidFill>
                </w14:textFill>
              </w:rPr>
              <w:t>|</w:t>
            </w:r>
          </w:p>
        </w:tc>
        <w:tc>
          <w:tcPr>
            <w:tcW w:w="1228" w:type="dxa"/>
            <w:shd w:val="solid" w:color="000000" w:fill="000000"/>
            <w:noWrap/>
          </w:tcPr>
          <w:p w14:paraId="428F7E3A" w14:textId="5FCCCC2E" w:rsidR="005F5BEA" w:rsidRPr="00D865D4" w:rsidRDefault="00D865D4" w:rsidP="005F5BEA">
            <w:pPr>
              <w:pStyle w:val="TableText"/>
            </w:pPr>
            <w:r w:rsidRPr="00185424">
              <w:rPr>
                <w:color w:val="000000"/>
                <w:spacing w:val="94"/>
                <w:fitText w:val="180" w:id="-1157883125"/>
                <w14:textFill>
                  <w14:solidFill>
                    <w14:srgbClr w14:val="000000">
                      <w14:alpha w14:val="100000"/>
                    </w14:srgbClr>
                  </w14:solidFill>
                </w14:textFill>
              </w:rPr>
              <w:t>|</w:t>
            </w:r>
            <w:r w:rsidRPr="00185424">
              <w:rPr>
                <w:color w:val="000000"/>
                <w:spacing w:val="1"/>
                <w:fitText w:val="180" w:id="-1157883125"/>
                <w14:textFill>
                  <w14:solidFill>
                    <w14:srgbClr w14:val="000000">
                      <w14:alpha w14:val="100000"/>
                    </w14:srgbClr>
                  </w14:solidFill>
                </w14:textFill>
              </w:rPr>
              <w:t>|</w:t>
            </w:r>
          </w:p>
        </w:tc>
      </w:tr>
      <w:tr w:rsidR="005F5BEA" w:rsidRPr="005F5BEA" w14:paraId="5BB955E1" w14:textId="77777777" w:rsidTr="00D865D4">
        <w:trPr>
          <w:trHeight w:val="300"/>
        </w:trPr>
        <w:tc>
          <w:tcPr>
            <w:tcW w:w="345" w:type="dxa"/>
          </w:tcPr>
          <w:p w14:paraId="5BAFCF7A" w14:textId="77777777" w:rsidR="005F5BEA" w:rsidRPr="005F5BEA" w:rsidRDefault="005F5BEA" w:rsidP="005F5BEA">
            <w:pPr>
              <w:pStyle w:val="TableText"/>
              <w:rPr>
                <w:lang w:eastAsia="en-AU"/>
              </w:rPr>
            </w:pPr>
            <w:r w:rsidRPr="005F5BEA">
              <w:rPr>
                <w:lang w:eastAsia="en-AU"/>
              </w:rPr>
              <w:t>Q</w:t>
            </w:r>
          </w:p>
        </w:tc>
        <w:tc>
          <w:tcPr>
            <w:tcW w:w="3761" w:type="dxa"/>
            <w:noWrap/>
          </w:tcPr>
          <w:p w14:paraId="02B75670" w14:textId="6834FA3B" w:rsidR="005F5BEA" w:rsidRPr="005F5BEA" w:rsidRDefault="005F5BEA" w:rsidP="005F5BEA">
            <w:pPr>
              <w:pStyle w:val="TableText"/>
            </w:pPr>
            <w:r w:rsidRPr="0015623F">
              <w:t>No. EP procedure reprogramming services</w:t>
            </w:r>
          </w:p>
        </w:tc>
        <w:tc>
          <w:tcPr>
            <w:tcW w:w="1227" w:type="dxa"/>
            <w:tcBorders>
              <w:bottom w:val="single" w:sz="4" w:space="0" w:color="auto"/>
            </w:tcBorders>
            <w:noWrap/>
          </w:tcPr>
          <w:p w14:paraId="4E7BB55E" w14:textId="22683810" w:rsidR="005F5BEA" w:rsidRPr="005F5BEA" w:rsidRDefault="005F5BEA" w:rsidP="005F5BEA">
            <w:pPr>
              <w:pStyle w:val="TableText"/>
            </w:pPr>
            <w:r w:rsidRPr="007243B7">
              <w:t>0</w:t>
            </w:r>
          </w:p>
        </w:tc>
        <w:tc>
          <w:tcPr>
            <w:tcW w:w="1228" w:type="dxa"/>
            <w:tcBorders>
              <w:bottom w:val="single" w:sz="4" w:space="0" w:color="auto"/>
            </w:tcBorders>
            <w:noWrap/>
          </w:tcPr>
          <w:p w14:paraId="7AE9B735" w14:textId="6EC00426" w:rsidR="005F5BEA" w:rsidRPr="005F5BEA" w:rsidRDefault="005F5BEA" w:rsidP="005F5BEA">
            <w:pPr>
              <w:pStyle w:val="TableText"/>
            </w:pPr>
            <w:r w:rsidRPr="007243B7">
              <w:t>0</w:t>
            </w:r>
          </w:p>
        </w:tc>
        <w:tc>
          <w:tcPr>
            <w:tcW w:w="1227" w:type="dxa"/>
            <w:tcBorders>
              <w:bottom w:val="single" w:sz="4" w:space="0" w:color="auto"/>
            </w:tcBorders>
            <w:noWrap/>
          </w:tcPr>
          <w:p w14:paraId="732657D9" w14:textId="6AB5EF93" w:rsidR="005F5BEA" w:rsidRPr="005F5BEA" w:rsidRDefault="005F5BEA" w:rsidP="005F5BEA">
            <w:pPr>
              <w:pStyle w:val="TableText"/>
            </w:pPr>
            <w:r w:rsidRPr="007243B7">
              <w:t>0</w:t>
            </w:r>
          </w:p>
        </w:tc>
        <w:tc>
          <w:tcPr>
            <w:tcW w:w="1228" w:type="dxa"/>
            <w:tcBorders>
              <w:bottom w:val="single" w:sz="4" w:space="0" w:color="auto"/>
            </w:tcBorders>
            <w:noWrap/>
          </w:tcPr>
          <w:p w14:paraId="210519BE" w14:textId="13C06EAB" w:rsidR="005F5BEA" w:rsidRPr="005F5BEA" w:rsidRDefault="005F5BEA" w:rsidP="005F5BEA">
            <w:pPr>
              <w:pStyle w:val="TableText"/>
            </w:pPr>
            <w:r w:rsidRPr="007243B7">
              <w:t>0</w:t>
            </w:r>
          </w:p>
        </w:tc>
      </w:tr>
      <w:tr w:rsidR="005F5BEA" w:rsidRPr="005F5BEA" w14:paraId="12A19F5D" w14:textId="77777777" w:rsidTr="00D865D4">
        <w:trPr>
          <w:trHeight w:val="300"/>
        </w:trPr>
        <w:tc>
          <w:tcPr>
            <w:tcW w:w="345" w:type="dxa"/>
          </w:tcPr>
          <w:p w14:paraId="702079FE" w14:textId="77777777" w:rsidR="005F5BEA" w:rsidRPr="005F5BEA" w:rsidRDefault="005F5BEA" w:rsidP="005F5BEA">
            <w:pPr>
              <w:pStyle w:val="TableText"/>
              <w:rPr>
                <w:lang w:eastAsia="en-AU"/>
              </w:rPr>
            </w:pPr>
            <w:r w:rsidRPr="005F5BEA">
              <w:rPr>
                <w:lang w:eastAsia="en-AU"/>
              </w:rPr>
              <w:t>R</w:t>
            </w:r>
          </w:p>
        </w:tc>
        <w:tc>
          <w:tcPr>
            <w:tcW w:w="3761" w:type="dxa"/>
            <w:noWrap/>
          </w:tcPr>
          <w:p w14:paraId="28F4FCA3" w14:textId="4EC1E377" w:rsidR="005F5BEA" w:rsidRPr="005F5BEA" w:rsidRDefault="005F5BEA" w:rsidP="005F5BEA">
            <w:pPr>
              <w:pStyle w:val="TableText"/>
            </w:pPr>
            <w:r w:rsidRPr="0015623F">
              <w:t xml:space="preserve">Hours related to EP procedure reprogramming services (Q × </w:t>
            </w:r>
            <w:r w:rsidR="00D865D4" w:rsidRPr="00185424">
              <w:rPr>
                <w:color w:val="000000"/>
                <w:spacing w:val="94"/>
                <w:shd w:val="solid" w:color="000000" w:fill="000000"/>
                <w:fitText w:val="180" w:id="-1157883124"/>
                <w14:textFill>
                  <w14:solidFill>
                    <w14:srgbClr w14:val="000000">
                      <w14:alpha w14:val="100000"/>
                    </w14:srgbClr>
                  </w14:solidFill>
                </w14:textFill>
              </w:rPr>
              <w:t>|</w:t>
            </w:r>
            <w:r w:rsidR="00D865D4" w:rsidRPr="00185424">
              <w:rPr>
                <w:color w:val="000000"/>
                <w:spacing w:val="1"/>
                <w:shd w:val="solid" w:color="000000" w:fill="000000"/>
                <w:fitText w:val="180" w:id="-1157883124"/>
                <w14:textFill>
                  <w14:solidFill>
                    <w14:srgbClr w14:val="000000">
                      <w14:alpha w14:val="100000"/>
                    </w14:srgbClr>
                  </w14:solidFill>
                </w14:textFill>
              </w:rPr>
              <w:t>|</w:t>
            </w:r>
            <w:r w:rsidR="008A6620" w:rsidRPr="008A6620">
              <w:t xml:space="preserve"> hours </w:t>
            </w:r>
            <w:r w:rsidRPr="0015623F">
              <w:t xml:space="preserve">per service) </w:t>
            </w:r>
            <w:proofErr w:type="spellStart"/>
            <w:r w:rsidRPr="0015623F">
              <w:rPr>
                <w:vertAlign w:val="superscript"/>
              </w:rPr>
              <w:t>i</w:t>
            </w:r>
            <w:proofErr w:type="spellEnd"/>
          </w:p>
        </w:tc>
        <w:tc>
          <w:tcPr>
            <w:tcW w:w="1227" w:type="dxa"/>
            <w:shd w:val="solid" w:color="000000" w:fill="000000"/>
            <w:noWrap/>
          </w:tcPr>
          <w:p w14:paraId="598CBA54" w14:textId="7F403580" w:rsidR="005F5BEA" w:rsidRPr="00D865D4" w:rsidRDefault="00D865D4" w:rsidP="005F5BEA">
            <w:pPr>
              <w:pStyle w:val="TableText"/>
            </w:pPr>
            <w:r w:rsidRPr="00185424">
              <w:rPr>
                <w:color w:val="000000"/>
                <w:spacing w:val="94"/>
                <w:fitText w:val="180" w:id="-1157883123"/>
                <w14:textFill>
                  <w14:solidFill>
                    <w14:srgbClr w14:val="000000">
                      <w14:alpha w14:val="100000"/>
                    </w14:srgbClr>
                  </w14:solidFill>
                </w14:textFill>
              </w:rPr>
              <w:t>|</w:t>
            </w:r>
            <w:r w:rsidRPr="00185424">
              <w:rPr>
                <w:color w:val="000000"/>
                <w:spacing w:val="1"/>
                <w:fitText w:val="180" w:id="-1157883123"/>
                <w14:textFill>
                  <w14:solidFill>
                    <w14:srgbClr w14:val="000000">
                      <w14:alpha w14:val="100000"/>
                    </w14:srgbClr>
                  </w14:solidFill>
                </w14:textFill>
              </w:rPr>
              <w:t>|</w:t>
            </w:r>
          </w:p>
        </w:tc>
        <w:tc>
          <w:tcPr>
            <w:tcW w:w="1228" w:type="dxa"/>
            <w:shd w:val="solid" w:color="000000" w:fill="000000"/>
            <w:noWrap/>
          </w:tcPr>
          <w:p w14:paraId="06D4FC70" w14:textId="5D517791" w:rsidR="005F5BEA" w:rsidRPr="00D865D4" w:rsidRDefault="00D865D4" w:rsidP="005F5BEA">
            <w:pPr>
              <w:pStyle w:val="TableText"/>
            </w:pPr>
            <w:r w:rsidRPr="00185424">
              <w:rPr>
                <w:color w:val="000000"/>
                <w:spacing w:val="94"/>
                <w:fitText w:val="180" w:id="-1157883122"/>
                <w14:textFill>
                  <w14:solidFill>
                    <w14:srgbClr w14:val="000000">
                      <w14:alpha w14:val="100000"/>
                    </w14:srgbClr>
                  </w14:solidFill>
                </w14:textFill>
              </w:rPr>
              <w:t>|</w:t>
            </w:r>
            <w:r w:rsidRPr="00185424">
              <w:rPr>
                <w:color w:val="000000"/>
                <w:spacing w:val="1"/>
                <w:fitText w:val="180" w:id="-1157883122"/>
                <w14:textFill>
                  <w14:solidFill>
                    <w14:srgbClr w14:val="000000">
                      <w14:alpha w14:val="100000"/>
                    </w14:srgbClr>
                  </w14:solidFill>
                </w14:textFill>
              </w:rPr>
              <w:t>|</w:t>
            </w:r>
          </w:p>
        </w:tc>
        <w:tc>
          <w:tcPr>
            <w:tcW w:w="1227" w:type="dxa"/>
            <w:shd w:val="solid" w:color="000000" w:fill="000000"/>
            <w:noWrap/>
          </w:tcPr>
          <w:p w14:paraId="33E518F3" w14:textId="1964F07C" w:rsidR="005F5BEA" w:rsidRPr="00D865D4" w:rsidRDefault="00D865D4" w:rsidP="005F5BEA">
            <w:pPr>
              <w:pStyle w:val="TableText"/>
            </w:pPr>
            <w:r w:rsidRPr="00185424">
              <w:rPr>
                <w:color w:val="000000"/>
                <w:spacing w:val="94"/>
                <w:fitText w:val="180" w:id="-1157883121"/>
                <w14:textFill>
                  <w14:solidFill>
                    <w14:srgbClr w14:val="000000">
                      <w14:alpha w14:val="100000"/>
                    </w14:srgbClr>
                  </w14:solidFill>
                </w14:textFill>
              </w:rPr>
              <w:t>|</w:t>
            </w:r>
            <w:r w:rsidRPr="00185424">
              <w:rPr>
                <w:color w:val="000000"/>
                <w:spacing w:val="1"/>
                <w:fitText w:val="180" w:id="-1157883121"/>
                <w14:textFill>
                  <w14:solidFill>
                    <w14:srgbClr w14:val="000000">
                      <w14:alpha w14:val="100000"/>
                    </w14:srgbClr>
                  </w14:solidFill>
                </w14:textFill>
              </w:rPr>
              <w:t>|</w:t>
            </w:r>
          </w:p>
        </w:tc>
        <w:tc>
          <w:tcPr>
            <w:tcW w:w="1228" w:type="dxa"/>
            <w:shd w:val="solid" w:color="000000" w:fill="000000"/>
            <w:noWrap/>
          </w:tcPr>
          <w:p w14:paraId="76FAE7F5" w14:textId="506A93B9" w:rsidR="005F5BEA" w:rsidRPr="00D865D4" w:rsidRDefault="00D865D4" w:rsidP="005F5BEA">
            <w:pPr>
              <w:pStyle w:val="TableText"/>
            </w:pPr>
            <w:r w:rsidRPr="00185424">
              <w:rPr>
                <w:color w:val="000000"/>
                <w:spacing w:val="94"/>
                <w:fitText w:val="180" w:id="-1157883120"/>
                <w14:textFill>
                  <w14:solidFill>
                    <w14:srgbClr w14:val="000000">
                      <w14:alpha w14:val="100000"/>
                    </w14:srgbClr>
                  </w14:solidFill>
                </w14:textFill>
              </w:rPr>
              <w:t>|</w:t>
            </w:r>
            <w:r w:rsidRPr="00185424">
              <w:rPr>
                <w:color w:val="000000"/>
                <w:spacing w:val="1"/>
                <w:fitText w:val="180" w:id="-1157883120"/>
                <w14:textFill>
                  <w14:solidFill>
                    <w14:srgbClr w14:val="000000">
                      <w14:alpha w14:val="100000"/>
                    </w14:srgbClr>
                  </w14:solidFill>
                </w14:textFill>
              </w:rPr>
              <w:t>|</w:t>
            </w:r>
          </w:p>
        </w:tc>
      </w:tr>
      <w:tr w:rsidR="005F5BEA" w:rsidRPr="005F5BEA" w14:paraId="33CE3C09" w14:textId="77777777" w:rsidTr="00D865D4">
        <w:trPr>
          <w:trHeight w:val="300"/>
        </w:trPr>
        <w:tc>
          <w:tcPr>
            <w:tcW w:w="345" w:type="dxa"/>
          </w:tcPr>
          <w:p w14:paraId="5D6B61EA" w14:textId="77777777" w:rsidR="005F5BEA" w:rsidRPr="005F5BEA" w:rsidRDefault="005F5BEA" w:rsidP="005F5BEA">
            <w:pPr>
              <w:pStyle w:val="TableText"/>
              <w:rPr>
                <w:lang w:eastAsia="en-AU"/>
              </w:rPr>
            </w:pPr>
            <w:r w:rsidRPr="005F5BEA">
              <w:rPr>
                <w:lang w:eastAsia="en-AU"/>
              </w:rPr>
              <w:t>S</w:t>
            </w:r>
          </w:p>
        </w:tc>
        <w:tc>
          <w:tcPr>
            <w:tcW w:w="3761" w:type="dxa"/>
            <w:noWrap/>
          </w:tcPr>
          <w:p w14:paraId="7B983182" w14:textId="668E6966" w:rsidR="005F5BEA" w:rsidRPr="005F5BEA" w:rsidRDefault="005F5BEA" w:rsidP="005F5BEA">
            <w:pPr>
              <w:pStyle w:val="TableText"/>
            </w:pPr>
            <w:r w:rsidRPr="0015623F">
              <w:t>No. nursing home checks</w:t>
            </w:r>
          </w:p>
        </w:tc>
        <w:tc>
          <w:tcPr>
            <w:tcW w:w="1227" w:type="dxa"/>
            <w:tcBorders>
              <w:bottom w:val="single" w:sz="4" w:space="0" w:color="auto"/>
            </w:tcBorders>
            <w:noWrap/>
          </w:tcPr>
          <w:p w14:paraId="18B050D3" w14:textId="23BA377E" w:rsidR="005F5BEA" w:rsidRPr="005F5BEA" w:rsidRDefault="005F5BEA" w:rsidP="005F5BEA">
            <w:pPr>
              <w:pStyle w:val="TableText"/>
            </w:pPr>
            <w:r w:rsidRPr="007243B7">
              <w:t>217</w:t>
            </w:r>
          </w:p>
        </w:tc>
        <w:tc>
          <w:tcPr>
            <w:tcW w:w="1228" w:type="dxa"/>
            <w:tcBorders>
              <w:bottom w:val="single" w:sz="4" w:space="0" w:color="auto"/>
            </w:tcBorders>
            <w:noWrap/>
          </w:tcPr>
          <w:p w14:paraId="3F196739" w14:textId="38D0C9A7" w:rsidR="005F5BEA" w:rsidRPr="005F5BEA" w:rsidRDefault="005F5BEA" w:rsidP="005F5BEA">
            <w:pPr>
              <w:pStyle w:val="TableText"/>
            </w:pPr>
            <w:r w:rsidRPr="007243B7">
              <w:t>232</w:t>
            </w:r>
          </w:p>
        </w:tc>
        <w:tc>
          <w:tcPr>
            <w:tcW w:w="1227" w:type="dxa"/>
            <w:tcBorders>
              <w:bottom w:val="single" w:sz="4" w:space="0" w:color="auto"/>
            </w:tcBorders>
            <w:noWrap/>
          </w:tcPr>
          <w:p w14:paraId="4C99D4DE" w14:textId="4F3BD4F9" w:rsidR="005F5BEA" w:rsidRPr="005F5BEA" w:rsidRDefault="005F5BEA" w:rsidP="005F5BEA">
            <w:pPr>
              <w:pStyle w:val="TableText"/>
            </w:pPr>
            <w:r w:rsidRPr="007243B7">
              <w:t>248</w:t>
            </w:r>
          </w:p>
        </w:tc>
        <w:tc>
          <w:tcPr>
            <w:tcW w:w="1228" w:type="dxa"/>
            <w:tcBorders>
              <w:bottom w:val="single" w:sz="4" w:space="0" w:color="auto"/>
            </w:tcBorders>
            <w:noWrap/>
          </w:tcPr>
          <w:p w14:paraId="44881659" w14:textId="7F5AE520" w:rsidR="005F5BEA" w:rsidRPr="005F5BEA" w:rsidRDefault="005F5BEA" w:rsidP="005F5BEA">
            <w:pPr>
              <w:pStyle w:val="TableText"/>
            </w:pPr>
            <w:r w:rsidRPr="007243B7">
              <w:t>266</w:t>
            </w:r>
          </w:p>
        </w:tc>
      </w:tr>
      <w:tr w:rsidR="005F5BEA" w:rsidRPr="005F5BEA" w14:paraId="1A6D81CB" w14:textId="77777777" w:rsidTr="00D865D4">
        <w:trPr>
          <w:trHeight w:val="300"/>
        </w:trPr>
        <w:tc>
          <w:tcPr>
            <w:tcW w:w="345" w:type="dxa"/>
          </w:tcPr>
          <w:p w14:paraId="09E1E7BC" w14:textId="77777777" w:rsidR="005F5BEA" w:rsidRPr="005F5BEA" w:rsidRDefault="005F5BEA" w:rsidP="005F5BEA">
            <w:pPr>
              <w:pStyle w:val="TableText"/>
              <w:rPr>
                <w:lang w:eastAsia="en-AU"/>
              </w:rPr>
            </w:pPr>
            <w:r w:rsidRPr="005F5BEA">
              <w:rPr>
                <w:lang w:eastAsia="en-AU"/>
              </w:rPr>
              <w:t>T</w:t>
            </w:r>
          </w:p>
        </w:tc>
        <w:tc>
          <w:tcPr>
            <w:tcW w:w="3761" w:type="dxa"/>
            <w:noWrap/>
          </w:tcPr>
          <w:p w14:paraId="3A83CF32" w14:textId="23B1EF69" w:rsidR="005F5BEA" w:rsidRPr="005F5BEA" w:rsidRDefault="005F5BEA" w:rsidP="005F5BEA">
            <w:pPr>
              <w:pStyle w:val="TableText"/>
            </w:pPr>
            <w:r w:rsidRPr="0015623F">
              <w:t xml:space="preserve">Hours related to nursing home checks </w:t>
            </w:r>
            <w:r w:rsidRPr="0015623F">
              <w:br/>
              <w:t xml:space="preserve">(S × </w:t>
            </w:r>
            <w:r w:rsidR="00D865D4" w:rsidRPr="00185424">
              <w:rPr>
                <w:color w:val="000000"/>
                <w:spacing w:val="109"/>
                <w:shd w:val="solid" w:color="000000" w:fill="000000"/>
                <w:fitText w:val="195" w:id="-1157883136"/>
                <w14:textFill>
                  <w14:solidFill>
                    <w14:srgbClr w14:val="000000">
                      <w14:alpha w14:val="100000"/>
                    </w14:srgbClr>
                  </w14:solidFill>
                </w14:textFill>
              </w:rPr>
              <w:t>|</w:t>
            </w:r>
            <w:r w:rsidR="00D865D4" w:rsidRPr="00185424">
              <w:rPr>
                <w:color w:val="000000"/>
                <w:spacing w:val="1"/>
                <w:shd w:val="solid" w:color="000000" w:fill="000000"/>
                <w:fitText w:val="195" w:id="-1157883136"/>
                <w14:textFill>
                  <w14:solidFill>
                    <w14:srgbClr w14:val="000000">
                      <w14:alpha w14:val="100000"/>
                    </w14:srgbClr>
                  </w14:solidFill>
                </w14:textFill>
              </w:rPr>
              <w:t>|</w:t>
            </w:r>
            <w:r w:rsidR="008A6620" w:rsidRPr="008A6620">
              <w:t xml:space="preserve"> hours </w:t>
            </w:r>
            <w:r w:rsidRPr="0015623F">
              <w:t xml:space="preserve">per service) </w:t>
            </w:r>
            <w:r w:rsidRPr="0015623F">
              <w:rPr>
                <w:vertAlign w:val="superscript"/>
              </w:rPr>
              <w:t>j</w:t>
            </w:r>
          </w:p>
        </w:tc>
        <w:tc>
          <w:tcPr>
            <w:tcW w:w="1227" w:type="dxa"/>
            <w:shd w:val="solid" w:color="000000" w:fill="000000"/>
            <w:noWrap/>
          </w:tcPr>
          <w:p w14:paraId="6DB077F8" w14:textId="7C3A4264" w:rsidR="005F5BEA" w:rsidRPr="00D865D4" w:rsidRDefault="00D865D4" w:rsidP="005F5BEA">
            <w:pPr>
              <w:pStyle w:val="TableText"/>
            </w:pPr>
            <w:r w:rsidRPr="00185424">
              <w:rPr>
                <w:color w:val="000000"/>
                <w:spacing w:val="94"/>
                <w:fitText w:val="180" w:id="-1157883135"/>
                <w14:textFill>
                  <w14:solidFill>
                    <w14:srgbClr w14:val="000000">
                      <w14:alpha w14:val="100000"/>
                    </w14:srgbClr>
                  </w14:solidFill>
                </w14:textFill>
              </w:rPr>
              <w:t>|</w:t>
            </w:r>
            <w:r w:rsidRPr="00185424">
              <w:rPr>
                <w:color w:val="000000"/>
                <w:spacing w:val="1"/>
                <w:fitText w:val="180" w:id="-1157883135"/>
                <w14:textFill>
                  <w14:solidFill>
                    <w14:srgbClr w14:val="000000">
                      <w14:alpha w14:val="100000"/>
                    </w14:srgbClr>
                  </w14:solidFill>
                </w14:textFill>
              </w:rPr>
              <w:t>|</w:t>
            </w:r>
          </w:p>
        </w:tc>
        <w:tc>
          <w:tcPr>
            <w:tcW w:w="1228" w:type="dxa"/>
            <w:shd w:val="solid" w:color="000000" w:fill="000000"/>
            <w:noWrap/>
          </w:tcPr>
          <w:p w14:paraId="25F757E3" w14:textId="6211FFD2" w:rsidR="005F5BEA" w:rsidRPr="00D865D4" w:rsidRDefault="00D865D4" w:rsidP="005F5BEA">
            <w:pPr>
              <w:pStyle w:val="TableText"/>
            </w:pPr>
            <w:r w:rsidRPr="00185424">
              <w:rPr>
                <w:color w:val="000000"/>
                <w:spacing w:val="94"/>
                <w:fitText w:val="180" w:id="-1157883134"/>
                <w14:textFill>
                  <w14:solidFill>
                    <w14:srgbClr w14:val="000000">
                      <w14:alpha w14:val="100000"/>
                    </w14:srgbClr>
                  </w14:solidFill>
                </w14:textFill>
              </w:rPr>
              <w:t>|</w:t>
            </w:r>
            <w:r w:rsidRPr="00185424">
              <w:rPr>
                <w:color w:val="000000"/>
                <w:spacing w:val="1"/>
                <w:fitText w:val="180" w:id="-1157883134"/>
                <w14:textFill>
                  <w14:solidFill>
                    <w14:srgbClr w14:val="000000">
                      <w14:alpha w14:val="100000"/>
                    </w14:srgbClr>
                  </w14:solidFill>
                </w14:textFill>
              </w:rPr>
              <w:t>|</w:t>
            </w:r>
          </w:p>
        </w:tc>
        <w:tc>
          <w:tcPr>
            <w:tcW w:w="1227" w:type="dxa"/>
            <w:shd w:val="solid" w:color="000000" w:fill="000000"/>
            <w:noWrap/>
          </w:tcPr>
          <w:p w14:paraId="1CF35D6F" w14:textId="6790011D" w:rsidR="005F5BEA" w:rsidRPr="00D865D4" w:rsidRDefault="00D865D4" w:rsidP="005F5BEA">
            <w:pPr>
              <w:pStyle w:val="TableText"/>
            </w:pPr>
            <w:r w:rsidRPr="00185424">
              <w:rPr>
                <w:color w:val="000000"/>
                <w:spacing w:val="94"/>
                <w:fitText w:val="180" w:id="-1157883133"/>
                <w14:textFill>
                  <w14:solidFill>
                    <w14:srgbClr w14:val="000000">
                      <w14:alpha w14:val="100000"/>
                    </w14:srgbClr>
                  </w14:solidFill>
                </w14:textFill>
              </w:rPr>
              <w:t>|</w:t>
            </w:r>
            <w:r w:rsidRPr="00185424">
              <w:rPr>
                <w:color w:val="000000"/>
                <w:spacing w:val="1"/>
                <w:fitText w:val="180" w:id="-1157883133"/>
                <w14:textFill>
                  <w14:solidFill>
                    <w14:srgbClr w14:val="000000">
                      <w14:alpha w14:val="100000"/>
                    </w14:srgbClr>
                  </w14:solidFill>
                </w14:textFill>
              </w:rPr>
              <w:t>|</w:t>
            </w:r>
          </w:p>
        </w:tc>
        <w:tc>
          <w:tcPr>
            <w:tcW w:w="1228" w:type="dxa"/>
            <w:shd w:val="solid" w:color="000000" w:fill="000000"/>
            <w:noWrap/>
          </w:tcPr>
          <w:p w14:paraId="3F54271E" w14:textId="1A87AFF8" w:rsidR="005F5BEA" w:rsidRPr="00D865D4" w:rsidRDefault="00D865D4" w:rsidP="005F5BEA">
            <w:pPr>
              <w:pStyle w:val="TableText"/>
            </w:pPr>
            <w:r w:rsidRPr="00185424">
              <w:rPr>
                <w:color w:val="000000"/>
                <w:spacing w:val="94"/>
                <w:fitText w:val="180" w:id="-1157883132"/>
                <w14:textFill>
                  <w14:solidFill>
                    <w14:srgbClr w14:val="000000">
                      <w14:alpha w14:val="100000"/>
                    </w14:srgbClr>
                  </w14:solidFill>
                </w14:textFill>
              </w:rPr>
              <w:t>|</w:t>
            </w:r>
            <w:r w:rsidRPr="00185424">
              <w:rPr>
                <w:color w:val="000000"/>
                <w:spacing w:val="1"/>
                <w:fitText w:val="180" w:id="-1157883132"/>
                <w14:textFill>
                  <w14:solidFill>
                    <w14:srgbClr w14:val="000000">
                      <w14:alpha w14:val="100000"/>
                    </w14:srgbClr>
                  </w14:solidFill>
                </w14:textFill>
              </w:rPr>
              <w:t>|</w:t>
            </w:r>
          </w:p>
        </w:tc>
      </w:tr>
      <w:tr w:rsidR="005F5BEA" w:rsidRPr="005F5BEA" w14:paraId="5B1C9647" w14:textId="77777777" w:rsidTr="00D865D4">
        <w:trPr>
          <w:trHeight w:val="300"/>
        </w:trPr>
        <w:tc>
          <w:tcPr>
            <w:tcW w:w="345" w:type="dxa"/>
          </w:tcPr>
          <w:p w14:paraId="7618FEB1" w14:textId="77777777" w:rsidR="005F5BEA" w:rsidRPr="005F5BEA" w:rsidRDefault="005F5BEA" w:rsidP="005F5BEA">
            <w:pPr>
              <w:pStyle w:val="TableText"/>
              <w:rPr>
                <w:lang w:eastAsia="en-AU"/>
              </w:rPr>
            </w:pPr>
            <w:r w:rsidRPr="005F5BEA">
              <w:rPr>
                <w:lang w:eastAsia="en-AU"/>
              </w:rPr>
              <w:t>U</w:t>
            </w:r>
          </w:p>
        </w:tc>
        <w:tc>
          <w:tcPr>
            <w:tcW w:w="3761" w:type="dxa"/>
            <w:noWrap/>
          </w:tcPr>
          <w:p w14:paraId="37EFC41D" w14:textId="3EB3F671" w:rsidR="005F5BEA" w:rsidRPr="005F5BEA" w:rsidRDefault="005F5BEA" w:rsidP="005F5BEA">
            <w:pPr>
              <w:pStyle w:val="TableText"/>
            </w:pPr>
            <w:r w:rsidRPr="0015623F">
              <w:t>No. palliative reprogramming inpatient services</w:t>
            </w:r>
          </w:p>
        </w:tc>
        <w:tc>
          <w:tcPr>
            <w:tcW w:w="1227" w:type="dxa"/>
            <w:tcBorders>
              <w:bottom w:val="single" w:sz="4" w:space="0" w:color="auto"/>
            </w:tcBorders>
            <w:noWrap/>
          </w:tcPr>
          <w:p w14:paraId="04435119" w14:textId="003F25AA" w:rsidR="005F5BEA" w:rsidRPr="005F5BEA" w:rsidRDefault="005F5BEA" w:rsidP="005F5BEA">
            <w:pPr>
              <w:pStyle w:val="TableText"/>
            </w:pPr>
            <w:r w:rsidRPr="007243B7">
              <w:t>200</w:t>
            </w:r>
          </w:p>
        </w:tc>
        <w:tc>
          <w:tcPr>
            <w:tcW w:w="1228" w:type="dxa"/>
            <w:tcBorders>
              <w:bottom w:val="single" w:sz="4" w:space="0" w:color="auto"/>
            </w:tcBorders>
            <w:noWrap/>
          </w:tcPr>
          <w:p w14:paraId="258AE747" w14:textId="0AEC537A" w:rsidR="005F5BEA" w:rsidRPr="005F5BEA" w:rsidRDefault="005F5BEA" w:rsidP="005F5BEA">
            <w:pPr>
              <w:pStyle w:val="TableText"/>
            </w:pPr>
            <w:r w:rsidRPr="007243B7">
              <w:t>214</w:t>
            </w:r>
          </w:p>
        </w:tc>
        <w:tc>
          <w:tcPr>
            <w:tcW w:w="1227" w:type="dxa"/>
            <w:tcBorders>
              <w:bottom w:val="single" w:sz="4" w:space="0" w:color="auto"/>
            </w:tcBorders>
            <w:noWrap/>
          </w:tcPr>
          <w:p w14:paraId="5CD7554D" w14:textId="0A25B2F0" w:rsidR="005F5BEA" w:rsidRPr="005F5BEA" w:rsidRDefault="005F5BEA" w:rsidP="005F5BEA">
            <w:pPr>
              <w:pStyle w:val="TableText"/>
            </w:pPr>
            <w:r w:rsidRPr="007243B7">
              <w:t>229</w:t>
            </w:r>
          </w:p>
        </w:tc>
        <w:tc>
          <w:tcPr>
            <w:tcW w:w="1228" w:type="dxa"/>
            <w:tcBorders>
              <w:bottom w:val="single" w:sz="4" w:space="0" w:color="auto"/>
            </w:tcBorders>
            <w:noWrap/>
          </w:tcPr>
          <w:p w14:paraId="4BF041E4" w14:textId="4CABAB1B" w:rsidR="005F5BEA" w:rsidRPr="005F5BEA" w:rsidRDefault="005F5BEA" w:rsidP="005F5BEA">
            <w:pPr>
              <w:pStyle w:val="TableText"/>
            </w:pPr>
            <w:r w:rsidRPr="007243B7">
              <w:t>245</w:t>
            </w:r>
          </w:p>
        </w:tc>
      </w:tr>
      <w:tr w:rsidR="005F5BEA" w:rsidRPr="005F5BEA" w14:paraId="5A4BB0C4" w14:textId="77777777" w:rsidTr="00D865D4">
        <w:trPr>
          <w:trHeight w:val="300"/>
        </w:trPr>
        <w:tc>
          <w:tcPr>
            <w:tcW w:w="345" w:type="dxa"/>
          </w:tcPr>
          <w:p w14:paraId="72BE0273" w14:textId="77777777" w:rsidR="005F5BEA" w:rsidRPr="005F5BEA" w:rsidRDefault="005F5BEA" w:rsidP="005F5BEA">
            <w:pPr>
              <w:pStyle w:val="TableText"/>
              <w:rPr>
                <w:lang w:eastAsia="en-AU"/>
              </w:rPr>
            </w:pPr>
            <w:r w:rsidRPr="005F5BEA">
              <w:rPr>
                <w:lang w:eastAsia="en-AU"/>
              </w:rPr>
              <w:t>V</w:t>
            </w:r>
          </w:p>
        </w:tc>
        <w:tc>
          <w:tcPr>
            <w:tcW w:w="3761" w:type="dxa"/>
            <w:noWrap/>
          </w:tcPr>
          <w:p w14:paraId="7E70DBC0" w14:textId="62768F4A" w:rsidR="005F5BEA" w:rsidRPr="005F5BEA" w:rsidRDefault="005F5BEA" w:rsidP="005F5BEA">
            <w:pPr>
              <w:pStyle w:val="TableText"/>
            </w:pPr>
            <w:r w:rsidRPr="0015623F">
              <w:t xml:space="preserve">Hours related to palliative reprogramming inpatient services (U × </w:t>
            </w:r>
            <w:r w:rsidR="00D865D4" w:rsidRPr="00185424">
              <w:rPr>
                <w:color w:val="000000"/>
                <w:spacing w:val="94"/>
                <w:shd w:val="solid" w:color="000000" w:fill="000000"/>
                <w:fitText w:val="180" w:id="-1157883131"/>
                <w14:textFill>
                  <w14:solidFill>
                    <w14:srgbClr w14:val="000000">
                      <w14:alpha w14:val="100000"/>
                    </w14:srgbClr>
                  </w14:solidFill>
                </w14:textFill>
              </w:rPr>
              <w:t>|</w:t>
            </w:r>
            <w:r w:rsidR="00D865D4" w:rsidRPr="00185424">
              <w:rPr>
                <w:color w:val="000000"/>
                <w:spacing w:val="1"/>
                <w:shd w:val="solid" w:color="000000" w:fill="000000"/>
                <w:fitText w:val="180" w:id="-1157883131"/>
                <w14:textFill>
                  <w14:solidFill>
                    <w14:srgbClr w14:val="000000">
                      <w14:alpha w14:val="100000"/>
                    </w14:srgbClr>
                  </w14:solidFill>
                </w14:textFill>
              </w:rPr>
              <w:t>|</w:t>
            </w:r>
            <w:r w:rsidR="008A6620" w:rsidRPr="008A6620">
              <w:t xml:space="preserve"> hours </w:t>
            </w:r>
            <w:r w:rsidRPr="0015623F">
              <w:t xml:space="preserve">per service) </w:t>
            </w:r>
            <w:r w:rsidRPr="0015623F">
              <w:rPr>
                <w:vertAlign w:val="superscript"/>
              </w:rPr>
              <w:t>k</w:t>
            </w:r>
          </w:p>
        </w:tc>
        <w:tc>
          <w:tcPr>
            <w:tcW w:w="1227" w:type="dxa"/>
            <w:shd w:val="solid" w:color="000000" w:fill="000000"/>
            <w:noWrap/>
          </w:tcPr>
          <w:p w14:paraId="4AAB5D32" w14:textId="7963EDAF" w:rsidR="005F5BEA" w:rsidRPr="00D865D4" w:rsidRDefault="00D865D4" w:rsidP="005F5BEA">
            <w:pPr>
              <w:pStyle w:val="TableText"/>
            </w:pPr>
            <w:r w:rsidRPr="00185424">
              <w:rPr>
                <w:color w:val="000000"/>
                <w:spacing w:val="94"/>
                <w:fitText w:val="180" w:id="-1157883130"/>
                <w14:textFill>
                  <w14:solidFill>
                    <w14:srgbClr w14:val="000000">
                      <w14:alpha w14:val="100000"/>
                    </w14:srgbClr>
                  </w14:solidFill>
                </w14:textFill>
              </w:rPr>
              <w:t>|</w:t>
            </w:r>
            <w:r w:rsidRPr="00185424">
              <w:rPr>
                <w:color w:val="000000"/>
                <w:spacing w:val="1"/>
                <w:fitText w:val="180" w:id="-1157883130"/>
                <w14:textFill>
                  <w14:solidFill>
                    <w14:srgbClr w14:val="000000">
                      <w14:alpha w14:val="100000"/>
                    </w14:srgbClr>
                  </w14:solidFill>
                </w14:textFill>
              </w:rPr>
              <w:t>|</w:t>
            </w:r>
          </w:p>
        </w:tc>
        <w:tc>
          <w:tcPr>
            <w:tcW w:w="1228" w:type="dxa"/>
            <w:shd w:val="solid" w:color="000000" w:fill="000000"/>
            <w:noWrap/>
          </w:tcPr>
          <w:p w14:paraId="2B23182A" w14:textId="09A250AF" w:rsidR="005F5BEA" w:rsidRPr="00D865D4" w:rsidRDefault="00D865D4" w:rsidP="005F5BEA">
            <w:pPr>
              <w:pStyle w:val="TableText"/>
            </w:pPr>
            <w:r w:rsidRPr="00185424">
              <w:rPr>
                <w:color w:val="000000"/>
                <w:spacing w:val="94"/>
                <w:fitText w:val="180" w:id="-1157883129"/>
                <w14:textFill>
                  <w14:solidFill>
                    <w14:srgbClr w14:val="000000">
                      <w14:alpha w14:val="100000"/>
                    </w14:srgbClr>
                  </w14:solidFill>
                </w14:textFill>
              </w:rPr>
              <w:t>|</w:t>
            </w:r>
            <w:r w:rsidRPr="00185424">
              <w:rPr>
                <w:color w:val="000000"/>
                <w:spacing w:val="1"/>
                <w:fitText w:val="180" w:id="-1157883129"/>
                <w14:textFill>
                  <w14:solidFill>
                    <w14:srgbClr w14:val="000000">
                      <w14:alpha w14:val="100000"/>
                    </w14:srgbClr>
                  </w14:solidFill>
                </w14:textFill>
              </w:rPr>
              <w:t>|</w:t>
            </w:r>
          </w:p>
        </w:tc>
        <w:tc>
          <w:tcPr>
            <w:tcW w:w="1227" w:type="dxa"/>
            <w:shd w:val="solid" w:color="000000" w:fill="000000"/>
            <w:noWrap/>
          </w:tcPr>
          <w:p w14:paraId="7C62C44B" w14:textId="32FDF1A9" w:rsidR="005F5BEA" w:rsidRPr="00D865D4" w:rsidRDefault="00D865D4" w:rsidP="005F5BEA">
            <w:pPr>
              <w:pStyle w:val="TableText"/>
            </w:pPr>
            <w:r w:rsidRPr="00185424">
              <w:rPr>
                <w:color w:val="000000"/>
                <w:spacing w:val="94"/>
                <w:fitText w:val="180" w:id="-1157883128"/>
                <w14:textFill>
                  <w14:solidFill>
                    <w14:srgbClr w14:val="000000">
                      <w14:alpha w14:val="100000"/>
                    </w14:srgbClr>
                  </w14:solidFill>
                </w14:textFill>
              </w:rPr>
              <w:t>|</w:t>
            </w:r>
            <w:r w:rsidRPr="00185424">
              <w:rPr>
                <w:color w:val="000000"/>
                <w:spacing w:val="1"/>
                <w:fitText w:val="180" w:id="-1157883128"/>
                <w14:textFill>
                  <w14:solidFill>
                    <w14:srgbClr w14:val="000000">
                      <w14:alpha w14:val="100000"/>
                    </w14:srgbClr>
                  </w14:solidFill>
                </w14:textFill>
              </w:rPr>
              <w:t>|</w:t>
            </w:r>
          </w:p>
        </w:tc>
        <w:tc>
          <w:tcPr>
            <w:tcW w:w="1228" w:type="dxa"/>
            <w:shd w:val="solid" w:color="000000" w:fill="000000"/>
            <w:noWrap/>
          </w:tcPr>
          <w:p w14:paraId="7411648F" w14:textId="532CC10D" w:rsidR="005F5BEA" w:rsidRPr="00D865D4" w:rsidRDefault="00D865D4" w:rsidP="005F5BEA">
            <w:pPr>
              <w:pStyle w:val="TableText"/>
            </w:pPr>
            <w:r w:rsidRPr="00185424">
              <w:rPr>
                <w:color w:val="000000"/>
                <w:spacing w:val="94"/>
                <w:fitText w:val="180" w:id="-1157883127"/>
                <w14:textFill>
                  <w14:solidFill>
                    <w14:srgbClr w14:val="000000">
                      <w14:alpha w14:val="100000"/>
                    </w14:srgbClr>
                  </w14:solidFill>
                </w14:textFill>
              </w:rPr>
              <w:t>|</w:t>
            </w:r>
            <w:r w:rsidRPr="00185424">
              <w:rPr>
                <w:color w:val="000000"/>
                <w:spacing w:val="1"/>
                <w:fitText w:val="180" w:id="-1157883127"/>
                <w14:textFill>
                  <w14:solidFill>
                    <w14:srgbClr w14:val="000000">
                      <w14:alpha w14:val="100000"/>
                    </w14:srgbClr>
                  </w14:solidFill>
                </w14:textFill>
              </w:rPr>
              <w:t>|</w:t>
            </w:r>
          </w:p>
        </w:tc>
      </w:tr>
      <w:tr w:rsidR="005F5BEA" w:rsidRPr="005F5BEA" w14:paraId="6A712D99" w14:textId="77777777" w:rsidTr="00D865D4">
        <w:trPr>
          <w:trHeight w:val="300"/>
        </w:trPr>
        <w:tc>
          <w:tcPr>
            <w:tcW w:w="345" w:type="dxa"/>
          </w:tcPr>
          <w:p w14:paraId="24C941EC" w14:textId="77777777" w:rsidR="005F5BEA" w:rsidRPr="005F5BEA" w:rsidRDefault="005F5BEA" w:rsidP="005F5BEA">
            <w:pPr>
              <w:pStyle w:val="TableText"/>
              <w:rPr>
                <w:lang w:eastAsia="en-AU"/>
              </w:rPr>
            </w:pPr>
            <w:r w:rsidRPr="005F5BEA">
              <w:rPr>
                <w:lang w:eastAsia="en-AU"/>
              </w:rPr>
              <w:t>W</w:t>
            </w:r>
          </w:p>
        </w:tc>
        <w:tc>
          <w:tcPr>
            <w:tcW w:w="3761" w:type="dxa"/>
            <w:noWrap/>
          </w:tcPr>
          <w:p w14:paraId="57F2B1BB" w14:textId="7BFD13CC" w:rsidR="005F5BEA" w:rsidRPr="005F5BEA" w:rsidRDefault="005F5BEA" w:rsidP="005F5BEA">
            <w:pPr>
              <w:pStyle w:val="TableText"/>
            </w:pPr>
            <w:r w:rsidRPr="0015623F">
              <w:t>No. palliative reprogramming outpatient services</w:t>
            </w:r>
          </w:p>
        </w:tc>
        <w:tc>
          <w:tcPr>
            <w:tcW w:w="1227" w:type="dxa"/>
            <w:tcBorders>
              <w:bottom w:val="single" w:sz="4" w:space="0" w:color="auto"/>
            </w:tcBorders>
            <w:noWrap/>
          </w:tcPr>
          <w:p w14:paraId="14993937" w14:textId="500BBB88" w:rsidR="005F5BEA" w:rsidRPr="005F5BEA" w:rsidRDefault="005F5BEA" w:rsidP="005F5BEA">
            <w:pPr>
              <w:pStyle w:val="TableText"/>
            </w:pPr>
            <w:r w:rsidRPr="007243B7">
              <w:t>33</w:t>
            </w:r>
          </w:p>
        </w:tc>
        <w:tc>
          <w:tcPr>
            <w:tcW w:w="1228" w:type="dxa"/>
            <w:tcBorders>
              <w:bottom w:val="single" w:sz="4" w:space="0" w:color="auto"/>
            </w:tcBorders>
            <w:noWrap/>
          </w:tcPr>
          <w:p w14:paraId="5534A422" w14:textId="6DE19107" w:rsidR="005F5BEA" w:rsidRPr="005F5BEA" w:rsidRDefault="005F5BEA" w:rsidP="005F5BEA">
            <w:pPr>
              <w:pStyle w:val="TableText"/>
            </w:pPr>
            <w:r w:rsidRPr="007243B7">
              <w:t>36</w:t>
            </w:r>
          </w:p>
        </w:tc>
        <w:tc>
          <w:tcPr>
            <w:tcW w:w="1227" w:type="dxa"/>
            <w:tcBorders>
              <w:bottom w:val="single" w:sz="4" w:space="0" w:color="auto"/>
            </w:tcBorders>
            <w:noWrap/>
          </w:tcPr>
          <w:p w14:paraId="5F898C2F" w14:textId="00E07566" w:rsidR="005F5BEA" w:rsidRPr="005F5BEA" w:rsidRDefault="005F5BEA" w:rsidP="005F5BEA">
            <w:pPr>
              <w:pStyle w:val="TableText"/>
            </w:pPr>
            <w:r w:rsidRPr="007243B7">
              <w:t>38</w:t>
            </w:r>
          </w:p>
        </w:tc>
        <w:tc>
          <w:tcPr>
            <w:tcW w:w="1228" w:type="dxa"/>
            <w:tcBorders>
              <w:bottom w:val="single" w:sz="4" w:space="0" w:color="auto"/>
            </w:tcBorders>
            <w:noWrap/>
          </w:tcPr>
          <w:p w14:paraId="3AD3CD21" w14:textId="4C6D91CB" w:rsidR="005F5BEA" w:rsidRPr="005F5BEA" w:rsidRDefault="005F5BEA" w:rsidP="005F5BEA">
            <w:pPr>
              <w:pStyle w:val="TableText"/>
            </w:pPr>
            <w:r w:rsidRPr="007243B7">
              <w:t>41</w:t>
            </w:r>
          </w:p>
        </w:tc>
      </w:tr>
      <w:tr w:rsidR="005F5BEA" w:rsidRPr="005F5BEA" w14:paraId="091B38C9" w14:textId="77777777" w:rsidTr="00D865D4">
        <w:trPr>
          <w:trHeight w:val="300"/>
        </w:trPr>
        <w:tc>
          <w:tcPr>
            <w:tcW w:w="345" w:type="dxa"/>
          </w:tcPr>
          <w:p w14:paraId="12EF32C8" w14:textId="77777777" w:rsidR="005F5BEA" w:rsidRPr="005F5BEA" w:rsidRDefault="005F5BEA" w:rsidP="005F5BEA">
            <w:pPr>
              <w:pStyle w:val="TableText"/>
              <w:rPr>
                <w:lang w:eastAsia="en-AU"/>
              </w:rPr>
            </w:pPr>
            <w:r w:rsidRPr="005F5BEA">
              <w:rPr>
                <w:lang w:eastAsia="en-AU"/>
              </w:rPr>
              <w:t>X</w:t>
            </w:r>
          </w:p>
        </w:tc>
        <w:tc>
          <w:tcPr>
            <w:tcW w:w="3761" w:type="dxa"/>
            <w:noWrap/>
          </w:tcPr>
          <w:p w14:paraId="7D7BE138" w14:textId="76F6F5B2" w:rsidR="005F5BEA" w:rsidRPr="005F5BEA" w:rsidRDefault="005F5BEA" w:rsidP="005F5BEA">
            <w:pPr>
              <w:pStyle w:val="TableText"/>
            </w:pPr>
            <w:r w:rsidRPr="0015623F">
              <w:t xml:space="preserve">Hours related to palliative reprogramming outpatient services (W × </w:t>
            </w:r>
            <w:r w:rsidR="00D865D4" w:rsidRPr="00185424">
              <w:rPr>
                <w:color w:val="000000"/>
                <w:spacing w:val="94"/>
                <w:shd w:val="solid" w:color="000000" w:fill="000000"/>
                <w:fitText w:val="180" w:id="-1157883126"/>
                <w14:textFill>
                  <w14:solidFill>
                    <w14:srgbClr w14:val="000000">
                      <w14:alpha w14:val="100000"/>
                    </w14:srgbClr>
                  </w14:solidFill>
                </w14:textFill>
              </w:rPr>
              <w:t>|</w:t>
            </w:r>
            <w:r w:rsidR="00D865D4" w:rsidRPr="00185424">
              <w:rPr>
                <w:color w:val="000000"/>
                <w:spacing w:val="1"/>
                <w:shd w:val="solid" w:color="000000" w:fill="000000"/>
                <w:fitText w:val="180" w:id="-1157883126"/>
                <w14:textFill>
                  <w14:solidFill>
                    <w14:srgbClr w14:val="000000">
                      <w14:alpha w14:val="100000"/>
                    </w14:srgbClr>
                  </w14:solidFill>
                </w14:textFill>
              </w:rPr>
              <w:t>|</w:t>
            </w:r>
            <w:r w:rsidR="008A6620" w:rsidRPr="008A6620">
              <w:t xml:space="preserve"> hours </w:t>
            </w:r>
            <w:r w:rsidRPr="0015623F">
              <w:t xml:space="preserve">per </w:t>
            </w:r>
            <w:proofErr w:type="gramStart"/>
            <w:r w:rsidRPr="0015623F">
              <w:t>service)</w:t>
            </w:r>
            <w:r w:rsidRPr="0015623F">
              <w:rPr>
                <w:vertAlign w:val="superscript"/>
              </w:rPr>
              <w:t>l</w:t>
            </w:r>
            <w:proofErr w:type="gramEnd"/>
          </w:p>
        </w:tc>
        <w:tc>
          <w:tcPr>
            <w:tcW w:w="1227" w:type="dxa"/>
            <w:tcBorders>
              <w:bottom w:val="single" w:sz="4" w:space="0" w:color="auto"/>
            </w:tcBorders>
            <w:shd w:val="solid" w:color="000000" w:fill="000000"/>
            <w:noWrap/>
          </w:tcPr>
          <w:p w14:paraId="147C14E3" w14:textId="7B3CB608" w:rsidR="005F5BEA" w:rsidRPr="00D865D4" w:rsidRDefault="00D865D4" w:rsidP="005F5BEA">
            <w:pPr>
              <w:pStyle w:val="TableText"/>
            </w:pPr>
            <w:r w:rsidRPr="00185424">
              <w:rPr>
                <w:color w:val="000000"/>
                <w:spacing w:val="94"/>
                <w:fitText w:val="180" w:id="-1157883125"/>
                <w14:textFill>
                  <w14:solidFill>
                    <w14:srgbClr w14:val="000000">
                      <w14:alpha w14:val="100000"/>
                    </w14:srgbClr>
                  </w14:solidFill>
                </w14:textFill>
              </w:rPr>
              <w:t>|</w:t>
            </w:r>
            <w:r w:rsidRPr="00185424">
              <w:rPr>
                <w:color w:val="000000"/>
                <w:spacing w:val="1"/>
                <w:fitText w:val="180" w:id="-1157883125"/>
                <w14:textFill>
                  <w14:solidFill>
                    <w14:srgbClr w14:val="000000">
                      <w14:alpha w14:val="100000"/>
                    </w14:srgbClr>
                  </w14:solidFill>
                </w14:textFill>
              </w:rPr>
              <w:t>|</w:t>
            </w:r>
          </w:p>
        </w:tc>
        <w:tc>
          <w:tcPr>
            <w:tcW w:w="1228" w:type="dxa"/>
            <w:tcBorders>
              <w:bottom w:val="single" w:sz="4" w:space="0" w:color="auto"/>
            </w:tcBorders>
            <w:shd w:val="solid" w:color="000000" w:fill="000000"/>
            <w:noWrap/>
          </w:tcPr>
          <w:p w14:paraId="7739FF89" w14:textId="63204139" w:rsidR="005F5BEA" w:rsidRPr="00D865D4" w:rsidRDefault="00D865D4" w:rsidP="005F5BEA">
            <w:pPr>
              <w:pStyle w:val="TableText"/>
            </w:pPr>
            <w:r w:rsidRPr="00185424">
              <w:rPr>
                <w:color w:val="000000"/>
                <w:spacing w:val="94"/>
                <w:fitText w:val="180" w:id="-1157883124"/>
                <w14:textFill>
                  <w14:solidFill>
                    <w14:srgbClr w14:val="000000">
                      <w14:alpha w14:val="100000"/>
                    </w14:srgbClr>
                  </w14:solidFill>
                </w14:textFill>
              </w:rPr>
              <w:t>|</w:t>
            </w:r>
            <w:r w:rsidRPr="00185424">
              <w:rPr>
                <w:color w:val="000000"/>
                <w:spacing w:val="1"/>
                <w:fitText w:val="180" w:id="-1157883124"/>
                <w14:textFill>
                  <w14:solidFill>
                    <w14:srgbClr w14:val="000000">
                      <w14:alpha w14:val="100000"/>
                    </w14:srgbClr>
                  </w14:solidFill>
                </w14:textFill>
              </w:rPr>
              <w:t>|</w:t>
            </w:r>
          </w:p>
        </w:tc>
        <w:tc>
          <w:tcPr>
            <w:tcW w:w="1227" w:type="dxa"/>
            <w:tcBorders>
              <w:bottom w:val="single" w:sz="4" w:space="0" w:color="auto"/>
            </w:tcBorders>
            <w:shd w:val="solid" w:color="000000" w:fill="000000"/>
            <w:noWrap/>
          </w:tcPr>
          <w:p w14:paraId="070D1805" w14:textId="67730C55" w:rsidR="005F5BEA" w:rsidRPr="00D865D4" w:rsidRDefault="00D865D4" w:rsidP="005F5BEA">
            <w:pPr>
              <w:pStyle w:val="TableText"/>
            </w:pPr>
            <w:r w:rsidRPr="00185424">
              <w:rPr>
                <w:color w:val="000000"/>
                <w:spacing w:val="94"/>
                <w:fitText w:val="180" w:id="-1157883123"/>
                <w14:textFill>
                  <w14:solidFill>
                    <w14:srgbClr w14:val="000000">
                      <w14:alpha w14:val="100000"/>
                    </w14:srgbClr>
                  </w14:solidFill>
                </w14:textFill>
              </w:rPr>
              <w:t>|</w:t>
            </w:r>
            <w:r w:rsidRPr="00185424">
              <w:rPr>
                <w:color w:val="000000"/>
                <w:spacing w:val="1"/>
                <w:fitText w:val="180" w:id="-1157883123"/>
                <w14:textFill>
                  <w14:solidFill>
                    <w14:srgbClr w14:val="000000">
                      <w14:alpha w14:val="100000"/>
                    </w14:srgbClr>
                  </w14:solidFill>
                </w14:textFill>
              </w:rPr>
              <w:t>|</w:t>
            </w:r>
          </w:p>
        </w:tc>
        <w:tc>
          <w:tcPr>
            <w:tcW w:w="1228" w:type="dxa"/>
            <w:tcBorders>
              <w:bottom w:val="single" w:sz="4" w:space="0" w:color="auto"/>
            </w:tcBorders>
            <w:shd w:val="solid" w:color="000000" w:fill="000000"/>
            <w:noWrap/>
          </w:tcPr>
          <w:p w14:paraId="1C5F2500" w14:textId="43AD16E9" w:rsidR="005F5BEA" w:rsidRPr="00D865D4" w:rsidRDefault="00D865D4" w:rsidP="005F5BEA">
            <w:pPr>
              <w:pStyle w:val="TableText"/>
            </w:pPr>
            <w:r w:rsidRPr="00185424">
              <w:rPr>
                <w:color w:val="000000"/>
                <w:spacing w:val="94"/>
                <w:fitText w:val="180" w:id="-1157883122"/>
                <w14:textFill>
                  <w14:solidFill>
                    <w14:srgbClr w14:val="000000">
                      <w14:alpha w14:val="100000"/>
                    </w14:srgbClr>
                  </w14:solidFill>
                </w14:textFill>
              </w:rPr>
              <w:t>|</w:t>
            </w:r>
            <w:r w:rsidRPr="00185424">
              <w:rPr>
                <w:color w:val="000000"/>
                <w:spacing w:val="1"/>
                <w:fitText w:val="180" w:id="-1157883122"/>
                <w14:textFill>
                  <w14:solidFill>
                    <w14:srgbClr w14:val="000000">
                      <w14:alpha w14:val="100000"/>
                    </w14:srgbClr>
                  </w14:solidFill>
                </w14:textFill>
              </w:rPr>
              <w:t>|</w:t>
            </w:r>
          </w:p>
        </w:tc>
      </w:tr>
      <w:tr w:rsidR="005F5BEA" w:rsidRPr="005F5BEA" w14:paraId="1290B35C" w14:textId="77777777" w:rsidTr="00D865D4">
        <w:trPr>
          <w:trHeight w:val="300"/>
        </w:trPr>
        <w:tc>
          <w:tcPr>
            <w:tcW w:w="345" w:type="dxa"/>
          </w:tcPr>
          <w:p w14:paraId="745E2AF1" w14:textId="77777777" w:rsidR="005F5BEA" w:rsidRPr="005F5BEA" w:rsidRDefault="005F5BEA" w:rsidP="005F5BEA">
            <w:pPr>
              <w:pStyle w:val="TableText"/>
              <w:rPr>
                <w:lang w:eastAsia="en-AU"/>
              </w:rPr>
            </w:pPr>
            <w:r w:rsidRPr="005F5BEA">
              <w:rPr>
                <w:lang w:eastAsia="en-AU"/>
              </w:rPr>
              <w:t>Y</w:t>
            </w:r>
          </w:p>
        </w:tc>
        <w:tc>
          <w:tcPr>
            <w:tcW w:w="3761" w:type="dxa"/>
            <w:noWrap/>
          </w:tcPr>
          <w:p w14:paraId="5BA25B08" w14:textId="2EA325A2" w:rsidR="005F5BEA" w:rsidRPr="005F5BEA" w:rsidRDefault="005F5BEA" w:rsidP="005F5BEA">
            <w:pPr>
              <w:pStyle w:val="TableText"/>
            </w:pPr>
            <w:r w:rsidRPr="0015623F">
              <w:t xml:space="preserve">Total hours related to unscheduled in-person services </w:t>
            </w:r>
            <w:r w:rsidRPr="0015623F">
              <w:br/>
              <w:t xml:space="preserve">(B + D + F + H + J + L + N + P + R + T + V + X) </w:t>
            </w:r>
          </w:p>
        </w:tc>
        <w:tc>
          <w:tcPr>
            <w:tcW w:w="1227" w:type="dxa"/>
            <w:tcBorders>
              <w:bottom w:val="single" w:sz="4" w:space="0" w:color="auto"/>
            </w:tcBorders>
            <w:shd w:val="solid" w:color="000000" w:fill="000000"/>
            <w:noWrap/>
          </w:tcPr>
          <w:p w14:paraId="7E8B28EE" w14:textId="6254B00D" w:rsidR="005F5BEA" w:rsidRPr="00D865D4" w:rsidRDefault="00D865D4" w:rsidP="005F5BEA">
            <w:pPr>
              <w:pStyle w:val="TableText"/>
            </w:pPr>
            <w:r w:rsidRPr="00185424">
              <w:rPr>
                <w:color w:val="000000"/>
                <w:spacing w:val="94"/>
                <w:fitText w:val="180" w:id="-1157883121"/>
                <w14:textFill>
                  <w14:solidFill>
                    <w14:srgbClr w14:val="000000">
                      <w14:alpha w14:val="100000"/>
                    </w14:srgbClr>
                  </w14:solidFill>
                </w14:textFill>
              </w:rPr>
              <w:t>|</w:t>
            </w:r>
            <w:r w:rsidRPr="00185424">
              <w:rPr>
                <w:color w:val="000000"/>
                <w:spacing w:val="1"/>
                <w:fitText w:val="180" w:id="-1157883121"/>
                <w14:textFill>
                  <w14:solidFill>
                    <w14:srgbClr w14:val="000000">
                      <w14:alpha w14:val="100000"/>
                    </w14:srgbClr>
                  </w14:solidFill>
                </w14:textFill>
              </w:rPr>
              <w:t>|</w:t>
            </w:r>
          </w:p>
        </w:tc>
        <w:tc>
          <w:tcPr>
            <w:tcW w:w="1228" w:type="dxa"/>
            <w:tcBorders>
              <w:bottom w:val="single" w:sz="4" w:space="0" w:color="auto"/>
            </w:tcBorders>
            <w:shd w:val="solid" w:color="000000" w:fill="000000"/>
            <w:noWrap/>
          </w:tcPr>
          <w:p w14:paraId="3BAE294C" w14:textId="65F2C088" w:rsidR="005F5BEA" w:rsidRPr="00D865D4" w:rsidRDefault="00D865D4" w:rsidP="005F5BEA">
            <w:pPr>
              <w:pStyle w:val="TableText"/>
            </w:pPr>
            <w:r w:rsidRPr="00185424">
              <w:rPr>
                <w:color w:val="000000"/>
                <w:spacing w:val="94"/>
                <w:fitText w:val="180" w:id="-1157883120"/>
                <w14:textFill>
                  <w14:solidFill>
                    <w14:srgbClr w14:val="000000">
                      <w14:alpha w14:val="100000"/>
                    </w14:srgbClr>
                  </w14:solidFill>
                </w14:textFill>
              </w:rPr>
              <w:t>|</w:t>
            </w:r>
            <w:r w:rsidRPr="00185424">
              <w:rPr>
                <w:color w:val="000000"/>
                <w:spacing w:val="1"/>
                <w:fitText w:val="180" w:id="-1157883120"/>
                <w14:textFill>
                  <w14:solidFill>
                    <w14:srgbClr w14:val="000000">
                      <w14:alpha w14:val="100000"/>
                    </w14:srgbClr>
                  </w14:solidFill>
                </w14:textFill>
              </w:rPr>
              <w:t>|</w:t>
            </w:r>
          </w:p>
        </w:tc>
        <w:tc>
          <w:tcPr>
            <w:tcW w:w="1227" w:type="dxa"/>
            <w:tcBorders>
              <w:bottom w:val="single" w:sz="4" w:space="0" w:color="auto"/>
            </w:tcBorders>
            <w:shd w:val="solid" w:color="000000" w:fill="000000"/>
            <w:noWrap/>
          </w:tcPr>
          <w:p w14:paraId="237325BF" w14:textId="2CD10B22" w:rsidR="005F5BEA" w:rsidRPr="00D865D4" w:rsidRDefault="00D865D4" w:rsidP="005F5BEA">
            <w:pPr>
              <w:pStyle w:val="TableText"/>
            </w:pPr>
            <w:r w:rsidRPr="00185424">
              <w:rPr>
                <w:color w:val="000000"/>
                <w:spacing w:val="94"/>
                <w:fitText w:val="180" w:id="-1157883136"/>
                <w14:textFill>
                  <w14:solidFill>
                    <w14:srgbClr w14:val="000000">
                      <w14:alpha w14:val="100000"/>
                    </w14:srgbClr>
                  </w14:solidFill>
                </w14:textFill>
              </w:rPr>
              <w:t>|</w:t>
            </w:r>
            <w:r w:rsidRPr="00185424">
              <w:rPr>
                <w:color w:val="000000"/>
                <w:spacing w:val="1"/>
                <w:fitText w:val="180" w:id="-1157883136"/>
                <w14:textFill>
                  <w14:solidFill>
                    <w14:srgbClr w14:val="000000">
                      <w14:alpha w14:val="100000"/>
                    </w14:srgbClr>
                  </w14:solidFill>
                </w14:textFill>
              </w:rPr>
              <w:t>|</w:t>
            </w:r>
          </w:p>
        </w:tc>
        <w:tc>
          <w:tcPr>
            <w:tcW w:w="1228" w:type="dxa"/>
            <w:tcBorders>
              <w:bottom w:val="single" w:sz="4" w:space="0" w:color="auto"/>
            </w:tcBorders>
            <w:shd w:val="solid" w:color="000000" w:fill="000000"/>
            <w:noWrap/>
          </w:tcPr>
          <w:p w14:paraId="137BE1C3" w14:textId="6AA4D624" w:rsidR="005F5BEA" w:rsidRPr="00D865D4" w:rsidRDefault="00D865D4" w:rsidP="005F5BEA">
            <w:pPr>
              <w:pStyle w:val="TableText"/>
            </w:pPr>
            <w:r w:rsidRPr="00185424">
              <w:rPr>
                <w:color w:val="000000"/>
                <w:spacing w:val="94"/>
                <w:fitText w:val="180" w:id="-1157883135"/>
                <w14:textFill>
                  <w14:solidFill>
                    <w14:srgbClr w14:val="000000">
                      <w14:alpha w14:val="100000"/>
                    </w14:srgbClr>
                  </w14:solidFill>
                </w14:textFill>
              </w:rPr>
              <w:t>|</w:t>
            </w:r>
            <w:r w:rsidRPr="00185424">
              <w:rPr>
                <w:color w:val="000000"/>
                <w:spacing w:val="1"/>
                <w:fitText w:val="180" w:id="-1157883135"/>
                <w14:textFill>
                  <w14:solidFill>
                    <w14:srgbClr w14:val="000000">
                      <w14:alpha w14:val="100000"/>
                    </w14:srgbClr>
                  </w14:solidFill>
                </w14:textFill>
              </w:rPr>
              <w:t>|</w:t>
            </w:r>
          </w:p>
        </w:tc>
      </w:tr>
      <w:tr w:rsidR="005F5BEA" w:rsidRPr="005F5BEA" w14:paraId="6FC293BE" w14:textId="77777777" w:rsidTr="00D865D4">
        <w:trPr>
          <w:trHeight w:val="300"/>
        </w:trPr>
        <w:tc>
          <w:tcPr>
            <w:tcW w:w="345" w:type="dxa"/>
          </w:tcPr>
          <w:p w14:paraId="543D88C4" w14:textId="77777777" w:rsidR="005F5BEA" w:rsidRPr="005F5BEA" w:rsidRDefault="005F5BEA" w:rsidP="005F5BEA">
            <w:pPr>
              <w:pStyle w:val="TableText"/>
              <w:rPr>
                <w:lang w:eastAsia="en-AU"/>
              </w:rPr>
            </w:pPr>
            <w:r w:rsidRPr="005F5BEA">
              <w:rPr>
                <w:lang w:eastAsia="en-AU"/>
              </w:rPr>
              <w:t>Z</w:t>
            </w:r>
          </w:p>
        </w:tc>
        <w:tc>
          <w:tcPr>
            <w:tcW w:w="3761" w:type="dxa"/>
            <w:noWrap/>
          </w:tcPr>
          <w:p w14:paraId="57B4B7D2" w14:textId="6A6F6D14" w:rsidR="005F5BEA" w:rsidRPr="005F5BEA" w:rsidRDefault="005F5BEA" w:rsidP="005F5BEA">
            <w:pPr>
              <w:pStyle w:val="TableText"/>
            </w:pPr>
            <w:r w:rsidRPr="0015623F">
              <w:t xml:space="preserve">Average cost per hour </w:t>
            </w:r>
            <w:r w:rsidRPr="0015623F">
              <w:rPr>
                <w:vertAlign w:val="superscript"/>
              </w:rPr>
              <w:t>m</w:t>
            </w:r>
          </w:p>
        </w:tc>
        <w:tc>
          <w:tcPr>
            <w:tcW w:w="1227" w:type="dxa"/>
            <w:tcBorders>
              <w:bottom w:val="single" w:sz="4" w:space="0" w:color="auto"/>
            </w:tcBorders>
            <w:shd w:val="solid" w:color="000000" w:fill="000000"/>
            <w:noWrap/>
          </w:tcPr>
          <w:p w14:paraId="4AFCCD5A" w14:textId="50B80529" w:rsidR="005F5BEA" w:rsidRPr="00D865D4" w:rsidRDefault="00D865D4" w:rsidP="005F5BEA">
            <w:pPr>
              <w:pStyle w:val="TableText"/>
            </w:pPr>
            <w:r w:rsidRPr="00185424">
              <w:rPr>
                <w:color w:val="000000"/>
                <w:spacing w:val="94"/>
                <w:fitText w:val="180" w:id="-1157883134"/>
                <w14:textFill>
                  <w14:solidFill>
                    <w14:srgbClr w14:val="000000">
                      <w14:alpha w14:val="100000"/>
                    </w14:srgbClr>
                  </w14:solidFill>
                </w14:textFill>
              </w:rPr>
              <w:t>|</w:t>
            </w:r>
            <w:r w:rsidRPr="00185424">
              <w:rPr>
                <w:color w:val="000000"/>
                <w:spacing w:val="1"/>
                <w:fitText w:val="180" w:id="-1157883134"/>
                <w14:textFill>
                  <w14:solidFill>
                    <w14:srgbClr w14:val="000000">
                      <w14:alpha w14:val="100000"/>
                    </w14:srgbClr>
                  </w14:solidFill>
                </w14:textFill>
              </w:rPr>
              <w:t>|</w:t>
            </w:r>
          </w:p>
        </w:tc>
        <w:tc>
          <w:tcPr>
            <w:tcW w:w="1228" w:type="dxa"/>
            <w:tcBorders>
              <w:bottom w:val="single" w:sz="4" w:space="0" w:color="auto"/>
            </w:tcBorders>
            <w:shd w:val="solid" w:color="000000" w:fill="000000"/>
            <w:noWrap/>
          </w:tcPr>
          <w:p w14:paraId="5F5EDC45" w14:textId="3EAAC6D1" w:rsidR="005F5BEA" w:rsidRPr="00D865D4" w:rsidRDefault="00D865D4" w:rsidP="005F5BEA">
            <w:pPr>
              <w:pStyle w:val="TableText"/>
            </w:pPr>
            <w:r w:rsidRPr="00185424">
              <w:rPr>
                <w:color w:val="000000"/>
                <w:spacing w:val="94"/>
                <w:fitText w:val="180" w:id="-1157883133"/>
                <w14:textFill>
                  <w14:solidFill>
                    <w14:srgbClr w14:val="000000">
                      <w14:alpha w14:val="100000"/>
                    </w14:srgbClr>
                  </w14:solidFill>
                </w14:textFill>
              </w:rPr>
              <w:t>|</w:t>
            </w:r>
            <w:r w:rsidRPr="00185424">
              <w:rPr>
                <w:color w:val="000000"/>
                <w:spacing w:val="1"/>
                <w:fitText w:val="180" w:id="-1157883133"/>
                <w14:textFill>
                  <w14:solidFill>
                    <w14:srgbClr w14:val="000000">
                      <w14:alpha w14:val="100000"/>
                    </w14:srgbClr>
                  </w14:solidFill>
                </w14:textFill>
              </w:rPr>
              <w:t>|</w:t>
            </w:r>
          </w:p>
        </w:tc>
        <w:tc>
          <w:tcPr>
            <w:tcW w:w="1227" w:type="dxa"/>
            <w:tcBorders>
              <w:bottom w:val="single" w:sz="4" w:space="0" w:color="auto"/>
            </w:tcBorders>
            <w:shd w:val="solid" w:color="000000" w:fill="000000"/>
            <w:noWrap/>
          </w:tcPr>
          <w:p w14:paraId="55353674" w14:textId="389A205C" w:rsidR="005F5BEA" w:rsidRPr="00D865D4" w:rsidRDefault="00D865D4" w:rsidP="005F5BEA">
            <w:pPr>
              <w:pStyle w:val="TableText"/>
            </w:pPr>
            <w:r w:rsidRPr="00185424">
              <w:rPr>
                <w:color w:val="000000"/>
                <w:spacing w:val="94"/>
                <w:fitText w:val="180" w:id="-1157883132"/>
                <w14:textFill>
                  <w14:solidFill>
                    <w14:srgbClr w14:val="000000">
                      <w14:alpha w14:val="100000"/>
                    </w14:srgbClr>
                  </w14:solidFill>
                </w14:textFill>
              </w:rPr>
              <w:t>|</w:t>
            </w:r>
            <w:r w:rsidRPr="00185424">
              <w:rPr>
                <w:color w:val="000000"/>
                <w:spacing w:val="1"/>
                <w:fitText w:val="180" w:id="-1157883132"/>
                <w14:textFill>
                  <w14:solidFill>
                    <w14:srgbClr w14:val="000000">
                      <w14:alpha w14:val="100000"/>
                    </w14:srgbClr>
                  </w14:solidFill>
                </w14:textFill>
              </w:rPr>
              <w:t>|</w:t>
            </w:r>
          </w:p>
        </w:tc>
        <w:tc>
          <w:tcPr>
            <w:tcW w:w="1228" w:type="dxa"/>
            <w:tcBorders>
              <w:bottom w:val="single" w:sz="4" w:space="0" w:color="auto"/>
            </w:tcBorders>
            <w:shd w:val="solid" w:color="000000" w:fill="000000"/>
            <w:noWrap/>
          </w:tcPr>
          <w:p w14:paraId="7576F5DA" w14:textId="0BD83A7F" w:rsidR="005F5BEA" w:rsidRPr="00D865D4" w:rsidRDefault="00D865D4" w:rsidP="005F5BEA">
            <w:pPr>
              <w:pStyle w:val="TableText"/>
            </w:pPr>
            <w:r w:rsidRPr="00185424">
              <w:rPr>
                <w:color w:val="000000"/>
                <w:spacing w:val="94"/>
                <w:fitText w:val="180" w:id="-1157883131"/>
                <w14:textFill>
                  <w14:solidFill>
                    <w14:srgbClr w14:val="000000">
                      <w14:alpha w14:val="100000"/>
                    </w14:srgbClr>
                  </w14:solidFill>
                </w14:textFill>
              </w:rPr>
              <w:t>|</w:t>
            </w:r>
            <w:r w:rsidRPr="00185424">
              <w:rPr>
                <w:color w:val="000000"/>
                <w:spacing w:val="1"/>
                <w:fitText w:val="180" w:id="-1157883131"/>
                <w14:textFill>
                  <w14:solidFill>
                    <w14:srgbClr w14:val="000000">
                      <w14:alpha w14:val="100000"/>
                    </w14:srgbClr>
                  </w14:solidFill>
                </w14:textFill>
              </w:rPr>
              <w:t>|</w:t>
            </w:r>
          </w:p>
        </w:tc>
      </w:tr>
      <w:tr w:rsidR="005F5BEA" w:rsidRPr="005F5BEA" w14:paraId="68865349" w14:textId="77777777" w:rsidTr="00D865D4">
        <w:trPr>
          <w:trHeight w:val="300"/>
        </w:trPr>
        <w:tc>
          <w:tcPr>
            <w:tcW w:w="345" w:type="dxa"/>
          </w:tcPr>
          <w:p w14:paraId="16AAE16D" w14:textId="77777777" w:rsidR="005F5BEA" w:rsidRPr="005F5BEA" w:rsidRDefault="005F5BEA" w:rsidP="005F5BEA">
            <w:pPr>
              <w:pStyle w:val="TableText"/>
              <w:rPr>
                <w:b/>
                <w:lang w:eastAsia="en-AU"/>
              </w:rPr>
            </w:pPr>
          </w:p>
        </w:tc>
        <w:tc>
          <w:tcPr>
            <w:tcW w:w="3761" w:type="dxa"/>
            <w:noWrap/>
          </w:tcPr>
          <w:p w14:paraId="3496E0C0" w14:textId="278ED52E" w:rsidR="005F5BEA" w:rsidRPr="005F5BEA" w:rsidRDefault="005F5BEA" w:rsidP="005F5BEA">
            <w:pPr>
              <w:pStyle w:val="TableText"/>
              <w:rPr>
                <w:b/>
              </w:rPr>
            </w:pPr>
            <w:r w:rsidRPr="0015623F">
              <w:rPr>
                <w:b/>
              </w:rPr>
              <w:t>Labour cost of unscheduled in-person services (Y × Z)</w:t>
            </w:r>
          </w:p>
        </w:tc>
        <w:tc>
          <w:tcPr>
            <w:tcW w:w="1227" w:type="dxa"/>
            <w:shd w:val="solid" w:color="000000" w:fill="000000"/>
            <w:noWrap/>
          </w:tcPr>
          <w:p w14:paraId="1B38EA89" w14:textId="0148E226" w:rsidR="005F5BEA" w:rsidRPr="00D865D4" w:rsidRDefault="00D865D4" w:rsidP="005F5BEA">
            <w:pPr>
              <w:pStyle w:val="TableText"/>
              <w:rPr>
                <w:b/>
              </w:rPr>
            </w:pPr>
            <w:r w:rsidRPr="00185424">
              <w:rPr>
                <w:b/>
                <w:color w:val="000000"/>
                <w:spacing w:val="88"/>
                <w:fitText w:val="180" w:id="-1157883130"/>
                <w14:textFill>
                  <w14:solidFill>
                    <w14:srgbClr w14:val="000000">
                      <w14:alpha w14:val="100000"/>
                    </w14:srgbClr>
                  </w14:solidFill>
                </w14:textFill>
              </w:rPr>
              <w:t>|</w:t>
            </w:r>
            <w:r w:rsidRPr="00185424">
              <w:rPr>
                <w:b/>
                <w:color w:val="000000"/>
                <w:spacing w:val="1"/>
                <w:fitText w:val="180" w:id="-1157883130"/>
                <w14:textFill>
                  <w14:solidFill>
                    <w14:srgbClr w14:val="000000">
                      <w14:alpha w14:val="100000"/>
                    </w14:srgbClr>
                  </w14:solidFill>
                </w14:textFill>
              </w:rPr>
              <w:t>|</w:t>
            </w:r>
          </w:p>
        </w:tc>
        <w:tc>
          <w:tcPr>
            <w:tcW w:w="1228" w:type="dxa"/>
            <w:shd w:val="solid" w:color="000000" w:fill="000000"/>
            <w:noWrap/>
          </w:tcPr>
          <w:p w14:paraId="718A59DD" w14:textId="64186E45" w:rsidR="005F5BEA" w:rsidRPr="00D865D4" w:rsidRDefault="00D865D4" w:rsidP="005F5BEA">
            <w:pPr>
              <w:pStyle w:val="TableText"/>
              <w:rPr>
                <w:b/>
              </w:rPr>
            </w:pPr>
            <w:r w:rsidRPr="00185424">
              <w:rPr>
                <w:b/>
                <w:color w:val="000000"/>
                <w:spacing w:val="88"/>
                <w:fitText w:val="180" w:id="-1157883129"/>
                <w14:textFill>
                  <w14:solidFill>
                    <w14:srgbClr w14:val="000000">
                      <w14:alpha w14:val="100000"/>
                    </w14:srgbClr>
                  </w14:solidFill>
                </w14:textFill>
              </w:rPr>
              <w:t>|</w:t>
            </w:r>
            <w:r w:rsidRPr="00185424">
              <w:rPr>
                <w:b/>
                <w:color w:val="000000"/>
                <w:spacing w:val="1"/>
                <w:fitText w:val="180" w:id="-1157883129"/>
                <w14:textFill>
                  <w14:solidFill>
                    <w14:srgbClr w14:val="000000">
                      <w14:alpha w14:val="100000"/>
                    </w14:srgbClr>
                  </w14:solidFill>
                </w14:textFill>
              </w:rPr>
              <w:t>|</w:t>
            </w:r>
          </w:p>
        </w:tc>
        <w:tc>
          <w:tcPr>
            <w:tcW w:w="1227" w:type="dxa"/>
            <w:shd w:val="solid" w:color="000000" w:fill="000000"/>
            <w:noWrap/>
          </w:tcPr>
          <w:p w14:paraId="63A67A27" w14:textId="184B3C30" w:rsidR="005F5BEA" w:rsidRPr="00D865D4" w:rsidRDefault="00D865D4" w:rsidP="005F5BEA">
            <w:pPr>
              <w:pStyle w:val="TableText"/>
              <w:rPr>
                <w:b/>
              </w:rPr>
            </w:pPr>
            <w:r w:rsidRPr="00185424">
              <w:rPr>
                <w:b/>
                <w:color w:val="000000"/>
                <w:spacing w:val="88"/>
                <w:fitText w:val="180" w:id="-1157883128"/>
                <w14:textFill>
                  <w14:solidFill>
                    <w14:srgbClr w14:val="000000">
                      <w14:alpha w14:val="100000"/>
                    </w14:srgbClr>
                  </w14:solidFill>
                </w14:textFill>
              </w:rPr>
              <w:t>|</w:t>
            </w:r>
            <w:r w:rsidRPr="00185424">
              <w:rPr>
                <w:b/>
                <w:color w:val="000000"/>
                <w:spacing w:val="1"/>
                <w:fitText w:val="180" w:id="-1157883128"/>
                <w14:textFill>
                  <w14:solidFill>
                    <w14:srgbClr w14:val="000000">
                      <w14:alpha w14:val="100000"/>
                    </w14:srgbClr>
                  </w14:solidFill>
                </w14:textFill>
              </w:rPr>
              <w:t>|</w:t>
            </w:r>
          </w:p>
        </w:tc>
        <w:tc>
          <w:tcPr>
            <w:tcW w:w="1228" w:type="dxa"/>
            <w:shd w:val="solid" w:color="000000" w:fill="000000"/>
            <w:noWrap/>
          </w:tcPr>
          <w:p w14:paraId="04A92893" w14:textId="1950CAB1" w:rsidR="005F5BEA" w:rsidRPr="00D865D4" w:rsidRDefault="00D865D4" w:rsidP="005F5BEA">
            <w:pPr>
              <w:pStyle w:val="TableText"/>
              <w:rPr>
                <w:b/>
              </w:rPr>
            </w:pPr>
            <w:r w:rsidRPr="00185424">
              <w:rPr>
                <w:b/>
                <w:color w:val="000000"/>
                <w:spacing w:val="88"/>
                <w:fitText w:val="180" w:id="-1157883127"/>
                <w14:textFill>
                  <w14:solidFill>
                    <w14:srgbClr w14:val="000000">
                      <w14:alpha w14:val="100000"/>
                    </w14:srgbClr>
                  </w14:solidFill>
                </w14:textFill>
              </w:rPr>
              <w:t>|</w:t>
            </w:r>
            <w:r w:rsidRPr="00185424">
              <w:rPr>
                <w:b/>
                <w:color w:val="000000"/>
                <w:spacing w:val="1"/>
                <w:fitText w:val="180" w:id="-1157883127"/>
                <w14:textFill>
                  <w14:solidFill>
                    <w14:srgbClr w14:val="000000">
                      <w14:alpha w14:val="100000"/>
                    </w14:srgbClr>
                  </w14:solidFill>
                </w14:textFill>
              </w:rPr>
              <w:t>|</w:t>
            </w:r>
          </w:p>
        </w:tc>
      </w:tr>
    </w:tbl>
    <w:p w14:paraId="20F21CBB" w14:textId="166145ED" w:rsidR="005F5BEA" w:rsidRPr="00CE1D27" w:rsidRDefault="005F5BEA" w:rsidP="005F5BEA">
      <w:pPr>
        <w:pStyle w:val="Tablenotes"/>
      </w:pPr>
      <w:bookmarkStart w:id="30" w:name="_Toc120693757"/>
      <w:r w:rsidRPr="00CE1D27">
        <w:rPr>
          <w:vertAlign w:val="superscript"/>
        </w:rPr>
        <w:t>a</w:t>
      </w:r>
      <w:r w:rsidRPr="00CE1D27">
        <w:t xml:space="preserve"> Comprised of </w:t>
      </w:r>
      <w:r w:rsidR="00D865D4" w:rsidRPr="00D865D4">
        <w:rPr>
          <w:color w:val="000000"/>
          <w:spacing w:val="8"/>
          <w:w w:val="43"/>
          <w:shd w:val="solid" w:color="000000" w:fill="000000"/>
          <w:fitText w:val="145" w:id="-1157883126"/>
          <w14:textFill>
            <w14:solidFill>
              <w14:srgbClr w14:val="000000">
                <w14:alpha w14:val="100000"/>
              </w14:srgbClr>
            </w14:solidFill>
          </w14:textFill>
        </w:rPr>
        <w:t>|</w:t>
      </w:r>
      <w:proofErr w:type="gramStart"/>
      <w:r w:rsidR="00D865D4" w:rsidRPr="00D865D4">
        <w:rPr>
          <w:color w:val="000000"/>
          <w:spacing w:val="8"/>
          <w:w w:val="43"/>
          <w:shd w:val="solid" w:color="000000" w:fill="000000"/>
          <w:fitText w:val="145" w:id="-1157883126"/>
          <w14:textFill>
            <w14:solidFill>
              <w14:srgbClr w14:val="000000">
                <w14:alpha w14:val="100000"/>
              </w14:srgbClr>
            </w14:solidFill>
          </w14:textFill>
        </w:rPr>
        <w:t>|  |</w:t>
      </w:r>
      <w:proofErr w:type="gramEnd"/>
      <w:r w:rsidR="00D865D4" w:rsidRPr="00D865D4">
        <w:rPr>
          <w:color w:val="000000"/>
          <w:spacing w:val="5"/>
          <w:w w:val="43"/>
          <w:shd w:val="solid" w:color="000000" w:fill="000000"/>
          <w:fitText w:val="145" w:id="-1157883126"/>
          <w14:textFill>
            <w14:solidFill>
              <w14:srgbClr w14:val="000000">
                <w14:alpha w14:val="100000"/>
              </w14:srgbClr>
            </w14:solidFill>
          </w14:textFill>
        </w:rPr>
        <w:t>|</w:t>
      </w:r>
      <w:r w:rsidR="008A6620" w:rsidRPr="008A6620">
        <w:t xml:space="preserve"> hours </w:t>
      </w:r>
      <w:r w:rsidRPr="00CE1D27">
        <w:t xml:space="preserve">labour, </w:t>
      </w:r>
      <w:r w:rsidR="00D865D4" w:rsidRPr="00D865D4">
        <w:rPr>
          <w:color w:val="000000"/>
          <w:spacing w:val="8"/>
          <w:w w:val="43"/>
          <w:shd w:val="solid" w:color="000000" w:fill="000000"/>
          <w:fitText w:val="145" w:id="-1157883125"/>
          <w14:textFill>
            <w14:solidFill>
              <w14:srgbClr w14:val="000000">
                <w14:alpha w14:val="100000"/>
              </w14:srgbClr>
            </w14:solidFill>
          </w14:textFill>
        </w:rPr>
        <w:t>||  |</w:t>
      </w:r>
      <w:r w:rsidR="00D865D4" w:rsidRPr="00D865D4">
        <w:rPr>
          <w:color w:val="000000"/>
          <w:spacing w:val="5"/>
          <w:w w:val="43"/>
          <w:shd w:val="solid" w:color="000000" w:fill="000000"/>
          <w:fitText w:val="145" w:id="-1157883125"/>
          <w14:textFill>
            <w14:solidFill>
              <w14:srgbClr w14:val="000000">
                <w14:alpha w14:val="100000"/>
              </w14:srgbClr>
            </w14:solidFill>
          </w14:textFill>
        </w:rPr>
        <w:t>|</w:t>
      </w:r>
      <w:r w:rsidR="008A6620" w:rsidRPr="008A6620">
        <w:t xml:space="preserve"> hours </w:t>
      </w:r>
      <w:r w:rsidRPr="00CE1D27">
        <w:t xml:space="preserve">travel and </w:t>
      </w:r>
      <w:r w:rsidR="00D865D4" w:rsidRPr="00D865D4">
        <w:rPr>
          <w:color w:val="000000"/>
          <w:spacing w:val="8"/>
          <w:w w:val="43"/>
          <w:shd w:val="solid" w:color="000000" w:fill="000000"/>
          <w:fitText w:val="145" w:id="-1157883124"/>
          <w14:textFill>
            <w14:solidFill>
              <w14:srgbClr w14:val="000000">
                <w14:alpha w14:val="100000"/>
              </w14:srgbClr>
            </w14:solidFill>
          </w14:textFill>
        </w:rPr>
        <w:t>||  |</w:t>
      </w:r>
      <w:r w:rsidR="00D865D4" w:rsidRPr="00D865D4">
        <w:rPr>
          <w:color w:val="000000"/>
          <w:spacing w:val="5"/>
          <w:w w:val="43"/>
          <w:shd w:val="solid" w:color="000000" w:fill="000000"/>
          <w:fitText w:val="145" w:id="-1157883124"/>
          <w14:textFill>
            <w14:solidFill>
              <w14:srgbClr w14:val="000000">
                <w14:alpha w14:val="100000"/>
              </w14:srgbClr>
            </w14:solidFill>
          </w14:textFill>
        </w:rPr>
        <w:t>|</w:t>
      </w:r>
      <w:r w:rsidRPr="00CE1D27">
        <w:t xml:space="preserve"> hours waiting</w:t>
      </w:r>
    </w:p>
    <w:p w14:paraId="0344F79F" w14:textId="79E6A43A" w:rsidR="005F5BEA" w:rsidRPr="00CE1D27" w:rsidRDefault="005F5BEA" w:rsidP="005F5BEA">
      <w:pPr>
        <w:pStyle w:val="Tablenotes"/>
      </w:pPr>
      <w:r w:rsidRPr="00CE1D27">
        <w:rPr>
          <w:vertAlign w:val="superscript"/>
        </w:rPr>
        <w:t>b</w:t>
      </w:r>
      <w:r w:rsidRPr="00CE1D27">
        <w:t xml:space="preserve"> Comprised of </w:t>
      </w:r>
      <w:r w:rsidR="00D865D4" w:rsidRPr="00D865D4">
        <w:rPr>
          <w:color w:val="000000"/>
          <w:spacing w:val="8"/>
          <w:w w:val="43"/>
          <w:shd w:val="solid" w:color="000000" w:fill="000000"/>
          <w:fitText w:val="145" w:id="-1157883123"/>
          <w14:textFill>
            <w14:solidFill>
              <w14:srgbClr w14:val="000000">
                <w14:alpha w14:val="100000"/>
              </w14:srgbClr>
            </w14:solidFill>
          </w14:textFill>
        </w:rPr>
        <w:t>|</w:t>
      </w:r>
      <w:proofErr w:type="gramStart"/>
      <w:r w:rsidR="00D865D4" w:rsidRPr="00D865D4">
        <w:rPr>
          <w:color w:val="000000"/>
          <w:spacing w:val="8"/>
          <w:w w:val="43"/>
          <w:shd w:val="solid" w:color="000000" w:fill="000000"/>
          <w:fitText w:val="145" w:id="-1157883123"/>
          <w14:textFill>
            <w14:solidFill>
              <w14:srgbClr w14:val="000000">
                <w14:alpha w14:val="100000"/>
              </w14:srgbClr>
            </w14:solidFill>
          </w14:textFill>
        </w:rPr>
        <w:t>|  |</w:t>
      </w:r>
      <w:proofErr w:type="gramEnd"/>
      <w:r w:rsidR="00D865D4" w:rsidRPr="00D865D4">
        <w:rPr>
          <w:color w:val="000000"/>
          <w:spacing w:val="5"/>
          <w:w w:val="43"/>
          <w:shd w:val="solid" w:color="000000" w:fill="000000"/>
          <w:fitText w:val="145" w:id="-1157883123"/>
          <w14:textFill>
            <w14:solidFill>
              <w14:srgbClr w14:val="000000">
                <w14:alpha w14:val="100000"/>
              </w14:srgbClr>
            </w14:solidFill>
          </w14:textFill>
        </w:rPr>
        <w:t>|</w:t>
      </w:r>
      <w:r w:rsidR="008A6620" w:rsidRPr="008A6620">
        <w:t xml:space="preserve"> hours </w:t>
      </w:r>
      <w:r w:rsidRPr="00CE1D27">
        <w:t xml:space="preserve">labour, </w:t>
      </w:r>
      <w:r w:rsidR="00D865D4" w:rsidRPr="00D865D4">
        <w:rPr>
          <w:color w:val="000000"/>
          <w:spacing w:val="8"/>
          <w:w w:val="43"/>
          <w:shd w:val="solid" w:color="000000" w:fill="000000"/>
          <w:fitText w:val="145" w:id="-1157883122"/>
          <w14:textFill>
            <w14:solidFill>
              <w14:srgbClr w14:val="000000">
                <w14:alpha w14:val="100000"/>
              </w14:srgbClr>
            </w14:solidFill>
          </w14:textFill>
        </w:rPr>
        <w:t>||  |</w:t>
      </w:r>
      <w:r w:rsidR="00D865D4" w:rsidRPr="00D865D4">
        <w:rPr>
          <w:color w:val="000000"/>
          <w:spacing w:val="5"/>
          <w:w w:val="43"/>
          <w:shd w:val="solid" w:color="000000" w:fill="000000"/>
          <w:fitText w:val="145" w:id="-1157883122"/>
          <w14:textFill>
            <w14:solidFill>
              <w14:srgbClr w14:val="000000">
                <w14:alpha w14:val="100000"/>
              </w14:srgbClr>
            </w14:solidFill>
          </w14:textFill>
        </w:rPr>
        <w:t>|</w:t>
      </w:r>
      <w:r w:rsidR="008A6620" w:rsidRPr="008A6620">
        <w:t xml:space="preserve"> hours </w:t>
      </w:r>
      <w:r w:rsidRPr="00CE1D27">
        <w:t xml:space="preserve">travel and </w:t>
      </w:r>
      <w:r w:rsidR="00D865D4" w:rsidRPr="00D865D4">
        <w:rPr>
          <w:color w:val="000000"/>
          <w:spacing w:val="8"/>
          <w:w w:val="43"/>
          <w:shd w:val="solid" w:color="000000" w:fill="000000"/>
          <w:fitText w:val="145" w:id="-1157883121"/>
          <w14:textFill>
            <w14:solidFill>
              <w14:srgbClr w14:val="000000">
                <w14:alpha w14:val="100000"/>
              </w14:srgbClr>
            </w14:solidFill>
          </w14:textFill>
        </w:rPr>
        <w:t>||  |</w:t>
      </w:r>
      <w:r w:rsidR="00D865D4" w:rsidRPr="00D865D4">
        <w:rPr>
          <w:color w:val="000000"/>
          <w:spacing w:val="5"/>
          <w:w w:val="43"/>
          <w:shd w:val="solid" w:color="000000" w:fill="000000"/>
          <w:fitText w:val="145" w:id="-1157883121"/>
          <w14:textFill>
            <w14:solidFill>
              <w14:srgbClr w14:val="000000">
                <w14:alpha w14:val="100000"/>
              </w14:srgbClr>
            </w14:solidFill>
          </w14:textFill>
        </w:rPr>
        <w:t>|</w:t>
      </w:r>
      <w:r w:rsidR="008A6620" w:rsidRPr="008A6620">
        <w:t xml:space="preserve"> hours </w:t>
      </w:r>
      <w:r w:rsidRPr="00CE1D27">
        <w:t>waiting</w:t>
      </w:r>
    </w:p>
    <w:p w14:paraId="07DC3F65" w14:textId="08331690" w:rsidR="005F5BEA" w:rsidRPr="00CE1D27" w:rsidRDefault="005F5BEA" w:rsidP="005F5BEA">
      <w:pPr>
        <w:pStyle w:val="Tablenotes"/>
      </w:pPr>
      <w:r w:rsidRPr="00CE1D27">
        <w:rPr>
          <w:vertAlign w:val="superscript"/>
        </w:rPr>
        <w:t>c</w:t>
      </w:r>
      <w:r w:rsidRPr="00CE1D27">
        <w:t xml:space="preserve"> Comprised of </w:t>
      </w:r>
      <w:r w:rsidR="00D865D4" w:rsidRPr="00D865D4">
        <w:rPr>
          <w:color w:val="000000"/>
          <w:spacing w:val="8"/>
          <w:w w:val="43"/>
          <w:shd w:val="solid" w:color="000000" w:fill="000000"/>
          <w:fitText w:val="145" w:id="-1157883120"/>
          <w14:textFill>
            <w14:solidFill>
              <w14:srgbClr w14:val="000000">
                <w14:alpha w14:val="100000"/>
              </w14:srgbClr>
            </w14:solidFill>
          </w14:textFill>
        </w:rPr>
        <w:t>|</w:t>
      </w:r>
      <w:proofErr w:type="gramStart"/>
      <w:r w:rsidR="00D865D4" w:rsidRPr="00D865D4">
        <w:rPr>
          <w:color w:val="000000"/>
          <w:spacing w:val="8"/>
          <w:w w:val="43"/>
          <w:shd w:val="solid" w:color="000000" w:fill="000000"/>
          <w:fitText w:val="145" w:id="-1157883120"/>
          <w14:textFill>
            <w14:solidFill>
              <w14:srgbClr w14:val="000000">
                <w14:alpha w14:val="100000"/>
              </w14:srgbClr>
            </w14:solidFill>
          </w14:textFill>
        </w:rPr>
        <w:t>|  |</w:t>
      </w:r>
      <w:proofErr w:type="gramEnd"/>
      <w:r w:rsidR="00D865D4" w:rsidRPr="00D865D4">
        <w:rPr>
          <w:color w:val="000000"/>
          <w:spacing w:val="5"/>
          <w:w w:val="43"/>
          <w:shd w:val="solid" w:color="000000" w:fill="000000"/>
          <w:fitText w:val="145" w:id="-1157883120"/>
          <w14:textFill>
            <w14:solidFill>
              <w14:srgbClr w14:val="000000">
                <w14:alpha w14:val="100000"/>
              </w14:srgbClr>
            </w14:solidFill>
          </w14:textFill>
        </w:rPr>
        <w:t>|</w:t>
      </w:r>
      <w:r w:rsidRPr="00CE1D27">
        <w:t xml:space="preserve"> hours labour, </w:t>
      </w:r>
      <w:r w:rsidR="00D865D4" w:rsidRPr="00D865D4">
        <w:rPr>
          <w:color w:val="000000"/>
          <w:spacing w:val="8"/>
          <w:w w:val="43"/>
          <w:shd w:val="solid" w:color="000000" w:fill="000000"/>
          <w:fitText w:val="145" w:id="-1157883136"/>
          <w14:textFill>
            <w14:solidFill>
              <w14:srgbClr w14:val="000000">
                <w14:alpha w14:val="100000"/>
              </w14:srgbClr>
            </w14:solidFill>
          </w14:textFill>
        </w:rPr>
        <w:t>||  |</w:t>
      </w:r>
      <w:r w:rsidR="00D865D4" w:rsidRPr="00D865D4">
        <w:rPr>
          <w:color w:val="000000"/>
          <w:spacing w:val="5"/>
          <w:w w:val="43"/>
          <w:shd w:val="solid" w:color="000000" w:fill="000000"/>
          <w:fitText w:val="145" w:id="-1157883136"/>
          <w14:textFill>
            <w14:solidFill>
              <w14:srgbClr w14:val="000000">
                <w14:alpha w14:val="100000"/>
              </w14:srgbClr>
            </w14:solidFill>
          </w14:textFill>
        </w:rPr>
        <w:t>|</w:t>
      </w:r>
      <w:r w:rsidR="008A6620" w:rsidRPr="008A6620">
        <w:t xml:space="preserve"> hours </w:t>
      </w:r>
      <w:r w:rsidRPr="00CE1D27">
        <w:t xml:space="preserve">travel and </w:t>
      </w:r>
      <w:r w:rsidR="00D865D4" w:rsidRPr="00D865D4">
        <w:rPr>
          <w:color w:val="000000"/>
          <w:spacing w:val="8"/>
          <w:w w:val="43"/>
          <w:shd w:val="solid" w:color="000000" w:fill="000000"/>
          <w:fitText w:val="145" w:id="-1157883135"/>
          <w14:textFill>
            <w14:solidFill>
              <w14:srgbClr w14:val="000000">
                <w14:alpha w14:val="100000"/>
              </w14:srgbClr>
            </w14:solidFill>
          </w14:textFill>
        </w:rPr>
        <w:t>||  |</w:t>
      </w:r>
      <w:r w:rsidR="00D865D4" w:rsidRPr="00D865D4">
        <w:rPr>
          <w:color w:val="000000"/>
          <w:spacing w:val="5"/>
          <w:w w:val="43"/>
          <w:shd w:val="solid" w:color="000000" w:fill="000000"/>
          <w:fitText w:val="145" w:id="-1157883135"/>
          <w14:textFill>
            <w14:solidFill>
              <w14:srgbClr w14:val="000000">
                <w14:alpha w14:val="100000"/>
              </w14:srgbClr>
            </w14:solidFill>
          </w14:textFill>
        </w:rPr>
        <w:t>|</w:t>
      </w:r>
      <w:r w:rsidR="008A6620" w:rsidRPr="008A6620">
        <w:t xml:space="preserve"> hours </w:t>
      </w:r>
      <w:r w:rsidRPr="00CE1D27">
        <w:t>waiting</w:t>
      </w:r>
    </w:p>
    <w:p w14:paraId="2778B4C0" w14:textId="65303E5C" w:rsidR="005F5BEA" w:rsidRPr="00CE1D27" w:rsidRDefault="005F5BEA" w:rsidP="005F5BEA">
      <w:pPr>
        <w:pStyle w:val="Tablenotes"/>
      </w:pPr>
      <w:r w:rsidRPr="00CE1D27">
        <w:rPr>
          <w:vertAlign w:val="superscript"/>
        </w:rPr>
        <w:t>d</w:t>
      </w:r>
      <w:r w:rsidRPr="00CE1D27">
        <w:t xml:space="preserve"> Comprised of </w:t>
      </w:r>
      <w:r w:rsidR="00D865D4" w:rsidRPr="00D865D4">
        <w:rPr>
          <w:color w:val="000000"/>
          <w:spacing w:val="8"/>
          <w:w w:val="43"/>
          <w:shd w:val="solid" w:color="000000" w:fill="000000"/>
          <w:fitText w:val="145" w:id="-1157883134"/>
          <w14:textFill>
            <w14:solidFill>
              <w14:srgbClr w14:val="000000">
                <w14:alpha w14:val="100000"/>
              </w14:srgbClr>
            </w14:solidFill>
          </w14:textFill>
        </w:rPr>
        <w:t>|</w:t>
      </w:r>
      <w:proofErr w:type="gramStart"/>
      <w:r w:rsidR="00D865D4" w:rsidRPr="00D865D4">
        <w:rPr>
          <w:color w:val="000000"/>
          <w:spacing w:val="8"/>
          <w:w w:val="43"/>
          <w:shd w:val="solid" w:color="000000" w:fill="000000"/>
          <w:fitText w:val="145" w:id="-1157883134"/>
          <w14:textFill>
            <w14:solidFill>
              <w14:srgbClr w14:val="000000">
                <w14:alpha w14:val="100000"/>
              </w14:srgbClr>
            </w14:solidFill>
          </w14:textFill>
        </w:rPr>
        <w:t>|  |</w:t>
      </w:r>
      <w:proofErr w:type="gramEnd"/>
      <w:r w:rsidR="00D865D4" w:rsidRPr="00D865D4">
        <w:rPr>
          <w:color w:val="000000"/>
          <w:spacing w:val="5"/>
          <w:w w:val="43"/>
          <w:shd w:val="solid" w:color="000000" w:fill="000000"/>
          <w:fitText w:val="145" w:id="-1157883134"/>
          <w14:textFill>
            <w14:solidFill>
              <w14:srgbClr w14:val="000000">
                <w14:alpha w14:val="100000"/>
              </w14:srgbClr>
            </w14:solidFill>
          </w14:textFill>
        </w:rPr>
        <w:t>|</w:t>
      </w:r>
      <w:r w:rsidR="008A6620" w:rsidRPr="008A6620">
        <w:t xml:space="preserve"> hours </w:t>
      </w:r>
      <w:r w:rsidRPr="00CE1D27">
        <w:t xml:space="preserve">labour, </w:t>
      </w:r>
      <w:r w:rsidR="00D865D4" w:rsidRPr="00D865D4">
        <w:rPr>
          <w:color w:val="000000"/>
          <w:spacing w:val="8"/>
          <w:w w:val="43"/>
          <w:shd w:val="solid" w:color="000000" w:fill="000000"/>
          <w:fitText w:val="145" w:id="-1157883133"/>
          <w14:textFill>
            <w14:solidFill>
              <w14:srgbClr w14:val="000000">
                <w14:alpha w14:val="100000"/>
              </w14:srgbClr>
            </w14:solidFill>
          </w14:textFill>
        </w:rPr>
        <w:t>||  |</w:t>
      </w:r>
      <w:r w:rsidR="00D865D4" w:rsidRPr="00D865D4">
        <w:rPr>
          <w:color w:val="000000"/>
          <w:spacing w:val="5"/>
          <w:w w:val="43"/>
          <w:shd w:val="solid" w:color="000000" w:fill="000000"/>
          <w:fitText w:val="145" w:id="-1157883133"/>
          <w14:textFill>
            <w14:solidFill>
              <w14:srgbClr w14:val="000000">
                <w14:alpha w14:val="100000"/>
              </w14:srgbClr>
            </w14:solidFill>
          </w14:textFill>
        </w:rPr>
        <w:t>|</w:t>
      </w:r>
      <w:r w:rsidR="008A6620" w:rsidRPr="008A6620">
        <w:t xml:space="preserve"> hours </w:t>
      </w:r>
      <w:r w:rsidRPr="00CE1D27">
        <w:t xml:space="preserve">travel and </w:t>
      </w:r>
      <w:r w:rsidR="00D865D4" w:rsidRPr="00D865D4">
        <w:rPr>
          <w:color w:val="000000"/>
          <w:spacing w:val="8"/>
          <w:w w:val="43"/>
          <w:shd w:val="solid" w:color="000000" w:fill="000000"/>
          <w:fitText w:val="145" w:id="-1157883132"/>
          <w14:textFill>
            <w14:solidFill>
              <w14:srgbClr w14:val="000000">
                <w14:alpha w14:val="100000"/>
              </w14:srgbClr>
            </w14:solidFill>
          </w14:textFill>
        </w:rPr>
        <w:t>||  |</w:t>
      </w:r>
      <w:r w:rsidR="00D865D4" w:rsidRPr="00D865D4">
        <w:rPr>
          <w:color w:val="000000"/>
          <w:spacing w:val="5"/>
          <w:w w:val="43"/>
          <w:shd w:val="solid" w:color="000000" w:fill="000000"/>
          <w:fitText w:val="145" w:id="-1157883132"/>
          <w14:textFill>
            <w14:solidFill>
              <w14:srgbClr w14:val="000000">
                <w14:alpha w14:val="100000"/>
              </w14:srgbClr>
            </w14:solidFill>
          </w14:textFill>
        </w:rPr>
        <w:t>|</w:t>
      </w:r>
      <w:r w:rsidRPr="00CE1D27">
        <w:t xml:space="preserve"> hours waiting</w:t>
      </w:r>
    </w:p>
    <w:p w14:paraId="5CBAF6EA" w14:textId="7F093A16" w:rsidR="005F5BEA" w:rsidRPr="00CE1D27" w:rsidRDefault="005F5BEA" w:rsidP="005F5BEA">
      <w:pPr>
        <w:pStyle w:val="Tablenotes"/>
      </w:pPr>
      <w:r w:rsidRPr="00CE1D27">
        <w:rPr>
          <w:vertAlign w:val="superscript"/>
        </w:rPr>
        <w:lastRenderedPageBreak/>
        <w:t>e</w:t>
      </w:r>
      <w:r w:rsidRPr="00CE1D27">
        <w:t xml:space="preserve"> Comprised of </w:t>
      </w:r>
      <w:r w:rsidR="00D865D4" w:rsidRPr="00D865D4">
        <w:rPr>
          <w:color w:val="000000"/>
          <w:spacing w:val="8"/>
          <w:w w:val="43"/>
          <w:shd w:val="solid" w:color="000000" w:fill="000000"/>
          <w:fitText w:val="145" w:id="-1157883131"/>
          <w14:textFill>
            <w14:solidFill>
              <w14:srgbClr w14:val="000000">
                <w14:alpha w14:val="100000"/>
              </w14:srgbClr>
            </w14:solidFill>
          </w14:textFill>
        </w:rPr>
        <w:t>|</w:t>
      </w:r>
      <w:proofErr w:type="gramStart"/>
      <w:r w:rsidR="00D865D4" w:rsidRPr="00D865D4">
        <w:rPr>
          <w:color w:val="000000"/>
          <w:spacing w:val="8"/>
          <w:w w:val="43"/>
          <w:shd w:val="solid" w:color="000000" w:fill="000000"/>
          <w:fitText w:val="145" w:id="-1157883131"/>
          <w14:textFill>
            <w14:solidFill>
              <w14:srgbClr w14:val="000000">
                <w14:alpha w14:val="100000"/>
              </w14:srgbClr>
            </w14:solidFill>
          </w14:textFill>
        </w:rPr>
        <w:t>|  |</w:t>
      </w:r>
      <w:proofErr w:type="gramEnd"/>
      <w:r w:rsidR="00D865D4" w:rsidRPr="00D865D4">
        <w:rPr>
          <w:color w:val="000000"/>
          <w:spacing w:val="5"/>
          <w:w w:val="43"/>
          <w:shd w:val="solid" w:color="000000" w:fill="000000"/>
          <w:fitText w:val="145" w:id="-1157883131"/>
          <w14:textFill>
            <w14:solidFill>
              <w14:srgbClr w14:val="000000">
                <w14:alpha w14:val="100000"/>
              </w14:srgbClr>
            </w14:solidFill>
          </w14:textFill>
        </w:rPr>
        <w:t>|</w:t>
      </w:r>
      <w:r w:rsidR="008A6620" w:rsidRPr="008A6620">
        <w:t xml:space="preserve"> hours </w:t>
      </w:r>
      <w:r w:rsidRPr="00CE1D27">
        <w:t xml:space="preserve">labour, </w:t>
      </w:r>
      <w:r w:rsidR="00D865D4" w:rsidRPr="00D865D4">
        <w:rPr>
          <w:color w:val="000000"/>
          <w:spacing w:val="8"/>
          <w:w w:val="43"/>
          <w:shd w:val="solid" w:color="000000" w:fill="000000"/>
          <w:fitText w:val="145" w:id="-1157883130"/>
          <w14:textFill>
            <w14:solidFill>
              <w14:srgbClr w14:val="000000">
                <w14:alpha w14:val="100000"/>
              </w14:srgbClr>
            </w14:solidFill>
          </w14:textFill>
        </w:rPr>
        <w:t>||  |</w:t>
      </w:r>
      <w:r w:rsidR="00D865D4" w:rsidRPr="00D865D4">
        <w:rPr>
          <w:color w:val="000000"/>
          <w:spacing w:val="5"/>
          <w:w w:val="43"/>
          <w:shd w:val="solid" w:color="000000" w:fill="000000"/>
          <w:fitText w:val="145" w:id="-1157883130"/>
          <w14:textFill>
            <w14:solidFill>
              <w14:srgbClr w14:val="000000">
                <w14:alpha w14:val="100000"/>
              </w14:srgbClr>
            </w14:solidFill>
          </w14:textFill>
        </w:rPr>
        <w:t>|</w:t>
      </w:r>
      <w:r w:rsidR="008A6620" w:rsidRPr="008A6620">
        <w:t xml:space="preserve"> hours </w:t>
      </w:r>
      <w:r w:rsidRPr="00CE1D27">
        <w:t xml:space="preserve">travel and </w:t>
      </w:r>
      <w:r w:rsidR="00D865D4" w:rsidRPr="00D865D4">
        <w:rPr>
          <w:color w:val="000000"/>
          <w:spacing w:val="8"/>
          <w:w w:val="43"/>
          <w:shd w:val="solid" w:color="000000" w:fill="000000"/>
          <w:fitText w:val="145" w:id="-1157883129"/>
          <w14:textFill>
            <w14:solidFill>
              <w14:srgbClr w14:val="000000">
                <w14:alpha w14:val="100000"/>
              </w14:srgbClr>
            </w14:solidFill>
          </w14:textFill>
        </w:rPr>
        <w:t>||  |</w:t>
      </w:r>
      <w:r w:rsidR="00D865D4" w:rsidRPr="00D865D4">
        <w:rPr>
          <w:color w:val="000000"/>
          <w:spacing w:val="5"/>
          <w:w w:val="43"/>
          <w:shd w:val="solid" w:color="000000" w:fill="000000"/>
          <w:fitText w:val="145" w:id="-1157883129"/>
          <w14:textFill>
            <w14:solidFill>
              <w14:srgbClr w14:val="000000">
                <w14:alpha w14:val="100000"/>
              </w14:srgbClr>
            </w14:solidFill>
          </w14:textFill>
        </w:rPr>
        <w:t>|</w:t>
      </w:r>
      <w:r w:rsidR="008A6620" w:rsidRPr="008A6620">
        <w:t xml:space="preserve"> hours </w:t>
      </w:r>
      <w:r w:rsidRPr="00CE1D27">
        <w:t>waiting</w:t>
      </w:r>
    </w:p>
    <w:p w14:paraId="0B9F636A" w14:textId="565845C4" w:rsidR="005F5BEA" w:rsidRPr="00CE1D27" w:rsidRDefault="005F5BEA" w:rsidP="005F5BEA">
      <w:pPr>
        <w:pStyle w:val="Tablenotes"/>
      </w:pPr>
      <w:r w:rsidRPr="00CE1D27">
        <w:rPr>
          <w:vertAlign w:val="superscript"/>
        </w:rPr>
        <w:t>f</w:t>
      </w:r>
      <w:r w:rsidRPr="00CE1D27">
        <w:t xml:space="preserve"> Comprised </w:t>
      </w:r>
      <w:r w:rsidR="00D865D4" w:rsidRPr="00D865D4">
        <w:rPr>
          <w:color w:val="000000"/>
          <w:spacing w:val="8"/>
          <w:w w:val="43"/>
          <w:shd w:val="solid" w:color="000000" w:fill="000000"/>
          <w:fitText w:val="145" w:id="-1157883128"/>
          <w14:textFill>
            <w14:solidFill>
              <w14:srgbClr w14:val="000000">
                <w14:alpha w14:val="100000"/>
              </w14:srgbClr>
            </w14:solidFill>
          </w14:textFill>
        </w:rPr>
        <w:t>|</w:t>
      </w:r>
      <w:proofErr w:type="gramStart"/>
      <w:r w:rsidR="00D865D4" w:rsidRPr="00D865D4">
        <w:rPr>
          <w:color w:val="000000"/>
          <w:spacing w:val="8"/>
          <w:w w:val="43"/>
          <w:shd w:val="solid" w:color="000000" w:fill="000000"/>
          <w:fitText w:val="145" w:id="-1157883128"/>
          <w14:textFill>
            <w14:solidFill>
              <w14:srgbClr w14:val="000000">
                <w14:alpha w14:val="100000"/>
              </w14:srgbClr>
            </w14:solidFill>
          </w14:textFill>
        </w:rPr>
        <w:t>|  |</w:t>
      </w:r>
      <w:proofErr w:type="gramEnd"/>
      <w:r w:rsidR="00D865D4" w:rsidRPr="00D865D4">
        <w:rPr>
          <w:color w:val="000000"/>
          <w:spacing w:val="5"/>
          <w:w w:val="43"/>
          <w:shd w:val="solid" w:color="000000" w:fill="000000"/>
          <w:fitText w:val="145" w:id="-1157883128"/>
          <w14:textFill>
            <w14:solidFill>
              <w14:srgbClr w14:val="000000">
                <w14:alpha w14:val="100000"/>
              </w14:srgbClr>
            </w14:solidFill>
          </w14:textFill>
        </w:rPr>
        <w:t>|</w:t>
      </w:r>
      <w:r w:rsidR="008A6620" w:rsidRPr="008A6620">
        <w:t xml:space="preserve"> hours </w:t>
      </w:r>
      <w:r w:rsidRPr="00CE1D27">
        <w:t>labour</w:t>
      </w:r>
      <w:r w:rsidR="00D865D4">
        <w:t xml:space="preserve"> </w:t>
      </w:r>
      <w:r w:rsidR="00D865D4" w:rsidRPr="00D865D4">
        <w:rPr>
          <w:color w:val="000000"/>
          <w:spacing w:val="8"/>
          <w:w w:val="43"/>
          <w:shd w:val="solid" w:color="000000" w:fill="000000"/>
          <w:fitText w:val="145" w:id="-1157883127"/>
          <w14:textFill>
            <w14:solidFill>
              <w14:srgbClr w14:val="000000">
                <w14:alpha w14:val="100000"/>
              </w14:srgbClr>
            </w14:solidFill>
          </w14:textFill>
        </w:rPr>
        <w:t>||  |</w:t>
      </w:r>
      <w:r w:rsidR="00D865D4" w:rsidRPr="00D865D4">
        <w:rPr>
          <w:color w:val="000000"/>
          <w:spacing w:val="5"/>
          <w:w w:val="43"/>
          <w:shd w:val="solid" w:color="000000" w:fill="000000"/>
          <w:fitText w:val="145" w:id="-1157883127"/>
          <w14:textFill>
            <w14:solidFill>
              <w14:srgbClr w14:val="000000">
                <w14:alpha w14:val="100000"/>
              </w14:srgbClr>
            </w14:solidFill>
          </w14:textFill>
        </w:rPr>
        <w:t>|</w:t>
      </w:r>
      <w:r w:rsidRPr="00CE1D27">
        <w:t xml:space="preserve"> hours travel and </w:t>
      </w:r>
      <w:r w:rsidR="00D865D4" w:rsidRPr="00D865D4">
        <w:rPr>
          <w:color w:val="000000"/>
          <w:spacing w:val="8"/>
          <w:w w:val="43"/>
          <w:shd w:val="solid" w:color="000000" w:fill="000000"/>
          <w:fitText w:val="145" w:id="-1157883126"/>
          <w14:textFill>
            <w14:solidFill>
              <w14:srgbClr w14:val="000000">
                <w14:alpha w14:val="100000"/>
              </w14:srgbClr>
            </w14:solidFill>
          </w14:textFill>
        </w:rPr>
        <w:t>||  |</w:t>
      </w:r>
      <w:r w:rsidR="00D865D4" w:rsidRPr="00D865D4">
        <w:rPr>
          <w:color w:val="000000"/>
          <w:spacing w:val="5"/>
          <w:w w:val="43"/>
          <w:shd w:val="solid" w:color="000000" w:fill="000000"/>
          <w:fitText w:val="145" w:id="-1157883126"/>
          <w14:textFill>
            <w14:solidFill>
              <w14:srgbClr w14:val="000000">
                <w14:alpha w14:val="100000"/>
              </w14:srgbClr>
            </w14:solidFill>
          </w14:textFill>
        </w:rPr>
        <w:t>|</w:t>
      </w:r>
      <w:r w:rsidR="008A6620" w:rsidRPr="008A6620">
        <w:t xml:space="preserve"> hours </w:t>
      </w:r>
      <w:r w:rsidRPr="00CE1D27">
        <w:t>waiting</w:t>
      </w:r>
    </w:p>
    <w:p w14:paraId="7CB5809E" w14:textId="005D850C" w:rsidR="005F5BEA" w:rsidRPr="00CE1D27" w:rsidRDefault="005F5BEA" w:rsidP="005F5BEA">
      <w:pPr>
        <w:pStyle w:val="Tablenotes"/>
      </w:pPr>
      <w:r w:rsidRPr="00CE1D27">
        <w:rPr>
          <w:vertAlign w:val="superscript"/>
        </w:rPr>
        <w:t>g</w:t>
      </w:r>
      <w:r w:rsidRPr="00CE1D27">
        <w:t xml:space="preserve"> Comprised of </w:t>
      </w:r>
      <w:r w:rsidR="00D865D4" w:rsidRPr="00D865D4">
        <w:rPr>
          <w:color w:val="000000"/>
          <w:spacing w:val="8"/>
          <w:w w:val="43"/>
          <w:shd w:val="solid" w:color="000000" w:fill="000000"/>
          <w:fitText w:val="145" w:id="-1157883125"/>
          <w14:textFill>
            <w14:solidFill>
              <w14:srgbClr w14:val="000000">
                <w14:alpha w14:val="100000"/>
              </w14:srgbClr>
            </w14:solidFill>
          </w14:textFill>
        </w:rPr>
        <w:t>|</w:t>
      </w:r>
      <w:proofErr w:type="gramStart"/>
      <w:r w:rsidR="00D865D4" w:rsidRPr="00D865D4">
        <w:rPr>
          <w:color w:val="000000"/>
          <w:spacing w:val="8"/>
          <w:w w:val="43"/>
          <w:shd w:val="solid" w:color="000000" w:fill="000000"/>
          <w:fitText w:val="145" w:id="-1157883125"/>
          <w14:textFill>
            <w14:solidFill>
              <w14:srgbClr w14:val="000000">
                <w14:alpha w14:val="100000"/>
              </w14:srgbClr>
            </w14:solidFill>
          </w14:textFill>
        </w:rPr>
        <w:t>|  |</w:t>
      </w:r>
      <w:proofErr w:type="gramEnd"/>
      <w:r w:rsidR="00D865D4" w:rsidRPr="00D865D4">
        <w:rPr>
          <w:color w:val="000000"/>
          <w:spacing w:val="5"/>
          <w:w w:val="43"/>
          <w:shd w:val="solid" w:color="000000" w:fill="000000"/>
          <w:fitText w:val="145" w:id="-1157883125"/>
          <w14:textFill>
            <w14:solidFill>
              <w14:srgbClr w14:val="000000">
                <w14:alpha w14:val="100000"/>
              </w14:srgbClr>
            </w14:solidFill>
          </w14:textFill>
        </w:rPr>
        <w:t>|</w:t>
      </w:r>
      <w:r w:rsidR="008A6620" w:rsidRPr="008A6620">
        <w:t xml:space="preserve"> hours </w:t>
      </w:r>
      <w:r w:rsidRPr="00CE1D27">
        <w:t xml:space="preserve">labour, </w:t>
      </w:r>
      <w:r w:rsidR="00D865D4" w:rsidRPr="00D865D4">
        <w:rPr>
          <w:color w:val="000000"/>
          <w:spacing w:val="8"/>
          <w:w w:val="43"/>
          <w:shd w:val="solid" w:color="000000" w:fill="000000"/>
          <w:fitText w:val="145" w:id="-1157883124"/>
          <w14:textFill>
            <w14:solidFill>
              <w14:srgbClr w14:val="000000">
                <w14:alpha w14:val="100000"/>
              </w14:srgbClr>
            </w14:solidFill>
          </w14:textFill>
        </w:rPr>
        <w:t>||  |</w:t>
      </w:r>
      <w:r w:rsidR="00D865D4" w:rsidRPr="00D865D4">
        <w:rPr>
          <w:color w:val="000000"/>
          <w:spacing w:val="5"/>
          <w:w w:val="43"/>
          <w:shd w:val="solid" w:color="000000" w:fill="000000"/>
          <w:fitText w:val="145" w:id="-1157883124"/>
          <w14:textFill>
            <w14:solidFill>
              <w14:srgbClr w14:val="000000">
                <w14:alpha w14:val="100000"/>
              </w14:srgbClr>
            </w14:solidFill>
          </w14:textFill>
        </w:rPr>
        <w:t>|</w:t>
      </w:r>
      <w:r w:rsidR="008A6620" w:rsidRPr="008A6620">
        <w:t xml:space="preserve"> hours </w:t>
      </w:r>
      <w:r w:rsidRPr="00CE1D27">
        <w:t xml:space="preserve">travel and </w:t>
      </w:r>
      <w:r w:rsidR="00D865D4" w:rsidRPr="00D865D4">
        <w:rPr>
          <w:color w:val="000000"/>
          <w:spacing w:val="8"/>
          <w:w w:val="43"/>
          <w:shd w:val="solid" w:color="000000" w:fill="000000"/>
          <w:fitText w:val="145" w:id="-1157883123"/>
          <w14:textFill>
            <w14:solidFill>
              <w14:srgbClr w14:val="000000">
                <w14:alpha w14:val="100000"/>
              </w14:srgbClr>
            </w14:solidFill>
          </w14:textFill>
        </w:rPr>
        <w:t>||  |</w:t>
      </w:r>
      <w:r w:rsidR="00D865D4" w:rsidRPr="00D865D4">
        <w:rPr>
          <w:color w:val="000000"/>
          <w:spacing w:val="5"/>
          <w:w w:val="43"/>
          <w:shd w:val="solid" w:color="000000" w:fill="000000"/>
          <w:fitText w:val="145" w:id="-1157883123"/>
          <w14:textFill>
            <w14:solidFill>
              <w14:srgbClr w14:val="000000">
                <w14:alpha w14:val="100000"/>
              </w14:srgbClr>
            </w14:solidFill>
          </w14:textFill>
        </w:rPr>
        <w:t>|</w:t>
      </w:r>
      <w:r w:rsidRPr="00CE1D27">
        <w:t xml:space="preserve"> hours waiting</w:t>
      </w:r>
    </w:p>
    <w:p w14:paraId="5A14268E" w14:textId="4193AD46" w:rsidR="005F5BEA" w:rsidRPr="00CE1D27" w:rsidRDefault="005F5BEA" w:rsidP="005F5BEA">
      <w:pPr>
        <w:pStyle w:val="Tablenotes"/>
      </w:pPr>
      <w:r w:rsidRPr="00CE1D27">
        <w:rPr>
          <w:vertAlign w:val="superscript"/>
        </w:rPr>
        <w:t>h</w:t>
      </w:r>
      <w:r w:rsidRPr="00CE1D27">
        <w:t xml:space="preserve"> Comprised of </w:t>
      </w:r>
      <w:r w:rsidR="00D865D4" w:rsidRPr="00D865D4">
        <w:rPr>
          <w:color w:val="000000"/>
          <w:spacing w:val="8"/>
          <w:w w:val="43"/>
          <w:shd w:val="solid" w:color="000000" w:fill="000000"/>
          <w:fitText w:val="145" w:id="-1157883122"/>
          <w14:textFill>
            <w14:solidFill>
              <w14:srgbClr w14:val="000000">
                <w14:alpha w14:val="100000"/>
              </w14:srgbClr>
            </w14:solidFill>
          </w14:textFill>
        </w:rPr>
        <w:t>|</w:t>
      </w:r>
      <w:proofErr w:type="gramStart"/>
      <w:r w:rsidR="00D865D4" w:rsidRPr="00D865D4">
        <w:rPr>
          <w:color w:val="000000"/>
          <w:spacing w:val="8"/>
          <w:w w:val="43"/>
          <w:shd w:val="solid" w:color="000000" w:fill="000000"/>
          <w:fitText w:val="145" w:id="-1157883122"/>
          <w14:textFill>
            <w14:solidFill>
              <w14:srgbClr w14:val="000000">
                <w14:alpha w14:val="100000"/>
              </w14:srgbClr>
            </w14:solidFill>
          </w14:textFill>
        </w:rPr>
        <w:t>|  |</w:t>
      </w:r>
      <w:proofErr w:type="gramEnd"/>
      <w:r w:rsidR="00D865D4" w:rsidRPr="00D865D4">
        <w:rPr>
          <w:color w:val="000000"/>
          <w:spacing w:val="5"/>
          <w:w w:val="43"/>
          <w:shd w:val="solid" w:color="000000" w:fill="000000"/>
          <w:fitText w:val="145" w:id="-1157883122"/>
          <w14:textFill>
            <w14:solidFill>
              <w14:srgbClr w14:val="000000">
                <w14:alpha w14:val="100000"/>
              </w14:srgbClr>
            </w14:solidFill>
          </w14:textFill>
        </w:rPr>
        <w:t>|</w:t>
      </w:r>
      <w:r w:rsidR="008A6620" w:rsidRPr="008A6620">
        <w:t xml:space="preserve"> hours </w:t>
      </w:r>
      <w:r w:rsidRPr="00CE1D27">
        <w:t xml:space="preserve">labour, </w:t>
      </w:r>
      <w:r w:rsidR="00D865D4" w:rsidRPr="00D865D4">
        <w:rPr>
          <w:color w:val="000000"/>
          <w:spacing w:val="8"/>
          <w:w w:val="43"/>
          <w:shd w:val="solid" w:color="000000" w:fill="000000"/>
          <w:fitText w:val="145" w:id="-1157883121"/>
          <w14:textFill>
            <w14:solidFill>
              <w14:srgbClr w14:val="000000">
                <w14:alpha w14:val="100000"/>
              </w14:srgbClr>
            </w14:solidFill>
          </w14:textFill>
        </w:rPr>
        <w:t>||  |</w:t>
      </w:r>
      <w:r w:rsidR="00D865D4" w:rsidRPr="00D865D4">
        <w:rPr>
          <w:color w:val="000000"/>
          <w:spacing w:val="5"/>
          <w:w w:val="43"/>
          <w:shd w:val="solid" w:color="000000" w:fill="000000"/>
          <w:fitText w:val="145" w:id="-1157883121"/>
          <w14:textFill>
            <w14:solidFill>
              <w14:srgbClr w14:val="000000">
                <w14:alpha w14:val="100000"/>
              </w14:srgbClr>
            </w14:solidFill>
          </w14:textFill>
        </w:rPr>
        <w:t>|</w:t>
      </w:r>
      <w:r w:rsidR="008A6620" w:rsidRPr="008A6620">
        <w:t xml:space="preserve"> hours </w:t>
      </w:r>
      <w:r w:rsidRPr="00CE1D27">
        <w:t xml:space="preserve">travel and </w:t>
      </w:r>
      <w:r w:rsidR="00D865D4" w:rsidRPr="00D865D4">
        <w:rPr>
          <w:color w:val="000000"/>
          <w:spacing w:val="8"/>
          <w:w w:val="43"/>
          <w:shd w:val="solid" w:color="000000" w:fill="000000"/>
          <w:fitText w:val="145" w:id="-1157883120"/>
          <w14:textFill>
            <w14:solidFill>
              <w14:srgbClr w14:val="000000">
                <w14:alpha w14:val="100000"/>
              </w14:srgbClr>
            </w14:solidFill>
          </w14:textFill>
        </w:rPr>
        <w:t>||  |</w:t>
      </w:r>
      <w:r w:rsidR="00D865D4" w:rsidRPr="00D865D4">
        <w:rPr>
          <w:color w:val="000000"/>
          <w:spacing w:val="5"/>
          <w:w w:val="43"/>
          <w:shd w:val="solid" w:color="000000" w:fill="000000"/>
          <w:fitText w:val="145" w:id="-1157883120"/>
          <w14:textFill>
            <w14:solidFill>
              <w14:srgbClr w14:val="000000">
                <w14:alpha w14:val="100000"/>
              </w14:srgbClr>
            </w14:solidFill>
          </w14:textFill>
        </w:rPr>
        <w:t>|</w:t>
      </w:r>
      <w:r w:rsidR="008A6620" w:rsidRPr="008A6620">
        <w:t xml:space="preserve"> hours </w:t>
      </w:r>
      <w:r w:rsidRPr="00CE1D27">
        <w:t>waiting</w:t>
      </w:r>
    </w:p>
    <w:p w14:paraId="52180AD9" w14:textId="7A48B200" w:rsidR="005F5BEA" w:rsidRPr="00CE1D27" w:rsidRDefault="005F5BEA" w:rsidP="005F5BEA">
      <w:pPr>
        <w:pStyle w:val="Tablenotes"/>
      </w:pPr>
      <w:proofErr w:type="spellStart"/>
      <w:r w:rsidRPr="00CE1D27">
        <w:rPr>
          <w:vertAlign w:val="superscript"/>
        </w:rPr>
        <w:t>i</w:t>
      </w:r>
      <w:proofErr w:type="spellEnd"/>
      <w:r w:rsidRPr="00CE1D27">
        <w:t xml:space="preserve"> Comprised of </w:t>
      </w:r>
      <w:r w:rsidR="00D865D4" w:rsidRPr="00D865D4">
        <w:rPr>
          <w:color w:val="000000"/>
          <w:spacing w:val="8"/>
          <w:w w:val="43"/>
          <w:shd w:val="solid" w:color="000000" w:fill="000000"/>
          <w:fitText w:val="145" w:id="-1157883136"/>
          <w14:textFill>
            <w14:solidFill>
              <w14:srgbClr w14:val="000000">
                <w14:alpha w14:val="100000"/>
              </w14:srgbClr>
            </w14:solidFill>
          </w14:textFill>
        </w:rPr>
        <w:t>|</w:t>
      </w:r>
      <w:proofErr w:type="gramStart"/>
      <w:r w:rsidR="00D865D4" w:rsidRPr="00D865D4">
        <w:rPr>
          <w:color w:val="000000"/>
          <w:spacing w:val="8"/>
          <w:w w:val="43"/>
          <w:shd w:val="solid" w:color="000000" w:fill="000000"/>
          <w:fitText w:val="145" w:id="-1157883136"/>
          <w14:textFill>
            <w14:solidFill>
              <w14:srgbClr w14:val="000000">
                <w14:alpha w14:val="100000"/>
              </w14:srgbClr>
            </w14:solidFill>
          </w14:textFill>
        </w:rPr>
        <w:t>|  |</w:t>
      </w:r>
      <w:proofErr w:type="gramEnd"/>
      <w:r w:rsidR="00D865D4" w:rsidRPr="00D865D4">
        <w:rPr>
          <w:color w:val="000000"/>
          <w:spacing w:val="5"/>
          <w:w w:val="43"/>
          <w:shd w:val="solid" w:color="000000" w:fill="000000"/>
          <w:fitText w:val="145" w:id="-1157883136"/>
          <w14:textFill>
            <w14:solidFill>
              <w14:srgbClr w14:val="000000">
                <w14:alpha w14:val="100000"/>
              </w14:srgbClr>
            </w14:solidFill>
          </w14:textFill>
        </w:rPr>
        <w:t>|</w:t>
      </w:r>
      <w:r w:rsidRPr="00CE1D27">
        <w:t xml:space="preserve"> hours labour, </w:t>
      </w:r>
      <w:r w:rsidR="00D865D4" w:rsidRPr="00D865D4">
        <w:rPr>
          <w:color w:val="000000"/>
          <w:spacing w:val="8"/>
          <w:w w:val="43"/>
          <w:shd w:val="solid" w:color="000000" w:fill="000000"/>
          <w:fitText w:val="145" w:id="-1157883135"/>
          <w14:textFill>
            <w14:solidFill>
              <w14:srgbClr w14:val="000000">
                <w14:alpha w14:val="100000"/>
              </w14:srgbClr>
            </w14:solidFill>
          </w14:textFill>
        </w:rPr>
        <w:t>||  |</w:t>
      </w:r>
      <w:r w:rsidR="00D865D4" w:rsidRPr="00D865D4">
        <w:rPr>
          <w:color w:val="000000"/>
          <w:spacing w:val="5"/>
          <w:w w:val="43"/>
          <w:shd w:val="solid" w:color="000000" w:fill="000000"/>
          <w:fitText w:val="145" w:id="-1157883135"/>
          <w14:textFill>
            <w14:solidFill>
              <w14:srgbClr w14:val="000000">
                <w14:alpha w14:val="100000"/>
              </w14:srgbClr>
            </w14:solidFill>
          </w14:textFill>
        </w:rPr>
        <w:t>|</w:t>
      </w:r>
      <w:r w:rsidR="008A6620" w:rsidRPr="008A6620">
        <w:t xml:space="preserve"> hours </w:t>
      </w:r>
      <w:r w:rsidRPr="00CE1D27">
        <w:t xml:space="preserve">travel and </w:t>
      </w:r>
      <w:r w:rsidR="00D865D4" w:rsidRPr="00D865D4">
        <w:rPr>
          <w:color w:val="000000"/>
          <w:spacing w:val="8"/>
          <w:w w:val="43"/>
          <w:shd w:val="solid" w:color="000000" w:fill="000000"/>
          <w:fitText w:val="145" w:id="-1157883134"/>
          <w14:textFill>
            <w14:solidFill>
              <w14:srgbClr w14:val="000000">
                <w14:alpha w14:val="100000"/>
              </w14:srgbClr>
            </w14:solidFill>
          </w14:textFill>
        </w:rPr>
        <w:t>||  |</w:t>
      </w:r>
      <w:r w:rsidR="00D865D4" w:rsidRPr="00D865D4">
        <w:rPr>
          <w:color w:val="000000"/>
          <w:spacing w:val="5"/>
          <w:w w:val="43"/>
          <w:shd w:val="solid" w:color="000000" w:fill="000000"/>
          <w:fitText w:val="145" w:id="-1157883134"/>
          <w14:textFill>
            <w14:solidFill>
              <w14:srgbClr w14:val="000000">
                <w14:alpha w14:val="100000"/>
              </w14:srgbClr>
            </w14:solidFill>
          </w14:textFill>
        </w:rPr>
        <w:t>|</w:t>
      </w:r>
      <w:r w:rsidR="008A6620" w:rsidRPr="008A6620">
        <w:t xml:space="preserve"> hours </w:t>
      </w:r>
      <w:r w:rsidRPr="00CE1D27">
        <w:t>waiting</w:t>
      </w:r>
    </w:p>
    <w:p w14:paraId="7F650AEF" w14:textId="29758861" w:rsidR="005F5BEA" w:rsidRPr="00CE1D27" w:rsidRDefault="005F5BEA" w:rsidP="005F5BEA">
      <w:pPr>
        <w:pStyle w:val="Tablenotes"/>
      </w:pPr>
      <w:r w:rsidRPr="00CE1D27">
        <w:rPr>
          <w:vertAlign w:val="superscript"/>
        </w:rPr>
        <w:t>j</w:t>
      </w:r>
      <w:r w:rsidRPr="00CE1D27">
        <w:t xml:space="preserve"> Comprised of </w:t>
      </w:r>
      <w:r w:rsidR="00D865D4" w:rsidRPr="00D865D4">
        <w:rPr>
          <w:color w:val="000000"/>
          <w:spacing w:val="8"/>
          <w:w w:val="43"/>
          <w:shd w:val="solid" w:color="000000" w:fill="000000"/>
          <w:fitText w:val="145" w:id="-1157883133"/>
          <w14:textFill>
            <w14:solidFill>
              <w14:srgbClr w14:val="000000">
                <w14:alpha w14:val="100000"/>
              </w14:srgbClr>
            </w14:solidFill>
          </w14:textFill>
        </w:rPr>
        <w:t>|</w:t>
      </w:r>
      <w:proofErr w:type="gramStart"/>
      <w:r w:rsidR="00D865D4" w:rsidRPr="00D865D4">
        <w:rPr>
          <w:color w:val="000000"/>
          <w:spacing w:val="8"/>
          <w:w w:val="43"/>
          <w:shd w:val="solid" w:color="000000" w:fill="000000"/>
          <w:fitText w:val="145" w:id="-1157883133"/>
          <w14:textFill>
            <w14:solidFill>
              <w14:srgbClr w14:val="000000">
                <w14:alpha w14:val="100000"/>
              </w14:srgbClr>
            </w14:solidFill>
          </w14:textFill>
        </w:rPr>
        <w:t>|  |</w:t>
      </w:r>
      <w:proofErr w:type="gramEnd"/>
      <w:r w:rsidR="00D865D4" w:rsidRPr="00D865D4">
        <w:rPr>
          <w:color w:val="000000"/>
          <w:spacing w:val="5"/>
          <w:w w:val="43"/>
          <w:shd w:val="solid" w:color="000000" w:fill="000000"/>
          <w:fitText w:val="145" w:id="-1157883133"/>
          <w14:textFill>
            <w14:solidFill>
              <w14:srgbClr w14:val="000000">
                <w14:alpha w14:val="100000"/>
              </w14:srgbClr>
            </w14:solidFill>
          </w14:textFill>
        </w:rPr>
        <w:t>|</w:t>
      </w:r>
      <w:r w:rsidR="008A6620" w:rsidRPr="008A6620">
        <w:t xml:space="preserve"> hours </w:t>
      </w:r>
      <w:r w:rsidRPr="00CE1D27">
        <w:t xml:space="preserve">labour, </w:t>
      </w:r>
      <w:r w:rsidR="00D865D4" w:rsidRPr="00D865D4">
        <w:rPr>
          <w:color w:val="000000"/>
          <w:spacing w:val="8"/>
          <w:w w:val="43"/>
          <w:shd w:val="solid" w:color="000000" w:fill="000000"/>
          <w:fitText w:val="145" w:id="-1157883132"/>
          <w14:textFill>
            <w14:solidFill>
              <w14:srgbClr w14:val="000000">
                <w14:alpha w14:val="100000"/>
              </w14:srgbClr>
            </w14:solidFill>
          </w14:textFill>
        </w:rPr>
        <w:t>||  |</w:t>
      </w:r>
      <w:r w:rsidR="00D865D4" w:rsidRPr="00D865D4">
        <w:rPr>
          <w:color w:val="000000"/>
          <w:spacing w:val="5"/>
          <w:w w:val="43"/>
          <w:shd w:val="solid" w:color="000000" w:fill="000000"/>
          <w:fitText w:val="145" w:id="-1157883132"/>
          <w14:textFill>
            <w14:solidFill>
              <w14:srgbClr w14:val="000000">
                <w14:alpha w14:val="100000"/>
              </w14:srgbClr>
            </w14:solidFill>
          </w14:textFill>
        </w:rPr>
        <w:t>|</w:t>
      </w:r>
      <w:r w:rsidR="008A6620" w:rsidRPr="008A6620">
        <w:t xml:space="preserve"> hours </w:t>
      </w:r>
      <w:r w:rsidRPr="00CE1D27">
        <w:t xml:space="preserve">travel </w:t>
      </w:r>
      <w:r w:rsidR="00D865D4" w:rsidRPr="00D865D4">
        <w:rPr>
          <w:color w:val="000000"/>
          <w:spacing w:val="8"/>
          <w:w w:val="43"/>
          <w:shd w:val="solid" w:color="000000" w:fill="000000"/>
          <w:fitText w:val="145" w:id="-1157883131"/>
          <w14:textFill>
            <w14:solidFill>
              <w14:srgbClr w14:val="000000">
                <w14:alpha w14:val="100000"/>
              </w14:srgbClr>
            </w14:solidFill>
          </w14:textFill>
        </w:rPr>
        <w:t>||  |</w:t>
      </w:r>
      <w:r w:rsidR="00D865D4" w:rsidRPr="00D865D4">
        <w:rPr>
          <w:color w:val="000000"/>
          <w:spacing w:val="5"/>
          <w:w w:val="43"/>
          <w:shd w:val="solid" w:color="000000" w:fill="000000"/>
          <w:fitText w:val="145" w:id="-1157883131"/>
          <w14:textFill>
            <w14:solidFill>
              <w14:srgbClr w14:val="000000">
                <w14:alpha w14:val="100000"/>
              </w14:srgbClr>
            </w14:solidFill>
          </w14:textFill>
        </w:rPr>
        <w:t>|</w:t>
      </w:r>
      <w:r w:rsidR="008A6620" w:rsidRPr="008A6620">
        <w:t xml:space="preserve"> hours </w:t>
      </w:r>
      <w:r w:rsidRPr="00CE1D27">
        <w:t>waiting</w:t>
      </w:r>
    </w:p>
    <w:p w14:paraId="62616670" w14:textId="46FAF488" w:rsidR="005F5BEA" w:rsidRPr="00CE1D27" w:rsidRDefault="005F5BEA" w:rsidP="005F5BEA">
      <w:pPr>
        <w:pStyle w:val="Tablenotes"/>
      </w:pPr>
      <w:r w:rsidRPr="00CE1D27">
        <w:rPr>
          <w:vertAlign w:val="superscript"/>
        </w:rPr>
        <w:t>k</w:t>
      </w:r>
      <w:r w:rsidRPr="00CE1D27">
        <w:t xml:space="preserve"> Comprised of </w:t>
      </w:r>
      <w:r w:rsidR="00D865D4" w:rsidRPr="00D865D4">
        <w:rPr>
          <w:color w:val="000000"/>
          <w:spacing w:val="8"/>
          <w:w w:val="43"/>
          <w:shd w:val="solid" w:color="000000" w:fill="000000"/>
          <w:fitText w:val="145" w:id="-1157883130"/>
          <w14:textFill>
            <w14:solidFill>
              <w14:srgbClr w14:val="000000">
                <w14:alpha w14:val="100000"/>
              </w14:srgbClr>
            </w14:solidFill>
          </w14:textFill>
        </w:rPr>
        <w:t>|</w:t>
      </w:r>
      <w:proofErr w:type="gramStart"/>
      <w:r w:rsidR="00D865D4" w:rsidRPr="00D865D4">
        <w:rPr>
          <w:color w:val="000000"/>
          <w:spacing w:val="8"/>
          <w:w w:val="43"/>
          <w:shd w:val="solid" w:color="000000" w:fill="000000"/>
          <w:fitText w:val="145" w:id="-1157883130"/>
          <w14:textFill>
            <w14:solidFill>
              <w14:srgbClr w14:val="000000">
                <w14:alpha w14:val="100000"/>
              </w14:srgbClr>
            </w14:solidFill>
          </w14:textFill>
        </w:rPr>
        <w:t>|  |</w:t>
      </w:r>
      <w:proofErr w:type="gramEnd"/>
      <w:r w:rsidR="00D865D4" w:rsidRPr="00D865D4">
        <w:rPr>
          <w:color w:val="000000"/>
          <w:spacing w:val="5"/>
          <w:w w:val="43"/>
          <w:shd w:val="solid" w:color="000000" w:fill="000000"/>
          <w:fitText w:val="145" w:id="-1157883130"/>
          <w14:textFill>
            <w14:solidFill>
              <w14:srgbClr w14:val="000000">
                <w14:alpha w14:val="100000"/>
              </w14:srgbClr>
            </w14:solidFill>
          </w14:textFill>
        </w:rPr>
        <w:t>|</w:t>
      </w:r>
      <w:r w:rsidR="008A6620" w:rsidRPr="008A6620">
        <w:t xml:space="preserve"> hours </w:t>
      </w:r>
      <w:r w:rsidRPr="00CE1D27">
        <w:t xml:space="preserve">labour, </w:t>
      </w:r>
      <w:r w:rsidR="00D865D4" w:rsidRPr="00D865D4">
        <w:rPr>
          <w:color w:val="000000"/>
          <w:spacing w:val="8"/>
          <w:w w:val="43"/>
          <w:shd w:val="solid" w:color="000000" w:fill="000000"/>
          <w:fitText w:val="145" w:id="-1157883129"/>
          <w14:textFill>
            <w14:solidFill>
              <w14:srgbClr w14:val="000000">
                <w14:alpha w14:val="100000"/>
              </w14:srgbClr>
            </w14:solidFill>
          </w14:textFill>
        </w:rPr>
        <w:t>||  |</w:t>
      </w:r>
      <w:r w:rsidR="00D865D4" w:rsidRPr="00D865D4">
        <w:rPr>
          <w:color w:val="000000"/>
          <w:spacing w:val="5"/>
          <w:w w:val="43"/>
          <w:shd w:val="solid" w:color="000000" w:fill="000000"/>
          <w:fitText w:val="145" w:id="-1157883129"/>
          <w14:textFill>
            <w14:solidFill>
              <w14:srgbClr w14:val="000000">
                <w14:alpha w14:val="100000"/>
              </w14:srgbClr>
            </w14:solidFill>
          </w14:textFill>
        </w:rPr>
        <w:t>|</w:t>
      </w:r>
      <w:r w:rsidR="008A6620" w:rsidRPr="008A6620">
        <w:t xml:space="preserve"> hours </w:t>
      </w:r>
      <w:r w:rsidRPr="00CE1D27">
        <w:t xml:space="preserve">travel and </w:t>
      </w:r>
      <w:r w:rsidR="00D865D4" w:rsidRPr="00D865D4">
        <w:rPr>
          <w:color w:val="000000"/>
          <w:spacing w:val="8"/>
          <w:w w:val="43"/>
          <w:shd w:val="solid" w:color="000000" w:fill="000000"/>
          <w:fitText w:val="145" w:id="-1157883128"/>
          <w14:textFill>
            <w14:solidFill>
              <w14:srgbClr w14:val="000000">
                <w14:alpha w14:val="100000"/>
              </w14:srgbClr>
            </w14:solidFill>
          </w14:textFill>
        </w:rPr>
        <w:t>||  |</w:t>
      </w:r>
      <w:r w:rsidR="00D865D4" w:rsidRPr="00D865D4">
        <w:rPr>
          <w:color w:val="000000"/>
          <w:spacing w:val="5"/>
          <w:w w:val="43"/>
          <w:shd w:val="solid" w:color="000000" w:fill="000000"/>
          <w:fitText w:val="145" w:id="-1157883128"/>
          <w14:textFill>
            <w14:solidFill>
              <w14:srgbClr w14:val="000000">
                <w14:alpha w14:val="100000"/>
              </w14:srgbClr>
            </w14:solidFill>
          </w14:textFill>
        </w:rPr>
        <w:t>|</w:t>
      </w:r>
      <w:r w:rsidR="008A6620" w:rsidRPr="008A6620">
        <w:t xml:space="preserve"> hours </w:t>
      </w:r>
      <w:r w:rsidRPr="00CE1D27">
        <w:t>waiting</w:t>
      </w:r>
    </w:p>
    <w:p w14:paraId="4DA3BB04" w14:textId="1A075025" w:rsidR="005F5BEA" w:rsidRPr="00CE1D27" w:rsidRDefault="005F5BEA" w:rsidP="005F5BEA">
      <w:pPr>
        <w:pStyle w:val="Tablenotes"/>
      </w:pPr>
      <w:r w:rsidRPr="00CE1D27">
        <w:rPr>
          <w:vertAlign w:val="superscript"/>
        </w:rPr>
        <w:t>l</w:t>
      </w:r>
      <w:r w:rsidRPr="00CE1D27">
        <w:t xml:space="preserve"> Comprised of </w:t>
      </w:r>
      <w:r w:rsidR="00D865D4" w:rsidRPr="00D865D4">
        <w:rPr>
          <w:color w:val="000000"/>
          <w:spacing w:val="8"/>
          <w:w w:val="43"/>
          <w:shd w:val="solid" w:color="000000" w:fill="000000"/>
          <w:fitText w:val="145" w:id="-1157883127"/>
          <w14:textFill>
            <w14:solidFill>
              <w14:srgbClr w14:val="000000">
                <w14:alpha w14:val="100000"/>
              </w14:srgbClr>
            </w14:solidFill>
          </w14:textFill>
        </w:rPr>
        <w:t>|</w:t>
      </w:r>
      <w:proofErr w:type="gramStart"/>
      <w:r w:rsidR="00D865D4" w:rsidRPr="00D865D4">
        <w:rPr>
          <w:color w:val="000000"/>
          <w:spacing w:val="8"/>
          <w:w w:val="43"/>
          <w:shd w:val="solid" w:color="000000" w:fill="000000"/>
          <w:fitText w:val="145" w:id="-1157883127"/>
          <w14:textFill>
            <w14:solidFill>
              <w14:srgbClr w14:val="000000">
                <w14:alpha w14:val="100000"/>
              </w14:srgbClr>
            </w14:solidFill>
          </w14:textFill>
        </w:rPr>
        <w:t>|  |</w:t>
      </w:r>
      <w:proofErr w:type="gramEnd"/>
      <w:r w:rsidR="00D865D4" w:rsidRPr="00D865D4">
        <w:rPr>
          <w:color w:val="000000"/>
          <w:spacing w:val="5"/>
          <w:w w:val="43"/>
          <w:shd w:val="solid" w:color="000000" w:fill="000000"/>
          <w:fitText w:val="145" w:id="-1157883127"/>
          <w14:textFill>
            <w14:solidFill>
              <w14:srgbClr w14:val="000000">
                <w14:alpha w14:val="100000"/>
              </w14:srgbClr>
            </w14:solidFill>
          </w14:textFill>
        </w:rPr>
        <w:t>|</w:t>
      </w:r>
      <w:r w:rsidR="008A6620" w:rsidRPr="008A6620">
        <w:t xml:space="preserve"> hours </w:t>
      </w:r>
      <w:r w:rsidRPr="00CE1D27">
        <w:t xml:space="preserve">labour, </w:t>
      </w:r>
      <w:r w:rsidR="00D865D4" w:rsidRPr="00D865D4">
        <w:rPr>
          <w:color w:val="000000"/>
          <w:spacing w:val="8"/>
          <w:w w:val="43"/>
          <w:shd w:val="solid" w:color="000000" w:fill="000000"/>
          <w:fitText w:val="145" w:id="-1157883126"/>
          <w14:textFill>
            <w14:solidFill>
              <w14:srgbClr w14:val="000000">
                <w14:alpha w14:val="100000"/>
              </w14:srgbClr>
            </w14:solidFill>
          </w14:textFill>
        </w:rPr>
        <w:t>||  |</w:t>
      </w:r>
      <w:r w:rsidR="00D865D4" w:rsidRPr="00D865D4">
        <w:rPr>
          <w:color w:val="000000"/>
          <w:spacing w:val="5"/>
          <w:w w:val="43"/>
          <w:shd w:val="solid" w:color="000000" w:fill="000000"/>
          <w:fitText w:val="145" w:id="-1157883126"/>
          <w14:textFill>
            <w14:solidFill>
              <w14:srgbClr w14:val="000000">
                <w14:alpha w14:val="100000"/>
              </w14:srgbClr>
            </w14:solidFill>
          </w14:textFill>
        </w:rPr>
        <w:t>|</w:t>
      </w:r>
      <w:r w:rsidR="008A6620" w:rsidRPr="008A6620">
        <w:t xml:space="preserve"> hours </w:t>
      </w:r>
      <w:r w:rsidRPr="00CE1D27">
        <w:t xml:space="preserve">travel and </w:t>
      </w:r>
      <w:r w:rsidR="00D865D4" w:rsidRPr="00D865D4">
        <w:rPr>
          <w:color w:val="000000"/>
          <w:spacing w:val="8"/>
          <w:w w:val="43"/>
          <w:shd w:val="solid" w:color="000000" w:fill="000000"/>
          <w:fitText w:val="145" w:id="-1157883125"/>
          <w14:textFill>
            <w14:solidFill>
              <w14:srgbClr w14:val="000000">
                <w14:alpha w14:val="100000"/>
              </w14:srgbClr>
            </w14:solidFill>
          </w14:textFill>
        </w:rPr>
        <w:t>||  |</w:t>
      </w:r>
      <w:r w:rsidR="00D865D4" w:rsidRPr="00D865D4">
        <w:rPr>
          <w:color w:val="000000"/>
          <w:spacing w:val="5"/>
          <w:w w:val="43"/>
          <w:shd w:val="solid" w:color="000000" w:fill="000000"/>
          <w:fitText w:val="145" w:id="-1157883125"/>
          <w14:textFill>
            <w14:solidFill>
              <w14:srgbClr w14:val="000000">
                <w14:alpha w14:val="100000"/>
              </w14:srgbClr>
            </w14:solidFill>
          </w14:textFill>
        </w:rPr>
        <w:t>|</w:t>
      </w:r>
      <w:r w:rsidR="008A6620" w:rsidRPr="008A6620">
        <w:t xml:space="preserve"> hours </w:t>
      </w:r>
      <w:r w:rsidRPr="00CE1D27">
        <w:t>waiting</w:t>
      </w:r>
    </w:p>
    <w:p w14:paraId="1D4A6A9D" w14:textId="2FBAB20A" w:rsidR="005F5BEA" w:rsidRPr="00CE1D27" w:rsidRDefault="005F5BEA" w:rsidP="005F5BEA">
      <w:pPr>
        <w:pStyle w:val="Tablenotes"/>
      </w:pPr>
      <w:r w:rsidRPr="00CE1D27">
        <w:rPr>
          <w:vertAlign w:val="superscript"/>
        </w:rPr>
        <w:t>m</w:t>
      </w:r>
      <w:r w:rsidRPr="00CE1D27">
        <w:t xml:space="preserve"> Wages ranged from </w:t>
      </w:r>
      <w:r w:rsidR="00D865D4" w:rsidRPr="00D865D4">
        <w:rPr>
          <w:color w:val="000000"/>
          <w:spacing w:val="8"/>
          <w:w w:val="43"/>
          <w:shd w:val="solid" w:color="000000" w:fill="000000"/>
          <w:fitText w:val="145" w:id="-1157883124"/>
          <w14:textFill>
            <w14:solidFill>
              <w14:srgbClr w14:val="000000">
                <w14:alpha w14:val="100000"/>
              </w14:srgbClr>
            </w14:solidFill>
          </w14:textFill>
        </w:rPr>
        <w:t>|</w:t>
      </w:r>
      <w:proofErr w:type="gramStart"/>
      <w:r w:rsidR="00D865D4" w:rsidRPr="00D865D4">
        <w:rPr>
          <w:color w:val="000000"/>
          <w:spacing w:val="8"/>
          <w:w w:val="43"/>
          <w:shd w:val="solid" w:color="000000" w:fill="000000"/>
          <w:fitText w:val="145" w:id="-1157883124"/>
          <w14:textFill>
            <w14:solidFill>
              <w14:srgbClr w14:val="000000">
                <w14:alpha w14:val="100000"/>
              </w14:srgbClr>
            </w14:solidFill>
          </w14:textFill>
        </w:rPr>
        <w:t>|  |</w:t>
      </w:r>
      <w:proofErr w:type="gramEnd"/>
      <w:r w:rsidR="00D865D4" w:rsidRPr="00D865D4">
        <w:rPr>
          <w:color w:val="000000"/>
          <w:spacing w:val="5"/>
          <w:w w:val="43"/>
          <w:shd w:val="solid" w:color="000000" w:fill="000000"/>
          <w:fitText w:val="145" w:id="-1157883124"/>
          <w14:textFill>
            <w14:solidFill>
              <w14:srgbClr w14:val="000000">
                <w14:alpha w14:val="100000"/>
              </w14:srgbClr>
            </w14:solidFill>
          </w14:textFill>
        </w:rPr>
        <w:t>|</w:t>
      </w:r>
      <w:r w:rsidR="00376955" w:rsidRPr="00376955">
        <w:t xml:space="preserve"> in </w:t>
      </w:r>
      <w:r w:rsidRPr="00CE1D27">
        <w:t xml:space="preserve">metro areas to </w:t>
      </w:r>
      <w:r w:rsidR="00D865D4" w:rsidRPr="00D865D4">
        <w:rPr>
          <w:color w:val="000000"/>
          <w:spacing w:val="8"/>
          <w:w w:val="43"/>
          <w:shd w:val="solid" w:color="000000" w:fill="000000"/>
          <w:fitText w:val="145" w:id="-1157883123"/>
          <w14:textFill>
            <w14:solidFill>
              <w14:srgbClr w14:val="000000">
                <w14:alpha w14:val="100000"/>
              </w14:srgbClr>
            </w14:solidFill>
          </w14:textFill>
        </w:rPr>
        <w:t>||  |</w:t>
      </w:r>
      <w:r w:rsidR="00D865D4" w:rsidRPr="00D865D4">
        <w:rPr>
          <w:color w:val="000000"/>
          <w:spacing w:val="5"/>
          <w:w w:val="43"/>
          <w:shd w:val="solid" w:color="000000" w:fill="000000"/>
          <w:fitText w:val="145" w:id="-1157883123"/>
          <w14:textFill>
            <w14:solidFill>
              <w14:srgbClr w14:val="000000">
                <w14:alpha w14:val="100000"/>
              </w14:srgbClr>
            </w14:solidFill>
          </w14:textFill>
        </w:rPr>
        <w:t>|</w:t>
      </w:r>
      <w:r w:rsidR="00376955" w:rsidRPr="00376955">
        <w:t xml:space="preserve"> in </w:t>
      </w:r>
      <w:r w:rsidRPr="00CE1D27">
        <w:t>remote. The average wage was weighted by the location of the service, which varied by cardiac device type. Inflation (6.1% each year, relative to the base year) was only applied on remote wages.</w:t>
      </w:r>
    </w:p>
    <w:p w14:paraId="154F986E" w14:textId="401CC42D" w:rsidR="0040580E" w:rsidRPr="005F5BEA" w:rsidRDefault="0040580E" w:rsidP="0040580E">
      <w:pPr>
        <w:pStyle w:val="Caption"/>
        <w:rPr>
          <w:rFonts w:ascii="Arial Narrow" w:hAnsi="Arial Narrow"/>
          <w:b/>
          <w:i w:val="0"/>
          <w:color w:val="auto"/>
          <w:sz w:val="20"/>
          <w:szCs w:val="20"/>
        </w:rPr>
      </w:pPr>
      <w:r w:rsidRPr="005F5BEA">
        <w:rPr>
          <w:rFonts w:ascii="Arial Narrow" w:hAnsi="Arial Narrow"/>
          <w:b/>
          <w:i w:val="0"/>
          <w:color w:val="auto"/>
          <w:sz w:val="20"/>
          <w:szCs w:val="20"/>
        </w:rPr>
        <w:t xml:space="preserve">Table </w:t>
      </w:r>
      <w:r w:rsidRPr="005F5BEA">
        <w:rPr>
          <w:rFonts w:ascii="Arial Narrow" w:hAnsi="Arial Narrow"/>
          <w:b/>
          <w:i w:val="0"/>
          <w:color w:val="auto"/>
          <w:sz w:val="20"/>
          <w:szCs w:val="20"/>
        </w:rPr>
        <w:fldChar w:fldCharType="begin"/>
      </w:r>
      <w:r w:rsidRPr="005F5BEA">
        <w:rPr>
          <w:rFonts w:ascii="Arial Narrow" w:hAnsi="Arial Narrow"/>
          <w:b/>
          <w:i w:val="0"/>
          <w:color w:val="auto"/>
          <w:sz w:val="20"/>
          <w:szCs w:val="20"/>
        </w:rPr>
        <w:instrText xml:space="preserve"> SEQ Table \* ARABIC </w:instrText>
      </w:r>
      <w:r w:rsidRPr="005F5BEA">
        <w:rPr>
          <w:rFonts w:ascii="Arial Narrow" w:hAnsi="Arial Narrow"/>
          <w:b/>
          <w:i w:val="0"/>
          <w:color w:val="auto"/>
          <w:sz w:val="20"/>
          <w:szCs w:val="20"/>
        </w:rPr>
        <w:fldChar w:fldCharType="separate"/>
      </w:r>
      <w:r w:rsidR="00334548">
        <w:rPr>
          <w:rFonts w:ascii="Arial Narrow" w:hAnsi="Arial Narrow"/>
          <w:b/>
          <w:i w:val="0"/>
          <w:noProof/>
          <w:color w:val="auto"/>
          <w:sz w:val="20"/>
          <w:szCs w:val="20"/>
        </w:rPr>
        <w:t>13</w:t>
      </w:r>
      <w:r w:rsidRPr="005F5BEA">
        <w:rPr>
          <w:rFonts w:ascii="Arial Narrow" w:hAnsi="Arial Narrow"/>
          <w:b/>
          <w:i w:val="0"/>
          <w:color w:val="auto"/>
          <w:sz w:val="20"/>
          <w:szCs w:val="20"/>
        </w:rPr>
        <w:fldChar w:fldCharType="end"/>
      </w:r>
      <w:r w:rsidRPr="005F5BEA">
        <w:rPr>
          <w:rFonts w:ascii="Arial Narrow" w:hAnsi="Arial Narrow"/>
          <w:b/>
          <w:i w:val="0"/>
          <w:color w:val="auto"/>
          <w:sz w:val="20"/>
          <w:szCs w:val="20"/>
        </w:rPr>
        <w:tab/>
        <w:t>Labour costs, remote services</w:t>
      </w:r>
      <w:bookmarkEnd w:id="30"/>
    </w:p>
    <w:tbl>
      <w:tblPr>
        <w:tblStyle w:val="TableGrid"/>
        <w:tblW w:w="9016" w:type="dxa"/>
        <w:tblLayout w:type="fixed"/>
        <w:tblLook w:val="04A0" w:firstRow="1" w:lastRow="0" w:firstColumn="1" w:lastColumn="0" w:noHBand="0" w:noVBand="1"/>
      </w:tblPr>
      <w:tblGrid>
        <w:gridCol w:w="345"/>
        <w:gridCol w:w="3761"/>
        <w:gridCol w:w="1227"/>
        <w:gridCol w:w="1228"/>
        <w:gridCol w:w="1227"/>
        <w:gridCol w:w="1228"/>
      </w:tblGrid>
      <w:tr w:rsidR="0040580E" w:rsidRPr="005F5BEA" w14:paraId="6E941496" w14:textId="77777777" w:rsidTr="00EC391A">
        <w:trPr>
          <w:trHeight w:val="300"/>
        </w:trPr>
        <w:tc>
          <w:tcPr>
            <w:tcW w:w="345" w:type="dxa"/>
          </w:tcPr>
          <w:p w14:paraId="2997706E" w14:textId="77777777" w:rsidR="0040580E" w:rsidRPr="005F5BEA" w:rsidRDefault="0040580E" w:rsidP="00EC391A">
            <w:pPr>
              <w:pStyle w:val="TableText"/>
              <w:rPr>
                <w:lang w:eastAsia="en-AU"/>
              </w:rPr>
            </w:pPr>
          </w:p>
        </w:tc>
        <w:tc>
          <w:tcPr>
            <w:tcW w:w="3761" w:type="dxa"/>
            <w:noWrap/>
            <w:hideMark/>
          </w:tcPr>
          <w:p w14:paraId="31C0F5D7" w14:textId="77777777" w:rsidR="0040580E" w:rsidRPr="005F5BEA" w:rsidRDefault="0040580E" w:rsidP="00EC391A">
            <w:pPr>
              <w:pStyle w:val="TableText"/>
              <w:rPr>
                <w:lang w:eastAsia="en-AU"/>
              </w:rPr>
            </w:pPr>
          </w:p>
        </w:tc>
        <w:tc>
          <w:tcPr>
            <w:tcW w:w="1227" w:type="dxa"/>
            <w:noWrap/>
            <w:hideMark/>
          </w:tcPr>
          <w:p w14:paraId="52A416B1" w14:textId="77777777" w:rsidR="0040580E" w:rsidRPr="005F5BEA" w:rsidRDefault="0040580E" w:rsidP="00EC391A">
            <w:pPr>
              <w:pStyle w:val="TableText"/>
              <w:rPr>
                <w:b/>
                <w:lang w:eastAsia="en-AU"/>
              </w:rPr>
            </w:pPr>
            <w:r w:rsidRPr="005F5BEA">
              <w:rPr>
                <w:b/>
                <w:lang w:eastAsia="en-AU"/>
              </w:rPr>
              <w:t>2022</w:t>
            </w:r>
          </w:p>
        </w:tc>
        <w:tc>
          <w:tcPr>
            <w:tcW w:w="1228" w:type="dxa"/>
            <w:noWrap/>
            <w:hideMark/>
          </w:tcPr>
          <w:p w14:paraId="7C07591E" w14:textId="77777777" w:rsidR="0040580E" w:rsidRPr="005F5BEA" w:rsidRDefault="0040580E" w:rsidP="00EC391A">
            <w:pPr>
              <w:pStyle w:val="TableText"/>
              <w:rPr>
                <w:b/>
                <w:lang w:eastAsia="en-AU"/>
              </w:rPr>
            </w:pPr>
            <w:r w:rsidRPr="005F5BEA">
              <w:rPr>
                <w:b/>
                <w:lang w:eastAsia="en-AU"/>
              </w:rPr>
              <w:t>2023</w:t>
            </w:r>
          </w:p>
        </w:tc>
        <w:tc>
          <w:tcPr>
            <w:tcW w:w="1227" w:type="dxa"/>
            <w:noWrap/>
            <w:hideMark/>
          </w:tcPr>
          <w:p w14:paraId="40F2C56A" w14:textId="77777777" w:rsidR="0040580E" w:rsidRPr="005F5BEA" w:rsidRDefault="0040580E" w:rsidP="00EC391A">
            <w:pPr>
              <w:pStyle w:val="TableText"/>
              <w:rPr>
                <w:b/>
                <w:lang w:eastAsia="en-AU"/>
              </w:rPr>
            </w:pPr>
            <w:r w:rsidRPr="005F5BEA">
              <w:rPr>
                <w:b/>
                <w:lang w:eastAsia="en-AU"/>
              </w:rPr>
              <w:t>2024</w:t>
            </w:r>
          </w:p>
        </w:tc>
        <w:tc>
          <w:tcPr>
            <w:tcW w:w="1228" w:type="dxa"/>
            <w:noWrap/>
            <w:hideMark/>
          </w:tcPr>
          <w:p w14:paraId="3C8C548A" w14:textId="77777777" w:rsidR="0040580E" w:rsidRPr="005F5BEA" w:rsidRDefault="0040580E" w:rsidP="00EC391A">
            <w:pPr>
              <w:pStyle w:val="TableText"/>
              <w:rPr>
                <w:b/>
                <w:lang w:eastAsia="en-AU"/>
              </w:rPr>
            </w:pPr>
            <w:r w:rsidRPr="005F5BEA">
              <w:rPr>
                <w:b/>
                <w:lang w:eastAsia="en-AU"/>
              </w:rPr>
              <w:t>2025</w:t>
            </w:r>
          </w:p>
        </w:tc>
      </w:tr>
      <w:tr w:rsidR="0040580E" w:rsidRPr="005F5BEA" w14:paraId="79B7F0E4" w14:textId="77777777" w:rsidTr="00D865D4">
        <w:trPr>
          <w:trHeight w:val="300"/>
        </w:trPr>
        <w:tc>
          <w:tcPr>
            <w:tcW w:w="345" w:type="dxa"/>
          </w:tcPr>
          <w:p w14:paraId="41E6B242" w14:textId="77777777" w:rsidR="0040580E" w:rsidRPr="005F5BEA" w:rsidRDefault="0040580E" w:rsidP="00EC391A">
            <w:pPr>
              <w:pStyle w:val="TableText"/>
              <w:rPr>
                <w:lang w:eastAsia="en-AU"/>
              </w:rPr>
            </w:pPr>
            <w:r w:rsidRPr="005F5BEA">
              <w:rPr>
                <w:lang w:eastAsia="en-AU"/>
              </w:rPr>
              <w:t>A</w:t>
            </w:r>
          </w:p>
        </w:tc>
        <w:tc>
          <w:tcPr>
            <w:tcW w:w="3761" w:type="dxa"/>
            <w:noWrap/>
          </w:tcPr>
          <w:p w14:paraId="4A5159E1" w14:textId="77777777" w:rsidR="0040580E" w:rsidRPr="005F5BEA" w:rsidRDefault="0040580E" w:rsidP="00EC391A">
            <w:pPr>
              <w:pStyle w:val="TableText"/>
              <w:rPr>
                <w:lang w:eastAsia="en-AU"/>
              </w:rPr>
            </w:pPr>
            <w:r w:rsidRPr="005F5BEA">
              <w:rPr>
                <w:lang w:eastAsia="en-AU"/>
              </w:rPr>
              <w:t>No. remote services</w:t>
            </w:r>
          </w:p>
        </w:tc>
        <w:tc>
          <w:tcPr>
            <w:tcW w:w="1227" w:type="dxa"/>
            <w:tcBorders>
              <w:bottom w:val="single" w:sz="4" w:space="0" w:color="auto"/>
            </w:tcBorders>
            <w:noWrap/>
          </w:tcPr>
          <w:p w14:paraId="2DF1E6A7" w14:textId="77777777" w:rsidR="0040580E" w:rsidRPr="005F5BEA" w:rsidRDefault="0040580E" w:rsidP="00EC391A">
            <w:pPr>
              <w:pStyle w:val="TableText"/>
              <w:rPr>
                <w:lang w:eastAsia="en-AU"/>
              </w:rPr>
            </w:pPr>
            <w:r w:rsidRPr="005F5BEA">
              <w:rPr>
                <w:lang w:eastAsia="en-AU"/>
              </w:rPr>
              <w:t>519,870</w:t>
            </w:r>
          </w:p>
        </w:tc>
        <w:tc>
          <w:tcPr>
            <w:tcW w:w="1228" w:type="dxa"/>
            <w:tcBorders>
              <w:bottom w:val="single" w:sz="4" w:space="0" w:color="auto"/>
            </w:tcBorders>
            <w:noWrap/>
          </w:tcPr>
          <w:p w14:paraId="342A6D4F" w14:textId="77777777" w:rsidR="0040580E" w:rsidRPr="005F5BEA" w:rsidRDefault="0040580E" w:rsidP="00EC391A">
            <w:pPr>
              <w:pStyle w:val="TableText"/>
              <w:rPr>
                <w:lang w:eastAsia="en-AU"/>
              </w:rPr>
            </w:pPr>
            <w:r w:rsidRPr="005F5BEA">
              <w:rPr>
                <w:lang w:eastAsia="en-AU"/>
              </w:rPr>
              <w:t>556,261</w:t>
            </w:r>
          </w:p>
        </w:tc>
        <w:tc>
          <w:tcPr>
            <w:tcW w:w="1227" w:type="dxa"/>
            <w:tcBorders>
              <w:bottom w:val="single" w:sz="4" w:space="0" w:color="auto"/>
            </w:tcBorders>
            <w:noWrap/>
          </w:tcPr>
          <w:p w14:paraId="5AB044F7" w14:textId="77777777" w:rsidR="0040580E" w:rsidRPr="005F5BEA" w:rsidRDefault="0040580E" w:rsidP="00EC391A">
            <w:pPr>
              <w:pStyle w:val="TableText"/>
              <w:rPr>
                <w:lang w:eastAsia="en-AU"/>
              </w:rPr>
            </w:pPr>
            <w:r w:rsidRPr="005F5BEA">
              <w:rPr>
                <w:lang w:eastAsia="en-AU"/>
              </w:rPr>
              <w:t>595,199</w:t>
            </w:r>
          </w:p>
        </w:tc>
        <w:tc>
          <w:tcPr>
            <w:tcW w:w="1228" w:type="dxa"/>
            <w:tcBorders>
              <w:bottom w:val="single" w:sz="4" w:space="0" w:color="auto"/>
            </w:tcBorders>
            <w:noWrap/>
          </w:tcPr>
          <w:p w14:paraId="3752ACB2" w14:textId="77777777" w:rsidR="0040580E" w:rsidRPr="005F5BEA" w:rsidRDefault="0040580E" w:rsidP="00EC391A">
            <w:pPr>
              <w:pStyle w:val="TableText"/>
              <w:rPr>
                <w:lang w:eastAsia="en-AU"/>
              </w:rPr>
            </w:pPr>
            <w:r w:rsidRPr="005F5BEA">
              <w:rPr>
                <w:lang w:eastAsia="en-AU"/>
              </w:rPr>
              <w:t>636,863</w:t>
            </w:r>
          </w:p>
        </w:tc>
      </w:tr>
      <w:tr w:rsidR="0040580E" w:rsidRPr="005F5BEA" w14:paraId="6950B6F6" w14:textId="77777777" w:rsidTr="00D865D4">
        <w:trPr>
          <w:trHeight w:val="300"/>
        </w:trPr>
        <w:tc>
          <w:tcPr>
            <w:tcW w:w="345" w:type="dxa"/>
          </w:tcPr>
          <w:p w14:paraId="20A15EEE" w14:textId="77777777" w:rsidR="0040580E" w:rsidRPr="005F5BEA" w:rsidRDefault="0040580E" w:rsidP="00EC391A">
            <w:pPr>
              <w:pStyle w:val="TableText"/>
              <w:rPr>
                <w:lang w:eastAsia="en-AU"/>
              </w:rPr>
            </w:pPr>
            <w:r w:rsidRPr="005F5BEA">
              <w:rPr>
                <w:lang w:eastAsia="en-AU"/>
              </w:rPr>
              <w:t>B</w:t>
            </w:r>
          </w:p>
        </w:tc>
        <w:tc>
          <w:tcPr>
            <w:tcW w:w="3761" w:type="dxa"/>
            <w:noWrap/>
          </w:tcPr>
          <w:p w14:paraId="69C38CED" w14:textId="77777777" w:rsidR="0040580E" w:rsidRPr="005F5BEA" w:rsidRDefault="0040580E" w:rsidP="00EC391A">
            <w:pPr>
              <w:pStyle w:val="TableText"/>
              <w:rPr>
                <w:lang w:eastAsia="en-AU"/>
              </w:rPr>
            </w:pPr>
            <w:r w:rsidRPr="005F5BEA">
              <w:rPr>
                <w:lang w:eastAsia="en-AU"/>
              </w:rPr>
              <w:t xml:space="preserve">Hours related to remote services </w:t>
            </w:r>
            <w:r w:rsidRPr="005F5BEA">
              <w:rPr>
                <w:lang w:eastAsia="en-AU"/>
              </w:rPr>
              <w:br/>
              <w:t>(A × 0.11 hours per service)</w:t>
            </w:r>
          </w:p>
        </w:tc>
        <w:tc>
          <w:tcPr>
            <w:tcW w:w="1227" w:type="dxa"/>
            <w:tcBorders>
              <w:bottom w:val="single" w:sz="4" w:space="0" w:color="auto"/>
            </w:tcBorders>
            <w:shd w:val="solid" w:color="000000" w:fill="000000"/>
            <w:noWrap/>
          </w:tcPr>
          <w:p w14:paraId="0E025058" w14:textId="284CF457" w:rsidR="0040580E" w:rsidRPr="00D865D4" w:rsidRDefault="00D865D4" w:rsidP="00EC391A">
            <w:pPr>
              <w:pStyle w:val="TableText"/>
              <w:rPr>
                <w:lang w:eastAsia="en-AU"/>
              </w:rPr>
            </w:pPr>
            <w:r w:rsidRPr="00185424">
              <w:rPr>
                <w:color w:val="000000"/>
                <w:spacing w:val="94"/>
                <w:fitText w:val="180" w:id="-1157883122"/>
                <w:lang w:eastAsia="en-AU"/>
                <w14:textFill>
                  <w14:solidFill>
                    <w14:srgbClr w14:val="000000">
                      <w14:alpha w14:val="100000"/>
                    </w14:srgbClr>
                  </w14:solidFill>
                </w14:textFill>
              </w:rPr>
              <w:t>|</w:t>
            </w:r>
            <w:r w:rsidRPr="00185424">
              <w:rPr>
                <w:color w:val="000000"/>
                <w:spacing w:val="1"/>
                <w:fitText w:val="180" w:id="-1157883122"/>
                <w:lang w:eastAsia="en-AU"/>
                <w14:textFill>
                  <w14:solidFill>
                    <w14:srgbClr w14:val="000000">
                      <w14:alpha w14:val="100000"/>
                    </w14:srgbClr>
                  </w14:solidFill>
                </w14:textFill>
              </w:rPr>
              <w:t>|</w:t>
            </w:r>
          </w:p>
        </w:tc>
        <w:tc>
          <w:tcPr>
            <w:tcW w:w="1228" w:type="dxa"/>
            <w:tcBorders>
              <w:bottom w:val="single" w:sz="4" w:space="0" w:color="auto"/>
            </w:tcBorders>
            <w:shd w:val="solid" w:color="000000" w:fill="000000"/>
            <w:noWrap/>
          </w:tcPr>
          <w:p w14:paraId="09D0F732" w14:textId="2B4664C1" w:rsidR="0040580E" w:rsidRPr="00D865D4" w:rsidRDefault="00D865D4" w:rsidP="00EC391A">
            <w:pPr>
              <w:pStyle w:val="TableText"/>
              <w:rPr>
                <w:lang w:eastAsia="en-AU"/>
              </w:rPr>
            </w:pPr>
            <w:r w:rsidRPr="00185424">
              <w:rPr>
                <w:color w:val="000000"/>
                <w:spacing w:val="94"/>
                <w:fitText w:val="180" w:id="-1157883121"/>
                <w:lang w:eastAsia="en-AU"/>
                <w14:textFill>
                  <w14:solidFill>
                    <w14:srgbClr w14:val="000000">
                      <w14:alpha w14:val="100000"/>
                    </w14:srgbClr>
                  </w14:solidFill>
                </w14:textFill>
              </w:rPr>
              <w:t>|</w:t>
            </w:r>
            <w:r w:rsidRPr="00185424">
              <w:rPr>
                <w:color w:val="000000"/>
                <w:spacing w:val="1"/>
                <w:fitText w:val="180" w:id="-1157883121"/>
                <w:lang w:eastAsia="en-AU"/>
                <w14:textFill>
                  <w14:solidFill>
                    <w14:srgbClr w14:val="000000">
                      <w14:alpha w14:val="100000"/>
                    </w14:srgbClr>
                  </w14:solidFill>
                </w14:textFill>
              </w:rPr>
              <w:t>|</w:t>
            </w:r>
          </w:p>
        </w:tc>
        <w:tc>
          <w:tcPr>
            <w:tcW w:w="1227" w:type="dxa"/>
            <w:tcBorders>
              <w:bottom w:val="single" w:sz="4" w:space="0" w:color="auto"/>
            </w:tcBorders>
            <w:shd w:val="solid" w:color="000000" w:fill="000000"/>
            <w:noWrap/>
          </w:tcPr>
          <w:p w14:paraId="30A7E79F" w14:textId="46940DF7" w:rsidR="0040580E" w:rsidRPr="00D865D4" w:rsidRDefault="00D865D4" w:rsidP="00EC391A">
            <w:pPr>
              <w:pStyle w:val="TableText"/>
              <w:rPr>
                <w:lang w:eastAsia="en-AU"/>
              </w:rPr>
            </w:pPr>
            <w:r w:rsidRPr="00185424">
              <w:rPr>
                <w:color w:val="000000"/>
                <w:spacing w:val="94"/>
                <w:fitText w:val="180" w:id="-1157883120"/>
                <w:lang w:eastAsia="en-AU"/>
                <w14:textFill>
                  <w14:solidFill>
                    <w14:srgbClr w14:val="000000">
                      <w14:alpha w14:val="100000"/>
                    </w14:srgbClr>
                  </w14:solidFill>
                </w14:textFill>
              </w:rPr>
              <w:t>|</w:t>
            </w:r>
            <w:r w:rsidRPr="00185424">
              <w:rPr>
                <w:color w:val="000000"/>
                <w:spacing w:val="1"/>
                <w:fitText w:val="180" w:id="-1157883120"/>
                <w:lang w:eastAsia="en-AU"/>
                <w14:textFill>
                  <w14:solidFill>
                    <w14:srgbClr w14:val="000000">
                      <w14:alpha w14:val="100000"/>
                    </w14:srgbClr>
                  </w14:solidFill>
                </w14:textFill>
              </w:rPr>
              <w:t>|</w:t>
            </w:r>
          </w:p>
        </w:tc>
        <w:tc>
          <w:tcPr>
            <w:tcW w:w="1228" w:type="dxa"/>
            <w:tcBorders>
              <w:bottom w:val="single" w:sz="4" w:space="0" w:color="auto"/>
            </w:tcBorders>
            <w:shd w:val="solid" w:color="000000" w:fill="000000"/>
            <w:noWrap/>
          </w:tcPr>
          <w:p w14:paraId="346D89EA" w14:textId="38E88C01" w:rsidR="0040580E" w:rsidRPr="00D865D4" w:rsidRDefault="00D865D4" w:rsidP="00EC391A">
            <w:pPr>
              <w:pStyle w:val="TableText"/>
              <w:rPr>
                <w:lang w:eastAsia="en-AU"/>
              </w:rPr>
            </w:pPr>
            <w:r w:rsidRPr="00185424">
              <w:rPr>
                <w:color w:val="000000"/>
                <w:spacing w:val="94"/>
                <w:fitText w:val="180" w:id="-1157883136"/>
                <w:lang w:eastAsia="en-AU"/>
                <w14:textFill>
                  <w14:solidFill>
                    <w14:srgbClr w14:val="000000">
                      <w14:alpha w14:val="100000"/>
                    </w14:srgbClr>
                  </w14:solidFill>
                </w14:textFill>
              </w:rPr>
              <w:t>|</w:t>
            </w:r>
            <w:r w:rsidRPr="00185424">
              <w:rPr>
                <w:color w:val="000000"/>
                <w:spacing w:val="1"/>
                <w:fitText w:val="180" w:id="-1157883136"/>
                <w:lang w:eastAsia="en-AU"/>
                <w14:textFill>
                  <w14:solidFill>
                    <w14:srgbClr w14:val="000000">
                      <w14:alpha w14:val="100000"/>
                    </w14:srgbClr>
                  </w14:solidFill>
                </w14:textFill>
              </w:rPr>
              <w:t>|</w:t>
            </w:r>
          </w:p>
        </w:tc>
      </w:tr>
      <w:tr w:rsidR="0040580E" w:rsidRPr="005F5BEA" w14:paraId="6F700D1A" w14:textId="77777777" w:rsidTr="00D865D4">
        <w:trPr>
          <w:trHeight w:val="300"/>
        </w:trPr>
        <w:tc>
          <w:tcPr>
            <w:tcW w:w="345" w:type="dxa"/>
          </w:tcPr>
          <w:p w14:paraId="5887FD37" w14:textId="77777777" w:rsidR="0040580E" w:rsidRPr="005F5BEA" w:rsidRDefault="0040580E" w:rsidP="00EC391A">
            <w:pPr>
              <w:pStyle w:val="TableText"/>
              <w:rPr>
                <w:lang w:eastAsia="en-AU"/>
              </w:rPr>
            </w:pPr>
            <w:r w:rsidRPr="005F5BEA">
              <w:rPr>
                <w:lang w:eastAsia="en-AU"/>
              </w:rPr>
              <w:t>C</w:t>
            </w:r>
          </w:p>
        </w:tc>
        <w:tc>
          <w:tcPr>
            <w:tcW w:w="3761" w:type="dxa"/>
            <w:noWrap/>
          </w:tcPr>
          <w:p w14:paraId="740A1EDD" w14:textId="77777777" w:rsidR="0040580E" w:rsidRPr="005F5BEA" w:rsidRDefault="0040580E" w:rsidP="00EC391A">
            <w:pPr>
              <w:pStyle w:val="TableText"/>
              <w:rPr>
                <w:lang w:eastAsia="en-AU"/>
              </w:rPr>
            </w:pPr>
            <w:r w:rsidRPr="005F5BEA">
              <w:rPr>
                <w:lang w:eastAsia="en-AU"/>
              </w:rPr>
              <w:t xml:space="preserve">Average cost per hour </w:t>
            </w:r>
            <w:r w:rsidRPr="005F5BEA">
              <w:rPr>
                <w:vertAlign w:val="superscript"/>
                <w:lang w:eastAsia="en-AU"/>
              </w:rPr>
              <w:t>a</w:t>
            </w:r>
          </w:p>
        </w:tc>
        <w:tc>
          <w:tcPr>
            <w:tcW w:w="1227" w:type="dxa"/>
            <w:tcBorders>
              <w:bottom w:val="single" w:sz="4" w:space="0" w:color="auto"/>
            </w:tcBorders>
            <w:shd w:val="solid" w:color="000000" w:fill="000000"/>
            <w:noWrap/>
          </w:tcPr>
          <w:p w14:paraId="434EF61A" w14:textId="4C4FE2F2" w:rsidR="0040580E" w:rsidRPr="00D865D4" w:rsidRDefault="00D865D4" w:rsidP="00EC391A">
            <w:pPr>
              <w:pStyle w:val="TableText"/>
              <w:rPr>
                <w:lang w:eastAsia="en-AU"/>
              </w:rPr>
            </w:pPr>
            <w:r w:rsidRPr="00185424">
              <w:rPr>
                <w:color w:val="000000"/>
                <w:spacing w:val="94"/>
                <w:fitText w:val="180" w:id="-1157883135"/>
                <w:lang w:eastAsia="en-AU"/>
                <w14:textFill>
                  <w14:solidFill>
                    <w14:srgbClr w14:val="000000">
                      <w14:alpha w14:val="100000"/>
                    </w14:srgbClr>
                  </w14:solidFill>
                </w14:textFill>
              </w:rPr>
              <w:t>|</w:t>
            </w:r>
            <w:r w:rsidRPr="00185424">
              <w:rPr>
                <w:color w:val="000000"/>
                <w:spacing w:val="1"/>
                <w:fitText w:val="180" w:id="-1157883135"/>
                <w:lang w:eastAsia="en-AU"/>
                <w14:textFill>
                  <w14:solidFill>
                    <w14:srgbClr w14:val="000000">
                      <w14:alpha w14:val="100000"/>
                    </w14:srgbClr>
                  </w14:solidFill>
                </w14:textFill>
              </w:rPr>
              <w:t>|</w:t>
            </w:r>
          </w:p>
        </w:tc>
        <w:tc>
          <w:tcPr>
            <w:tcW w:w="1228" w:type="dxa"/>
            <w:tcBorders>
              <w:bottom w:val="single" w:sz="4" w:space="0" w:color="auto"/>
            </w:tcBorders>
            <w:shd w:val="solid" w:color="000000" w:fill="000000"/>
            <w:noWrap/>
          </w:tcPr>
          <w:p w14:paraId="474419FD" w14:textId="2FC23CED" w:rsidR="0040580E" w:rsidRPr="00D865D4" w:rsidRDefault="00D865D4" w:rsidP="00EC391A">
            <w:pPr>
              <w:pStyle w:val="TableText"/>
              <w:rPr>
                <w:lang w:eastAsia="en-AU"/>
              </w:rPr>
            </w:pPr>
            <w:r w:rsidRPr="00185424">
              <w:rPr>
                <w:color w:val="000000"/>
                <w:spacing w:val="94"/>
                <w:fitText w:val="180" w:id="-1157883134"/>
                <w:lang w:eastAsia="en-AU"/>
                <w14:textFill>
                  <w14:solidFill>
                    <w14:srgbClr w14:val="000000">
                      <w14:alpha w14:val="100000"/>
                    </w14:srgbClr>
                  </w14:solidFill>
                </w14:textFill>
              </w:rPr>
              <w:t>|</w:t>
            </w:r>
            <w:r w:rsidRPr="00185424">
              <w:rPr>
                <w:color w:val="000000"/>
                <w:spacing w:val="1"/>
                <w:fitText w:val="180" w:id="-1157883134"/>
                <w:lang w:eastAsia="en-AU"/>
                <w14:textFill>
                  <w14:solidFill>
                    <w14:srgbClr w14:val="000000">
                      <w14:alpha w14:val="100000"/>
                    </w14:srgbClr>
                  </w14:solidFill>
                </w14:textFill>
              </w:rPr>
              <w:t>|</w:t>
            </w:r>
          </w:p>
        </w:tc>
        <w:tc>
          <w:tcPr>
            <w:tcW w:w="1227" w:type="dxa"/>
            <w:tcBorders>
              <w:bottom w:val="single" w:sz="4" w:space="0" w:color="auto"/>
            </w:tcBorders>
            <w:shd w:val="solid" w:color="000000" w:fill="000000"/>
            <w:noWrap/>
          </w:tcPr>
          <w:p w14:paraId="1AA5D0E2" w14:textId="49A80FDD" w:rsidR="0040580E" w:rsidRPr="00D865D4" w:rsidRDefault="00D865D4" w:rsidP="00EC391A">
            <w:pPr>
              <w:pStyle w:val="TableText"/>
              <w:rPr>
                <w:lang w:eastAsia="en-AU"/>
              </w:rPr>
            </w:pPr>
            <w:r w:rsidRPr="00185424">
              <w:rPr>
                <w:color w:val="000000"/>
                <w:spacing w:val="94"/>
                <w:fitText w:val="180" w:id="-1157883133"/>
                <w:lang w:eastAsia="en-AU"/>
                <w14:textFill>
                  <w14:solidFill>
                    <w14:srgbClr w14:val="000000">
                      <w14:alpha w14:val="100000"/>
                    </w14:srgbClr>
                  </w14:solidFill>
                </w14:textFill>
              </w:rPr>
              <w:t>|</w:t>
            </w:r>
            <w:r w:rsidRPr="00185424">
              <w:rPr>
                <w:color w:val="000000"/>
                <w:spacing w:val="1"/>
                <w:fitText w:val="180" w:id="-1157883133"/>
                <w:lang w:eastAsia="en-AU"/>
                <w14:textFill>
                  <w14:solidFill>
                    <w14:srgbClr w14:val="000000">
                      <w14:alpha w14:val="100000"/>
                    </w14:srgbClr>
                  </w14:solidFill>
                </w14:textFill>
              </w:rPr>
              <w:t>|</w:t>
            </w:r>
          </w:p>
        </w:tc>
        <w:tc>
          <w:tcPr>
            <w:tcW w:w="1228" w:type="dxa"/>
            <w:tcBorders>
              <w:bottom w:val="single" w:sz="4" w:space="0" w:color="auto"/>
            </w:tcBorders>
            <w:shd w:val="solid" w:color="000000" w:fill="000000"/>
            <w:noWrap/>
          </w:tcPr>
          <w:p w14:paraId="664B3D00" w14:textId="4F755ADD" w:rsidR="0040580E" w:rsidRPr="00D865D4" w:rsidRDefault="00D865D4" w:rsidP="00EC391A">
            <w:pPr>
              <w:pStyle w:val="TableText"/>
              <w:rPr>
                <w:lang w:eastAsia="en-AU"/>
              </w:rPr>
            </w:pPr>
            <w:r w:rsidRPr="00185424">
              <w:rPr>
                <w:color w:val="000000"/>
                <w:spacing w:val="94"/>
                <w:fitText w:val="180" w:id="-1157883132"/>
                <w:lang w:eastAsia="en-AU"/>
                <w14:textFill>
                  <w14:solidFill>
                    <w14:srgbClr w14:val="000000">
                      <w14:alpha w14:val="100000"/>
                    </w14:srgbClr>
                  </w14:solidFill>
                </w14:textFill>
              </w:rPr>
              <w:t>|</w:t>
            </w:r>
            <w:r w:rsidRPr="00185424">
              <w:rPr>
                <w:color w:val="000000"/>
                <w:spacing w:val="1"/>
                <w:fitText w:val="180" w:id="-1157883132"/>
                <w:lang w:eastAsia="en-AU"/>
                <w14:textFill>
                  <w14:solidFill>
                    <w14:srgbClr w14:val="000000">
                      <w14:alpha w14:val="100000"/>
                    </w14:srgbClr>
                  </w14:solidFill>
                </w14:textFill>
              </w:rPr>
              <w:t>|</w:t>
            </w:r>
          </w:p>
        </w:tc>
      </w:tr>
      <w:tr w:rsidR="0040580E" w:rsidRPr="005F5BEA" w14:paraId="5D4A8F6A" w14:textId="77777777" w:rsidTr="00D865D4">
        <w:trPr>
          <w:trHeight w:val="300"/>
        </w:trPr>
        <w:tc>
          <w:tcPr>
            <w:tcW w:w="345" w:type="dxa"/>
          </w:tcPr>
          <w:p w14:paraId="38B3920F" w14:textId="77777777" w:rsidR="0040580E" w:rsidRPr="005F5BEA" w:rsidRDefault="0040580E" w:rsidP="00EC391A">
            <w:pPr>
              <w:pStyle w:val="TableText"/>
              <w:rPr>
                <w:b/>
                <w:lang w:eastAsia="en-AU"/>
              </w:rPr>
            </w:pPr>
          </w:p>
        </w:tc>
        <w:tc>
          <w:tcPr>
            <w:tcW w:w="3761" w:type="dxa"/>
            <w:noWrap/>
          </w:tcPr>
          <w:p w14:paraId="5BF72DC7" w14:textId="77777777" w:rsidR="0040580E" w:rsidRPr="005F5BEA" w:rsidRDefault="0040580E" w:rsidP="00EC391A">
            <w:pPr>
              <w:pStyle w:val="TableText"/>
              <w:rPr>
                <w:b/>
                <w:lang w:eastAsia="en-AU"/>
              </w:rPr>
            </w:pPr>
            <w:r w:rsidRPr="005F5BEA">
              <w:rPr>
                <w:b/>
                <w:lang w:eastAsia="en-AU"/>
              </w:rPr>
              <w:t>Labour cost of remote services (B × C)</w:t>
            </w:r>
          </w:p>
        </w:tc>
        <w:tc>
          <w:tcPr>
            <w:tcW w:w="1227" w:type="dxa"/>
            <w:shd w:val="solid" w:color="000000" w:fill="000000"/>
            <w:noWrap/>
          </w:tcPr>
          <w:p w14:paraId="34A40D73" w14:textId="642BB85C" w:rsidR="0040580E" w:rsidRPr="00D865D4" w:rsidRDefault="00D865D4" w:rsidP="00EC391A">
            <w:pPr>
              <w:pStyle w:val="TableText"/>
              <w:rPr>
                <w:b/>
                <w:lang w:eastAsia="en-AU"/>
              </w:rPr>
            </w:pPr>
            <w:r w:rsidRPr="00185424">
              <w:rPr>
                <w:b/>
                <w:color w:val="000000"/>
                <w:spacing w:val="88"/>
                <w:fitText w:val="180" w:id="-1157883131"/>
                <w:lang w:eastAsia="en-AU"/>
                <w14:textFill>
                  <w14:solidFill>
                    <w14:srgbClr w14:val="000000">
                      <w14:alpha w14:val="100000"/>
                    </w14:srgbClr>
                  </w14:solidFill>
                </w14:textFill>
              </w:rPr>
              <w:t>|</w:t>
            </w:r>
            <w:r w:rsidRPr="00185424">
              <w:rPr>
                <w:b/>
                <w:color w:val="000000"/>
                <w:spacing w:val="1"/>
                <w:fitText w:val="180" w:id="-1157883131"/>
                <w:lang w:eastAsia="en-AU"/>
                <w14:textFill>
                  <w14:solidFill>
                    <w14:srgbClr w14:val="000000">
                      <w14:alpha w14:val="100000"/>
                    </w14:srgbClr>
                  </w14:solidFill>
                </w14:textFill>
              </w:rPr>
              <w:t>|</w:t>
            </w:r>
          </w:p>
        </w:tc>
        <w:tc>
          <w:tcPr>
            <w:tcW w:w="1228" w:type="dxa"/>
            <w:shd w:val="solid" w:color="000000" w:fill="000000"/>
            <w:noWrap/>
          </w:tcPr>
          <w:p w14:paraId="14A4CCAC" w14:textId="7C4C86B9" w:rsidR="0040580E" w:rsidRPr="00D865D4" w:rsidRDefault="00D865D4" w:rsidP="00EC391A">
            <w:pPr>
              <w:pStyle w:val="TableText"/>
              <w:rPr>
                <w:b/>
                <w:lang w:eastAsia="en-AU"/>
              </w:rPr>
            </w:pPr>
            <w:r w:rsidRPr="00185424">
              <w:rPr>
                <w:b/>
                <w:color w:val="000000"/>
                <w:spacing w:val="88"/>
                <w:fitText w:val="180" w:id="-1157883130"/>
                <w:lang w:eastAsia="en-AU"/>
                <w14:textFill>
                  <w14:solidFill>
                    <w14:srgbClr w14:val="000000">
                      <w14:alpha w14:val="100000"/>
                    </w14:srgbClr>
                  </w14:solidFill>
                </w14:textFill>
              </w:rPr>
              <w:t>|</w:t>
            </w:r>
            <w:r w:rsidRPr="00185424">
              <w:rPr>
                <w:b/>
                <w:color w:val="000000"/>
                <w:spacing w:val="1"/>
                <w:fitText w:val="180" w:id="-1157883130"/>
                <w:lang w:eastAsia="en-AU"/>
                <w14:textFill>
                  <w14:solidFill>
                    <w14:srgbClr w14:val="000000">
                      <w14:alpha w14:val="100000"/>
                    </w14:srgbClr>
                  </w14:solidFill>
                </w14:textFill>
              </w:rPr>
              <w:t>|</w:t>
            </w:r>
          </w:p>
        </w:tc>
        <w:tc>
          <w:tcPr>
            <w:tcW w:w="1227" w:type="dxa"/>
            <w:shd w:val="solid" w:color="000000" w:fill="000000"/>
            <w:noWrap/>
          </w:tcPr>
          <w:p w14:paraId="114C9870" w14:textId="1ED9573A" w:rsidR="0040580E" w:rsidRPr="00D865D4" w:rsidRDefault="00D865D4" w:rsidP="00EC391A">
            <w:pPr>
              <w:pStyle w:val="TableText"/>
              <w:rPr>
                <w:b/>
                <w:lang w:eastAsia="en-AU"/>
              </w:rPr>
            </w:pPr>
            <w:r w:rsidRPr="00185424">
              <w:rPr>
                <w:b/>
                <w:color w:val="000000"/>
                <w:spacing w:val="88"/>
                <w:fitText w:val="180" w:id="-1157883129"/>
                <w:lang w:eastAsia="en-AU"/>
                <w14:textFill>
                  <w14:solidFill>
                    <w14:srgbClr w14:val="000000">
                      <w14:alpha w14:val="100000"/>
                    </w14:srgbClr>
                  </w14:solidFill>
                </w14:textFill>
              </w:rPr>
              <w:t>|</w:t>
            </w:r>
            <w:r w:rsidRPr="00185424">
              <w:rPr>
                <w:b/>
                <w:color w:val="000000"/>
                <w:spacing w:val="1"/>
                <w:fitText w:val="180" w:id="-1157883129"/>
                <w:lang w:eastAsia="en-AU"/>
                <w14:textFill>
                  <w14:solidFill>
                    <w14:srgbClr w14:val="000000">
                      <w14:alpha w14:val="100000"/>
                    </w14:srgbClr>
                  </w14:solidFill>
                </w14:textFill>
              </w:rPr>
              <w:t>|</w:t>
            </w:r>
          </w:p>
        </w:tc>
        <w:tc>
          <w:tcPr>
            <w:tcW w:w="1228" w:type="dxa"/>
            <w:shd w:val="solid" w:color="000000" w:fill="000000"/>
            <w:noWrap/>
          </w:tcPr>
          <w:p w14:paraId="4280ABC5" w14:textId="12F414D4" w:rsidR="0040580E" w:rsidRPr="00D865D4" w:rsidRDefault="00D865D4" w:rsidP="00EC391A">
            <w:pPr>
              <w:pStyle w:val="TableText"/>
              <w:rPr>
                <w:b/>
                <w:lang w:eastAsia="en-AU"/>
              </w:rPr>
            </w:pPr>
            <w:r w:rsidRPr="00185424">
              <w:rPr>
                <w:b/>
                <w:color w:val="000000"/>
                <w:spacing w:val="88"/>
                <w:fitText w:val="180" w:id="-1157883128"/>
                <w:lang w:eastAsia="en-AU"/>
                <w14:textFill>
                  <w14:solidFill>
                    <w14:srgbClr w14:val="000000">
                      <w14:alpha w14:val="100000"/>
                    </w14:srgbClr>
                  </w14:solidFill>
                </w14:textFill>
              </w:rPr>
              <w:t>|</w:t>
            </w:r>
            <w:r w:rsidRPr="00185424">
              <w:rPr>
                <w:b/>
                <w:color w:val="000000"/>
                <w:spacing w:val="1"/>
                <w:fitText w:val="180" w:id="-1157883128"/>
                <w:lang w:eastAsia="en-AU"/>
                <w14:textFill>
                  <w14:solidFill>
                    <w14:srgbClr w14:val="000000">
                      <w14:alpha w14:val="100000"/>
                    </w14:srgbClr>
                  </w14:solidFill>
                </w14:textFill>
              </w:rPr>
              <w:t>|</w:t>
            </w:r>
          </w:p>
        </w:tc>
      </w:tr>
    </w:tbl>
    <w:p w14:paraId="106CB019" w14:textId="16A406BF" w:rsidR="0040580E" w:rsidRPr="005F5BEA" w:rsidRDefault="0040580E" w:rsidP="0040580E">
      <w:pPr>
        <w:pStyle w:val="Tablenotes"/>
      </w:pPr>
      <w:r w:rsidRPr="005F5BEA">
        <w:rPr>
          <w:vertAlign w:val="superscript"/>
        </w:rPr>
        <w:t>a</w:t>
      </w:r>
      <w:r w:rsidRPr="005F5BEA">
        <w:t xml:space="preserve"> Wages ranged from $</w:t>
      </w:r>
      <w:r w:rsidR="00D865D4" w:rsidRPr="00D865D4">
        <w:rPr>
          <w:color w:val="000000"/>
          <w:spacing w:val="8"/>
          <w:w w:val="43"/>
          <w:shd w:val="solid" w:color="000000" w:fill="000000"/>
          <w:fitText w:val="145" w:id="-1157883127"/>
          <w14:textFill>
            <w14:solidFill>
              <w14:srgbClr w14:val="000000">
                <w14:alpha w14:val="100000"/>
              </w14:srgbClr>
            </w14:solidFill>
          </w14:textFill>
        </w:rPr>
        <w:t>|</w:t>
      </w:r>
      <w:proofErr w:type="gramStart"/>
      <w:r w:rsidR="00D865D4" w:rsidRPr="00D865D4">
        <w:rPr>
          <w:color w:val="000000"/>
          <w:spacing w:val="8"/>
          <w:w w:val="43"/>
          <w:shd w:val="solid" w:color="000000" w:fill="000000"/>
          <w:fitText w:val="145" w:id="-1157883127"/>
          <w14:textFill>
            <w14:solidFill>
              <w14:srgbClr w14:val="000000">
                <w14:alpha w14:val="100000"/>
              </w14:srgbClr>
            </w14:solidFill>
          </w14:textFill>
        </w:rPr>
        <w:t>|  |</w:t>
      </w:r>
      <w:proofErr w:type="gramEnd"/>
      <w:r w:rsidR="00D865D4" w:rsidRPr="00D865D4">
        <w:rPr>
          <w:color w:val="000000"/>
          <w:spacing w:val="5"/>
          <w:w w:val="43"/>
          <w:shd w:val="solid" w:color="000000" w:fill="000000"/>
          <w:fitText w:val="145" w:id="-1157883127"/>
          <w14:textFill>
            <w14:solidFill>
              <w14:srgbClr w14:val="000000">
                <w14:alpha w14:val="100000"/>
              </w14:srgbClr>
            </w14:solidFill>
          </w14:textFill>
        </w:rPr>
        <w:t>|</w:t>
      </w:r>
      <w:r w:rsidR="00376955" w:rsidRPr="00376955">
        <w:t xml:space="preserve"> in </w:t>
      </w:r>
      <w:r w:rsidRPr="005F5BEA">
        <w:t>metro areas to $</w:t>
      </w:r>
      <w:r w:rsidR="00D865D4" w:rsidRPr="00D865D4">
        <w:rPr>
          <w:color w:val="000000"/>
          <w:spacing w:val="8"/>
          <w:w w:val="43"/>
          <w:shd w:val="solid" w:color="000000" w:fill="000000"/>
          <w:fitText w:val="145" w:id="-1157883126"/>
          <w14:textFill>
            <w14:solidFill>
              <w14:srgbClr w14:val="000000">
                <w14:alpha w14:val="100000"/>
              </w14:srgbClr>
            </w14:solidFill>
          </w14:textFill>
        </w:rPr>
        <w:t>||  |</w:t>
      </w:r>
      <w:r w:rsidR="00D865D4" w:rsidRPr="00D865D4">
        <w:rPr>
          <w:color w:val="000000"/>
          <w:spacing w:val="5"/>
          <w:w w:val="43"/>
          <w:shd w:val="solid" w:color="000000" w:fill="000000"/>
          <w:fitText w:val="145" w:id="-1157883126"/>
          <w14:textFill>
            <w14:solidFill>
              <w14:srgbClr w14:val="000000">
                <w14:alpha w14:val="100000"/>
              </w14:srgbClr>
            </w14:solidFill>
          </w14:textFill>
        </w:rPr>
        <w:t>|</w:t>
      </w:r>
      <w:r w:rsidR="00376955" w:rsidRPr="00376955">
        <w:t xml:space="preserve"> in </w:t>
      </w:r>
      <w:r w:rsidRPr="005F5BEA">
        <w:t>remote. The average wage was weighted by the location of the service, which varied by cardiac device type. Inflation (6.1% each year, relative to the base year) was only applied on remote wages.</w:t>
      </w:r>
    </w:p>
    <w:p w14:paraId="34AC79B6" w14:textId="08034340" w:rsidR="0040580E" w:rsidRPr="005F5BEA" w:rsidRDefault="0040580E" w:rsidP="0040580E">
      <w:pPr>
        <w:pStyle w:val="Caption"/>
        <w:rPr>
          <w:rFonts w:ascii="Arial Narrow" w:hAnsi="Arial Narrow"/>
          <w:b/>
          <w:i w:val="0"/>
          <w:color w:val="auto"/>
          <w:sz w:val="20"/>
          <w:szCs w:val="20"/>
        </w:rPr>
      </w:pPr>
      <w:bookmarkStart w:id="31" w:name="_Toc120693758"/>
      <w:r w:rsidRPr="005F5BEA">
        <w:rPr>
          <w:rFonts w:ascii="Arial Narrow" w:hAnsi="Arial Narrow"/>
          <w:b/>
          <w:i w:val="0"/>
          <w:color w:val="auto"/>
          <w:sz w:val="20"/>
          <w:szCs w:val="20"/>
        </w:rPr>
        <w:t xml:space="preserve">Table </w:t>
      </w:r>
      <w:r w:rsidRPr="005F5BEA">
        <w:rPr>
          <w:rFonts w:ascii="Arial Narrow" w:hAnsi="Arial Narrow"/>
          <w:b/>
          <w:i w:val="0"/>
          <w:color w:val="auto"/>
          <w:sz w:val="20"/>
          <w:szCs w:val="20"/>
        </w:rPr>
        <w:fldChar w:fldCharType="begin"/>
      </w:r>
      <w:r w:rsidRPr="005F5BEA">
        <w:rPr>
          <w:rFonts w:ascii="Arial Narrow" w:hAnsi="Arial Narrow"/>
          <w:b/>
          <w:i w:val="0"/>
          <w:color w:val="auto"/>
          <w:sz w:val="20"/>
          <w:szCs w:val="20"/>
        </w:rPr>
        <w:instrText xml:space="preserve"> SEQ Table \* ARABIC </w:instrText>
      </w:r>
      <w:r w:rsidRPr="005F5BEA">
        <w:rPr>
          <w:rFonts w:ascii="Arial Narrow" w:hAnsi="Arial Narrow"/>
          <w:b/>
          <w:i w:val="0"/>
          <w:color w:val="auto"/>
          <w:sz w:val="20"/>
          <w:szCs w:val="20"/>
        </w:rPr>
        <w:fldChar w:fldCharType="separate"/>
      </w:r>
      <w:r w:rsidR="00334548">
        <w:rPr>
          <w:rFonts w:ascii="Arial Narrow" w:hAnsi="Arial Narrow"/>
          <w:b/>
          <w:i w:val="0"/>
          <w:noProof/>
          <w:color w:val="auto"/>
          <w:sz w:val="20"/>
          <w:szCs w:val="20"/>
        </w:rPr>
        <w:t>14</w:t>
      </w:r>
      <w:r w:rsidRPr="005F5BEA">
        <w:rPr>
          <w:rFonts w:ascii="Arial Narrow" w:hAnsi="Arial Narrow"/>
          <w:b/>
          <w:i w:val="0"/>
          <w:color w:val="auto"/>
          <w:sz w:val="20"/>
          <w:szCs w:val="20"/>
        </w:rPr>
        <w:fldChar w:fldCharType="end"/>
      </w:r>
      <w:r w:rsidRPr="005F5BEA">
        <w:rPr>
          <w:rFonts w:ascii="Arial Narrow" w:hAnsi="Arial Narrow"/>
          <w:b/>
          <w:i w:val="0"/>
          <w:color w:val="auto"/>
          <w:sz w:val="20"/>
          <w:szCs w:val="20"/>
        </w:rPr>
        <w:tab/>
        <w:t xml:space="preserve"> Total labour costs</w:t>
      </w:r>
      <w:bookmarkEnd w:id="31"/>
    </w:p>
    <w:tbl>
      <w:tblPr>
        <w:tblStyle w:val="TableGrid"/>
        <w:tblW w:w="0" w:type="auto"/>
        <w:tblLayout w:type="fixed"/>
        <w:tblLook w:val="04A0" w:firstRow="1" w:lastRow="0" w:firstColumn="1" w:lastColumn="0" w:noHBand="0" w:noVBand="1"/>
      </w:tblPr>
      <w:tblGrid>
        <w:gridCol w:w="3886"/>
        <w:gridCol w:w="1496"/>
        <w:gridCol w:w="1276"/>
        <w:gridCol w:w="1134"/>
        <w:gridCol w:w="1224"/>
      </w:tblGrid>
      <w:tr w:rsidR="0040580E" w:rsidRPr="005F5BEA" w14:paraId="1913C804" w14:textId="77777777" w:rsidTr="005B20C6">
        <w:trPr>
          <w:trHeight w:val="300"/>
        </w:trPr>
        <w:tc>
          <w:tcPr>
            <w:tcW w:w="3886" w:type="dxa"/>
            <w:noWrap/>
            <w:hideMark/>
          </w:tcPr>
          <w:p w14:paraId="57C611A9" w14:textId="77777777" w:rsidR="0040580E" w:rsidRPr="005F5BEA" w:rsidRDefault="0040580E" w:rsidP="00EC391A">
            <w:pPr>
              <w:pStyle w:val="TableText"/>
              <w:rPr>
                <w:lang w:eastAsia="en-AU"/>
              </w:rPr>
            </w:pPr>
          </w:p>
        </w:tc>
        <w:tc>
          <w:tcPr>
            <w:tcW w:w="1496" w:type="dxa"/>
            <w:tcBorders>
              <w:bottom w:val="single" w:sz="4" w:space="0" w:color="auto"/>
            </w:tcBorders>
            <w:noWrap/>
            <w:hideMark/>
          </w:tcPr>
          <w:p w14:paraId="64A0525D" w14:textId="77777777" w:rsidR="0040580E" w:rsidRPr="005F5BEA" w:rsidRDefault="0040580E" w:rsidP="00EC391A">
            <w:pPr>
              <w:pStyle w:val="TableText"/>
              <w:rPr>
                <w:b/>
                <w:lang w:eastAsia="en-AU"/>
              </w:rPr>
            </w:pPr>
            <w:r w:rsidRPr="005F5BEA">
              <w:rPr>
                <w:b/>
                <w:lang w:eastAsia="en-AU"/>
              </w:rPr>
              <w:t>2022</w:t>
            </w:r>
          </w:p>
        </w:tc>
        <w:tc>
          <w:tcPr>
            <w:tcW w:w="1276" w:type="dxa"/>
            <w:tcBorders>
              <w:bottom w:val="single" w:sz="4" w:space="0" w:color="auto"/>
            </w:tcBorders>
            <w:noWrap/>
            <w:hideMark/>
          </w:tcPr>
          <w:p w14:paraId="7584AF0C" w14:textId="77777777" w:rsidR="0040580E" w:rsidRPr="005F5BEA" w:rsidRDefault="0040580E" w:rsidP="00EC391A">
            <w:pPr>
              <w:pStyle w:val="TableText"/>
              <w:rPr>
                <w:b/>
                <w:lang w:eastAsia="en-AU"/>
              </w:rPr>
            </w:pPr>
            <w:r w:rsidRPr="005F5BEA">
              <w:rPr>
                <w:b/>
                <w:lang w:eastAsia="en-AU"/>
              </w:rPr>
              <w:t>2023</w:t>
            </w:r>
          </w:p>
        </w:tc>
        <w:tc>
          <w:tcPr>
            <w:tcW w:w="1134" w:type="dxa"/>
            <w:tcBorders>
              <w:bottom w:val="single" w:sz="4" w:space="0" w:color="auto"/>
            </w:tcBorders>
            <w:noWrap/>
            <w:hideMark/>
          </w:tcPr>
          <w:p w14:paraId="7E3C4376" w14:textId="77777777" w:rsidR="0040580E" w:rsidRPr="005F5BEA" w:rsidRDefault="0040580E" w:rsidP="00EC391A">
            <w:pPr>
              <w:pStyle w:val="TableText"/>
              <w:rPr>
                <w:b/>
                <w:lang w:eastAsia="en-AU"/>
              </w:rPr>
            </w:pPr>
            <w:r w:rsidRPr="005F5BEA">
              <w:rPr>
                <w:b/>
                <w:lang w:eastAsia="en-AU"/>
              </w:rPr>
              <w:t>2024</w:t>
            </w:r>
          </w:p>
        </w:tc>
        <w:tc>
          <w:tcPr>
            <w:tcW w:w="1224" w:type="dxa"/>
            <w:tcBorders>
              <w:bottom w:val="single" w:sz="4" w:space="0" w:color="auto"/>
            </w:tcBorders>
            <w:noWrap/>
            <w:hideMark/>
          </w:tcPr>
          <w:p w14:paraId="68F4F97B" w14:textId="77777777" w:rsidR="0040580E" w:rsidRPr="005F5BEA" w:rsidRDefault="0040580E" w:rsidP="00EC391A">
            <w:pPr>
              <w:pStyle w:val="TableText"/>
              <w:rPr>
                <w:b/>
                <w:lang w:eastAsia="en-AU"/>
              </w:rPr>
            </w:pPr>
            <w:r w:rsidRPr="005F5BEA">
              <w:rPr>
                <w:b/>
                <w:lang w:eastAsia="en-AU"/>
              </w:rPr>
              <w:t>2025</w:t>
            </w:r>
          </w:p>
        </w:tc>
      </w:tr>
      <w:tr w:rsidR="0040580E" w:rsidRPr="005F5BEA" w14:paraId="36B47FF5" w14:textId="77777777" w:rsidTr="005B20C6">
        <w:trPr>
          <w:trHeight w:val="300"/>
        </w:trPr>
        <w:tc>
          <w:tcPr>
            <w:tcW w:w="3886" w:type="dxa"/>
            <w:noWrap/>
          </w:tcPr>
          <w:p w14:paraId="7163C092" w14:textId="77777777" w:rsidR="005B20C6" w:rsidRDefault="0040580E" w:rsidP="00EC391A">
            <w:pPr>
              <w:pStyle w:val="TableText"/>
              <w:rPr>
                <w:lang w:eastAsia="en-AU"/>
              </w:rPr>
            </w:pPr>
            <w:r w:rsidRPr="005F5BEA">
              <w:rPr>
                <w:lang w:eastAsia="en-AU"/>
              </w:rPr>
              <w:t xml:space="preserve">Labour cost of scheduled in-person </w:t>
            </w:r>
            <w:proofErr w:type="gramStart"/>
            <w:r w:rsidRPr="005F5BEA">
              <w:rPr>
                <w:lang w:eastAsia="en-AU"/>
              </w:rPr>
              <w:t>services</w:t>
            </w:r>
            <w:proofErr w:type="gramEnd"/>
          </w:p>
          <w:p w14:paraId="26ECFD3F" w14:textId="1ADF8479" w:rsidR="0040580E" w:rsidRPr="005F5BEA" w:rsidRDefault="0040580E" w:rsidP="00EC391A">
            <w:pPr>
              <w:pStyle w:val="TableText"/>
              <w:rPr>
                <w:lang w:eastAsia="en-AU"/>
              </w:rPr>
            </w:pPr>
            <w:r w:rsidRPr="005F5BEA">
              <w:rPr>
                <w:lang w:eastAsia="en-AU"/>
              </w:rPr>
              <w:t>(G × H)</w:t>
            </w:r>
          </w:p>
        </w:tc>
        <w:tc>
          <w:tcPr>
            <w:tcW w:w="1496" w:type="dxa"/>
            <w:tcBorders>
              <w:bottom w:val="single" w:sz="4" w:space="0" w:color="auto"/>
            </w:tcBorders>
            <w:shd w:val="solid" w:color="000000" w:fill="000000"/>
            <w:noWrap/>
          </w:tcPr>
          <w:p w14:paraId="6CBC31C6" w14:textId="26AF2294" w:rsidR="0040580E" w:rsidRPr="00D865D4" w:rsidRDefault="00D865D4" w:rsidP="00EC391A">
            <w:pPr>
              <w:pStyle w:val="TableText"/>
              <w:rPr>
                <w:lang w:eastAsia="en-AU"/>
              </w:rPr>
            </w:pPr>
            <w:r w:rsidRPr="00185424">
              <w:rPr>
                <w:color w:val="000000"/>
                <w:spacing w:val="94"/>
                <w:fitText w:val="180" w:id="-1157883125"/>
                <w:lang w:eastAsia="en-AU"/>
                <w14:textFill>
                  <w14:solidFill>
                    <w14:srgbClr w14:val="000000">
                      <w14:alpha w14:val="100000"/>
                    </w14:srgbClr>
                  </w14:solidFill>
                </w14:textFill>
              </w:rPr>
              <w:t>|</w:t>
            </w:r>
            <w:r w:rsidRPr="00185424">
              <w:rPr>
                <w:color w:val="000000"/>
                <w:spacing w:val="1"/>
                <w:fitText w:val="180" w:id="-1157883125"/>
                <w:lang w:eastAsia="en-AU"/>
                <w14:textFill>
                  <w14:solidFill>
                    <w14:srgbClr w14:val="000000">
                      <w14:alpha w14:val="100000"/>
                    </w14:srgbClr>
                  </w14:solidFill>
                </w14:textFill>
              </w:rPr>
              <w:t>|</w:t>
            </w:r>
          </w:p>
        </w:tc>
        <w:tc>
          <w:tcPr>
            <w:tcW w:w="1276" w:type="dxa"/>
            <w:tcBorders>
              <w:bottom w:val="single" w:sz="4" w:space="0" w:color="auto"/>
            </w:tcBorders>
            <w:shd w:val="solid" w:color="000000" w:fill="000000"/>
            <w:noWrap/>
          </w:tcPr>
          <w:p w14:paraId="0ACE7B9C" w14:textId="27CE5757" w:rsidR="0040580E" w:rsidRPr="00D865D4" w:rsidRDefault="00D865D4" w:rsidP="00EC391A">
            <w:pPr>
              <w:pStyle w:val="TableText"/>
              <w:rPr>
                <w:lang w:eastAsia="en-AU"/>
              </w:rPr>
            </w:pPr>
            <w:r w:rsidRPr="00185424">
              <w:rPr>
                <w:color w:val="000000"/>
                <w:spacing w:val="94"/>
                <w:fitText w:val="180" w:id="-1157883124"/>
                <w:lang w:eastAsia="en-AU"/>
                <w14:textFill>
                  <w14:solidFill>
                    <w14:srgbClr w14:val="000000">
                      <w14:alpha w14:val="100000"/>
                    </w14:srgbClr>
                  </w14:solidFill>
                </w14:textFill>
              </w:rPr>
              <w:t>|</w:t>
            </w:r>
            <w:r w:rsidRPr="00185424">
              <w:rPr>
                <w:color w:val="000000"/>
                <w:spacing w:val="1"/>
                <w:fitText w:val="180" w:id="-1157883124"/>
                <w:lang w:eastAsia="en-AU"/>
                <w14:textFill>
                  <w14:solidFill>
                    <w14:srgbClr w14:val="000000">
                      <w14:alpha w14:val="100000"/>
                    </w14:srgbClr>
                  </w14:solidFill>
                </w14:textFill>
              </w:rPr>
              <w:t>|</w:t>
            </w:r>
          </w:p>
        </w:tc>
        <w:tc>
          <w:tcPr>
            <w:tcW w:w="1134" w:type="dxa"/>
            <w:tcBorders>
              <w:bottom w:val="single" w:sz="4" w:space="0" w:color="auto"/>
            </w:tcBorders>
            <w:shd w:val="solid" w:color="000000" w:fill="000000"/>
            <w:noWrap/>
          </w:tcPr>
          <w:p w14:paraId="2E68BAC2" w14:textId="31F97AB3" w:rsidR="0040580E" w:rsidRPr="00D865D4" w:rsidRDefault="00D865D4" w:rsidP="00EC391A">
            <w:pPr>
              <w:pStyle w:val="TableText"/>
              <w:rPr>
                <w:lang w:eastAsia="en-AU"/>
              </w:rPr>
            </w:pPr>
            <w:r w:rsidRPr="00185424">
              <w:rPr>
                <w:color w:val="000000"/>
                <w:spacing w:val="94"/>
                <w:fitText w:val="180" w:id="-1157883123"/>
                <w:lang w:eastAsia="en-AU"/>
                <w14:textFill>
                  <w14:solidFill>
                    <w14:srgbClr w14:val="000000">
                      <w14:alpha w14:val="100000"/>
                    </w14:srgbClr>
                  </w14:solidFill>
                </w14:textFill>
              </w:rPr>
              <w:t>|</w:t>
            </w:r>
            <w:r w:rsidRPr="00185424">
              <w:rPr>
                <w:color w:val="000000"/>
                <w:spacing w:val="1"/>
                <w:fitText w:val="180" w:id="-1157883123"/>
                <w:lang w:eastAsia="en-AU"/>
                <w14:textFill>
                  <w14:solidFill>
                    <w14:srgbClr w14:val="000000">
                      <w14:alpha w14:val="100000"/>
                    </w14:srgbClr>
                  </w14:solidFill>
                </w14:textFill>
              </w:rPr>
              <w:t>|</w:t>
            </w:r>
          </w:p>
        </w:tc>
        <w:tc>
          <w:tcPr>
            <w:tcW w:w="1224" w:type="dxa"/>
            <w:tcBorders>
              <w:bottom w:val="single" w:sz="4" w:space="0" w:color="auto"/>
            </w:tcBorders>
            <w:shd w:val="solid" w:color="000000" w:fill="000000"/>
            <w:noWrap/>
          </w:tcPr>
          <w:p w14:paraId="02D168F7" w14:textId="4AE4F38D" w:rsidR="0040580E" w:rsidRPr="00D865D4" w:rsidRDefault="00D865D4" w:rsidP="00EC391A">
            <w:pPr>
              <w:pStyle w:val="TableText"/>
              <w:rPr>
                <w:lang w:eastAsia="en-AU"/>
              </w:rPr>
            </w:pPr>
            <w:r w:rsidRPr="00185424">
              <w:rPr>
                <w:color w:val="000000"/>
                <w:spacing w:val="94"/>
                <w:fitText w:val="180" w:id="-1157883122"/>
                <w:lang w:eastAsia="en-AU"/>
                <w14:textFill>
                  <w14:solidFill>
                    <w14:srgbClr w14:val="000000">
                      <w14:alpha w14:val="100000"/>
                    </w14:srgbClr>
                  </w14:solidFill>
                </w14:textFill>
              </w:rPr>
              <w:t>|</w:t>
            </w:r>
            <w:r w:rsidRPr="00185424">
              <w:rPr>
                <w:color w:val="000000"/>
                <w:spacing w:val="1"/>
                <w:fitText w:val="180" w:id="-1157883122"/>
                <w:lang w:eastAsia="en-AU"/>
                <w14:textFill>
                  <w14:solidFill>
                    <w14:srgbClr w14:val="000000">
                      <w14:alpha w14:val="100000"/>
                    </w14:srgbClr>
                  </w14:solidFill>
                </w14:textFill>
              </w:rPr>
              <w:t>|</w:t>
            </w:r>
          </w:p>
        </w:tc>
      </w:tr>
      <w:tr w:rsidR="0040580E" w:rsidRPr="005F5BEA" w14:paraId="3F094C3F" w14:textId="77777777" w:rsidTr="005B20C6">
        <w:trPr>
          <w:trHeight w:val="300"/>
        </w:trPr>
        <w:tc>
          <w:tcPr>
            <w:tcW w:w="3886" w:type="dxa"/>
            <w:noWrap/>
          </w:tcPr>
          <w:p w14:paraId="231AF669" w14:textId="77777777" w:rsidR="005B20C6" w:rsidRDefault="0040580E" w:rsidP="00EC391A">
            <w:pPr>
              <w:pStyle w:val="TableText"/>
              <w:rPr>
                <w:lang w:eastAsia="en-AU"/>
              </w:rPr>
            </w:pPr>
            <w:r w:rsidRPr="005F5BEA">
              <w:rPr>
                <w:lang w:eastAsia="en-AU"/>
              </w:rPr>
              <w:t xml:space="preserve">Labour cost of unscheduled in-person services </w:t>
            </w:r>
          </w:p>
          <w:p w14:paraId="459DA4A3" w14:textId="0BE9CAEF" w:rsidR="0040580E" w:rsidRPr="005F5BEA" w:rsidRDefault="0040580E" w:rsidP="00EC391A">
            <w:pPr>
              <w:pStyle w:val="TableText"/>
              <w:rPr>
                <w:lang w:eastAsia="en-AU"/>
              </w:rPr>
            </w:pPr>
            <w:r w:rsidRPr="005F5BEA">
              <w:rPr>
                <w:lang w:eastAsia="en-AU"/>
              </w:rPr>
              <w:t>(Y × Z)</w:t>
            </w:r>
          </w:p>
        </w:tc>
        <w:tc>
          <w:tcPr>
            <w:tcW w:w="1496" w:type="dxa"/>
            <w:tcBorders>
              <w:bottom w:val="single" w:sz="4" w:space="0" w:color="auto"/>
            </w:tcBorders>
            <w:shd w:val="solid" w:color="000000" w:fill="000000"/>
            <w:noWrap/>
          </w:tcPr>
          <w:p w14:paraId="4BC1C865" w14:textId="4C604FD9" w:rsidR="0040580E" w:rsidRPr="00D865D4" w:rsidRDefault="00D865D4" w:rsidP="00EC391A">
            <w:pPr>
              <w:pStyle w:val="TableText"/>
              <w:rPr>
                <w:lang w:eastAsia="en-AU"/>
              </w:rPr>
            </w:pPr>
            <w:r w:rsidRPr="00185424">
              <w:rPr>
                <w:color w:val="000000"/>
                <w:spacing w:val="94"/>
                <w:fitText w:val="180" w:id="-1157883121"/>
                <w:lang w:eastAsia="en-AU"/>
                <w14:textFill>
                  <w14:solidFill>
                    <w14:srgbClr w14:val="000000">
                      <w14:alpha w14:val="100000"/>
                    </w14:srgbClr>
                  </w14:solidFill>
                </w14:textFill>
              </w:rPr>
              <w:t>|</w:t>
            </w:r>
            <w:r w:rsidRPr="00185424">
              <w:rPr>
                <w:color w:val="000000"/>
                <w:spacing w:val="1"/>
                <w:fitText w:val="180" w:id="-1157883121"/>
                <w:lang w:eastAsia="en-AU"/>
                <w14:textFill>
                  <w14:solidFill>
                    <w14:srgbClr w14:val="000000">
                      <w14:alpha w14:val="100000"/>
                    </w14:srgbClr>
                  </w14:solidFill>
                </w14:textFill>
              </w:rPr>
              <w:t>|</w:t>
            </w:r>
          </w:p>
        </w:tc>
        <w:tc>
          <w:tcPr>
            <w:tcW w:w="1276" w:type="dxa"/>
            <w:tcBorders>
              <w:bottom w:val="single" w:sz="4" w:space="0" w:color="auto"/>
            </w:tcBorders>
            <w:shd w:val="solid" w:color="000000" w:fill="000000"/>
            <w:noWrap/>
          </w:tcPr>
          <w:p w14:paraId="6431B9F5" w14:textId="25E419B1" w:rsidR="0040580E" w:rsidRPr="00D865D4" w:rsidRDefault="00D865D4" w:rsidP="00EC391A">
            <w:pPr>
              <w:pStyle w:val="TableText"/>
              <w:rPr>
                <w:lang w:eastAsia="en-AU"/>
              </w:rPr>
            </w:pPr>
            <w:r w:rsidRPr="00185424">
              <w:rPr>
                <w:color w:val="000000"/>
                <w:spacing w:val="94"/>
                <w:fitText w:val="180" w:id="-1157883120"/>
                <w:lang w:eastAsia="en-AU"/>
                <w14:textFill>
                  <w14:solidFill>
                    <w14:srgbClr w14:val="000000">
                      <w14:alpha w14:val="100000"/>
                    </w14:srgbClr>
                  </w14:solidFill>
                </w14:textFill>
              </w:rPr>
              <w:t>|</w:t>
            </w:r>
            <w:r w:rsidRPr="00185424">
              <w:rPr>
                <w:color w:val="000000"/>
                <w:spacing w:val="1"/>
                <w:fitText w:val="180" w:id="-1157883120"/>
                <w:lang w:eastAsia="en-AU"/>
                <w14:textFill>
                  <w14:solidFill>
                    <w14:srgbClr w14:val="000000">
                      <w14:alpha w14:val="100000"/>
                    </w14:srgbClr>
                  </w14:solidFill>
                </w14:textFill>
              </w:rPr>
              <w:t>|</w:t>
            </w:r>
          </w:p>
        </w:tc>
        <w:tc>
          <w:tcPr>
            <w:tcW w:w="1134" w:type="dxa"/>
            <w:tcBorders>
              <w:bottom w:val="single" w:sz="4" w:space="0" w:color="auto"/>
            </w:tcBorders>
            <w:shd w:val="solid" w:color="000000" w:fill="000000"/>
            <w:noWrap/>
          </w:tcPr>
          <w:p w14:paraId="62B7E217" w14:textId="3ABA5752" w:rsidR="0040580E" w:rsidRPr="00D865D4" w:rsidRDefault="00D865D4" w:rsidP="00EC391A">
            <w:pPr>
              <w:pStyle w:val="TableText"/>
              <w:rPr>
                <w:lang w:eastAsia="en-AU"/>
              </w:rPr>
            </w:pPr>
            <w:r w:rsidRPr="00185424">
              <w:rPr>
                <w:color w:val="000000"/>
                <w:spacing w:val="94"/>
                <w:fitText w:val="180" w:id="-1157883136"/>
                <w:lang w:eastAsia="en-AU"/>
                <w14:textFill>
                  <w14:solidFill>
                    <w14:srgbClr w14:val="000000">
                      <w14:alpha w14:val="100000"/>
                    </w14:srgbClr>
                  </w14:solidFill>
                </w14:textFill>
              </w:rPr>
              <w:t>|</w:t>
            </w:r>
            <w:r w:rsidRPr="00185424">
              <w:rPr>
                <w:color w:val="000000"/>
                <w:spacing w:val="1"/>
                <w:fitText w:val="180" w:id="-1157883136"/>
                <w:lang w:eastAsia="en-AU"/>
                <w14:textFill>
                  <w14:solidFill>
                    <w14:srgbClr w14:val="000000">
                      <w14:alpha w14:val="100000"/>
                    </w14:srgbClr>
                  </w14:solidFill>
                </w14:textFill>
              </w:rPr>
              <w:t>|</w:t>
            </w:r>
          </w:p>
        </w:tc>
        <w:tc>
          <w:tcPr>
            <w:tcW w:w="1224" w:type="dxa"/>
            <w:tcBorders>
              <w:bottom w:val="single" w:sz="4" w:space="0" w:color="auto"/>
            </w:tcBorders>
            <w:shd w:val="solid" w:color="000000" w:fill="000000"/>
            <w:noWrap/>
          </w:tcPr>
          <w:p w14:paraId="43697063" w14:textId="19B4AB39" w:rsidR="0040580E" w:rsidRPr="00D865D4" w:rsidRDefault="00D865D4" w:rsidP="00EC391A">
            <w:pPr>
              <w:pStyle w:val="TableText"/>
              <w:rPr>
                <w:lang w:eastAsia="en-AU"/>
              </w:rPr>
            </w:pPr>
            <w:r w:rsidRPr="00185424">
              <w:rPr>
                <w:color w:val="000000"/>
                <w:spacing w:val="94"/>
                <w:fitText w:val="180" w:id="-1157883135"/>
                <w:lang w:eastAsia="en-AU"/>
                <w14:textFill>
                  <w14:solidFill>
                    <w14:srgbClr w14:val="000000">
                      <w14:alpha w14:val="100000"/>
                    </w14:srgbClr>
                  </w14:solidFill>
                </w14:textFill>
              </w:rPr>
              <w:t>|</w:t>
            </w:r>
            <w:r w:rsidRPr="00185424">
              <w:rPr>
                <w:color w:val="000000"/>
                <w:spacing w:val="1"/>
                <w:fitText w:val="180" w:id="-1157883135"/>
                <w:lang w:eastAsia="en-AU"/>
                <w14:textFill>
                  <w14:solidFill>
                    <w14:srgbClr w14:val="000000">
                      <w14:alpha w14:val="100000"/>
                    </w14:srgbClr>
                  </w14:solidFill>
                </w14:textFill>
              </w:rPr>
              <w:t>|</w:t>
            </w:r>
          </w:p>
        </w:tc>
      </w:tr>
      <w:tr w:rsidR="0040580E" w:rsidRPr="005F5BEA" w14:paraId="6372DB0C" w14:textId="77777777" w:rsidTr="005B20C6">
        <w:trPr>
          <w:trHeight w:val="300"/>
        </w:trPr>
        <w:tc>
          <w:tcPr>
            <w:tcW w:w="3886" w:type="dxa"/>
            <w:noWrap/>
          </w:tcPr>
          <w:p w14:paraId="62BEF543" w14:textId="77777777" w:rsidR="0040580E" w:rsidRPr="005F5BEA" w:rsidRDefault="0040580E" w:rsidP="00EC391A">
            <w:pPr>
              <w:pStyle w:val="TableText"/>
              <w:rPr>
                <w:lang w:eastAsia="en-AU"/>
              </w:rPr>
            </w:pPr>
            <w:r w:rsidRPr="005F5BEA">
              <w:rPr>
                <w:lang w:eastAsia="en-AU"/>
              </w:rPr>
              <w:t>Labour cost of remote services (B × C)</w:t>
            </w:r>
          </w:p>
        </w:tc>
        <w:tc>
          <w:tcPr>
            <w:tcW w:w="1496" w:type="dxa"/>
            <w:shd w:val="solid" w:color="000000" w:fill="000000"/>
            <w:noWrap/>
          </w:tcPr>
          <w:p w14:paraId="52D3E627" w14:textId="431979A8" w:rsidR="0040580E" w:rsidRPr="00D865D4" w:rsidRDefault="00D865D4" w:rsidP="00EC391A">
            <w:pPr>
              <w:pStyle w:val="TableText"/>
              <w:rPr>
                <w:lang w:eastAsia="en-AU"/>
              </w:rPr>
            </w:pPr>
            <w:r w:rsidRPr="00185424">
              <w:rPr>
                <w:color w:val="000000"/>
                <w:spacing w:val="94"/>
                <w:fitText w:val="180" w:id="-1157883134"/>
                <w:lang w:eastAsia="en-AU"/>
                <w14:textFill>
                  <w14:solidFill>
                    <w14:srgbClr w14:val="000000">
                      <w14:alpha w14:val="100000"/>
                    </w14:srgbClr>
                  </w14:solidFill>
                </w14:textFill>
              </w:rPr>
              <w:t>|</w:t>
            </w:r>
            <w:r w:rsidRPr="00185424">
              <w:rPr>
                <w:color w:val="000000"/>
                <w:spacing w:val="1"/>
                <w:fitText w:val="180" w:id="-1157883134"/>
                <w:lang w:eastAsia="en-AU"/>
                <w14:textFill>
                  <w14:solidFill>
                    <w14:srgbClr w14:val="000000">
                      <w14:alpha w14:val="100000"/>
                    </w14:srgbClr>
                  </w14:solidFill>
                </w14:textFill>
              </w:rPr>
              <w:t>|</w:t>
            </w:r>
          </w:p>
        </w:tc>
        <w:tc>
          <w:tcPr>
            <w:tcW w:w="1276" w:type="dxa"/>
            <w:shd w:val="solid" w:color="000000" w:fill="000000"/>
            <w:noWrap/>
          </w:tcPr>
          <w:p w14:paraId="263145B4" w14:textId="435CF49A" w:rsidR="0040580E" w:rsidRPr="00D865D4" w:rsidRDefault="00D865D4" w:rsidP="00EC391A">
            <w:pPr>
              <w:pStyle w:val="TableText"/>
              <w:rPr>
                <w:lang w:eastAsia="en-AU"/>
              </w:rPr>
            </w:pPr>
            <w:r w:rsidRPr="00185424">
              <w:rPr>
                <w:color w:val="000000"/>
                <w:spacing w:val="94"/>
                <w:fitText w:val="180" w:id="-1157883133"/>
                <w:lang w:eastAsia="en-AU"/>
                <w14:textFill>
                  <w14:solidFill>
                    <w14:srgbClr w14:val="000000">
                      <w14:alpha w14:val="100000"/>
                    </w14:srgbClr>
                  </w14:solidFill>
                </w14:textFill>
              </w:rPr>
              <w:t>|</w:t>
            </w:r>
            <w:r w:rsidRPr="00185424">
              <w:rPr>
                <w:color w:val="000000"/>
                <w:spacing w:val="1"/>
                <w:fitText w:val="180" w:id="-1157883133"/>
                <w:lang w:eastAsia="en-AU"/>
                <w14:textFill>
                  <w14:solidFill>
                    <w14:srgbClr w14:val="000000">
                      <w14:alpha w14:val="100000"/>
                    </w14:srgbClr>
                  </w14:solidFill>
                </w14:textFill>
              </w:rPr>
              <w:t>|</w:t>
            </w:r>
          </w:p>
        </w:tc>
        <w:tc>
          <w:tcPr>
            <w:tcW w:w="1134" w:type="dxa"/>
            <w:shd w:val="solid" w:color="000000" w:fill="000000"/>
            <w:noWrap/>
          </w:tcPr>
          <w:p w14:paraId="4B4BD492" w14:textId="6020983A" w:rsidR="0040580E" w:rsidRPr="00D865D4" w:rsidRDefault="00D865D4" w:rsidP="00EC391A">
            <w:pPr>
              <w:pStyle w:val="TableText"/>
              <w:rPr>
                <w:lang w:eastAsia="en-AU"/>
              </w:rPr>
            </w:pPr>
            <w:r w:rsidRPr="00185424">
              <w:rPr>
                <w:color w:val="000000"/>
                <w:spacing w:val="94"/>
                <w:fitText w:val="180" w:id="-1157883132"/>
                <w:lang w:eastAsia="en-AU"/>
                <w14:textFill>
                  <w14:solidFill>
                    <w14:srgbClr w14:val="000000">
                      <w14:alpha w14:val="100000"/>
                    </w14:srgbClr>
                  </w14:solidFill>
                </w14:textFill>
              </w:rPr>
              <w:t>|</w:t>
            </w:r>
            <w:r w:rsidRPr="00185424">
              <w:rPr>
                <w:color w:val="000000"/>
                <w:spacing w:val="1"/>
                <w:fitText w:val="180" w:id="-1157883132"/>
                <w:lang w:eastAsia="en-AU"/>
                <w14:textFill>
                  <w14:solidFill>
                    <w14:srgbClr w14:val="000000">
                      <w14:alpha w14:val="100000"/>
                    </w14:srgbClr>
                  </w14:solidFill>
                </w14:textFill>
              </w:rPr>
              <w:t>|</w:t>
            </w:r>
          </w:p>
        </w:tc>
        <w:tc>
          <w:tcPr>
            <w:tcW w:w="1224" w:type="dxa"/>
            <w:shd w:val="solid" w:color="000000" w:fill="000000"/>
            <w:noWrap/>
          </w:tcPr>
          <w:p w14:paraId="3726B823" w14:textId="5D7CD291" w:rsidR="0040580E" w:rsidRPr="00D865D4" w:rsidRDefault="00D865D4" w:rsidP="00EC391A">
            <w:pPr>
              <w:pStyle w:val="TableText"/>
              <w:rPr>
                <w:lang w:eastAsia="en-AU"/>
              </w:rPr>
            </w:pPr>
            <w:r w:rsidRPr="00185424">
              <w:rPr>
                <w:color w:val="000000"/>
                <w:spacing w:val="94"/>
                <w:fitText w:val="180" w:id="-1157883131"/>
                <w:lang w:eastAsia="en-AU"/>
                <w14:textFill>
                  <w14:solidFill>
                    <w14:srgbClr w14:val="000000">
                      <w14:alpha w14:val="100000"/>
                    </w14:srgbClr>
                  </w14:solidFill>
                </w14:textFill>
              </w:rPr>
              <w:t>|</w:t>
            </w:r>
            <w:r w:rsidRPr="00185424">
              <w:rPr>
                <w:color w:val="000000"/>
                <w:spacing w:val="1"/>
                <w:fitText w:val="180" w:id="-1157883131"/>
                <w:lang w:eastAsia="en-AU"/>
                <w14:textFill>
                  <w14:solidFill>
                    <w14:srgbClr w14:val="000000">
                      <w14:alpha w14:val="100000"/>
                    </w14:srgbClr>
                  </w14:solidFill>
                </w14:textFill>
              </w:rPr>
              <w:t>|</w:t>
            </w:r>
          </w:p>
        </w:tc>
      </w:tr>
      <w:tr w:rsidR="0040580E" w:rsidRPr="005F5BEA" w14:paraId="6B0279C8" w14:textId="77777777" w:rsidTr="005B20C6">
        <w:trPr>
          <w:trHeight w:val="300"/>
        </w:trPr>
        <w:tc>
          <w:tcPr>
            <w:tcW w:w="3886" w:type="dxa"/>
            <w:noWrap/>
          </w:tcPr>
          <w:p w14:paraId="484A4E60" w14:textId="77777777" w:rsidR="0040580E" w:rsidRPr="005F5BEA" w:rsidRDefault="0040580E" w:rsidP="00EC391A">
            <w:pPr>
              <w:pStyle w:val="TableText"/>
              <w:rPr>
                <w:b/>
                <w:lang w:eastAsia="en-AU"/>
              </w:rPr>
            </w:pPr>
            <w:r w:rsidRPr="005F5BEA">
              <w:rPr>
                <w:b/>
                <w:lang w:eastAsia="en-AU"/>
              </w:rPr>
              <w:t>Total labour costs</w:t>
            </w:r>
          </w:p>
        </w:tc>
        <w:tc>
          <w:tcPr>
            <w:tcW w:w="1496" w:type="dxa"/>
            <w:noWrap/>
          </w:tcPr>
          <w:p w14:paraId="65AD8BBE" w14:textId="77777777" w:rsidR="0040580E" w:rsidRPr="005F5BEA" w:rsidRDefault="0040580E" w:rsidP="00EC391A">
            <w:pPr>
              <w:pStyle w:val="TableText"/>
              <w:rPr>
                <w:b/>
                <w:lang w:eastAsia="en-AU"/>
              </w:rPr>
            </w:pPr>
            <w:r w:rsidRPr="005F5BEA">
              <w:rPr>
                <w:b/>
                <w:lang w:eastAsia="en-AU"/>
              </w:rPr>
              <w:t>$35,226,463</w:t>
            </w:r>
          </w:p>
        </w:tc>
        <w:tc>
          <w:tcPr>
            <w:tcW w:w="1276" w:type="dxa"/>
            <w:noWrap/>
          </w:tcPr>
          <w:p w14:paraId="4DD6F42E" w14:textId="77777777" w:rsidR="0040580E" w:rsidRPr="005F5BEA" w:rsidRDefault="0040580E" w:rsidP="00EC391A">
            <w:pPr>
              <w:pStyle w:val="TableText"/>
              <w:rPr>
                <w:b/>
                <w:lang w:eastAsia="en-AU"/>
              </w:rPr>
            </w:pPr>
            <w:r w:rsidRPr="005F5BEA">
              <w:rPr>
                <w:b/>
                <w:lang w:eastAsia="en-AU"/>
              </w:rPr>
              <w:t>$37,702,355</w:t>
            </w:r>
          </w:p>
        </w:tc>
        <w:tc>
          <w:tcPr>
            <w:tcW w:w="1134" w:type="dxa"/>
            <w:noWrap/>
          </w:tcPr>
          <w:p w14:paraId="4A6261BA" w14:textId="77777777" w:rsidR="0040580E" w:rsidRPr="005F5BEA" w:rsidRDefault="0040580E" w:rsidP="00EC391A">
            <w:pPr>
              <w:pStyle w:val="TableText"/>
              <w:rPr>
                <w:b/>
                <w:lang w:eastAsia="en-AU"/>
              </w:rPr>
            </w:pPr>
            <w:r w:rsidRPr="005F5BEA">
              <w:rPr>
                <w:b/>
                <w:lang w:eastAsia="en-AU"/>
              </w:rPr>
              <w:t>$40,352,262</w:t>
            </w:r>
          </w:p>
        </w:tc>
        <w:tc>
          <w:tcPr>
            <w:tcW w:w="1224" w:type="dxa"/>
            <w:noWrap/>
          </w:tcPr>
          <w:p w14:paraId="3B4BEE51" w14:textId="77777777" w:rsidR="0040580E" w:rsidRPr="005F5BEA" w:rsidRDefault="0040580E" w:rsidP="00EC391A">
            <w:pPr>
              <w:pStyle w:val="TableText"/>
              <w:rPr>
                <w:b/>
                <w:lang w:eastAsia="en-AU"/>
              </w:rPr>
            </w:pPr>
            <w:r w:rsidRPr="005F5BEA">
              <w:rPr>
                <w:b/>
                <w:lang w:eastAsia="en-AU"/>
              </w:rPr>
              <w:t>$43,188,415</w:t>
            </w:r>
          </w:p>
        </w:tc>
      </w:tr>
    </w:tbl>
    <w:p w14:paraId="2613CAC8" w14:textId="438B31F3" w:rsidR="00385AAD" w:rsidRPr="005F5BEA" w:rsidRDefault="0040580E" w:rsidP="0040580E">
      <w:r w:rsidRPr="005F5BEA">
        <w:t xml:space="preserve">Implantation-related services were included in the total </w:t>
      </w:r>
      <w:proofErr w:type="gramStart"/>
      <w:r w:rsidRPr="005F5BEA">
        <w:t>costs,</w:t>
      </w:r>
      <w:proofErr w:type="gramEnd"/>
      <w:r w:rsidRPr="005F5BEA">
        <w:t xml:space="preserve"> </w:t>
      </w:r>
      <w:r w:rsidR="00C33453" w:rsidRPr="005F5BEA">
        <w:t xml:space="preserve">however, it may be reasonable to exclude these services from the current review. It may be reasonable to expect costs associated with the attendance of an </w:t>
      </w:r>
      <w:r w:rsidR="00B62C82" w:rsidRPr="005F5BEA">
        <w:t>IECT</w:t>
      </w:r>
      <w:r w:rsidR="00C33453" w:rsidRPr="005F5BEA">
        <w:t xml:space="preserve"> at implantation for initial programming, and at a Day 1 check, to be included in the cost of a device. This would be reflected in the cost of the device in both public and private settings</w:t>
      </w:r>
      <w:r w:rsidRPr="005F5BEA">
        <w:t xml:space="preserve">. When implantation-related services are removed from the total costs (as these could be included in the cost of the device), the total costs of cardiac services provided by </w:t>
      </w:r>
      <w:r w:rsidR="00B62C82" w:rsidRPr="005F5BEA">
        <w:t>IECT</w:t>
      </w:r>
      <w:r w:rsidRPr="005F5BEA">
        <w:t xml:space="preserve">s are estimated to be </w:t>
      </w:r>
      <w:r w:rsidR="00EE6FE4" w:rsidRPr="005F5BEA">
        <w:t xml:space="preserve">$57,781,365 </w:t>
      </w:r>
      <w:r w:rsidRPr="005F5BEA">
        <w:t xml:space="preserve">in 2022. This is a reduction of </w:t>
      </w:r>
      <w:r w:rsidR="00EE6FE4" w:rsidRPr="005F5BEA">
        <w:t>21.1</w:t>
      </w:r>
      <w:r w:rsidRPr="005F5BEA">
        <w:t xml:space="preserve">% of the total costs. </w:t>
      </w:r>
      <w:r w:rsidR="00860095" w:rsidRPr="005F5BEA">
        <w:t xml:space="preserve">Other univariate sensitivity analyses are included in </w:t>
      </w:r>
      <w:r w:rsidR="0064454E" w:rsidRPr="005F5BEA">
        <w:fldChar w:fldCharType="begin"/>
      </w:r>
      <w:r w:rsidR="0064454E" w:rsidRPr="005F5BEA">
        <w:instrText xml:space="preserve"> REF _Ref120699681 \h  \* MERGEFORMAT </w:instrText>
      </w:r>
      <w:r w:rsidR="0064454E" w:rsidRPr="005F5BEA">
        <w:fldChar w:fldCharType="separate"/>
      </w:r>
      <w:r w:rsidR="00334548" w:rsidRPr="00334548">
        <w:t>Table 15</w:t>
      </w:r>
      <w:r w:rsidR="0064454E" w:rsidRPr="005F5BEA">
        <w:fldChar w:fldCharType="end"/>
      </w:r>
      <w:r w:rsidR="00860095" w:rsidRPr="005F5BEA">
        <w:t xml:space="preserve"> below.</w:t>
      </w:r>
      <w:r w:rsidR="00385AAD" w:rsidRPr="005F5BEA">
        <w:t xml:space="preserve"> </w:t>
      </w:r>
    </w:p>
    <w:p w14:paraId="7D302FB0" w14:textId="5B475C69" w:rsidR="002254A8" w:rsidRPr="005F5BEA" w:rsidRDefault="00385AAD" w:rsidP="00863DB5">
      <w:r w:rsidRPr="005F5BEA">
        <w:t>The total cost and cost per scheduled/unscheduled</w:t>
      </w:r>
      <w:r w:rsidR="0021347C" w:rsidRPr="005F5BEA">
        <w:t xml:space="preserve">/remote service as per the model in the ADAR are shown in </w:t>
      </w:r>
      <w:r w:rsidR="006829B7" w:rsidRPr="005F5BEA">
        <w:fldChar w:fldCharType="begin"/>
      </w:r>
      <w:r w:rsidR="006829B7" w:rsidRPr="005F5BEA">
        <w:instrText xml:space="preserve"> REF _Ref122617352 \h  \* MERGEFORMAT </w:instrText>
      </w:r>
      <w:r w:rsidR="006829B7" w:rsidRPr="005F5BEA">
        <w:fldChar w:fldCharType="separate"/>
      </w:r>
      <w:r w:rsidR="00334548" w:rsidRPr="00334548">
        <w:t>Table 16</w:t>
      </w:r>
      <w:r w:rsidR="006829B7" w:rsidRPr="005F5BEA">
        <w:fldChar w:fldCharType="end"/>
      </w:r>
      <w:r w:rsidR="006829B7" w:rsidRPr="005F5BEA">
        <w:t xml:space="preserve"> </w:t>
      </w:r>
      <w:r w:rsidR="00E60283" w:rsidRPr="005F5BEA">
        <w:t>and</w:t>
      </w:r>
      <w:r w:rsidR="00863DB5" w:rsidRPr="005F5BEA">
        <w:t xml:space="preserve"> </w:t>
      </w:r>
      <w:r w:rsidR="00863DB5" w:rsidRPr="005F5BEA">
        <w:fldChar w:fldCharType="begin"/>
      </w:r>
      <w:r w:rsidR="00863DB5" w:rsidRPr="005F5BEA">
        <w:instrText xml:space="preserve"> REF _Ref122617361 \h </w:instrText>
      </w:r>
      <w:r w:rsidR="005F5BEA">
        <w:instrText xml:space="preserve"> \* MERGEFORMAT </w:instrText>
      </w:r>
      <w:r w:rsidR="00863DB5" w:rsidRPr="005F5BEA">
        <w:fldChar w:fldCharType="separate"/>
      </w:r>
      <w:r w:rsidR="00334548" w:rsidRPr="005F5BEA">
        <w:t xml:space="preserve">Table </w:t>
      </w:r>
      <w:r w:rsidR="00334548">
        <w:rPr>
          <w:noProof/>
        </w:rPr>
        <w:t>17</w:t>
      </w:r>
      <w:r w:rsidR="00863DB5" w:rsidRPr="005F5BEA">
        <w:fldChar w:fldCharType="end"/>
      </w:r>
      <w:r w:rsidR="00232AE0" w:rsidRPr="005F5BEA">
        <w:t>.</w:t>
      </w:r>
      <w:r w:rsidR="00860095" w:rsidRPr="005F5BEA">
        <w:t xml:space="preserve"> </w:t>
      </w:r>
    </w:p>
    <w:p w14:paraId="500EBA2A" w14:textId="51B0C4B3" w:rsidR="00381AC2" w:rsidRPr="005F5BEA" w:rsidRDefault="0040580E" w:rsidP="006B519A">
      <w:pPr>
        <w:pStyle w:val="Caption"/>
        <w:keepNext/>
        <w:keepLines/>
        <w:rPr>
          <w:rFonts w:ascii="Arial Narrow" w:hAnsi="Arial Narrow"/>
          <w:b/>
          <w:i w:val="0"/>
          <w:color w:val="auto"/>
          <w:sz w:val="20"/>
          <w:szCs w:val="20"/>
        </w:rPr>
      </w:pPr>
      <w:bookmarkStart w:id="32" w:name="_Ref120699681"/>
      <w:bookmarkStart w:id="33" w:name="_Hlk122621792"/>
      <w:r w:rsidRPr="005F5BEA">
        <w:rPr>
          <w:rFonts w:ascii="Arial Narrow" w:hAnsi="Arial Narrow"/>
          <w:b/>
          <w:i w:val="0"/>
          <w:color w:val="auto"/>
          <w:sz w:val="20"/>
          <w:szCs w:val="20"/>
        </w:rPr>
        <w:t xml:space="preserve">Table </w:t>
      </w:r>
      <w:r w:rsidRPr="005F5BEA">
        <w:rPr>
          <w:rFonts w:ascii="Arial Narrow" w:hAnsi="Arial Narrow"/>
          <w:b/>
          <w:i w:val="0"/>
          <w:color w:val="auto"/>
          <w:sz w:val="20"/>
          <w:szCs w:val="20"/>
        </w:rPr>
        <w:fldChar w:fldCharType="begin"/>
      </w:r>
      <w:r w:rsidRPr="005F5BEA">
        <w:rPr>
          <w:rFonts w:ascii="Arial Narrow" w:hAnsi="Arial Narrow"/>
          <w:b/>
          <w:i w:val="0"/>
          <w:color w:val="auto"/>
          <w:sz w:val="20"/>
          <w:szCs w:val="20"/>
        </w:rPr>
        <w:instrText xml:space="preserve"> SEQ Table \* ARABIC </w:instrText>
      </w:r>
      <w:r w:rsidRPr="005F5BEA">
        <w:rPr>
          <w:rFonts w:ascii="Arial Narrow" w:hAnsi="Arial Narrow"/>
          <w:b/>
          <w:i w:val="0"/>
          <w:color w:val="auto"/>
          <w:sz w:val="20"/>
          <w:szCs w:val="20"/>
        </w:rPr>
        <w:fldChar w:fldCharType="separate"/>
      </w:r>
      <w:r w:rsidR="00334548">
        <w:rPr>
          <w:rFonts w:ascii="Arial Narrow" w:hAnsi="Arial Narrow"/>
          <w:b/>
          <w:i w:val="0"/>
          <w:noProof/>
          <w:color w:val="auto"/>
          <w:sz w:val="20"/>
          <w:szCs w:val="20"/>
        </w:rPr>
        <w:t>15</w:t>
      </w:r>
      <w:r w:rsidRPr="005F5BEA">
        <w:rPr>
          <w:rFonts w:ascii="Arial Narrow" w:hAnsi="Arial Narrow"/>
          <w:b/>
          <w:i w:val="0"/>
          <w:color w:val="auto"/>
          <w:sz w:val="20"/>
          <w:szCs w:val="20"/>
        </w:rPr>
        <w:fldChar w:fldCharType="end"/>
      </w:r>
      <w:bookmarkEnd w:id="32"/>
      <w:r w:rsidRPr="005F5BEA">
        <w:rPr>
          <w:rFonts w:ascii="Arial Narrow" w:hAnsi="Arial Narrow"/>
          <w:b/>
          <w:i w:val="0"/>
          <w:color w:val="auto"/>
          <w:sz w:val="20"/>
          <w:szCs w:val="20"/>
        </w:rPr>
        <w:tab/>
        <w:t xml:space="preserve"> Sensitivity analyses</w:t>
      </w:r>
    </w:p>
    <w:tbl>
      <w:tblPr>
        <w:tblStyle w:val="MSAC"/>
        <w:tblW w:w="5000" w:type="pct"/>
        <w:tblLook w:val="04A0" w:firstRow="1" w:lastRow="0" w:firstColumn="1" w:lastColumn="0" w:noHBand="0" w:noVBand="1"/>
      </w:tblPr>
      <w:tblGrid>
        <w:gridCol w:w="3289"/>
        <w:gridCol w:w="1220"/>
        <w:gridCol w:w="1221"/>
        <w:gridCol w:w="1221"/>
        <w:gridCol w:w="1221"/>
        <w:gridCol w:w="844"/>
      </w:tblGrid>
      <w:tr w:rsidR="00381AC2" w:rsidRPr="005F5BEA" w14:paraId="10AB56BA" w14:textId="77777777" w:rsidTr="005926D9">
        <w:trPr>
          <w:cnfStyle w:val="100000000000" w:firstRow="1" w:lastRow="0" w:firstColumn="0" w:lastColumn="0" w:oddVBand="0" w:evenVBand="0" w:oddHBand="0" w:evenHBand="0" w:firstRowFirstColumn="0" w:firstRowLastColumn="0" w:lastRowFirstColumn="0" w:lastRowLastColumn="0"/>
          <w:trHeight w:val="240"/>
        </w:trPr>
        <w:tc>
          <w:tcPr>
            <w:tcW w:w="1824" w:type="pct"/>
            <w:noWrap/>
            <w:hideMark/>
          </w:tcPr>
          <w:p w14:paraId="6008C52F" w14:textId="77777777" w:rsidR="00381AC2" w:rsidRPr="005F5BEA" w:rsidRDefault="00381AC2" w:rsidP="006B519A">
            <w:pPr>
              <w:pStyle w:val="Tabletext0"/>
              <w:keepNext/>
              <w:keepLines/>
            </w:pPr>
            <w:r w:rsidRPr="005F5BEA">
              <w:t> Alternative scenarios</w:t>
            </w:r>
          </w:p>
        </w:tc>
        <w:tc>
          <w:tcPr>
            <w:tcW w:w="677" w:type="pct"/>
            <w:noWrap/>
            <w:hideMark/>
          </w:tcPr>
          <w:p w14:paraId="4B817371" w14:textId="77777777" w:rsidR="00381AC2" w:rsidRPr="005F5BEA" w:rsidRDefault="00381AC2" w:rsidP="006B519A">
            <w:pPr>
              <w:pStyle w:val="Tabletext0"/>
              <w:keepNext/>
              <w:keepLines/>
            </w:pPr>
            <w:r w:rsidRPr="005F5BEA">
              <w:t>2022</w:t>
            </w:r>
          </w:p>
        </w:tc>
        <w:tc>
          <w:tcPr>
            <w:tcW w:w="677" w:type="pct"/>
            <w:noWrap/>
            <w:hideMark/>
          </w:tcPr>
          <w:p w14:paraId="403687F3" w14:textId="77777777" w:rsidR="00381AC2" w:rsidRPr="005F5BEA" w:rsidRDefault="00381AC2" w:rsidP="006B519A">
            <w:pPr>
              <w:pStyle w:val="Tabletext0"/>
              <w:keepNext/>
              <w:keepLines/>
            </w:pPr>
            <w:r w:rsidRPr="005F5BEA">
              <w:t>2023</w:t>
            </w:r>
          </w:p>
        </w:tc>
        <w:tc>
          <w:tcPr>
            <w:tcW w:w="677" w:type="pct"/>
            <w:noWrap/>
            <w:hideMark/>
          </w:tcPr>
          <w:p w14:paraId="070A3D36" w14:textId="77777777" w:rsidR="00381AC2" w:rsidRPr="005F5BEA" w:rsidRDefault="00381AC2" w:rsidP="006B519A">
            <w:pPr>
              <w:pStyle w:val="Tabletext0"/>
              <w:keepNext/>
              <w:keepLines/>
            </w:pPr>
            <w:r w:rsidRPr="005F5BEA">
              <w:t>2024</w:t>
            </w:r>
          </w:p>
        </w:tc>
        <w:tc>
          <w:tcPr>
            <w:tcW w:w="677" w:type="pct"/>
            <w:noWrap/>
            <w:hideMark/>
          </w:tcPr>
          <w:p w14:paraId="2EDB027B" w14:textId="77777777" w:rsidR="00381AC2" w:rsidRPr="005F5BEA" w:rsidRDefault="00381AC2" w:rsidP="006B519A">
            <w:pPr>
              <w:pStyle w:val="Tabletext0"/>
              <w:keepNext/>
              <w:keepLines/>
            </w:pPr>
            <w:r w:rsidRPr="005F5BEA">
              <w:t>2025</w:t>
            </w:r>
          </w:p>
        </w:tc>
        <w:tc>
          <w:tcPr>
            <w:tcW w:w="470" w:type="pct"/>
          </w:tcPr>
          <w:p w14:paraId="22FAF590" w14:textId="77777777" w:rsidR="00381AC2" w:rsidRPr="005F5BEA" w:rsidRDefault="00381AC2" w:rsidP="006B519A">
            <w:pPr>
              <w:pStyle w:val="Tabletext0"/>
              <w:keepNext/>
              <w:keepLines/>
            </w:pPr>
            <w:r w:rsidRPr="005F5BEA">
              <w:t>Percent change from base case in 2022</w:t>
            </w:r>
          </w:p>
        </w:tc>
      </w:tr>
      <w:tr w:rsidR="00381AC2" w:rsidRPr="005F5BEA" w14:paraId="40ECC524" w14:textId="77777777" w:rsidTr="009A303F">
        <w:trPr>
          <w:trHeight w:val="240"/>
        </w:trPr>
        <w:tc>
          <w:tcPr>
            <w:tcW w:w="5000" w:type="pct"/>
            <w:gridSpan w:val="6"/>
            <w:noWrap/>
            <w:hideMark/>
          </w:tcPr>
          <w:p w14:paraId="182AE701" w14:textId="77777777" w:rsidR="00381AC2" w:rsidRPr="005F5BEA" w:rsidRDefault="00381AC2" w:rsidP="006B519A">
            <w:pPr>
              <w:pStyle w:val="Tabletext0"/>
              <w:keepNext/>
              <w:keepLines/>
              <w:rPr>
                <w:b/>
              </w:rPr>
            </w:pPr>
            <w:r w:rsidRPr="005F5BEA">
              <w:rPr>
                <w:b/>
              </w:rPr>
              <w:t>ADAR base case</w:t>
            </w:r>
          </w:p>
        </w:tc>
      </w:tr>
      <w:tr w:rsidR="00381AC2" w:rsidRPr="005F5BEA" w14:paraId="331FC9A0" w14:textId="77777777" w:rsidTr="005926D9">
        <w:trPr>
          <w:trHeight w:val="240"/>
        </w:trPr>
        <w:tc>
          <w:tcPr>
            <w:tcW w:w="1824" w:type="pct"/>
            <w:noWrap/>
            <w:hideMark/>
          </w:tcPr>
          <w:p w14:paraId="5653BD42" w14:textId="77777777" w:rsidR="00381AC2" w:rsidRPr="005F5BEA" w:rsidRDefault="00381AC2" w:rsidP="006B519A">
            <w:pPr>
              <w:pStyle w:val="Tabletext0"/>
              <w:keepNext/>
              <w:keepLines/>
            </w:pPr>
            <w:r w:rsidRPr="005F5BEA">
              <w:t>Total Services</w:t>
            </w:r>
          </w:p>
        </w:tc>
        <w:tc>
          <w:tcPr>
            <w:tcW w:w="677" w:type="pct"/>
            <w:noWrap/>
            <w:hideMark/>
          </w:tcPr>
          <w:p w14:paraId="65907C3E" w14:textId="77777777" w:rsidR="00381AC2" w:rsidRPr="005F5BEA" w:rsidRDefault="00381AC2" w:rsidP="006B519A">
            <w:pPr>
              <w:pStyle w:val="Tabletext0"/>
              <w:keepNext/>
              <w:keepLines/>
            </w:pPr>
            <w:r w:rsidRPr="005F5BEA">
              <w:t xml:space="preserve">697,258 </w:t>
            </w:r>
          </w:p>
        </w:tc>
        <w:tc>
          <w:tcPr>
            <w:tcW w:w="677" w:type="pct"/>
            <w:noWrap/>
            <w:hideMark/>
          </w:tcPr>
          <w:p w14:paraId="72FB4C9C" w14:textId="77777777" w:rsidR="00381AC2" w:rsidRPr="005F5BEA" w:rsidRDefault="00381AC2" w:rsidP="006B519A">
            <w:pPr>
              <w:pStyle w:val="Tabletext0"/>
              <w:keepNext/>
              <w:keepLines/>
            </w:pPr>
            <w:r w:rsidRPr="005F5BEA">
              <w:t xml:space="preserve">746,066 </w:t>
            </w:r>
          </w:p>
        </w:tc>
        <w:tc>
          <w:tcPr>
            <w:tcW w:w="677" w:type="pct"/>
            <w:noWrap/>
            <w:hideMark/>
          </w:tcPr>
          <w:p w14:paraId="2DB6E0B4" w14:textId="77777777" w:rsidR="00381AC2" w:rsidRPr="005F5BEA" w:rsidRDefault="00381AC2" w:rsidP="006B519A">
            <w:pPr>
              <w:pStyle w:val="Tabletext0"/>
              <w:keepNext/>
              <w:keepLines/>
            </w:pPr>
            <w:r w:rsidRPr="005F5BEA">
              <w:t xml:space="preserve">798,290 </w:t>
            </w:r>
          </w:p>
        </w:tc>
        <w:tc>
          <w:tcPr>
            <w:tcW w:w="677" w:type="pct"/>
            <w:noWrap/>
            <w:hideMark/>
          </w:tcPr>
          <w:p w14:paraId="5BD71FBF" w14:textId="77777777" w:rsidR="00381AC2" w:rsidRPr="005F5BEA" w:rsidRDefault="00381AC2" w:rsidP="006B519A">
            <w:pPr>
              <w:pStyle w:val="Tabletext0"/>
              <w:keepNext/>
              <w:keepLines/>
            </w:pPr>
            <w:r w:rsidRPr="005F5BEA">
              <w:t xml:space="preserve">854,170 </w:t>
            </w:r>
          </w:p>
        </w:tc>
        <w:tc>
          <w:tcPr>
            <w:tcW w:w="470" w:type="pct"/>
          </w:tcPr>
          <w:p w14:paraId="66E9D1BA" w14:textId="77777777" w:rsidR="00381AC2" w:rsidRPr="005F5BEA" w:rsidRDefault="00381AC2" w:rsidP="006B519A">
            <w:pPr>
              <w:pStyle w:val="Tabletext0"/>
              <w:keepNext/>
              <w:keepLines/>
            </w:pPr>
          </w:p>
        </w:tc>
      </w:tr>
      <w:tr w:rsidR="00381AC2" w:rsidRPr="005F5BEA" w14:paraId="629BB14F" w14:textId="77777777" w:rsidTr="005926D9">
        <w:trPr>
          <w:trHeight w:val="240"/>
        </w:trPr>
        <w:tc>
          <w:tcPr>
            <w:tcW w:w="1824" w:type="pct"/>
            <w:noWrap/>
            <w:hideMark/>
          </w:tcPr>
          <w:p w14:paraId="6586DF08" w14:textId="77777777" w:rsidR="00381AC2" w:rsidRPr="005F5BEA" w:rsidRDefault="00381AC2" w:rsidP="009A303F">
            <w:pPr>
              <w:pStyle w:val="Tabletext0"/>
            </w:pPr>
            <w:r w:rsidRPr="005F5BEA">
              <w:t>Total Costs</w:t>
            </w:r>
          </w:p>
        </w:tc>
        <w:tc>
          <w:tcPr>
            <w:tcW w:w="677" w:type="pct"/>
            <w:noWrap/>
            <w:hideMark/>
          </w:tcPr>
          <w:p w14:paraId="022722EE" w14:textId="77777777" w:rsidR="00381AC2" w:rsidRPr="005F5BEA" w:rsidRDefault="00381AC2" w:rsidP="009A303F">
            <w:pPr>
              <w:pStyle w:val="Tabletext0"/>
            </w:pPr>
            <w:r w:rsidRPr="005F5BEA">
              <w:t>$73,275,912</w:t>
            </w:r>
          </w:p>
        </w:tc>
        <w:tc>
          <w:tcPr>
            <w:tcW w:w="677" w:type="pct"/>
            <w:noWrap/>
            <w:hideMark/>
          </w:tcPr>
          <w:p w14:paraId="3273C2F4" w14:textId="77777777" w:rsidR="00381AC2" w:rsidRPr="005F5BEA" w:rsidRDefault="00381AC2" w:rsidP="009A303F">
            <w:pPr>
              <w:pStyle w:val="Tabletext0"/>
            </w:pPr>
            <w:r w:rsidRPr="005F5BEA">
              <w:t>$79,855,322</w:t>
            </w:r>
          </w:p>
        </w:tc>
        <w:tc>
          <w:tcPr>
            <w:tcW w:w="677" w:type="pct"/>
            <w:noWrap/>
            <w:hideMark/>
          </w:tcPr>
          <w:p w14:paraId="1E0AD0DA" w14:textId="77777777" w:rsidR="00381AC2" w:rsidRPr="005F5BEA" w:rsidRDefault="00381AC2" w:rsidP="009A303F">
            <w:pPr>
              <w:pStyle w:val="Tabletext0"/>
            </w:pPr>
            <w:r w:rsidRPr="005F5BEA">
              <w:t>$86,933,257</w:t>
            </w:r>
          </w:p>
        </w:tc>
        <w:tc>
          <w:tcPr>
            <w:tcW w:w="677" w:type="pct"/>
            <w:noWrap/>
            <w:hideMark/>
          </w:tcPr>
          <w:p w14:paraId="1FFB0D3E" w14:textId="77777777" w:rsidR="00381AC2" w:rsidRPr="005F5BEA" w:rsidRDefault="00381AC2" w:rsidP="009A303F">
            <w:pPr>
              <w:pStyle w:val="Tabletext0"/>
            </w:pPr>
            <w:r w:rsidRPr="005F5BEA">
              <w:t>$94,550,963</w:t>
            </w:r>
          </w:p>
        </w:tc>
        <w:tc>
          <w:tcPr>
            <w:tcW w:w="470" w:type="pct"/>
          </w:tcPr>
          <w:p w14:paraId="7D37D963" w14:textId="77777777" w:rsidR="00381AC2" w:rsidRPr="005F5BEA" w:rsidRDefault="00381AC2" w:rsidP="009A303F">
            <w:pPr>
              <w:pStyle w:val="Tabletext0"/>
            </w:pPr>
            <w:r w:rsidRPr="005F5BEA">
              <w:t>NA</w:t>
            </w:r>
          </w:p>
        </w:tc>
      </w:tr>
      <w:tr w:rsidR="00381AC2" w:rsidRPr="005F5BEA" w14:paraId="0E127B8B" w14:textId="77777777" w:rsidTr="009A303F">
        <w:trPr>
          <w:trHeight w:val="327"/>
        </w:trPr>
        <w:tc>
          <w:tcPr>
            <w:tcW w:w="5000" w:type="pct"/>
            <w:gridSpan w:val="6"/>
            <w:noWrap/>
            <w:hideMark/>
          </w:tcPr>
          <w:p w14:paraId="09EE17C4" w14:textId="77777777" w:rsidR="00381AC2" w:rsidRPr="005F5BEA" w:rsidRDefault="00381AC2" w:rsidP="009A303F">
            <w:pPr>
              <w:pStyle w:val="Tabletext0"/>
              <w:rPr>
                <w:b/>
              </w:rPr>
            </w:pPr>
            <w:r w:rsidRPr="005F5BEA">
              <w:rPr>
                <w:b/>
              </w:rPr>
              <w:t>SA1: Change average hourly wage to $50 (base case: $85.03)</w:t>
            </w:r>
          </w:p>
        </w:tc>
      </w:tr>
      <w:tr w:rsidR="00381AC2" w:rsidRPr="005F5BEA" w14:paraId="2E823EC2" w14:textId="77777777" w:rsidTr="005926D9">
        <w:trPr>
          <w:trHeight w:val="250"/>
        </w:trPr>
        <w:tc>
          <w:tcPr>
            <w:tcW w:w="1824" w:type="pct"/>
            <w:noWrap/>
            <w:hideMark/>
          </w:tcPr>
          <w:p w14:paraId="761A45F4" w14:textId="77777777" w:rsidR="00381AC2" w:rsidRPr="005F5BEA" w:rsidRDefault="00381AC2" w:rsidP="009A303F">
            <w:pPr>
              <w:pStyle w:val="Tabletext0"/>
            </w:pPr>
            <w:r w:rsidRPr="005F5BEA">
              <w:t>Total Services</w:t>
            </w:r>
          </w:p>
        </w:tc>
        <w:tc>
          <w:tcPr>
            <w:tcW w:w="2706" w:type="pct"/>
            <w:gridSpan w:val="4"/>
            <w:noWrap/>
            <w:hideMark/>
          </w:tcPr>
          <w:p w14:paraId="68FAA643" w14:textId="77777777" w:rsidR="00381AC2" w:rsidRPr="005F5BEA" w:rsidRDefault="00381AC2" w:rsidP="009A303F">
            <w:pPr>
              <w:pStyle w:val="Tabletext0"/>
            </w:pPr>
            <w:r w:rsidRPr="005F5BEA">
              <w:rPr>
                <w:iCs/>
              </w:rPr>
              <w:t>As per base case</w:t>
            </w:r>
          </w:p>
        </w:tc>
        <w:tc>
          <w:tcPr>
            <w:tcW w:w="470" w:type="pct"/>
          </w:tcPr>
          <w:p w14:paraId="72C945A8" w14:textId="77777777" w:rsidR="00381AC2" w:rsidRPr="005F5BEA" w:rsidRDefault="00381AC2" w:rsidP="009A303F">
            <w:pPr>
              <w:pStyle w:val="Tabletext0"/>
            </w:pPr>
          </w:p>
        </w:tc>
      </w:tr>
      <w:tr w:rsidR="00381AC2" w:rsidRPr="005F5BEA" w14:paraId="196B071A" w14:textId="77777777" w:rsidTr="005926D9">
        <w:trPr>
          <w:trHeight w:val="240"/>
        </w:trPr>
        <w:tc>
          <w:tcPr>
            <w:tcW w:w="1824" w:type="pct"/>
            <w:noWrap/>
            <w:hideMark/>
          </w:tcPr>
          <w:p w14:paraId="55AE74B6" w14:textId="77777777" w:rsidR="00381AC2" w:rsidRPr="005F5BEA" w:rsidRDefault="00381AC2" w:rsidP="009A303F">
            <w:pPr>
              <w:pStyle w:val="Tabletext0"/>
            </w:pPr>
            <w:r w:rsidRPr="005F5BEA">
              <w:t>Total Costs</w:t>
            </w:r>
          </w:p>
        </w:tc>
        <w:tc>
          <w:tcPr>
            <w:tcW w:w="677" w:type="pct"/>
            <w:noWrap/>
            <w:hideMark/>
          </w:tcPr>
          <w:p w14:paraId="20C05AF6" w14:textId="77777777" w:rsidR="00381AC2" w:rsidRPr="005F5BEA" w:rsidRDefault="00381AC2" w:rsidP="009A303F">
            <w:pPr>
              <w:pStyle w:val="Tabletext0"/>
            </w:pPr>
            <w:r w:rsidRPr="005F5BEA">
              <w:t>$54,409,287</w:t>
            </w:r>
          </w:p>
        </w:tc>
        <w:tc>
          <w:tcPr>
            <w:tcW w:w="677" w:type="pct"/>
            <w:noWrap/>
            <w:hideMark/>
          </w:tcPr>
          <w:p w14:paraId="0E6E57FA" w14:textId="77777777" w:rsidR="00381AC2" w:rsidRPr="005F5BEA" w:rsidRDefault="00381AC2" w:rsidP="009A303F">
            <w:pPr>
              <w:pStyle w:val="Tabletext0"/>
            </w:pPr>
            <w:r w:rsidRPr="005F5BEA">
              <w:t>$59,378,407</w:t>
            </w:r>
          </w:p>
        </w:tc>
        <w:tc>
          <w:tcPr>
            <w:tcW w:w="677" w:type="pct"/>
            <w:noWrap/>
            <w:hideMark/>
          </w:tcPr>
          <w:p w14:paraId="3A31C5AC" w14:textId="77777777" w:rsidR="00381AC2" w:rsidRPr="005F5BEA" w:rsidRDefault="00381AC2" w:rsidP="009A303F">
            <w:pPr>
              <w:pStyle w:val="Tabletext0"/>
            </w:pPr>
            <w:r w:rsidRPr="005F5BEA">
              <w:t>$64,712,894</w:t>
            </w:r>
          </w:p>
        </w:tc>
        <w:tc>
          <w:tcPr>
            <w:tcW w:w="677" w:type="pct"/>
            <w:noWrap/>
            <w:hideMark/>
          </w:tcPr>
          <w:p w14:paraId="227925A3" w14:textId="77777777" w:rsidR="00381AC2" w:rsidRPr="005F5BEA" w:rsidRDefault="00381AC2" w:rsidP="009A303F">
            <w:pPr>
              <w:pStyle w:val="Tabletext0"/>
            </w:pPr>
            <w:r w:rsidRPr="005F5BEA">
              <w:t>$70,443,233</w:t>
            </w:r>
          </w:p>
        </w:tc>
        <w:tc>
          <w:tcPr>
            <w:tcW w:w="470" w:type="pct"/>
          </w:tcPr>
          <w:p w14:paraId="1CA5A300" w14:textId="77777777" w:rsidR="00381AC2" w:rsidRPr="005F5BEA" w:rsidRDefault="00381AC2" w:rsidP="009A303F">
            <w:pPr>
              <w:pStyle w:val="Tabletext0"/>
            </w:pPr>
            <w:r w:rsidRPr="005F5BEA">
              <w:t>-25.7%</w:t>
            </w:r>
          </w:p>
        </w:tc>
      </w:tr>
      <w:tr w:rsidR="00381AC2" w:rsidRPr="005F5BEA" w14:paraId="19FABAE6" w14:textId="77777777" w:rsidTr="009A303F">
        <w:trPr>
          <w:trHeight w:val="240"/>
        </w:trPr>
        <w:tc>
          <w:tcPr>
            <w:tcW w:w="5000" w:type="pct"/>
            <w:gridSpan w:val="6"/>
            <w:noWrap/>
          </w:tcPr>
          <w:p w14:paraId="39FC2A97" w14:textId="77777777" w:rsidR="00381AC2" w:rsidRPr="005F5BEA" w:rsidRDefault="00381AC2" w:rsidP="009A303F">
            <w:pPr>
              <w:pStyle w:val="Tabletext0"/>
              <w:rPr>
                <w:b/>
              </w:rPr>
            </w:pPr>
            <w:r w:rsidRPr="005F5BEA">
              <w:rPr>
                <w:b/>
              </w:rPr>
              <w:t>SA2: Remove Loadings</w:t>
            </w:r>
          </w:p>
        </w:tc>
      </w:tr>
      <w:tr w:rsidR="00381AC2" w:rsidRPr="005F5BEA" w14:paraId="381FC92A" w14:textId="77777777" w:rsidTr="00D865D4">
        <w:trPr>
          <w:trHeight w:val="240"/>
        </w:trPr>
        <w:tc>
          <w:tcPr>
            <w:tcW w:w="1824" w:type="pct"/>
            <w:noWrap/>
          </w:tcPr>
          <w:p w14:paraId="42E0CD71" w14:textId="77777777" w:rsidR="00381AC2" w:rsidRPr="005F5BEA" w:rsidRDefault="00381AC2" w:rsidP="009A303F">
            <w:pPr>
              <w:pStyle w:val="Tabletext0"/>
            </w:pPr>
            <w:r w:rsidRPr="005F5BEA">
              <w:t>Total Services</w:t>
            </w:r>
          </w:p>
        </w:tc>
        <w:tc>
          <w:tcPr>
            <w:tcW w:w="2706" w:type="pct"/>
            <w:gridSpan w:val="4"/>
            <w:noWrap/>
          </w:tcPr>
          <w:p w14:paraId="45363141" w14:textId="77777777" w:rsidR="00381AC2" w:rsidRPr="005F5BEA" w:rsidRDefault="00381AC2" w:rsidP="009A303F">
            <w:pPr>
              <w:pStyle w:val="Tabletext0"/>
            </w:pPr>
            <w:r w:rsidRPr="005F5BEA">
              <w:t>As per base case</w:t>
            </w:r>
          </w:p>
        </w:tc>
        <w:tc>
          <w:tcPr>
            <w:tcW w:w="470" w:type="pct"/>
            <w:tcBorders>
              <w:bottom w:val="single" w:sz="4" w:space="0" w:color="auto"/>
            </w:tcBorders>
          </w:tcPr>
          <w:p w14:paraId="4B0C7636" w14:textId="77777777" w:rsidR="00381AC2" w:rsidRPr="005F5BEA" w:rsidRDefault="00381AC2" w:rsidP="009A303F">
            <w:pPr>
              <w:pStyle w:val="Tabletext0"/>
            </w:pPr>
          </w:p>
        </w:tc>
      </w:tr>
      <w:tr w:rsidR="00381AC2" w:rsidRPr="005F5BEA" w14:paraId="1BEC8F77" w14:textId="77777777" w:rsidTr="00D865D4">
        <w:trPr>
          <w:trHeight w:val="240"/>
        </w:trPr>
        <w:tc>
          <w:tcPr>
            <w:tcW w:w="1824" w:type="pct"/>
            <w:noWrap/>
          </w:tcPr>
          <w:p w14:paraId="3675180A" w14:textId="77777777" w:rsidR="00381AC2" w:rsidRPr="005F5BEA" w:rsidRDefault="00381AC2" w:rsidP="009A303F">
            <w:pPr>
              <w:pStyle w:val="Tabletext0"/>
            </w:pPr>
            <w:r w:rsidRPr="005F5BEA">
              <w:t>Total Costs</w:t>
            </w:r>
          </w:p>
        </w:tc>
        <w:tc>
          <w:tcPr>
            <w:tcW w:w="677" w:type="pct"/>
            <w:shd w:val="solid" w:color="000000" w:fill="000000"/>
            <w:noWrap/>
          </w:tcPr>
          <w:p w14:paraId="452811EC" w14:textId="52484BD6" w:rsidR="00381AC2" w:rsidRPr="00D865D4" w:rsidRDefault="00D865D4" w:rsidP="009A303F">
            <w:pPr>
              <w:pStyle w:val="Tabletext0"/>
            </w:pPr>
            <w:r w:rsidRPr="008A2B4D">
              <w:rPr>
                <w:color w:val="000000"/>
                <w:spacing w:val="94"/>
                <w:fitText w:val="180" w:id="-1157883130"/>
                <w14:textFill>
                  <w14:solidFill>
                    <w14:srgbClr w14:val="000000">
                      <w14:alpha w14:val="100000"/>
                    </w14:srgbClr>
                  </w14:solidFill>
                </w14:textFill>
              </w:rPr>
              <w:t>|</w:t>
            </w:r>
            <w:r w:rsidRPr="008A2B4D">
              <w:rPr>
                <w:color w:val="000000"/>
                <w:fitText w:val="180" w:id="-1157883130"/>
                <w14:textFill>
                  <w14:solidFill>
                    <w14:srgbClr w14:val="000000">
                      <w14:alpha w14:val="100000"/>
                    </w14:srgbClr>
                  </w14:solidFill>
                </w14:textFill>
              </w:rPr>
              <w:t>|</w:t>
            </w:r>
          </w:p>
        </w:tc>
        <w:tc>
          <w:tcPr>
            <w:tcW w:w="677" w:type="pct"/>
            <w:shd w:val="solid" w:color="000000" w:fill="000000"/>
            <w:noWrap/>
          </w:tcPr>
          <w:p w14:paraId="2D445FDB" w14:textId="3A923094" w:rsidR="00381AC2" w:rsidRPr="00D865D4" w:rsidRDefault="00D865D4" w:rsidP="009A303F">
            <w:pPr>
              <w:pStyle w:val="Tabletext0"/>
            </w:pPr>
            <w:r w:rsidRPr="008A2B4D">
              <w:rPr>
                <w:color w:val="000000"/>
                <w:spacing w:val="94"/>
                <w:fitText w:val="180" w:id="-1157883129"/>
                <w14:textFill>
                  <w14:solidFill>
                    <w14:srgbClr w14:val="000000">
                      <w14:alpha w14:val="100000"/>
                    </w14:srgbClr>
                  </w14:solidFill>
                </w14:textFill>
              </w:rPr>
              <w:t>|</w:t>
            </w:r>
            <w:r w:rsidRPr="008A2B4D">
              <w:rPr>
                <w:color w:val="000000"/>
                <w:fitText w:val="180" w:id="-1157883129"/>
                <w14:textFill>
                  <w14:solidFill>
                    <w14:srgbClr w14:val="000000">
                      <w14:alpha w14:val="100000"/>
                    </w14:srgbClr>
                  </w14:solidFill>
                </w14:textFill>
              </w:rPr>
              <w:t>|</w:t>
            </w:r>
          </w:p>
        </w:tc>
        <w:tc>
          <w:tcPr>
            <w:tcW w:w="677" w:type="pct"/>
            <w:shd w:val="solid" w:color="000000" w:fill="000000"/>
            <w:noWrap/>
          </w:tcPr>
          <w:p w14:paraId="331E1539" w14:textId="155E68EC" w:rsidR="00381AC2" w:rsidRPr="00D865D4" w:rsidRDefault="00D865D4" w:rsidP="009A303F">
            <w:pPr>
              <w:pStyle w:val="Tabletext0"/>
            </w:pPr>
            <w:r w:rsidRPr="008A2B4D">
              <w:rPr>
                <w:color w:val="000000"/>
                <w:spacing w:val="94"/>
                <w:fitText w:val="180" w:id="-1157883128"/>
                <w14:textFill>
                  <w14:solidFill>
                    <w14:srgbClr w14:val="000000">
                      <w14:alpha w14:val="100000"/>
                    </w14:srgbClr>
                  </w14:solidFill>
                </w14:textFill>
              </w:rPr>
              <w:t>|</w:t>
            </w:r>
            <w:r w:rsidRPr="008A2B4D">
              <w:rPr>
                <w:color w:val="000000"/>
                <w:fitText w:val="180" w:id="-1157883128"/>
                <w14:textFill>
                  <w14:solidFill>
                    <w14:srgbClr w14:val="000000">
                      <w14:alpha w14:val="100000"/>
                    </w14:srgbClr>
                  </w14:solidFill>
                </w14:textFill>
              </w:rPr>
              <w:t>|</w:t>
            </w:r>
          </w:p>
        </w:tc>
        <w:tc>
          <w:tcPr>
            <w:tcW w:w="677" w:type="pct"/>
            <w:shd w:val="solid" w:color="000000" w:fill="000000"/>
            <w:noWrap/>
          </w:tcPr>
          <w:p w14:paraId="2420FC2F" w14:textId="61EBE054" w:rsidR="00381AC2" w:rsidRPr="00D865D4" w:rsidRDefault="00D865D4" w:rsidP="009A303F">
            <w:pPr>
              <w:pStyle w:val="Tabletext0"/>
            </w:pPr>
            <w:r w:rsidRPr="008A2B4D">
              <w:rPr>
                <w:color w:val="000000"/>
                <w:spacing w:val="94"/>
                <w:fitText w:val="180" w:id="-1157883127"/>
                <w14:textFill>
                  <w14:solidFill>
                    <w14:srgbClr w14:val="000000">
                      <w14:alpha w14:val="100000"/>
                    </w14:srgbClr>
                  </w14:solidFill>
                </w14:textFill>
              </w:rPr>
              <w:t>|</w:t>
            </w:r>
            <w:r w:rsidRPr="008A2B4D">
              <w:rPr>
                <w:color w:val="000000"/>
                <w:fitText w:val="180" w:id="-1157883127"/>
                <w14:textFill>
                  <w14:solidFill>
                    <w14:srgbClr w14:val="000000">
                      <w14:alpha w14:val="100000"/>
                    </w14:srgbClr>
                  </w14:solidFill>
                </w14:textFill>
              </w:rPr>
              <w:t>|</w:t>
            </w:r>
          </w:p>
        </w:tc>
        <w:tc>
          <w:tcPr>
            <w:tcW w:w="470" w:type="pct"/>
            <w:shd w:val="solid" w:color="000000" w:fill="000000"/>
          </w:tcPr>
          <w:p w14:paraId="20774DB3" w14:textId="3109D201" w:rsidR="00381AC2" w:rsidRPr="00D865D4" w:rsidRDefault="00D865D4" w:rsidP="009A303F">
            <w:pPr>
              <w:pStyle w:val="Tabletext0"/>
            </w:pPr>
            <w:r w:rsidRPr="008A2B4D">
              <w:rPr>
                <w:color w:val="000000"/>
                <w:spacing w:val="94"/>
                <w:fitText w:val="180" w:id="-1157883126"/>
                <w14:textFill>
                  <w14:solidFill>
                    <w14:srgbClr w14:val="000000">
                      <w14:alpha w14:val="100000"/>
                    </w14:srgbClr>
                  </w14:solidFill>
                </w14:textFill>
              </w:rPr>
              <w:t>|</w:t>
            </w:r>
            <w:r w:rsidRPr="008A2B4D">
              <w:rPr>
                <w:color w:val="000000"/>
                <w:fitText w:val="180" w:id="-1157883126"/>
                <w14:textFill>
                  <w14:solidFill>
                    <w14:srgbClr w14:val="000000">
                      <w14:alpha w14:val="100000"/>
                    </w14:srgbClr>
                  </w14:solidFill>
                </w14:textFill>
              </w:rPr>
              <w:t>|</w:t>
            </w:r>
          </w:p>
        </w:tc>
      </w:tr>
      <w:tr w:rsidR="00381AC2" w:rsidRPr="005F5BEA" w14:paraId="437C00DF" w14:textId="77777777" w:rsidTr="009A303F">
        <w:trPr>
          <w:trHeight w:val="240"/>
        </w:trPr>
        <w:tc>
          <w:tcPr>
            <w:tcW w:w="5000" w:type="pct"/>
            <w:gridSpan w:val="6"/>
            <w:noWrap/>
            <w:hideMark/>
          </w:tcPr>
          <w:p w14:paraId="5D488DFD" w14:textId="14F2BE2E" w:rsidR="00381AC2" w:rsidRPr="005F5BEA" w:rsidRDefault="00381AC2" w:rsidP="009A303F">
            <w:pPr>
              <w:pStyle w:val="Tabletext0"/>
              <w:rPr>
                <w:b/>
                <w:vertAlign w:val="superscript"/>
              </w:rPr>
            </w:pPr>
            <w:r w:rsidRPr="005F5BEA">
              <w:rPr>
                <w:b/>
              </w:rPr>
              <w:t>SA3: Remove ILRs</w:t>
            </w:r>
            <w:r w:rsidR="00B71117" w:rsidRPr="005F5BEA">
              <w:rPr>
                <w:b/>
              </w:rPr>
              <w:t> </w:t>
            </w:r>
            <w:r w:rsidRPr="005F5BEA">
              <w:rPr>
                <w:b/>
                <w:vertAlign w:val="superscript"/>
              </w:rPr>
              <w:t>a</w:t>
            </w:r>
          </w:p>
        </w:tc>
      </w:tr>
      <w:tr w:rsidR="00381AC2" w:rsidRPr="005F5BEA" w14:paraId="667C2FDF" w14:textId="77777777" w:rsidTr="00D865D4">
        <w:trPr>
          <w:trHeight w:val="240"/>
        </w:trPr>
        <w:tc>
          <w:tcPr>
            <w:tcW w:w="1824" w:type="pct"/>
            <w:noWrap/>
            <w:hideMark/>
          </w:tcPr>
          <w:p w14:paraId="073A3C50" w14:textId="77777777" w:rsidR="00381AC2" w:rsidRPr="005F5BEA" w:rsidRDefault="00381AC2" w:rsidP="009A303F">
            <w:pPr>
              <w:pStyle w:val="Tabletext0"/>
            </w:pPr>
            <w:r w:rsidRPr="005F5BEA">
              <w:t>Total Services</w:t>
            </w:r>
          </w:p>
        </w:tc>
        <w:tc>
          <w:tcPr>
            <w:tcW w:w="677" w:type="pct"/>
            <w:tcBorders>
              <w:bottom w:val="single" w:sz="4" w:space="0" w:color="auto"/>
            </w:tcBorders>
            <w:noWrap/>
            <w:hideMark/>
          </w:tcPr>
          <w:p w14:paraId="60287F9C" w14:textId="77777777" w:rsidR="00381AC2" w:rsidRPr="005F5BEA" w:rsidRDefault="00381AC2" w:rsidP="009A303F">
            <w:pPr>
              <w:pStyle w:val="Tabletext0"/>
            </w:pPr>
            <w:r w:rsidRPr="005F5BEA">
              <w:t xml:space="preserve">520,876 </w:t>
            </w:r>
          </w:p>
        </w:tc>
        <w:tc>
          <w:tcPr>
            <w:tcW w:w="677" w:type="pct"/>
            <w:tcBorders>
              <w:bottom w:val="single" w:sz="4" w:space="0" w:color="auto"/>
            </w:tcBorders>
            <w:noWrap/>
            <w:hideMark/>
          </w:tcPr>
          <w:p w14:paraId="0CB46681" w14:textId="77777777" w:rsidR="00381AC2" w:rsidRPr="005F5BEA" w:rsidRDefault="00381AC2" w:rsidP="009A303F">
            <w:pPr>
              <w:pStyle w:val="Tabletext0"/>
            </w:pPr>
            <w:r w:rsidRPr="005F5BEA">
              <w:t xml:space="preserve">557,337 </w:t>
            </w:r>
          </w:p>
        </w:tc>
        <w:tc>
          <w:tcPr>
            <w:tcW w:w="677" w:type="pct"/>
            <w:tcBorders>
              <w:bottom w:val="single" w:sz="4" w:space="0" w:color="auto"/>
            </w:tcBorders>
            <w:noWrap/>
            <w:hideMark/>
          </w:tcPr>
          <w:p w14:paraId="7FCD2CBD" w14:textId="77777777" w:rsidR="00381AC2" w:rsidRPr="005F5BEA" w:rsidRDefault="00381AC2" w:rsidP="009A303F">
            <w:pPr>
              <w:pStyle w:val="Tabletext0"/>
            </w:pPr>
            <w:r w:rsidRPr="005F5BEA">
              <w:t xml:space="preserve">596,351 </w:t>
            </w:r>
          </w:p>
        </w:tc>
        <w:tc>
          <w:tcPr>
            <w:tcW w:w="677" w:type="pct"/>
            <w:tcBorders>
              <w:bottom w:val="single" w:sz="4" w:space="0" w:color="auto"/>
            </w:tcBorders>
            <w:noWrap/>
            <w:hideMark/>
          </w:tcPr>
          <w:p w14:paraId="7D3A529B" w14:textId="77777777" w:rsidR="00381AC2" w:rsidRPr="005F5BEA" w:rsidRDefault="00381AC2" w:rsidP="009A303F">
            <w:pPr>
              <w:pStyle w:val="Tabletext0"/>
            </w:pPr>
            <w:r w:rsidRPr="005F5BEA">
              <w:t xml:space="preserve">638,095 </w:t>
            </w:r>
          </w:p>
        </w:tc>
        <w:tc>
          <w:tcPr>
            <w:tcW w:w="470" w:type="pct"/>
            <w:tcBorders>
              <w:bottom w:val="single" w:sz="4" w:space="0" w:color="auto"/>
            </w:tcBorders>
          </w:tcPr>
          <w:p w14:paraId="417FFF91" w14:textId="77777777" w:rsidR="00381AC2" w:rsidRPr="005F5BEA" w:rsidRDefault="00381AC2" w:rsidP="009A303F">
            <w:pPr>
              <w:pStyle w:val="Tabletext0"/>
            </w:pPr>
          </w:p>
        </w:tc>
      </w:tr>
      <w:tr w:rsidR="00381AC2" w:rsidRPr="005F5BEA" w14:paraId="15039115" w14:textId="77777777" w:rsidTr="00D865D4">
        <w:trPr>
          <w:trHeight w:val="240"/>
        </w:trPr>
        <w:tc>
          <w:tcPr>
            <w:tcW w:w="1824" w:type="pct"/>
            <w:noWrap/>
          </w:tcPr>
          <w:p w14:paraId="454561D1" w14:textId="77777777" w:rsidR="00381AC2" w:rsidRPr="005F5BEA" w:rsidRDefault="00381AC2" w:rsidP="009A303F">
            <w:pPr>
              <w:pStyle w:val="Tabletext0"/>
            </w:pPr>
            <w:r w:rsidRPr="005F5BEA">
              <w:t>Total Costs</w:t>
            </w:r>
          </w:p>
        </w:tc>
        <w:tc>
          <w:tcPr>
            <w:tcW w:w="677" w:type="pct"/>
            <w:shd w:val="solid" w:color="000000" w:fill="000000"/>
            <w:noWrap/>
            <w:vAlign w:val="top"/>
          </w:tcPr>
          <w:p w14:paraId="11C666AC" w14:textId="60CA41E2" w:rsidR="00381AC2" w:rsidRPr="00D865D4" w:rsidRDefault="00D865D4" w:rsidP="009A303F">
            <w:pPr>
              <w:pStyle w:val="Tabletext0"/>
            </w:pPr>
            <w:r w:rsidRPr="008A2B4D">
              <w:rPr>
                <w:color w:val="000000"/>
                <w:spacing w:val="94"/>
                <w:fitText w:val="180" w:id="-1157883125"/>
                <w14:textFill>
                  <w14:solidFill>
                    <w14:srgbClr w14:val="000000">
                      <w14:alpha w14:val="100000"/>
                    </w14:srgbClr>
                  </w14:solidFill>
                </w14:textFill>
              </w:rPr>
              <w:t>|</w:t>
            </w:r>
            <w:r w:rsidRPr="008A2B4D">
              <w:rPr>
                <w:color w:val="000000"/>
                <w:fitText w:val="180" w:id="-1157883125"/>
                <w14:textFill>
                  <w14:solidFill>
                    <w14:srgbClr w14:val="000000">
                      <w14:alpha w14:val="100000"/>
                    </w14:srgbClr>
                  </w14:solidFill>
                </w14:textFill>
              </w:rPr>
              <w:t>|</w:t>
            </w:r>
          </w:p>
        </w:tc>
        <w:tc>
          <w:tcPr>
            <w:tcW w:w="677" w:type="pct"/>
            <w:shd w:val="solid" w:color="000000" w:fill="000000"/>
            <w:noWrap/>
            <w:vAlign w:val="top"/>
          </w:tcPr>
          <w:p w14:paraId="035D7C80" w14:textId="4A4E6CEB" w:rsidR="00381AC2" w:rsidRPr="00D865D4" w:rsidRDefault="00D865D4" w:rsidP="009A303F">
            <w:pPr>
              <w:pStyle w:val="Tabletext0"/>
            </w:pPr>
            <w:r w:rsidRPr="008A2B4D">
              <w:rPr>
                <w:color w:val="000000"/>
                <w:spacing w:val="94"/>
                <w:fitText w:val="180" w:id="-1157883124"/>
                <w14:textFill>
                  <w14:solidFill>
                    <w14:srgbClr w14:val="000000">
                      <w14:alpha w14:val="100000"/>
                    </w14:srgbClr>
                  </w14:solidFill>
                </w14:textFill>
              </w:rPr>
              <w:t>|</w:t>
            </w:r>
            <w:r w:rsidRPr="008A2B4D">
              <w:rPr>
                <w:color w:val="000000"/>
                <w:fitText w:val="180" w:id="-1157883124"/>
                <w14:textFill>
                  <w14:solidFill>
                    <w14:srgbClr w14:val="000000">
                      <w14:alpha w14:val="100000"/>
                    </w14:srgbClr>
                  </w14:solidFill>
                </w14:textFill>
              </w:rPr>
              <w:t>|</w:t>
            </w:r>
          </w:p>
        </w:tc>
        <w:tc>
          <w:tcPr>
            <w:tcW w:w="677" w:type="pct"/>
            <w:shd w:val="solid" w:color="000000" w:fill="000000"/>
            <w:noWrap/>
            <w:vAlign w:val="top"/>
          </w:tcPr>
          <w:p w14:paraId="347DEDD4" w14:textId="3DB549D7" w:rsidR="00381AC2" w:rsidRPr="00D865D4" w:rsidRDefault="00D865D4" w:rsidP="009A303F">
            <w:pPr>
              <w:pStyle w:val="Tabletext0"/>
            </w:pPr>
            <w:r w:rsidRPr="008A2B4D">
              <w:rPr>
                <w:color w:val="000000"/>
                <w:spacing w:val="94"/>
                <w:fitText w:val="180" w:id="-1157883123"/>
                <w14:textFill>
                  <w14:solidFill>
                    <w14:srgbClr w14:val="000000">
                      <w14:alpha w14:val="100000"/>
                    </w14:srgbClr>
                  </w14:solidFill>
                </w14:textFill>
              </w:rPr>
              <w:t>|</w:t>
            </w:r>
            <w:r w:rsidRPr="008A2B4D">
              <w:rPr>
                <w:color w:val="000000"/>
                <w:fitText w:val="180" w:id="-1157883123"/>
                <w14:textFill>
                  <w14:solidFill>
                    <w14:srgbClr w14:val="000000">
                      <w14:alpha w14:val="100000"/>
                    </w14:srgbClr>
                  </w14:solidFill>
                </w14:textFill>
              </w:rPr>
              <w:t>|</w:t>
            </w:r>
          </w:p>
        </w:tc>
        <w:tc>
          <w:tcPr>
            <w:tcW w:w="677" w:type="pct"/>
            <w:shd w:val="solid" w:color="000000" w:fill="000000"/>
            <w:noWrap/>
            <w:vAlign w:val="top"/>
          </w:tcPr>
          <w:p w14:paraId="5E19A1C0" w14:textId="6EDE881B" w:rsidR="00381AC2" w:rsidRPr="00D865D4" w:rsidRDefault="00D865D4" w:rsidP="009A303F">
            <w:pPr>
              <w:pStyle w:val="Tabletext0"/>
            </w:pPr>
            <w:r w:rsidRPr="008A2B4D">
              <w:rPr>
                <w:color w:val="000000"/>
                <w:spacing w:val="94"/>
                <w:fitText w:val="180" w:id="-1157883122"/>
                <w14:textFill>
                  <w14:solidFill>
                    <w14:srgbClr w14:val="000000">
                      <w14:alpha w14:val="100000"/>
                    </w14:srgbClr>
                  </w14:solidFill>
                </w14:textFill>
              </w:rPr>
              <w:t>|</w:t>
            </w:r>
            <w:r w:rsidRPr="008A2B4D">
              <w:rPr>
                <w:color w:val="000000"/>
                <w:fitText w:val="180" w:id="-1157883122"/>
                <w14:textFill>
                  <w14:solidFill>
                    <w14:srgbClr w14:val="000000">
                      <w14:alpha w14:val="100000"/>
                    </w14:srgbClr>
                  </w14:solidFill>
                </w14:textFill>
              </w:rPr>
              <w:t>|</w:t>
            </w:r>
          </w:p>
        </w:tc>
        <w:tc>
          <w:tcPr>
            <w:tcW w:w="470" w:type="pct"/>
            <w:shd w:val="solid" w:color="000000" w:fill="000000"/>
            <w:vAlign w:val="top"/>
          </w:tcPr>
          <w:p w14:paraId="185F2462" w14:textId="4621D488" w:rsidR="00381AC2" w:rsidRPr="00D865D4" w:rsidRDefault="00D865D4" w:rsidP="009A303F">
            <w:pPr>
              <w:pStyle w:val="Tabletext0"/>
            </w:pPr>
            <w:r w:rsidRPr="008A2B4D">
              <w:rPr>
                <w:color w:val="000000"/>
                <w:spacing w:val="94"/>
                <w:fitText w:val="180" w:id="-1157883121"/>
                <w14:textFill>
                  <w14:solidFill>
                    <w14:srgbClr w14:val="000000">
                      <w14:alpha w14:val="100000"/>
                    </w14:srgbClr>
                  </w14:solidFill>
                </w14:textFill>
              </w:rPr>
              <w:t>|</w:t>
            </w:r>
            <w:r w:rsidRPr="008A2B4D">
              <w:rPr>
                <w:color w:val="000000"/>
                <w:fitText w:val="180" w:id="-1157883121"/>
                <w14:textFill>
                  <w14:solidFill>
                    <w14:srgbClr w14:val="000000">
                      <w14:alpha w14:val="100000"/>
                    </w14:srgbClr>
                  </w14:solidFill>
                </w14:textFill>
              </w:rPr>
              <w:t>|</w:t>
            </w:r>
          </w:p>
        </w:tc>
      </w:tr>
      <w:tr w:rsidR="00381AC2" w:rsidRPr="005F5BEA" w14:paraId="19D457A4" w14:textId="77777777" w:rsidTr="009A303F">
        <w:trPr>
          <w:trHeight w:val="240"/>
        </w:trPr>
        <w:tc>
          <w:tcPr>
            <w:tcW w:w="5000" w:type="pct"/>
            <w:gridSpan w:val="6"/>
            <w:noWrap/>
            <w:hideMark/>
          </w:tcPr>
          <w:p w14:paraId="44E17F10" w14:textId="77777777" w:rsidR="00381AC2" w:rsidRPr="005F5BEA" w:rsidRDefault="00381AC2" w:rsidP="009A303F">
            <w:pPr>
              <w:pStyle w:val="Tabletext0"/>
              <w:rPr>
                <w:b/>
              </w:rPr>
            </w:pPr>
            <w:r w:rsidRPr="005F5BEA">
              <w:rPr>
                <w:b/>
              </w:rPr>
              <w:t>SA4: Remove admin costs</w:t>
            </w:r>
          </w:p>
        </w:tc>
      </w:tr>
      <w:tr w:rsidR="00381AC2" w:rsidRPr="005F5BEA" w14:paraId="2C6E75CD" w14:textId="77777777" w:rsidTr="00D865D4">
        <w:trPr>
          <w:trHeight w:val="240"/>
        </w:trPr>
        <w:tc>
          <w:tcPr>
            <w:tcW w:w="1824" w:type="pct"/>
            <w:noWrap/>
            <w:hideMark/>
          </w:tcPr>
          <w:p w14:paraId="0232E55B" w14:textId="77777777" w:rsidR="00381AC2" w:rsidRPr="005F5BEA" w:rsidRDefault="00381AC2" w:rsidP="009A303F">
            <w:pPr>
              <w:pStyle w:val="Tabletext0"/>
            </w:pPr>
            <w:r w:rsidRPr="005F5BEA">
              <w:t>Total Services</w:t>
            </w:r>
          </w:p>
        </w:tc>
        <w:tc>
          <w:tcPr>
            <w:tcW w:w="2706" w:type="pct"/>
            <w:gridSpan w:val="4"/>
            <w:noWrap/>
          </w:tcPr>
          <w:p w14:paraId="75957F11" w14:textId="77777777" w:rsidR="00381AC2" w:rsidRPr="005F5BEA" w:rsidRDefault="00381AC2" w:rsidP="009A303F">
            <w:pPr>
              <w:pStyle w:val="Tabletext0"/>
            </w:pPr>
            <w:r w:rsidRPr="005F5BEA">
              <w:t>As per base case</w:t>
            </w:r>
          </w:p>
        </w:tc>
        <w:tc>
          <w:tcPr>
            <w:tcW w:w="470" w:type="pct"/>
            <w:tcBorders>
              <w:bottom w:val="single" w:sz="4" w:space="0" w:color="auto"/>
            </w:tcBorders>
          </w:tcPr>
          <w:p w14:paraId="03389310" w14:textId="77777777" w:rsidR="00381AC2" w:rsidRPr="005F5BEA" w:rsidRDefault="00381AC2" w:rsidP="009A303F">
            <w:pPr>
              <w:pStyle w:val="Tabletext0"/>
            </w:pPr>
          </w:p>
        </w:tc>
      </w:tr>
      <w:tr w:rsidR="00381AC2" w:rsidRPr="005F5BEA" w14:paraId="3A340873" w14:textId="77777777" w:rsidTr="00D865D4">
        <w:trPr>
          <w:trHeight w:val="240"/>
        </w:trPr>
        <w:tc>
          <w:tcPr>
            <w:tcW w:w="1824" w:type="pct"/>
            <w:noWrap/>
            <w:hideMark/>
          </w:tcPr>
          <w:p w14:paraId="24A9FAAA" w14:textId="77777777" w:rsidR="00381AC2" w:rsidRPr="005F5BEA" w:rsidRDefault="00381AC2" w:rsidP="009A303F">
            <w:pPr>
              <w:pStyle w:val="Tabletext0"/>
            </w:pPr>
            <w:r w:rsidRPr="005F5BEA">
              <w:t>Total Costs</w:t>
            </w:r>
          </w:p>
        </w:tc>
        <w:tc>
          <w:tcPr>
            <w:tcW w:w="677" w:type="pct"/>
            <w:shd w:val="solid" w:color="000000" w:fill="000000"/>
            <w:noWrap/>
          </w:tcPr>
          <w:p w14:paraId="2802174A" w14:textId="1AE3362E" w:rsidR="00381AC2" w:rsidRPr="00D865D4" w:rsidRDefault="00D865D4" w:rsidP="009A303F">
            <w:pPr>
              <w:rPr>
                <w:rFonts w:ascii="Arial Narrow" w:eastAsia="Calibri" w:hAnsi="Arial Narrow"/>
              </w:rPr>
            </w:pPr>
            <w:r w:rsidRPr="008A2B4D">
              <w:rPr>
                <w:rFonts w:ascii="Arial Narrow" w:eastAsia="Calibri" w:hAnsi="Arial Narrow"/>
                <w:color w:val="000000"/>
                <w:spacing w:val="94"/>
                <w:fitText w:val="180" w:id="-1157883120"/>
                <w14:textFill>
                  <w14:solidFill>
                    <w14:srgbClr w14:val="000000">
                      <w14:alpha w14:val="100000"/>
                    </w14:srgbClr>
                  </w14:solidFill>
                </w14:textFill>
              </w:rPr>
              <w:t>|</w:t>
            </w:r>
            <w:r w:rsidRPr="008A2B4D">
              <w:rPr>
                <w:rFonts w:ascii="Arial Narrow" w:eastAsia="Calibri" w:hAnsi="Arial Narrow"/>
                <w:color w:val="000000"/>
                <w:fitText w:val="180" w:id="-1157883120"/>
                <w14:textFill>
                  <w14:solidFill>
                    <w14:srgbClr w14:val="000000">
                      <w14:alpha w14:val="100000"/>
                    </w14:srgbClr>
                  </w14:solidFill>
                </w14:textFill>
              </w:rPr>
              <w:t>|</w:t>
            </w:r>
          </w:p>
        </w:tc>
        <w:tc>
          <w:tcPr>
            <w:tcW w:w="677" w:type="pct"/>
            <w:shd w:val="solid" w:color="000000" w:fill="000000"/>
            <w:noWrap/>
          </w:tcPr>
          <w:p w14:paraId="734428F4" w14:textId="19A25536" w:rsidR="00381AC2" w:rsidRPr="00D865D4" w:rsidRDefault="00D865D4" w:rsidP="009A303F">
            <w:pPr>
              <w:rPr>
                <w:rFonts w:ascii="Arial Narrow" w:eastAsia="Calibri" w:hAnsi="Arial Narrow"/>
              </w:rPr>
            </w:pPr>
            <w:r w:rsidRPr="008A2B4D">
              <w:rPr>
                <w:rFonts w:ascii="Arial Narrow" w:eastAsia="Calibri" w:hAnsi="Arial Narrow"/>
                <w:color w:val="000000"/>
                <w:spacing w:val="94"/>
                <w:fitText w:val="180" w:id="-1157883136"/>
                <w14:textFill>
                  <w14:solidFill>
                    <w14:srgbClr w14:val="000000">
                      <w14:alpha w14:val="100000"/>
                    </w14:srgbClr>
                  </w14:solidFill>
                </w14:textFill>
              </w:rPr>
              <w:t>|</w:t>
            </w:r>
            <w:r w:rsidRPr="008A2B4D">
              <w:rPr>
                <w:rFonts w:ascii="Arial Narrow" w:eastAsia="Calibri" w:hAnsi="Arial Narrow"/>
                <w:color w:val="000000"/>
                <w:fitText w:val="180" w:id="-1157883136"/>
                <w14:textFill>
                  <w14:solidFill>
                    <w14:srgbClr w14:val="000000">
                      <w14:alpha w14:val="100000"/>
                    </w14:srgbClr>
                  </w14:solidFill>
                </w14:textFill>
              </w:rPr>
              <w:t>|</w:t>
            </w:r>
          </w:p>
        </w:tc>
        <w:tc>
          <w:tcPr>
            <w:tcW w:w="677" w:type="pct"/>
            <w:shd w:val="solid" w:color="000000" w:fill="000000"/>
            <w:noWrap/>
          </w:tcPr>
          <w:p w14:paraId="18E405E4" w14:textId="03ABAB93" w:rsidR="00381AC2" w:rsidRPr="00D865D4" w:rsidRDefault="00D865D4" w:rsidP="009A303F">
            <w:pPr>
              <w:rPr>
                <w:rFonts w:ascii="Arial Narrow" w:eastAsia="Calibri" w:hAnsi="Arial Narrow"/>
              </w:rPr>
            </w:pPr>
            <w:r w:rsidRPr="008A2B4D">
              <w:rPr>
                <w:rFonts w:ascii="Arial Narrow" w:eastAsia="Calibri" w:hAnsi="Arial Narrow"/>
                <w:color w:val="000000"/>
                <w:spacing w:val="94"/>
                <w:fitText w:val="180" w:id="-1157883135"/>
                <w14:textFill>
                  <w14:solidFill>
                    <w14:srgbClr w14:val="000000">
                      <w14:alpha w14:val="100000"/>
                    </w14:srgbClr>
                  </w14:solidFill>
                </w14:textFill>
              </w:rPr>
              <w:t>|</w:t>
            </w:r>
            <w:r w:rsidRPr="008A2B4D">
              <w:rPr>
                <w:rFonts w:ascii="Arial Narrow" w:eastAsia="Calibri" w:hAnsi="Arial Narrow"/>
                <w:color w:val="000000"/>
                <w:fitText w:val="180" w:id="-1157883135"/>
                <w14:textFill>
                  <w14:solidFill>
                    <w14:srgbClr w14:val="000000">
                      <w14:alpha w14:val="100000"/>
                    </w14:srgbClr>
                  </w14:solidFill>
                </w14:textFill>
              </w:rPr>
              <w:t>|</w:t>
            </w:r>
          </w:p>
        </w:tc>
        <w:tc>
          <w:tcPr>
            <w:tcW w:w="677" w:type="pct"/>
            <w:shd w:val="solid" w:color="000000" w:fill="000000"/>
            <w:noWrap/>
          </w:tcPr>
          <w:p w14:paraId="7EC2A902" w14:textId="6BE1C74B" w:rsidR="00381AC2" w:rsidRPr="00D865D4" w:rsidRDefault="00D865D4" w:rsidP="009A303F">
            <w:pPr>
              <w:rPr>
                <w:rFonts w:ascii="Arial Narrow" w:eastAsia="Calibri" w:hAnsi="Arial Narrow"/>
              </w:rPr>
            </w:pPr>
            <w:r w:rsidRPr="008A2B4D">
              <w:rPr>
                <w:rFonts w:ascii="Arial Narrow" w:eastAsia="Calibri" w:hAnsi="Arial Narrow"/>
                <w:color w:val="000000"/>
                <w:spacing w:val="94"/>
                <w:fitText w:val="180" w:id="-1157883134"/>
                <w14:textFill>
                  <w14:solidFill>
                    <w14:srgbClr w14:val="000000">
                      <w14:alpha w14:val="100000"/>
                    </w14:srgbClr>
                  </w14:solidFill>
                </w14:textFill>
              </w:rPr>
              <w:t>|</w:t>
            </w:r>
            <w:r w:rsidRPr="008A2B4D">
              <w:rPr>
                <w:rFonts w:ascii="Arial Narrow" w:eastAsia="Calibri" w:hAnsi="Arial Narrow"/>
                <w:color w:val="000000"/>
                <w:fitText w:val="180" w:id="-1157883134"/>
                <w14:textFill>
                  <w14:solidFill>
                    <w14:srgbClr w14:val="000000">
                      <w14:alpha w14:val="100000"/>
                    </w14:srgbClr>
                  </w14:solidFill>
                </w14:textFill>
              </w:rPr>
              <w:t>|</w:t>
            </w:r>
          </w:p>
        </w:tc>
        <w:tc>
          <w:tcPr>
            <w:tcW w:w="470" w:type="pct"/>
            <w:shd w:val="solid" w:color="000000" w:fill="000000"/>
          </w:tcPr>
          <w:p w14:paraId="0CDA9FE0" w14:textId="4FA77E7B" w:rsidR="00381AC2" w:rsidRPr="00D865D4" w:rsidRDefault="00D865D4" w:rsidP="009A303F">
            <w:pPr>
              <w:pStyle w:val="Tabletext0"/>
            </w:pPr>
            <w:r w:rsidRPr="008A2B4D">
              <w:rPr>
                <w:color w:val="000000"/>
                <w:spacing w:val="94"/>
                <w:fitText w:val="180" w:id="-1157883133"/>
                <w14:textFill>
                  <w14:solidFill>
                    <w14:srgbClr w14:val="000000">
                      <w14:alpha w14:val="100000"/>
                    </w14:srgbClr>
                  </w14:solidFill>
                </w14:textFill>
              </w:rPr>
              <w:t>|</w:t>
            </w:r>
            <w:r w:rsidRPr="008A2B4D">
              <w:rPr>
                <w:color w:val="000000"/>
                <w:fitText w:val="180" w:id="-1157883133"/>
                <w14:textFill>
                  <w14:solidFill>
                    <w14:srgbClr w14:val="000000">
                      <w14:alpha w14:val="100000"/>
                    </w14:srgbClr>
                  </w14:solidFill>
                </w14:textFill>
              </w:rPr>
              <w:t>|</w:t>
            </w:r>
          </w:p>
        </w:tc>
      </w:tr>
      <w:tr w:rsidR="00381AC2" w:rsidRPr="005F5BEA" w14:paraId="0253F82B" w14:textId="77777777" w:rsidTr="009A303F">
        <w:trPr>
          <w:trHeight w:val="240"/>
        </w:trPr>
        <w:tc>
          <w:tcPr>
            <w:tcW w:w="5000" w:type="pct"/>
            <w:gridSpan w:val="6"/>
            <w:noWrap/>
            <w:hideMark/>
          </w:tcPr>
          <w:p w14:paraId="793506D4" w14:textId="77777777" w:rsidR="00381AC2" w:rsidRPr="005F5BEA" w:rsidRDefault="00381AC2" w:rsidP="009A303F">
            <w:pPr>
              <w:pStyle w:val="Tabletext0"/>
            </w:pPr>
            <w:r w:rsidRPr="005F5BEA">
              <w:rPr>
                <w:b/>
              </w:rPr>
              <w:t xml:space="preserve">SA5: Costs of in-person services </w:t>
            </w:r>
            <w:proofErr w:type="spellStart"/>
            <w:r w:rsidRPr="005F5BEA">
              <w:rPr>
                <w:b/>
              </w:rPr>
              <w:t>only</w:t>
            </w:r>
            <w:r w:rsidRPr="005F5BEA">
              <w:rPr>
                <w:b/>
                <w:vertAlign w:val="superscript"/>
              </w:rPr>
              <w:t>a</w:t>
            </w:r>
            <w:proofErr w:type="spellEnd"/>
            <w:r w:rsidRPr="005F5BEA">
              <w:rPr>
                <w:rFonts w:eastAsia="Times New Roman" w:cs="Calibri"/>
                <w:sz w:val="18"/>
                <w:szCs w:val="18"/>
              </w:rPr>
              <w:t xml:space="preserve"> </w:t>
            </w:r>
          </w:p>
        </w:tc>
      </w:tr>
      <w:tr w:rsidR="00381AC2" w:rsidRPr="005F5BEA" w14:paraId="4EE3045C" w14:textId="77777777" w:rsidTr="00D865D4">
        <w:trPr>
          <w:trHeight w:val="240"/>
        </w:trPr>
        <w:tc>
          <w:tcPr>
            <w:tcW w:w="1824" w:type="pct"/>
            <w:noWrap/>
            <w:hideMark/>
          </w:tcPr>
          <w:p w14:paraId="6A64348E" w14:textId="77777777" w:rsidR="00381AC2" w:rsidRPr="005F5BEA" w:rsidRDefault="00381AC2" w:rsidP="009A303F">
            <w:pPr>
              <w:pStyle w:val="Tabletext0"/>
            </w:pPr>
            <w:r w:rsidRPr="005F5BEA">
              <w:t>Total Services</w:t>
            </w:r>
          </w:p>
        </w:tc>
        <w:tc>
          <w:tcPr>
            <w:tcW w:w="677" w:type="pct"/>
            <w:tcBorders>
              <w:bottom w:val="single" w:sz="4" w:space="0" w:color="auto"/>
            </w:tcBorders>
            <w:noWrap/>
            <w:hideMark/>
          </w:tcPr>
          <w:p w14:paraId="21410880" w14:textId="77777777" w:rsidR="00381AC2" w:rsidRPr="005F5BEA" w:rsidRDefault="00381AC2" w:rsidP="009A303F">
            <w:pPr>
              <w:pStyle w:val="Tabletext0"/>
            </w:pPr>
            <w:r w:rsidRPr="005F5BEA">
              <w:t>177,388</w:t>
            </w:r>
          </w:p>
        </w:tc>
        <w:tc>
          <w:tcPr>
            <w:tcW w:w="677" w:type="pct"/>
            <w:tcBorders>
              <w:bottom w:val="single" w:sz="4" w:space="0" w:color="auto"/>
            </w:tcBorders>
            <w:noWrap/>
            <w:hideMark/>
          </w:tcPr>
          <w:p w14:paraId="56EFE9F8" w14:textId="77777777" w:rsidR="00381AC2" w:rsidRPr="005F5BEA" w:rsidRDefault="00381AC2" w:rsidP="009A303F">
            <w:pPr>
              <w:pStyle w:val="Tabletext0"/>
            </w:pPr>
            <w:r w:rsidRPr="005F5BEA">
              <w:t>189,805</w:t>
            </w:r>
          </w:p>
        </w:tc>
        <w:tc>
          <w:tcPr>
            <w:tcW w:w="677" w:type="pct"/>
            <w:tcBorders>
              <w:bottom w:val="single" w:sz="4" w:space="0" w:color="auto"/>
            </w:tcBorders>
            <w:noWrap/>
            <w:hideMark/>
          </w:tcPr>
          <w:p w14:paraId="4CEFB645" w14:textId="77777777" w:rsidR="00381AC2" w:rsidRPr="005F5BEA" w:rsidRDefault="00381AC2" w:rsidP="009A303F">
            <w:pPr>
              <w:pStyle w:val="Tabletext0"/>
            </w:pPr>
            <w:r w:rsidRPr="005F5BEA">
              <w:t>203,091</w:t>
            </w:r>
          </w:p>
        </w:tc>
        <w:tc>
          <w:tcPr>
            <w:tcW w:w="677" w:type="pct"/>
            <w:tcBorders>
              <w:bottom w:val="single" w:sz="4" w:space="0" w:color="auto"/>
            </w:tcBorders>
            <w:noWrap/>
            <w:hideMark/>
          </w:tcPr>
          <w:p w14:paraId="2330537A" w14:textId="77777777" w:rsidR="00381AC2" w:rsidRPr="005F5BEA" w:rsidRDefault="00381AC2" w:rsidP="009A303F">
            <w:pPr>
              <w:pStyle w:val="Tabletext0"/>
            </w:pPr>
            <w:r w:rsidRPr="005F5BEA">
              <w:t>217,307</w:t>
            </w:r>
          </w:p>
        </w:tc>
        <w:tc>
          <w:tcPr>
            <w:tcW w:w="470" w:type="pct"/>
            <w:tcBorders>
              <w:bottom w:val="single" w:sz="4" w:space="0" w:color="auto"/>
            </w:tcBorders>
          </w:tcPr>
          <w:p w14:paraId="0FFF4411" w14:textId="77777777" w:rsidR="00381AC2" w:rsidRPr="005F5BEA" w:rsidRDefault="00381AC2" w:rsidP="009A303F">
            <w:pPr>
              <w:pStyle w:val="Tabletext0"/>
            </w:pPr>
          </w:p>
        </w:tc>
      </w:tr>
      <w:tr w:rsidR="00381AC2" w:rsidRPr="005F5BEA" w14:paraId="5432A529" w14:textId="77777777" w:rsidTr="00D865D4">
        <w:trPr>
          <w:trHeight w:val="289"/>
        </w:trPr>
        <w:tc>
          <w:tcPr>
            <w:tcW w:w="1824" w:type="pct"/>
            <w:noWrap/>
            <w:hideMark/>
          </w:tcPr>
          <w:p w14:paraId="762B227F" w14:textId="77777777" w:rsidR="00381AC2" w:rsidRPr="005F5BEA" w:rsidRDefault="00381AC2" w:rsidP="009A303F">
            <w:pPr>
              <w:pStyle w:val="Tabletext0"/>
            </w:pPr>
            <w:r w:rsidRPr="005F5BEA">
              <w:t>Total Costs</w:t>
            </w:r>
          </w:p>
        </w:tc>
        <w:tc>
          <w:tcPr>
            <w:tcW w:w="677" w:type="pct"/>
            <w:shd w:val="solid" w:color="000000" w:fill="000000"/>
            <w:noWrap/>
            <w:vAlign w:val="top"/>
            <w:hideMark/>
          </w:tcPr>
          <w:p w14:paraId="6FD7639C" w14:textId="67AC26CC" w:rsidR="00381AC2" w:rsidRPr="00D865D4" w:rsidRDefault="00D865D4" w:rsidP="009A303F">
            <w:pPr>
              <w:pStyle w:val="Tabletext0"/>
            </w:pPr>
            <w:r w:rsidRPr="008A2B4D">
              <w:rPr>
                <w:color w:val="000000"/>
                <w:spacing w:val="94"/>
                <w:fitText w:val="180" w:id="-1157883132"/>
                <w14:textFill>
                  <w14:solidFill>
                    <w14:srgbClr w14:val="000000">
                      <w14:alpha w14:val="100000"/>
                    </w14:srgbClr>
                  </w14:solidFill>
                </w14:textFill>
              </w:rPr>
              <w:t>|</w:t>
            </w:r>
            <w:r w:rsidRPr="008A2B4D">
              <w:rPr>
                <w:color w:val="000000"/>
                <w:fitText w:val="180" w:id="-1157883132"/>
                <w14:textFill>
                  <w14:solidFill>
                    <w14:srgbClr w14:val="000000">
                      <w14:alpha w14:val="100000"/>
                    </w14:srgbClr>
                  </w14:solidFill>
                </w14:textFill>
              </w:rPr>
              <w:t>|</w:t>
            </w:r>
          </w:p>
        </w:tc>
        <w:tc>
          <w:tcPr>
            <w:tcW w:w="677" w:type="pct"/>
            <w:shd w:val="solid" w:color="000000" w:fill="000000"/>
            <w:noWrap/>
            <w:vAlign w:val="top"/>
            <w:hideMark/>
          </w:tcPr>
          <w:p w14:paraId="35155314" w14:textId="52595273" w:rsidR="00381AC2" w:rsidRPr="00D865D4" w:rsidRDefault="00D865D4" w:rsidP="009A303F">
            <w:pPr>
              <w:pStyle w:val="Tabletext0"/>
            </w:pPr>
            <w:r w:rsidRPr="008A2B4D">
              <w:rPr>
                <w:color w:val="000000"/>
                <w:spacing w:val="94"/>
                <w:fitText w:val="180" w:id="-1157883131"/>
                <w14:textFill>
                  <w14:solidFill>
                    <w14:srgbClr w14:val="000000">
                      <w14:alpha w14:val="100000"/>
                    </w14:srgbClr>
                  </w14:solidFill>
                </w14:textFill>
              </w:rPr>
              <w:t>|</w:t>
            </w:r>
            <w:r w:rsidRPr="008A2B4D">
              <w:rPr>
                <w:color w:val="000000"/>
                <w:fitText w:val="180" w:id="-1157883131"/>
                <w14:textFill>
                  <w14:solidFill>
                    <w14:srgbClr w14:val="000000">
                      <w14:alpha w14:val="100000"/>
                    </w14:srgbClr>
                  </w14:solidFill>
                </w14:textFill>
              </w:rPr>
              <w:t>|</w:t>
            </w:r>
          </w:p>
        </w:tc>
        <w:tc>
          <w:tcPr>
            <w:tcW w:w="677" w:type="pct"/>
            <w:shd w:val="solid" w:color="000000" w:fill="000000"/>
            <w:noWrap/>
            <w:vAlign w:val="top"/>
            <w:hideMark/>
          </w:tcPr>
          <w:p w14:paraId="0E210667" w14:textId="47BCE6A9" w:rsidR="00381AC2" w:rsidRPr="00D865D4" w:rsidRDefault="00D865D4" w:rsidP="009A303F">
            <w:pPr>
              <w:pStyle w:val="Tabletext0"/>
            </w:pPr>
            <w:r w:rsidRPr="008A2B4D">
              <w:rPr>
                <w:color w:val="000000"/>
                <w:spacing w:val="94"/>
                <w:fitText w:val="180" w:id="-1157883130"/>
                <w14:textFill>
                  <w14:solidFill>
                    <w14:srgbClr w14:val="000000">
                      <w14:alpha w14:val="100000"/>
                    </w14:srgbClr>
                  </w14:solidFill>
                </w14:textFill>
              </w:rPr>
              <w:t>|</w:t>
            </w:r>
            <w:r w:rsidRPr="008A2B4D">
              <w:rPr>
                <w:color w:val="000000"/>
                <w:fitText w:val="180" w:id="-1157883130"/>
                <w14:textFill>
                  <w14:solidFill>
                    <w14:srgbClr w14:val="000000">
                      <w14:alpha w14:val="100000"/>
                    </w14:srgbClr>
                  </w14:solidFill>
                </w14:textFill>
              </w:rPr>
              <w:t>|</w:t>
            </w:r>
          </w:p>
        </w:tc>
        <w:tc>
          <w:tcPr>
            <w:tcW w:w="677" w:type="pct"/>
            <w:shd w:val="solid" w:color="000000" w:fill="000000"/>
            <w:noWrap/>
            <w:vAlign w:val="top"/>
            <w:hideMark/>
          </w:tcPr>
          <w:p w14:paraId="23FF529E" w14:textId="34E9B5EA" w:rsidR="00381AC2" w:rsidRPr="00D865D4" w:rsidRDefault="00D865D4" w:rsidP="009A303F">
            <w:pPr>
              <w:pStyle w:val="Tabletext0"/>
            </w:pPr>
            <w:r w:rsidRPr="008A2B4D">
              <w:rPr>
                <w:color w:val="000000"/>
                <w:spacing w:val="94"/>
                <w:fitText w:val="180" w:id="-1157883129"/>
                <w14:textFill>
                  <w14:solidFill>
                    <w14:srgbClr w14:val="000000">
                      <w14:alpha w14:val="100000"/>
                    </w14:srgbClr>
                  </w14:solidFill>
                </w14:textFill>
              </w:rPr>
              <w:t>|</w:t>
            </w:r>
            <w:r w:rsidRPr="008A2B4D">
              <w:rPr>
                <w:color w:val="000000"/>
                <w:fitText w:val="180" w:id="-1157883129"/>
                <w14:textFill>
                  <w14:solidFill>
                    <w14:srgbClr w14:val="000000">
                      <w14:alpha w14:val="100000"/>
                    </w14:srgbClr>
                  </w14:solidFill>
                </w14:textFill>
              </w:rPr>
              <w:t>|</w:t>
            </w:r>
          </w:p>
        </w:tc>
        <w:tc>
          <w:tcPr>
            <w:tcW w:w="470" w:type="pct"/>
            <w:shd w:val="solid" w:color="000000" w:fill="000000"/>
            <w:vAlign w:val="top"/>
          </w:tcPr>
          <w:p w14:paraId="15114FE4" w14:textId="04F4A7A8" w:rsidR="00381AC2" w:rsidRPr="00D865D4" w:rsidRDefault="00D865D4" w:rsidP="009A303F">
            <w:pPr>
              <w:pStyle w:val="Tabletext0"/>
            </w:pPr>
            <w:r w:rsidRPr="008A2B4D">
              <w:rPr>
                <w:color w:val="000000"/>
                <w:spacing w:val="94"/>
                <w:fitText w:val="180" w:id="-1157883128"/>
                <w14:textFill>
                  <w14:solidFill>
                    <w14:srgbClr w14:val="000000">
                      <w14:alpha w14:val="100000"/>
                    </w14:srgbClr>
                  </w14:solidFill>
                </w14:textFill>
              </w:rPr>
              <w:t>|</w:t>
            </w:r>
            <w:r w:rsidRPr="008A2B4D">
              <w:rPr>
                <w:color w:val="000000"/>
                <w:fitText w:val="180" w:id="-1157883128"/>
                <w14:textFill>
                  <w14:solidFill>
                    <w14:srgbClr w14:val="000000">
                      <w14:alpha w14:val="100000"/>
                    </w14:srgbClr>
                  </w14:solidFill>
                </w14:textFill>
              </w:rPr>
              <w:t>|</w:t>
            </w:r>
          </w:p>
        </w:tc>
      </w:tr>
      <w:tr w:rsidR="00381AC2" w:rsidRPr="005F5BEA" w14:paraId="5CE4D624" w14:textId="77777777" w:rsidTr="009A303F">
        <w:trPr>
          <w:trHeight w:val="240"/>
        </w:trPr>
        <w:tc>
          <w:tcPr>
            <w:tcW w:w="5000" w:type="pct"/>
            <w:gridSpan w:val="6"/>
            <w:noWrap/>
          </w:tcPr>
          <w:p w14:paraId="35F6ECBD" w14:textId="77777777" w:rsidR="00381AC2" w:rsidRPr="005F5BEA" w:rsidRDefault="00381AC2" w:rsidP="009A303F">
            <w:pPr>
              <w:pStyle w:val="Tabletext0"/>
              <w:rPr>
                <w:b/>
              </w:rPr>
            </w:pPr>
            <w:r w:rsidRPr="005F5BEA">
              <w:rPr>
                <w:b/>
              </w:rPr>
              <w:t>SA6: Remove Onboarding costs</w:t>
            </w:r>
          </w:p>
        </w:tc>
      </w:tr>
      <w:tr w:rsidR="00381AC2" w:rsidRPr="005F5BEA" w14:paraId="08D381CC" w14:textId="77777777" w:rsidTr="00D865D4">
        <w:trPr>
          <w:trHeight w:val="240"/>
        </w:trPr>
        <w:tc>
          <w:tcPr>
            <w:tcW w:w="1824" w:type="pct"/>
            <w:noWrap/>
          </w:tcPr>
          <w:p w14:paraId="51F807DB" w14:textId="77777777" w:rsidR="00381AC2" w:rsidRPr="005F5BEA" w:rsidDel="00B115DE" w:rsidRDefault="00381AC2" w:rsidP="009A303F">
            <w:pPr>
              <w:pStyle w:val="Tabletext0"/>
            </w:pPr>
            <w:r w:rsidRPr="005F5BEA">
              <w:t>Total Services</w:t>
            </w:r>
          </w:p>
        </w:tc>
        <w:tc>
          <w:tcPr>
            <w:tcW w:w="2706" w:type="pct"/>
            <w:gridSpan w:val="4"/>
            <w:noWrap/>
          </w:tcPr>
          <w:p w14:paraId="3352422A" w14:textId="77777777" w:rsidR="00381AC2" w:rsidRPr="005F5BEA" w:rsidDel="00B115DE" w:rsidRDefault="00381AC2" w:rsidP="009A303F">
            <w:pPr>
              <w:pStyle w:val="Tabletext0"/>
            </w:pPr>
            <w:r w:rsidRPr="005F5BEA">
              <w:t>As per base case</w:t>
            </w:r>
          </w:p>
        </w:tc>
        <w:tc>
          <w:tcPr>
            <w:tcW w:w="470" w:type="pct"/>
            <w:tcBorders>
              <w:bottom w:val="single" w:sz="4" w:space="0" w:color="auto"/>
            </w:tcBorders>
          </w:tcPr>
          <w:p w14:paraId="75C1046B" w14:textId="77777777" w:rsidR="00381AC2" w:rsidRPr="005F5BEA" w:rsidRDefault="00381AC2" w:rsidP="009A303F">
            <w:pPr>
              <w:pStyle w:val="Tabletext0"/>
            </w:pPr>
          </w:p>
        </w:tc>
      </w:tr>
      <w:tr w:rsidR="00381AC2" w:rsidRPr="005F5BEA" w14:paraId="5A675B6D" w14:textId="77777777" w:rsidTr="00D865D4">
        <w:trPr>
          <w:trHeight w:val="240"/>
        </w:trPr>
        <w:tc>
          <w:tcPr>
            <w:tcW w:w="1824" w:type="pct"/>
            <w:noWrap/>
            <w:hideMark/>
          </w:tcPr>
          <w:p w14:paraId="35272B94" w14:textId="77777777" w:rsidR="00381AC2" w:rsidRPr="005F5BEA" w:rsidRDefault="00381AC2" w:rsidP="009A303F">
            <w:pPr>
              <w:pStyle w:val="Tabletext0"/>
            </w:pPr>
            <w:r w:rsidRPr="005F5BEA">
              <w:t>Total Costs</w:t>
            </w:r>
          </w:p>
        </w:tc>
        <w:tc>
          <w:tcPr>
            <w:tcW w:w="677" w:type="pct"/>
            <w:shd w:val="solid" w:color="000000" w:fill="000000"/>
            <w:noWrap/>
            <w:hideMark/>
          </w:tcPr>
          <w:p w14:paraId="3ABF96A5" w14:textId="38D07CBF" w:rsidR="00381AC2" w:rsidRPr="00D865D4" w:rsidRDefault="00D865D4" w:rsidP="009A303F">
            <w:pPr>
              <w:pStyle w:val="Tabletext0"/>
            </w:pPr>
            <w:r w:rsidRPr="008A2B4D">
              <w:rPr>
                <w:color w:val="000000"/>
                <w:spacing w:val="94"/>
                <w:fitText w:val="180" w:id="-1157883127"/>
                <w14:textFill>
                  <w14:solidFill>
                    <w14:srgbClr w14:val="000000">
                      <w14:alpha w14:val="100000"/>
                    </w14:srgbClr>
                  </w14:solidFill>
                </w14:textFill>
              </w:rPr>
              <w:t>|</w:t>
            </w:r>
            <w:r w:rsidRPr="008A2B4D">
              <w:rPr>
                <w:color w:val="000000"/>
                <w:fitText w:val="180" w:id="-1157883127"/>
                <w14:textFill>
                  <w14:solidFill>
                    <w14:srgbClr w14:val="000000">
                      <w14:alpha w14:val="100000"/>
                    </w14:srgbClr>
                  </w14:solidFill>
                </w14:textFill>
              </w:rPr>
              <w:t>|</w:t>
            </w:r>
          </w:p>
        </w:tc>
        <w:tc>
          <w:tcPr>
            <w:tcW w:w="677" w:type="pct"/>
            <w:shd w:val="solid" w:color="000000" w:fill="000000"/>
            <w:noWrap/>
            <w:hideMark/>
          </w:tcPr>
          <w:p w14:paraId="63031586" w14:textId="314E8560" w:rsidR="00381AC2" w:rsidRPr="00D865D4" w:rsidRDefault="00D865D4" w:rsidP="009A303F">
            <w:pPr>
              <w:pStyle w:val="Tabletext0"/>
            </w:pPr>
            <w:r w:rsidRPr="008A2B4D">
              <w:rPr>
                <w:color w:val="000000"/>
                <w:spacing w:val="94"/>
                <w:fitText w:val="180" w:id="-1157883126"/>
                <w14:textFill>
                  <w14:solidFill>
                    <w14:srgbClr w14:val="000000">
                      <w14:alpha w14:val="100000"/>
                    </w14:srgbClr>
                  </w14:solidFill>
                </w14:textFill>
              </w:rPr>
              <w:t>|</w:t>
            </w:r>
            <w:r w:rsidRPr="008A2B4D">
              <w:rPr>
                <w:color w:val="000000"/>
                <w:fitText w:val="180" w:id="-1157883126"/>
                <w14:textFill>
                  <w14:solidFill>
                    <w14:srgbClr w14:val="000000">
                      <w14:alpha w14:val="100000"/>
                    </w14:srgbClr>
                  </w14:solidFill>
                </w14:textFill>
              </w:rPr>
              <w:t>|</w:t>
            </w:r>
          </w:p>
        </w:tc>
        <w:tc>
          <w:tcPr>
            <w:tcW w:w="677" w:type="pct"/>
            <w:shd w:val="solid" w:color="000000" w:fill="000000"/>
            <w:noWrap/>
            <w:hideMark/>
          </w:tcPr>
          <w:p w14:paraId="085DB0DE" w14:textId="2C5F937C" w:rsidR="00381AC2" w:rsidRPr="00D865D4" w:rsidRDefault="00D865D4" w:rsidP="009A303F">
            <w:pPr>
              <w:pStyle w:val="Tabletext0"/>
            </w:pPr>
            <w:r w:rsidRPr="008A2B4D">
              <w:rPr>
                <w:color w:val="000000"/>
                <w:spacing w:val="94"/>
                <w:fitText w:val="180" w:id="-1157883125"/>
                <w14:textFill>
                  <w14:solidFill>
                    <w14:srgbClr w14:val="000000">
                      <w14:alpha w14:val="100000"/>
                    </w14:srgbClr>
                  </w14:solidFill>
                </w14:textFill>
              </w:rPr>
              <w:t>|</w:t>
            </w:r>
            <w:r w:rsidRPr="008A2B4D">
              <w:rPr>
                <w:color w:val="000000"/>
                <w:fitText w:val="180" w:id="-1157883125"/>
                <w14:textFill>
                  <w14:solidFill>
                    <w14:srgbClr w14:val="000000">
                      <w14:alpha w14:val="100000"/>
                    </w14:srgbClr>
                  </w14:solidFill>
                </w14:textFill>
              </w:rPr>
              <w:t>|</w:t>
            </w:r>
          </w:p>
        </w:tc>
        <w:tc>
          <w:tcPr>
            <w:tcW w:w="677" w:type="pct"/>
            <w:shd w:val="solid" w:color="000000" w:fill="000000"/>
            <w:noWrap/>
            <w:hideMark/>
          </w:tcPr>
          <w:p w14:paraId="0D56D971" w14:textId="69A9CD31" w:rsidR="00381AC2" w:rsidRPr="00D865D4" w:rsidRDefault="00D865D4" w:rsidP="009A303F">
            <w:pPr>
              <w:pStyle w:val="Tabletext0"/>
            </w:pPr>
            <w:r w:rsidRPr="008A2B4D">
              <w:rPr>
                <w:color w:val="000000"/>
                <w:spacing w:val="94"/>
                <w:fitText w:val="180" w:id="-1157883124"/>
                <w14:textFill>
                  <w14:solidFill>
                    <w14:srgbClr w14:val="000000">
                      <w14:alpha w14:val="100000"/>
                    </w14:srgbClr>
                  </w14:solidFill>
                </w14:textFill>
              </w:rPr>
              <w:t>|</w:t>
            </w:r>
            <w:r w:rsidRPr="008A2B4D">
              <w:rPr>
                <w:color w:val="000000"/>
                <w:fitText w:val="180" w:id="-1157883124"/>
                <w14:textFill>
                  <w14:solidFill>
                    <w14:srgbClr w14:val="000000">
                      <w14:alpha w14:val="100000"/>
                    </w14:srgbClr>
                  </w14:solidFill>
                </w14:textFill>
              </w:rPr>
              <w:t>|</w:t>
            </w:r>
          </w:p>
        </w:tc>
        <w:tc>
          <w:tcPr>
            <w:tcW w:w="470" w:type="pct"/>
            <w:shd w:val="solid" w:color="000000" w:fill="000000"/>
          </w:tcPr>
          <w:p w14:paraId="57E07EA5" w14:textId="3231C624" w:rsidR="00381AC2" w:rsidRPr="00D865D4" w:rsidRDefault="00D865D4" w:rsidP="009A303F">
            <w:pPr>
              <w:pStyle w:val="Tabletext0"/>
            </w:pPr>
            <w:r w:rsidRPr="008A2B4D">
              <w:rPr>
                <w:color w:val="000000"/>
                <w:spacing w:val="94"/>
                <w:fitText w:val="180" w:id="-1157883123"/>
                <w14:textFill>
                  <w14:solidFill>
                    <w14:srgbClr w14:val="000000">
                      <w14:alpha w14:val="100000"/>
                    </w14:srgbClr>
                  </w14:solidFill>
                </w14:textFill>
              </w:rPr>
              <w:t>|</w:t>
            </w:r>
            <w:r w:rsidRPr="008A2B4D">
              <w:rPr>
                <w:color w:val="000000"/>
                <w:fitText w:val="180" w:id="-1157883123"/>
                <w14:textFill>
                  <w14:solidFill>
                    <w14:srgbClr w14:val="000000">
                      <w14:alpha w14:val="100000"/>
                    </w14:srgbClr>
                  </w14:solidFill>
                </w14:textFill>
              </w:rPr>
              <w:t>|</w:t>
            </w:r>
          </w:p>
        </w:tc>
      </w:tr>
      <w:tr w:rsidR="00381AC2" w:rsidRPr="005F5BEA" w14:paraId="7C87CC7F" w14:textId="77777777" w:rsidTr="009A303F">
        <w:trPr>
          <w:trHeight w:val="240"/>
        </w:trPr>
        <w:tc>
          <w:tcPr>
            <w:tcW w:w="5000" w:type="pct"/>
            <w:gridSpan w:val="6"/>
            <w:noWrap/>
            <w:hideMark/>
          </w:tcPr>
          <w:p w14:paraId="4A2B5C7C" w14:textId="77777777" w:rsidR="00381AC2" w:rsidRPr="005F5BEA" w:rsidRDefault="00381AC2" w:rsidP="009A303F">
            <w:pPr>
              <w:pStyle w:val="Tabletext0"/>
              <w:rPr>
                <w:b/>
              </w:rPr>
            </w:pPr>
            <w:r w:rsidRPr="005F5BEA">
              <w:rPr>
                <w:b/>
              </w:rPr>
              <w:t>SA7: Change in annual update costs</w:t>
            </w:r>
          </w:p>
        </w:tc>
      </w:tr>
      <w:tr w:rsidR="00381AC2" w:rsidRPr="005F5BEA" w14:paraId="6E1AAF7E" w14:textId="77777777" w:rsidTr="00D865D4">
        <w:trPr>
          <w:trHeight w:val="240"/>
        </w:trPr>
        <w:tc>
          <w:tcPr>
            <w:tcW w:w="1824" w:type="pct"/>
            <w:noWrap/>
            <w:hideMark/>
          </w:tcPr>
          <w:p w14:paraId="00BD20F9" w14:textId="77777777" w:rsidR="00381AC2" w:rsidRPr="005F5BEA" w:rsidRDefault="00381AC2" w:rsidP="009A303F">
            <w:pPr>
              <w:pStyle w:val="Tabletext0"/>
            </w:pPr>
            <w:r w:rsidRPr="005F5BEA">
              <w:t>Total Services</w:t>
            </w:r>
          </w:p>
        </w:tc>
        <w:tc>
          <w:tcPr>
            <w:tcW w:w="2706" w:type="pct"/>
            <w:gridSpan w:val="4"/>
            <w:noWrap/>
          </w:tcPr>
          <w:p w14:paraId="72A6953E" w14:textId="77777777" w:rsidR="00381AC2" w:rsidRPr="005F5BEA" w:rsidRDefault="00381AC2" w:rsidP="009A303F">
            <w:pPr>
              <w:pStyle w:val="Tabletext0"/>
            </w:pPr>
            <w:r w:rsidRPr="005F5BEA">
              <w:t>As per base case</w:t>
            </w:r>
          </w:p>
        </w:tc>
        <w:tc>
          <w:tcPr>
            <w:tcW w:w="470" w:type="pct"/>
            <w:tcBorders>
              <w:bottom w:val="single" w:sz="4" w:space="0" w:color="auto"/>
            </w:tcBorders>
          </w:tcPr>
          <w:p w14:paraId="7BB872D7" w14:textId="77777777" w:rsidR="00381AC2" w:rsidRPr="005F5BEA" w:rsidRDefault="00381AC2" w:rsidP="009A303F">
            <w:pPr>
              <w:pStyle w:val="Tabletext0"/>
            </w:pPr>
          </w:p>
        </w:tc>
      </w:tr>
      <w:tr w:rsidR="00381AC2" w:rsidRPr="005F5BEA" w14:paraId="353E2E4E" w14:textId="77777777" w:rsidTr="00D865D4">
        <w:trPr>
          <w:trHeight w:val="240"/>
        </w:trPr>
        <w:tc>
          <w:tcPr>
            <w:tcW w:w="1824" w:type="pct"/>
            <w:noWrap/>
            <w:hideMark/>
          </w:tcPr>
          <w:p w14:paraId="10CB6BB0" w14:textId="77777777" w:rsidR="00381AC2" w:rsidRPr="005F5BEA" w:rsidRDefault="00381AC2" w:rsidP="009A303F">
            <w:pPr>
              <w:pStyle w:val="Tabletext0"/>
            </w:pPr>
            <w:r w:rsidRPr="005F5BEA">
              <w:t>Total Costs without annual update costs</w:t>
            </w:r>
          </w:p>
        </w:tc>
        <w:tc>
          <w:tcPr>
            <w:tcW w:w="677" w:type="pct"/>
            <w:tcBorders>
              <w:bottom w:val="single" w:sz="4" w:space="0" w:color="auto"/>
            </w:tcBorders>
            <w:shd w:val="solid" w:color="000000" w:fill="000000"/>
            <w:noWrap/>
            <w:hideMark/>
          </w:tcPr>
          <w:p w14:paraId="66EEFC9A" w14:textId="3A8B17CA" w:rsidR="00381AC2" w:rsidRPr="00D865D4" w:rsidRDefault="00D865D4" w:rsidP="009A303F">
            <w:pPr>
              <w:pStyle w:val="Tabletext0"/>
            </w:pPr>
            <w:r w:rsidRPr="008A2B4D">
              <w:rPr>
                <w:color w:val="000000"/>
                <w:spacing w:val="94"/>
                <w:fitText w:val="180" w:id="-1157883122"/>
                <w14:textFill>
                  <w14:solidFill>
                    <w14:srgbClr w14:val="000000">
                      <w14:alpha w14:val="100000"/>
                    </w14:srgbClr>
                  </w14:solidFill>
                </w14:textFill>
              </w:rPr>
              <w:t>|</w:t>
            </w:r>
            <w:r w:rsidRPr="008A2B4D">
              <w:rPr>
                <w:color w:val="000000"/>
                <w:fitText w:val="180" w:id="-1157883122"/>
                <w14:textFill>
                  <w14:solidFill>
                    <w14:srgbClr w14:val="000000">
                      <w14:alpha w14:val="100000"/>
                    </w14:srgbClr>
                  </w14:solidFill>
                </w14:textFill>
              </w:rPr>
              <w:t>|</w:t>
            </w:r>
          </w:p>
        </w:tc>
        <w:tc>
          <w:tcPr>
            <w:tcW w:w="677" w:type="pct"/>
            <w:tcBorders>
              <w:bottom w:val="single" w:sz="4" w:space="0" w:color="auto"/>
            </w:tcBorders>
            <w:shd w:val="solid" w:color="000000" w:fill="000000"/>
            <w:noWrap/>
            <w:hideMark/>
          </w:tcPr>
          <w:p w14:paraId="795D8C97" w14:textId="051C6984" w:rsidR="00381AC2" w:rsidRPr="00D865D4" w:rsidRDefault="00D865D4" w:rsidP="009A303F">
            <w:pPr>
              <w:pStyle w:val="Tabletext0"/>
            </w:pPr>
            <w:r w:rsidRPr="008A2B4D">
              <w:rPr>
                <w:color w:val="000000"/>
                <w:spacing w:val="94"/>
                <w:fitText w:val="180" w:id="-1157883121"/>
                <w14:textFill>
                  <w14:solidFill>
                    <w14:srgbClr w14:val="000000">
                      <w14:alpha w14:val="100000"/>
                    </w14:srgbClr>
                  </w14:solidFill>
                </w14:textFill>
              </w:rPr>
              <w:t>|</w:t>
            </w:r>
            <w:r w:rsidRPr="008A2B4D">
              <w:rPr>
                <w:color w:val="000000"/>
                <w:fitText w:val="180" w:id="-1157883121"/>
                <w14:textFill>
                  <w14:solidFill>
                    <w14:srgbClr w14:val="000000">
                      <w14:alpha w14:val="100000"/>
                    </w14:srgbClr>
                  </w14:solidFill>
                </w14:textFill>
              </w:rPr>
              <w:t>|</w:t>
            </w:r>
          </w:p>
        </w:tc>
        <w:tc>
          <w:tcPr>
            <w:tcW w:w="677" w:type="pct"/>
            <w:tcBorders>
              <w:bottom w:val="single" w:sz="4" w:space="0" w:color="auto"/>
            </w:tcBorders>
            <w:shd w:val="solid" w:color="000000" w:fill="000000"/>
            <w:noWrap/>
            <w:hideMark/>
          </w:tcPr>
          <w:p w14:paraId="14E7653C" w14:textId="2E08AB38" w:rsidR="00381AC2" w:rsidRPr="00D865D4" w:rsidRDefault="00D865D4" w:rsidP="009A303F">
            <w:pPr>
              <w:pStyle w:val="Tabletext0"/>
            </w:pPr>
            <w:r w:rsidRPr="008A2B4D">
              <w:rPr>
                <w:color w:val="000000"/>
                <w:spacing w:val="94"/>
                <w:fitText w:val="180" w:id="-1157883120"/>
                <w14:textFill>
                  <w14:solidFill>
                    <w14:srgbClr w14:val="000000">
                      <w14:alpha w14:val="100000"/>
                    </w14:srgbClr>
                  </w14:solidFill>
                </w14:textFill>
              </w:rPr>
              <w:t>|</w:t>
            </w:r>
            <w:r w:rsidRPr="008A2B4D">
              <w:rPr>
                <w:color w:val="000000"/>
                <w:fitText w:val="180" w:id="-1157883120"/>
                <w14:textFill>
                  <w14:solidFill>
                    <w14:srgbClr w14:val="000000">
                      <w14:alpha w14:val="100000"/>
                    </w14:srgbClr>
                  </w14:solidFill>
                </w14:textFill>
              </w:rPr>
              <w:t>|</w:t>
            </w:r>
          </w:p>
        </w:tc>
        <w:tc>
          <w:tcPr>
            <w:tcW w:w="677" w:type="pct"/>
            <w:tcBorders>
              <w:bottom w:val="single" w:sz="4" w:space="0" w:color="auto"/>
            </w:tcBorders>
            <w:shd w:val="solid" w:color="000000" w:fill="000000"/>
            <w:noWrap/>
            <w:hideMark/>
          </w:tcPr>
          <w:p w14:paraId="0C236353" w14:textId="1D9D5B03" w:rsidR="00381AC2" w:rsidRPr="00D865D4" w:rsidRDefault="00D865D4" w:rsidP="009A303F">
            <w:pPr>
              <w:pStyle w:val="Tabletext0"/>
            </w:pPr>
            <w:r w:rsidRPr="008A2B4D">
              <w:rPr>
                <w:color w:val="000000"/>
                <w:spacing w:val="94"/>
                <w:fitText w:val="180" w:id="-1157883136"/>
                <w14:textFill>
                  <w14:solidFill>
                    <w14:srgbClr w14:val="000000">
                      <w14:alpha w14:val="100000"/>
                    </w14:srgbClr>
                  </w14:solidFill>
                </w14:textFill>
              </w:rPr>
              <w:t>|</w:t>
            </w:r>
            <w:r w:rsidRPr="008A2B4D">
              <w:rPr>
                <w:color w:val="000000"/>
                <w:fitText w:val="180" w:id="-1157883136"/>
                <w14:textFill>
                  <w14:solidFill>
                    <w14:srgbClr w14:val="000000">
                      <w14:alpha w14:val="100000"/>
                    </w14:srgbClr>
                  </w14:solidFill>
                </w14:textFill>
              </w:rPr>
              <w:t>|</w:t>
            </w:r>
          </w:p>
        </w:tc>
        <w:tc>
          <w:tcPr>
            <w:tcW w:w="470" w:type="pct"/>
            <w:tcBorders>
              <w:bottom w:val="single" w:sz="4" w:space="0" w:color="auto"/>
            </w:tcBorders>
            <w:shd w:val="solid" w:color="000000" w:fill="000000"/>
          </w:tcPr>
          <w:p w14:paraId="44A6274A" w14:textId="38B9497F" w:rsidR="00381AC2" w:rsidRPr="00D865D4" w:rsidRDefault="00D865D4" w:rsidP="009A303F">
            <w:pPr>
              <w:pStyle w:val="Tabletext0"/>
            </w:pPr>
            <w:r w:rsidRPr="008A2B4D">
              <w:rPr>
                <w:color w:val="000000"/>
                <w:spacing w:val="94"/>
                <w:fitText w:val="180" w:id="-1157883135"/>
                <w14:textFill>
                  <w14:solidFill>
                    <w14:srgbClr w14:val="000000">
                      <w14:alpha w14:val="100000"/>
                    </w14:srgbClr>
                  </w14:solidFill>
                </w14:textFill>
              </w:rPr>
              <w:t>|</w:t>
            </w:r>
            <w:r w:rsidRPr="008A2B4D">
              <w:rPr>
                <w:color w:val="000000"/>
                <w:fitText w:val="180" w:id="-1157883135"/>
                <w14:textFill>
                  <w14:solidFill>
                    <w14:srgbClr w14:val="000000">
                      <w14:alpha w14:val="100000"/>
                    </w14:srgbClr>
                  </w14:solidFill>
                </w14:textFill>
              </w:rPr>
              <w:t>|</w:t>
            </w:r>
          </w:p>
        </w:tc>
      </w:tr>
      <w:tr w:rsidR="00381AC2" w:rsidRPr="005F5BEA" w14:paraId="17460F84" w14:textId="77777777" w:rsidTr="00D865D4">
        <w:trPr>
          <w:trHeight w:val="240"/>
        </w:trPr>
        <w:tc>
          <w:tcPr>
            <w:tcW w:w="1824" w:type="pct"/>
            <w:noWrap/>
            <w:hideMark/>
          </w:tcPr>
          <w:p w14:paraId="2D8339CF" w14:textId="77777777" w:rsidR="00381AC2" w:rsidRPr="005F5BEA" w:rsidRDefault="00381AC2" w:rsidP="009A303F">
            <w:pPr>
              <w:pStyle w:val="Tabletext0"/>
            </w:pPr>
            <w:r w:rsidRPr="005F5BEA">
              <w:t>Total Costs with annual update at $5,000</w:t>
            </w:r>
          </w:p>
        </w:tc>
        <w:tc>
          <w:tcPr>
            <w:tcW w:w="677" w:type="pct"/>
            <w:tcBorders>
              <w:bottom w:val="single" w:sz="4" w:space="0" w:color="auto"/>
            </w:tcBorders>
            <w:shd w:val="solid" w:color="000000" w:fill="000000"/>
            <w:noWrap/>
            <w:hideMark/>
          </w:tcPr>
          <w:p w14:paraId="1E4D7B04" w14:textId="37456AF3" w:rsidR="00381AC2" w:rsidRPr="00D865D4" w:rsidRDefault="00D865D4" w:rsidP="009A303F">
            <w:pPr>
              <w:pStyle w:val="Tabletext0"/>
            </w:pPr>
            <w:r w:rsidRPr="008A2B4D">
              <w:rPr>
                <w:color w:val="000000"/>
                <w:spacing w:val="94"/>
                <w:fitText w:val="180" w:id="-1157883134"/>
                <w14:textFill>
                  <w14:solidFill>
                    <w14:srgbClr w14:val="000000">
                      <w14:alpha w14:val="100000"/>
                    </w14:srgbClr>
                  </w14:solidFill>
                </w14:textFill>
              </w:rPr>
              <w:t>|</w:t>
            </w:r>
            <w:r w:rsidRPr="008A2B4D">
              <w:rPr>
                <w:color w:val="000000"/>
                <w:fitText w:val="180" w:id="-1157883134"/>
                <w14:textFill>
                  <w14:solidFill>
                    <w14:srgbClr w14:val="000000">
                      <w14:alpha w14:val="100000"/>
                    </w14:srgbClr>
                  </w14:solidFill>
                </w14:textFill>
              </w:rPr>
              <w:t>|</w:t>
            </w:r>
          </w:p>
        </w:tc>
        <w:tc>
          <w:tcPr>
            <w:tcW w:w="677" w:type="pct"/>
            <w:tcBorders>
              <w:bottom w:val="single" w:sz="4" w:space="0" w:color="auto"/>
            </w:tcBorders>
            <w:shd w:val="solid" w:color="000000" w:fill="000000"/>
            <w:noWrap/>
            <w:hideMark/>
          </w:tcPr>
          <w:p w14:paraId="1D750080" w14:textId="7D24AFA2" w:rsidR="00381AC2" w:rsidRPr="00D865D4" w:rsidRDefault="00D865D4" w:rsidP="009A303F">
            <w:pPr>
              <w:pStyle w:val="Tabletext0"/>
            </w:pPr>
            <w:r w:rsidRPr="008A2B4D">
              <w:rPr>
                <w:color w:val="000000"/>
                <w:spacing w:val="94"/>
                <w:fitText w:val="180" w:id="-1157883133"/>
                <w14:textFill>
                  <w14:solidFill>
                    <w14:srgbClr w14:val="000000">
                      <w14:alpha w14:val="100000"/>
                    </w14:srgbClr>
                  </w14:solidFill>
                </w14:textFill>
              </w:rPr>
              <w:t>|</w:t>
            </w:r>
            <w:r w:rsidRPr="008A2B4D">
              <w:rPr>
                <w:color w:val="000000"/>
                <w:fitText w:val="180" w:id="-1157883133"/>
                <w14:textFill>
                  <w14:solidFill>
                    <w14:srgbClr w14:val="000000">
                      <w14:alpha w14:val="100000"/>
                    </w14:srgbClr>
                  </w14:solidFill>
                </w14:textFill>
              </w:rPr>
              <w:t>|</w:t>
            </w:r>
          </w:p>
        </w:tc>
        <w:tc>
          <w:tcPr>
            <w:tcW w:w="677" w:type="pct"/>
            <w:tcBorders>
              <w:bottom w:val="single" w:sz="4" w:space="0" w:color="auto"/>
            </w:tcBorders>
            <w:shd w:val="solid" w:color="000000" w:fill="000000"/>
            <w:noWrap/>
            <w:hideMark/>
          </w:tcPr>
          <w:p w14:paraId="2CA1033F" w14:textId="0372E55F" w:rsidR="00381AC2" w:rsidRPr="00D865D4" w:rsidRDefault="00D865D4" w:rsidP="009A303F">
            <w:pPr>
              <w:pStyle w:val="Tabletext0"/>
            </w:pPr>
            <w:r w:rsidRPr="008A2B4D">
              <w:rPr>
                <w:color w:val="000000"/>
                <w:spacing w:val="94"/>
                <w:fitText w:val="180" w:id="-1157883132"/>
                <w14:textFill>
                  <w14:solidFill>
                    <w14:srgbClr w14:val="000000">
                      <w14:alpha w14:val="100000"/>
                    </w14:srgbClr>
                  </w14:solidFill>
                </w14:textFill>
              </w:rPr>
              <w:t>|</w:t>
            </w:r>
            <w:r w:rsidRPr="008A2B4D">
              <w:rPr>
                <w:color w:val="000000"/>
                <w:fitText w:val="180" w:id="-1157883132"/>
                <w14:textFill>
                  <w14:solidFill>
                    <w14:srgbClr w14:val="000000">
                      <w14:alpha w14:val="100000"/>
                    </w14:srgbClr>
                  </w14:solidFill>
                </w14:textFill>
              </w:rPr>
              <w:t>|</w:t>
            </w:r>
          </w:p>
        </w:tc>
        <w:tc>
          <w:tcPr>
            <w:tcW w:w="677" w:type="pct"/>
            <w:tcBorders>
              <w:bottom w:val="single" w:sz="4" w:space="0" w:color="auto"/>
            </w:tcBorders>
            <w:shd w:val="solid" w:color="000000" w:fill="000000"/>
            <w:noWrap/>
            <w:hideMark/>
          </w:tcPr>
          <w:p w14:paraId="38064C13" w14:textId="69D62961" w:rsidR="00381AC2" w:rsidRPr="00D865D4" w:rsidRDefault="00D865D4" w:rsidP="009A303F">
            <w:pPr>
              <w:pStyle w:val="Tabletext0"/>
            </w:pPr>
            <w:r w:rsidRPr="008A2B4D">
              <w:rPr>
                <w:color w:val="000000"/>
                <w:spacing w:val="94"/>
                <w:fitText w:val="180" w:id="-1157883131"/>
                <w14:textFill>
                  <w14:solidFill>
                    <w14:srgbClr w14:val="000000">
                      <w14:alpha w14:val="100000"/>
                    </w14:srgbClr>
                  </w14:solidFill>
                </w14:textFill>
              </w:rPr>
              <w:t>|</w:t>
            </w:r>
            <w:r w:rsidRPr="008A2B4D">
              <w:rPr>
                <w:color w:val="000000"/>
                <w:fitText w:val="180" w:id="-1157883131"/>
                <w14:textFill>
                  <w14:solidFill>
                    <w14:srgbClr w14:val="000000">
                      <w14:alpha w14:val="100000"/>
                    </w14:srgbClr>
                  </w14:solidFill>
                </w14:textFill>
              </w:rPr>
              <w:t>|</w:t>
            </w:r>
          </w:p>
        </w:tc>
        <w:tc>
          <w:tcPr>
            <w:tcW w:w="470" w:type="pct"/>
            <w:tcBorders>
              <w:bottom w:val="single" w:sz="4" w:space="0" w:color="auto"/>
            </w:tcBorders>
            <w:shd w:val="solid" w:color="000000" w:fill="000000"/>
          </w:tcPr>
          <w:p w14:paraId="64A1339E" w14:textId="57FE4D19" w:rsidR="00381AC2" w:rsidRPr="00D865D4" w:rsidRDefault="00D865D4" w:rsidP="009A303F">
            <w:pPr>
              <w:pStyle w:val="Tabletext0"/>
            </w:pPr>
            <w:r w:rsidRPr="008A2B4D">
              <w:rPr>
                <w:color w:val="000000"/>
                <w:spacing w:val="94"/>
                <w:fitText w:val="180" w:id="-1157883130"/>
                <w14:textFill>
                  <w14:solidFill>
                    <w14:srgbClr w14:val="000000">
                      <w14:alpha w14:val="100000"/>
                    </w14:srgbClr>
                  </w14:solidFill>
                </w14:textFill>
              </w:rPr>
              <w:t>|</w:t>
            </w:r>
            <w:r w:rsidRPr="008A2B4D">
              <w:rPr>
                <w:color w:val="000000"/>
                <w:fitText w:val="180" w:id="-1157883130"/>
                <w14:textFill>
                  <w14:solidFill>
                    <w14:srgbClr w14:val="000000">
                      <w14:alpha w14:val="100000"/>
                    </w14:srgbClr>
                  </w14:solidFill>
                </w14:textFill>
              </w:rPr>
              <w:t>|</w:t>
            </w:r>
          </w:p>
        </w:tc>
      </w:tr>
      <w:tr w:rsidR="00381AC2" w:rsidRPr="005F5BEA" w14:paraId="512CA60B" w14:textId="77777777" w:rsidTr="00D865D4">
        <w:trPr>
          <w:trHeight w:val="240"/>
        </w:trPr>
        <w:tc>
          <w:tcPr>
            <w:tcW w:w="1824" w:type="pct"/>
            <w:noWrap/>
            <w:hideMark/>
          </w:tcPr>
          <w:p w14:paraId="75CDE9A1" w14:textId="77777777" w:rsidR="00381AC2" w:rsidRPr="005F5BEA" w:rsidRDefault="00381AC2" w:rsidP="009A303F">
            <w:pPr>
              <w:pStyle w:val="Tabletext0"/>
            </w:pPr>
            <w:r w:rsidRPr="005F5BEA">
              <w:t>Total Costs with annual update at $10,000</w:t>
            </w:r>
          </w:p>
        </w:tc>
        <w:tc>
          <w:tcPr>
            <w:tcW w:w="677" w:type="pct"/>
            <w:shd w:val="solid" w:color="000000" w:fill="000000"/>
            <w:noWrap/>
            <w:hideMark/>
          </w:tcPr>
          <w:p w14:paraId="7788CBE8" w14:textId="51E09046" w:rsidR="00381AC2" w:rsidRPr="00D865D4" w:rsidRDefault="00D865D4" w:rsidP="009A303F">
            <w:pPr>
              <w:pStyle w:val="Tabletext0"/>
            </w:pPr>
            <w:r w:rsidRPr="008A2B4D">
              <w:rPr>
                <w:color w:val="000000"/>
                <w:spacing w:val="94"/>
                <w:fitText w:val="180" w:id="-1157883129"/>
                <w14:textFill>
                  <w14:solidFill>
                    <w14:srgbClr w14:val="000000">
                      <w14:alpha w14:val="100000"/>
                    </w14:srgbClr>
                  </w14:solidFill>
                </w14:textFill>
              </w:rPr>
              <w:t>|</w:t>
            </w:r>
            <w:r w:rsidRPr="008A2B4D">
              <w:rPr>
                <w:color w:val="000000"/>
                <w:fitText w:val="180" w:id="-1157883129"/>
                <w14:textFill>
                  <w14:solidFill>
                    <w14:srgbClr w14:val="000000">
                      <w14:alpha w14:val="100000"/>
                    </w14:srgbClr>
                  </w14:solidFill>
                </w14:textFill>
              </w:rPr>
              <w:t>|</w:t>
            </w:r>
          </w:p>
        </w:tc>
        <w:tc>
          <w:tcPr>
            <w:tcW w:w="677" w:type="pct"/>
            <w:shd w:val="solid" w:color="000000" w:fill="000000"/>
            <w:noWrap/>
            <w:hideMark/>
          </w:tcPr>
          <w:p w14:paraId="56037E63" w14:textId="2F0B9F41" w:rsidR="00381AC2" w:rsidRPr="00D865D4" w:rsidRDefault="00D865D4" w:rsidP="009A303F">
            <w:pPr>
              <w:pStyle w:val="Tabletext0"/>
            </w:pPr>
            <w:r w:rsidRPr="008A2B4D">
              <w:rPr>
                <w:color w:val="000000"/>
                <w:spacing w:val="94"/>
                <w:fitText w:val="180" w:id="-1157883128"/>
                <w14:textFill>
                  <w14:solidFill>
                    <w14:srgbClr w14:val="000000">
                      <w14:alpha w14:val="100000"/>
                    </w14:srgbClr>
                  </w14:solidFill>
                </w14:textFill>
              </w:rPr>
              <w:t>|</w:t>
            </w:r>
            <w:r w:rsidRPr="008A2B4D">
              <w:rPr>
                <w:color w:val="000000"/>
                <w:fitText w:val="180" w:id="-1157883128"/>
                <w14:textFill>
                  <w14:solidFill>
                    <w14:srgbClr w14:val="000000">
                      <w14:alpha w14:val="100000"/>
                    </w14:srgbClr>
                  </w14:solidFill>
                </w14:textFill>
              </w:rPr>
              <w:t>|</w:t>
            </w:r>
          </w:p>
        </w:tc>
        <w:tc>
          <w:tcPr>
            <w:tcW w:w="677" w:type="pct"/>
            <w:shd w:val="solid" w:color="000000" w:fill="000000"/>
            <w:noWrap/>
            <w:hideMark/>
          </w:tcPr>
          <w:p w14:paraId="5F148696" w14:textId="6BE94193" w:rsidR="00381AC2" w:rsidRPr="00D865D4" w:rsidRDefault="00D865D4" w:rsidP="009A303F">
            <w:pPr>
              <w:pStyle w:val="Tabletext0"/>
            </w:pPr>
            <w:r w:rsidRPr="008A2B4D">
              <w:rPr>
                <w:color w:val="000000"/>
                <w:spacing w:val="94"/>
                <w:fitText w:val="180" w:id="-1157883127"/>
                <w14:textFill>
                  <w14:solidFill>
                    <w14:srgbClr w14:val="000000">
                      <w14:alpha w14:val="100000"/>
                    </w14:srgbClr>
                  </w14:solidFill>
                </w14:textFill>
              </w:rPr>
              <w:t>|</w:t>
            </w:r>
            <w:r w:rsidRPr="008A2B4D">
              <w:rPr>
                <w:color w:val="000000"/>
                <w:fitText w:val="180" w:id="-1157883127"/>
                <w14:textFill>
                  <w14:solidFill>
                    <w14:srgbClr w14:val="000000">
                      <w14:alpha w14:val="100000"/>
                    </w14:srgbClr>
                  </w14:solidFill>
                </w14:textFill>
              </w:rPr>
              <w:t>|</w:t>
            </w:r>
          </w:p>
        </w:tc>
        <w:tc>
          <w:tcPr>
            <w:tcW w:w="677" w:type="pct"/>
            <w:shd w:val="solid" w:color="000000" w:fill="000000"/>
            <w:noWrap/>
            <w:hideMark/>
          </w:tcPr>
          <w:p w14:paraId="317C148A" w14:textId="6E8590BF" w:rsidR="00381AC2" w:rsidRPr="00D865D4" w:rsidRDefault="00D865D4" w:rsidP="009A303F">
            <w:pPr>
              <w:pStyle w:val="Tabletext0"/>
            </w:pPr>
            <w:r w:rsidRPr="008A2B4D">
              <w:rPr>
                <w:color w:val="000000"/>
                <w:spacing w:val="94"/>
                <w:fitText w:val="180" w:id="-1157883126"/>
                <w14:textFill>
                  <w14:solidFill>
                    <w14:srgbClr w14:val="000000">
                      <w14:alpha w14:val="100000"/>
                    </w14:srgbClr>
                  </w14:solidFill>
                </w14:textFill>
              </w:rPr>
              <w:t>|</w:t>
            </w:r>
            <w:r w:rsidRPr="008A2B4D">
              <w:rPr>
                <w:color w:val="000000"/>
                <w:fitText w:val="180" w:id="-1157883126"/>
                <w14:textFill>
                  <w14:solidFill>
                    <w14:srgbClr w14:val="000000">
                      <w14:alpha w14:val="100000"/>
                    </w14:srgbClr>
                  </w14:solidFill>
                </w14:textFill>
              </w:rPr>
              <w:t>|</w:t>
            </w:r>
          </w:p>
        </w:tc>
        <w:tc>
          <w:tcPr>
            <w:tcW w:w="470" w:type="pct"/>
            <w:shd w:val="solid" w:color="000000" w:fill="000000"/>
          </w:tcPr>
          <w:p w14:paraId="002CC921" w14:textId="150EE268" w:rsidR="00381AC2" w:rsidRPr="00D865D4" w:rsidRDefault="00D865D4" w:rsidP="009A303F">
            <w:pPr>
              <w:pStyle w:val="Tabletext0"/>
            </w:pPr>
            <w:r w:rsidRPr="008A2B4D">
              <w:rPr>
                <w:color w:val="000000"/>
                <w:spacing w:val="94"/>
                <w:fitText w:val="180" w:id="-1157883125"/>
                <w14:textFill>
                  <w14:solidFill>
                    <w14:srgbClr w14:val="000000">
                      <w14:alpha w14:val="100000"/>
                    </w14:srgbClr>
                  </w14:solidFill>
                </w14:textFill>
              </w:rPr>
              <w:t>|</w:t>
            </w:r>
            <w:r w:rsidRPr="008A2B4D">
              <w:rPr>
                <w:color w:val="000000"/>
                <w:fitText w:val="180" w:id="-1157883125"/>
                <w14:textFill>
                  <w14:solidFill>
                    <w14:srgbClr w14:val="000000">
                      <w14:alpha w14:val="100000"/>
                    </w14:srgbClr>
                  </w14:solidFill>
                </w14:textFill>
              </w:rPr>
              <w:t>|</w:t>
            </w:r>
          </w:p>
        </w:tc>
      </w:tr>
      <w:tr w:rsidR="00381AC2" w:rsidRPr="005F5BEA" w14:paraId="234EE626" w14:textId="77777777" w:rsidTr="009A303F">
        <w:trPr>
          <w:trHeight w:val="240"/>
        </w:trPr>
        <w:tc>
          <w:tcPr>
            <w:tcW w:w="5000" w:type="pct"/>
            <w:gridSpan w:val="6"/>
            <w:noWrap/>
          </w:tcPr>
          <w:p w14:paraId="38EAD089" w14:textId="77777777" w:rsidR="00381AC2" w:rsidRPr="005F5BEA" w:rsidRDefault="00381AC2" w:rsidP="009A303F">
            <w:pPr>
              <w:pStyle w:val="Tabletext0"/>
            </w:pPr>
            <w:r w:rsidRPr="005F5BEA">
              <w:rPr>
                <w:b/>
              </w:rPr>
              <w:t>SA8: Remove certification costs</w:t>
            </w:r>
          </w:p>
        </w:tc>
      </w:tr>
      <w:tr w:rsidR="00381AC2" w:rsidRPr="005F5BEA" w14:paraId="625C9B99" w14:textId="77777777" w:rsidTr="00D865D4">
        <w:trPr>
          <w:trHeight w:val="240"/>
        </w:trPr>
        <w:tc>
          <w:tcPr>
            <w:tcW w:w="1824" w:type="pct"/>
            <w:noWrap/>
          </w:tcPr>
          <w:p w14:paraId="24DFF322" w14:textId="77777777" w:rsidR="00381AC2" w:rsidRPr="005F5BEA" w:rsidRDefault="00381AC2" w:rsidP="009A303F">
            <w:pPr>
              <w:pStyle w:val="Tabletext0"/>
            </w:pPr>
            <w:r w:rsidRPr="005F5BEA">
              <w:t>Total Services</w:t>
            </w:r>
          </w:p>
        </w:tc>
        <w:tc>
          <w:tcPr>
            <w:tcW w:w="2706" w:type="pct"/>
            <w:gridSpan w:val="4"/>
            <w:noWrap/>
          </w:tcPr>
          <w:p w14:paraId="3E7F2316" w14:textId="77777777" w:rsidR="00381AC2" w:rsidRPr="005F5BEA" w:rsidRDefault="00381AC2" w:rsidP="009A303F">
            <w:pPr>
              <w:pStyle w:val="Tabletext0"/>
            </w:pPr>
            <w:r w:rsidRPr="005F5BEA">
              <w:t>As per base case</w:t>
            </w:r>
          </w:p>
        </w:tc>
        <w:tc>
          <w:tcPr>
            <w:tcW w:w="470" w:type="pct"/>
            <w:tcBorders>
              <w:bottom w:val="single" w:sz="4" w:space="0" w:color="auto"/>
            </w:tcBorders>
          </w:tcPr>
          <w:p w14:paraId="2E71E4A0" w14:textId="77777777" w:rsidR="00381AC2" w:rsidRPr="005F5BEA" w:rsidRDefault="00381AC2" w:rsidP="009A303F">
            <w:pPr>
              <w:pStyle w:val="Tabletext0"/>
            </w:pPr>
          </w:p>
        </w:tc>
      </w:tr>
      <w:tr w:rsidR="00381AC2" w:rsidRPr="005F5BEA" w14:paraId="2CC4B95B" w14:textId="77777777" w:rsidTr="00D865D4">
        <w:trPr>
          <w:trHeight w:val="240"/>
        </w:trPr>
        <w:tc>
          <w:tcPr>
            <w:tcW w:w="1824" w:type="pct"/>
            <w:noWrap/>
            <w:vAlign w:val="top"/>
          </w:tcPr>
          <w:p w14:paraId="15CA35BE" w14:textId="77777777" w:rsidR="00381AC2" w:rsidRPr="005F5BEA" w:rsidRDefault="00381AC2" w:rsidP="009A303F">
            <w:pPr>
              <w:pStyle w:val="Tabletext0"/>
            </w:pPr>
            <w:r w:rsidRPr="005F5BEA">
              <w:t xml:space="preserve">Total Costs </w:t>
            </w:r>
          </w:p>
        </w:tc>
        <w:tc>
          <w:tcPr>
            <w:tcW w:w="677" w:type="pct"/>
            <w:shd w:val="solid" w:color="000000" w:fill="000000"/>
            <w:noWrap/>
            <w:vAlign w:val="top"/>
          </w:tcPr>
          <w:p w14:paraId="097C88DA" w14:textId="77105C5C" w:rsidR="00381AC2" w:rsidRPr="00D865D4" w:rsidRDefault="00D865D4" w:rsidP="009A303F">
            <w:pPr>
              <w:pStyle w:val="Tabletext0"/>
            </w:pPr>
            <w:r w:rsidRPr="008A2B4D">
              <w:rPr>
                <w:color w:val="000000"/>
                <w:spacing w:val="94"/>
                <w:fitText w:val="180" w:id="-1157883124"/>
                <w14:textFill>
                  <w14:solidFill>
                    <w14:srgbClr w14:val="000000">
                      <w14:alpha w14:val="100000"/>
                    </w14:srgbClr>
                  </w14:solidFill>
                </w14:textFill>
              </w:rPr>
              <w:t>|</w:t>
            </w:r>
            <w:r w:rsidRPr="008A2B4D">
              <w:rPr>
                <w:color w:val="000000"/>
                <w:fitText w:val="180" w:id="-1157883124"/>
                <w14:textFill>
                  <w14:solidFill>
                    <w14:srgbClr w14:val="000000">
                      <w14:alpha w14:val="100000"/>
                    </w14:srgbClr>
                  </w14:solidFill>
                </w14:textFill>
              </w:rPr>
              <w:t>|</w:t>
            </w:r>
          </w:p>
        </w:tc>
        <w:tc>
          <w:tcPr>
            <w:tcW w:w="677" w:type="pct"/>
            <w:shd w:val="solid" w:color="000000" w:fill="000000"/>
            <w:noWrap/>
            <w:vAlign w:val="top"/>
          </w:tcPr>
          <w:p w14:paraId="099AC9F9" w14:textId="49B4388C" w:rsidR="00381AC2" w:rsidRPr="00D865D4" w:rsidRDefault="00D865D4" w:rsidP="009A303F">
            <w:pPr>
              <w:pStyle w:val="Tabletext0"/>
            </w:pPr>
            <w:r w:rsidRPr="008A2B4D">
              <w:rPr>
                <w:color w:val="000000"/>
                <w:spacing w:val="94"/>
                <w:fitText w:val="180" w:id="-1157883123"/>
                <w14:textFill>
                  <w14:solidFill>
                    <w14:srgbClr w14:val="000000">
                      <w14:alpha w14:val="100000"/>
                    </w14:srgbClr>
                  </w14:solidFill>
                </w14:textFill>
              </w:rPr>
              <w:t>|</w:t>
            </w:r>
            <w:r w:rsidRPr="008A2B4D">
              <w:rPr>
                <w:color w:val="000000"/>
                <w:fitText w:val="180" w:id="-1157883123"/>
                <w14:textFill>
                  <w14:solidFill>
                    <w14:srgbClr w14:val="000000">
                      <w14:alpha w14:val="100000"/>
                    </w14:srgbClr>
                  </w14:solidFill>
                </w14:textFill>
              </w:rPr>
              <w:t>|</w:t>
            </w:r>
          </w:p>
        </w:tc>
        <w:tc>
          <w:tcPr>
            <w:tcW w:w="677" w:type="pct"/>
            <w:shd w:val="solid" w:color="000000" w:fill="000000"/>
            <w:noWrap/>
            <w:vAlign w:val="top"/>
          </w:tcPr>
          <w:p w14:paraId="12430078" w14:textId="21EA27E8" w:rsidR="00381AC2" w:rsidRPr="00D865D4" w:rsidRDefault="00D865D4" w:rsidP="009A303F">
            <w:pPr>
              <w:pStyle w:val="Tabletext0"/>
            </w:pPr>
            <w:r w:rsidRPr="008A2B4D">
              <w:rPr>
                <w:color w:val="000000"/>
                <w:spacing w:val="94"/>
                <w:fitText w:val="180" w:id="-1157883122"/>
                <w14:textFill>
                  <w14:solidFill>
                    <w14:srgbClr w14:val="000000">
                      <w14:alpha w14:val="100000"/>
                    </w14:srgbClr>
                  </w14:solidFill>
                </w14:textFill>
              </w:rPr>
              <w:t>|</w:t>
            </w:r>
            <w:r w:rsidRPr="008A2B4D">
              <w:rPr>
                <w:color w:val="000000"/>
                <w:fitText w:val="180" w:id="-1157883122"/>
                <w14:textFill>
                  <w14:solidFill>
                    <w14:srgbClr w14:val="000000">
                      <w14:alpha w14:val="100000"/>
                    </w14:srgbClr>
                  </w14:solidFill>
                </w14:textFill>
              </w:rPr>
              <w:t>|</w:t>
            </w:r>
          </w:p>
        </w:tc>
        <w:tc>
          <w:tcPr>
            <w:tcW w:w="677" w:type="pct"/>
            <w:shd w:val="solid" w:color="000000" w:fill="000000"/>
            <w:noWrap/>
            <w:vAlign w:val="top"/>
          </w:tcPr>
          <w:p w14:paraId="2F75B91C" w14:textId="2F09A8FA" w:rsidR="00381AC2" w:rsidRPr="00D865D4" w:rsidRDefault="00D865D4" w:rsidP="009A303F">
            <w:pPr>
              <w:pStyle w:val="Tabletext0"/>
            </w:pPr>
            <w:r w:rsidRPr="008A2B4D">
              <w:rPr>
                <w:color w:val="000000"/>
                <w:spacing w:val="94"/>
                <w:fitText w:val="180" w:id="-1157883121"/>
                <w14:textFill>
                  <w14:solidFill>
                    <w14:srgbClr w14:val="000000">
                      <w14:alpha w14:val="100000"/>
                    </w14:srgbClr>
                  </w14:solidFill>
                </w14:textFill>
              </w:rPr>
              <w:t>|</w:t>
            </w:r>
            <w:r w:rsidRPr="008A2B4D">
              <w:rPr>
                <w:color w:val="000000"/>
                <w:fitText w:val="180" w:id="-1157883121"/>
                <w14:textFill>
                  <w14:solidFill>
                    <w14:srgbClr w14:val="000000">
                      <w14:alpha w14:val="100000"/>
                    </w14:srgbClr>
                  </w14:solidFill>
                </w14:textFill>
              </w:rPr>
              <w:t>|</w:t>
            </w:r>
          </w:p>
        </w:tc>
        <w:tc>
          <w:tcPr>
            <w:tcW w:w="470" w:type="pct"/>
            <w:shd w:val="solid" w:color="000000" w:fill="000000"/>
            <w:vAlign w:val="top"/>
          </w:tcPr>
          <w:p w14:paraId="524B45E1" w14:textId="20A4536B" w:rsidR="00381AC2" w:rsidRPr="00D865D4" w:rsidRDefault="00D865D4" w:rsidP="009A303F">
            <w:pPr>
              <w:pStyle w:val="Tabletext0"/>
            </w:pPr>
            <w:r w:rsidRPr="008A2B4D">
              <w:rPr>
                <w:color w:val="000000"/>
                <w:spacing w:val="94"/>
                <w:fitText w:val="180" w:id="-1157883120"/>
                <w14:textFill>
                  <w14:solidFill>
                    <w14:srgbClr w14:val="000000">
                      <w14:alpha w14:val="100000"/>
                    </w14:srgbClr>
                  </w14:solidFill>
                </w14:textFill>
              </w:rPr>
              <w:t>|</w:t>
            </w:r>
            <w:r w:rsidRPr="008A2B4D">
              <w:rPr>
                <w:color w:val="000000"/>
                <w:fitText w:val="180" w:id="-1157883120"/>
                <w14:textFill>
                  <w14:solidFill>
                    <w14:srgbClr w14:val="000000">
                      <w14:alpha w14:val="100000"/>
                    </w14:srgbClr>
                  </w14:solidFill>
                </w14:textFill>
              </w:rPr>
              <w:t>|</w:t>
            </w:r>
          </w:p>
        </w:tc>
      </w:tr>
      <w:tr w:rsidR="00381AC2" w:rsidRPr="005F5BEA" w14:paraId="4C4935D7" w14:textId="77777777" w:rsidTr="009A303F">
        <w:trPr>
          <w:trHeight w:val="240"/>
        </w:trPr>
        <w:tc>
          <w:tcPr>
            <w:tcW w:w="5000" w:type="pct"/>
            <w:gridSpan w:val="6"/>
            <w:noWrap/>
            <w:hideMark/>
          </w:tcPr>
          <w:p w14:paraId="1207B220" w14:textId="77777777" w:rsidR="00381AC2" w:rsidRPr="005F5BEA" w:rsidRDefault="00381AC2" w:rsidP="009A303F">
            <w:pPr>
              <w:pStyle w:val="Tabletext0"/>
              <w:rPr>
                <w:b/>
              </w:rPr>
            </w:pPr>
            <w:r w:rsidRPr="005F5BEA">
              <w:rPr>
                <w:b/>
              </w:rPr>
              <w:t>SA9: Remove all training and onboarding costs</w:t>
            </w:r>
          </w:p>
        </w:tc>
      </w:tr>
      <w:tr w:rsidR="00381AC2" w:rsidRPr="005F5BEA" w14:paraId="5EA757A7" w14:textId="77777777" w:rsidTr="00D865D4">
        <w:trPr>
          <w:trHeight w:val="240"/>
        </w:trPr>
        <w:tc>
          <w:tcPr>
            <w:tcW w:w="1824" w:type="pct"/>
            <w:noWrap/>
            <w:hideMark/>
          </w:tcPr>
          <w:p w14:paraId="2FA34622" w14:textId="77777777" w:rsidR="00381AC2" w:rsidRPr="005F5BEA" w:rsidRDefault="00381AC2" w:rsidP="009A303F">
            <w:pPr>
              <w:pStyle w:val="Tabletext0"/>
            </w:pPr>
            <w:r w:rsidRPr="005F5BEA">
              <w:t>Total Services</w:t>
            </w:r>
          </w:p>
        </w:tc>
        <w:tc>
          <w:tcPr>
            <w:tcW w:w="2706" w:type="pct"/>
            <w:gridSpan w:val="4"/>
            <w:noWrap/>
          </w:tcPr>
          <w:p w14:paraId="25C655B4" w14:textId="77777777" w:rsidR="00381AC2" w:rsidRPr="005F5BEA" w:rsidRDefault="00381AC2" w:rsidP="009A303F">
            <w:pPr>
              <w:pStyle w:val="Tabletext0"/>
            </w:pPr>
            <w:r w:rsidRPr="005F5BEA">
              <w:t>As per base case</w:t>
            </w:r>
          </w:p>
        </w:tc>
        <w:tc>
          <w:tcPr>
            <w:tcW w:w="470" w:type="pct"/>
            <w:tcBorders>
              <w:bottom w:val="single" w:sz="4" w:space="0" w:color="auto"/>
            </w:tcBorders>
          </w:tcPr>
          <w:p w14:paraId="44D29B94" w14:textId="77777777" w:rsidR="00381AC2" w:rsidRPr="005F5BEA" w:rsidRDefault="00381AC2" w:rsidP="009A303F">
            <w:pPr>
              <w:pStyle w:val="Tabletext0"/>
            </w:pPr>
          </w:p>
        </w:tc>
      </w:tr>
      <w:tr w:rsidR="00381AC2" w:rsidRPr="005F5BEA" w14:paraId="7CBF920A" w14:textId="77777777" w:rsidTr="00D865D4">
        <w:trPr>
          <w:trHeight w:val="240"/>
        </w:trPr>
        <w:tc>
          <w:tcPr>
            <w:tcW w:w="1824" w:type="pct"/>
            <w:noWrap/>
            <w:hideMark/>
          </w:tcPr>
          <w:p w14:paraId="54DA882B" w14:textId="77777777" w:rsidR="00381AC2" w:rsidRPr="005F5BEA" w:rsidRDefault="00381AC2" w:rsidP="009A303F">
            <w:pPr>
              <w:pStyle w:val="Tabletext0"/>
            </w:pPr>
            <w:r w:rsidRPr="005F5BEA">
              <w:t>Total Costs</w:t>
            </w:r>
          </w:p>
        </w:tc>
        <w:tc>
          <w:tcPr>
            <w:tcW w:w="677" w:type="pct"/>
            <w:shd w:val="solid" w:color="000000" w:fill="000000"/>
            <w:noWrap/>
            <w:hideMark/>
          </w:tcPr>
          <w:p w14:paraId="5EA6C60A" w14:textId="5B20E61E" w:rsidR="00381AC2" w:rsidRPr="00D865D4" w:rsidRDefault="00D865D4" w:rsidP="009A303F">
            <w:pPr>
              <w:pStyle w:val="Tabletext0"/>
            </w:pPr>
            <w:r w:rsidRPr="008A2B4D">
              <w:rPr>
                <w:color w:val="000000"/>
                <w:spacing w:val="94"/>
                <w:fitText w:val="180" w:id="-1157883136"/>
                <w14:textFill>
                  <w14:solidFill>
                    <w14:srgbClr w14:val="000000">
                      <w14:alpha w14:val="100000"/>
                    </w14:srgbClr>
                  </w14:solidFill>
                </w14:textFill>
              </w:rPr>
              <w:t>|</w:t>
            </w:r>
            <w:r w:rsidRPr="008A2B4D">
              <w:rPr>
                <w:color w:val="000000"/>
                <w:fitText w:val="180" w:id="-1157883136"/>
                <w14:textFill>
                  <w14:solidFill>
                    <w14:srgbClr w14:val="000000">
                      <w14:alpha w14:val="100000"/>
                    </w14:srgbClr>
                  </w14:solidFill>
                </w14:textFill>
              </w:rPr>
              <w:t>|</w:t>
            </w:r>
          </w:p>
        </w:tc>
        <w:tc>
          <w:tcPr>
            <w:tcW w:w="677" w:type="pct"/>
            <w:shd w:val="solid" w:color="000000" w:fill="000000"/>
            <w:noWrap/>
            <w:hideMark/>
          </w:tcPr>
          <w:p w14:paraId="3F086777" w14:textId="1828FA39" w:rsidR="00381AC2" w:rsidRPr="00D865D4" w:rsidRDefault="00D865D4" w:rsidP="009A303F">
            <w:pPr>
              <w:pStyle w:val="Tabletext0"/>
            </w:pPr>
            <w:r w:rsidRPr="008A2B4D">
              <w:rPr>
                <w:color w:val="000000"/>
                <w:spacing w:val="94"/>
                <w:fitText w:val="180" w:id="-1157883135"/>
                <w14:textFill>
                  <w14:solidFill>
                    <w14:srgbClr w14:val="000000">
                      <w14:alpha w14:val="100000"/>
                    </w14:srgbClr>
                  </w14:solidFill>
                </w14:textFill>
              </w:rPr>
              <w:t>|</w:t>
            </w:r>
            <w:r w:rsidRPr="008A2B4D">
              <w:rPr>
                <w:color w:val="000000"/>
                <w:fitText w:val="180" w:id="-1157883135"/>
                <w14:textFill>
                  <w14:solidFill>
                    <w14:srgbClr w14:val="000000">
                      <w14:alpha w14:val="100000"/>
                    </w14:srgbClr>
                  </w14:solidFill>
                </w14:textFill>
              </w:rPr>
              <w:t>|</w:t>
            </w:r>
          </w:p>
        </w:tc>
        <w:tc>
          <w:tcPr>
            <w:tcW w:w="677" w:type="pct"/>
            <w:shd w:val="solid" w:color="000000" w:fill="000000"/>
            <w:noWrap/>
            <w:hideMark/>
          </w:tcPr>
          <w:p w14:paraId="40762768" w14:textId="771410B4" w:rsidR="00381AC2" w:rsidRPr="00D865D4" w:rsidRDefault="00D865D4" w:rsidP="009A303F">
            <w:pPr>
              <w:pStyle w:val="Tabletext0"/>
            </w:pPr>
            <w:r w:rsidRPr="008A2B4D">
              <w:rPr>
                <w:color w:val="000000"/>
                <w:spacing w:val="94"/>
                <w:fitText w:val="180" w:id="-1157883134"/>
                <w14:textFill>
                  <w14:solidFill>
                    <w14:srgbClr w14:val="000000">
                      <w14:alpha w14:val="100000"/>
                    </w14:srgbClr>
                  </w14:solidFill>
                </w14:textFill>
              </w:rPr>
              <w:t>|</w:t>
            </w:r>
            <w:r w:rsidRPr="008A2B4D">
              <w:rPr>
                <w:color w:val="000000"/>
                <w:fitText w:val="180" w:id="-1157883134"/>
                <w14:textFill>
                  <w14:solidFill>
                    <w14:srgbClr w14:val="000000">
                      <w14:alpha w14:val="100000"/>
                    </w14:srgbClr>
                  </w14:solidFill>
                </w14:textFill>
              </w:rPr>
              <w:t>|</w:t>
            </w:r>
          </w:p>
        </w:tc>
        <w:tc>
          <w:tcPr>
            <w:tcW w:w="677" w:type="pct"/>
            <w:shd w:val="solid" w:color="000000" w:fill="000000"/>
            <w:noWrap/>
            <w:hideMark/>
          </w:tcPr>
          <w:p w14:paraId="0FD29F32" w14:textId="57D1CBD7" w:rsidR="00381AC2" w:rsidRPr="00D865D4" w:rsidRDefault="00D865D4" w:rsidP="009A303F">
            <w:pPr>
              <w:pStyle w:val="Tabletext0"/>
            </w:pPr>
            <w:r w:rsidRPr="008A2B4D">
              <w:rPr>
                <w:color w:val="000000"/>
                <w:spacing w:val="94"/>
                <w:fitText w:val="180" w:id="-1157883133"/>
                <w14:textFill>
                  <w14:solidFill>
                    <w14:srgbClr w14:val="000000">
                      <w14:alpha w14:val="100000"/>
                    </w14:srgbClr>
                  </w14:solidFill>
                </w14:textFill>
              </w:rPr>
              <w:t>|</w:t>
            </w:r>
            <w:r w:rsidRPr="008A2B4D">
              <w:rPr>
                <w:color w:val="000000"/>
                <w:fitText w:val="180" w:id="-1157883133"/>
                <w14:textFill>
                  <w14:solidFill>
                    <w14:srgbClr w14:val="000000">
                      <w14:alpha w14:val="100000"/>
                    </w14:srgbClr>
                  </w14:solidFill>
                </w14:textFill>
              </w:rPr>
              <w:t>|</w:t>
            </w:r>
          </w:p>
        </w:tc>
        <w:tc>
          <w:tcPr>
            <w:tcW w:w="470" w:type="pct"/>
            <w:shd w:val="solid" w:color="000000" w:fill="000000"/>
          </w:tcPr>
          <w:p w14:paraId="1E31EF8C" w14:textId="2685DA16" w:rsidR="00381AC2" w:rsidRPr="00D865D4" w:rsidRDefault="00D865D4" w:rsidP="009A303F">
            <w:pPr>
              <w:pStyle w:val="Tabletext0"/>
            </w:pPr>
            <w:r w:rsidRPr="008A2B4D">
              <w:rPr>
                <w:color w:val="000000"/>
                <w:spacing w:val="94"/>
                <w:fitText w:val="180" w:id="-1157883132"/>
                <w14:textFill>
                  <w14:solidFill>
                    <w14:srgbClr w14:val="000000">
                      <w14:alpha w14:val="100000"/>
                    </w14:srgbClr>
                  </w14:solidFill>
                </w14:textFill>
              </w:rPr>
              <w:t>|</w:t>
            </w:r>
            <w:r w:rsidRPr="008A2B4D">
              <w:rPr>
                <w:color w:val="000000"/>
                <w:fitText w:val="180" w:id="-1157883132"/>
                <w14:textFill>
                  <w14:solidFill>
                    <w14:srgbClr w14:val="000000">
                      <w14:alpha w14:val="100000"/>
                    </w14:srgbClr>
                  </w14:solidFill>
                </w14:textFill>
              </w:rPr>
              <w:t>|</w:t>
            </w:r>
          </w:p>
        </w:tc>
      </w:tr>
      <w:tr w:rsidR="00381AC2" w:rsidRPr="005F5BEA" w14:paraId="672DD517" w14:textId="77777777" w:rsidTr="009A303F">
        <w:trPr>
          <w:trHeight w:val="240"/>
        </w:trPr>
        <w:tc>
          <w:tcPr>
            <w:tcW w:w="5000" w:type="pct"/>
            <w:gridSpan w:val="6"/>
            <w:noWrap/>
          </w:tcPr>
          <w:p w14:paraId="5C529513" w14:textId="429CD060" w:rsidR="00381AC2" w:rsidRPr="005F5BEA" w:rsidRDefault="00381AC2" w:rsidP="009A303F">
            <w:pPr>
              <w:pStyle w:val="Tabletext0"/>
              <w:rPr>
                <w:vertAlign w:val="superscript"/>
              </w:rPr>
            </w:pPr>
            <w:r w:rsidRPr="005F5BEA">
              <w:rPr>
                <w:b/>
              </w:rPr>
              <w:t>SA10: Exclude implantation related services</w:t>
            </w:r>
            <w:r w:rsidR="00B71117" w:rsidRPr="005F5BEA">
              <w:rPr>
                <w:b/>
              </w:rPr>
              <w:t> </w:t>
            </w:r>
            <w:r w:rsidRPr="005F5BEA">
              <w:rPr>
                <w:b/>
                <w:vertAlign w:val="superscript"/>
              </w:rPr>
              <w:t>b</w:t>
            </w:r>
          </w:p>
        </w:tc>
      </w:tr>
      <w:tr w:rsidR="00381AC2" w:rsidRPr="005F5BEA" w14:paraId="0924569C" w14:textId="77777777" w:rsidTr="005926D9">
        <w:trPr>
          <w:trHeight w:val="240"/>
        </w:trPr>
        <w:tc>
          <w:tcPr>
            <w:tcW w:w="1824" w:type="pct"/>
            <w:noWrap/>
          </w:tcPr>
          <w:p w14:paraId="6454AF5E" w14:textId="77777777" w:rsidR="00381AC2" w:rsidRPr="005F5BEA" w:rsidRDefault="00381AC2" w:rsidP="009A303F">
            <w:pPr>
              <w:pStyle w:val="Tabletext0"/>
            </w:pPr>
            <w:r w:rsidRPr="005F5BEA">
              <w:rPr>
                <w:szCs w:val="22"/>
              </w:rPr>
              <w:t>Total Services</w:t>
            </w:r>
          </w:p>
        </w:tc>
        <w:tc>
          <w:tcPr>
            <w:tcW w:w="677" w:type="pct"/>
            <w:noWrap/>
            <w:vAlign w:val="top"/>
          </w:tcPr>
          <w:p w14:paraId="1FD88516" w14:textId="77777777" w:rsidR="00381AC2" w:rsidRPr="005F5BEA" w:rsidRDefault="00381AC2" w:rsidP="009A303F">
            <w:pPr>
              <w:pStyle w:val="Tabletext0"/>
            </w:pPr>
            <w:r w:rsidRPr="005F5BEA">
              <w:t xml:space="preserve"> 651,418 </w:t>
            </w:r>
          </w:p>
        </w:tc>
        <w:tc>
          <w:tcPr>
            <w:tcW w:w="677" w:type="pct"/>
            <w:noWrap/>
            <w:vAlign w:val="top"/>
          </w:tcPr>
          <w:p w14:paraId="507671F6" w14:textId="77777777" w:rsidR="00381AC2" w:rsidRPr="005F5BEA" w:rsidRDefault="00381AC2" w:rsidP="009A303F">
            <w:pPr>
              <w:pStyle w:val="Tabletext0"/>
            </w:pPr>
            <w:r w:rsidRPr="005F5BEA">
              <w:t xml:space="preserve"> 697,017 </w:t>
            </w:r>
          </w:p>
        </w:tc>
        <w:tc>
          <w:tcPr>
            <w:tcW w:w="677" w:type="pct"/>
            <w:noWrap/>
            <w:vAlign w:val="top"/>
          </w:tcPr>
          <w:p w14:paraId="6AFEC374" w14:textId="77777777" w:rsidR="00381AC2" w:rsidRPr="005F5BEA" w:rsidRDefault="00381AC2" w:rsidP="009A303F">
            <w:pPr>
              <w:pStyle w:val="Tabletext0"/>
            </w:pPr>
            <w:r w:rsidRPr="005F5BEA">
              <w:t xml:space="preserve"> 745,808 </w:t>
            </w:r>
          </w:p>
        </w:tc>
        <w:tc>
          <w:tcPr>
            <w:tcW w:w="677" w:type="pct"/>
            <w:noWrap/>
            <w:vAlign w:val="top"/>
          </w:tcPr>
          <w:p w14:paraId="4A9D3838" w14:textId="77777777" w:rsidR="00381AC2" w:rsidRPr="005F5BEA" w:rsidRDefault="00381AC2" w:rsidP="009A303F">
            <w:pPr>
              <w:pStyle w:val="Tabletext0"/>
            </w:pPr>
            <w:r w:rsidRPr="005F5BEA">
              <w:t xml:space="preserve"> 798,015 </w:t>
            </w:r>
          </w:p>
        </w:tc>
        <w:tc>
          <w:tcPr>
            <w:tcW w:w="470" w:type="pct"/>
          </w:tcPr>
          <w:p w14:paraId="0C829895" w14:textId="77777777" w:rsidR="00381AC2" w:rsidRPr="005F5BEA" w:rsidRDefault="00381AC2" w:rsidP="009A303F">
            <w:pPr>
              <w:pStyle w:val="Tabletext0"/>
            </w:pPr>
          </w:p>
        </w:tc>
      </w:tr>
      <w:tr w:rsidR="00381AC2" w:rsidRPr="005F5BEA" w14:paraId="22A60486" w14:textId="77777777" w:rsidTr="005926D9">
        <w:trPr>
          <w:trHeight w:val="240"/>
        </w:trPr>
        <w:tc>
          <w:tcPr>
            <w:tcW w:w="1824" w:type="pct"/>
            <w:noWrap/>
            <w:vAlign w:val="top"/>
          </w:tcPr>
          <w:p w14:paraId="521B6747" w14:textId="77777777" w:rsidR="00381AC2" w:rsidRPr="005F5BEA" w:rsidRDefault="00381AC2" w:rsidP="009A303F">
            <w:pPr>
              <w:pStyle w:val="Tabletext0"/>
            </w:pPr>
            <w:r w:rsidRPr="005F5BEA">
              <w:t>Total Costs</w:t>
            </w:r>
          </w:p>
        </w:tc>
        <w:tc>
          <w:tcPr>
            <w:tcW w:w="677" w:type="pct"/>
            <w:noWrap/>
            <w:vAlign w:val="top"/>
          </w:tcPr>
          <w:p w14:paraId="0055E903" w14:textId="77777777" w:rsidR="00381AC2" w:rsidRPr="005F5BEA" w:rsidRDefault="00381AC2" w:rsidP="009A303F">
            <w:pPr>
              <w:pStyle w:val="Tabletext0"/>
            </w:pPr>
            <w:r w:rsidRPr="005F5BEA">
              <w:t xml:space="preserve"> </w:t>
            </w:r>
            <w:r w:rsidRPr="005F5BEA">
              <w:rPr>
                <w:rStyle w:val="normaltextrun"/>
                <w:color w:val="000000"/>
                <w:shd w:val="clear" w:color="auto" w:fill="FFFFFF"/>
              </w:rPr>
              <w:t>$59,122,961</w:t>
            </w:r>
            <w:r w:rsidRPr="005F5BEA">
              <w:rPr>
                <w:rStyle w:val="eop"/>
                <w:color w:val="000000"/>
                <w:shd w:val="clear" w:color="auto" w:fill="FFFFFF"/>
              </w:rPr>
              <w:t> </w:t>
            </w:r>
          </w:p>
        </w:tc>
        <w:tc>
          <w:tcPr>
            <w:tcW w:w="677" w:type="pct"/>
            <w:noWrap/>
            <w:vAlign w:val="top"/>
          </w:tcPr>
          <w:p w14:paraId="7AD8BFE0" w14:textId="77777777" w:rsidR="00381AC2" w:rsidRPr="005F5BEA" w:rsidRDefault="00381AC2" w:rsidP="009A303F">
            <w:pPr>
              <w:pStyle w:val="Tabletext0"/>
            </w:pPr>
            <w:r w:rsidRPr="005F5BEA">
              <w:t xml:space="preserve"> </w:t>
            </w:r>
            <w:r w:rsidRPr="005F5BEA">
              <w:rPr>
                <w:rStyle w:val="normaltextrun"/>
                <w:color w:val="000000"/>
                <w:shd w:val="clear" w:color="auto" w:fill="FFFFFF"/>
              </w:rPr>
              <w:t>$64,529,953</w:t>
            </w:r>
            <w:r w:rsidRPr="005F5BEA">
              <w:rPr>
                <w:rStyle w:val="eop"/>
                <w:color w:val="000000"/>
                <w:shd w:val="clear" w:color="auto" w:fill="FFFFFF"/>
              </w:rPr>
              <w:t> </w:t>
            </w:r>
          </w:p>
        </w:tc>
        <w:tc>
          <w:tcPr>
            <w:tcW w:w="677" w:type="pct"/>
            <w:noWrap/>
            <w:vAlign w:val="top"/>
          </w:tcPr>
          <w:p w14:paraId="6845DF86" w14:textId="77777777" w:rsidR="00381AC2" w:rsidRPr="005F5BEA" w:rsidRDefault="00381AC2" w:rsidP="009A303F">
            <w:pPr>
              <w:pStyle w:val="Tabletext0"/>
            </w:pPr>
            <w:r w:rsidRPr="005F5BEA">
              <w:t xml:space="preserve"> </w:t>
            </w:r>
            <w:r w:rsidRPr="005F5BEA">
              <w:rPr>
                <w:rStyle w:val="normaltextrun"/>
                <w:color w:val="000000"/>
                <w:shd w:val="clear" w:color="auto" w:fill="FFFFFF"/>
              </w:rPr>
              <w:t>$70,344,708</w:t>
            </w:r>
            <w:r w:rsidRPr="005F5BEA">
              <w:rPr>
                <w:rStyle w:val="eop"/>
                <w:color w:val="000000"/>
                <w:shd w:val="clear" w:color="auto" w:fill="FFFFFF"/>
              </w:rPr>
              <w:t> </w:t>
            </w:r>
          </w:p>
        </w:tc>
        <w:tc>
          <w:tcPr>
            <w:tcW w:w="677" w:type="pct"/>
            <w:noWrap/>
            <w:vAlign w:val="top"/>
          </w:tcPr>
          <w:p w14:paraId="5B9CF62A" w14:textId="77777777" w:rsidR="00381AC2" w:rsidRPr="005F5BEA" w:rsidRDefault="00381AC2" w:rsidP="009A303F">
            <w:pPr>
              <w:pStyle w:val="Tabletext0"/>
            </w:pPr>
            <w:r w:rsidRPr="005F5BEA">
              <w:t xml:space="preserve"> </w:t>
            </w:r>
            <w:r w:rsidRPr="005F5BEA">
              <w:rPr>
                <w:rStyle w:val="normaltextrun"/>
                <w:color w:val="000000"/>
                <w:shd w:val="clear" w:color="auto" w:fill="FFFFFF"/>
              </w:rPr>
              <w:t>$76,601,254</w:t>
            </w:r>
            <w:r w:rsidRPr="005F5BEA">
              <w:rPr>
                <w:rStyle w:val="eop"/>
                <w:color w:val="000000"/>
                <w:shd w:val="clear" w:color="auto" w:fill="FFFFFF"/>
              </w:rPr>
              <w:t> </w:t>
            </w:r>
          </w:p>
        </w:tc>
        <w:tc>
          <w:tcPr>
            <w:tcW w:w="470" w:type="pct"/>
            <w:vAlign w:val="top"/>
          </w:tcPr>
          <w:p w14:paraId="2F9C84F9" w14:textId="77777777" w:rsidR="00381AC2" w:rsidRPr="005F5BEA" w:rsidRDefault="00381AC2" w:rsidP="009A303F">
            <w:pPr>
              <w:pStyle w:val="Tabletext0"/>
            </w:pPr>
            <w:r w:rsidRPr="005F5BEA">
              <w:t>-21.1%</w:t>
            </w:r>
          </w:p>
        </w:tc>
      </w:tr>
    </w:tbl>
    <w:p w14:paraId="3A36C577" w14:textId="77777777" w:rsidR="004F68E8" w:rsidRPr="005F5BEA" w:rsidRDefault="004F68E8" w:rsidP="004F68E8">
      <w:pPr>
        <w:pStyle w:val="paragraph"/>
        <w:spacing w:before="0" w:beforeAutospacing="0" w:after="0" w:afterAutospacing="0"/>
        <w:textAlignment w:val="baseline"/>
        <w:rPr>
          <w:rFonts w:ascii="Segoe UI" w:hAnsi="Segoe UI" w:cs="Segoe UI"/>
          <w:sz w:val="18"/>
          <w:szCs w:val="18"/>
        </w:rPr>
      </w:pPr>
      <w:r w:rsidRPr="005F5BEA">
        <w:rPr>
          <w:rStyle w:val="normaltextrun"/>
          <w:rFonts w:ascii="Arial Narrow" w:hAnsi="Arial Narrow" w:cs="Segoe UI"/>
          <w:sz w:val="18"/>
          <w:szCs w:val="18"/>
        </w:rPr>
        <w:t>Source: generated during the evaluation from the utilisation and cost spreadsheet.</w:t>
      </w:r>
      <w:r w:rsidRPr="005F5BEA">
        <w:rPr>
          <w:rStyle w:val="eop"/>
          <w:rFonts w:ascii="Arial Narrow" w:hAnsi="Arial Narrow" w:cs="Segoe UI"/>
          <w:sz w:val="18"/>
          <w:szCs w:val="18"/>
        </w:rPr>
        <w:t> </w:t>
      </w:r>
    </w:p>
    <w:p w14:paraId="624237C0" w14:textId="5F45ACC7" w:rsidR="004F68E8" w:rsidRPr="005F5BEA" w:rsidRDefault="004F68E8" w:rsidP="004F68E8">
      <w:pPr>
        <w:pStyle w:val="paragraph"/>
        <w:spacing w:before="0" w:beforeAutospacing="0" w:after="0" w:afterAutospacing="0"/>
        <w:textAlignment w:val="baseline"/>
        <w:rPr>
          <w:rFonts w:ascii="Segoe UI" w:hAnsi="Segoe UI" w:cs="Segoe UI"/>
          <w:sz w:val="18"/>
          <w:szCs w:val="18"/>
        </w:rPr>
      </w:pPr>
      <w:proofErr w:type="spellStart"/>
      <w:r w:rsidRPr="005F5BEA">
        <w:rPr>
          <w:rStyle w:val="spellingerrorsuperscript"/>
          <w:rFonts w:ascii="Arial Narrow" w:hAnsi="Arial Narrow" w:cs="Segoe UI"/>
          <w:sz w:val="14"/>
          <w:szCs w:val="14"/>
          <w:vertAlign w:val="superscript"/>
        </w:rPr>
        <w:t>a</w:t>
      </w:r>
      <w:r w:rsidRPr="005F5BEA">
        <w:rPr>
          <w:rStyle w:val="normaltextrun"/>
          <w:rFonts w:ascii="Arial Narrow" w:hAnsi="Arial Narrow" w:cs="Segoe UI"/>
          <w:sz w:val="18"/>
          <w:szCs w:val="18"/>
        </w:rPr>
        <w:t>Presenting</w:t>
      </w:r>
      <w:proofErr w:type="spellEnd"/>
      <w:r w:rsidRPr="005F5BEA">
        <w:rPr>
          <w:rStyle w:val="normaltextrun"/>
          <w:rFonts w:ascii="Arial Narrow" w:hAnsi="Arial Narrow" w:cs="Segoe UI"/>
          <w:sz w:val="18"/>
          <w:szCs w:val="18"/>
        </w:rPr>
        <w:t xml:space="preserve"> costs for individual categories (</w:t>
      </w:r>
      <w:proofErr w:type="spellStart"/>
      <w:r w:rsidRPr="005F5BEA">
        <w:rPr>
          <w:rStyle w:val="normaltextrun"/>
          <w:rFonts w:ascii="Arial Narrow" w:hAnsi="Arial Narrow" w:cs="Segoe UI"/>
          <w:sz w:val="18"/>
          <w:szCs w:val="18"/>
        </w:rPr>
        <w:t>ie</w:t>
      </w:r>
      <w:proofErr w:type="spellEnd"/>
      <w:r w:rsidRPr="005F5BEA">
        <w:rPr>
          <w:rStyle w:val="normaltextrun"/>
          <w:rFonts w:ascii="Arial Narrow" w:hAnsi="Arial Narrow" w:cs="Segoe UI"/>
          <w:sz w:val="18"/>
          <w:szCs w:val="18"/>
        </w:rPr>
        <w:t xml:space="preserve">, excluding ILRs or reporting for only Scheduled Services) reduces the onboarding, </w:t>
      </w:r>
      <w:proofErr w:type="gramStart"/>
      <w:r w:rsidRPr="005F5BEA">
        <w:rPr>
          <w:rStyle w:val="normaltextrun"/>
          <w:rFonts w:ascii="Arial Narrow" w:hAnsi="Arial Narrow" w:cs="Segoe UI"/>
          <w:sz w:val="18"/>
          <w:szCs w:val="18"/>
        </w:rPr>
        <w:t>training</w:t>
      </w:r>
      <w:proofErr w:type="gramEnd"/>
      <w:r w:rsidRPr="005F5BEA">
        <w:rPr>
          <w:rStyle w:val="normaltextrun"/>
          <w:rFonts w:ascii="Arial Narrow" w:hAnsi="Arial Narrow" w:cs="Segoe UI"/>
          <w:sz w:val="18"/>
          <w:szCs w:val="18"/>
        </w:rPr>
        <w:t xml:space="preserve"> and certification costs relative to the reduction of overall services. This results in an approximate cost that may not be accurate if the excluded services require a different duration of effort to those that are retained in the model. For example, excluding ILRs from the model removes 150,455 services, however 94.5% of these are remote services that will require less effort than in-person services. Therefore, while this approach would result in a reduction of 21.6% of all training costs, the removal of these services would not result in a reduction of 21.6% in </w:t>
      </w:r>
      <w:r w:rsidR="00B62C82" w:rsidRPr="005F5BEA">
        <w:rPr>
          <w:rStyle w:val="normaltextrun"/>
          <w:rFonts w:ascii="Arial Narrow" w:hAnsi="Arial Narrow" w:cs="Segoe UI"/>
          <w:sz w:val="18"/>
          <w:szCs w:val="18"/>
        </w:rPr>
        <w:t>IECT</w:t>
      </w:r>
      <w:r w:rsidRPr="005F5BEA">
        <w:rPr>
          <w:rStyle w:val="normaltextrun"/>
          <w:rFonts w:ascii="Arial Narrow" w:hAnsi="Arial Narrow" w:cs="Segoe UI"/>
          <w:sz w:val="18"/>
          <w:szCs w:val="18"/>
        </w:rPr>
        <w:t>s.</w:t>
      </w:r>
      <w:r w:rsidRPr="005F5BEA">
        <w:rPr>
          <w:rStyle w:val="eop"/>
          <w:rFonts w:ascii="Arial Narrow" w:hAnsi="Arial Narrow" w:cs="Segoe UI"/>
          <w:sz w:val="18"/>
          <w:szCs w:val="18"/>
        </w:rPr>
        <w:t> </w:t>
      </w:r>
    </w:p>
    <w:p w14:paraId="06F1B835" w14:textId="3A9FB1AA" w:rsidR="0021347C" w:rsidRPr="005F5BEA" w:rsidRDefault="004F68E8" w:rsidP="001F67F9">
      <w:pPr>
        <w:pStyle w:val="paragraph"/>
        <w:spacing w:before="0" w:beforeAutospacing="0" w:after="0" w:afterAutospacing="0"/>
        <w:textAlignment w:val="baseline"/>
        <w:rPr>
          <w:rFonts w:ascii="Segoe UI" w:hAnsi="Segoe UI" w:cs="Segoe UI"/>
          <w:sz w:val="18"/>
          <w:szCs w:val="18"/>
        </w:rPr>
      </w:pPr>
      <w:proofErr w:type="spellStart"/>
      <w:r w:rsidRPr="005F5BEA">
        <w:rPr>
          <w:rStyle w:val="spellingerrorsuperscript"/>
          <w:rFonts w:ascii="Arial Narrow" w:hAnsi="Arial Narrow" w:cs="Segoe UI"/>
          <w:sz w:val="14"/>
          <w:szCs w:val="14"/>
          <w:vertAlign w:val="superscript"/>
        </w:rPr>
        <w:t>b</w:t>
      </w:r>
      <w:r w:rsidRPr="005F5BEA">
        <w:rPr>
          <w:rStyle w:val="normaltextrun"/>
          <w:rFonts w:ascii="Arial Narrow" w:hAnsi="Arial Narrow" w:cs="Segoe UI"/>
          <w:sz w:val="18"/>
          <w:szCs w:val="18"/>
        </w:rPr>
        <w:t>Training</w:t>
      </w:r>
      <w:proofErr w:type="spellEnd"/>
      <w:r w:rsidRPr="005F5BEA">
        <w:rPr>
          <w:rStyle w:val="normaltextrun"/>
          <w:rFonts w:ascii="Arial Narrow" w:hAnsi="Arial Narrow" w:cs="Segoe UI"/>
          <w:sz w:val="18"/>
          <w:szCs w:val="18"/>
        </w:rPr>
        <w:t xml:space="preserve"> and overhead costs are separated by year and type of CIED, but not by type of service (</w:t>
      </w:r>
      <w:proofErr w:type="spellStart"/>
      <w:r w:rsidRPr="005F5BEA">
        <w:rPr>
          <w:rStyle w:val="normaltextrun"/>
          <w:rFonts w:ascii="Arial Narrow" w:hAnsi="Arial Narrow" w:cs="Segoe UI"/>
          <w:sz w:val="18"/>
          <w:szCs w:val="18"/>
        </w:rPr>
        <w:t>ie</w:t>
      </w:r>
      <w:proofErr w:type="spellEnd"/>
      <w:r w:rsidRPr="005F5BEA">
        <w:rPr>
          <w:rStyle w:val="normaltextrun"/>
          <w:rFonts w:ascii="Arial Narrow" w:hAnsi="Arial Narrow" w:cs="Segoe UI"/>
          <w:sz w:val="18"/>
          <w:szCs w:val="18"/>
        </w:rPr>
        <w:t xml:space="preserve">, routine follow up, </w:t>
      </w:r>
      <w:r w:rsidR="006717BF" w:rsidRPr="005F5BEA">
        <w:rPr>
          <w:rStyle w:val="normaltextrun"/>
          <w:rFonts w:ascii="Arial Narrow" w:hAnsi="Arial Narrow" w:cs="Segoe UI"/>
          <w:sz w:val="18"/>
          <w:szCs w:val="18"/>
        </w:rPr>
        <w:t>implantation</w:t>
      </w:r>
      <w:r w:rsidRPr="005F5BEA">
        <w:rPr>
          <w:rStyle w:val="normaltextrun"/>
          <w:rFonts w:ascii="Arial Narrow" w:hAnsi="Arial Narrow" w:cs="Segoe UI"/>
          <w:sz w:val="18"/>
          <w:szCs w:val="18"/>
        </w:rPr>
        <w:t xml:space="preserve"> support etc). Therefore, excluding implantation related services – called “implantation support service” and “Day 1 post implantation check” – requires that a proportion of training and overhead costs are also excluded. This has been done by reducing these costs proportionally by the reduction in services associated with the exclusion of implantation related services. Across both public and private settings, the overall reduction in services differs for each type of device, ranging from a reduction of 9.59% for CRT</w:t>
      </w:r>
      <w:r w:rsidR="005B1245" w:rsidRPr="005F5BEA">
        <w:rPr>
          <w:rStyle w:val="normaltextrun"/>
          <w:rFonts w:ascii="Arial Narrow" w:hAnsi="Arial Narrow" w:cs="Segoe UI"/>
          <w:sz w:val="18"/>
          <w:szCs w:val="18"/>
        </w:rPr>
        <w:t>D</w:t>
      </w:r>
      <w:r w:rsidRPr="005F5BEA">
        <w:rPr>
          <w:rStyle w:val="normaltextrun"/>
          <w:rFonts w:ascii="Arial Narrow" w:hAnsi="Arial Narrow" w:cs="Segoe UI"/>
          <w:sz w:val="18"/>
          <w:szCs w:val="18"/>
        </w:rPr>
        <w:t>s to 2.34% for ILRs. </w:t>
      </w:r>
      <w:r w:rsidRPr="005F5BEA">
        <w:rPr>
          <w:rStyle w:val="eop"/>
          <w:rFonts w:ascii="Arial Narrow" w:hAnsi="Arial Narrow" w:cs="Segoe UI"/>
          <w:sz w:val="18"/>
          <w:szCs w:val="18"/>
        </w:rPr>
        <w:t> </w:t>
      </w:r>
    </w:p>
    <w:p w14:paraId="1C7EDDF0" w14:textId="099C8E34" w:rsidR="0021347C" w:rsidRPr="005F5BEA" w:rsidRDefault="0021347C" w:rsidP="001F67F9">
      <w:pPr>
        <w:pStyle w:val="Caption"/>
        <w:keepNext/>
        <w:spacing w:before="240"/>
        <w:rPr>
          <w:rFonts w:ascii="Arial Narrow" w:hAnsi="Arial Narrow"/>
          <w:b/>
          <w:sz w:val="20"/>
          <w:szCs w:val="20"/>
        </w:rPr>
      </w:pPr>
      <w:bookmarkStart w:id="34" w:name="_Ref122617352"/>
      <w:bookmarkEnd w:id="33"/>
      <w:r w:rsidRPr="005F5BEA">
        <w:rPr>
          <w:rFonts w:ascii="Arial Narrow" w:hAnsi="Arial Narrow"/>
          <w:b/>
          <w:i w:val="0"/>
          <w:color w:val="auto"/>
          <w:sz w:val="20"/>
          <w:szCs w:val="20"/>
        </w:rPr>
        <w:lastRenderedPageBreak/>
        <w:t xml:space="preserve">Table </w:t>
      </w:r>
      <w:r w:rsidRPr="005F5BEA">
        <w:rPr>
          <w:rFonts w:ascii="Arial Narrow" w:hAnsi="Arial Narrow"/>
          <w:b/>
          <w:i w:val="0"/>
          <w:color w:val="auto"/>
          <w:sz w:val="20"/>
          <w:szCs w:val="20"/>
        </w:rPr>
        <w:fldChar w:fldCharType="begin"/>
      </w:r>
      <w:r w:rsidRPr="005F5BEA">
        <w:rPr>
          <w:rFonts w:ascii="Arial Narrow" w:hAnsi="Arial Narrow"/>
          <w:b/>
          <w:i w:val="0"/>
          <w:color w:val="auto"/>
          <w:sz w:val="20"/>
          <w:szCs w:val="20"/>
        </w:rPr>
        <w:instrText xml:space="preserve"> SEQ Table \* ARABIC </w:instrText>
      </w:r>
      <w:r w:rsidRPr="005F5BEA">
        <w:rPr>
          <w:rFonts w:ascii="Arial Narrow" w:hAnsi="Arial Narrow"/>
          <w:b/>
          <w:i w:val="0"/>
          <w:color w:val="auto"/>
          <w:sz w:val="20"/>
          <w:szCs w:val="20"/>
        </w:rPr>
        <w:fldChar w:fldCharType="separate"/>
      </w:r>
      <w:r w:rsidR="00334548">
        <w:rPr>
          <w:rFonts w:ascii="Arial Narrow" w:hAnsi="Arial Narrow"/>
          <w:b/>
          <w:i w:val="0"/>
          <w:noProof/>
          <w:color w:val="auto"/>
          <w:sz w:val="20"/>
          <w:szCs w:val="20"/>
        </w:rPr>
        <w:t>16</w:t>
      </w:r>
      <w:r w:rsidRPr="005F5BEA">
        <w:rPr>
          <w:rFonts w:ascii="Arial Narrow" w:hAnsi="Arial Narrow"/>
          <w:b/>
          <w:i w:val="0"/>
          <w:color w:val="auto"/>
          <w:sz w:val="20"/>
          <w:szCs w:val="20"/>
        </w:rPr>
        <w:fldChar w:fldCharType="end"/>
      </w:r>
      <w:bookmarkEnd w:id="34"/>
      <w:r w:rsidRPr="005F5BEA">
        <w:rPr>
          <w:rFonts w:ascii="Arial Narrow" w:hAnsi="Arial Narrow"/>
          <w:b/>
          <w:i w:val="0"/>
          <w:color w:val="auto"/>
          <w:sz w:val="20"/>
          <w:szCs w:val="20"/>
        </w:rPr>
        <w:t xml:space="preserve"> Unscheduled, </w:t>
      </w:r>
      <w:proofErr w:type="gramStart"/>
      <w:r w:rsidRPr="005F5BEA">
        <w:rPr>
          <w:rFonts w:ascii="Arial Narrow" w:hAnsi="Arial Narrow"/>
          <w:b/>
          <w:i w:val="0"/>
          <w:color w:val="auto"/>
          <w:sz w:val="20"/>
          <w:szCs w:val="20"/>
        </w:rPr>
        <w:t>scheduled</w:t>
      </w:r>
      <w:proofErr w:type="gramEnd"/>
      <w:r w:rsidRPr="005F5BEA">
        <w:rPr>
          <w:rFonts w:ascii="Arial Narrow" w:hAnsi="Arial Narrow"/>
          <w:b/>
          <w:i w:val="0"/>
          <w:color w:val="auto"/>
          <w:sz w:val="20"/>
          <w:szCs w:val="20"/>
        </w:rPr>
        <w:t xml:space="preserve"> and remote services. Cost per service and sensitivity analysis of total costs</w:t>
      </w:r>
    </w:p>
    <w:tbl>
      <w:tblPr>
        <w:tblStyle w:val="MSAC"/>
        <w:tblW w:w="901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6"/>
        <w:gridCol w:w="1995"/>
        <w:gridCol w:w="1355"/>
        <w:gridCol w:w="1355"/>
        <w:gridCol w:w="1355"/>
        <w:gridCol w:w="1355"/>
        <w:gridCol w:w="939"/>
      </w:tblGrid>
      <w:tr w:rsidR="004F68E8" w:rsidRPr="005F5BEA" w14:paraId="7BC642C7" w14:textId="77777777" w:rsidTr="002E717D">
        <w:trPr>
          <w:cnfStyle w:val="100000000000" w:firstRow="1" w:lastRow="0" w:firstColumn="0" w:lastColumn="0" w:oddVBand="0" w:evenVBand="0" w:oddHBand="0" w:evenHBand="0" w:firstRowFirstColumn="0" w:firstRowLastColumn="0" w:lastRowFirstColumn="0" w:lastRowLastColumn="0"/>
          <w:trHeight w:val="300"/>
        </w:trPr>
        <w:tc>
          <w:tcPr>
            <w:tcW w:w="656"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604E9C57" w14:textId="77777777" w:rsidR="004F68E8" w:rsidRPr="005F5BEA" w:rsidRDefault="004F68E8" w:rsidP="005926D9">
            <w:pPr>
              <w:pStyle w:val="Tabletext0"/>
              <w:rPr>
                <w:rFonts w:ascii="Segoe UI" w:hAnsi="Segoe UI"/>
                <w:sz w:val="18"/>
                <w:szCs w:val="18"/>
              </w:rPr>
            </w:pPr>
            <w:r w:rsidRPr="005F5BEA">
              <w:t> </w:t>
            </w:r>
          </w:p>
        </w:tc>
        <w:tc>
          <w:tcPr>
            <w:tcW w:w="199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42D09B49" w14:textId="77777777" w:rsidR="004F68E8" w:rsidRPr="005F5BEA" w:rsidRDefault="004F68E8" w:rsidP="005926D9">
            <w:pPr>
              <w:pStyle w:val="Tabletext0"/>
              <w:rPr>
                <w:rFonts w:ascii="Segoe UI" w:hAnsi="Segoe UI"/>
                <w:sz w:val="18"/>
                <w:szCs w:val="18"/>
              </w:rPr>
            </w:pPr>
            <w:r w:rsidRPr="005F5BEA">
              <w:rPr>
                <w:bCs/>
              </w:rPr>
              <w:t>Multivariate sensitivity analysis</w:t>
            </w:r>
            <w:r w:rsidRPr="005F5BEA">
              <w:t> </w:t>
            </w:r>
          </w:p>
        </w:tc>
        <w:tc>
          <w:tcPr>
            <w:tcW w:w="135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57E205A7" w14:textId="77777777" w:rsidR="004F68E8" w:rsidRPr="005F5BEA" w:rsidRDefault="004F68E8" w:rsidP="005926D9">
            <w:pPr>
              <w:pStyle w:val="Tabletext0"/>
              <w:rPr>
                <w:rFonts w:ascii="Segoe UI" w:hAnsi="Segoe UI"/>
                <w:sz w:val="18"/>
                <w:szCs w:val="18"/>
              </w:rPr>
            </w:pPr>
            <w:r w:rsidRPr="005F5BEA">
              <w:rPr>
                <w:bCs/>
              </w:rPr>
              <w:t>2022</w:t>
            </w:r>
            <w:r w:rsidRPr="005F5BEA">
              <w:t> </w:t>
            </w:r>
          </w:p>
        </w:tc>
        <w:tc>
          <w:tcPr>
            <w:tcW w:w="135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14FFB21C" w14:textId="77777777" w:rsidR="004F68E8" w:rsidRPr="005F5BEA" w:rsidRDefault="004F68E8" w:rsidP="005926D9">
            <w:pPr>
              <w:pStyle w:val="Tabletext0"/>
              <w:rPr>
                <w:rFonts w:ascii="Segoe UI" w:hAnsi="Segoe UI"/>
                <w:sz w:val="18"/>
                <w:szCs w:val="18"/>
              </w:rPr>
            </w:pPr>
            <w:r w:rsidRPr="005F5BEA">
              <w:rPr>
                <w:bCs/>
              </w:rPr>
              <w:t>2023</w:t>
            </w:r>
            <w:r w:rsidRPr="005F5BEA">
              <w:t> </w:t>
            </w:r>
          </w:p>
        </w:tc>
        <w:tc>
          <w:tcPr>
            <w:tcW w:w="135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306098DD" w14:textId="77777777" w:rsidR="004F68E8" w:rsidRPr="005F5BEA" w:rsidRDefault="004F68E8" w:rsidP="005926D9">
            <w:pPr>
              <w:pStyle w:val="Tabletext0"/>
              <w:rPr>
                <w:rFonts w:ascii="Segoe UI" w:hAnsi="Segoe UI"/>
                <w:sz w:val="18"/>
                <w:szCs w:val="18"/>
              </w:rPr>
            </w:pPr>
            <w:r w:rsidRPr="005F5BEA">
              <w:rPr>
                <w:bCs/>
              </w:rPr>
              <w:t>2024</w:t>
            </w:r>
            <w:r w:rsidRPr="005F5BEA">
              <w:t> </w:t>
            </w:r>
          </w:p>
        </w:tc>
        <w:tc>
          <w:tcPr>
            <w:tcW w:w="135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04D53513" w14:textId="77777777" w:rsidR="004F68E8" w:rsidRPr="005F5BEA" w:rsidRDefault="004F68E8" w:rsidP="005926D9">
            <w:pPr>
              <w:pStyle w:val="Tabletext0"/>
              <w:rPr>
                <w:rFonts w:ascii="Segoe UI" w:hAnsi="Segoe UI"/>
                <w:sz w:val="18"/>
                <w:szCs w:val="18"/>
              </w:rPr>
            </w:pPr>
            <w:r w:rsidRPr="005F5BEA">
              <w:rPr>
                <w:bCs/>
              </w:rPr>
              <w:t>2025</w:t>
            </w:r>
            <w:r w:rsidRPr="005F5BEA">
              <w:t> </w:t>
            </w:r>
          </w:p>
        </w:tc>
        <w:tc>
          <w:tcPr>
            <w:tcW w:w="939"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0261C4C4" w14:textId="77777777" w:rsidR="004F68E8" w:rsidRPr="005F5BEA" w:rsidRDefault="004F68E8" w:rsidP="005926D9">
            <w:pPr>
              <w:pStyle w:val="Tabletext0"/>
              <w:rPr>
                <w:rFonts w:ascii="Segoe UI" w:hAnsi="Segoe UI"/>
                <w:sz w:val="18"/>
                <w:szCs w:val="18"/>
              </w:rPr>
            </w:pPr>
            <w:r w:rsidRPr="005F5BEA">
              <w:rPr>
                <w:bCs/>
              </w:rPr>
              <w:t>Cost per service (2022)</w:t>
            </w:r>
            <w:r w:rsidRPr="005F5BEA">
              <w:t> </w:t>
            </w:r>
          </w:p>
        </w:tc>
      </w:tr>
      <w:tr w:rsidR="004F68E8" w:rsidRPr="005F5BEA" w14:paraId="487DE261" w14:textId="77777777" w:rsidTr="00D865D4">
        <w:trPr>
          <w:trHeight w:val="300"/>
        </w:trPr>
        <w:tc>
          <w:tcPr>
            <w:tcW w:w="2651" w:type="dxa"/>
            <w:gridSpan w:val="2"/>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7FFCD99B" w14:textId="77777777" w:rsidR="004F68E8" w:rsidRPr="005F5BEA" w:rsidRDefault="004F68E8" w:rsidP="005926D9">
            <w:pPr>
              <w:pStyle w:val="Tabletext0"/>
              <w:rPr>
                <w:rFonts w:ascii="Segoe UI" w:hAnsi="Segoe UI"/>
                <w:sz w:val="18"/>
                <w:szCs w:val="18"/>
              </w:rPr>
            </w:pPr>
            <w:r w:rsidRPr="005F5BEA">
              <w:rPr>
                <w:b/>
                <w:bCs/>
              </w:rPr>
              <w:t>Total unscheduled services (n)</w:t>
            </w:r>
            <w:r w:rsidRPr="005F5BEA">
              <w:t> </w:t>
            </w:r>
          </w:p>
        </w:tc>
        <w:tc>
          <w:tcPr>
            <w:tcW w:w="135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22351642" w14:textId="77777777" w:rsidR="004F68E8" w:rsidRPr="005F5BEA" w:rsidRDefault="004F68E8" w:rsidP="005926D9">
            <w:pPr>
              <w:pStyle w:val="Tabletext0"/>
              <w:rPr>
                <w:rFonts w:ascii="Segoe UI" w:hAnsi="Segoe UI"/>
                <w:sz w:val="18"/>
                <w:szCs w:val="18"/>
              </w:rPr>
            </w:pPr>
            <w:r w:rsidRPr="005F5BEA">
              <w:t>14,312 </w:t>
            </w:r>
          </w:p>
        </w:tc>
        <w:tc>
          <w:tcPr>
            <w:tcW w:w="135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69A39AB2" w14:textId="77777777" w:rsidR="004F68E8" w:rsidRPr="005F5BEA" w:rsidRDefault="004F68E8" w:rsidP="005926D9">
            <w:pPr>
              <w:pStyle w:val="Tabletext0"/>
              <w:rPr>
                <w:rFonts w:ascii="Segoe UI" w:hAnsi="Segoe UI"/>
                <w:sz w:val="18"/>
                <w:szCs w:val="18"/>
              </w:rPr>
            </w:pPr>
            <w:r w:rsidRPr="005F5BEA">
              <w:t>15,314 </w:t>
            </w:r>
          </w:p>
        </w:tc>
        <w:tc>
          <w:tcPr>
            <w:tcW w:w="135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44728BC2" w14:textId="77777777" w:rsidR="004F68E8" w:rsidRPr="005F5BEA" w:rsidRDefault="004F68E8" w:rsidP="005926D9">
            <w:pPr>
              <w:pStyle w:val="Tabletext0"/>
              <w:rPr>
                <w:rFonts w:ascii="Segoe UI" w:hAnsi="Segoe UI"/>
                <w:sz w:val="18"/>
                <w:szCs w:val="18"/>
              </w:rPr>
            </w:pPr>
            <w:r w:rsidRPr="005F5BEA">
              <w:t>16,386 </w:t>
            </w:r>
          </w:p>
        </w:tc>
        <w:tc>
          <w:tcPr>
            <w:tcW w:w="135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79687D4C" w14:textId="77777777" w:rsidR="004F68E8" w:rsidRPr="005F5BEA" w:rsidRDefault="004F68E8" w:rsidP="005926D9">
            <w:pPr>
              <w:pStyle w:val="Tabletext0"/>
              <w:rPr>
                <w:rFonts w:ascii="Segoe UI" w:hAnsi="Segoe UI"/>
                <w:sz w:val="18"/>
                <w:szCs w:val="18"/>
              </w:rPr>
            </w:pPr>
            <w:r w:rsidRPr="005F5BEA">
              <w:t>17,533 </w:t>
            </w:r>
          </w:p>
        </w:tc>
        <w:tc>
          <w:tcPr>
            <w:tcW w:w="939"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389BB50F" w14:textId="77777777" w:rsidR="004F68E8" w:rsidRPr="005F5BEA" w:rsidRDefault="004F68E8" w:rsidP="005926D9">
            <w:pPr>
              <w:pStyle w:val="Tabletext0"/>
              <w:rPr>
                <w:rFonts w:ascii="Segoe UI" w:hAnsi="Segoe UI"/>
                <w:sz w:val="18"/>
                <w:szCs w:val="18"/>
              </w:rPr>
            </w:pPr>
            <w:r w:rsidRPr="005F5BEA">
              <w:t> </w:t>
            </w:r>
          </w:p>
        </w:tc>
      </w:tr>
      <w:tr w:rsidR="00D865D4" w:rsidRPr="005F5BEA" w14:paraId="564A6F21" w14:textId="77777777" w:rsidTr="00D865D4">
        <w:trPr>
          <w:trHeight w:val="300"/>
        </w:trPr>
        <w:tc>
          <w:tcPr>
            <w:tcW w:w="656" w:type="dxa"/>
            <w:vMerge w:val="restart"/>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20628C97" w14:textId="77777777" w:rsidR="004F68E8" w:rsidRPr="005F5BEA" w:rsidRDefault="004F68E8" w:rsidP="005926D9">
            <w:pPr>
              <w:pStyle w:val="Tabletext0"/>
              <w:rPr>
                <w:rFonts w:ascii="Segoe UI" w:hAnsi="Segoe UI"/>
                <w:sz w:val="18"/>
                <w:szCs w:val="18"/>
              </w:rPr>
            </w:pPr>
            <w:r w:rsidRPr="005F5BEA">
              <w:rPr>
                <w:b/>
                <w:bCs/>
              </w:rPr>
              <w:t>Total cost</w:t>
            </w:r>
            <w:r w:rsidRPr="005F5BEA">
              <w:t> </w:t>
            </w:r>
          </w:p>
        </w:tc>
        <w:tc>
          <w:tcPr>
            <w:tcW w:w="199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7FB83F2A" w14:textId="77777777" w:rsidR="004F68E8" w:rsidRPr="005F5BEA" w:rsidRDefault="004F68E8" w:rsidP="005926D9">
            <w:pPr>
              <w:pStyle w:val="Tabletext0"/>
              <w:rPr>
                <w:rFonts w:ascii="Segoe UI" w:hAnsi="Segoe UI"/>
                <w:sz w:val="18"/>
                <w:szCs w:val="18"/>
              </w:rPr>
            </w:pPr>
            <w:r w:rsidRPr="005F5BEA">
              <w:rPr>
                <w:b/>
                <w:bCs/>
              </w:rPr>
              <w:t>Unscheduled services</w:t>
            </w:r>
            <w:r w:rsidRPr="005F5BEA">
              <w:t> </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5A5C24F1" w14:textId="557E3F3E" w:rsidR="004F68E8" w:rsidRPr="00D865D4" w:rsidRDefault="00D865D4" w:rsidP="005926D9">
            <w:pPr>
              <w:pStyle w:val="Tabletext0"/>
              <w:rPr>
                <w:rFonts w:ascii="Segoe UI" w:hAnsi="Segoe UI"/>
                <w:sz w:val="18"/>
                <w:szCs w:val="18"/>
              </w:rPr>
            </w:pPr>
            <w:r w:rsidRPr="008A2B4D">
              <w:rPr>
                <w:color w:val="000000"/>
                <w:spacing w:val="94"/>
                <w:fitText w:val="180" w:id="-1157883131"/>
                <w14:textFill>
                  <w14:solidFill>
                    <w14:srgbClr w14:val="000000">
                      <w14:alpha w14:val="100000"/>
                    </w14:srgbClr>
                  </w14:solidFill>
                </w14:textFill>
              </w:rPr>
              <w:t>|</w:t>
            </w:r>
            <w:r w:rsidRPr="008A2B4D">
              <w:rPr>
                <w:color w:val="000000"/>
                <w:fitText w:val="180" w:id="-1157883131"/>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1C0226F7" w14:textId="674D22DC" w:rsidR="004F68E8" w:rsidRPr="00D865D4" w:rsidRDefault="00D865D4" w:rsidP="005926D9">
            <w:pPr>
              <w:pStyle w:val="Tabletext0"/>
              <w:rPr>
                <w:rFonts w:ascii="Segoe UI" w:hAnsi="Segoe UI"/>
                <w:sz w:val="18"/>
                <w:szCs w:val="18"/>
              </w:rPr>
            </w:pPr>
            <w:r w:rsidRPr="008A2B4D">
              <w:rPr>
                <w:color w:val="000000"/>
                <w:spacing w:val="94"/>
                <w:fitText w:val="180" w:id="-1157883130"/>
                <w14:textFill>
                  <w14:solidFill>
                    <w14:srgbClr w14:val="000000">
                      <w14:alpha w14:val="100000"/>
                    </w14:srgbClr>
                  </w14:solidFill>
                </w14:textFill>
              </w:rPr>
              <w:t>|</w:t>
            </w:r>
            <w:r w:rsidRPr="008A2B4D">
              <w:rPr>
                <w:color w:val="000000"/>
                <w:fitText w:val="180" w:id="-1157883130"/>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199D9D69" w14:textId="153F3CFF" w:rsidR="004F68E8" w:rsidRPr="00D865D4" w:rsidRDefault="00D865D4" w:rsidP="005926D9">
            <w:pPr>
              <w:pStyle w:val="Tabletext0"/>
              <w:rPr>
                <w:rFonts w:ascii="Segoe UI" w:hAnsi="Segoe UI"/>
                <w:sz w:val="18"/>
                <w:szCs w:val="18"/>
              </w:rPr>
            </w:pPr>
            <w:r w:rsidRPr="008A2B4D">
              <w:rPr>
                <w:color w:val="000000"/>
                <w:spacing w:val="94"/>
                <w:fitText w:val="180" w:id="-1157883129"/>
                <w14:textFill>
                  <w14:solidFill>
                    <w14:srgbClr w14:val="000000">
                      <w14:alpha w14:val="100000"/>
                    </w14:srgbClr>
                  </w14:solidFill>
                </w14:textFill>
              </w:rPr>
              <w:t>|</w:t>
            </w:r>
            <w:r w:rsidRPr="008A2B4D">
              <w:rPr>
                <w:color w:val="000000"/>
                <w:fitText w:val="180" w:id="-1157883129"/>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4EAC8A27" w14:textId="3613CBC5" w:rsidR="004F68E8" w:rsidRPr="00D865D4" w:rsidRDefault="00D865D4" w:rsidP="005926D9">
            <w:pPr>
              <w:pStyle w:val="Tabletext0"/>
              <w:rPr>
                <w:rFonts w:ascii="Segoe UI" w:hAnsi="Segoe UI"/>
                <w:sz w:val="18"/>
                <w:szCs w:val="18"/>
              </w:rPr>
            </w:pPr>
            <w:r w:rsidRPr="008A2B4D">
              <w:rPr>
                <w:color w:val="000000"/>
                <w:spacing w:val="94"/>
                <w:fitText w:val="180" w:id="-1157883128"/>
                <w14:textFill>
                  <w14:solidFill>
                    <w14:srgbClr w14:val="000000">
                      <w14:alpha w14:val="100000"/>
                    </w14:srgbClr>
                  </w14:solidFill>
                </w14:textFill>
              </w:rPr>
              <w:t>|</w:t>
            </w:r>
            <w:r w:rsidRPr="008A2B4D">
              <w:rPr>
                <w:color w:val="000000"/>
                <w:fitText w:val="180" w:id="-1157883128"/>
                <w14:textFill>
                  <w14:solidFill>
                    <w14:srgbClr w14:val="000000">
                      <w14:alpha w14:val="100000"/>
                    </w14:srgbClr>
                  </w14:solidFill>
                </w14:textFill>
              </w:rPr>
              <w:t>|</w:t>
            </w:r>
          </w:p>
        </w:tc>
        <w:tc>
          <w:tcPr>
            <w:tcW w:w="939"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4C3CDF2C" w14:textId="307D02D5" w:rsidR="004F68E8" w:rsidRPr="00D865D4" w:rsidRDefault="00D865D4" w:rsidP="005926D9">
            <w:pPr>
              <w:pStyle w:val="Tabletext0"/>
              <w:rPr>
                <w:rFonts w:ascii="Segoe UI" w:hAnsi="Segoe UI"/>
                <w:sz w:val="18"/>
                <w:szCs w:val="18"/>
              </w:rPr>
            </w:pPr>
            <w:r w:rsidRPr="008A2B4D">
              <w:rPr>
                <w:color w:val="000000"/>
                <w:spacing w:val="94"/>
                <w:fitText w:val="180" w:id="-1157883127"/>
                <w14:textFill>
                  <w14:solidFill>
                    <w14:srgbClr w14:val="000000">
                      <w14:alpha w14:val="100000"/>
                    </w14:srgbClr>
                  </w14:solidFill>
                </w14:textFill>
              </w:rPr>
              <w:t>|</w:t>
            </w:r>
            <w:r w:rsidRPr="008A2B4D">
              <w:rPr>
                <w:color w:val="000000"/>
                <w:fitText w:val="180" w:id="-1157883127"/>
                <w14:textFill>
                  <w14:solidFill>
                    <w14:srgbClr w14:val="000000">
                      <w14:alpha w14:val="100000"/>
                    </w14:srgbClr>
                  </w14:solidFill>
                </w14:textFill>
              </w:rPr>
              <w:t>|</w:t>
            </w:r>
          </w:p>
        </w:tc>
      </w:tr>
      <w:tr w:rsidR="00D865D4" w:rsidRPr="005F5BEA" w14:paraId="2F51379B" w14:textId="77777777" w:rsidTr="00D865D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00961E28" w14:textId="77777777" w:rsidR="004F68E8" w:rsidRPr="005F5BEA" w:rsidRDefault="004F68E8" w:rsidP="005926D9">
            <w:pPr>
              <w:pStyle w:val="Tabletext0"/>
              <w:rPr>
                <w:rFonts w:ascii="Segoe UI" w:hAnsi="Segoe UI"/>
                <w:sz w:val="18"/>
                <w:szCs w:val="18"/>
              </w:rPr>
            </w:pPr>
          </w:p>
        </w:tc>
        <w:tc>
          <w:tcPr>
            <w:tcW w:w="199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1A0F9DDB" w14:textId="77777777" w:rsidR="004F68E8" w:rsidRPr="005F5BEA" w:rsidRDefault="004F68E8" w:rsidP="005926D9">
            <w:pPr>
              <w:pStyle w:val="Tabletext0"/>
              <w:rPr>
                <w:rFonts w:ascii="Segoe UI" w:hAnsi="Segoe UI"/>
                <w:sz w:val="18"/>
                <w:szCs w:val="18"/>
              </w:rPr>
            </w:pPr>
            <w:r w:rsidRPr="005F5BEA">
              <w:rPr>
                <w:b/>
                <w:bCs/>
              </w:rPr>
              <w:t>Unscheduled services and no onboarding costs</w:t>
            </w:r>
            <w:r w:rsidRPr="005F5BEA">
              <w:t> </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64278C4F" w14:textId="46E27D0B" w:rsidR="004F68E8" w:rsidRPr="00D865D4" w:rsidRDefault="00D865D4" w:rsidP="005926D9">
            <w:pPr>
              <w:pStyle w:val="Tabletext0"/>
              <w:rPr>
                <w:rFonts w:ascii="Segoe UI" w:hAnsi="Segoe UI"/>
                <w:sz w:val="18"/>
                <w:szCs w:val="18"/>
              </w:rPr>
            </w:pPr>
            <w:r w:rsidRPr="008A2B4D">
              <w:rPr>
                <w:color w:val="000000"/>
                <w:spacing w:val="94"/>
                <w:fitText w:val="180" w:id="-1157883126"/>
                <w14:textFill>
                  <w14:solidFill>
                    <w14:srgbClr w14:val="000000">
                      <w14:alpha w14:val="100000"/>
                    </w14:srgbClr>
                  </w14:solidFill>
                </w14:textFill>
              </w:rPr>
              <w:t>|</w:t>
            </w:r>
            <w:r w:rsidRPr="008A2B4D">
              <w:rPr>
                <w:color w:val="000000"/>
                <w:fitText w:val="180" w:id="-1157883126"/>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5C3EAF6A" w14:textId="79E3FCC3" w:rsidR="004F68E8" w:rsidRPr="00D865D4" w:rsidRDefault="00D865D4" w:rsidP="005926D9">
            <w:pPr>
              <w:pStyle w:val="Tabletext0"/>
              <w:rPr>
                <w:rFonts w:ascii="Segoe UI" w:hAnsi="Segoe UI"/>
                <w:sz w:val="18"/>
                <w:szCs w:val="18"/>
              </w:rPr>
            </w:pPr>
            <w:r w:rsidRPr="008A2B4D">
              <w:rPr>
                <w:color w:val="000000"/>
                <w:spacing w:val="94"/>
                <w:fitText w:val="180" w:id="-1157883125"/>
                <w14:textFill>
                  <w14:solidFill>
                    <w14:srgbClr w14:val="000000">
                      <w14:alpha w14:val="100000"/>
                    </w14:srgbClr>
                  </w14:solidFill>
                </w14:textFill>
              </w:rPr>
              <w:t>|</w:t>
            </w:r>
            <w:r w:rsidRPr="008A2B4D">
              <w:rPr>
                <w:color w:val="000000"/>
                <w:fitText w:val="180" w:id="-1157883125"/>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6BDC6FA3" w14:textId="3A64C904" w:rsidR="004F68E8" w:rsidRPr="00D865D4" w:rsidRDefault="00D865D4" w:rsidP="005926D9">
            <w:pPr>
              <w:pStyle w:val="Tabletext0"/>
              <w:rPr>
                <w:rFonts w:ascii="Segoe UI" w:hAnsi="Segoe UI"/>
                <w:sz w:val="18"/>
                <w:szCs w:val="18"/>
              </w:rPr>
            </w:pPr>
            <w:r w:rsidRPr="008A2B4D">
              <w:rPr>
                <w:color w:val="000000"/>
                <w:spacing w:val="94"/>
                <w:fitText w:val="180" w:id="-1157883124"/>
                <w14:textFill>
                  <w14:solidFill>
                    <w14:srgbClr w14:val="000000">
                      <w14:alpha w14:val="100000"/>
                    </w14:srgbClr>
                  </w14:solidFill>
                </w14:textFill>
              </w:rPr>
              <w:t>|</w:t>
            </w:r>
            <w:r w:rsidRPr="008A2B4D">
              <w:rPr>
                <w:color w:val="000000"/>
                <w:fitText w:val="180" w:id="-1157883124"/>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02B3C345" w14:textId="478061D0" w:rsidR="004F68E8" w:rsidRPr="00D865D4" w:rsidRDefault="00D865D4" w:rsidP="005926D9">
            <w:pPr>
              <w:pStyle w:val="Tabletext0"/>
              <w:rPr>
                <w:rFonts w:ascii="Segoe UI" w:hAnsi="Segoe UI"/>
                <w:sz w:val="18"/>
                <w:szCs w:val="18"/>
              </w:rPr>
            </w:pPr>
            <w:r w:rsidRPr="008A2B4D">
              <w:rPr>
                <w:color w:val="000000"/>
                <w:spacing w:val="94"/>
                <w:fitText w:val="180" w:id="-1157883123"/>
                <w14:textFill>
                  <w14:solidFill>
                    <w14:srgbClr w14:val="000000">
                      <w14:alpha w14:val="100000"/>
                    </w14:srgbClr>
                  </w14:solidFill>
                </w14:textFill>
              </w:rPr>
              <w:t>|</w:t>
            </w:r>
            <w:r w:rsidRPr="008A2B4D">
              <w:rPr>
                <w:color w:val="000000"/>
                <w:fitText w:val="180" w:id="-1157883123"/>
                <w14:textFill>
                  <w14:solidFill>
                    <w14:srgbClr w14:val="000000">
                      <w14:alpha w14:val="100000"/>
                    </w14:srgbClr>
                  </w14:solidFill>
                </w14:textFill>
              </w:rPr>
              <w:t>|</w:t>
            </w:r>
          </w:p>
        </w:tc>
        <w:tc>
          <w:tcPr>
            <w:tcW w:w="939"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4556D5B4" w14:textId="23354DB8" w:rsidR="004F68E8" w:rsidRPr="00D865D4" w:rsidRDefault="00D865D4" w:rsidP="005926D9">
            <w:pPr>
              <w:pStyle w:val="Tabletext0"/>
              <w:rPr>
                <w:rFonts w:ascii="Segoe UI" w:hAnsi="Segoe UI"/>
                <w:sz w:val="18"/>
                <w:szCs w:val="18"/>
              </w:rPr>
            </w:pPr>
            <w:r w:rsidRPr="008A2B4D">
              <w:rPr>
                <w:color w:val="000000"/>
                <w:spacing w:val="94"/>
                <w:fitText w:val="180" w:id="-1157883122"/>
                <w14:textFill>
                  <w14:solidFill>
                    <w14:srgbClr w14:val="000000">
                      <w14:alpha w14:val="100000"/>
                    </w14:srgbClr>
                  </w14:solidFill>
                </w14:textFill>
              </w:rPr>
              <w:t>|</w:t>
            </w:r>
            <w:r w:rsidRPr="008A2B4D">
              <w:rPr>
                <w:color w:val="000000"/>
                <w:fitText w:val="180" w:id="-1157883122"/>
                <w14:textFill>
                  <w14:solidFill>
                    <w14:srgbClr w14:val="000000">
                      <w14:alpha w14:val="100000"/>
                    </w14:srgbClr>
                  </w14:solidFill>
                </w14:textFill>
              </w:rPr>
              <w:t>|</w:t>
            </w:r>
          </w:p>
        </w:tc>
      </w:tr>
      <w:tr w:rsidR="00D865D4" w:rsidRPr="005F5BEA" w14:paraId="4DD509B2" w14:textId="77777777" w:rsidTr="00D865D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59CEFE4A" w14:textId="77777777" w:rsidR="004F68E8" w:rsidRPr="005F5BEA" w:rsidRDefault="004F68E8" w:rsidP="005926D9">
            <w:pPr>
              <w:pStyle w:val="Tabletext0"/>
              <w:rPr>
                <w:rFonts w:ascii="Segoe UI" w:hAnsi="Segoe UI"/>
                <w:sz w:val="18"/>
                <w:szCs w:val="18"/>
              </w:rPr>
            </w:pPr>
          </w:p>
        </w:tc>
        <w:tc>
          <w:tcPr>
            <w:tcW w:w="199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74FE3392" w14:textId="77777777" w:rsidR="004F68E8" w:rsidRPr="005F5BEA" w:rsidRDefault="004F68E8" w:rsidP="005926D9">
            <w:pPr>
              <w:pStyle w:val="Tabletext0"/>
              <w:rPr>
                <w:rFonts w:ascii="Segoe UI" w:hAnsi="Segoe UI"/>
                <w:sz w:val="18"/>
                <w:szCs w:val="18"/>
              </w:rPr>
            </w:pPr>
            <w:r w:rsidRPr="005F5BEA">
              <w:rPr>
                <w:b/>
                <w:bCs/>
              </w:rPr>
              <w:t xml:space="preserve">Unscheduled services with no onboarding, annual </w:t>
            </w:r>
            <w:proofErr w:type="gramStart"/>
            <w:r w:rsidRPr="005F5BEA">
              <w:rPr>
                <w:b/>
                <w:bCs/>
              </w:rPr>
              <w:t>update</w:t>
            </w:r>
            <w:proofErr w:type="gramEnd"/>
            <w:r w:rsidRPr="005F5BEA">
              <w:rPr>
                <w:b/>
                <w:bCs/>
              </w:rPr>
              <w:t xml:space="preserve"> or training costs </w:t>
            </w:r>
            <w:r w:rsidRPr="005F5BEA">
              <w:t> </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570D6E4F" w14:textId="4EF34790" w:rsidR="004F68E8" w:rsidRPr="00D865D4" w:rsidRDefault="00D865D4" w:rsidP="005926D9">
            <w:pPr>
              <w:pStyle w:val="Tabletext0"/>
              <w:rPr>
                <w:rFonts w:ascii="Segoe UI" w:hAnsi="Segoe UI"/>
                <w:sz w:val="18"/>
                <w:szCs w:val="18"/>
              </w:rPr>
            </w:pPr>
            <w:r w:rsidRPr="008A2B4D">
              <w:rPr>
                <w:color w:val="000000"/>
                <w:spacing w:val="94"/>
                <w:fitText w:val="180" w:id="-1157882880"/>
                <w14:textFill>
                  <w14:solidFill>
                    <w14:srgbClr w14:val="000000">
                      <w14:alpha w14:val="100000"/>
                    </w14:srgbClr>
                  </w14:solidFill>
                </w14:textFill>
              </w:rPr>
              <w:t>|</w:t>
            </w:r>
            <w:r w:rsidRPr="008A2B4D">
              <w:rPr>
                <w:color w:val="000000"/>
                <w:fitText w:val="180" w:id="-1157882880"/>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394DB9B8" w14:textId="660D303C" w:rsidR="004F68E8" w:rsidRPr="00D865D4" w:rsidRDefault="00D865D4" w:rsidP="005926D9">
            <w:pPr>
              <w:pStyle w:val="Tabletext0"/>
              <w:rPr>
                <w:rFonts w:ascii="Segoe UI" w:hAnsi="Segoe UI"/>
                <w:sz w:val="18"/>
                <w:szCs w:val="18"/>
              </w:rPr>
            </w:pPr>
            <w:r w:rsidRPr="008A2B4D">
              <w:rPr>
                <w:color w:val="000000"/>
                <w:spacing w:val="94"/>
                <w:fitText w:val="180" w:id="-1157882879"/>
                <w14:textFill>
                  <w14:solidFill>
                    <w14:srgbClr w14:val="000000">
                      <w14:alpha w14:val="100000"/>
                    </w14:srgbClr>
                  </w14:solidFill>
                </w14:textFill>
              </w:rPr>
              <w:t>|</w:t>
            </w:r>
            <w:r w:rsidRPr="008A2B4D">
              <w:rPr>
                <w:color w:val="000000"/>
                <w:fitText w:val="180" w:id="-1157882879"/>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75DAACB2" w14:textId="23004E3B" w:rsidR="004F68E8" w:rsidRPr="00D865D4" w:rsidRDefault="00D865D4" w:rsidP="005926D9">
            <w:pPr>
              <w:pStyle w:val="Tabletext0"/>
              <w:rPr>
                <w:rFonts w:ascii="Segoe UI" w:hAnsi="Segoe UI"/>
                <w:sz w:val="18"/>
                <w:szCs w:val="18"/>
              </w:rPr>
            </w:pPr>
            <w:r w:rsidRPr="008A2B4D">
              <w:rPr>
                <w:color w:val="000000"/>
                <w:spacing w:val="94"/>
                <w:fitText w:val="180" w:id="-1157882878"/>
                <w14:textFill>
                  <w14:solidFill>
                    <w14:srgbClr w14:val="000000">
                      <w14:alpha w14:val="100000"/>
                    </w14:srgbClr>
                  </w14:solidFill>
                </w14:textFill>
              </w:rPr>
              <w:t>|</w:t>
            </w:r>
            <w:r w:rsidRPr="008A2B4D">
              <w:rPr>
                <w:color w:val="000000"/>
                <w:fitText w:val="180" w:id="-1157882878"/>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6120153C" w14:textId="5DC5FE81" w:rsidR="004F68E8" w:rsidRPr="00D865D4" w:rsidRDefault="00D865D4" w:rsidP="005926D9">
            <w:pPr>
              <w:pStyle w:val="Tabletext0"/>
              <w:rPr>
                <w:rFonts w:ascii="Segoe UI" w:hAnsi="Segoe UI"/>
                <w:sz w:val="18"/>
                <w:szCs w:val="18"/>
              </w:rPr>
            </w:pPr>
            <w:r w:rsidRPr="008A2B4D">
              <w:rPr>
                <w:color w:val="000000"/>
                <w:spacing w:val="94"/>
                <w:fitText w:val="180" w:id="-1157882877"/>
                <w14:textFill>
                  <w14:solidFill>
                    <w14:srgbClr w14:val="000000">
                      <w14:alpha w14:val="100000"/>
                    </w14:srgbClr>
                  </w14:solidFill>
                </w14:textFill>
              </w:rPr>
              <w:t>|</w:t>
            </w:r>
            <w:r w:rsidRPr="008A2B4D">
              <w:rPr>
                <w:color w:val="000000"/>
                <w:fitText w:val="180" w:id="-1157882877"/>
                <w14:textFill>
                  <w14:solidFill>
                    <w14:srgbClr w14:val="000000">
                      <w14:alpha w14:val="100000"/>
                    </w14:srgbClr>
                  </w14:solidFill>
                </w14:textFill>
              </w:rPr>
              <w:t>|</w:t>
            </w:r>
          </w:p>
        </w:tc>
        <w:tc>
          <w:tcPr>
            <w:tcW w:w="939"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26DB8048" w14:textId="0FC1893C" w:rsidR="004F68E8" w:rsidRPr="00D865D4" w:rsidRDefault="00D865D4" w:rsidP="005926D9">
            <w:pPr>
              <w:pStyle w:val="Tabletext0"/>
              <w:rPr>
                <w:rFonts w:ascii="Segoe UI" w:hAnsi="Segoe UI"/>
                <w:sz w:val="18"/>
                <w:szCs w:val="18"/>
              </w:rPr>
            </w:pPr>
            <w:r w:rsidRPr="008A2B4D">
              <w:rPr>
                <w:color w:val="000000"/>
                <w:spacing w:val="94"/>
                <w:fitText w:val="180" w:id="-1157882876"/>
                <w14:textFill>
                  <w14:solidFill>
                    <w14:srgbClr w14:val="000000">
                      <w14:alpha w14:val="100000"/>
                    </w14:srgbClr>
                  </w14:solidFill>
                </w14:textFill>
              </w:rPr>
              <w:t>|</w:t>
            </w:r>
            <w:r w:rsidRPr="008A2B4D">
              <w:rPr>
                <w:color w:val="000000"/>
                <w:fitText w:val="180" w:id="-1157882876"/>
                <w14:textFill>
                  <w14:solidFill>
                    <w14:srgbClr w14:val="000000">
                      <w14:alpha w14:val="100000"/>
                    </w14:srgbClr>
                  </w14:solidFill>
                </w14:textFill>
              </w:rPr>
              <w:t>|</w:t>
            </w:r>
          </w:p>
        </w:tc>
      </w:tr>
      <w:tr w:rsidR="004F68E8" w:rsidRPr="005F5BEA" w14:paraId="3B6C3328" w14:textId="77777777" w:rsidTr="00D865D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00E1CCB5" w14:textId="77777777" w:rsidR="004F68E8" w:rsidRPr="005F5BEA" w:rsidRDefault="004F68E8" w:rsidP="005926D9">
            <w:pPr>
              <w:pStyle w:val="Tabletext0"/>
              <w:rPr>
                <w:rFonts w:ascii="Segoe UI" w:hAnsi="Segoe UI"/>
                <w:sz w:val="18"/>
                <w:szCs w:val="18"/>
              </w:rPr>
            </w:pPr>
          </w:p>
        </w:tc>
        <w:tc>
          <w:tcPr>
            <w:tcW w:w="199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7176E377" w14:textId="77777777" w:rsidR="004F68E8" w:rsidRPr="005F5BEA" w:rsidRDefault="004F68E8" w:rsidP="005926D9">
            <w:pPr>
              <w:pStyle w:val="Tabletext0"/>
              <w:rPr>
                <w:rFonts w:ascii="Segoe UI" w:hAnsi="Segoe UI"/>
                <w:sz w:val="18"/>
                <w:szCs w:val="18"/>
              </w:rPr>
            </w:pPr>
            <w:r w:rsidRPr="005F5BEA">
              <w:rPr>
                <w:b/>
                <w:bCs/>
              </w:rPr>
              <w:t xml:space="preserve">Unscheduled services with no onboarding, annual update, </w:t>
            </w:r>
            <w:proofErr w:type="gramStart"/>
            <w:r w:rsidRPr="005F5BEA">
              <w:rPr>
                <w:b/>
                <w:bCs/>
              </w:rPr>
              <w:t>training</w:t>
            </w:r>
            <w:proofErr w:type="gramEnd"/>
            <w:r w:rsidRPr="005F5BEA">
              <w:rPr>
                <w:b/>
                <w:bCs/>
              </w:rPr>
              <w:t xml:space="preserve"> or loadings</w:t>
            </w:r>
            <w:r w:rsidRPr="005F5BEA">
              <w:t> </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79013068" w14:textId="0EBA8BA1" w:rsidR="004F68E8" w:rsidRPr="00D865D4" w:rsidRDefault="00D865D4" w:rsidP="005926D9">
            <w:pPr>
              <w:pStyle w:val="Tabletext0"/>
              <w:rPr>
                <w:rFonts w:ascii="Segoe UI" w:hAnsi="Segoe UI"/>
                <w:sz w:val="18"/>
                <w:szCs w:val="18"/>
              </w:rPr>
            </w:pPr>
            <w:r w:rsidRPr="008A2B4D">
              <w:rPr>
                <w:color w:val="000000"/>
                <w:spacing w:val="94"/>
                <w:fitText w:val="180" w:id="-1157882875"/>
                <w14:textFill>
                  <w14:solidFill>
                    <w14:srgbClr w14:val="000000">
                      <w14:alpha w14:val="100000"/>
                    </w14:srgbClr>
                  </w14:solidFill>
                </w14:textFill>
              </w:rPr>
              <w:t>|</w:t>
            </w:r>
            <w:r w:rsidRPr="008A2B4D">
              <w:rPr>
                <w:color w:val="000000"/>
                <w:fitText w:val="180" w:id="-1157882875"/>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3DAB0BFA" w14:textId="258B683F" w:rsidR="004F68E8" w:rsidRPr="00D865D4" w:rsidRDefault="00D865D4" w:rsidP="005926D9">
            <w:pPr>
              <w:pStyle w:val="Tabletext0"/>
              <w:rPr>
                <w:rFonts w:ascii="Segoe UI" w:hAnsi="Segoe UI"/>
                <w:sz w:val="18"/>
                <w:szCs w:val="18"/>
              </w:rPr>
            </w:pPr>
            <w:r w:rsidRPr="008A2B4D">
              <w:rPr>
                <w:color w:val="000000"/>
                <w:spacing w:val="94"/>
                <w:fitText w:val="180" w:id="-1157882874"/>
                <w14:textFill>
                  <w14:solidFill>
                    <w14:srgbClr w14:val="000000">
                      <w14:alpha w14:val="100000"/>
                    </w14:srgbClr>
                  </w14:solidFill>
                </w14:textFill>
              </w:rPr>
              <w:t>|</w:t>
            </w:r>
            <w:r w:rsidRPr="008A2B4D">
              <w:rPr>
                <w:color w:val="000000"/>
                <w:fitText w:val="180" w:id="-1157882874"/>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65F75BF2" w14:textId="702AFAAC" w:rsidR="004F68E8" w:rsidRPr="00D865D4" w:rsidRDefault="00D865D4" w:rsidP="005926D9">
            <w:pPr>
              <w:pStyle w:val="Tabletext0"/>
              <w:rPr>
                <w:rFonts w:ascii="Segoe UI" w:hAnsi="Segoe UI"/>
                <w:sz w:val="18"/>
                <w:szCs w:val="18"/>
              </w:rPr>
            </w:pPr>
            <w:r w:rsidRPr="008A2B4D">
              <w:rPr>
                <w:color w:val="000000"/>
                <w:spacing w:val="94"/>
                <w:fitText w:val="180" w:id="-1157882873"/>
                <w14:textFill>
                  <w14:solidFill>
                    <w14:srgbClr w14:val="000000">
                      <w14:alpha w14:val="100000"/>
                    </w14:srgbClr>
                  </w14:solidFill>
                </w14:textFill>
              </w:rPr>
              <w:t>|</w:t>
            </w:r>
            <w:r w:rsidRPr="008A2B4D">
              <w:rPr>
                <w:color w:val="000000"/>
                <w:fitText w:val="180" w:id="-1157882873"/>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5D8F42DB" w14:textId="3BDF84C2" w:rsidR="004F68E8" w:rsidRPr="00D865D4" w:rsidRDefault="00D865D4" w:rsidP="005926D9">
            <w:pPr>
              <w:pStyle w:val="Tabletext0"/>
              <w:rPr>
                <w:rFonts w:ascii="Segoe UI" w:hAnsi="Segoe UI"/>
                <w:sz w:val="18"/>
                <w:szCs w:val="18"/>
              </w:rPr>
            </w:pPr>
            <w:r w:rsidRPr="008A2B4D">
              <w:rPr>
                <w:color w:val="000000"/>
                <w:spacing w:val="94"/>
                <w:fitText w:val="180" w:id="-1157882872"/>
                <w14:textFill>
                  <w14:solidFill>
                    <w14:srgbClr w14:val="000000">
                      <w14:alpha w14:val="100000"/>
                    </w14:srgbClr>
                  </w14:solidFill>
                </w14:textFill>
              </w:rPr>
              <w:t>|</w:t>
            </w:r>
            <w:r w:rsidRPr="008A2B4D">
              <w:rPr>
                <w:color w:val="000000"/>
                <w:fitText w:val="180" w:id="-1157882872"/>
                <w14:textFill>
                  <w14:solidFill>
                    <w14:srgbClr w14:val="000000">
                      <w14:alpha w14:val="100000"/>
                    </w14:srgbClr>
                  </w14:solidFill>
                </w14:textFill>
              </w:rPr>
              <w:t>|</w:t>
            </w:r>
          </w:p>
        </w:tc>
        <w:tc>
          <w:tcPr>
            <w:tcW w:w="939"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5C04B3A2" w14:textId="08F4CC17" w:rsidR="004F68E8" w:rsidRPr="00D865D4" w:rsidRDefault="00D865D4" w:rsidP="005926D9">
            <w:pPr>
              <w:pStyle w:val="Tabletext0"/>
              <w:rPr>
                <w:rFonts w:ascii="Segoe UI" w:hAnsi="Segoe UI"/>
                <w:sz w:val="18"/>
                <w:szCs w:val="18"/>
              </w:rPr>
            </w:pPr>
            <w:r w:rsidRPr="008A2B4D">
              <w:rPr>
                <w:color w:val="000000"/>
                <w:spacing w:val="94"/>
                <w:fitText w:val="180" w:id="-1157882871"/>
                <w14:textFill>
                  <w14:solidFill>
                    <w14:srgbClr w14:val="000000">
                      <w14:alpha w14:val="100000"/>
                    </w14:srgbClr>
                  </w14:solidFill>
                </w14:textFill>
              </w:rPr>
              <w:t>|</w:t>
            </w:r>
            <w:r w:rsidRPr="008A2B4D">
              <w:rPr>
                <w:color w:val="000000"/>
                <w:fitText w:val="180" w:id="-1157882871"/>
                <w14:textFill>
                  <w14:solidFill>
                    <w14:srgbClr w14:val="000000">
                      <w14:alpha w14:val="100000"/>
                    </w14:srgbClr>
                  </w14:solidFill>
                </w14:textFill>
              </w:rPr>
              <w:t>|</w:t>
            </w:r>
          </w:p>
        </w:tc>
      </w:tr>
      <w:tr w:rsidR="004F68E8" w:rsidRPr="005F5BEA" w14:paraId="27ED6750" w14:textId="77777777" w:rsidTr="00D865D4">
        <w:trPr>
          <w:trHeight w:val="300"/>
        </w:trPr>
        <w:tc>
          <w:tcPr>
            <w:tcW w:w="2651" w:type="dxa"/>
            <w:gridSpan w:val="2"/>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40F34F30" w14:textId="77777777" w:rsidR="004F68E8" w:rsidRPr="005F5BEA" w:rsidRDefault="004F68E8" w:rsidP="005926D9">
            <w:pPr>
              <w:pStyle w:val="Tabletext0"/>
              <w:rPr>
                <w:rFonts w:ascii="Segoe UI" w:hAnsi="Segoe UI"/>
                <w:sz w:val="18"/>
                <w:szCs w:val="18"/>
              </w:rPr>
            </w:pPr>
            <w:r w:rsidRPr="005F5BEA">
              <w:rPr>
                <w:b/>
                <w:bCs/>
              </w:rPr>
              <w:t xml:space="preserve">Total scheduled services (routine follow-up only, </w:t>
            </w:r>
            <w:proofErr w:type="gramStart"/>
            <w:r w:rsidRPr="005F5BEA">
              <w:rPr>
                <w:b/>
                <w:bCs/>
              </w:rPr>
              <w:t>n)</w:t>
            </w:r>
            <w:r w:rsidRPr="005F5BEA">
              <w:rPr>
                <w:b/>
                <w:bCs/>
                <w:sz w:val="16"/>
                <w:szCs w:val="16"/>
                <w:vertAlign w:val="superscript"/>
              </w:rPr>
              <w:t>a</w:t>
            </w:r>
            <w:proofErr w:type="gramEnd"/>
            <w:r w:rsidRPr="005F5BEA">
              <w:rPr>
                <w:sz w:val="16"/>
                <w:szCs w:val="16"/>
              </w:rPr>
              <w:t> </w:t>
            </w:r>
          </w:p>
        </w:tc>
        <w:tc>
          <w:tcPr>
            <w:tcW w:w="135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vAlign w:val="bottom"/>
            <w:hideMark/>
          </w:tcPr>
          <w:p w14:paraId="5131AD1E" w14:textId="77777777" w:rsidR="004F68E8" w:rsidRPr="005F5BEA" w:rsidRDefault="004F68E8" w:rsidP="005926D9">
            <w:pPr>
              <w:pStyle w:val="Tabletext0"/>
              <w:rPr>
                <w:rFonts w:ascii="Segoe UI" w:hAnsi="Segoe UI"/>
                <w:sz w:val="18"/>
                <w:szCs w:val="18"/>
              </w:rPr>
            </w:pPr>
            <w:r w:rsidRPr="005F5BEA">
              <w:t>117,235 </w:t>
            </w:r>
          </w:p>
        </w:tc>
        <w:tc>
          <w:tcPr>
            <w:tcW w:w="135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vAlign w:val="bottom"/>
            <w:hideMark/>
          </w:tcPr>
          <w:p w14:paraId="79CB3914" w14:textId="77777777" w:rsidR="004F68E8" w:rsidRPr="005F5BEA" w:rsidRDefault="004F68E8" w:rsidP="005926D9">
            <w:pPr>
              <w:pStyle w:val="Tabletext0"/>
              <w:rPr>
                <w:rFonts w:ascii="Segoe UI" w:hAnsi="Segoe UI"/>
                <w:sz w:val="18"/>
                <w:szCs w:val="18"/>
              </w:rPr>
            </w:pPr>
            <w:r w:rsidRPr="005F5BEA">
              <w:t>125,442 </w:t>
            </w:r>
          </w:p>
        </w:tc>
        <w:tc>
          <w:tcPr>
            <w:tcW w:w="135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vAlign w:val="bottom"/>
            <w:hideMark/>
          </w:tcPr>
          <w:p w14:paraId="0459A4A9" w14:textId="77777777" w:rsidR="004F68E8" w:rsidRPr="005F5BEA" w:rsidRDefault="004F68E8" w:rsidP="005926D9">
            <w:pPr>
              <w:pStyle w:val="Tabletext0"/>
              <w:rPr>
                <w:rFonts w:ascii="Segoe UI" w:hAnsi="Segoe UI"/>
                <w:sz w:val="18"/>
                <w:szCs w:val="18"/>
              </w:rPr>
            </w:pPr>
            <w:r w:rsidRPr="005F5BEA">
              <w:t>134,223 </w:t>
            </w:r>
          </w:p>
        </w:tc>
        <w:tc>
          <w:tcPr>
            <w:tcW w:w="135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vAlign w:val="bottom"/>
            <w:hideMark/>
          </w:tcPr>
          <w:p w14:paraId="7E0EAC8D" w14:textId="77777777" w:rsidR="004F68E8" w:rsidRPr="005F5BEA" w:rsidRDefault="004F68E8" w:rsidP="005926D9">
            <w:pPr>
              <w:pStyle w:val="Tabletext0"/>
              <w:rPr>
                <w:rFonts w:ascii="Segoe UI" w:hAnsi="Segoe UI"/>
                <w:sz w:val="18"/>
                <w:szCs w:val="18"/>
              </w:rPr>
            </w:pPr>
            <w:r w:rsidRPr="005F5BEA">
              <w:t>143,618 </w:t>
            </w:r>
          </w:p>
        </w:tc>
        <w:tc>
          <w:tcPr>
            <w:tcW w:w="939"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13FE902A" w14:textId="77777777" w:rsidR="004F68E8" w:rsidRPr="005F5BEA" w:rsidRDefault="004F68E8" w:rsidP="005926D9">
            <w:pPr>
              <w:pStyle w:val="Tabletext0"/>
              <w:rPr>
                <w:rFonts w:ascii="Segoe UI" w:hAnsi="Segoe UI"/>
                <w:sz w:val="18"/>
                <w:szCs w:val="18"/>
              </w:rPr>
            </w:pPr>
            <w:r w:rsidRPr="005F5BEA">
              <w:t> </w:t>
            </w:r>
          </w:p>
        </w:tc>
      </w:tr>
      <w:tr w:rsidR="00D865D4" w:rsidRPr="005F5BEA" w14:paraId="2266A68D" w14:textId="77777777" w:rsidTr="00D865D4">
        <w:trPr>
          <w:trHeight w:val="300"/>
        </w:trPr>
        <w:tc>
          <w:tcPr>
            <w:tcW w:w="656" w:type="dxa"/>
            <w:vMerge w:val="restart"/>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59A1298C" w14:textId="77777777" w:rsidR="004F68E8" w:rsidRPr="005F5BEA" w:rsidRDefault="004F68E8" w:rsidP="005926D9">
            <w:pPr>
              <w:pStyle w:val="Tabletext0"/>
              <w:rPr>
                <w:rFonts w:ascii="Segoe UI" w:hAnsi="Segoe UI"/>
                <w:sz w:val="18"/>
                <w:szCs w:val="18"/>
              </w:rPr>
            </w:pPr>
            <w:r w:rsidRPr="005F5BEA">
              <w:rPr>
                <w:b/>
                <w:bCs/>
              </w:rPr>
              <w:t>Total cost</w:t>
            </w:r>
            <w:r w:rsidRPr="005F5BEA">
              <w:t> </w:t>
            </w:r>
          </w:p>
        </w:tc>
        <w:tc>
          <w:tcPr>
            <w:tcW w:w="199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16C3D6A0" w14:textId="77777777" w:rsidR="004F68E8" w:rsidRPr="005F5BEA" w:rsidRDefault="004F68E8" w:rsidP="005926D9">
            <w:pPr>
              <w:pStyle w:val="Tabletext0"/>
              <w:rPr>
                <w:rFonts w:ascii="Segoe UI" w:hAnsi="Segoe UI"/>
                <w:sz w:val="18"/>
                <w:szCs w:val="18"/>
              </w:rPr>
            </w:pPr>
            <w:r w:rsidRPr="005F5BEA">
              <w:rPr>
                <w:b/>
                <w:bCs/>
              </w:rPr>
              <w:t>Scheduled services</w:t>
            </w:r>
            <w:r w:rsidRPr="005F5BEA">
              <w:t> </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720D67C7" w14:textId="32463804" w:rsidR="004F68E8" w:rsidRPr="00D865D4" w:rsidRDefault="00D865D4" w:rsidP="005926D9">
            <w:pPr>
              <w:pStyle w:val="Tabletext0"/>
              <w:rPr>
                <w:rFonts w:ascii="Segoe UI" w:hAnsi="Segoe UI"/>
                <w:sz w:val="18"/>
                <w:szCs w:val="18"/>
              </w:rPr>
            </w:pPr>
            <w:r w:rsidRPr="008A2B4D">
              <w:rPr>
                <w:color w:val="000000"/>
                <w:spacing w:val="94"/>
                <w:fitText w:val="180" w:id="-1157882870"/>
                <w14:textFill>
                  <w14:solidFill>
                    <w14:srgbClr w14:val="000000">
                      <w14:alpha w14:val="100000"/>
                    </w14:srgbClr>
                  </w14:solidFill>
                </w14:textFill>
              </w:rPr>
              <w:t>|</w:t>
            </w:r>
            <w:r w:rsidRPr="008A2B4D">
              <w:rPr>
                <w:color w:val="000000"/>
                <w:fitText w:val="180" w:id="-1157882870"/>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07532B37" w14:textId="4ADFCAFE" w:rsidR="004F68E8" w:rsidRPr="00D865D4" w:rsidRDefault="00D865D4" w:rsidP="005926D9">
            <w:pPr>
              <w:pStyle w:val="Tabletext0"/>
              <w:rPr>
                <w:rFonts w:ascii="Segoe UI" w:hAnsi="Segoe UI"/>
                <w:sz w:val="18"/>
                <w:szCs w:val="18"/>
              </w:rPr>
            </w:pPr>
            <w:r w:rsidRPr="008A2B4D">
              <w:rPr>
                <w:color w:val="000000"/>
                <w:spacing w:val="94"/>
                <w:fitText w:val="180" w:id="-1157882869"/>
                <w14:textFill>
                  <w14:solidFill>
                    <w14:srgbClr w14:val="000000">
                      <w14:alpha w14:val="100000"/>
                    </w14:srgbClr>
                  </w14:solidFill>
                </w14:textFill>
              </w:rPr>
              <w:t>|</w:t>
            </w:r>
            <w:r w:rsidRPr="008A2B4D">
              <w:rPr>
                <w:color w:val="000000"/>
                <w:fitText w:val="180" w:id="-1157882869"/>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1CADA271" w14:textId="067B4E70" w:rsidR="004F68E8" w:rsidRPr="00D865D4" w:rsidRDefault="00D865D4" w:rsidP="005926D9">
            <w:pPr>
              <w:pStyle w:val="Tabletext0"/>
              <w:rPr>
                <w:rFonts w:ascii="Segoe UI" w:hAnsi="Segoe UI"/>
                <w:sz w:val="18"/>
                <w:szCs w:val="18"/>
              </w:rPr>
            </w:pPr>
            <w:r w:rsidRPr="008A2B4D">
              <w:rPr>
                <w:color w:val="000000"/>
                <w:spacing w:val="94"/>
                <w:fitText w:val="180" w:id="-1157882868"/>
                <w14:textFill>
                  <w14:solidFill>
                    <w14:srgbClr w14:val="000000">
                      <w14:alpha w14:val="100000"/>
                    </w14:srgbClr>
                  </w14:solidFill>
                </w14:textFill>
              </w:rPr>
              <w:t>|</w:t>
            </w:r>
            <w:r w:rsidRPr="008A2B4D">
              <w:rPr>
                <w:color w:val="000000"/>
                <w:fitText w:val="180" w:id="-1157882868"/>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4C3D8B23" w14:textId="437CE233" w:rsidR="004F68E8" w:rsidRPr="00D865D4" w:rsidRDefault="00D865D4" w:rsidP="005926D9">
            <w:pPr>
              <w:pStyle w:val="Tabletext0"/>
              <w:rPr>
                <w:rFonts w:ascii="Segoe UI" w:hAnsi="Segoe UI"/>
                <w:sz w:val="18"/>
                <w:szCs w:val="18"/>
              </w:rPr>
            </w:pPr>
            <w:r w:rsidRPr="008A2B4D">
              <w:rPr>
                <w:color w:val="000000"/>
                <w:spacing w:val="94"/>
                <w:fitText w:val="180" w:id="-1157882867"/>
                <w14:textFill>
                  <w14:solidFill>
                    <w14:srgbClr w14:val="000000">
                      <w14:alpha w14:val="100000"/>
                    </w14:srgbClr>
                  </w14:solidFill>
                </w14:textFill>
              </w:rPr>
              <w:t>|</w:t>
            </w:r>
            <w:r w:rsidRPr="008A2B4D">
              <w:rPr>
                <w:color w:val="000000"/>
                <w:fitText w:val="180" w:id="-1157882867"/>
                <w14:textFill>
                  <w14:solidFill>
                    <w14:srgbClr w14:val="000000">
                      <w14:alpha w14:val="100000"/>
                    </w14:srgbClr>
                  </w14:solidFill>
                </w14:textFill>
              </w:rPr>
              <w:t>|</w:t>
            </w:r>
          </w:p>
        </w:tc>
        <w:tc>
          <w:tcPr>
            <w:tcW w:w="939"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700F9F7E" w14:textId="28FE8B41" w:rsidR="004F68E8" w:rsidRPr="00D865D4" w:rsidRDefault="00D865D4" w:rsidP="005926D9">
            <w:pPr>
              <w:pStyle w:val="Tabletext0"/>
              <w:rPr>
                <w:rFonts w:ascii="Segoe UI" w:hAnsi="Segoe UI"/>
                <w:sz w:val="18"/>
                <w:szCs w:val="18"/>
              </w:rPr>
            </w:pPr>
            <w:r w:rsidRPr="008A2B4D">
              <w:rPr>
                <w:color w:val="000000"/>
                <w:spacing w:val="94"/>
                <w:fitText w:val="180" w:id="-1157882866"/>
                <w14:textFill>
                  <w14:solidFill>
                    <w14:srgbClr w14:val="000000">
                      <w14:alpha w14:val="100000"/>
                    </w14:srgbClr>
                  </w14:solidFill>
                </w14:textFill>
              </w:rPr>
              <w:t>|</w:t>
            </w:r>
            <w:r w:rsidRPr="008A2B4D">
              <w:rPr>
                <w:color w:val="000000"/>
                <w:fitText w:val="180" w:id="-1157882866"/>
                <w14:textFill>
                  <w14:solidFill>
                    <w14:srgbClr w14:val="000000">
                      <w14:alpha w14:val="100000"/>
                    </w14:srgbClr>
                  </w14:solidFill>
                </w14:textFill>
              </w:rPr>
              <w:t>|</w:t>
            </w:r>
          </w:p>
        </w:tc>
      </w:tr>
      <w:tr w:rsidR="00D865D4" w:rsidRPr="005F5BEA" w14:paraId="4C544F7B" w14:textId="77777777" w:rsidTr="00D865D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571039C6" w14:textId="77777777" w:rsidR="004F68E8" w:rsidRPr="005F5BEA" w:rsidRDefault="004F68E8" w:rsidP="005926D9">
            <w:pPr>
              <w:pStyle w:val="Tabletext0"/>
              <w:rPr>
                <w:rFonts w:ascii="Segoe UI" w:hAnsi="Segoe UI"/>
                <w:sz w:val="18"/>
                <w:szCs w:val="18"/>
              </w:rPr>
            </w:pPr>
          </w:p>
        </w:tc>
        <w:tc>
          <w:tcPr>
            <w:tcW w:w="199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248556DE" w14:textId="77777777" w:rsidR="004F68E8" w:rsidRPr="005F5BEA" w:rsidRDefault="004F68E8" w:rsidP="005926D9">
            <w:pPr>
              <w:pStyle w:val="Tabletext0"/>
              <w:rPr>
                <w:rFonts w:ascii="Segoe UI" w:hAnsi="Segoe UI"/>
                <w:sz w:val="18"/>
                <w:szCs w:val="18"/>
              </w:rPr>
            </w:pPr>
            <w:r w:rsidRPr="005F5BEA">
              <w:rPr>
                <w:b/>
                <w:bCs/>
              </w:rPr>
              <w:t>Scheduled services and no onboarding costs</w:t>
            </w:r>
            <w:r w:rsidRPr="005F5BEA">
              <w:t> </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2A6258BE" w14:textId="48311674" w:rsidR="004F68E8" w:rsidRPr="00D865D4" w:rsidRDefault="00D865D4" w:rsidP="005926D9">
            <w:pPr>
              <w:pStyle w:val="Tabletext0"/>
              <w:rPr>
                <w:rFonts w:ascii="Segoe UI" w:hAnsi="Segoe UI"/>
                <w:sz w:val="18"/>
                <w:szCs w:val="18"/>
              </w:rPr>
            </w:pPr>
            <w:r w:rsidRPr="008A2B4D">
              <w:rPr>
                <w:color w:val="000000"/>
                <w:spacing w:val="94"/>
                <w:fitText w:val="180" w:id="-1157882865"/>
                <w14:textFill>
                  <w14:solidFill>
                    <w14:srgbClr w14:val="000000">
                      <w14:alpha w14:val="100000"/>
                    </w14:srgbClr>
                  </w14:solidFill>
                </w14:textFill>
              </w:rPr>
              <w:t>|</w:t>
            </w:r>
            <w:r w:rsidRPr="008A2B4D">
              <w:rPr>
                <w:color w:val="000000"/>
                <w:fitText w:val="180" w:id="-1157882865"/>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19F33F8D" w14:textId="1E3731D1" w:rsidR="004F68E8" w:rsidRPr="00D865D4" w:rsidRDefault="00D865D4" w:rsidP="005926D9">
            <w:pPr>
              <w:pStyle w:val="Tabletext0"/>
              <w:rPr>
                <w:rFonts w:ascii="Segoe UI" w:hAnsi="Segoe UI"/>
                <w:sz w:val="18"/>
                <w:szCs w:val="18"/>
              </w:rPr>
            </w:pPr>
            <w:r w:rsidRPr="008A2B4D">
              <w:rPr>
                <w:color w:val="000000"/>
                <w:spacing w:val="94"/>
                <w:fitText w:val="180" w:id="-1157882864"/>
                <w14:textFill>
                  <w14:solidFill>
                    <w14:srgbClr w14:val="000000">
                      <w14:alpha w14:val="100000"/>
                    </w14:srgbClr>
                  </w14:solidFill>
                </w14:textFill>
              </w:rPr>
              <w:t>|</w:t>
            </w:r>
            <w:r w:rsidRPr="008A2B4D">
              <w:rPr>
                <w:color w:val="000000"/>
                <w:fitText w:val="180" w:id="-1157882864"/>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23D9C57D" w14:textId="467ED1F4" w:rsidR="004F68E8" w:rsidRPr="00D865D4" w:rsidRDefault="00D865D4" w:rsidP="005926D9">
            <w:pPr>
              <w:pStyle w:val="Tabletext0"/>
              <w:rPr>
                <w:rFonts w:ascii="Segoe UI" w:hAnsi="Segoe UI"/>
                <w:sz w:val="18"/>
                <w:szCs w:val="18"/>
              </w:rPr>
            </w:pPr>
            <w:r w:rsidRPr="008A2B4D">
              <w:rPr>
                <w:color w:val="000000"/>
                <w:spacing w:val="94"/>
                <w:fitText w:val="180" w:id="-1157882880"/>
                <w14:textFill>
                  <w14:solidFill>
                    <w14:srgbClr w14:val="000000">
                      <w14:alpha w14:val="100000"/>
                    </w14:srgbClr>
                  </w14:solidFill>
                </w14:textFill>
              </w:rPr>
              <w:t>|</w:t>
            </w:r>
            <w:r w:rsidRPr="008A2B4D">
              <w:rPr>
                <w:color w:val="000000"/>
                <w:fitText w:val="180" w:id="-1157882880"/>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747A07E6" w14:textId="0A494BDF" w:rsidR="004F68E8" w:rsidRPr="00D865D4" w:rsidRDefault="00D865D4" w:rsidP="005926D9">
            <w:pPr>
              <w:pStyle w:val="Tabletext0"/>
              <w:rPr>
                <w:rFonts w:ascii="Segoe UI" w:hAnsi="Segoe UI"/>
                <w:sz w:val="18"/>
                <w:szCs w:val="18"/>
              </w:rPr>
            </w:pPr>
            <w:r w:rsidRPr="008A2B4D">
              <w:rPr>
                <w:color w:val="000000"/>
                <w:spacing w:val="94"/>
                <w:fitText w:val="180" w:id="-1157882879"/>
                <w14:textFill>
                  <w14:solidFill>
                    <w14:srgbClr w14:val="000000">
                      <w14:alpha w14:val="100000"/>
                    </w14:srgbClr>
                  </w14:solidFill>
                </w14:textFill>
              </w:rPr>
              <w:t>|</w:t>
            </w:r>
            <w:r w:rsidRPr="008A2B4D">
              <w:rPr>
                <w:color w:val="000000"/>
                <w:fitText w:val="180" w:id="-1157882879"/>
                <w14:textFill>
                  <w14:solidFill>
                    <w14:srgbClr w14:val="000000">
                      <w14:alpha w14:val="100000"/>
                    </w14:srgbClr>
                  </w14:solidFill>
                </w14:textFill>
              </w:rPr>
              <w:t>|</w:t>
            </w:r>
          </w:p>
        </w:tc>
        <w:tc>
          <w:tcPr>
            <w:tcW w:w="939"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088E0B4D" w14:textId="38F04F67" w:rsidR="004F68E8" w:rsidRPr="00D865D4" w:rsidRDefault="00D865D4" w:rsidP="005926D9">
            <w:pPr>
              <w:pStyle w:val="Tabletext0"/>
              <w:rPr>
                <w:rFonts w:ascii="Segoe UI" w:hAnsi="Segoe UI"/>
                <w:sz w:val="18"/>
                <w:szCs w:val="18"/>
              </w:rPr>
            </w:pPr>
            <w:r w:rsidRPr="008A2B4D">
              <w:rPr>
                <w:color w:val="000000"/>
                <w:spacing w:val="94"/>
                <w:fitText w:val="180" w:id="-1157882878"/>
                <w14:textFill>
                  <w14:solidFill>
                    <w14:srgbClr w14:val="000000">
                      <w14:alpha w14:val="100000"/>
                    </w14:srgbClr>
                  </w14:solidFill>
                </w14:textFill>
              </w:rPr>
              <w:t>|</w:t>
            </w:r>
            <w:r w:rsidRPr="008A2B4D">
              <w:rPr>
                <w:color w:val="000000"/>
                <w:fitText w:val="180" w:id="-1157882878"/>
                <w14:textFill>
                  <w14:solidFill>
                    <w14:srgbClr w14:val="000000">
                      <w14:alpha w14:val="100000"/>
                    </w14:srgbClr>
                  </w14:solidFill>
                </w14:textFill>
              </w:rPr>
              <w:t>|</w:t>
            </w:r>
          </w:p>
        </w:tc>
      </w:tr>
      <w:tr w:rsidR="00D865D4" w:rsidRPr="005F5BEA" w14:paraId="1F2CE867" w14:textId="77777777" w:rsidTr="00D865D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5979F899" w14:textId="77777777" w:rsidR="004F68E8" w:rsidRPr="005F5BEA" w:rsidRDefault="004F68E8" w:rsidP="005926D9">
            <w:pPr>
              <w:pStyle w:val="Tabletext0"/>
              <w:rPr>
                <w:rFonts w:ascii="Segoe UI" w:hAnsi="Segoe UI"/>
                <w:sz w:val="18"/>
                <w:szCs w:val="18"/>
              </w:rPr>
            </w:pPr>
          </w:p>
        </w:tc>
        <w:tc>
          <w:tcPr>
            <w:tcW w:w="199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3742FA65" w14:textId="77777777" w:rsidR="004F68E8" w:rsidRPr="005F5BEA" w:rsidRDefault="004F68E8" w:rsidP="005926D9">
            <w:pPr>
              <w:pStyle w:val="Tabletext0"/>
              <w:rPr>
                <w:rFonts w:ascii="Segoe UI" w:hAnsi="Segoe UI"/>
                <w:sz w:val="18"/>
                <w:szCs w:val="18"/>
              </w:rPr>
            </w:pPr>
            <w:r w:rsidRPr="005F5BEA">
              <w:rPr>
                <w:b/>
                <w:bCs/>
              </w:rPr>
              <w:t xml:space="preserve">Scheduled services with no onboarding, annual </w:t>
            </w:r>
            <w:proofErr w:type="gramStart"/>
            <w:r w:rsidRPr="005F5BEA">
              <w:rPr>
                <w:b/>
                <w:bCs/>
              </w:rPr>
              <w:t>update</w:t>
            </w:r>
            <w:proofErr w:type="gramEnd"/>
            <w:r w:rsidRPr="005F5BEA">
              <w:rPr>
                <w:b/>
                <w:bCs/>
              </w:rPr>
              <w:t xml:space="preserve"> or training costs </w:t>
            </w:r>
            <w:r w:rsidRPr="005F5BEA">
              <w:t> </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1F8CD55A" w14:textId="7622EE64" w:rsidR="004F68E8" w:rsidRPr="00D865D4" w:rsidRDefault="00D865D4" w:rsidP="005926D9">
            <w:pPr>
              <w:pStyle w:val="Tabletext0"/>
              <w:rPr>
                <w:rFonts w:ascii="Segoe UI" w:hAnsi="Segoe UI"/>
                <w:sz w:val="18"/>
                <w:szCs w:val="18"/>
              </w:rPr>
            </w:pPr>
            <w:r w:rsidRPr="008A2B4D">
              <w:rPr>
                <w:color w:val="000000"/>
                <w:spacing w:val="94"/>
                <w:fitText w:val="180" w:id="-1157882877"/>
                <w14:textFill>
                  <w14:solidFill>
                    <w14:srgbClr w14:val="000000">
                      <w14:alpha w14:val="100000"/>
                    </w14:srgbClr>
                  </w14:solidFill>
                </w14:textFill>
              </w:rPr>
              <w:t>|</w:t>
            </w:r>
            <w:r w:rsidRPr="008A2B4D">
              <w:rPr>
                <w:color w:val="000000"/>
                <w:fitText w:val="180" w:id="-1157882877"/>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78E19D4E" w14:textId="35207993" w:rsidR="004F68E8" w:rsidRPr="00D865D4" w:rsidRDefault="00D865D4" w:rsidP="005926D9">
            <w:pPr>
              <w:pStyle w:val="Tabletext0"/>
              <w:rPr>
                <w:rFonts w:ascii="Segoe UI" w:hAnsi="Segoe UI"/>
                <w:sz w:val="18"/>
                <w:szCs w:val="18"/>
              </w:rPr>
            </w:pPr>
            <w:r w:rsidRPr="008A2B4D">
              <w:rPr>
                <w:color w:val="000000"/>
                <w:spacing w:val="94"/>
                <w:fitText w:val="180" w:id="-1157882876"/>
                <w14:textFill>
                  <w14:solidFill>
                    <w14:srgbClr w14:val="000000">
                      <w14:alpha w14:val="100000"/>
                    </w14:srgbClr>
                  </w14:solidFill>
                </w14:textFill>
              </w:rPr>
              <w:t>|</w:t>
            </w:r>
            <w:r w:rsidRPr="008A2B4D">
              <w:rPr>
                <w:color w:val="000000"/>
                <w:fitText w:val="180" w:id="-1157882876"/>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025CC1B6" w14:textId="39E4D0FF" w:rsidR="004F68E8" w:rsidRPr="00D865D4" w:rsidRDefault="00D865D4" w:rsidP="005926D9">
            <w:pPr>
              <w:pStyle w:val="Tabletext0"/>
              <w:rPr>
                <w:rFonts w:ascii="Segoe UI" w:hAnsi="Segoe UI"/>
                <w:sz w:val="18"/>
                <w:szCs w:val="18"/>
              </w:rPr>
            </w:pPr>
            <w:r w:rsidRPr="008A2B4D">
              <w:rPr>
                <w:color w:val="000000"/>
                <w:spacing w:val="94"/>
                <w:fitText w:val="180" w:id="-1157882875"/>
                <w14:textFill>
                  <w14:solidFill>
                    <w14:srgbClr w14:val="000000">
                      <w14:alpha w14:val="100000"/>
                    </w14:srgbClr>
                  </w14:solidFill>
                </w14:textFill>
              </w:rPr>
              <w:t>|</w:t>
            </w:r>
            <w:r w:rsidRPr="008A2B4D">
              <w:rPr>
                <w:color w:val="000000"/>
                <w:fitText w:val="180" w:id="-1157882875"/>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3B8006B5" w14:textId="1A32A340" w:rsidR="004F68E8" w:rsidRPr="00D865D4" w:rsidRDefault="00D865D4" w:rsidP="005926D9">
            <w:pPr>
              <w:pStyle w:val="Tabletext0"/>
              <w:rPr>
                <w:rFonts w:ascii="Segoe UI" w:hAnsi="Segoe UI"/>
                <w:sz w:val="18"/>
                <w:szCs w:val="18"/>
              </w:rPr>
            </w:pPr>
            <w:r w:rsidRPr="008A2B4D">
              <w:rPr>
                <w:color w:val="000000"/>
                <w:spacing w:val="94"/>
                <w:fitText w:val="180" w:id="-1157882874"/>
                <w14:textFill>
                  <w14:solidFill>
                    <w14:srgbClr w14:val="000000">
                      <w14:alpha w14:val="100000"/>
                    </w14:srgbClr>
                  </w14:solidFill>
                </w14:textFill>
              </w:rPr>
              <w:t>|</w:t>
            </w:r>
            <w:r w:rsidRPr="008A2B4D">
              <w:rPr>
                <w:color w:val="000000"/>
                <w:fitText w:val="180" w:id="-1157882874"/>
                <w14:textFill>
                  <w14:solidFill>
                    <w14:srgbClr w14:val="000000">
                      <w14:alpha w14:val="100000"/>
                    </w14:srgbClr>
                  </w14:solidFill>
                </w14:textFill>
              </w:rPr>
              <w:t>|</w:t>
            </w:r>
          </w:p>
        </w:tc>
        <w:tc>
          <w:tcPr>
            <w:tcW w:w="939"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398E3250" w14:textId="23AD9536" w:rsidR="004F68E8" w:rsidRPr="00D865D4" w:rsidRDefault="00D865D4" w:rsidP="005926D9">
            <w:pPr>
              <w:pStyle w:val="Tabletext0"/>
              <w:rPr>
                <w:rFonts w:ascii="Segoe UI" w:hAnsi="Segoe UI"/>
                <w:sz w:val="18"/>
                <w:szCs w:val="18"/>
              </w:rPr>
            </w:pPr>
            <w:r w:rsidRPr="008A2B4D">
              <w:rPr>
                <w:color w:val="000000"/>
                <w:spacing w:val="94"/>
                <w:fitText w:val="180" w:id="-1157882873"/>
                <w14:textFill>
                  <w14:solidFill>
                    <w14:srgbClr w14:val="000000">
                      <w14:alpha w14:val="100000"/>
                    </w14:srgbClr>
                  </w14:solidFill>
                </w14:textFill>
              </w:rPr>
              <w:t>|</w:t>
            </w:r>
            <w:r w:rsidRPr="008A2B4D">
              <w:rPr>
                <w:color w:val="000000"/>
                <w:fitText w:val="180" w:id="-1157882873"/>
                <w14:textFill>
                  <w14:solidFill>
                    <w14:srgbClr w14:val="000000">
                      <w14:alpha w14:val="100000"/>
                    </w14:srgbClr>
                  </w14:solidFill>
                </w14:textFill>
              </w:rPr>
              <w:t>|</w:t>
            </w:r>
          </w:p>
        </w:tc>
      </w:tr>
      <w:tr w:rsidR="004F68E8" w:rsidRPr="005F5BEA" w14:paraId="1B071FB4" w14:textId="77777777" w:rsidTr="00D865D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18DC79E2" w14:textId="77777777" w:rsidR="004F68E8" w:rsidRPr="005F5BEA" w:rsidRDefault="004F68E8" w:rsidP="005926D9">
            <w:pPr>
              <w:pStyle w:val="Tabletext0"/>
              <w:rPr>
                <w:rFonts w:ascii="Segoe UI" w:hAnsi="Segoe UI"/>
                <w:sz w:val="18"/>
                <w:szCs w:val="18"/>
              </w:rPr>
            </w:pPr>
          </w:p>
        </w:tc>
        <w:tc>
          <w:tcPr>
            <w:tcW w:w="199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5D3C8AFF" w14:textId="77777777" w:rsidR="004F68E8" w:rsidRPr="005F5BEA" w:rsidRDefault="004F68E8" w:rsidP="005926D9">
            <w:pPr>
              <w:pStyle w:val="Tabletext0"/>
              <w:rPr>
                <w:rFonts w:ascii="Segoe UI" w:hAnsi="Segoe UI"/>
                <w:sz w:val="18"/>
                <w:szCs w:val="18"/>
              </w:rPr>
            </w:pPr>
            <w:r w:rsidRPr="005F5BEA">
              <w:rPr>
                <w:b/>
                <w:bCs/>
              </w:rPr>
              <w:t xml:space="preserve">Scheduled services with no onboarding, annual update, </w:t>
            </w:r>
            <w:proofErr w:type="gramStart"/>
            <w:r w:rsidRPr="005F5BEA">
              <w:rPr>
                <w:b/>
                <w:bCs/>
              </w:rPr>
              <w:t>training</w:t>
            </w:r>
            <w:proofErr w:type="gramEnd"/>
            <w:r w:rsidRPr="005F5BEA">
              <w:rPr>
                <w:b/>
                <w:bCs/>
              </w:rPr>
              <w:t xml:space="preserve"> or loadings</w:t>
            </w:r>
            <w:r w:rsidRPr="005F5BEA">
              <w:t> </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76AD45CE" w14:textId="5541EC9E" w:rsidR="004F68E8" w:rsidRPr="00D865D4" w:rsidRDefault="00D865D4" w:rsidP="005926D9">
            <w:pPr>
              <w:pStyle w:val="Tabletext0"/>
              <w:rPr>
                <w:rFonts w:ascii="Segoe UI" w:hAnsi="Segoe UI"/>
                <w:sz w:val="18"/>
                <w:szCs w:val="18"/>
              </w:rPr>
            </w:pPr>
            <w:r w:rsidRPr="008A2B4D">
              <w:rPr>
                <w:color w:val="000000"/>
                <w:spacing w:val="94"/>
                <w:fitText w:val="180" w:id="-1157882872"/>
                <w14:textFill>
                  <w14:solidFill>
                    <w14:srgbClr w14:val="000000">
                      <w14:alpha w14:val="100000"/>
                    </w14:srgbClr>
                  </w14:solidFill>
                </w14:textFill>
              </w:rPr>
              <w:t>|</w:t>
            </w:r>
            <w:r w:rsidRPr="008A2B4D">
              <w:rPr>
                <w:color w:val="000000"/>
                <w:fitText w:val="180" w:id="-1157882872"/>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705BE2A0" w14:textId="5D1F457C" w:rsidR="004F68E8" w:rsidRPr="00D865D4" w:rsidRDefault="00D865D4" w:rsidP="005926D9">
            <w:pPr>
              <w:pStyle w:val="Tabletext0"/>
              <w:rPr>
                <w:rFonts w:ascii="Segoe UI" w:hAnsi="Segoe UI"/>
                <w:sz w:val="18"/>
                <w:szCs w:val="18"/>
              </w:rPr>
            </w:pPr>
            <w:r w:rsidRPr="008A2B4D">
              <w:rPr>
                <w:color w:val="000000"/>
                <w:spacing w:val="94"/>
                <w:fitText w:val="180" w:id="-1157882871"/>
                <w14:textFill>
                  <w14:solidFill>
                    <w14:srgbClr w14:val="000000">
                      <w14:alpha w14:val="100000"/>
                    </w14:srgbClr>
                  </w14:solidFill>
                </w14:textFill>
              </w:rPr>
              <w:t>|</w:t>
            </w:r>
            <w:r w:rsidRPr="008A2B4D">
              <w:rPr>
                <w:color w:val="000000"/>
                <w:fitText w:val="180" w:id="-1157882871"/>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1011F875" w14:textId="13B988F5" w:rsidR="004F68E8" w:rsidRPr="00D865D4" w:rsidRDefault="00D865D4" w:rsidP="005926D9">
            <w:pPr>
              <w:pStyle w:val="Tabletext0"/>
              <w:rPr>
                <w:rFonts w:ascii="Segoe UI" w:hAnsi="Segoe UI"/>
                <w:sz w:val="18"/>
                <w:szCs w:val="18"/>
              </w:rPr>
            </w:pPr>
            <w:r w:rsidRPr="008A2B4D">
              <w:rPr>
                <w:color w:val="000000"/>
                <w:spacing w:val="94"/>
                <w:fitText w:val="180" w:id="-1157882870"/>
                <w14:textFill>
                  <w14:solidFill>
                    <w14:srgbClr w14:val="000000">
                      <w14:alpha w14:val="100000"/>
                    </w14:srgbClr>
                  </w14:solidFill>
                </w14:textFill>
              </w:rPr>
              <w:t>|</w:t>
            </w:r>
            <w:r w:rsidRPr="008A2B4D">
              <w:rPr>
                <w:color w:val="000000"/>
                <w:fitText w:val="180" w:id="-1157882870"/>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1C755C60" w14:textId="4FC7C97D" w:rsidR="004F68E8" w:rsidRPr="00D865D4" w:rsidRDefault="00D865D4" w:rsidP="005926D9">
            <w:pPr>
              <w:pStyle w:val="Tabletext0"/>
              <w:rPr>
                <w:rFonts w:ascii="Segoe UI" w:hAnsi="Segoe UI"/>
                <w:sz w:val="18"/>
                <w:szCs w:val="18"/>
              </w:rPr>
            </w:pPr>
            <w:r w:rsidRPr="008A2B4D">
              <w:rPr>
                <w:color w:val="000000"/>
                <w:spacing w:val="94"/>
                <w:fitText w:val="180" w:id="-1157882869"/>
                <w14:textFill>
                  <w14:solidFill>
                    <w14:srgbClr w14:val="000000">
                      <w14:alpha w14:val="100000"/>
                    </w14:srgbClr>
                  </w14:solidFill>
                </w14:textFill>
              </w:rPr>
              <w:t>|</w:t>
            </w:r>
            <w:r w:rsidRPr="008A2B4D">
              <w:rPr>
                <w:color w:val="000000"/>
                <w:fitText w:val="180" w:id="-1157882869"/>
                <w14:textFill>
                  <w14:solidFill>
                    <w14:srgbClr w14:val="000000">
                      <w14:alpha w14:val="100000"/>
                    </w14:srgbClr>
                  </w14:solidFill>
                </w14:textFill>
              </w:rPr>
              <w:t>|</w:t>
            </w:r>
          </w:p>
        </w:tc>
        <w:tc>
          <w:tcPr>
            <w:tcW w:w="939"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5D65875F" w14:textId="3E8999E0" w:rsidR="004F68E8" w:rsidRPr="00D865D4" w:rsidRDefault="00D865D4" w:rsidP="005926D9">
            <w:pPr>
              <w:pStyle w:val="Tabletext0"/>
              <w:rPr>
                <w:rFonts w:ascii="Segoe UI" w:hAnsi="Segoe UI"/>
                <w:sz w:val="18"/>
                <w:szCs w:val="18"/>
              </w:rPr>
            </w:pPr>
            <w:r w:rsidRPr="008A2B4D">
              <w:rPr>
                <w:color w:val="000000"/>
                <w:spacing w:val="94"/>
                <w:fitText w:val="180" w:id="-1157882868"/>
                <w14:textFill>
                  <w14:solidFill>
                    <w14:srgbClr w14:val="000000">
                      <w14:alpha w14:val="100000"/>
                    </w14:srgbClr>
                  </w14:solidFill>
                </w14:textFill>
              </w:rPr>
              <w:t>|</w:t>
            </w:r>
            <w:r w:rsidRPr="008A2B4D">
              <w:rPr>
                <w:color w:val="000000"/>
                <w:fitText w:val="180" w:id="-1157882868"/>
                <w14:textFill>
                  <w14:solidFill>
                    <w14:srgbClr w14:val="000000">
                      <w14:alpha w14:val="100000"/>
                    </w14:srgbClr>
                  </w14:solidFill>
                </w14:textFill>
              </w:rPr>
              <w:t>|</w:t>
            </w:r>
          </w:p>
        </w:tc>
      </w:tr>
      <w:tr w:rsidR="004F68E8" w:rsidRPr="005F5BEA" w14:paraId="7264FB0D" w14:textId="77777777" w:rsidTr="00D865D4">
        <w:trPr>
          <w:trHeight w:val="300"/>
        </w:trPr>
        <w:tc>
          <w:tcPr>
            <w:tcW w:w="2651" w:type="dxa"/>
            <w:gridSpan w:val="2"/>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7B580E36" w14:textId="77777777" w:rsidR="004F68E8" w:rsidRPr="005F5BEA" w:rsidRDefault="004F68E8" w:rsidP="005926D9">
            <w:pPr>
              <w:pStyle w:val="Tabletext0"/>
              <w:rPr>
                <w:rFonts w:ascii="Segoe UI" w:hAnsi="Segoe UI"/>
                <w:sz w:val="18"/>
                <w:szCs w:val="18"/>
              </w:rPr>
            </w:pPr>
            <w:r w:rsidRPr="005F5BEA">
              <w:rPr>
                <w:b/>
                <w:bCs/>
              </w:rPr>
              <w:t>Total remote services (remote monitoring, n)</w:t>
            </w:r>
            <w:r w:rsidRPr="005F5BEA">
              <w:t> </w:t>
            </w:r>
          </w:p>
        </w:tc>
        <w:tc>
          <w:tcPr>
            <w:tcW w:w="135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7C2614F1" w14:textId="77777777" w:rsidR="004F68E8" w:rsidRPr="005F5BEA" w:rsidRDefault="004F68E8" w:rsidP="005926D9">
            <w:pPr>
              <w:pStyle w:val="Tabletext0"/>
              <w:rPr>
                <w:rFonts w:ascii="Segoe UI" w:hAnsi="Segoe UI"/>
                <w:sz w:val="18"/>
                <w:szCs w:val="18"/>
              </w:rPr>
            </w:pPr>
            <w:r w:rsidRPr="005F5BEA">
              <w:t>519,870 </w:t>
            </w:r>
          </w:p>
        </w:tc>
        <w:tc>
          <w:tcPr>
            <w:tcW w:w="135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5BFE4DF8" w14:textId="77777777" w:rsidR="004F68E8" w:rsidRPr="005F5BEA" w:rsidRDefault="004F68E8" w:rsidP="005926D9">
            <w:pPr>
              <w:pStyle w:val="Tabletext0"/>
              <w:rPr>
                <w:rFonts w:ascii="Segoe UI" w:hAnsi="Segoe UI"/>
                <w:sz w:val="18"/>
                <w:szCs w:val="18"/>
              </w:rPr>
            </w:pPr>
            <w:r w:rsidRPr="005F5BEA">
              <w:t>556,261 </w:t>
            </w:r>
          </w:p>
        </w:tc>
        <w:tc>
          <w:tcPr>
            <w:tcW w:w="135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46021D01" w14:textId="77777777" w:rsidR="004F68E8" w:rsidRPr="005F5BEA" w:rsidRDefault="004F68E8" w:rsidP="005926D9">
            <w:pPr>
              <w:pStyle w:val="Tabletext0"/>
              <w:rPr>
                <w:rFonts w:ascii="Segoe UI" w:hAnsi="Segoe UI"/>
                <w:sz w:val="18"/>
                <w:szCs w:val="18"/>
              </w:rPr>
            </w:pPr>
            <w:r w:rsidRPr="005F5BEA">
              <w:t>595,199 </w:t>
            </w:r>
          </w:p>
        </w:tc>
        <w:tc>
          <w:tcPr>
            <w:tcW w:w="135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5A1F7725" w14:textId="77777777" w:rsidR="004F68E8" w:rsidRPr="005F5BEA" w:rsidRDefault="004F68E8" w:rsidP="005926D9">
            <w:pPr>
              <w:pStyle w:val="Tabletext0"/>
              <w:rPr>
                <w:rFonts w:ascii="Segoe UI" w:hAnsi="Segoe UI"/>
                <w:sz w:val="18"/>
                <w:szCs w:val="18"/>
              </w:rPr>
            </w:pPr>
            <w:r w:rsidRPr="005F5BEA">
              <w:t>636,863 </w:t>
            </w:r>
          </w:p>
        </w:tc>
        <w:tc>
          <w:tcPr>
            <w:tcW w:w="939"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042AA0BC" w14:textId="77777777" w:rsidR="004F68E8" w:rsidRPr="005F5BEA" w:rsidRDefault="004F68E8" w:rsidP="005926D9">
            <w:pPr>
              <w:pStyle w:val="Tabletext0"/>
              <w:rPr>
                <w:rFonts w:ascii="Segoe UI" w:hAnsi="Segoe UI"/>
                <w:sz w:val="18"/>
                <w:szCs w:val="18"/>
              </w:rPr>
            </w:pPr>
            <w:r w:rsidRPr="005F5BEA">
              <w:t> </w:t>
            </w:r>
          </w:p>
        </w:tc>
      </w:tr>
      <w:tr w:rsidR="00D865D4" w:rsidRPr="005F5BEA" w14:paraId="796CE2D6" w14:textId="77777777" w:rsidTr="00D865D4">
        <w:trPr>
          <w:trHeight w:val="300"/>
        </w:trPr>
        <w:tc>
          <w:tcPr>
            <w:tcW w:w="656" w:type="dxa"/>
            <w:vMerge w:val="restart"/>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270008C0" w14:textId="77777777" w:rsidR="004F68E8" w:rsidRPr="005F5BEA" w:rsidRDefault="004F68E8" w:rsidP="005926D9">
            <w:pPr>
              <w:pStyle w:val="Tabletext0"/>
              <w:rPr>
                <w:rFonts w:ascii="Segoe UI" w:hAnsi="Segoe UI"/>
                <w:sz w:val="18"/>
                <w:szCs w:val="18"/>
              </w:rPr>
            </w:pPr>
            <w:r w:rsidRPr="005F5BEA">
              <w:rPr>
                <w:b/>
                <w:bCs/>
              </w:rPr>
              <w:t>Total cost</w:t>
            </w:r>
            <w:r w:rsidRPr="005F5BEA">
              <w:t> </w:t>
            </w:r>
          </w:p>
        </w:tc>
        <w:tc>
          <w:tcPr>
            <w:tcW w:w="199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475C7E4C" w14:textId="77777777" w:rsidR="004F68E8" w:rsidRPr="005F5BEA" w:rsidRDefault="004F68E8" w:rsidP="005926D9">
            <w:pPr>
              <w:pStyle w:val="Tabletext0"/>
              <w:rPr>
                <w:rFonts w:ascii="Segoe UI" w:hAnsi="Segoe UI"/>
                <w:sz w:val="18"/>
                <w:szCs w:val="18"/>
              </w:rPr>
            </w:pPr>
            <w:r w:rsidRPr="005F5BEA">
              <w:rPr>
                <w:b/>
                <w:bCs/>
              </w:rPr>
              <w:t>Remote monitoring services</w:t>
            </w:r>
            <w:r w:rsidRPr="005F5BEA">
              <w:t> </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42660D90" w14:textId="3FE0FB92" w:rsidR="004F68E8" w:rsidRPr="00D865D4" w:rsidRDefault="00D865D4" w:rsidP="005926D9">
            <w:pPr>
              <w:pStyle w:val="Tabletext0"/>
              <w:rPr>
                <w:rFonts w:ascii="Segoe UI" w:hAnsi="Segoe UI"/>
                <w:sz w:val="18"/>
                <w:szCs w:val="18"/>
              </w:rPr>
            </w:pPr>
            <w:r w:rsidRPr="008A2B4D">
              <w:rPr>
                <w:color w:val="000000"/>
                <w:spacing w:val="94"/>
                <w:fitText w:val="180" w:id="-1157882867"/>
                <w14:textFill>
                  <w14:solidFill>
                    <w14:srgbClr w14:val="000000">
                      <w14:alpha w14:val="100000"/>
                    </w14:srgbClr>
                  </w14:solidFill>
                </w14:textFill>
              </w:rPr>
              <w:t>|</w:t>
            </w:r>
            <w:r w:rsidRPr="008A2B4D">
              <w:rPr>
                <w:color w:val="000000"/>
                <w:fitText w:val="180" w:id="-1157882867"/>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602332FD" w14:textId="351FD7AC" w:rsidR="004F68E8" w:rsidRPr="00D865D4" w:rsidRDefault="00D865D4" w:rsidP="005926D9">
            <w:pPr>
              <w:pStyle w:val="Tabletext0"/>
              <w:rPr>
                <w:rFonts w:ascii="Segoe UI" w:hAnsi="Segoe UI"/>
                <w:sz w:val="18"/>
                <w:szCs w:val="18"/>
              </w:rPr>
            </w:pPr>
            <w:r w:rsidRPr="008A2B4D">
              <w:rPr>
                <w:color w:val="000000"/>
                <w:spacing w:val="94"/>
                <w:fitText w:val="180" w:id="-1157882866"/>
                <w14:textFill>
                  <w14:solidFill>
                    <w14:srgbClr w14:val="000000">
                      <w14:alpha w14:val="100000"/>
                    </w14:srgbClr>
                  </w14:solidFill>
                </w14:textFill>
              </w:rPr>
              <w:t>|</w:t>
            </w:r>
            <w:r w:rsidRPr="008A2B4D">
              <w:rPr>
                <w:color w:val="000000"/>
                <w:fitText w:val="180" w:id="-1157882866"/>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41680068" w14:textId="21A1ADD7" w:rsidR="004F68E8" w:rsidRPr="00D865D4" w:rsidRDefault="00D865D4" w:rsidP="005926D9">
            <w:pPr>
              <w:pStyle w:val="Tabletext0"/>
              <w:rPr>
                <w:rFonts w:ascii="Segoe UI" w:hAnsi="Segoe UI"/>
                <w:sz w:val="18"/>
                <w:szCs w:val="18"/>
              </w:rPr>
            </w:pPr>
            <w:r w:rsidRPr="008A2B4D">
              <w:rPr>
                <w:color w:val="000000"/>
                <w:spacing w:val="94"/>
                <w:fitText w:val="180" w:id="-1157882865"/>
                <w14:textFill>
                  <w14:solidFill>
                    <w14:srgbClr w14:val="000000">
                      <w14:alpha w14:val="100000"/>
                    </w14:srgbClr>
                  </w14:solidFill>
                </w14:textFill>
              </w:rPr>
              <w:t>|</w:t>
            </w:r>
            <w:r w:rsidRPr="008A2B4D">
              <w:rPr>
                <w:color w:val="000000"/>
                <w:fitText w:val="180" w:id="-1157882865"/>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4DE47038" w14:textId="5296C81A" w:rsidR="004F68E8" w:rsidRPr="00D865D4" w:rsidRDefault="00D865D4" w:rsidP="005926D9">
            <w:pPr>
              <w:pStyle w:val="Tabletext0"/>
              <w:rPr>
                <w:rFonts w:ascii="Segoe UI" w:hAnsi="Segoe UI"/>
                <w:sz w:val="18"/>
                <w:szCs w:val="18"/>
              </w:rPr>
            </w:pPr>
            <w:r w:rsidRPr="008A2B4D">
              <w:rPr>
                <w:color w:val="000000"/>
                <w:spacing w:val="94"/>
                <w:fitText w:val="180" w:id="-1157882864"/>
                <w14:textFill>
                  <w14:solidFill>
                    <w14:srgbClr w14:val="000000">
                      <w14:alpha w14:val="100000"/>
                    </w14:srgbClr>
                  </w14:solidFill>
                </w14:textFill>
              </w:rPr>
              <w:t>|</w:t>
            </w:r>
            <w:r w:rsidRPr="008A2B4D">
              <w:rPr>
                <w:color w:val="000000"/>
                <w:fitText w:val="180" w:id="-1157882864"/>
                <w14:textFill>
                  <w14:solidFill>
                    <w14:srgbClr w14:val="000000">
                      <w14:alpha w14:val="100000"/>
                    </w14:srgbClr>
                  </w14:solidFill>
                </w14:textFill>
              </w:rPr>
              <w:t>|</w:t>
            </w:r>
          </w:p>
        </w:tc>
        <w:tc>
          <w:tcPr>
            <w:tcW w:w="939"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4FB1F766" w14:textId="7D8773B8" w:rsidR="004F68E8" w:rsidRPr="00D865D4" w:rsidRDefault="00D865D4" w:rsidP="005926D9">
            <w:pPr>
              <w:pStyle w:val="Tabletext0"/>
              <w:rPr>
                <w:rFonts w:ascii="Segoe UI" w:hAnsi="Segoe UI"/>
                <w:sz w:val="18"/>
                <w:szCs w:val="18"/>
              </w:rPr>
            </w:pPr>
            <w:r w:rsidRPr="008A2B4D">
              <w:rPr>
                <w:color w:val="000000"/>
                <w:spacing w:val="94"/>
                <w:fitText w:val="180" w:id="-1157882880"/>
                <w14:textFill>
                  <w14:solidFill>
                    <w14:srgbClr w14:val="000000">
                      <w14:alpha w14:val="100000"/>
                    </w14:srgbClr>
                  </w14:solidFill>
                </w14:textFill>
              </w:rPr>
              <w:t>|</w:t>
            </w:r>
            <w:r w:rsidRPr="008A2B4D">
              <w:rPr>
                <w:color w:val="000000"/>
                <w:fitText w:val="180" w:id="-1157882880"/>
                <w14:textFill>
                  <w14:solidFill>
                    <w14:srgbClr w14:val="000000">
                      <w14:alpha w14:val="100000"/>
                    </w14:srgbClr>
                  </w14:solidFill>
                </w14:textFill>
              </w:rPr>
              <w:t>|</w:t>
            </w:r>
          </w:p>
        </w:tc>
      </w:tr>
      <w:tr w:rsidR="00D865D4" w:rsidRPr="005F5BEA" w14:paraId="352E2104" w14:textId="77777777" w:rsidTr="00D865D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61472353" w14:textId="77777777" w:rsidR="004F68E8" w:rsidRPr="005F5BEA" w:rsidRDefault="004F68E8" w:rsidP="005926D9">
            <w:pPr>
              <w:pStyle w:val="Tabletext0"/>
              <w:rPr>
                <w:rFonts w:ascii="Segoe UI" w:hAnsi="Segoe UI"/>
                <w:sz w:val="18"/>
                <w:szCs w:val="18"/>
              </w:rPr>
            </w:pPr>
          </w:p>
        </w:tc>
        <w:tc>
          <w:tcPr>
            <w:tcW w:w="199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01232376" w14:textId="77777777" w:rsidR="004F68E8" w:rsidRPr="005F5BEA" w:rsidRDefault="004F68E8" w:rsidP="005926D9">
            <w:pPr>
              <w:pStyle w:val="Tabletext0"/>
              <w:rPr>
                <w:rFonts w:ascii="Segoe UI" w:hAnsi="Segoe UI"/>
                <w:sz w:val="18"/>
                <w:szCs w:val="18"/>
              </w:rPr>
            </w:pPr>
            <w:r w:rsidRPr="005F5BEA">
              <w:rPr>
                <w:b/>
                <w:bCs/>
              </w:rPr>
              <w:t>Remote monitoring services and no onboarding costs</w:t>
            </w:r>
            <w:r w:rsidRPr="005F5BEA">
              <w:t> </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3C142675" w14:textId="506F57B9" w:rsidR="004F68E8" w:rsidRPr="00D865D4" w:rsidRDefault="00D865D4" w:rsidP="005926D9">
            <w:pPr>
              <w:pStyle w:val="Tabletext0"/>
              <w:rPr>
                <w:rFonts w:ascii="Segoe UI" w:hAnsi="Segoe UI"/>
                <w:sz w:val="18"/>
                <w:szCs w:val="18"/>
              </w:rPr>
            </w:pPr>
            <w:r w:rsidRPr="008A2B4D">
              <w:rPr>
                <w:color w:val="000000"/>
                <w:spacing w:val="94"/>
                <w:fitText w:val="180" w:id="-1157882879"/>
                <w14:textFill>
                  <w14:solidFill>
                    <w14:srgbClr w14:val="000000">
                      <w14:alpha w14:val="100000"/>
                    </w14:srgbClr>
                  </w14:solidFill>
                </w14:textFill>
              </w:rPr>
              <w:t>|</w:t>
            </w:r>
            <w:r w:rsidRPr="008A2B4D">
              <w:rPr>
                <w:color w:val="000000"/>
                <w:fitText w:val="180" w:id="-1157882879"/>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6C142002" w14:textId="5A85340A" w:rsidR="004F68E8" w:rsidRPr="00D865D4" w:rsidRDefault="00D865D4" w:rsidP="005926D9">
            <w:pPr>
              <w:pStyle w:val="Tabletext0"/>
              <w:rPr>
                <w:rFonts w:ascii="Segoe UI" w:hAnsi="Segoe UI"/>
                <w:sz w:val="18"/>
                <w:szCs w:val="18"/>
              </w:rPr>
            </w:pPr>
            <w:r w:rsidRPr="008A2B4D">
              <w:rPr>
                <w:color w:val="000000"/>
                <w:spacing w:val="94"/>
                <w:fitText w:val="180" w:id="-1157882878"/>
                <w14:textFill>
                  <w14:solidFill>
                    <w14:srgbClr w14:val="000000">
                      <w14:alpha w14:val="100000"/>
                    </w14:srgbClr>
                  </w14:solidFill>
                </w14:textFill>
              </w:rPr>
              <w:t>|</w:t>
            </w:r>
            <w:r w:rsidRPr="008A2B4D">
              <w:rPr>
                <w:color w:val="000000"/>
                <w:fitText w:val="180" w:id="-1157882878"/>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5B1CD94C" w14:textId="432A49AF" w:rsidR="004F68E8" w:rsidRPr="00D865D4" w:rsidRDefault="00D865D4" w:rsidP="005926D9">
            <w:pPr>
              <w:pStyle w:val="Tabletext0"/>
              <w:rPr>
                <w:rFonts w:ascii="Segoe UI" w:hAnsi="Segoe UI"/>
                <w:sz w:val="18"/>
                <w:szCs w:val="18"/>
              </w:rPr>
            </w:pPr>
            <w:r w:rsidRPr="008A2B4D">
              <w:rPr>
                <w:color w:val="000000"/>
                <w:spacing w:val="94"/>
                <w:fitText w:val="180" w:id="-1157882877"/>
                <w14:textFill>
                  <w14:solidFill>
                    <w14:srgbClr w14:val="000000">
                      <w14:alpha w14:val="100000"/>
                    </w14:srgbClr>
                  </w14:solidFill>
                </w14:textFill>
              </w:rPr>
              <w:t>|</w:t>
            </w:r>
            <w:r w:rsidRPr="008A2B4D">
              <w:rPr>
                <w:color w:val="000000"/>
                <w:fitText w:val="180" w:id="-1157882877"/>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7CC91A16" w14:textId="4859A78C" w:rsidR="004F68E8" w:rsidRPr="00D865D4" w:rsidRDefault="00D865D4" w:rsidP="005926D9">
            <w:pPr>
              <w:pStyle w:val="Tabletext0"/>
              <w:rPr>
                <w:rFonts w:ascii="Segoe UI" w:hAnsi="Segoe UI"/>
                <w:sz w:val="18"/>
                <w:szCs w:val="18"/>
              </w:rPr>
            </w:pPr>
            <w:r w:rsidRPr="008A2B4D">
              <w:rPr>
                <w:color w:val="000000"/>
                <w:spacing w:val="94"/>
                <w:fitText w:val="180" w:id="-1157882876"/>
                <w14:textFill>
                  <w14:solidFill>
                    <w14:srgbClr w14:val="000000">
                      <w14:alpha w14:val="100000"/>
                    </w14:srgbClr>
                  </w14:solidFill>
                </w14:textFill>
              </w:rPr>
              <w:t>|</w:t>
            </w:r>
            <w:r w:rsidRPr="008A2B4D">
              <w:rPr>
                <w:color w:val="000000"/>
                <w:fitText w:val="180" w:id="-1157882876"/>
                <w14:textFill>
                  <w14:solidFill>
                    <w14:srgbClr w14:val="000000">
                      <w14:alpha w14:val="100000"/>
                    </w14:srgbClr>
                  </w14:solidFill>
                </w14:textFill>
              </w:rPr>
              <w:t>|</w:t>
            </w:r>
          </w:p>
        </w:tc>
        <w:tc>
          <w:tcPr>
            <w:tcW w:w="939"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49FACA42" w14:textId="327D920F" w:rsidR="004F68E8" w:rsidRPr="00D865D4" w:rsidRDefault="00D865D4" w:rsidP="005926D9">
            <w:pPr>
              <w:pStyle w:val="Tabletext0"/>
              <w:rPr>
                <w:rFonts w:ascii="Segoe UI" w:hAnsi="Segoe UI"/>
                <w:sz w:val="18"/>
                <w:szCs w:val="18"/>
              </w:rPr>
            </w:pPr>
            <w:r w:rsidRPr="008A2B4D">
              <w:rPr>
                <w:color w:val="000000"/>
                <w:spacing w:val="94"/>
                <w:fitText w:val="180" w:id="-1157882875"/>
                <w14:textFill>
                  <w14:solidFill>
                    <w14:srgbClr w14:val="000000">
                      <w14:alpha w14:val="100000"/>
                    </w14:srgbClr>
                  </w14:solidFill>
                </w14:textFill>
              </w:rPr>
              <w:t>|</w:t>
            </w:r>
            <w:r w:rsidRPr="008A2B4D">
              <w:rPr>
                <w:color w:val="000000"/>
                <w:fitText w:val="180" w:id="-1157882875"/>
                <w14:textFill>
                  <w14:solidFill>
                    <w14:srgbClr w14:val="000000">
                      <w14:alpha w14:val="100000"/>
                    </w14:srgbClr>
                  </w14:solidFill>
                </w14:textFill>
              </w:rPr>
              <w:t>|</w:t>
            </w:r>
          </w:p>
        </w:tc>
      </w:tr>
      <w:tr w:rsidR="00D865D4" w:rsidRPr="005F5BEA" w14:paraId="0BE94F6A" w14:textId="77777777" w:rsidTr="00D865D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45B56487" w14:textId="77777777" w:rsidR="004F68E8" w:rsidRPr="005F5BEA" w:rsidRDefault="004F68E8" w:rsidP="005926D9">
            <w:pPr>
              <w:pStyle w:val="Tabletext0"/>
              <w:rPr>
                <w:rFonts w:ascii="Segoe UI" w:hAnsi="Segoe UI"/>
                <w:sz w:val="18"/>
                <w:szCs w:val="18"/>
              </w:rPr>
            </w:pPr>
          </w:p>
        </w:tc>
        <w:tc>
          <w:tcPr>
            <w:tcW w:w="199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5ADE7339" w14:textId="77777777" w:rsidR="004F68E8" w:rsidRPr="005F5BEA" w:rsidRDefault="004F68E8" w:rsidP="005926D9">
            <w:pPr>
              <w:pStyle w:val="Tabletext0"/>
              <w:rPr>
                <w:rFonts w:ascii="Segoe UI" w:hAnsi="Segoe UI"/>
                <w:sz w:val="18"/>
                <w:szCs w:val="18"/>
              </w:rPr>
            </w:pPr>
            <w:r w:rsidRPr="005F5BEA">
              <w:rPr>
                <w:b/>
                <w:bCs/>
              </w:rPr>
              <w:t xml:space="preserve">Remote monitoring services with no onboarding, annual </w:t>
            </w:r>
            <w:proofErr w:type="gramStart"/>
            <w:r w:rsidRPr="005F5BEA">
              <w:rPr>
                <w:b/>
                <w:bCs/>
              </w:rPr>
              <w:t>update</w:t>
            </w:r>
            <w:proofErr w:type="gramEnd"/>
            <w:r w:rsidRPr="005F5BEA">
              <w:rPr>
                <w:b/>
                <w:bCs/>
              </w:rPr>
              <w:t xml:space="preserve"> or training costs </w:t>
            </w:r>
            <w:r w:rsidRPr="005F5BEA">
              <w:t> </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22F725EE" w14:textId="16590804" w:rsidR="004F68E8" w:rsidRPr="00D865D4" w:rsidRDefault="00D865D4" w:rsidP="005926D9">
            <w:pPr>
              <w:pStyle w:val="Tabletext0"/>
              <w:rPr>
                <w:rFonts w:ascii="Segoe UI" w:hAnsi="Segoe UI"/>
                <w:sz w:val="18"/>
                <w:szCs w:val="18"/>
              </w:rPr>
            </w:pPr>
            <w:r w:rsidRPr="008A2B4D">
              <w:rPr>
                <w:color w:val="000000"/>
                <w:spacing w:val="94"/>
                <w:fitText w:val="180" w:id="-1157882874"/>
                <w14:textFill>
                  <w14:solidFill>
                    <w14:srgbClr w14:val="000000">
                      <w14:alpha w14:val="100000"/>
                    </w14:srgbClr>
                  </w14:solidFill>
                </w14:textFill>
              </w:rPr>
              <w:t>|</w:t>
            </w:r>
            <w:r w:rsidRPr="008A2B4D">
              <w:rPr>
                <w:color w:val="000000"/>
                <w:fitText w:val="180" w:id="-1157882874"/>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7E76D53A" w14:textId="70954EA0" w:rsidR="004F68E8" w:rsidRPr="00D865D4" w:rsidRDefault="00D865D4" w:rsidP="005926D9">
            <w:pPr>
              <w:pStyle w:val="Tabletext0"/>
              <w:rPr>
                <w:rFonts w:ascii="Segoe UI" w:hAnsi="Segoe UI"/>
                <w:sz w:val="18"/>
                <w:szCs w:val="18"/>
              </w:rPr>
            </w:pPr>
            <w:r w:rsidRPr="008A2B4D">
              <w:rPr>
                <w:color w:val="000000"/>
                <w:spacing w:val="94"/>
                <w:fitText w:val="180" w:id="-1157882873"/>
                <w14:textFill>
                  <w14:solidFill>
                    <w14:srgbClr w14:val="000000">
                      <w14:alpha w14:val="100000"/>
                    </w14:srgbClr>
                  </w14:solidFill>
                </w14:textFill>
              </w:rPr>
              <w:t>|</w:t>
            </w:r>
            <w:r w:rsidRPr="008A2B4D">
              <w:rPr>
                <w:color w:val="000000"/>
                <w:fitText w:val="180" w:id="-1157882873"/>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2FDF13FF" w14:textId="2AF653C7" w:rsidR="004F68E8" w:rsidRPr="00D865D4" w:rsidRDefault="00D865D4" w:rsidP="005926D9">
            <w:pPr>
              <w:pStyle w:val="Tabletext0"/>
              <w:rPr>
                <w:rFonts w:ascii="Segoe UI" w:hAnsi="Segoe UI"/>
                <w:sz w:val="18"/>
                <w:szCs w:val="18"/>
              </w:rPr>
            </w:pPr>
            <w:r w:rsidRPr="008A2B4D">
              <w:rPr>
                <w:color w:val="000000"/>
                <w:spacing w:val="94"/>
                <w:fitText w:val="180" w:id="-1157882872"/>
                <w14:textFill>
                  <w14:solidFill>
                    <w14:srgbClr w14:val="000000">
                      <w14:alpha w14:val="100000"/>
                    </w14:srgbClr>
                  </w14:solidFill>
                </w14:textFill>
              </w:rPr>
              <w:t>|</w:t>
            </w:r>
            <w:r w:rsidRPr="008A2B4D">
              <w:rPr>
                <w:color w:val="000000"/>
                <w:fitText w:val="180" w:id="-1157882872"/>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1C0EF648" w14:textId="46F8B250" w:rsidR="004F68E8" w:rsidRPr="00D865D4" w:rsidRDefault="00D865D4" w:rsidP="005926D9">
            <w:pPr>
              <w:pStyle w:val="Tabletext0"/>
              <w:rPr>
                <w:rFonts w:ascii="Segoe UI" w:hAnsi="Segoe UI"/>
                <w:sz w:val="18"/>
                <w:szCs w:val="18"/>
              </w:rPr>
            </w:pPr>
            <w:r w:rsidRPr="008A2B4D">
              <w:rPr>
                <w:color w:val="000000"/>
                <w:spacing w:val="94"/>
                <w:fitText w:val="180" w:id="-1157882871"/>
                <w14:textFill>
                  <w14:solidFill>
                    <w14:srgbClr w14:val="000000">
                      <w14:alpha w14:val="100000"/>
                    </w14:srgbClr>
                  </w14:solidFill>
                </w14:textFill>
              </w:rPr>
              <w:t>|</w:t>
            </w:r>
            <w:r w:rsidRPr="008A2B4D">
              <w:rPr>
                <w:color w:val="000000"/>
                <w:fitText w:val="180" w:id="-1157882871"/>
                <w14:textFill>
                  <w14:solidFill>
                    <w14:srgbClr w14:val="000000">
                      <w14:alpha w14:val="100000"/>
                    </w14:srgbClr>
                  </w14:solidFill>
                </w14:textFill>
              </w:rPr>
              <w:t>|</w:t>
            </w:r>
          </w:p>
        </w:tc>
        <w:tc>
          <w:tcPr>
            <w:tcW w:w="939"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050AD711" w14:textId="4DDD89AB" w:rsidR="004F68E8" w:rsidRPr="00D865D4" w:rsidRDefault="00D865D4" w:rsidP="005926D9">
            <w:pPr>
              <w:pStyle w:val="Tabletext0"/>
              <w:rPr>
                <w:rFonts w:ascii="Segoe UI" w:hAnsi="Segoe UI"/>
                <w:sz w:val="18"/>
                <w:szCs w:val="18"/>
              </w:rPr>
            </w:pPr>
            <w:r w:rsidRPr="008A2B4D">
              <w:rPr>
                <w:color w:val="000000"/>
                <w:spacing w:val="94"/>
                <w:fitText w:val="180" w:id="-1157882870"/>
                <w14:textFill>
                  <w14:solidFill>
                    <w14:srgbClr w14:val="000000">
                      <w14:alpha w14:val="100000"/>
                    </w14:srgbClr>
                  </w14:solidFill>
                </w14:textFill>
              </w:rPr>
              <w:t>|</w:t>
            </w:r>
            <w:r w:rsidRPr="008A2B4D">
              <w:rPr>
                <w:color w:val="000000"/>
                <w:fitText w:val="180" w:id="-1157882870"/>
                <w14:textFill>
                  <w14:solidFill>
                    <w14:srgbClr w14:val="000000">
                      <w14:alpha w14:val="100000"/>
                    </w14:srgbClr>
                  </w14:solidFill>
                </w14:textFill>
              </w:rPr>
              <w:t>|</w:t>
            </w:r>
          </w:p>
        </w:tc>
      </w:tr>
      <w:tr w:rsidR="004F68E8" w:rsidRPr="005F5BEA" w14:paraId="4A365A0E" w14:textId="77777777" w:rsidTr="00D865D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10985DBE" w14:textId="77777777" w:rsidR="004F68E8" w:rsidRPr="005F5BEA" w:rsidRDefault="004F68E8" w:rsidP="005926D9">
            <w:pPr>
              <w:pStyle w:val="Tabletext0"/>
              <w:rPr>
                <w:rFonts w:ascii="Segoe UI" w:hAnsi="Segoe UI"/>
                <w:sz w:val="18"/>
                <w:szCs w:val="18"/>
              </w:rPr>
            </w:pPr>
          </w:p>
        </w:tc>
        <w:tc>
          <w:tcPr>
            <w:tcW w:w="1995" w:type="dxa"/>
            <w:tcBorders>
              <w:top w:val="single" w:sz="6" w:space="0" w:color="auto"/>
              <w:left w:val="single" w:sz="6" w:space="0" w:color="auto"/>
              <w:bottom w:val="single" w:sz="6" w:space="0" w:color="auto"/>
              <w:right w:val="single" w:sz="6" w:space="0" w:color="auto"/>
            </w:tcBorders>
            <w:shd w:val="clear" w:color="auto" w:fill="auto"/>
            <w:noWrap/>
            <w:tcMar>
              <w:left w:w="85" w:type="dxa"/>
              <w:right w:w="85" w:type="dxa"/>
            </w:tcMar>
            <w:hideMark/>
          </w:tcPr>
          <w:p w14:paraId="4050F965" w14:textId="77777777" w:rsidR="004F68E8" w:rsidRPr="005F5BEA" w:rsidRDefault="004F68E8" w:rsidP="005926D9">
            <w:pPr>
              <w:pStyle w:val="Tabletext0"/>
              <w:rPr>
                <w:rFonts w:ascii="Segoe UI" w:hAnsi="Segoe UI"/>
                <w:sz w:val="18"/>
                <w:szCs w:val="18"/>
              </w:rPr>
            </w:pPr>
            <w:r w:rsidRPr="005F5BEA">
              <w:rPr>
                <w:b/>
                <w:bCs/>
              </w:rPr>
              <w:t xml:space="preserve">Remote monitoring services with no onboarding, annual update, </w:t>
            </w:r>
            <w:proofErr w:type="gramStart"/>
            <w:r w:rsidRPr="005F5BEA">
              <w:rPr>
                <w:b/>
                <w:bCs/>
              </w:rPr>
              <w:t>training</w:t>
            </w:r>
            <w:proofErr w:type="gramEnd"/>
            <w:r w:rsidRPr="005F5BEA">
              <w:rPr>
                <w:b/>
                <w:bCs/>
              </w:rPr>
              <w:t xml:space="preserve"> or loadings</w:t>
            </w:r>
            <w:r w:rsidRPr="005F5BEA">
              <w:t> </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7D7C7A72" w14:textId="46F74075" w:rsidR="004F68E8" w:rsidRPr="00D865D4" w:rsidRDefault="00D865D4" w:rsidP="005926D9">
            <w:pPr>
              <w:pStyle w:val="Tabletext0"/>
              <w:rPr>
                <w:rFonts w:ascii="Segoe UI" w:hAnsi="Segoe UI"/>
                <w:sz w:val="18"/>
                <w:szCs w:val="18"/>
              </w:rPr>
            </w:pPr>
            <w:r w:rsidRPr="008A2B4D">
              <w:rPr>
                <w:color w:val="000000"/>
                <w:spacing w:val="94"/>
                <w:fitText w:val="180" w:id="-1157882869"/>
                <w14:textFill>
                  <w14:solidFill>
                    <w14:srgbClr w14:val="000000">
                      <w14:alpha w14:val="100000"/>
                    </w14:srgbClr>
                  </w14:solidFill>
                </w14:textFill>
              </w:rPr>
              <w:t>|</w:t>
            </w:r>
            <w:r w:rsidRPr="008A2B4D">
              <w:rPr>
                <w:color w:val="000000"/>
                <w:fitText w:val="180" w:id="-1157882869"/>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2B7250B1" w14:textId="1670B275" w:rsidR="004F68E8" w:rsidRPr="00D865D4" w:rsidRDefault="00D865D4" w:rsidP="005926D9">
            <w:pPr>
              <w:pStyle w:val="Tabletext0"/>
              <w:rPr>
                <w:rFonts w:ascii="Segoe UI" w:hAnsi="Segoe UI"/>
                <w:sz w:val="18"/>
                <w:szCs w:val="18"/>
              </w:rPr>
            </w:pPr>
            <w:r w:rsidRPr="008A2B4D">
              <w:rPr>
                <w:color w:val="000000"/>
                <w:spacing w:val="94"/>
                <w:fitText w:val="180" w:id="-1157882868"/>
                <w14:textFill>
                  <w14:solidFill>
                    <w14:srgbClr w14:val="000000">
                      <w14:alpha w14:val="100000"/>
                    </w14:srgbClr>
                  </w14:solidFill>
                </w14:textFill>
              </w:rPr>
              <w:t>|</w:t>
            </w:r>
            <w:r w:rsidRPr="008A2B4D">
              <w:rPr>
                <w:color w:val="000000"/>
                <w:fitText w:val="180" w:id="-1157882868"/>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5B8E51B8" w14:textId="7C7ADFD5" w:rsidR="004F68E8" w:rsidRPr="00D865D4" w:rsidRDefault="00D865D4" w:rsidP="005926D9">
            <w:pPr>
              <w:pStyle w:val="Tabletext0"/>
              <w:rPr>
                <w:rFonts w:ascii="Segoe UI" w:hAnsi="Segoe UI"/>
                <w:sz w:val="18"/>
                <w:szCs w:val="18"/>
              </w:rPr>
            </w:pPr>
            <w:r w:rsidRPr="008A2B4D">
              <w:rPr>
                <w:color w:val="000000"/>
                <w:spacing w:val="94"/>
                <w:fitText w:val="180" w:id="-1157882867"/>
                <w14:textFill>
                  <w14:solidFill>
                    <w14:srgbClr w14:val="000000">
                      <w14:alpha w14:val="100000"/>
                    </w14:srgbClr>
                  </w14:solidFill>
                </w14:textFill>
              </w:rPr>
              <w:t>|</w:t>
            </w:r>
            <w:r w:rsidRPr="008A2B4D">
              <w:rPr>
                <w:color w:val="000000"/>
                <w:fitText w:val="180" w:id="-1157882867"/>
                <w14:textFill>
                  <w14:solidFill>
                    <w14:srgbClr w14:val="000000">
                      <w14:alpha w14:val="100000"/>
                    </w14:srgbClr>
                  </w14:solidFill>
                </w14:textFill>
              </w:rPr>
              <w:t>|</w:t>
            </w:r>
          </w:p>
        </w:tc>
        <w:tc>
          <w:tcPr>
            <w:tcW w:w="1355"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7DE1DB41" w14:textId="10E9EA77" w:rsidR="004F68E8" w:rsidRPr="00D865D4" w:rsidRDefault="00D865D4" w:rsidP="005926D9">
            <w:pPr>
              <w:pStyle w:val="Tabletext0"/>
              <w:rPr>
                <w:rFonts w:ascii="Segoe UI" w:hAnsi="Segoe UI"/>
                <w:sz w:val="18"/>
                <w:szCs w:val="18"/>
              </w:rPr>
            </w:pPr>
            <w:r w:rsidRPr="008A2B4D">
              <w:rPr>
                <w:color w:val="000000"/>
                <w:spacing w:val="94"/>
                <w:fitText w:val="180" w:id="-1157882866"/>
                <w14:textFill>
                  <w14:solidFill>
                    <w14:srgbClr w14:val="000000">
                      <w14:alpha w14:val="100000"/>
                    </w14:srgbClr>
                  </w14:solidFill>
                </w14:textFill>
              </w:rPr>
              <w:t>|</w:t>
            </w:r>
            <w:r w:rsidRPr="008A2B4D">
              <w:rPr>
                <w:color w:val="000000"/>
                <w:fitText w:val="180" w:id="-1157882866"/>
                <w14:textFill>
                  <w14:solidFill>
                    <w14:srgbClr w14:val="000000">
                      <w14:alpha w14:val="100000"/>
                    </w14:srgbClr>
                  </w14:solidFill>
                </w14:textFill>
              </w:rPr>
              <w:t>|</w:t>
            </w:r>
          </w:p>
        </w:tc>
        <w:tc>
          <w:tcPr>
            <w:tcW w:w="939" w:type="dxa"/>
            <w:tcBorders>
              <w:top w:val="single" w:sz="6" w:space="0" w:color="auto"/>
              <w:left w:val="single" w:sz="6" w:space="0" w:color="auto"/>
              <w:bottom w:val="single" w:sz="6" w:space="0" w:color="auto"/>
              <w:right w:val="single" w:sz="6" w:space="0" w:color="auto"/>
            </w:tcBorders>
            <w:shd w:val="solid" w:color="000000" w:fill="000000"/>
            <w:noWrap/>
            <w:tcMar>
              <w:left w:w="85" w:type="dxa"/>
              <w:right w:w="85" w:type="dxa"/>
            </w:tcMar>
            <w:hideMark/>
          </w:tcPr>
          <w:p w14:paraId="5CA53D87" w14:textId="78D482E9" w:rsidR="004F68E8" w:rsidRPr="00D865D4" w:rsidRDefault="00D865D4" w:rsidP="005926D9">
            <w:pPr>
              <w:pStyle w:val="Tabletext0"/>
              <w:rPr>
                <w:rFonts w:ascii="Segoe UI" w:hAnsi="Segoe UI"/>
                <w:sz w:val="18"/>
                <w:szCs w:val="18"/>
              </w:rPr>
            </w:pPr>
            <w:r w:rsidRPr="008A2B4D">
              <w:rPr>
                <w:color w:val="000000"/>
                <w:spacing w:val="94"/>
                <w:fitText w:val="180" w:id="-1157882865"/>
                <w14:textFill>
                  <w14:solidFill>
                    <w14:srgbClr w14:val="000000">
                      <w14:alpha w14:val="100000"/>
                    </w14:srgbClr>
                  </w14:solidFill>
                </w14:textFill>
              </w:rPr>
              <w:t>|</w:t>
            </w:r>
            <w:r w:rsidRPr="008A2B4D">
              <w:rPr>
                <w:color w:val="000000"/>
                <w:fitText w:val="180" w:id="-1157882865"/>
                <w14:textFill>
                  <w14:solidFill>
                    <w14:srgbClr w14:val="000000">
                      <w14:alpha w14:val="100000"/>
                    </w14:srgbClr>
                  </w14:solidFill>
                </w14:textFill>
              </w:rPr>
              <w:t>|</w:t>
            </w:r>
          </w:p>
        </w:tc>
      </w:tr>
    </w:tbl>
    <w:p w14:paraId="701D8CB0" w14:textId="77777777" w:rsidR="00774DA7" w:rsidRPr="005F5BEA" w:rsidRDefault="00774DA7" w:rsidP="00774DA7">
      <w:pPr>
        <w:pStyle w:val="paragraph"/>
        <w:spacing w:before="0" w:beforeAutospacing="0" w:after="0" w:afterAutospacing="0"/>
        <w:textAlignment w:val="baseline"/>
        <w:rPr>
          <w:rFonts w:ascii="Segoe UI" w:hAnsi="Segoe UI" w:cs="Segoe UI"/>
          <w:sz w:val="18"/>
          <w:szCs w:val="18"/>
        </w:rPr>
      </w:pPr>
      <w:r w:rsidRPr="005F5BEA">
        <w:rPr>
          <w:rStyle w:val="normaltextrun"/>
          <w:rFonts w:ascii="Arial Narrow" w:hAnsi="Arial Narrow" w:cs="Segoe UI"/>
          <w:sz w:val="18"/>
          <w:szCs w:val="18"/>
        </w:rPr>
        <w:t>Source: generated during the evaluation from the Utilisation and Cost spreadsheet.</w:t>
      </w:r>
      <w:r w:rsidRPr="005F5BEA">
        <w:rPr>
          <w:rStyle w:val="eop"/>
          <w:rFonts w:ascii="Arial Narrow" w:hAnsi="Arial Narrow" w:cs="Segoe UI"/>
          <w:sz w:val="18"/>
          <w:szCs w:val="18"/>
        </w:rPr>
        <w:t> </w:t>
      </w:r>
    </w:p>
    <w:p w14:paraId="38AB2091" w14:textId="77777777" w:rsidR="00774DA7" w:rsidRPr="005F5BEA" w:rsidRDefault="00774DA7" w:rsidP="00774DA7">
      <w:pPr>
        <w:pStyle w:val="paragraph"/>
        <w:spacing w:before="0" w:beforeAutospacing="0" w:after="0" w:afterAutospacing="0"/>
        <w:textAlignment w:val="baseline"/>
        <w:rPr>
          <w:rFonts w:ascii="Segoe UI" w:hAnsi="Segoe UI" w:cs="Segoe UI"/>
          <w:sz w:val="18"/>
          <w:szCs w:val="18"/>
        </w:rPr>
      </w:pPr>
      <w:proofErr w:type="spellStart"/>
      <w:r w:rsidRPr="005F5BEA">
        <w:rPr>
          <w:rStyle w:val="spellingerrorsuperscript"/>
          <w:rFonts w:ascii="Arial Narrow" w:hAnsi="Arial Narrow" w:cs="Segoe UI"/>
          <w:sz w:val="14"/>
          <w:szCs w:val="14"/>
          <w:vertAlign w:val="superscript"/>
        </w:rPr>
        <w:t>a</w:t>
      </w:r>
      <w:r w:rsidRPr="005F5BEA">
        <w:rPr>
          <w:rStyle w:val="normaltextrun"/>
          <w:rFonts w:ascii="Arial Narrow" w:hAnsi="Arial Narrow" w:cs="Segoe UI"/>
          <w:sz w:val="18"/>
          <w:szCs w:val="18"/>
        </w:rPr>
        <w:t>Training</w:t>
      </w:r>
      <w:proofErr w:type="spellEnd"/>
      <w:r w:rsidRPr="005F5BEA">
        <w:rPr>
          <w:rStyle w:val="normaltextrun"/>
          <w:rFonts w:ascii="Arial Narrow" w:hAnsi="Arial Narrow" w:cs="Segoe UI"/>
          <w:sz w:val="18"/>
          <w:szCs w:val="18"/>
        </w:rPr>
        <w:t xml:space="preserve"> and overhead costs are not separated by type of service (</w:t>
      </w:r>
      <w:proofErr w:type="spellStart"/>
      <w:r w:rsidRPr="005F5BEA">
        <w:rPr>
          <w:rStyle w:val="normaltextrun"/>
          <w:rFonts w:ascii="Arial Narrow" w:hAnsi="Arial Narrow" w:cs="Segoe UI"/>
          <w:sz w:val="18"/>
          <w:szCs w:val="18"/>
        </w:rPr>
        <w:t>ie</w:t>
      </w:r>
      <w:proofErr w:type="spellEnd"/>
      <w:r w:rsidRPr="005F5BEA">
        <w:rPr>
          <w:rStyle w:val="normaltextrun"/>
          <w:rFonts w:ascii="Arial Narrow" w:hAnsi="Arial Narrow" w:cs="Segoe UI"/>
          <w:sz w:val="18"/>
          <w:szCs w:val="18"/>
        </w:rPr>
        <w:t xml:space="preserve">, the component of the cost cannot be isolated for routine follow up scheduled services). However, routing follow up services are 71.9% of all scheduled services. </w:t>
      </w:r>
      <w:proofErr w:type="gramStart"/>
      <w:r w:rsidRPr="005F5BEA">
        <w:rPr>
          <w:rStyle w:val="normaltextrun"/>
          <w:rFonts w:ascii="Arial Narrow" w:hAnsi="Arial Narrow" w:cs="Segoe UI"/>
          <w:sz w:val="18"/>
          <w:szCs w:val="18"/>
        </w:rPr>
        <w:t>Therefore</w:t>
      </w:r>
      <w:proofErr w:type="gramEnd"/>
      <w:r w:rsidRPr="005F5BEA">
        <w:rPr>
          <w:rStyle w:val="normaltextrun"/>
          <w:rFonts w:ascii="Arial Narrow" w:hAnsi="Arial Narrow" w:cs="Segoe UI"/>
          <w:sz w:val="18"/>
          <w:szCs w:val="18"/>
        </w:rPr>
        <w:t xml:space="preserve"> the cost of training and overheads has been reduced for scheduled services by 28.1%.</w:t>
      </w:r>
      <w:r w:rsidRPr="005F5BEA">
        <w:rPr>
          <w:rStyle w:val="eop"/>
          <w:rFonts w:ascii="Arial Narrow" w:hAnsi="Arial Narrow" w:cs="Segoe UI"/>
          <w:sz w:val="18"/>
          <w:szCs w:val="18"/>
        </w:rPr>
        <w:t> </w:t>
      </w:r>
    </w:p>
    <w:p w14:paraId="1D289A40" w14:textId="34965645" w:rsidR="006829B7" w:rsidRPr="005F5BEA" w:rsidRDefault="006829B7" w:rsidP="00546D77">
      <w:pPr>
        <w:pStyle w:val="TableHeading"/>
        <w:keepNext/>
        <w:keepLines/>
      </w:pPr>
      <w:bookmarkStart w:id="35" w:name="_Ref122617361"/>
      <w:r w:rsidRPr="005F5BEA">
        <w:lastRenderedPageBreak/>
        <w:t xml:space="preserve">Table </w:t>
      </w:r>
      <w:r w:rsidRPr="005F5BEA">
        <w:fldChar w:fldCharType="begin"/>
      </w:r>
      <w:r w:rsidRPr="005F5BEA">
        <w:instrText>SEQ Table \* ARABIC</w:instrText>
      </w:r>
      <w:r w:rsidRPr="005F5BEA">
        <w:fldChar w:fldCharType="separate"/>
      </w:r>
      <w:r w:rsidR="00334548">
        <w:rPr>
          <w:noProof/>
        </w:rPr>
        <w:t>17</w:t>
      </w:r>
      <w:r w:rsidRPr="005F5BEA">
        <w:fldChar w:fldCharType="end"/>
      </w:r>
      <w:bookmarkEnd w:id="35"/>
      <w:r w:rsidRPr="005F5BEA">
        <w:t xml:space="preserve"> Cost per scheduled/unscheduled/remote service, per type of CIED</w:t>
      </w:r>
    </w:p>
    <w:tbl>
      <w:tblPr>
        <w:tblStyle w:val="TableGrid"/>
        <w:tblW w:w="9468" w:type="dxa"/>
        <w:tblLook w:val="04A0" w:firstRow="1" w:lastRow="0" w:firstColumn="1" w:lastColumn="0" w:noHBand="0" w:noVBand="1"/>
      </w:tblPr>
      <w:tblGrid>
        <w:gridCol w:w="3889"/>
        <w:gridCol w:w="1394"/>
        <w:gridCol w:w="1395"/>
        <w:gridCol w:w="1395"/>
        <w:gridCol w:w="1395"/>
      </w:tblGrid>
      <w:tr w:rsidR="00E60283" w:rsidRPr="005F5BEA" w14:paraId="42F03DBB" w14:textId="77777777" w:rsidTr="005926D9">
        <w:trPr>
          <w:tblHeader/>
        </w:trPr>
        <w:tc>
          <w:tcPr>
            <w:tcW w:w="0" w:type="auto"/>
            <w:hideMark/>
          </w:tcPr>
          <w:p w14:paraId="451724DB" w14:textId="2EEA60AB" w:rsidR="00E60283" w:rsidRPr="005F5BEA" w:rsidRDefault="00E60283" w:rsidP="00546D77">
            <w:pPr>
              <w:pStyle w:val="TableHeading"/>
              <w:keepNext/>
              <w:keepLines/>
            </w:pPr>
          </w:p>
        </w:tc>
        <w:tc>
          <w:tcPr>
            <w:tcW w:w="1394" w:type="dxa"/>
            <w:hideMark/>
          </w:tcPr>
          <w:p w14:paraId="7494E98C" w14:textId="77777777" w:rsidR="00E60283" w:rsidRPr="005F5BEA" w:rsidRDefault="00E60283" w:rsidP="00546D77">
            <w:pPr>
              <w:pStyle w:val="TableHeading"/>
              <w:keepNext/>
              <w:keepLines/>
            </w:pPr>
            <w:r w:rsidRPr="005F5BEA">
              <w:t>PPM</w:t>
            </w:r>
          </w:p>
        </w:tc>
        <w:tc>
          <w:tcPr>
            <w:tcW w:w="1395" w:type="dxa"/>
            <w:hideMark/>
          </w:tcPr>
          <w:p w14:paraId="0FD0A8E8" w14:textId="77777777" w:rsidR="00E60283" w:rsidRPr="005F5BEA" w:rsidRDefault="00E60283" w:rsidP="00546D77">
            <w:pPr>
              <w:pStyle w:val="TableHeading"/>
              <w:keepNext/>
              <w:keepLines/>
            </w:pPr>
            <w:r w:rsidRPr="005F5BEA">
              <w:t>ICD</w:t>
            </w:r>
          </w:p>
        </w:tc>
        <w:tc>
          <w:tcPr>
            <w:tcW w:w="1395" w:type="dxa"/>
            <w:hideMark/>
          </w:tcPr>
          <w:p w14:paraId="52EC884C" w14:textId="77777777" w:rsidR="00E60283" w:rsidRPr="005F5BEA" w:rsidRDefault="00E60283" w:rsidP="00546D77">
            <w:pPr>
              <w:pStyle w:val="TableHeading"/>
              <w:keepNext/>
              <w:keepLines/>
            </w:pPr>
            <w:r w:rsidRPr="005F5BEA">
              <w:t>ILR</w:t>
            </w:r>
          </w:p>
        </w:tc>
        <w:tc>
          <w:tcPr>
            <w:tcW w:w="1395" w:type="dxa"/>
            <w:hideMark/>
          </w:tcPr>
          <w:p w14:paraId="5735B867" w14:textId="3208B4C9" w:rsidR="00E60283" w:rsidRPr="005F5BEA" w:rsidRDefault="00E60283" w:rsidP="00546D77">
            <w:pPr>
              <w:pStyle w:val="TableHeading"/>
              <w:keepNext/>
              <w:keepLines/>
            </w:pPr>
            <w:r w:rsidRPr="005F5BEA">
              <w:t>CRT</w:t>
            </w:r>
            <w:r w:rsidR="005B1245" w:rsidRPr="005F5BEA">
              <w:t>Ds</w:t>
            </w:r>
          </w:p>
        </w:tc>
      </w:tr>
      <w:tr w:rsidR="006829B7" w:rsidRPr="005F5BEA" w14:paraId="78E32884" w14:textId="77777777" w:rsidTr="006829B7">
        <w:tc>
          <w:tcPr>
            <w:tcW w:w="0" w:type="auto"/>
          </w:tcPr>
          <w:p w14:paraId="4F166917" w14:textId="0BE9B9B6" w:rsidR="006829B7" w:rsidRPr="005F5BEA" w:rsidRDefault="006829B7" w:rsidP="00546D77">
            <w:pPr>
              <w:pStyle w:val="TableHeading"/>
              <w:keepNext/>
              <w:keepLines/>
            </w:pPr>
            <w:r w:rsidRPr="005F5BEA">
              <w:t>Scheduled services (routine follow-up)</w:t>
            </w:r>
          </w:p>
        </w:tc>
        <w:tc>
          <w:tcPr>
            <w:tcW w:w="1394" w:type="dxa"/>
          </w:tcPr>
          <w:p w14:paraId="29CA7F35" w14:textId="77777777" w:rsidR="006829B7" w:rsidRPr="005F5BEA" w:rsidRDefault="006829B7" w:rsidP="00546D77">
            <w:pPr>
              <w:pStyle w:val="TableHeading"/>
              <w:keepNext/>
              <w:keepLines/>
            </w:pPr>
          </w:p>
        </w:tc>
        <w:tc>
          <w:tcPr>
            <w:tcW w:w="1395" w:type="dxa"/>
          </w:tcPr>
          <w:p w14:paraId="587EE4A7" w14:textId="77777777" w:rsidR="006829B7" w:rsidRPr="005F5BEA" w:rsidRDefault="006829B7" w:rsidP="00546D77">
            <w:pPr>
              <w:pStyle w:val="TableHeading"/>
              <w:keepNext/>
              <w:keepLines/>
            </w:pPr>
          </w:p>
        </w:tc>
        <w:tc>
          <w:tcPr>
            <w:tcW w:w="1395" w:type="dxa"/>
          </w:tcPr>
          <w:p w14:paraId="1716B0B0" w14:textId="77777777" w:rsidR="006829B7" w:rsidRPr="005F5BEA" w:rsidRDefault="006829B7" w:rsidP="00546D77">
            <w:pPr>
              <w:pStyle w:val="TableHeading"/>
              <w:keepNext/>
              <w:keepLines/>
            </w:pPr>
          </w:p>
        </w:tc>
        <w:tc>
          <w:tcPr>
            <w:tcW w:w="1395" w:type="dxa"/>
          </w:tcPr>
          <w:p w14:paraId="5C85177E" w14:textId="77777777" w:rsidR="006829B7" w:rsidRPr="005F5BEA" w:rsidRDefault="006829B7" w:rsidP="00546D77">
            <w:pPr>
              <w:pStyle w:val="TableHeading"/>
              <w:keepNext/>
              <w:keepLines/>
            </w:pPr>
          </w:p>
        </w:tc>
      </w:tr>
      <w:tr w:rsidR="006829B7" w:rsidRPr="005F5BEA" w14:paraId="102AF49B" w14:textId="77777777" w:rsidTr="00D865D4">
        <w:tc>
          <w:tcPr>
            <w:tcW w:w="0" w:type="auto"/>
            <w:hideMark/>
          </w:tcPr>
          <w:p w14:paraId="157D0182" w14:textId="77777777" w:rsidR="006829B7" w:rsidRPr="005F5BEA" w:rsidRDefault="006829B7" w:rsidP="00546D77">
            <w:pPr>
              <w:pStyle w:val="Tabletext0"/>
              <w:keepNext/>
              <w:keepLines/>
            </w:pPr>
            <w:r w:rsidRPr="005F5BEA">
              <w:t>Number of services</w:t>
            </w:r>
          </w:p>
        </w:tc>
        <w:tc>
          <w:tcPr>
            <w:tcW w:w="1394" w:type="dxa"/>
            <w:tcBorders>
              <w:bottom w:val="single" w:sz="4" w:space="0" w:color="auto"/>
            </w:tcBorders>
            <w:hideMark/>
          </w:tcPr>
          <w:p w14:paraId="25867EF1" w14:textId="77777777" w:rsidR="006829B7" w:rsidRPr="005F5BEA" w:rsidRDefault="006829B7" w:rsidP="00546D77">
            <w:pPr>
              <w:pStyle w:val="Tabletext0"/>
              <w:keepNext/>
              <w:keepLines/>
              <w:rPr>
                <w:lang w:eastAsia="en-AU"/>
              </w:rPr>
            </w:pPr>
            <w:r w:rsidRPr="005F5BEA">
              <w:rPr>
                <w:lang w:eastAsia="en-AU"/>
              </w:rPr>
              <w:t>74,632</w:t>
            </w:r>
          </w:p>
        </w:tc>
        <w:tc>
          <w:tcPr>
            <w:tcW w:w="1395" w:type="dxa"/>
            <w:tcBorders>
              <w:bottom w:val="single" w:sz="4" w:space="0" w:color="auto"/>
            </w:tcBorders>
            <w:hideMark/>
          </w:tcPr>
          <w:p w14:paraId="33C0B3CD" w14:textId="77777777" w:rsidR="006829B7" w:rsidRPr="005F5BEA" w:rsidRDefault="006829B7" w:rsidP="00546D77">
            <w:pPr>
              <w:pStyle w:val="Tabletext0"/>
              <w:keepNext/>
              <w:keepLines/>
              <w:rPr>
                <w:lang w:eastAsia="en-AU"/>
              </w:rPr>
            </w:pPr>
            <w:r w:rsidRPr="005F5BEA">
              <w:rPr>
                <w:lang w:eastAsia="en-AU"/>
              </w:rPr>
              <w:t>20,618</w:t>
            </w:r>
          </w:p>
        </w:tc>
        <w:tc>
          <w:tcPr>
            <w:tcW w:w="1395" w:type="dxa"/>
            <w:tcBorders>
              <w:bottom w:val="single" w:sz="4" w:space="0" w:color="auto"/>
            </w:tcBorders>
            <w:hideMark/>
          </w:tcPr>
          <w:p w14:paraId="02BE878F" w14:textId="77777777" w:rsidR="006829B7" w:rsidRPr="005F5BEA" w:rsidRDefault="006829B7" w:rsidP="00546D77">
            <w:pPr>
              <w:pStyle w:val="Tabletext0"/>
              <w:keepNext/>
              <w:keepLines/>
              <w:rPr>
                <w:lang w:eastAsia="en-AU"/>
              </w:rPr>
            </w:pPr>
            <w:r w:rsidRPr="005F5BEA">
              <w:rPr>
                <w:lang w:eastAsia="en-AU"/>
              </w:rPr>
              <w:t>7,206</w:t>
            </w:r>
          </w:p>
        </w:tc>
        <w:tc>
          <w:tcPr>
            <w:tcW w:w="1395" w:type="dxa"/>
            <w:tcBorders>
              <w:bottom w:val="single" w:sz="4" w:space="0" w:color="auto"/>
            </w:tcBorders>
            <w:hideMark/>
          </w:tcPr>
          <w:p w14:paraId="62632262" w14:textId="77777777" w:rsidR="006829B7" w:rsidRPr="005F5BEA" w:rsidRDefault="006829B7" w:rsidP="00546D77">
            <w:pPr>
              <w:pStyle w:val="Tabletext0"/>
              <w:keepNext/>
              <w:keepLines/>
              <w:rPr>
                <w:lang w:eastAsia="en-AU"/>
              </w:rPr>
            </w:pPr>
            <w:r w:rsidRPr="005F5BEA">
              <w:rPr>
                <w:lang w:eastAsia="en-AU"/>
              </w:rPr>
              <w:t>14,780</w:t>
            </w:r>
          </w:p>
        </w:tc>
      </w:tr>
      <w:tr w:rsidR="006829B7" w:rsidRPr="005F5BEA" w14:paraId="7A0CD37B" w14:textId="77777777" w:rsidTr="00D865D4">
        <w:tc>
          <w:tcPr>
            <w:tcW w:w="0" w:type="auto"/>
            <w:hideMark/>
          </w:tcPr>
          <w:p w14:paraId="5AF6911C" w14:textId="77777777" w:rsidR="006829B7" w:rsidRPr="005F5BEA" w:rsidRDefault="006829B7" w:rsidP="005926D9">
            <w:pPr>
              <w:pStyle w:val="Tabletext0"/>
            </w:pPr>
            <w:r w:rsidRPr="005F5BEA">
              <w:t>Total cost</w:t>
            </w:r>
          </w:p>
        </w:tc>
        <w:tc>
          <w:tcPr>
            <w:tcW w:w="1394" w:type="dxa"/>
            <w:tcBorders>
              <w:bottom w:val="single" w:sz="4" w:space="0" w:color="auto"/>
            </w:tcBorders>
            <w:shd w:val="solid" w:color="000000" w:fill="000000"/>
            <w:hideMark/>
          </w:tcPr>
          <w:p w14:paraId="1C8BAFAD" w14:textId="0BAF20E1" w:rsidR="006829B7" w:rsidRPr="00D865D4" w:rsidRDefault="00D865D4" w:rsidP="005926D9">
            <w:pPr>
              <w:pStyle w:val="Tabletext0"/>
              <w:rPr>
                <w:lang w:eastAsia="en-AU"/>
              </w:rPr>
            </w:pPr>
            <w:r w:rsidRPr="008A2B4D">
              <w:rPr>
                <w:color w:val="000000"/>
                <w:spacing w:val="94"/>
                <w:fitText w:val="180" w:id="-1157882864"/>
                <w:lang w:eastAsia="en-AU"/>
                <w14:textFill>
                  <w14:solidFill>
                    <w14:srgbClr w14:val="000000">
                      <w14:alpha w14:val="100000"/>
                    </w14:srgbClr>
                  </w14:solidFill>
                </w14:textFill>
              </w:rPr>
              <w:t>|</w:t>
            </w:r>
            <w:r w:rsidRPr="008A2B4D">
              <w:rPr>
                <w:color w:val="000000"/>
                <w:fitText w:val="180" w:id="-1157882864"/>
                <w:lang w:eastAsia="en-AU"/>
                <w14:textFill>
                  <w14:solidFill>
                    <w14:srgbClr w14:val="000000">
                      <w14:alpha w14:val="100000"/>
                    </w14:srgbClr>
                  </w14:solidFill>
                </w14:textFill>
              </w:rPr>
              <w:t>|</w:t>
            </w:r>
          </w:p>
        </w:tc>
        <w:tc>
          <w:tcPr>
            <w:tcW w:w="1395" w:type="dxa"/>
            <w:tcBorders>
              <w:bottom w:val="single" w:sz="4" w:space="0" w:color="auto"/>
            </w:tcBorders>
            <w:shd w:val="solid" w:color="000000" w:fill="000000"/>
            <w:hideMark/>
          </w:tcPr>
          <w:p w14:paraId="35DF4AB4" w14:textId="588D1182" w:rsidR="006829B7" w:rsidRPr="00D865D4" w:rsidRDefault="00D865D4" w:rsidP="005926D9">
            <w:pPr>
              <w:pStyle w:val="Tabletext0"/>
              <w:rPr>
                <w:lang w:eastAsia="en-AU"/>
              </w:rPr>
            </w:pPr>
            <w:r w:rsidRPr="008A2B4D">
              <w:rPr>
                <w:color w:val="000000"/>
                <w:spacing w:val="94"/>
                <w:fitText w:val="180" w:id="-1157882880"/>
                <w:lang w:eastAsia="en-AU"/>
                <w14:textFill>
                  <w14:solidFill>
                    <w14:srgbClr w14:val="000000">
                      <w14:alpha w14:val="100000"/>
                    </w14:srgbClr>
                  </w14:solidFill>
                </w14:textFill>
              </w:rPr>
              <w:t>|</w:t>
            </w:r>
            <w:r w:rsidRPr="008A2B4D">
              <w:rPr>
                <w:color w:val="000000"/>
                <w:fitText w:val="180" w:id="-1157882880"/>
                <w:lang w:eastAsia="en-AU"/>
                <w14:textFill>
                  <w14:solidFill>
                    <w14:srgbClr w14:val="000000">
                      <w14:alpha w14:val="100000"/>
                    </w14:srgbClr>
                  </w14:solidFill>
                </w14:textFill>
              </w:rPr>
              <w:t>|</w:t>
            </w:r>
          </w:p>
        </w:tc>
        <w:tc>
          <w:tcPr>
            <w:tcW w:w="1395" w:type="dxa"/>
            <w:tcBorders>
              <w:bottom w:val="single" w:sz="4" w:space="0" w:color="auto"/>
            </w:tcBorders>
            <w:shd w:val="solid" w:color="000000" w:fill="000000"/>
            <w:hideMark/>
          </w:tcPr>
          <w:p w14:paraId="5241A079" w14:textId="36E583CA" w:rsidR="006829B7" w:rsidRPr="00D865D4" w:rsidRDefault="00D865D4" w:rsidP="005926D9">
            <w:pPr>
              <w:pStyle w:val="Tabletext0"/>
              <w:rPr>
                <w:lang w:eastAsia="en-AU"/>
              </w:rPr>
            </w:pPr>
            <w:r w:rsidRPr="008A2B4D">
              <w:rPr>
                <w:color w:val="000000"/>
                <w:spacing w:val="94"/>
                <w:fitText w:val="180" w:id="-1157882879"/>
                <w:lang w:eastAsia="en-AU"/>
                <w14:textFill>
                  <w14:solidFill>
                    <w14:srgbClr w14:val="000000">
                      <w14:alpha w14:val="100000"/>
                    </w14:srgbClr>
                  </w14:solidFill>
                </w14:textFill>
              </w:rPr>
              <w:t>|</w:t>
            </w:r>
            <w:r w:rsidRPr="008A2B4D">
              <w:rPr>
                <w:color w:val="000000"/>
                <w:fitText w:val="180" w:id="-1157882879"/>
                <w:lang w:eastAsia="en-AU"/>
                <w14:textFill>
                  <w14:solidFill>
                    <w14:srgbClr w14:val="000000">
                      <w14:alpha w14:val="100000"/>
                    </w14:srgbClr>
                  </w14:solidFill>
                </w14:textFill>
              </w:rPr>
              <w:t>|</w:t>
            </w:r>
          </w:p>
        </w:tc>
        <w:tc>
          <w:tcPr>
            <w:tcW w:w="1395" w:type="dxa"/>
            <w:tcBorders>
              <w:bottom w:val="single" w:sz="4" w:space="0" w:color="auto"/>
            </w:tcBorders>
            <w:shd w:val="solid" w:color="000000" w:fill="000000"/>
            <w:hideMark/>
          </w:tcPr>
          <w:p w14:paraId="3AB62DEE" w14:textId="1DFDB4E0" w:rsidR="006829B7" w:rsidRPr="00D865D4" w:rsidRDefault="00D865D4" w:rsidP="005926D9">
            <w:pPr>
              <w:pStyle w:val="Tabletext0"/>
              <w:rPr>
                <w:lang w:eastAsia="en-AU"/>
              </w:rPr>
            </w:pPr>
            <w:r w:rsidRPr="008A2B4D">
              <w:rPr>
                <w:color w:val="000000"/>
                <w:spacing w:val="94"/>
                <w:fitText w:val="180" w:id="-1157882878"/>
                <w:lang w:eastAsia="en-AU"/>
                <w14:textFill>
                  <w14:solidFill>
                    <w14:srgbClr w14:val="000000">
                      <w14:alpha w14:val="100000"/>
                    </w14:srgbClr>
                  </w14:solidFill>
                </w14:textFill>
              </w:rPr>
              <w:t>|</w:t>
            </w:r>
            <w:r w:rsidRPr="008A2B4D">
              <w:rPr>
                <w:color w:val="000000"/>
                <w:fitText w:val="180" w:id="-1157882878"/>
                <w:lang w:eastAsia="en-AU"/>
                <w14:textFill>
                  <w14:solidFill>
                    <w14:srgbClr w14:val="000000">
                      <w14:alpha w14:val="100000"/>
                    </w14:srgbClr>
                  </w14:solidFill>
                </w14:textFill>
              </w:rPr>
              <w:t>|</w:t>
            </w:r>
          </w:p>
        </w:tc>
      </w:tr>
      <w:tr w:rsidR="006829B7" w:rsidRPr="005F5BEA" w14:paraId="3029DDB4" w14:textId="77777777" w:rsidTr="00D865D4">
        <w:tc>
          <w:tcPr>
            <w:tcW w:w="0" w:type="auto"/>
            <w:hideMark/>
          </w:tcPr>
          <w:p w14:paraId="591A1596" w14:textId="0DF05C9A" w:rsidR="006829B7" w:rsidRPr="005F5BEA" w:rsidRDefault="006829B7" w:rsidP="005926D9">
            <w:pPr>
              <w:pStyle w:val="Tabletext0"/>
            </w:pPr>
            <w:r w:rsidRPr="005F5BEA">
              <w:t>Cost per service (only labour and travel costs, 2022)</w:t>
            </w:r>
          </w:p>
        </w:tc>
        <w:tc>
          <w:tcPr>
            <w:tcW w:w="1394" w:type="dxa"/>
            <w:tcBorders>
              <w:bottom w:val="single" w:sz="4" w:space="0" w:color="auto"/>
            </w:tcBorders>
            <w:shd w:val="solid" w:color="000000" w:fill="000000"/>
            <w:hideMark/>
          </w:tcPr>
          <w:p w14:paraId="17BE8B6A" w14:textId="2910BCB5" w:rsidR="006829B7" w:rsidRPr="00D865D4" w:rsidRDefault="00D865D4" w:rsidP="005926D9">
            <w:pPr>
              <w:pStyle w:val="Tabletext0"/>
              <w:rPr>
                <w:lang w:eastAsia="en-AU"/>
              </w:rPr>
            </w:pPr>
            <w:r w:rsidRPr="008A2B4D">
              <w:rPr>
                <w:color w:val="000000"/>
                <w:spacing w:val="94"/>
                <w:fitText w:val="180" w:id="-1157882877"/>
                <w:lang w:eastAsia="en-AU"/>
                <w14:textFill>
                  <w14:solidFill>
                    <w14:srgbClr w14:val="000000">
                      <w14:alpha w14:val="100000"/>
                    </w14:srgbClr>
                  </w14:solidFill>
                </w14:textFill>
              </w:rPr>
              <w:t>|</w:t>
            </w:r>
            <w:r w:rsidRPr="008A2B4D">
              <w:rPr>
                <w:color w:val="000000"/>
                <w:fitText w:val="180" w:id="-1157882877"/>
                <w:lang w:eastAsia="en-AU"/>
                <w14:textFill>
                  <w14:solidFill>
                    <w14:srgbClr w14:val="000000">
                      <w14:alpha w14:val="100000"/>
                    </w14:srgbClr>
                  </w14:solidFill>
                </w14:textFill>
              </w:rPr>
              <w:t>|</w:t>
            </w:r>
          </w:p>
        </w:tc>
        <w:tc>
          <w:tcPr>
            <w:tcW w:w="1395" w:type="dxa"/>
            <w:tcBorders>
              <w:bottom w:val="single" w:sz="4" w:space="0" w:color="auto"/>
            </w:tcBorders>
            <w:shd w:val="solid" w:color="000000" w:fill="000000"/>
            <w:hideMark/>
          </w:tcPr>
          <w:p w14:paraId="03F72A1E" w14:textId="0224429A" w:rsidR="006829B7" w:rsidRPr="00D865D4" w:rsidRDefault="00D865D4" w:rsidP="005926D9">
            <w:pPr>
              <w:pStyle w:val="Tabletext0"/>
              <w:rPr>
                <w:lang w:eastAsia="en-AU"/>
              </w:rPr>
            </w:pPr>
            <w:r w:rsidRPr="008A2B4D">
              <w:rPr>
                <w:color w:val="000000"/>
                <w:spacing w:val="94"/>
                <w:fitText w:val="180" w:id="-1157882876"/>
                <w:lang w:eastAsia="en-AU"/>
                <w14:textFill>
                  <w14:solidFill>
                    <w14:srgbClr w14:val="000000">
                      <w14:alpha w14:val="100000"/>
                    </w14:srgbClr>
                  </w14:solidFill>
                </w14:textFill>
              </w:rPr>
              <w:t>|</w:t>
            </w:r>
            <w:r w:rsidRPr="008A2B4D">
              <w:rPr>
                <w:color w:val="000000"/>
                <w:fitText w:val="180" w:id="-1157882876"/>
                <w:lang w:eastAsia="en-AU"/>
                <w14:textFill>
                  <w14:solidFill>
                    <w14:srgbClr w14:val="000000">
                      <w14:alpha w14:val="100000"/>
                    </w14:srgbClr>
                  </w14:solidFill>
                </w14:textFill>
              </w:rPr>
              <w:t>|</w:t>
            </w:r>
          </w:p>
        </w:tc>
        <w:tc>
          <w:tcPr>
            <w:tcW w:w="1395" w:type="dxa"/>
            <w:tcBorders>
              <w:bottom w:val="single" w:sz="4" w:space="0" w:color="auto"/>
            </w:tcBorders>
            <w:shd w:val="solid" w:color="000000" w:fill="000000"/>
            <w:hideMark/>
          </w:tcPr>
          <w:p w14:paraId="3C1774C0" w14:textId="441BAF10" w:rsidR="006829B7" w:rsidRPr="00D865D4" w:rsidRDefault="00D865D4" w:rsidP="005926D9">
            <w:pPr>
              <w:pStyle w:val="Tabletext0"/>
              <w:rPr>
                <w:lang w:eastAsia="en-AU"/>
              </w:rPr>
            </w:pPr>
            <w:r w:rsidRPr="008A2B4D">
              <w:rPr>
                <w:color w:val="000000"/>
                <w:spacing w:val="94"/>
                <w:fitText w:val="180" w:id="-1157882875"/>
                <w:lang w:eastAsia="en-AU"/>
                <w14:textFill>
                  <w14:solidFill>
                    <w14:srgbClr w14:val="000000">
                      <w14:alpha w14:val="100000"/>
                    </w14:srgbClr>
                  </w14:solidFill>
                </w14:textFill>
              </w:rPr>
              <w:t>|</w:t>
            </w:r>
            <w:r w:rsidRPr="008A2B4D">
              <w:rPr>
                <w:color w:val="000000"/>
                <w:fitText w:val="180" w:id="-1157882875"/>
                <w:lang w:eastAsia="en-AU"/>
                <w14:textFill>
                  <w14:solidFill>
                    <w14:srgbClr w14:val="000000">
                      <w14:alpha w14:val="100000"/>
                    </w14:srgbClr>
                  </w14:solidFill>
                </w14:textFill>
              </w:rPr>
              <w:t>|</w:t>
            </w:r>
          </w:p>
        </w:tc>
        <w:tc>
          <w:tcPr>
            <w:tcW w:w="1395" w:type="dxa"/>
            <w:tcBorders>
              <w:bottom w:val="single" w:sz="4" w:space="0" w:color="auto"/>
            </w:tcBorders>
            <w:shd w:val="solid" w:color="000000" w:fill="000000"/>
            <w:hideMark/>
          </w:tcPr>
          <w:p w14:paraId="6AE6B7E6" w14:textId="7517DD97" w:rsidR="006829B7" w:rsidRPr="00D865D4" w:rsidRDefault="00D865D4" w:rsidP="005926D9">
            <w:pPr>
              <w:pStyle w:val="Tabletext0"/>
              <w:rPr>
                <w:lang w:eastAsia="en-AU"/>
              </w:rPr>
            </w:pPr>
            <w:r w:rsidRPr="008A2B4D">
              <w:rPr>
                <w:color w:val="000000"/>
                <w:spacing w:val="94"/>
                <w:fitText w:val="180" w:id="-1157882874"/>
                <w:lang w:eastAsia="en-AU"/>
                <w14:textFill>
                  <w14:solidFill>
                    <w14:srgbClr w14:val="000000">
                      <w14:alpha w14:val="100000"/>
                    </w14:srgbClr>
                  </w14:solidFill>
                </w14:textFill>
              </w:rPr>
              <w:t>|</w:t>
            </w:r>
            <w:r w:rsidRPr="008A2B4D">
              <w:rPr>
                <w:color w:val="000000"/>
                <w:fitText w:val="180" w:id="-1157882874"/>
                <w:lang w:eastAsia="en-AU"/>
                <w14:textFill>
                  <w14:solidFill>
                    <w14:srgbClr w14:val="000000">
                      <w14:alpha w14:val="100000"/>
                    </w14:srgbClr>
                  </w14:solidFill>
                </w14:textFill>
              </w:rPr>
              <w:t>|</w:t>
            </w:r>
          </w:p>
        </w:tc>
      </w:tr>
      <w:tr w:rsidR="006829B7" w:rsidRPr="005F5BEA" w14:paraId="35D54034" w14:textId="77777777" w:rsidTr="00D865D4">
        <w:tc>
          <w:tcPr>
            <w:tcW w:w="0" w:type="auto"/>
            <w:hideMark/>
          </w:tcPr>
          <w:p w14:paraId="512B12A3" w14:textId="41291EEC" w:rsidR="006829B7" w:rsidRPr="005F5BEA" w:rsidRDefault="006829B7" w:rsidP="005926D9">
            <w:pPr>
              <w:pStyle w:val="Tableheader"/>
            </w:pPr>
            <w:r w:rsidRPr="005F5BEA">
              <w:rPr>
                <w:rFonts w:eastAsia="Calibri"/>
                <w:b w:val="0"/>
                <w:color w:val="auto"/>
                <w:szCs w:val="22"/>
                <w:lang w:eastAsia="en-US"/>
              </w:rPr>
              <w:t>Cost per service including average training and overhead costs (2022)</w:t>
            </w:r>
          </w:p>
        </w:tc>
        <w:tc>
          <w:tcPr>
            <w:tcW w:w="1394" w:type="dxa"/>
            <w:shd w:val="solid" w:color="000000" w:fill="000000"/>
            <w:hideMark/>
          </w:tcPr>
          <w:p w14:paraId="78555431" w14:textId="2F9CE676" w:rsidR="006829B7" w:rsidRPr="00D865D4" w:rsidRDefault="00D865D4" w:rsidP="005926D9">
            <w:pPr>
              <w:pStyle w:val="Tabletext0"/>
              <w:rPr>
                <w:lang w:eastAsia="en-AU"/>
              </w:rPr>
            </w:pPr>
            <w:r w:rsidRPr="008A2B4D">
              <w:rPr>
                <w:color w:val="000000"/>
                <w:spacing w:val="94"/>
                <w:fitText w:val="180" w:id="-1157882873"/>
                <w:lang w:eastAsia="en-AU"/>
                <w14:textFill>
                  <w14:solidFill>
                    <w14:srgbClr w14:val="000000">
                      <w14:alpha w14:val="100000"/>
                    </w14:srgbClr>
                  </w14:solidFill>
                </w14:textFill>
              </w:rPr>
              <w:t>|</w:t>
            </w:r>
            <w:r w:rsidRPr="008A2B4D">
              <w:rPr>
                <w:color w:val="000000"/>
                <w:fitText w:val="180" w:id="-1157882873"/>
                <w:lang w:eastAsia="en-AU"/>
                <w14:textFill>
                  <w14:solidFill>
                    <w14:srgbClr w14:val="000000">
                      <w14:alpha w14:val="100000"/>
                    </w14:srgbClr>
                  </w14:solidFill>
                </w14:textFill>
              </w:rPr>
              <w:t>|</w:t>
            </w:r>
          </w:p>
        </w:tc>
        <w:tc>
          <w:tcPr>
            <w:tcW w:w="1395" w:type="dxa"/>
            <w:shd w:val="solid" w:color="000000" w:fill="000000"/>
            <w:hideMark/>
          </w:tcPr>
          <w:p w14:paraId="7C8BC6DF" w14:textId="31421968" w:rsidR="006829B7" w:rsidRPr="00D865D4" w:rsidRDefault="00D865D4" w:rsidP="005926D9">
            <w:pPr>
              <w:pStyle w:val="Tabletext0"/>
              <w:rPr>
                <w:lang w:eastAsia="en-AU"/>
              </w:rPr>
            </w:pPr>
            <w:r w:rsidRPr="008A2B4D">
              <w:rPr>
                <w:color w:val="000000"/>
                <w:spacing w:val="94"/>
                <w:fitText w:val="180" w:id="-1157882872"/>
                <w:lang w:eastAsia="en-AU"/>
                <w14:textFill>
                  <w14:solidFill>
                    <w14:srgbClr w14:val="000000">
                      <w14:alpha w14:val="100000"/>
                    </w14:srgbClr>
                  </w14:solidFill>
                </w14:textFill>
              </w:rPr>
              <w:t>|</w:t>
            </w:r>
            <w:r w:rsidRPr="008A2B4D">
              <w:rPr>
                <w:color w:val="000000"/>
                <w:fitText w:val="180" w:id="-1157882872"/>
                <w:lang w:eastAsia="en-AU"/>
                <w14:textFill>
                  <w14:solidFill>
                    <w14:srgbClr w14:val="000000">
                      <w14:alpha w14:val="100000"/>
                    </w14:srgbClr>
                  </w14:solidFill>
                </w14:textFill>
              </w:rPr>
              <w:t>|</w:t>
            </w:r>
          </w:p>
        </w:tc>
        <w:tc>
          <w:tcPr>
            <w:tcW w:w="1395" w:type="dxa"/>
            <w:shd w:val="solid" w:color="000000" w:fill="000000"/>
            <w:hideMark/>
          </w:tcPr>
          <w:p w14:paraId="19594895" w14:textId="4FD56AC5" w:rsidR="006829B7" w:rsidRPr="00D865D4" w:rsidRDefault="00D865D4" w:rsidP="005926D9">
            <w:pPr>
              <w:pStyle w:val="Tabletext0"/>
              <w:rPr>
                <w:lang w:eastAsia="en-AU"/>
              </w:rPr>
            </w:pPr>
            <w:r w:rsidRPr="008A2B4D">
              <w:rPr>
                <w:color w:val="000000"/>
                <w:spacing w:val="94"/>
                <w:fitText w:val="180" w:id="-1157882871"/>
                <w:lang w:eastAsia="en-AU"/>
                <w14:textFill>
                  <w14:solidFill>
                    <w14:srgbClr w14:val="000000">
                      <w14:alpha w14:val="100000"/>
                    </w14:srgbClr>
                  </w14:solidFill>
                </w14:textFill>
              </w:rPr>
              <w:t>|</w:t>
            </w:r>
            <w:r w:rsidRPr="008A2B4D">
              <w:rPr>
                <w:color w:val="000000"/>
                <w:fitText w:val="180" w:id="-1157882871"/>
                <w:lang w:eastAsia="en-AU"/>
                <w14:textFill>
                  <w14:solidFill>
                    <w14:srgbClr w14:val="000000">
                      <w14:alpha w14:val="100000"/>
                    </w14:srgbClr>
                  </w14:solidFill>
                </w14:textFill>
              </w:rPr>
              <w:t>|</w:t>
            </w:r>
          </w:p>
        </w:tc>
        <w:tc>
          <w:tcPr>
            <w:tcW w:w="1395" w:type="dxa"/>
            <w:shd w:val="solid" w:color="000000" w:fill="000000"/>
            <w:hideMark/>
          </w:tcPr>
          <w:p w14:paraId="11424171" w14:textId="496DE60D" w:rsidR="006829B7" w:rsidRPr="00D865D4" w:rsidRDefault="00D865D4" w:rsidP="005926D9">
            <w:pPr>
              <w:pStyle w:val="Tabletext0"/>
              <w:rPr>
                <w:lang w:eastAsia="en-AU"/>
              </w:rPr>
            </w:pPr>
            <w:r w:rsidRPr="008A2B4D">
              <w:rPr>
                <w:color w:val="000000"/>
                <w:spacing w:val="94"/>
                <w:fitText w:val="180" w:id="-1157882870"/>
                <w:lang w:eastAsia="en-AU"/>
                <w14:textFill>
                  <w14:solidFill>
                    <w14:srgbClr w14:val="000000">
                      <w14:alpha w14:val="100000"/>
                    </w14:srgbClr>
                  </w14:solidFill>
                </w14:textFill>
              </w:rPr>
              <w:t>|</w:t>
            </w:r>
            <w:r w:rsidRPr="008A2B4D">
              <w:rPr>
                <w:color w:val="000000"/>
                <w:fitText w:val="180" w:id="-1157882870"/>
                <w:lang w:eastAsia="en-AU"/>
                <w14:textFill>
                  <w14:solidFill>
                    <w14:srgbClr w14:val="000000">
                      <w14:alpha w14:val="100000"/>
                    </w14:srgbClr>
                  </w14:solidFill>
                </w14:textFill>
              </w:rPr>
              <w:t>|</w:t>
            </w:r>
          </w:p>
        </w:tc>
      </w:tr>
      <w:tr w:rsidR="006829B7" w:rsidRPr="005F5BEA" w14:paraId="1C6270FE" w14:textId="77777777" w:rsidTr="005926D9">
        <w:tc>
          <w:tcPr>
            <w:tcW w:w="0" w:type="auto"/>
            <w:hideMark/>
          </w:tcPr>
          <w:p w14:paraId="510CCE8D" w14:textId="4087DAF6" w:rsidR="006829B7" w:rsidRPr="005F5BEA" w:rsidRDefault="006829B7" w:rsidP="005926D9">
            <w:pPr>
              <w:pStyle w:val="Tableheader"/>
              <w:rPr>
                <w:color w:val="auto"/>
              </w:rPr>
            </w:pPr>
            <w:r w:rsidRPr="005F5BEA">
              <w:rPr>
                <w:color w:val="auto"/>
              </w:rPr>
              <w:t>Unscheduled services</w:t>
            </w:r>
          </w:p>
        </w:tc>
        <w:tc>
          <w:tcPr>
            <w:tcW w:w="1394" w:type="dxa"/>
            <w:hideMark/>
          </w:tcPr>
          <w:p w14:paraId="4AECC310" w14:textId="77777777" w:rsidR="006829B7" w:rsidRPr="005F5BEA" w:rsidRDefault="006829B7" w:rsidP="005926D9">
            <w:pPr>
              <w:pStyle w:val="Tabletext0"/>
              <w:rPr>
                <w:lang w:eastAsia="en-AU"/>
              </w:rPr>
            </w:pPr>
            <w:r w:rsidRPr="005F5BEA">
              <w:rPr>
                <w:lang w:eastAsia="en-AU"/>
              </w:rPr>
              <w:t> </w:t>
            </w:r>
          </w:p>
        </w:tc>
        <w:tc>
          <w:tcPr>
            <w:tcW w:w="1395" w:type="dxa"/>
            <w:hideMark/>
          </w:tcPr>
          <w:p w14:paraId="78040F4E" w14:textId="77777777" w:rsidR="006829B7" w:rsidRPr="005F5BEA" w:rsidRDefault="006829B7" w:rsidP="005926D9">
            <w:pPr>
              <w:pStyle w:val="Tabletext0"/>
              <w:rPr>
                <w:lang w:eastAsia="en-AU"/>
              </w:rPr>
            </w:pPr>
            <w:r w:rsidRPr="005F5BEA">
              <w:rPr>
                <w:lang w:eastAsia="en-AU"/>
              </w:rPr>
              <w:t> </w:t>
            </w:r>
          </w:p>
        </w:tc>
        <w:tc>
          <w:tcPr>
            <w:tcW w:w="1395" w:type="dxa"/>
            <w:hideMark/>
          </w:tcPr>
          <w:p w14:paraId="4ECC2303" w14:textId="77777777" w:rsidR="006829B7" w:rsidRPr="005F5BEA" w:rsidRDefault="006829B7" w:rsidP="005926D9">
            <w:pPr>
              <w:pStyle w:val="Tabletext0"/>
              <w:rPr>
                <w:lang w:eastAsia="en-AU"/>
              </w:rPr>
            </w:pPr>
            <w:r w:rsidRPr="005F5BEA">
              <w:rPr>
                <w:lang w:eastAsia="en-AU"/>
              </w:rPr>
              <w:t> </w:t>
            </w:r>
          </w:p>
        </w:tc>
        <w:tc>
          <w:tcPr>
            <w:tcW w:w="1395" w:type="dxa"/>
            <w:hideMark/>
          </w:tcPr>
          <w:p w14:paraId="086817B7" w14:textId="77777777" w:rsidR="006829B7" w:rsidRPr="005F5BEA" w:rsidRDefault="006829B7" w:rsidP="005926D9">
            <w:pPr>
              <w:pStyle w:val="Tabletext0"/>
              <w:rPr>
                <w:lang w:eastAsia="en-AU"/>
              </w:rPr>
            </w:pPr>
            <w:r w:rsidRPr="005F5BEA">
              <w:rPr>
                <w:lang w:eastAsia="en-AU"/>
              </w:rPr>
              <w:t> </w:t>
            </w:r>
          </w:p>
        </w:tc>
      </w:tr>
      <w:tr w:rsidR="006829B7" w:rsidRPr="005F5BEA" w14:paraId="26DDDB84" w14:textId="77777777" w:rsidTr="00D865D4">
        <w:tc>
          <w:tcPr>
            <w:tcW w:w="0" w:type="auto"/>
            <w:hideMark/>
          </w:tcPr>
          <w:p w14:paraId="07958BE1" w14:textId="77777777" w:rsidR="006829B7" w:rsidRPr="005F5BEA" w:rsidRDefault="006829B7" w:rsidP="005926D9">
            <w:pPr>
              <w:pStyle w:val="Tabletext0"/>
            </w:pPr>
            <w:r w:rsidRPr="005F5BEA">
              <w:t>Number of services</w:t>
            </w:r>
          </w:p>
        </w:tc>
        <w:tc>
          <w:tcPr>
            <w:tcW w:w="1394" w:type="dxa"/>
            <w:tcBorders>
              <w:bottom w:val="single" w:sz="4" w:space="0" w:color="auto"/>
            </w:tcBorders>
            <w:hideMark/>
          </w:tcPr>
          <w:p w14:paraId="71725F6A" w14:textId="77777777" w:rsidR="006829B7" w:rsidRPr="005F5BEA" w:rsidRDefault="006829B7" w:rsidP="005926D9">
            <w:pPr>
              <w:pStyle w:val="Tabletext0"/>
              <w:rPr>
                <w:lang w:eastAsia="en-AU"/>
              </w:rPr>
            </w:pPr>
            <w:r w:rsidRPr="005F5BEA">
              <w:rPr>
                <w:lang w:eastAsia="en-AU"/>
              </w:rPr>
              <w:t>9,291</w:t>
            </w:r>
          </w:p>
        </w:tc>
        <w:tc>
          <w:tcPr>
            <w:tcW w:w="1395" w:type="dxa"/>
            <w:tcBorders>
              <w:bottom w:val="single" w:sz="4" w:space="0" w:color="auto"/>
            </w:tcBorders>
            <w:hideMark/>
          </w:tcPr>
          <w:p w14:paraId="4BC35FA4" w14:textId="77777777" w:rsidR="006829B7" w:rsidRPr="005F5BEA" w:rsidRDefault="006829B7" w:rsidP="005926D9">
            <w:pPr>
              <w:pStyle w:val="Tabletext0"/>
              <w:rPr>
                <w:lang w:eastAsia="en-AU"/>
              </w:rPr>
            </w:pPr>
            <w:r w:rsidRPr="005F5BEA">
              <w:rPr>
                <w:lang w:eastAsia="en-AU"/>
              </w:rPr>
              <w:t>2,836</w:t>
            </w:r>
          </w:p>
        </w:tc>
        <w:tc>
          <w:tcPr>
            <w:tcW w:w="1395" w:type="dxa"/>
            <w:tcBorders>
              <w:bottom w:val="single" w:sz="4" w:space="0" w:color="auto"/>
            </w:tcBorders>
            <w:hideMark/>
          </w:tcPr>
          <w:p w14:paraId="2138F36B" w14:textId="77777777" w:rsidR="006829B7" w:rsidRPr="005F5BEA" w:rsidRDefault="006829B7" w:rsidP="005926D9">
            <w:pPr>
              <w:pStyle w:val="Tabletext0"/>
              <w:rPr>
                <w:lang w:eastAsia="en-AU"/>
              </w:rPr>
            </w:pPr>
            <w:r w:rsidRPr="005F5BEA">
              <w:rPr>
                <w:lang w:eastAsia="en-AU"/>
              </w:rPr>
              <w:t>417</w:t>
            </w:r>
          </w:p>
        </w:tc>
        <w:tc>
          <w:tcPr>
            <w:tcW w:w="1395" w:type="dxa"/>
            <w:tcBorders>
              <w:bottom w:val="single" w:sz="4" w:space="0" w:color="auto"/>
            </w:tcBorders>
            <w:hideMark/>
          </w:tcPr>
          <w:p w14:paraId="20DF055F" w14:textId="77777777" w:rsidR="006829B7" w:rsidRPr="005F5BEA" w:rsidRDefault="006829B7" w:rsidP="005926D9">
            <w:pPr>
              <w:pStyle w:val="Tabletext0"/>
              <w:rPr>
                <w:lang w:eastAsia="en-AU"/>
              </w:rPr>
            </w:pPr>
            <w:r w:rsidRPr="005F5BEA">
              <w:rPr>
                <w:lang w:eastAsia="en-AU"/>
              </w:rPr>
              <w:t>1,768</w:t>
            </w:r>
          </w:p>
        </w:tc>
      </w:tr>
      <w:tr w:rsidR="006829B7" w:rsidRPr="005F5BEA" w14:paraId="4E74D458" w14:textId="77777777" w:rsidTr="00D865D4">
        <w:tc>
          <w:tcPr>
            <w:tcW w:w="0" w:type="auto"/>
            <w:hideMark/>
          </w:tcPr>
          <w:p w14:paraId="283B0DCD" w14:textId="77777777" w:rsidR="006829B7" w:rsidRPr="005F5BEA" w:rsidRDefault="006829B7" w:rsidP="005926D9">
            <w:pPr>
              <w:pStyle w:val="Tabletext0"/>
            </w:pPr>
            <w:r w:rsidRPr="005F5BEA">
              <w:t>Total cost</w:t>
            </w:r>
          </w:p>
        </w:tc>
        <w:tc>
          <w:tcPr>
            <w:tcW w:w="1394" w:type="dxa"/>
            <w:tcBorders>
              <w:bottom w:val="single" w:sz="4" w:space="0" w:color="auto"/>
            </w:tcBorders>
            <w:shd w:val="solid" w:color="000000" w:fill="000000"/>
            <w:hideMark/>
          </w:tcPr>
          <w:p w14:paraId="53559052" w14:textId="181F5C70" w:rsidR="006829B7" w:rsidRPr="00D865D4" w:rsidRDefault="00D865D4" w:rsidP="005926D9">
            <w:pPr>
              <w:pStyle w:val="Tabletext0"/>
              <w:rPr>
                <w:lang w:eastAsia="en-AU"/>
              </w:rPr>
            </w:pPr>
            <w:r w:rsidRPr="008A2B4D">
              <w:rPr>
                <w:color w:val="000000"/>
                <w:spacing w:val="94"/>
                <w:fitText w:val="180" w:id="-1157882869"/>
                <w:lang w:eastAsia="en-AU"/>
                <w14:textFill>
                  <w14:solidFill>
                    <w14:srgbClr w14:val="000000">
                      <w14:alpha w14:val="100000"/>
                    </w14:srgbClr>
                  </w14:solidFill>
                </w14:textFill>
              </w:rPr>
              <w:t>|</w:t>
            </w:r>
            <w:r w:rsidRPr="008A2B4D">
              <w:rPr>
                <w:color w:val="000000"/>
                <w:fitText w:val="180" w:id="-1157882869"/>
                <w:lang w:eastAsia="en-AU"/>
                <w14:textFill>
                  <w14:solidFill>
                    <w14:srgbClr w14:val="000000">
                      <w14:alpha w14:val="100000"/>
                    </w14:srgbClr>
                  </w14:solidFill>
                </w14:textFill>
              </w:rPr>
              <w:t>|</w:t>
            </w:r>
          </w:p>
        </w:tc>
        <w:tc>
          <w:tcPr>
            <w:tcW w:w="1395" w:type="dxa"/>
            <w:tcBorders>
              <w:bottom w:val="single" w:sz="4" w:space="0" w:color="auto"/>
            </w:tcBorders>
            <w:shd w:val="solid" w:color="000000" w:fill="000000"/>
            <w:hideMark/>
          </w:tcPr>
          <w:p w14:paraId="148E7907" w14:textId="0629F4C1" w:rsidR="006829B7" w:rsidRPr="00D865D4" w:rsidRDefault="00D865D4" w:rsidP="005926D9">
            <w:pPr>
              <w:pStyle w:val="Tabletext0"/>
              <w:rPr>
                <w:lang w:eastAsia="en-AU"/>
              </w:rPr>
            </w:pPr>
            <w:r w:rsidRPr="008A2B4D">
              <w:rPr>
                <w:color w:val="000000"/>
                <w:spacing w:val="94"/>
                <w:fitText w:val="180" w:id="-1157882868"/>
                <w:lang w:eastAsia="en-AU"/>
                <w14:textFill>
                  <w14:solidFill>
                    <w14:srgbClr w14:val="000000">
                      <w14:alpha w14:val="100000"/>
                    </w14:srgbClr>
                  </w14:solidFill>
                </w14:textFill>
              </w:rPr>
              <w:t>|</w:t>
            </w:r>
            <w:r w:rsidRPr="008A2B4D">
              <w:rPr>
                <w:color w:val="000000"/>
                <w:fitText w:val="180" w:id="-1157882868"/>
                <w:lang w:eastAsia="en-AU"/>
                <w14:textFill>
                  <w14:solidFill>
                    <w14:srgbClr w14:val="000000">
                      <w14:alpha w14:val="100000"/>
                    </w14:srgbClr>
                  </w14:solidFill>
                </w14:textFill>
              </w:rPr>
              <w:t>|</w:t>
            </w:r>
          </w:p>
        </w:tc>
        <w:tc>
          <w:tcPr>
            <w:tcW w:w="1395" w:type="dxa"/>
            <w:tcBorders>
              <w:bottom w:val="single" w:sz="4" w:space="0" w:color="auto"/>
            </w:tcBorders>
            <w:shd w:val="solid" w:color="000000" w:fill="000000"/>
            <w:hideMark/>
          </w:tcPr>
          <w:p w14:paraId="38C5AFD9" w14:textId="129F4F35" w:rsidR="006829B7" w:rsidRPr="00D865D4" w:rsidRDefault="00D865D4" w:rsidP="005926D9">
            <w:pPr>
              <w:pStyle w:val="Tabletext0"/>
              <w:rPr>
                <w:lang w:eastAsia="en-AU"/>
              </w:rPr>
            </w:pPr>
            <w:r w:rsidRPr="008A2B4D">
              <w:rPr>
                <w:color w:val="000000"/>
                <w:spacing w:val="94"/>
                <w:fitText w:val="180" w:id="-1157882867"/>
                <w:lang w:eastAsia="en-AU"/>
                <w14:textFill>
                  <w14:solidFill>
                    <w14:srgbClr w14:val="000000">
                      <w14:alpha w14:val="100000"/>
                    </w14:srgbClr>
                  </w14:solidFill>
                </w14:textFill>
              </w:rPr>
              <w:t>|</w:t>
            </w:r>
            <w:r w:rsidRPr="008A2B4D">
              <w:rPr>
                <w:color w:val="000000"/>
                <w:fitText w:val="180" w:id="-1157882867"/>
                <w:lang w:eastAsia="en-AU"/>
                <w14:textFill>
                  <w14:solidFill>
                    <w14:srgbClr w14:val="000000">
                      <w14:alpha w14:val="100000"/>
                    </w14:srgbClr>
                  </w14:solidFill>
                </w14:textFill>
              </w:rPr>
              <w:t>|</w:t>
            </w:r>
          </w:p>
        </w:tc>
        <w:tc>
          <w:tcPr>
            <w:tcW w:w="1395" w:type="dxa"/>
            <w:tcBorders>
              <w:bottom w:val="single" w:sz="4" w:space="0" w:color="auto"/>
            </w:tcBorders>
            <w:shd w:val="solid" w:color="000000" w:fill="000000"/>
            <w:hideMark/>
          </w:tcPr>
          <w:p w14:paraId="12F7FB6A" w14:textId="04AE557C" w:rsidR="006829B7" w:rsidRPr="00D865D4" w:rsidRDefault="00D865D4" w:rsidP="005926D9">
            <w:pPr>
              <w:pStyle w:val="Tabletext0"/>
              <w:rPr>
                <w:lang w:eastAsia="en-AU"/>
              </w:rPr>
            </w:pPr>
            <w:r w:rsidRPr="008A2B4D">
              <w:rPr>
                <w:color w:val="000000"/>
                <w:spacing w:val="94"/>
                <w:fitText w:val="180" w:id="-1157882866"/>
                <w:lang w:eastAsia="en-AU"/>
                <w14:textFill>
                  <w14:solidFill>
                    <w14:srgbClr w14:val="000000">
                      <w14:alpha w14:val="100000"/>
                    </w14:srgbClr>
                  </w14:solidFill>
                </w14:textFill>
              </w:rPr>
              <w:t>|</w:t>
            </w:r>
            <w:r w:rsidRPr="008A2B4D">
              <w:rPr>
                <w:color w:val="000000"/>
                <w:fitText w:val="180" w:id="-1157882866"/>
                <w:lang w:eastAsia="en-AU"/>
                <w14:textFill>
                  <w14:solidFill>
                    <w14:srgbClr w14:val="000000">
                      <w14:alpha w14:val="100000"/>
                    </w14:srgbClr>
                  </w14:solidFill>
                </w14:textFill>
              </w:rPr>
              <w:t>|</w:t>
            </w:r>
          </w:p>
        </w:tc>
      </w:tr>
      <w:tr w:rsidR="006829B7" w:rsidRPr="005F5BEA" w14:paraId="551D420D" w14:textId="77777777" w:rsidTr="00D865D4">
        <w:tc>
          <w:tcPr>
            <w:tcW w:w="0" w:type="auto"/>
            <w:hideMark/>
          </w:tcPr>
          <w:p w14:paraId="73030EB4" w14:textId="794192C4" w:rsidR="006829B7" w:rsidRPr="005F5BEA" w:rsidRDefault="006829B7" w:rsidP="005926D9">
            <w:pPr>
              <w:pStyle w:val="Tabletext0"/>
            </w:pPr>
            <w:r w:rsidRPr="005F5BEA">
              <w:t>Cost per service (only labour and travel costs, 2022)</w:t>
            </w:r>
          </w:p>
        </w:tc>
        <w:tc>
          <w:tcPr>
            <w:tcW w:w="1394" w:type="dxa"/>
            <w:tcBorders>
              <w:bottom w:val="single" w:sz="4" w:space="0" w:color="auto"/>
            </w:tcBorders>
            <w:shd w:val="solid" w:color="000000" w:fill="000000"/>
            <w:hideMark/>
          </w:tcPr>
          <w:p w14:paraId="682A2E3D" w14:textId="2F12367D" w:rsidR="006829B7" w:rsidRPr="00D865D4" w:rsidRDefault="00D865D4" w:rsidP="005926D9">
            <w:pPr>
              <w:pStyle w:val="Tabletext0"/>
              <w:rPr>
                <w:lang w:eastAsia="en-AU"/>
              </w:rPr>
            </w:pPr>
            <w:r w:rsidRPr="008A2B4D">
              <w:rPr>
                <w:color w:val="000000"/>
                <w:spacing w:val="94"/>
                <w:fitText w:val="180" w:id="-1157882865"/>
                <w:lang w:eastAsia="en-AU"/>
                <w14:textFill>
                  <w14:solidFill>
                    <w14:srgbClr w14:val="000000">
                      <w14:alpha w14:val="100000"/>
                    </w14:srgbClr>
                  </w14:solidFill>
                </w14:textFill>
              </w:rPr>
              <w:t>|</w:t>
            </w:r>
            <w:r w:rsidRPr="008A2B4D">
              <w:rPr>
                <w:color w:val="000000"/>
                <w:fitText w:val="180" w:id="-1157882865"/>
                <w:lang w:eastAsia="en-AU"/>
                <w14:textFill>
                  <w14:solidFill>
                    <w14:srgbClr w14:val="000000">
                      <w14:alpha w14:val="100000"/>
                    </w14:srgbClr>
                  </w14:solidFill>
                </w14:textFill>
              </w:rPr>
              <w:t>|</w:t>
            </w:r>
          </w:p>
        </w:tc>
        <w:tc>
          <w:tcPr>
            <w:tcW w:w="1395" w:type="dxa"/>
            <w:tcBorders>
              <w:bottom w:val="single" w:sz="4" w:space="0" w:color="auto"/>
            </w:tcBorders>
            <w:shd w:val="solid" w:color="000000" w:fill="000000"/>
            <w:hideMark/>
          </w:tcPr>
          <w:p w14:paraId="353CBAD2" w14:textId="68C114FA" w:rsidR="006829B7" w:rsidRPr="00D865D4" w:rsidRDefault="00D865D4" w:rsidP="005926D9">
            <w:pPr>
              <w:pStyle w:val="Tabletext0"/>
              <w:rPr>
                <w:lang w:eastAsia="en-AU"/>
              </w:rPr>
            </w:pPr>
            <w:r w:rsidRPr="008A2B4D">
              <w:rPr>
                <w:color w:val="000000"/>
                <w:spacing w:val="94"/>
                <w:fitText w:val="180" w:id="-1157882864"/>
                <w:lang w:eastAsia="en-AU"/>
                <w14:textFill>
                  <w14:solidFill>
                    <w14:srgbClr w14:val="000000">
                      <w14:alpha w14:val="100000"/>
                    </w14:srgbClr>
                  </w14:solidFill>
                </w14:textFill>
              </w:rPr>
              <w:t>|</w:t>
            </w:r>
            <w:r w:rsidRPr="008A2B4D">
              <w:rPr>
                <w:color w:val="000000"/>
                <w:fitText w:val="180" w:id="-1157882864"/>
                <w:lang w:eastAsia="en-AU"/>
                <w14:textFill>
                  <w14:solidFill>
                    <w14:srgbClr w14:val="000000">
                      <w14:alpha w14:val="100000"/>
                    </w14:srgbClr>
                  </w14:solidFill>
                </w14:textFill>
              </w:rPr>
              <w:t>|</w:t>
            </w:r>
          </w:p>
        </w:tc>
        <w:tc>
          <w:tcPr>
            <w:tcW w:w="1395" w:type="dxa"/>
            <w:tcBorders>
              <w:bottom w:val="single" w:sz="4" w:space="0" w:color="auto"/>
            </w:tcBorders>
            <w:shd w:val="solid" w:color="000000" w:fill="000000"/>
            <w:hideMark/>
          </w:tcPr>
          <w:p w14:paraId="75D7C9E6" w14:textId="524EA42B" w:rsidR="006829B7" w:rsidRPr="00D865D4" w:rsidRDefault="00D865D4" w:rsidP="005926D9">
            <w:pPr>
              <w:pStyle w:val="Tabletext0"/>
              <w:rPr>
                <w:lang w:eastAsia="en-AU"/>
              </w:rPr>
            </w:pPr>
            <w:r w:rsidRPr="008A2B4D">
              <w:rPr>
                <w:color w:val="000000"/>
                <w:spacing w:val="94"/>
                <w:fitText w:val="180" w:id="-1157882880"/>
                <w:lang w:eastAsia="en-AU"/>
                <w14:textFill>
                  <w14:solidFill>
                    <w14:srgbClr w14:val="000000">
                      <w14:alpha w14:val="100000"/>
                    </w14:srgbClr>
                  </w14:solidFill>
                </w14:textFill>
              </w:rPr>
              <w:t>|</w:t>
            </w:r>
            <w:r w:rsidRPr="008A2B4D">
              <w:rPr>
                <w:color w:val="000000"/>
                <w:fitText w:val="180" w:id="-1157882880"/>
                <w:lang w:eastAsia="en-AU"/>
                <w14:textFill>
                  <w14:solidFill>
                    <w14:srgbClr w14:val="000000">
                      <w14:alpha w14:val="100000"/>
                    </w14:srgbClr>
                  </w14:solidFill>
                </w14:textFill>
              </w:rPr>
              <w:t>|</w:t>
            </w:r>
          </w:p>
        </w:tc>
        <w:tc>
          <w:tcPr>
            <w:tcW w:w="1395" w:type="dxa"/>
            <w:tcBorders>
              <w:bottom w:val="single" w:sz="4" w:space="0" w:color="auto"/>
            </w:tcBorders>
            <w:shd w:val="solid" w:color="000000" w:fill="000000"/>
            <w:hideMark/>
          </w:tcPr>
          <w:p w14:paraId="726984EC" w14:textId="2DFCEE4C" w:rsidR="006829B7" w:rsidRPr="00D865D4" w:rsidRDefault="00D865D4" w:rsidP="005926D9">
            <w:pPr>
              <w:pStyle w:val="Tabletext0"/>
              <w:rPr>
                <w:lang w:eastAsia="en-AU"/>
              </w:rPr>
            </w:pPr>
            <w:r w:rsidRPr="008A2B4D">
              <w:rPr>
                <w:color w:val="000000"/>
                <w:spacing w:val="94"/>
                <w:fitText w:val="180" w:id="-1157882879"/>
                <w:lang w:eastAsia="en-AU"/>
                <w14:textFill>
                  <w14:solidFill>
                    <w14:srgbClr w14:val="000000">
                      <w14:alpha w14:val="100000"/>
                    </w14:srgbClr>
                  </w14:solidFill>
                </w14:textFill>
              </w:rPr>
              <w:t>|</w:t>
            </w:r>
            <w:r w:rsidRPr="008A2B4D">
              <w:rPr>
                <w:color w:val="000000"/>
                <w:fitText w:val="180" w:id="-1157882879"/>
                <w:lang w:eastAsia="en-AU"/>
                <w14:textFill>
                  <w14:solidFill>
                    <w14:srgbClr w14:val="000000">
                      <w14:alpha w14:val="100000"/>
                    </w14:srgbClr>
                  </w14:solidFill>
                </w14:textFill>
              </w:rPr>
              <w:t>|</w:t>
            </w:r>
          </w:p>
        </w:tc>
      </w:tr>
      <w:tr w:rsidR="006829B7" w:rsidRPr="005F5BEA" w14:paraId="1BBA828D" w14:textId="77777777" w:rsidTr="00D865D4">
        <w:tc>
          <w:tcPr>
            <w:tcW w:w="0" w:type="auto"/>
            <w:hideMark/>
          </w:tcPr>
          <w:p w14:paraId="5E7BD15A" w14:textId="093B741E" w:rsidR="006829B7" w:rsidRPr="005F5BEA" w:rsidRDefault="006829B7" w:rsidP="005926D9">
            <w:pPr>
              <w:pStyle w:val="Tableheader"/>
              <w:rPr>
                <w:color w:val="auto"/>
              </w:rPr>
            </w:pPr>
            <w:r w:rsidRPr="005F5BEA">
              <w:rPr>
                <w:rFonts w:eastAsia="Calibri"/>
                <w:b w:val="0"/>
                <w:color w:val="auto"/>
                <w:szCs w:val="22"/>
                <w:lang w:eastAsia="en-US"/>
              </w:rPr>
              <w:t>Cost per service including average training and overhead costs (2022)</w:t>
            </w:r>
          </w:p>
        </w:tc>
        <w:tc>
          <w:tcPr>
            <w:tcW w:w="1394" w:type="dxa"/>
            <w:shd w:val="solid" w:color="000000" w:fill="000000"/>
            <w:hideMark/>
          </w:tcPr>
          <w:p w14:paraId="63A75431" w14:textId="5B4EA9EE" w:rsidR="006829B7" w:rsidRPr="00D865D4" w:rsidRDefault="00D865D4" w:rsidP="005926D9">
            <w:pPr>
              <w:pStyle w:val="Tabletext0"/>
              <w:rPr>
                <w:lang w:eastAsia="en-AU"/>
              </w:rPr>
            </w:pPr>
            <w:r w:rsidRPr="008A2B4D">
              <w:rPr>
                <w:color w:val="000000"/>
                <w:spacing w:val="94"/>
                <w:fitText w:val="180" w:id="-1157882878"/>
                <w:lang w:eastAsia="en-AU"/>
                <w14:textFill>
                  <w14:solidFill>
                    <w14:srgbClr w14:val="000000">
                      <w14:alpha w14:val="100000"/>
                    </w14:srgbClr>
                  </w14:solidFill>
                </w14:textFill>
              </w:rPr>
              <w:t>|</w:t>
            </w:r>
            <w:r w:rsidRPr="008A2B4D">
              <w:rPr>
                <w:color w:val="000000"/>
                <w:fitText w:val="180" w:id="-1157882878"/>
                <w:lang w:eastAsia="en-AU"/>
                <w14:textFill>
                  <w14:solidFill>
                    <w14:srgbClr w14:val="000000">
                      <w14:alpha w14:val="100000"/>
                    </w14:srgbClr>
                  </w14:solidFill>
                </w14:textFill>
              </w:rPr>
              <w:t>|</w:t>
            </w:r>
          </w:p>
        </w:tc>
        <w:tc>
          <w:tcPr>
            <w:tcW w:w="1395" w:type="dxa"/>
            <w:shd w:val="solid" w:color="000000" w:fill="000000"/>
            <w:hideMark/>
          </w:tcPr>
          <w:p w14:paraId="2555B99D" w14:textId="73DA04DF" w:rsidR="006829B7" w:rsidRPr="00D865D4" w:rsidRDefault="00D865D4" w:rsidP="005926D9">
            <w:pPr>
              <w:pStyle w:val="Tabletext0"/>
              <w:rPr>
                <w:lang w:eastAsia="en-AU"/>
              </w:rPr>
            </w:pPr>
            <w:r w:rsidRPr="008A2B4D">
              <w:rPr>
                <w:color w:val="000000"/>
                <w:spacing w:val="94"/>
                <w:fitText w:val="180" w:id="-1157882877"/>
                <w:lang w:eastAsia="en-AU"/>
                <w14:textFill>
                  <w14:solidFill>
                    <w14:srgbClr w14:val="000000">
                      <w14:alpha w14:val="100000"/>
                    </w14:srgbClr>
                  </w14:solidFill>
                </w14:textFill>
              </w:rPr>
              <w:t>|</w:t>
            </w:r>
            <w:r w:rsidRPr="008A2B4D">
              <w:rPr>
                <w:color w:val="000000"/>
                <w:fitText w:val="180" w:id="-1157882877"/>
                <w:lang w:eastAsia="en-AU"/>
                <w14:textFill>
                  <w14:solidFill>
                    <w14:srgbClr w14:val="000000">
                      <w14:alpha w14:val="100000"/>
                    </w14:srgbClr>
                  </w14:solidFill>
                </w14:textFill>
              </w:rPr>
              <w:t>|</w:t>
            </w:r>
          </w:p>
        </w:tc>
        <w:tc>
          <w:tcPr>
            <w:tcW w:w="1395" w:type="dxa"/>
            <w:shd w:val="solid" w:color="000000" w:fill="000000"/>
            <w:hideMark/>
          </w:tcPr>
          <w:p w14:paraId="64BE7F65" w14:textId="0DF9D10E" w:rsidR="006829B7" w:rsidRPr="00D865D4" w:rsidRDefault="00D865D4" w:rsidP="005926D9">
            <w:pPr>
              <w:pStyle w:val="Tabletext0"/>
              <w:rPr>
                <w:lang w:eastAsia="en-AU"/>
              </w:rPr>
            </w:pPr>
            <w:r w:rsidRPr="008A2B4D">
              <w:rPr>
                <w:color w:val="000000"/>
                <w:spacing w:val="94"/>
                <w:fitText w:val="180" w:id="-1157882876"/>
                <w:lang w:eastAsia="en-AU"/>
                <w14:textFill>
                  <w14:solidFill>
                    <w14:srgbClr w14:val="000000">
                      <w14:alpha w14:val="100000"/>
                    </w14:srgbClr>
                  </w14:solidFill>
                </w14:textFill>
              </w:rPr>
              <w:t>|</w:t>
            </w:r>
            <w:r w:rsidRPr="008A2B4D">
              <w:rPr>
                <w:color w:val="000000"/>
                <w:fitText w:val="180" w:id="-1157882876"/>
                <w:lang w:eastAsia="en-AU"/>
                <w14:textFill>
                  <w14:solidFill>
                    <w14:srgbClr w14:val="000000">
                      <w14:alpha w14:val="100000"/>
                    </w14:srgbClr>
                  </w14:solidFill>
                </w14:textFill>
              </w:rPr>
              <w:t>|</w:t>
            </w:r>
          </w:p>
        </w:tc>
        <w:tc>
          <w:tcPr>
            <w:tcW w:w="1395" w:type="dxa"/>
            <w:shd w:val="solid" w:color="000000" w:fill="000000"/>
            <w:hideMark/>
          </w:tcPr>
          <w:p w14:paraId="7B2A2AD7" w14:textId="43D5CB3F" w:rsidR="006829B7" w:rsidRPr="00D865D4" w:rsidRDefault="00D865D4" w:rsidP="005926D9">
            <w:pPr>
              <w:pStyle w:val="Tabletext0"/>
              <w:rPr>
                <w:lang w:eastAsia="en-AU"/>
              </w:rPr>
            </w:pPr>
            <w:r w:rsidRPr="008A2B4D">
              <w:rPr>
                <w:color w:val="000000"/>
                <w:spacing w:val="94"/>
                <w:fitText w:val="180" w:id="-1157882875"/>
                <w:lang w:eastAsia="en-AU"/>
                <w14:textFill>
                  <w14:solidFill>
                    <w14:srgbClr w14:val="000000">
                      <w14:alpha w14:val="100000"/>
                    </w14:srgbClr>
                  </w14:solidFill>
                </w14:textFill>
              </w:rPr>
              <w:t>|</w:t>
            </w:r>
            <w:r w:rsidRPr="008A2B4D">
              <w:rPr>
                <w:color w:val="000000"/>
                <w:fitText w:val="180" w:id="-1157882875"/>
                <w:lang w:eastAsia="en-AU"/>
                <w14:textFill>
                  <w14:solidFill>
                    <w14:srgbClr w14:val="000000">
                      <w14:alpha w14:val="100000"/>
                    </w14:srgbClr>
                  </w14:solidFill>
                </w14:textFill>
              </w:rPr>
              <w:t>|</w:t>
            </w:r>
          </w:p>
        </w:tc>
      </w:tr>
      <w:tr w:rsidR="006829B7" w:rsidRPr="005F5BEA" w14:paraId="27DE6A24" w14:textId="77777777" w:rsidTr="005926D9">
        <w:tc>
          <w:tcPr>
            <w:tcW w:w="0" w:type="auto"/>
            <w:hideMark/>
          </w:tcPr>
          <w:p w14:paraId="5D2F2C38" w14:textId="77777777" w:rsidR="006829B7" w:rsidRPr="005F5BEA" w:rsidRDefault="006829B7" w:rsidP="005926D9">
            <w:pPr>
              <w:pStyle w:val="Tableheader"/>
              <w:rPr>
                <w:color w:val="auto"/>
              </w:rPr>
            </w:pPr>
            <w:r w:rsidRPr="005F5BEA">
              <w:rPr>
                <w:color w:val="auto"/>
              </w:rPr>
              <w:t>Remote services</w:t>
            </w:r>
          </w:p>
        </w:tc>
        <w:tc>
          <w:tcPr>
            <w:tcW w:w="1394" w:type="dxa"/>
            <w:hideMark/>
          </w:tcPr>
          <w:p w14:paraId="6C8D3756" w14:textId="77777777" w:rsidR="006829B7" w:rsidRPr="005F5BEA" w:rsidRDefault="006829B7" w:rsidP="005926D9">
            <w:pPr>
              <w:pStyle w:val="Tabletext0"/>
              <w:rPr>
                <w:lang w:eastAsia="en-AU"/>
              </w:rPr>
            </w:pPr>
            <w:r w:rsidRPr="005F5BEA">
              <w:rPr>
                <w:lang w:eastAsia="en-AU"/>
              </w:rPr>
              <w:t> </w:t>
            </w:r>
          </w:p>
        </w:tc>
        <w:tc>
          <w:tcPr>
            <w:tcW w:w="1395" w:type="dxa"/>
            <w:hideMark/>
          </w:tcPr>
          <w:p w14:paraId="0090CD11" w14:textId="77777777" w:rsidR="006829B7" w:rsidRPr="005F5BEA" w:rsidRDefault="006829B7" w:rsidP="005926D9">
            <w:pPr>
              <w:pStyle w:val="Tabletext0"/>
              <w:rPr>
                <w:lang w:eastAsia="en-AU"/>
              </w:rPr>
            </w:pPr>
            <w:r w:rsidRPr="005F5BEA">
              <w:rPr>
                <w:lang w:eastAsia="en-AU"/>
              </w:rPr>
              <w:t> </w:t>
            </w:r>
          </w:p>
        </w:tc>
        <w:tc>
          <w:tcPr>
            <w:tcW w:w="1395" w:type="dxa"/>
            <w:hideMark/>
          </w:tcPr>
          <w:p w14:paraId="4E17AB2A" w14:textId="77777777" w:rsidR="006829B7" w:rsidRPr="005F5BEA" w:rsidRDefault="006829B7" w:rsidP="005926D9">
            <w:pPr>
              <w:pStyle w:val="Tabletext0"/>
              <w:rPr>
                <w:lang w:eastAsia="en-AU"/>
              </w:rPr>
            </w:pPr>
            <w:r w:rsidRPr="005F5BEA">
              <w:rPr>
                <w:lang w:eastAsia="en-AU"/>
              </w:rPr>
              <w:t> </w:t>
            </w:r>
          </w:p>
        </w:tc>
        <w:tc>
          <w:tcPr>
            <w:tcW w:w="1395" w:type="dxa"/>
            <w:hideMark/>
          </w:tcPr>
          <w:p w14:paraId="7D0E479E" w14:textId="77777777" w:rsidR="006829B7" w:rsidRPr="005F5BEA" w:rsidRDefault="006829B7" w:rsidP="005926D9">
            <w:pPr>
              <w:pStyle w:val="Tabletext0"/>
              <w:rPr>
                <w:lang w:eastAsia="en-AU"/>
              </w:rPr>
            </w:pPr>
            <w:r w:rsidRPr="005F5BEA">
              <w:rPr>
                <w:lang w:eastAsia="en-AU"/>
              </w:rPr>
              <w:t> </w:t>
            </w:r>
          </w:p>
        </w:tc>
      </w:tr>
      <w:tr w:rsidR="006829B7" w:rsidRPr="005F5BEA" w14:paraId="1CBFBA31" w14:textId="77777777" w:rsidTr="00D865D4">
        <w:tc>
          <w:tcPr>
            <w:tcW w:w="0" w:type="auto"/>
            <w:hideMark/>
          </w:tcPr>
          <w:p w14:paraId="1A9AB6BB" w14:textId="77777777" w:rsidR="006829B7" w:rsidRPr="005F5BEA" w:rsidRDefault="006829B7" w:rsidP="005926D9">
            <w:pPr>
              <w:pStyle w:val="Tableheader"/>
              <w:rPr>
                <w:b w:val="0"/>
                <w:color w:val="auto"/>
              </w:rPr>
            </w:pPr>
            <w:r w:rsidRPr="005F5BEA">
              <w:rPr>
                <w:b w:val="0"/>
                <w:color w:val="auto"/>
              </w:rPr>
              <w:t>Number of services</w:t>
            </w:r>
          </w:p>
        </w:tc>
        <w:tc>
          <w:tcPr>
            <w:tcW w:w="1394" w:type="dxa"/>
            <w:tcBorders>
              <w:bottom w:val="single" w:sz="4" w:space="0" w:color="auto"/>
            </w:tcBorders>
            <w:hideMark/>
          </w:tcPr>
          <w:p w14:paraId="6AB04341" w14:textId="77777777" w:rsidR="006829B7" w:rsidRPr="005F5BEA" w:rsidRDefault="006829B7" w:rsidP="005926D9">
            <w:pPr>
              <w:pStyle w:val="Tabletext0"/>
              <w:rPr>
                <w:lang w:eastAsia="en-AU"/>
              </w:rPr>
            </w:pPr>
            <w:r w:rsidRPr="005F5BEA">
              <w:rPr>
                <w:lang w:eastAsia="en-AU"/>
              </w:rPr>
              <w:t>235,329</w:t>
            </w:r>
          </w:p>
        </w:tc>
        <w:tc>
          <w:tcPr>
            <w:tcW w:w="1395" w:type="dxa"/>
            <w:tcBorders>
              <w:bottom w:val="single" w:sz="4" w:space="0" w:color="auto"/>
            </w:tcBorders>
            <w:hideMark/>
          </w:tcPr>
          <w:p w14:paraId="0710FC9E" w14:textId="77777777" w:rsidR="006829B7" w:rsidRPr="005F5BEA" w:rsidRDefault="006829B7" w:rsidP="005926D9">
            <w:pPr>
              <w:pStyle w:val="Tabletext0"/>
              <w:rPr>
                <w:lang w:eastAsia="en-AU"/>
              </w:rPr>
            </w:pPr>
            <w:r w:rsidRPr="005F5BEA">
              <w:rPr>
                <w:lang w:eastAsia="en-AU"/>
              </w:rPr>
              <w:t>71,784</w:t>
            </w:r>
          </w:p>
        </w:tc>
        <w:tc>
          <w:tcPr>
            <w:tcW w:w="1395" w:type="dxa"/>
            <w:tcBorders>
              <w:bottom w:val="single" w:sz="4" w:space="0" w:color="auto"/>
            </w:tcBorders>
            <w:hideMark/>
          </w:tcPr>
          <w:p w14:paraId="31B7F15F" w14:textId="77777777" w:rsidR="006829B7" w:rsidRPr="005F5BEA" w:rsidRDefault="006829B7" w:rsidP="005926D9">
            <w:pPr>
              <w:pStyle w:val="Tabletext0"/>
              <w:rPr>
                <w:lang w:eastAsia="en-AU"/>
              </w:rPr>
            </w:pPr>
            <w:r w:rsidRPr="005F5BEA">
              <w:rPr>
                <w:lang w:eastAsia="en-AU"/>
              </w:rPr>
              <w:t>164,638</w:t>
            </w:r>
          </w:p>
        </w:tc>
        <w:tc>
          <w:tcPr>
            <w:tcW w:w="1395" w:type="dxa"/>
            <w:tcBorders>
              <w:bottom w:val="single" w:sz="4" w:space="0" w:color="auto"/>
            </w:tcBorders>
            <w:hideMark/>
          </w:tcPr>
          <w:p w14:paraId="78B39749" w14:textId="77777777" w:rsidR="006829B7" w:rsidRPr="005F5BEA" w:rsidRDefault="006829B7" w:rsidP="005926D9">
            <w:pPr>
              <w:pStyle w:val="Tabletext0"/>
              <w:rPr>
                <w:lang w:eastAsia="en-AU"/>
              </w:rPr>
            </w:pPr>
            <w:r w:rsidRPr="005F5BEA">
              <w:rPr>
                <w:lang w:eastAsia="en-AU"/>
              </w:rPr>
              <w:t>48,119</w:t>
            </w:r>
          </w:p>
        </w:tc>
      </w:tr>
      <w:tr w:rsidR="006829B7" w:rsidRPr="005F5BEA" w14:paraId="364ED8FB" w14:textId="77777777" w:rsidTr="00D865D4">
        <w:tc>
          <w:tcPr>
            <w:tcW w:w="0" w:type="auto"/>
            <w:hideMark/>
          </w:tcPr>
          <w:p w14:paraId="0256A838" w14:textId="77777777" w:rsidR="006829B7" w:rsidRPr="005F5BEA" w:rsidRDefault="006829B7" w:rsidP="005926D9">
            <w:pPr>
              <w:pStyle w:val="Tableheader"/>
              <w:rPr>
                <w:b w:val="0"/>
                <w:color w:val="auto"/>
              </w:rPr>
            </w:pPr>
            <w:r w:rsidRPr="005F5BEA">
              <w:rPr>
                <w:b w:val="0"/>
                <w:color w:val="auto"/>
              </w:rPr>
              <w:t>Total cost</w:t>
            </w:r>
          </w:p>
        </w:tc>
        <w:tc>
          <w:tcPr>
            <w:tcW w:w="1394" w:type="dxa"/>
            <w:tcBorders>
              <w:bottom w:val="single" w:sz="4" w:space="0" w:color="auto"/>
            </w:tcBorders>
            <w:shd w:val="solid" w:color="000000" w:fill="000000"/>
            <w:hideMark/>
          </w:tcPr>
          <w:p w14:paraId="3D14D8A9" w14:textId="7BE2FC76" w:rsidR="006829B7" w:rsidRPr="00D865D4" w:rsidRDefault="00D865D4" w:rsidP="005926D9">
            <w:pPr>
              <w:pStyle w:val="Tabletext0"/>
              <w:rPr>
                <w:lang w:eastAsia="en-AU"/>
              </w:rPr>
            </w:pPr>
            <w:r w:rsidRPr="008A2B4D">
              <w:rPr>
                <w:color w:val="000000"/>
                <w:spacing w:val="94"/>
                <w:fitText w:val="180" w:id="-1157882874"/>
                <w:lang w:eastAsia="en-AU"/>
                <w14:textFill>
                  <w14:solidFill>
                    <w14:srgbClr w14:val="000000">
                      <w14:alpha w14:val="100000"/>
                    </w14:srgbClr>
                  </w14:solidFill>
                </w14:textFill>
              </w:rPr>
              <w:t>|</w:t>
            </w:r>
            <w:r w:rsidRPr="008A2B4D">
              <w:rPr>
                <w:color w:val="000000"/>
                <w:fitText w:val="180" w:id="-1157882874"/>
                <w:lang w:eastAsia="en-AU"/>
                <w14:textFill>
                  <w14:solidFill>
                    <w14:srgbClr w14:val="000000">
                      <w14:alpha w14:val="100000"/>
                    </w14:srgbClr>
                  </w14:solidFill>
                </w14:textFill>
              </w:rPr>
              <w:t>|</w:t>
            </w:r>
          </w:p>
        </w:tc>
        <w:tc>
          <w:tcPr>
            <w:tcW w:w="1395" w:type="dxa"/>
            <w:tcBorders>
              <w:bottom w:val="single" w:sz="4" w:space="0" w:color="auto"/>
            </w:tcBorders>
            <w:shd w:val="solid" w:color="000000" w:fill="000000"/>
            <w:hideMark/>
          </w:tcPr>
          <w:p w14:paraId="63C89A98" w14:textId="4DFC2D22" w:rsidR="006829B7" w:rsidRPr="00D865D4" w:rsidRDefault="00D865D4" w:rsidP="005926D9">
            <w:pPr>
              <w:pStyle w:val="Tabletext0"/>
              <w:rPr>
                <w:lang w:eastAsia="en-AU"/>
              </w:rPr>
            </w:pPr>
            <w:r w:rsidRPr="008A2B4D">
              <w:rPr>
                <w:color w:val="000000"/>
                <w:spacing w:val="94"/>
                <w:fitText w:val="180" w:id="-1157882873"/>
                <w:lang w:eastAsia="en-AU"/>
                <w14:textFill>
                  <w14:solidFill>
                    <w14:srgbClr w14:val="000000">
                      <w14:alpha w14:val="100000"/>
                    </w14:srgbClr>
                  </w14:solidFill>
                </w14:textFill>
              </w:rPr>
              <w:t>|</w:t>
            </w:r>
            <w:r w:rsidRPr="008A2B4D">
              <w:rPr>
                <w:color w:val="000000"/>
                <w:fitText w:val="180" w:id="-1157882873"/>
                <w:lang w:eastAsia="en-AU"/>
                <w14:textFill>
                  <w14:solidFill>
                    <w14:srgbClr w14:val="000000">
                      <w14:alpha w14:val="100000"/>
                    </w14:srgbClr>
                  </w14:solidFill>
                </w14:textFill>
              </w:rPr>
              <w:t>|</w:t>
            </w:r>
          </w:p>
        </w:tc>
        <w:tc>
          <w:tcPr>
            <w:tcW w:w="1395" w:type="dxa"/>
            <w:tcBorders>
              <w:bottom w:val="single" w:sz="4" w:space="0" w:color="auto"/>
            </w:tcBorders>
            <w:shd w:val="solid" w:color="000000" w:fill="000000"/>
            <w:hideMark/>
          </w:tcPr>
          <w:p w14:paraId="21DF92D6" w14:textId="5E5C4B57" w:rsidR="006829B7" w:rsidRPr="00D865D4" w:rsidRDefault="00D865D4" w:rsidP="005926D9">
            <w:pPr>
              <w:pStyle w:val="Tabletext0"/>
              <w:rPr>
                <w:lang w:eastAsia="en-AU"/>
              </w:rPr>
            </w:pPr>
            <w:r w:rsidRPr="008A2B4D">
              <w:rPr>
                <w:color w:val="000000"/>
                <w:spacing w:val="94"/>
                <w:fitText w:val="180" w:id="-1157882872"/>
                <w:lang w:eastAsia="en-AU"/>
                <w14:textFill>
                  <w14:solidFill>
                    <w14:srgbClr w14:val="000000">
                      <w14:alpha w14:val="100000"/>
                    </w14:srgbClr>
                  </w14:solidFill>
                </w14:textFill>
              </w:rPr>
              <w:t>|</w:t>
            </w:r>
            <w:r w:rsidRPr="008A2B4D">
              <w:rPr>
                <w:color w:val="000000"/>
                <w:fitText w:val="180" w:id="-1157882872"/>
                <w:lang w:eastAsia="en-AU"/>
                <w14:textFill>
                  <w14:solidFill>
                    <w14:srgbClr w14:val="000000">
                      <w14:alpha w14:val="100000"/>
                    </w14:srgbClr>
                  </w14:solidFill>
                </w14:textFill>
              </w:rPr>
              <w:t>|</w:t>
            </w:r>
          </w:p>
        </w:tc>
        <w:tc>
          <w:tcPr>
            <w:tcW w:w="1395" w:type="dxa"/>
            <w:tcBorders>
              <w:bottom w:val="single" w:sz="4" w:space="0" w:color="auto"/>
            </w:tcBorders>
            <w:shd w:val="solid" w:color="000000" w:fill="000000"/>
            <w:hideMark/>
          </w:tcPr>
          <w:p w14:paraId="1910D883" w14:textId="15C32838" w:rsidR="006829B7" w:rsidRPr="00D865D4" w:rsidRDefault="00D865D4" w:rsidP="005926D9">
            <w:pPr>
              <w:pStyle w:val="Tabletext0"/>
              <w:rPr>
                <w:lang w:eastAsia="en-AU"/>
              </w:rPr>
            </w:pPr>
            <w:r w:rsidRPr="008A2B4D">
              <w:rPr>
                <w:color w:val="000000"/>
                <w:spacing w:val="94"/>
                <w:fitText w:val="180" w:id="-1157882871"/>
                <w:lang w:eastAsia="en-AU"/>
                <w14:textFill>
                  <w14:solidFill>
                    <w14:srgbClr w14:val="000000">
                      <w14:alpha w14:val="100000"/>
                    </w14:srgbClr>
                  </w14:solidFill>
                </w14:textFill>
              </w:rPr>
              <w:t>|</w:t>
            </w:r>
            <w:r w:rsidRPr="008A2B4D">
              <w:rPr>
                <w:color w:val="000000"/>
                <w:fitText w:val="180" w:id="-1157882871"/>
                <w:lang w:eastAsia="en-AU"/>
                <w14:textFill>
                  <w14:solidFill>
                    <w14:srgbClr w14:val="000000">
                      <w14:alpha w14:val="100000"/>
                    </w14:srgbClr>
                  </w14:solidFill>
                </w14:textFill>
              </w:rPr>
              <w:t>|</w:t>
            </w:r>
          </w:p>
        </w:tc>
      </w:tr>
      <w:tr w:rsidR="006829B7" w:rsidRPr="005F5BEA" w14:paraId="0337F5C8" w14:textId="77777777" w:rsidTr="00D865D4">
        <w:tc>
          <w:tcPr>
            <w:tcW w:w="0" w:type="auto"/>
            <w:hideMark/>
          </w:tcPr>
          <w:p w14:paraId="09E6E24A" w14:textId="1C75A511" w:rsidR="006829B7" w:rsidRPr="005F5BEA" w:rsidRDefault="006829B7" w:rsidP="005926D9">
            <w:pPr>
              <w:pStyle w:val="Tableheader"/>
              <w:rPr>
                <w:b w:val="0"/>
                <w:color w:val="auto"/>
              </w:rPr>
            </w:pPr>
            <w:r w:rsidRPr="005F5BEA">
              <w:rPr>
                <w:b w:val="0"/>
                <w:color w:val="auto"/>
              </w:rPr>
              <w:t>Cost per service (only labour and travel costs, 2022</w:t>
            </w:r>
            <w:r w:rsidRPr="005F5BEA">
              <w:t>)</w:t>
            </w:r>
          </w:p>
        </w:tc>
        <w:tc>
          <w:tcPr>
            <w:tcW w:w="1394" w:type="dxa"/>
            <w:tcBorders>
              <w:bottom w:val="single" w:sz="4" w:space="0" w:color="auto"/>
            </w:tcBorders>
            <w:shd w:val="solid" w:color="000000" w:fill="000000"/>
            <w:hideMark/>
          </w:tcPr>
          <w:p w14:paraId="5355552C" w14:textId="7AEA9720" w:rsidR="006829B7" w:rsidRPr="00D865D4" w:rsidRDefault="00D865D4" w:rsidP="005926D9">
            <w:pPr>
              <w:pStyle w:val="Tabletext0"/>
              <w:rPr>
                <w:lang w:eastAsia="en-AU"/>
              </w:rPr>
            </w:pPr>
            <w:r w:rsidRPr="008A2B4D">
              <w:rPr>
                <w:color w:val="000000"/>
                <w:spacing w:val="94"/>
                <w:fitText w:val="180" w:id="-1157882870"/>
                <w:lang w:eastAsia="en-AU"/>
                <w14:textFill>
                  <w14:solidFill>
                    <w14:srgbClr w14:val="000000">
                      <w14:alpha w14:val="100000"/>
                    </w14:srgbClr>
                  </w14:solidFill>
                </w14:textFill>
              </w:rPr>
              <w:t>|</w:t>
            </w:r>
            <w:r w:rsidRPr="008A2B4D">
              <w:rPr>
                <w:color w:val="000000"/>
                <w:fitText w:val="180" w:id="-1157882870"/>
                <w:lang w:eastAsia="en-AU"/>
                <w14:textFill>
                  <w14:solidFill>
                    <w14:srgbClr w14:val="000000">
                      <w14:alpha w14:val="100000"/>
                    </w14:srgbClr>
                  </w14:solidFill>
                </w14:textFill>
              </w:rPr>
              <w:t>|</w:t>
            </w:r>
          </w:p>
        </w:tc>
        <w:tc>
          <w:tcPr>
            <w:tcW w:w="1395" w:type="dxa"/>
            <w:tcBorders>
              <w:bottom w:val="single" w:sz="4" w:space="0" w:color="auto"/>
            </w:tcBorders>
            <w:shd w:val="solid" w:color="000000" w:fill="000000"/>
            <w:hideMark/>
          </w:tcPr>
          <w:p w14:paraId="0BB15453" w14:textId="14B49BF7" w:rsidR="006829B7" w:rsidRPr="00D865D4" w:rsidRDefault="00D865D4" w:rsidP="005926D9">
            <w:pPr>
              <w:pStyle w:val="Tabletext0"/>
              <w:rPr>
                <w:lang w:eastAsia="en-AU"/>
              </w:rPr>
            </w:pPr>
            <w:r w:rsidRPr="008A2B4D">
              <w:rPr>
                <w:color w:val="000000"/>
                <w:spacing w:val="94"/>
                <w:fitText w:val="180" w:id="-1157882869"/>
                <w:lang w:eastAsia="en-AU"/>
                <w14:textFill>
                  <w14:solidFill>
                    <w14:srgbClr w14:val="000000">
                      <w14:alpha w14:val="100000"/>
                    </w14:srgbClr>
                  </w14:solidFill>
                </w14:textFill>
              </w:rPr>
              <w:t>|</w:t>
            </w:r>
            <w:r w:rsidRPr="008A2B4D">
              <w:rPr>
                <w:color w:val="000000"/>
                <w:fitText w:val="180" w:id="-1157882869"/>
                <w:lang w:eastAsia="en-AU"/>
                <w14:textFill>
                  <w14:solidFill>
                    <w14:srgbClr w14:val="000000">
                      <w14:alpha w14:val="100000"/>
                    </w14:srgbClr>
                  </w14:solidFill>
                </w14:textFill>
              </w:rPr>
              <w:t>|</w:t>
            </w:r>
          </w:p>
        </w:tc>
        <w:tc>
          <w:tcPr>
            <w:tcW w:w="1395" w:type="dxa"/>
            <w:tcBorders>
              <w:bottom w:val="single" w:sz="4" w:space="0" w:color="auto"/>
            </w:tcBorders>
            <w:shd w:val="solid" w:color="000000" w:fill="000000"/>
            <w:hideMark/>
          </w:tcPr>
          <w:p w14:paraId="2CFCB7BD" w14:textId="6FD01796" w:rsidR="006829B7" w:rsidRPr="00D865D4" w:rsidRDefault="00D865D4" w:rsidP="005926D9">
            <w:pPr>
              <w:pStyle w:val="Tabletext0"/>
              <w:rPr>
                <w:lang w:eastAsia="en-AU"/>
              </w:rPr>
            </w:pPr>
            <w:r w:rsidRPr="008A2B4D">
              <w:rPr>
                <w:color w:val="000000"/>
                <w:spacing w:val="94"/>
                <w:fitText w:val="180" w:id="-1157882868"/>
                <w:lang w:eastAsia="en-AU"/>
                <w14:textFill>
                  <w14:solidFill>
                    <w14:srgbClr w14:val="000000">
                      <w14:alpha w14:val="100000"/>
                    </w14:srgbClr>
                  </w14:solidFill>
                </w14:textFill>
              </w:rPr>
              <w:t>|</w:t>
            </w:r>
            <w:r w:rsidRPr="008A2B4D">
              <w:rPr>
                <w:color w:val="000000"/>
                <w:fitText w:val="180" w:id="-1157882868"/>
                <w:lang w:eastAsia="en-AU"/>
                <w14:textFill>
                  <w14:solidFill>
                    <w14:srgbClr w14:val="000000">
                      <w14:alpha w14:val="100000"/>
                    </w14:srgbClr>
                  </w14:solidFill>
                </w14:textFill>
              </w:rPr>
              <w:t>|</w:t>
            </w:r>
          </w:p>
        </w:tc>
        <w:tc>
          <w:tcPr>
            <w:tcW w:w="1395" w:type="dxa"/>
            <w:tcBorders>
              <w:bottom w:val="single" w:sz="4" w:space="0" w:color="auto"/>
            </w:tcBorders>
            <w:shd w:val="solid" w:color="000000" w:fill="000000"/>
            <w:hideMark/>
          </w:tcPr>
          <w:p w14:paraId="7621A15A" w14:textId="1D25D2ED" w:rsidR="006829B7" w:rsidRPr="00D865D4" w:rsidRDefault="00D865D4" w:rsidP="005926D9">
            <w:pPr>
              <w:pStyle w:val="Tabletext0"/>
              <w:rPr>
                <w:lang w:eastAsia="en-AU"/>
              </w:rPr>
            </w:pPr>
            <w:r w:rsidRPr="008A2B4D">
              <w:rPr>
                <w:color w:val="000000"/>
                <w:spacing w:val="94"/>
                <w:fitText w:val="180" w:id="-1157882867"/>
                <w:lang w:eastAsia="en-AU"/>
                <w14:textFill>
                  <w14:solidFill>
                    <w14:srgbClr w14:val="000000">
                      <w14:alpha w14:val="100000"/>
                    </w14:srgbClr>
                  </w14:solidFill>
                </w14:textFill>
              </w:rPr>
              <w:t>|</w:t>
            </w:r>
            <w:r w:rsidRPr="008A2B4D">
              <w:rPr>
                <w:color w:val="000000"/>
                <w:fitText w:val="180" w:id="-1157882867"/>
                <w:lang w:eastAsia="en-AU"/>
                <w14:textFill>
                  <w14:solidFill>
                    <w14:srgbClr w14:val="000000">
                      <w14:alpha w14:val="100000"/>
                    </w14:srgbClr>
                  </w14:solidFill>
                </w14:textFill>
              </w:rPr>
              <w:t>|</w:t>
            </w:r>
          </w:p>
        </w:tc>
      </w:tr>
      <w:tr w:rsidR="006829B7" w:rsidRPr="005F5BEA" w14:paraId="7F29C6C8" w14:textId="77777777" w:rsidTr="00D865D4">
        <w:trPr>
          <w:trHeight w:val="53"/>
        </w:trPr>
        <w:tc>
          <w:tcPr>
            <w:tcW w:w="0" w:type="auto"/>
            <w:hideMark/>
          </w:tcPr>
          <w:p w14:paraId="14DCA558" w14:textId="6C7B7A01" w:rsidR="006829B7" w:rsidRPr="005F5BEA" w:rsidRDefault="006829B7" w:rsidP="005926D9">
            <w:pPr>
              <w:pStyle w:val="Tableheader"/>
              <w:rPr>
                <w:b w:val="0"/>
                <w:color w:val="auto"/>
              </w:rPr>
            </w:pPr>
            <w:r w:rsidRPr="005F5BEA">
              <w:rPr>
                <w:rFonts w:eastAsia="Calibri"/>
                <w:b w:val="0"/>
                <w:color w:val="auto"/>
                <w:szCs w:val="22"/>
                <w:lang w:eastAsia="en-US"/>
              </w:rPr>
              <w:t>Cost per service including average training and overhead costs (2022)</w:t>
            </w:r>
          </w:p>
        </w:tc>
        <w:tc>
          <w:tcPr>
            <w:tcW w:w="1394" w:type="dxa"/>
            <w:shd w:val="solid" w:color="000000" w:fill="000000"/>
            <w:hideMark/>
          </w:tcPr>
          <w:p w14:paraId="2CADA8F2" w14:textId="4F198445" w:rsidR="006829B7" w:rsidRPr="00D865D4" w:rsidRDefault="00D865D4" w:rsidP="005926D9">
            <w:pPr>
              <w:pStyle w:val="Tabletext0"/>
              <w:rPr>
                <w:lang w:eastAsia="en-AU"/>
              </w:rPr>
            </w:pPr>
            <w:r w:rsidRPr="008A2B4D">
              <w:rPr>
                <w:color w:val="000000"/>
                <w:spacing w:val="94"/>
                <w:fitText w:val="180" w:id="-1157882866"/>
                <w:lang w:eastAsia="en-AU"/>
                <w14:textFill>
                  <w14:solidFill>
                    <w14:srgbClr w14:val="000000">
                      <w14:alpha w14:val="100000"/>
                    </w14:srgbClr>
                  </w14:solidFill>
                </w14:textFill>
              </w:rPr>
              <w:t>|</w:t>
            </w:r>
            <w:r w:rsidRPr="008A2B4D">
              <w:rPr>
                <w:color w:val="000000"/>
                <w:fitText w:val="180" w:id="-1157882866"/>
                <w:lang w:eastAsia="en-AU"/>
                <w14:textFill>
                  <w14:solidFill>
                    <w14:srgbClr w14:val="000000">
                      <w14:alpha w14:val="100000"/>
                    </w14:srgbClr>
                  </w14:solidFill>
                </w14:textFill>
              </w:rPr>
              <w:t>|</w:t>
            </w:r>
          </w:p>
        </w:tc>
        <w:tc>
          <w:tcPr>
            <w:tcW w:w="1395" w:type="dxa"/>
            <w:shd w:val="solid" w:color="000000" w:fill="000000"/>
            <w:hideMark/>
          </w:tcPr>
          <w:p w14:paraId="1D37107A" w14:textId="20F4316C" w:rsidR="006829B7" w:rsidRPr="00D865D4" w:rsidRDefault="00D865D4" w:rsidP="005926D9">
            <w:pPr>
              <w:pStyle w:val="Tabletext0"/>
              <w:rPr>
                <w:lang w:eastAsia="en-AU"/>
              </w:rPr>
            </w:pPr>
            <w:r w:rsidRPr="008A2B4D">
              <w:rPr>
                <w:color w:val="000000"/>
                <w:spacing w:val="94"/>
                <w:fitText w:val="180" w:id="-1157882865"/>
                <w:lang w:eastAsia="en-AU"/>
                <w14:textFill>
                  <w14:solidFill>
                    <w14:srgbClr w14:val="000000">
                      <w14:alpha w14:val="100000"/>
                    </w14:srgbClr>
                  </w14:solidFill>
                </w14:textFill>
              </w:rPr>
              <w:t>|</w:t>
            </w:r>
            <w:r w:rsidRPr="008A2B4D">
              <w:rPr>
                <w:color w:val="000000"/>
                <w:fitText w:val="180" w:id="-1157882865"/>
                <w:lang w:eastAsia="en-AU"/>
                <w14:textFill>
                  <w14:solidFill>
                    <w14:srgbClr w14:val="000000">
                      <w14:alpha w14:val="100000"/>
                    </w14:srgbClr>
                  </w14:solidFill>
                </w14:textFill>
              </w:rPr>
              <w:t>|</w:t>
            </w:r>
          </w:p>
        </w:tc>
        <w:tc>
          <w:tcPr>
            <w:tcW w:w="1395" w:type="dxa"/>
            <w:shd w:val="solid" w:color="000000" w:fill="000000"/>
            <w:hideMark/>
          </w:tcPr>
          <w:p w14:paraId="647FD383" w14:textId="5318B45B" w:rsidR="006829B7" w:rsidRPr="00D865D4" w:rsidRDefault="00D865D4" w:rsidP="005926D9">
            <w:pPr>
              <w:pStyle w:val="Tabletext0"/>
              <w:rPr>
                <w:lang w:eastAsia="en-AU"/>
              </w:rPr>
            </w:pPr>
            <w:r w:rsidRPr="008A2B4D">
              <w:rPr>
                <w:color w:val="000000"/>
                <w:spacing w:val="94"/>
                <w:fitText w:val="180" w:id="-1157882864"/>
                <w:lang w:eastAsia="en-AU"/>
                <w14:textFill>
                  <w14:solidFill>
                    <w14:srgbClr w14:val="000000">
                      <w14:alpha w14:val="100000"/>
                    </w14:srgbClr>
                  </w14:solidFill>
                </w14:textFill>
              </w:rPr>
              <w:t>|</w:t>
            </w:r>
            <w:r w:rsidRPr="008A2B4D">
              <w:rPr>
                <w:color w:val="000000"/>
                <w:fitText w:val="180" w:id="-1157882864"/>
                <w:lang w:eastAsia="en-AU"/>
                <w14:textFill>
                  <w14:solidFill>
                    <w14:srgbClr w14:val="000000">
                      <w14:alpha w14:val="100000"/>
                    </w14:srgbClr>
                  </w14:solidFill>
                </w14:textFill>
              </w:rPr>
              <w:t>|</w:t>
            </w:r>
          </w:p>
        </w:tc>
        <w:tc>
          <w:tcPr>
            <w:tcW w:w="1395" w:type="dxa"/>
            <w:shd w:val="solid" w:color="000000" w:fill="000000"/>
            <w:hideMark/>
          </w:tcPr>
          <w:p w14:paraId="16E23577" w14:textId="75CBE2C5" w:rsidR="006829B7" w:rsidRPr="00D865D4" w:rsidRDefault="00D865D4" w:rsidP="005926D9">
            <w:pPr>
              <w:pStyle w:val="Tabletext0"/>
              <w:rPr>
                <w:lang w:eastAsia="en-AU"/>
              </w:rPr>
            </w:pPr>
            <w:r w:rsidRPr="008A2B4D">
              <w:rPr>
                <w:color w:val="000000"/>
                <w:spacing w:val="94"/>
                <w:fitText w:val="180" w:id="-1157882880"/>
                <w:lang w:eastAsia="en-AU"/>
                <w14:textFill>
                  <w14:solidFill>
                    <w14:srgbClr w14:val="000000">
                      <w14:alpha w14:val="100000"/>
                    </w14:srgbClr>
                  </w14:solidFill>
                </w14:textFill>
              </w:rPr>
              <w:t>|</w:t>
            </w:r>
            <w:r w:rsidRPr="008A2B4D">
              <w:rPr>
                <w:color w:val="000000"/>
                <w:fitText w:val="180" w:id="-1157882880"/>
                <w:lang w:eastAsia="en-AU"/>
                <w14:textFill>
                  <w14:solidFill>
                    <w14:srgbClr w14:val="000000">
                      <w14:alpha w14:val="100000"/>
                    </w14:srgbClr>
                  </w14:solidFill>
                </w14:textFill>
              </w:rPr>
              <w:t>|</w:t>
            </w:r>
          </w:p>
        </w:tc>
      </w:tr>
    </w:tbl>
    <w:p w14:paraId="74C1F6CF" w14:textId="77777777" w:rsidR="00774DA7" w:rsidRPr="005F5BEA" w:rsidRDefault="00774DA7" w:rsidP="00863DB5">
      <w:pPr>
        <w:pStyle w:val="Tablenotes"/>
        <w:rPr>
          <w:rFonts w:ascii="Segoe UI" w:hAnsi="Segoe UI"/>
        </w:rPr>
      </w:pPr>
      <w:r w:rsidRPr="005F5BEA">
        <w:rPr>
          <w:rStyle w:val="normaltextrun"/>
          <w:rFonts w:cs="Segoe UI"/>
          <w:szCs w:val="18"/>
        </w:rPr>
        <w:t>Source: generated during the evaluation from the Utilisation and Cost spreadsheet.</w:t>
      </w:r>
      <w:r w:rsidRPr="005F5BEA">
        <w:rPr>
          <w:rStyle w:val="eop"/>
          <w:rFonts w:cs="Segoe UI"/>
          <w:szCs w:val="18"/>
        </w:rPr>
        <w:t> </w:t>
      </w:r>
    </w:p>
    <w:p w14:paraId="1B5CC22E" w14:textId="307A6659" w:rsidR="00476AA1" w:rsidRPr="005F5BEA" w:rsidRDefault="00476AA1" w:rsidP="00863DB5">
      <w:pPr>
        <w:pStyle w:val="Tablenotes"/>
      </w:pPr>
      <w:r w:rsidRPr="005F5BEA">
        <w:t>CRT</w:t>
      </w:r>
      <w:r w:rsidR="005B1245" w:rsidRPr="005F5BEA">
        <w:t>D</w:t>
      </w:r>
      <w:r w:rsidRPr="005F5BEA">
        <w:t xml:space="preserve"> = cardiac resynchronisation therapy</w:t>
      </w:r>
      <w:r w:rsidR="005B1245" w:rsidRPr="005F5BEA">
        <w:t xml:space="preserve"> device</w:t>
      </w:r>
      <w:r w:rsidRPr="005F5BEA">
        <w:t>; ICD = implantable cardioverter-defibrillator; ILR = implantable loop recorder; PPM = permanent pacemaker</w:t>
      </w:r>
    </w:p>
    <w:p w14:paraId="27729669" w14:textId="3536FB4F" w:rsidR="00E60283" w:rsidRPr="005F5BEA" w:rsidRDefault="00476AA1">
      <w:r w:rsidRPr="005F5BEA">
        <w:t xml:space="preserve">In </w:t>
      </w:r>
      <w:r w:rsidR="0064454E" w:rsidRPr="005F5BEA">
        <w:fldChar w:fldCharType="begin"/>
      </w:r>
      <w:r w:rsidR="0064454E" w:rsidRPr="005F5BEA">
        <w:instrText xml:space="preserve"> REF _Ref122617361 \h </w:instrText>
      </w:r>
      <w:r w:rsidR="005F5BEA">
        <w:instrText xml:space="preserve"> \* MERGEFORMAT </w:instrText>
      </w:r>
      <w:r w:rsidR="0064454E" w:rsidRPr="005F5BEA">
        <w:fldChar w:fldCharType="separate"/>
      </w:r>
      <w:r w:rsidR="00334548" w:rsidRPr="005F5BEA">
        <w:t xml:space="preserve">Table </w:t>
      </w:r>
      <w:r w:rsidR="00334548">
        <w:rPr>
          <w:noProof/>
        </w:rPr>
        <w:t>17</w:t>
      </w:r>
      <w:r w:rsidR="0064454E" w:rsidRPr="005F5BEA">
        <w:fldChar w:fldCharType="end"/>
      </w:r>
      <w:r w:rsidRPr="005F5BEA">
        <w:t xml:space="preserve"> above, the training and overhead costs were calculated by taking the total training and overhead costs from the </w:t>
      </w:r>
      <w:r w:rsidR="00774DA7" w:rsidRPr="005F5BEA">
        <w:t>Utilisation and Cost spreadsheet (</w:t>
      </w:r>
      <w:r w:rsidR="00774DA7" w:rsidRPr="005F5BEA">
        <w:fldChar w:fldCharType="begin"/>
      </w:r>
      <w:r w:rsidR="00774DA7" w:rsidRPr="005F5BEA">
        <w:instrText xml:space="preserve"> REF _Ref122620480 \h </w:instrText>
      </w:r>
      <w:r w:rsidR="005F5BEA">
        <w:instrText xml:space="preserve"> \* MERGEFORMAT </w:instrText>
      </w:r>
      <w:r w:rsidR="00774DA7" w:rsidRPr="005F5BEA">
        <w:fldChar w:fldCharType="separate"/>
      </w:r>
      <w:r w:rsidR="00334548" w:rsidRPr="005F5BEA">
        <w:t xml:space="preserve">Table </w:t>
      </w:r>
      <w:r w:rsidR="00334548">
        <w:rPr>
          <w:noProof/>
        </w:rPr>
        <w:t>18</w:t>
      </w:r>
      <w:r w:rsidR="00774DA7" w:rsidRPr="005F5BEA">
        <w:fldChar w:fldCharType="end"/>
      </w:r>
      <w:r w:rsidR="00774DA7" w:rsidRPr="005F5BEA">
        <w:t xml:space="preserve">). </w:t>
      </w:r>
    </w:p>
    <w:p w14:paraId="3C35ADD8" w14:textId="58BB380E" w:rsidR="00774DA7" w:rsidRPr="005F5BEA" w:rsidRDefault="00774DA7" w:rsidP="005926D9">
      <w:pPr>
        <w:pStyle w:val="Tableheader"/>
        <w:rPr>
          <w:color w:val="auto"/>
        </w:rPr>
      </w:pPr>
      <w:bookmarkStart w:id="36" w:name="_Ref122620480"/>
      <w:r w:rsidRPr="005F5BEA">
        <w:rPr>
          <w:color w:val="auto"/>
        </w:rPr>
        <w:t xml:space="preserve">Table </w:t>
      </w:r>
      <w:r w:rsidRPr="005F5BEA">
        <w:rPr>
          <w:color w:val="auto"/>
        </w:rPr>
        <w:fldChar w:fldCharType="begin"/>
      </w:r>
      <w:r w:rsidRPr="005F5BEA">
        <w:rPr>
          <w:color w:val="auto"/>
        </w:rPr>
        <w:instrText xml:space="preserve"> SEQ Table \* ARABIC </w:instrText>
      </w:r>
      <w:r w:rsidRPr="005F5BEA">
        <w:rPr>
          <w:color w:val="auto"/>
        </w:rPr>
        <w:fldChar w:fldCharType="separate"/>
      </w:r>
      <w:r w:rsidR="00334548">
        <w:rPr>
          <w:noProof/>
          <w:color w:val="auto"/>
        </w:rPr>
        <w:t>18</w:t>
      </w:r>
      <w:r w:rsidRPr="005F5BEA">
        <w:rPr>
          <w:color w:val="auto"/>
        </w:rPr>
        <w:fldChar w:fldCharType="end"/>
      </w:r>
      <w:bookmarkEnd w:id="36"/>
      <w:r w:rsidRPr="005F5BEA">
        <w:rPr>
          <w:color w:val="auto"/>
        </w:rPr>
        <w:t xml:space="preserve"> Average training and overhead costs per service</w:t>
      </w:r>
    </w:p>
    <w:tbl>
      <w:tblPr>
        <w:tblStyle w:val="TableGrid"/>
        <w:tblW w:w="5000" w:type="pct"/>
        <w:tblLook w:val="04A0" w:firstRow="1" w:lastRow="0" w:firstColumn="1" w:lastColumn="0" w:noHBand="0" w:noVBand="1"/>
      </w:tblPr>
      <w:tblGrid>
        <w:gridCol w:w="4198"/>
        <w:gridCol w:w="1284"/>
        <w:gridCol w:w="1179"/>
        <w:gridCol w:w="1179"/>
        <w:gridCol w:w="1176"/>
      </w:tblGrid>
      <w:tr w:rsidR="00774DA7" w:rsidRPr="005F5BEA" w14:paraId="1208878B" w14:textId="77777777" w:rsidTr="005926D9">
        <w:tc>
          <w:tcPr>
            <w:tcW w:w="2328" w:type="pct"/>
            <w:hideMark/>
          </w:tcPr>
          <w:p w14:paraId="461F801E" w14:textId="2D1F36CD" w:rsidR="00774DA7" w:rsidRPr="005F5BEA" w:rsidRDefault="00774DA7" w:rsidP="005926D9">
            <w:pPr>
              <w:pStyle w:val="Tableheader"/>
              <w:rPr>
                <w:b w:val="0"/>
                <w:color w:val="auto"/>
              </w:rPr>
            </w:pPr>
          </w:p>
        </w:tc>
        <w:tc>
          <w:tcPr>
            <w:tcW w:w="712" w:type="pct"/>
            <w:hideMark/>
          </w:tcPr>
          <w:p w14:paraId="559BE6FE" w14:textId="5C6ABECA" w:rsidR="00774DA7" w:rsidRPr="005F5BEA" w:rsidRDefault="00774DA7" w:rsidP="005926D9">
            <w:pPr>
              <w:pStyle w:val="TableHeading"/>
            </w:pPr>
            <w:r w:rsidRPr="005F5BEA">
              <w:t>PPM</w:t>
            </w:r>
          </w:p>
        </w:tc>
        <w:tc>
          <w:tcPr>
            <w:tcW w:w="654" w:type="pct"/>
            <w:hideMark/>
          </w:tcPr>
          <w:p w14:paraId="58F9823A" w14:textId="00F5E74E" w:rsidR="00774DA7" w:rsidRPr="005F5BEA" w:rsidRDefault="00774DA7" w:rsidP="005926D9">
            <w:pPr>
              <w:pStyle w:val="TableHeading"/>
            </w:pPr>
            <w:r w:rsidRPr="005F5BEA">
              <w:t>ICD</w:t>
            </w:r>
          </w:p>
        </w:tc>
        <w:tc>
          <w:tcPr>
            <w:tcW w:w="654" w:type="pct"/>
            <w:hideMark/>
          </w:tcPr>
          <w:p w14:paraId="7705D0BF" w14:textId="36FE373F" w:rsidR="00774DA7" w:rsidRPr="005F5BEA" w:rsidRDefault="00774DA7" w:rsidP="005926D9">
            <w:pPr>
              <w:pStyle w:val="TableHeading"/>
            </w:pPr>
            <w:r w:rsidRPr="005F5BEA">
              <w:t>ILR</w:t>
            </w:r>
          </w:p>
        </w:tc>
        <w:tc>
          <w:tcPr>
            <w:tcW w:w="652" w:type="pct"/>
            <w:hideMark/>
          </w:tcPr>
          <w:p w14:paraId="35261BE2" w14:textId="62B5419E" w:rsidR="00774DA7" w:rsidRPr="005F5BEA" w:rsidRDefault="00774DA7" w:rsidP="005926D9">
            <w:pPr>
              <w:pStyle w:val="TableHeading"/>
            </w:pPr>
            <w:r w:rsidRPr="005F5BEA">
              <w:t>CRT</w:t>
            </w:r>
            <w:r w:rsidR="005B1245" w:rsidRPr="005F5BEA">
              <w:t>D</w:t>
            </w:r>
          </w:p>
        </w:tc>
      </w:tr>
      <w:tr w:rsidR="00774DA7" w:rsidRPr="005F5BEA" w14:paraId="564AE1C8" w14:textId="77777777" w:rsidTr="00D865D4">
        <w:tc>
          <w:tcPr>
            <w:tcW w:w="2328" w:type="pct"/>
          </w:tcPr>
          <w:p w14:paraId="4EFE4792" w14:textId="3B116EB8" w:rsidR="00774DA7" w:rsidRPr="005F5BEA" w:rsidRDefault="00774DA7" w:rsidP="00774DA7">
            <w:pPr>
              <w:pStyle w:val="Tableheader"/>
              <w:rPr>
                <w:b w:val="0"/>
                <w:color w:val="auto"/>
              </w:rPr>
            </w:pPr>
            <w:r w:rsidRPr="005F5BEA">
              <w:rPr>
                <w:b w:val="0"/>
                <w:color w:val="auto"/>
              </w:rPr>
              <w:t>Total services</w:t>
            </w:r>
          </w:p>
        </w:tc>
        <w:tc>
          <w:tcPr>
            <w:tcW w:w="712" w:type="pct"/>
            <w:tcBorders>
              <w:bottom w:val="single" w:sz="4" w:space="0" w:color="auto"/>
            </w:tcBorders>
          </w:tcPr>
          <w:p w14:paraId="59B200CD" w14:textId="4864F506" w:rsidR="00774DA7" w:rsidRPr="005F5BEA" w:rsidRDefault="00774DA7" w:rsidP="00774DA7">
            <w:pPr>
              <w:pStyle w:val="Tableheader"/>
              <w:rPr>
                <w:b w:val="0"/>
                <w:color w:val="auto"/>
              </w:rPr>
            </w:pPr>
            <w:r w:rsidRPr="005F5BEA">
              <w:rPr>
                <w:b w:val="0"/>
                <w:color w:val="auto"/>
              </w:rPr>
              <w:t>348,661</w:t>
            </w:r>
          </w:p>
        </w:tc>
        <w:tc>
          <w:tcPr>
            <w:tcW w:w="654" w:type="pct"/>
            <w:tcBorders>
              <w:bottom w:val="single" w:sz="4" w:space="0" w:color="auto"/>
            </w:tcBorders>
          </w:tcPr>
          <w:p w14:paraId="1CD5ADE3" w14:textId="6418C49D" w:rsidR="00774DA7" w:rsidRPr="005F5BEA" w:rsidRDefault="00774DA7" w:rsidP="00774DA7">
            <w:pPr>
              <w:pStyle w:val="Tableheader"/>
              <w:rPr>
                <w:b w:val="0"/>
                <w:color w:val="auto"/>
              </w:rPr>
            </w:pPr>
            <w:r w:rsidRPr="005F5BEA">
              <w:rPr>
                <w:b w:val="0"/>
                <w:color w:val="auto"/>
              </w:rPr>
              <w:t>100,693</w:t>
            </w:r>
          </w:p>
        </w:tc>
        <w:tc>
          <w:tcPr>
            <w:tcW w:w="654" w:type="pct"/>
            <w:tcBorders>
              <w:bottom w:val="single" w:sz="4" w:space="0" w:color="auto"/>
            </w:tcBorders>
          </w:tcPr>
          <w:p w14:paraId="4C7CA924" w14:textId="253BA848" w:rsidR="00774DA7" w:rsidRPr="005F5BEA" w:rsidRDefault="00774DA7" w:rsidP="00774DA7">
            <w:pPr>
              <w:pStyle w:val="Tableheader"/>
              <w:rPr>
                <w:b w:val="0"/>
                <w:color w:val="auto"/>
              </w:rPr>
            </w:pPr>
            <w:r w:rsidRPr="005F5BEA">
              <w:rPr>
                <w:b w:val="0"/>
                <w:color w:val="auto"/>
              </w:rPr>
              <w:t>176,382</w:t>
            </w:r>
          </w:p>
        </w:tc>
        <w:tc>
          <w:tcPr>
            <w:tcW w:w="652" w:type="pct"/>
            <w:tcBorders>
              <w:bottom w:val="single" w:sz="4" w:space="0" w:color="auto"/>
            </w:tcBorders>
          </w:tcPr>
          <w:p w14:paraId="6571B573" w14:textId="7CB3A58C" w:rsidR="00774DA7" w:rsidRPr="005F5BEA" w:rsidRDefault="00774DA7" w:rsidP="00774DA7">
            <w:pPr>
              <w:pStyle w:val="Tableheader"/>
              <w:rPr>
                <w:b w:val="0"/>
                <w:color w:val="auto"/>
              </w:rPr>
            </w:pPr>
            <w:r w:rsidRPr="005F5BEA">
              <w:rPr>
                <w:b w:val="0"/>
                <w:color w:val="auto"/>
              </w:rPr>
              <w:t>71,522</w:t>
            </w:r>
          </w:p>
        </w:tc>
      </w:tr>
      <w:tr w:rsidR="00774DA7" w:rsidRPr="005F5BEA" w14:paraId="66E8BCDF" w14:textId="77777777" w:rsidTr="00D865D4">
        <w:tc>
          <w:tcPr>
            <w:tcW w:w="2328" w:type="pct"/>
            <w:hideMark/>
          </w:tcPr>
          <w:p w14:paraId="6C449C30" w14:textId="77777777" w:rsidR="00774DA7" w:rsidRPr="005F5BEA" w:rsidRDefault="00774DA7" w:rsidP="005926D9">
            <w:pPr>
              <w:pStyle w:val="Tableheader"/>
              <w:rPr>
                <w:b w:val="0"/>
                <w:color w:val="auto"/>
              </w:rPr>
            </w:pPr>
            <w:r w:rsidRPr="005F5BEA">
              <w:rPr>
                <w:b w:val="0"/>
                <w:color w:val="auto"/>
              </w:rPr>
              <w:t>Total training and overhead costs</w:t>
            </w:r>
          </w:p>
        </w:tc>
        <w:tc>
          <w:tcPr>
            <w:tcW w:w="712" w:type="pct"/>
            <w:tcBorders>
              <w:bottom w:val="single" w:sz="4" w:space="0" w:color="auto"/>
            </w:tcBorders>
            <w:shd w:val="solid" w:color="000000" w:fill="000000"/>
            <w:hideMark/>
          </w:tcPr>
          <w:p w14:paraId="78C9A800" w14:textId="62E50508" w:rsidR="00774DA7" w:rsidRPr="00D865D4" w:rsidRDefault="00D865D4" w:rsidP="005926D9">
            <w:pPr>
              <w:pStyle w:val="Tableheader"/>
              <w:rPr>
                <w:b w:val="0"/>
                <w:color w:val="auto"/>
              </w:rPr>
            </w:pPr>
            <w:r w:rsidRPr="008A2B4D">
              <w:rPr>
                <w:b w:val="0"/>
                <w:color w:val="000000"/>
                <w:spacing w:val="94"/>
                <w:fitText w:val="180" w:id="-1157882879"/>
                <w14:textFill>
                  <w14:solidFill>
                    <w14:srgbClr w14:val="000000">
                      <w14:alpha w14:val="100000"/>
                    </w14:srgbClr>
                  </w14:solidFill>
                </w14:textFill>
              </w:rPr>
              <w:t>|</w:t>
            </w:r>
            <w:r w:rsidRPr="008A2B4D">
              <w:rPr>
                <w:b w:val="0"/>
                <w:color w:val="000000"/>
                <w:fitText w:val="180" w:id="-1157882879"/>
                <w14:textFill>
                  <w14:solidFill>
                    <w14:srgbClr w14:val="000000">
                      <w14:alpha w14:val="100000"/>
                    </w14:srgbClr>
                  </w14:solidFill>
                </w14:textFill>
              </w:rPr>
              <w:t>|</w:t>
            </w:r>
          </w:p>
        </w:tc>
        <w:tc>
          <w:tcPr>
            <w:tcW w:w="654" w:type="pct"/>
            <w:tcBorders>
              <w:bottom w:val="single" w:sz="4" w:space="0" w:color="auto"/>
            </w:tcBorders>
            <w:shd w:val="solid" w:color="000000" w:fill="000000"/>
            <w:hideMark/>
          </w:tcPr>
          <w:p w14:paraId="6B3F0B46" w14:textId="06FEE697" w:rsidR="00774DA7" w:rsidRPr="00D865D4" w:rsidRDefault="00D865D4" w:rsidP="005926D9">
            <w:pPr>
              <w:pStyle w:val="Tableheader"/>
              <w:rPr>
                <w:b w:val="0"/>
                <w:color w:val="auto"/>
              </w:rPr>
            </w:pPr>
            <w:r w:rsidRPr="008A2B4D">
              <w:rPr>
                <w:b w:val="0"/>
                <w:color w:val="000000"/>
                <w:spacing w:val="94"/>
                <w:fitText w:val="180" w:id="-1157882878"/>
                <w14:textFill>
                  <w14:solidFill>
                    <w14:srgbClr w14:val="000000">
                      <w14:alpha w14:val="100000"/>
                    </w14:srgbClr>
                  </w14:solidFill>
                </w14:textFill>
              </w:rPr>
              <w:t>|</w:t>
            </w:r>
            <w:r w:rsidRPr="008A2B4D">
              <w:rPr>
                <w:b w:val="0"/>
                <w:color w:val="000000"/>
                <w:fitText w:val="180" w:id="-1157882878"/>
                <w14:textFill>
                  <w14:solidFill>
                    <w14:srgbClr w14:val="000000">
                      <w14:alpha w14:val="100000"/>
                    </w14:srgbClr>
                  </w14:solidFill>
                </w14:textFill>
              </w:rPr>
              <w:t>|</w:t>
            </w:r>
          </w:p>
        </w:tc>
        <w:tc>
          <w:tcPr>
            <w:tcW w:w="654" w:type="pct"/>
            <w:tcBorders>
              <w:bottom w:val="single" w:sz="4" w:space="0" w:color="auto"/>
            </w:tcBorders>
            <w:shd w:val="solid" w:color="000000" w:fill="000000"/>
            <w:hideMark/>
          </w:tcPr>
          <w:p w14:paraId="6CA05F42" w14:textId="7BE0EACB" w:rsidR="00774DA7" w:rsidRPr="00D865D4" w:rsidRDefault="00D865D4" w:rsidP="005926D9">
            <w:pPr>
              <w:pStyle w:val="Tableheader"/>
              <w:rPr>
                <w:b w:val="0"/>
                <w:color w:val="auto"/>
              </w:rPr>
            </w:pPr>
            <w:r w:rsidRPr="008A2B4D">
              <w:rPr>
                <w:b w:val="0"/>
                <w:color w:val="000000"/>
                <w:spacing w:val="94"/>
                <w:fitText w:val="180" w:id="-1157882877"/>
                <w14:textFill>
                  <w14:solidFill>
                    <w14:srgbClr w14:val="000000">
                      <w14:alpha w14:val="100000"/>
                    </w14:srgbClr>
                  </w14:solidFill>
                </w14:textFill>
              </w:rPr>
              <w:t>|</w:t>
            </w:r>
            <w:r w:rsidRPr="008A2B4D">
              <w:rPr>
                <w:b w:val="0"/>
                <w:color w:val="000000"/>
                <w:fitText w:val="180" w:id="-1157882877"/>
                <w14:textFill>
                  <w14:solidFill>
                    <w14:srgbClr w14:val="000000">
                      <w14:alpha w14:val="100000"/>
                    </w14:srgbClr>
                  </w14:solidFill>
                </w14:textFill>
              </w:rPr>
              <w:t>|</w:t>
            </w:r>
          </w:p>
        </w:tc>
        <w:tc>
          <w:tcPr>
            <w:tcW w:w="652" w:type="pct"/>
            <w:tcBorders>
              <w:bottom w:val="single" w:sz="4" w:space="0" w:color="auto"/>
            </w:tcBorders>
            <w:shd w:val="solid" w:color="000000" w:fill="000000"/>
            <w:hideMark/>
          </w:tcPr>
          <w:p w14:paraId="5F73574B" w14:textId="7E9C79EF" w:rsidR="00774DA7" w:rsidRPr="00D865D4" w:rsidRDefault="00D865D4" w:rsidP="005926D9">
            <w:pPr>
              <w:pStyle w:val="Tableheader"/>
              <w:rPr>
                <w:b w:val="0"/>
                <w:color w:val="auto"/>
              </w:rPr>
            </w:pPr>
            <w:r w:rsidRPr="008A2B4D">
              <w:rPr>
                <w:b w:val="0"/>
                <w:color w:val="000000"/>
                <w:spacing w:val="94"/>
                <w:fitText w:val="180" w:id="-1157882876"/>
                <w14:textFill>
                  <w14:solidFill>
                    <w14:srgbClr w14:val="000000">
                      <w14:alpha w14:val="100000"/>
                    </w14:srgbClr>
                  </w14:solidFill>
                </w14:textFill>
              </w:rPr>
              <w:t>|</w:t>
            </w:r>
            <w:r w:rsidRPr="008A2B4D">
              <w:rPr>
                <w:b w:val="0"/>
                <w:color w:val="000000"/>
                <w:fitText w:val="180" w:id="-1157882876"/>
                <w14:textFill>
                  <w14:solidFill>
                    <w14:srgbClr w14:val="000000">
                      <w14:alpha w14:val="100000"/>
                    </w14:srgbClr>
                  </w14:solidFill>
                </w14:textFill>
              </w:rPr>
              <w:t>|</w:t>
            </w:r>
          </w:p>
        </w:tc>
      </w:tr>
      <w:tr w:rsidR="00774DA7" w:rsidRPr="005F5BEA" w14:paraId="63CCD823" w14:textId="77777777" w:rsidTr="00D865D4">
        <w:tc>
          <w:tcPr>
            <w:tcW w:w="2328" w:type="pct"/>
            <w:hideMark/>
          </w:tcPr>
          <w:p w14:paraId="09A2B50B" w14:textId="4139D5FC" w:rsidR="00774DA7" w:rsidRPr="005F5BEA" w:rsidRDefault="00774DA7" w:rsidP="005926D9">
            <w:pPr>
              <w:pStyle w:val="Tableheader"/>
              <w:rPr>
                <w:b w:val="0"/>
                <w:color w:val="auto"/>
              </w:rPr>
            </w:pPr>
            <w:r w:rsidRPr="005F5BEA">
              <w:rPr>
                <w:b w:val="0"/>
                <w:color w:val="auto"/>
              </w:rPr>
              <w:t>Average training and overhead costs per service</w:t>
            </w:r>
          </w:p>
        </w:tc>
        <w:tc>
          <w:tcPr>
            <w:tcW w:w="712" w:type="pct"/>
            <w:shd w:val="solid" w:color="000000" w:fill="000000"/>
            <w:hideMark/>
          </w:tcPr>
          <w:p w14:paraId="4EE9033A" w14:textId="53FEC055" w:rsidR="00774DA7" w:rsidRPr="00D865D4" w:rsidRDefault="00D865D4" w:rsidP="005926D9">
            <w:pPr>
              <w:pStyle w:val="Tableheader"/>
              <w:rPr>
                <w:b w:val="0"/>
                <w:color w:val="auto"/>
              </w:rPr>
            </w:pPr>
            <w:r w:rsidRPr="008A2B4D">
              <w:rPr>
                <w:b w:val="0"/>
                <w:color w:val="000000"/>
                <w:spacing w:val="94"/>
                <w:fitText w:val="180" w:id="-1157882875"/>
                <w14:textFill>
                  <w14:solidFill>
                    <w14:srgbClr w14:val="000000">
                      <w14:alpha w14:val="100000"/>
                    </w14:srgbClr>
                  </w14:solidFill>
                </w14:textFill>
              </w:rPr>
              <w:t>|</w:t>
            </w:r>
            <w:r w:rsidRPr="008A2B4D">
              <w:rPr>
                <w:b w:val="0"/>
                <w:color w:val="000000"/>
                <w:fitText w:val="180" w:id="-1157882875"/>
                <w14:textFill>
                  <w14:solidFill>
                    <w14:srgbClr w14:val="000000">
                      <w14:alpha w14:val="100000"/>
                    </w14:srgbClr>
                  </w14:solidFill>
                </w14:textFill>
              </w:rPr>
              <w:t>|</w:t>
            </w:r>
          </w:p>
        </w:tc>
        <w:tc>
          <w:tcPr>
            <w:tcW w:w="654" w:type="pct"/>
            <w:shd w:val="solid" w:color="000000" w:fill="000000"/>
            <w:hideMark/>
          </w:tcPr>
          <w:p w14:paraId="5C2DB1CB" w14:textId="6F25561E" w:rsidR="00774DA7" w:rsidRPr="00D865D4" w:rsidRDefault="00D865D4" w:rsidP="005926D9">
            <w:pPr>
              <w:pStyle w:val="Tableheader"/>
              <w:rPr>
                <w:b w:val="0"/>
                <w:color w:val="auto"/>
              </w:rPr>
            </w:pPr>
            <w:r w:rsidRPr="008A2B4D">
              <w:rPr>
                <w:b w:val="0"/>
                <w:color w:val="000000"/>
                <w:spacing w:val="94"/>
                <w:fitText w:val="180" w:id="-1157882874"/>
                <w14:textFill>
                  <w14:solidFill>
                    <w14:srgbClr w14:val="000000">
                      <w14:alpha w14:val="100000"/>
                    </w14:srgbClr>
                  </w14:solidFill>
                </w14:textFill>
              </w:rPr>
              <w:t>|</w:t>
            </w:r>
            <w:r w:rsidRPr="008A2B4D">
              <w:rPr>
                <w:b w:val="0"/>
                <w:color w:val="000000"/>
                <w:fitText w:val="180" w:id="-1157882874"/>
                <w14:textFill>
                  <w14:solidFill>
                    <w14:srgbClr w14:val="000000">
                      <w14:alpha w14:val="100000"/>
                    </w14:srgbClr>
                  </w14:solidFill>
                </w14:textFill>
              </w:rPr>
              <w:t>|</w:t>
            </w:r>
          </w:p>
        </w:tc>
        <w:tc>
          <w:tcPr>
            <w:tcW w:w="654" w:type="pct"/>
            <w:shd w:val="solid" w:color="000000" w:fill="000000"/>
            <w:hideMark/>
          </w:tcPr>
          <w:p w14:paraId="600A9DE6" w14:textId="0665A38E" w:rsidR="00774DA7" w:rsidRPr="00D865D4" w:rsidRDefault="00D865D4" w:rsidP="005926D9">
            <w:pPr>
              <w:pStyle w:val="Tableheader"/>
              <w:rPr>
                <w:b w:val="0"/>
                <w:color w:val="auto"/>
              </w:rPr>
            </w:pPr>
            <w:r w:rsidRPr="008A2B4D">
              <w:rPr>
                <w:b w:val="0"/>
                <w:color w:val="000000"/>
                <w:spacing w:val="94"/>
                <w:fitText w:val="180" w:id="-1157882873"/>
                <w14:textFill>
                  <w14:solidFill>
                    <w14:srgbClr w14:val="000000">
                      <w14:alpha w14:val="100000"/>
                    </w14:srgbClr>
                  </w14:solidFill>
                </w14:textFill>
              </w:rPr>
              <w:t>|</w:t>
            </w:r>
            <w:r w:rsidRPr="008A2B4D">
              <w:rPr>
                <w:b w:val="0"/>
                <w:color w:val="000000"/>
                <w:fitText w:val="180" w:id="-1157882873"/>
                <w14:textFill>
                  <w14:solidFill>
                    <w14:srgbClr w14:val="000000">
                      <w14:alpha w14:val="100000"/>
                    </w14:srgbClr>
                  </w14:solidFill>
                </w14:textFill>
              </w:rPr>
              <w:t>|</w:t>
            </w:r>
          </w:p>
        </w:tc>
        <w:tc>
          <w:tcPr>
            <w:tcW w:w="652" w:type="pct"/>
            <w:shd w:val="solid" w:color="000000" w:fill="000000"/>
            <w:hideMark/>
          </w:tcPr>
          <w:p w14:paraId="125862A4" w14:textId="04402C5F" w:rsidR="00774DA7" w:rsidRPr="00D865D4" w:rsidRDefault="00D865D4" w:rsidP="005926D9">
            <w:pPr>
              <w:pStyle w:val="Tableheader"/>
              <w:rPr>
                <w:b w:val="0"/>
                <w:color w:val="auto"/>
              </w:rPr>
            </w:pPr>
            <w:r w:rsidRPr="008A2B4D">
              <w:rPr>
                <w:b w:val="0"/>
                <w:color w:val="000000"/>
                <w:spacing w:val="94"/>
                <w:fitText w:val="180" w:id="-1157882872"/>
                <w14:textFill>
                  <w14:solidFill>
                    <w14:srgbClr w14:val="000000">
                      <w14:alpha w14:val="100000"/>
                    </w14:srgbClr>
                  </w14:solidFill>
                </w14:textFill>
              </w:rPr>
              <w:t>|</w:t>
            </w:r>
            <w:r w:rsidRPr="008A2B4D">
              <w:rPr>
                <w:b w:val="0"/>
                <w:color w:val="000000"/>
                <w:fitText w:val="180" w:id="-1157882872"/>
                <w14:textFill>
                  <w14:solidFill>
                    <w14:srgbClr w14:val="000000">
                      <w14:alpha w14:val="100000"/>
                    </w14:srgbClr>
                  </w14:solidFill>
                </w14:textFill>
              </w:rPr>
              <w:t>|</w:t>
            </w:r>
          </w:p>
        </w:tc>
      </w:tr>
    </w:tbl>
    <w:p w14:paraId="5B4DC923" w14:textId="77777777" w:rsidR="00774DA7" w:rsidRPr="005F5BEA" w:rsidRDefault="00774DA7" w:rsidP="00863DB5">
      <w:pPr>
        <w:pStyle w:val="Tablenotes"/>
        <w:rPr>
          <w:rFonts w:ascii="Segoe UI" w:hAnsi="Segoe UI"/>
        </w:rPr>
      </w:pPr>
      <w:r w:rsidRPr="005F5BEA">
        <w:rPr>
          <w:rStyle w:val="normaltextrun"/>
          <w:rFonts w:cs="Segoe UI"/>
          <w:szCs w:val="18"/>
        </w:rPr>
        <w:t>Source: generated during the evaluation from the Utilisation and Cost spreadsheet.</w:t>
      </w:r>
      <w:r w:rsidRPr="005F5BEA">
        <w:rPr>
          <w:rStyle w:val="eop"/>
          <w:rFonts w:cs="Segoe UI"/>
          <w:szCs w:val="18"/>
        </w:rPr>
        <w:t> </w:t>
      </w:r>
    </w:p>
    <w:p w14:paraId="252DC474" w14:textId="6B9EFCE6" w:rsidR="00863DB5" w:rsidRPr="005F5BEA" w:rsidRDefault="002758D8" w:rsidP="001F67F9">
      <w:pPr>
        <w:pStyle w:val="Tablenotes"/>
      </w:pPr>
      <w:r w:rsidRPr="005F5BEA">
        <w:t>CRT</w:t>
      </w:r>
      <w:r w:rsidR="005B1245" w:rsidRPr="005F5BEA">
        <w:t>D</w:t>
      </w:r>
      <w:r w:rsidRPr="005F5BEA">
        <w:t xml:space="preserve"> = cardiac resynchronisation therapy</w:t>
      </w:r>
      <w:r w:rsidR="005B1245" w:rsidRPr="005F5BEA">
        <w:t xml:space="preserve"> device</w:t>
      </w:r>
      <w:r w:rsidRPr="005F5BEA">
        <w:t>; ICD = implantable cardioverter-defibrillator; ILR = implantable loop recorder; PPM = permanent pacemaker</w:t>
      </w:r>
      <w:r w:rsidR="00863DB5" w:rsidRPr="005F5BEA">
        <w:br w:type="page"/>
      </w:r>
    </w:p>
    <w:p w14:paraId="6DC83FDF" w14:textId="1B534307" w:rsidR="00440A68" w:rsidRPr="005F5BEA" w:rsidRDefault="0097698B" w:rsidP="0097698B">
      <w:pPr>
        <w:pStyle w:val="Heading2"/>
      </w:pPr>
      <w:r w:rsidRPr="005F5BEA">
        <w:lastRenderedPageBreak/>
        <w:t>7.</w:t>
      </w:r>
      <w:r w:rsidR="003B3DF7" w:rsidRPr="005F5BEA">
        <w:t xml:space="preserve"> </w:t>
      </w:r>
      <w:r w:rsidR="003B3DF7" w:rsidRPr="005F5BEA">
        <w:tab/>
      </w:r>
      <w:r w:rsidR="00EE7BA5" w:rsidRPr="005F5BEA">
        <w:t>Summary of public consultation input</w:t>
      </w:r>
    </w:p>
    <w:p w14:paraId="04C2B623" w14:textId="77777777" w:rsidR="00C74D1B" w:rsidRPr="005F5BEA" w:rsidRDefault="00C74D1B" w:rsidP="00C74D1B">
      <w:r w:rsidRPr="005F5BEA">
        <w:t xml:space="preserve">Consultation input was received from seven (7) organisations and three (3) individual health professionals. There was a broad response from organisations representing consumers, medical and health professionals, private health industry, and private hospitals: </w:t>
      </w:r>
    </w:p>
    <w:p w14:paraId="3CD21330" w14:textId="77777777" w:rsidR="00C74D1B" w:rsidRPr="005F5BEA" w:rsidRDefault="00C74D1B" w:rsidP="00C74D1B">
      <w:pPr>
        <w:numPr>
          <w:ilvl w:val="0"/>
          <w:numId w:val="26"/>
        </w:numPr>
      </w:pPr>
      <w:r w:rsidRPr="005F5BEA">
        <w:t>Hearts4Hearts</w:t>
      </w:r>
    </w:p>
    <w:p w14:paraId="6236F44C" w14:textId="77777777" w:rsidR="00C74D1B" w:rsidRPr="005F5BEA" w:rsidRDefault="00C74D1B" w:rsidP="00C74D1B">
      <w:pPr>
        <w:numPr>
          <w:ilvl w:val="0"/>
          <w:numId w:val="26"/>
        </w:numPr>
      </w:pPr>
      <w:r w:rsidRPr="005F5BEA">
        <w:t>The Australian Medical Association (AMA)</w:t>
      </w:r>
    </w:p>
    <w:p w14:paraId="7146FBF8" w14:textId="77777777" w:rsidR="00C74D1B" w:rsidRPr="005F5BEA" w:rsidRDefault="00C74D1B" w:rsidP="00C74D1B">
      <w:pPr>
        <w:numPr>
          <w:ilvl w:val="0"/>
          <w:numId w:val="26"/>
        </w:numPr>
      </w:pPr>
      <w:r w:rsidRPr="005F5BEA">
        <w:t>Professionals in Cardiac Sciences Australia (</w:t>
      </w:r>
      <w:proofErr w:type="spellStart"/>
      <w:r w:rsidRPr="005F5BEA">
        <w:t>PiCSA</w:t>
      </w:r>
      <w:proofErr w:type="spellEnd"/>
      <w:r w:rsidRPr="005F5BEA">
        <w:t>)</w:t>
      </w:r>
    </w:p>
    <w:p w14:paraId="4B3D5CAB" w14:textId="77777777" w:rsidR="00C74D1B" w:rsidRPr="005F5BEA" w:rsidRDefault="00C74D1B" w:rsidP="00C74D1B">
      <w:pPr>
        <w:numPr>
          <w:ilvl w:val="0"/>
          <w:numId w:val="26"/>
        </w:numPr>
      </w:pPr>
      <w:r w:rsidRPr="005F5BEA">
        <w:t xml:space="preserve">Private Healthcare Australia </w:t>
      </w:r>
    </w:p>
    <w:p w14:paraId="0C18E477" w14:textId="77777777" w:rsidR="00C74D1B" w:rsidRPr="005F5BEA" w:rsidRDefault="00C74D1B" w:rsidP="00C74D1B">
      <w:pPr>
        <w:numPr>
          <w:ilvl w:val="0"/>
          <w:numId w:val="26"/>
        </w:numPr>
      </w:pPr>
      <w:r w:rsidRPr="005F5BEA">
        <w:t xml:space="preserve">Representatives of private health insurers </w:t>
      </w:r>
    </w:p>
    <w:p w14:paraId="320162A0" w14:textId="77777777" w:rsidR="00C74D1B" w:rsidRPr="005F5BEA" w:rsidRDefault="00C74D1B" w:rsidP="00C74D1B">
      <w:pPr>
        <w:numPr>
          <w:ilvl w:val="0"/>
          <w:numId w:val="26"/>
        </w:numPr>
      </w:pPr>
      <w:r w:rsidRPr="005F5BEA">
        <w:t xml:space="preserve">Ramsay Health Care Australia </w:t>
      </w:r>
    </w:p>
    <w:p w14:paraId="7A317335" w14:textId="77777777" w:rsidR="00C74D1B" w:rsidRPr="005F5BEA" w:rsidRDefault="00C74D1B" w:rsidP="00C74D1B">
      <w:pPr>
        <w:numPr>
          <w:ilvl w:val="0"/>
          <w:numId w:val="26"/>
        </w:numPr>
      </w:pPr>
      <w:r w:rsidRPr="005F5BEA">
        <w:t xml:space="preserve">Australian Private Hospitals Association </w:t>
      </w:r>
    </w:p>
    <w:p w14:paraId="561DA559" w14:textId="77777777" w:rsidR="00C74D1B" w:rsidRPr="005F5BEA" w:rsidRDefault="00C74D1B" w:rsidP="00C74D1B">
      <w:r w:rsidRPr="005F5BEA">
        <w:t xml:space="preserve">Support for the service was mixed. The medical association and consumer group raised concerns with the potential rising of out-of-pocket costs for consumers for cardiac services. The representatives of private health industry were not supportive of this application.  </w:t>
      </w:r>
    </w:p>
    <w:p w14:paraId="4A5D3327" w14:textId="77777777" w:rsidR="00C74D1B" w:rsidRPr="005F5BEA" w:rsidRDefault="00C74D1B" w:rsidP="00C74D1B">
      <w:r w:rsidRPr="005F5BEA">
        <w:t xml:space="preserve">The consumer organisation </w:t>
      </w:r>
      <w:proofErr w:type="gramStart"/>
      <w:r w:rsidRPr="005F5BEA">
        <w:t>were</w:t>
      </w:r>
      <w:proofErr w:type="gramEnd"/>
      <w:r w:rsidRPr="005F5BEA">
        <w:t xml:space="preserve"> not supportive of any reforms that would increase the risk of out-of-pocket costs to the patient.</w:t>
      </w:r>
    </w:p>
    <w:p w14:paraId="7480479D" w14:textId="77777777" w:rsidR="00C74D1B" w:rsidRPr="005F5BEA" w:rsidRDefault="00C74D1B" w:rsidP="00C74D1B">
      <w:r w:rsidRPr="005F5BEA">
        <w:t xml:space="preserve">The AMA did not support funding this service via the MBS, believing this will lead to patients bearing large out of pocket expenses. Instead, the AMA supported a system where private health insurers reimburse these services or via a revised prostheses list benefit.  </w:t>
      </w:r>
    </w:p>
    <w:p w14:paraId="78485A2D" w14:textId="77777777" w:rsidR="00C74D1B" w:rsidRPr="005F5BEA" w:rsidRDefault="00C74D1B" w:rsidP="00C74D1B">
      <w:proofErr w:type="spellStart"/>
      <w:r w:rsidRPr="005F5BEA">
        <w:t>PiCSA</w:t>
      </w:r>
      <w:proofErr w:type="spellEnd"/>
      <w:r w:rsidRPr="005F5BEA">
        <w:t xml:space="preserve"> acknowledged the complexity with the current funding arrangements for follow-up to patients and agreed that it was not appropriate for allied health staff who are providing follow-up care to patients to be industry employed. They supported the effort to uncouple the cost of follow-up from the cost of the prosthesis and to fund the labour of follow-up care more appropriately. However, </w:t>
      </w:r>
      <w:proofErr w:type="spellStart"/>
      <w:r w:rsidRPr="005F5BEA">
        <w:t>PiCSA</w:t>
      </w:r>
      <w:proofErr w:type="spellEnd"/>
      <w:r w:rsidRPr="005F5BEA">
        <w:t xml:space="preserve"> opposed any model that would make it cheaper or easier for cardiologists to utilise IEAPs versus non-industry cardiac physiologists.  </w:t>
      </w:r>
    </w:p>
    <w:p w14:paraId="0AB87234" w14:textId="77777777" w:rsidR="00C74D1B" w:rsidRPr="005F5BEA" w:rsidRDefault="00C74D1B" w:rsidP="00C74D1B">
      <w:r w:rsidRPr="005F5BEA">
        <w:t xml:space="preserve">The representatives of private health insurers and private hospitals were not supportive of this application. </w:t>
      </w:r>
    </w:p>
    <w:p w14:paraId="70601270" w14:textId="559FAFD7" w:rsidR="005B713C" w:rsidRPr="005F5BEA" w:rsidRDefault="00440A68" w:rsidP="0097698B">
      <w:pPr>
        <w:pStyle w:val="Heading2"/>
      </w:pPr>
      <w:r w:rsidRPr="005F5BEA">
        <w:t xml:space="preserve">8. </w:t>
      </w:r>
      <w:r w:rsidR="003B3DF7" w:rsidRPr="005F5BEA">
        <w:tab/>
      </w:r>
      <w:r w:rsidR="00057989" w:rsidRPr="005F5BEA">
        <w:t>Updated</w:t>
      </w:r>
      <w:r w:rsidR="00240196" w:rsidRPr="005F5BEA">
        <w:t xml:space="preserve"> Cost and Utilisation data</w:t>
      </w:r>
    </w:p>
    <w:p w14:paraId="3972B835" w14:textId="33CF6ADD" w:rsidR="00240196" w:rsidRPr="005F5BEA" w:rsidRDefault="00CD3B23" w:rsidP="00240196">
      <w:r w:rsidRPr="005F5BEA">
        <w:rPr>
          <w:lang w:val="en-GB"/>
        </w:rPr>
        <w:t>MSAC requested an independent evaluation of the u</w:t>
      </w:r>
      <w:r w:rsidR="00016D92" w:rsidRPr="005F5BEA">
        <w:rPr>
          <w:lang w:val="en-GB"/>
        </w:rPr>
        <w:t>pdated cost estimates provided in the pre-ESC response in February 2023.</w:t>
      </w:r>
      <w:r w:rsidR="009C3BC1" w:rsidRPr="005F5BEA">
        <w:rPr>
          <w:rFonts w:asciiTheme="minorHAnsi" w:hAnsiTheme="minorHAnsi"/>
        </w:rPr>
        <w:t xml:space="preserve"> </w:t>
      </w:r>
      <w:r w:rsidR="009C3BC1" w:rsidRPr="005F5BEA">
        <w:t xml:space="preserve">The updated cost estimates included data from a second </w:t>
      </w:r>
      <w:r w:rsidR="00D21579" w:rsidRPr="005F5BEA">
        <w:t xml:space="preserve">period of </w:t>
      </w:r>
      <w:r w:rsidR="009C3BC1" w:rsidRPr="005F5BEA">
        <w:t xml:space="preserve">data collection </w:t>
      </w:r>
      <w:r w:rsidR="00D21579" w:rsidRPr="005F5BEA">
        <w:t xml:space="preserve">by the applicant, </w:t>
      </w:r>
      <w:r w:rsidR="009C3BC1" w:rsidRPr="005F5BEA">
        <w:t>which resulted in an increase to the estimated cost of providing cardiac technical support services in 2022 from $73.3 million to $91 million.</w:t>
      </w:r>
    </w:p>
    <w:p w14:paraId="0F24BA0B" w14:textId="30A3D2E1" w:rsidR="001454B1" w:rsidRPr="005F5BEA" w:rsidRDefault="15DB8F46" w:rsidP="00C905CF">
      <w:r w:rsidRPr="005F5BEA">
        <w:t>The round 2 data collection reports the total numbers of in-person services and remote transmission services over 4 weeks, but not for particular devices (</w:t>
      </w:r>
      <w:proofErr w:type="gramStart"/>
      <w:r w:rsidRPr="005F5BEA">
        <w:t>i.e.</w:t>
      </w:r>
      <w:proofErr w:type="gramEnd"/>
      <w:r w:rsidRPr="005F5BEA">
        <w:t xml:space="preserve"> PPM, </w:t>
      </w:r>
      <w:r w:rsidR="3CF63EA3" w:rsidRPr="005F5BEA">
        <w:t>I</w:t>
      </w:r>
      <w:r w:rsidRPr="005F5BEA">
        <w:t xml:space="preserve">CD, ILR </w:t>
      </w:r>
      <w:r w:rsidR="3CF63EA3" w:rsidRPr="005F5BEA">
        <w:t>or</w:t>
      </w:r>
      <w:r w:rsidRPr="005F5BEA">
        <w:t xml:space="preserve"> CRT</w:t>
      </w:r>
      <w:r w:rsidR="3CF63EA3" w:rsidRPr="005F5BEA">
        <w:t xml:space="preserve">) </w:t>
      </w:r>
      <w:r w:rsidRPr="005F5BEA">
        <w:t>or type of follow up (e.g., implantation support service, routine follow up, ward check). To distribute the round 2 services across devices and service type, the model simply multiplie</w:t>
      </w:r>
      <w:r w:rsidR="518246B7" w:rsidRPr="005F5BEA">
        <w:t>d</w:t>
      </w:r>
      <w:r w:rsidRPr="005F5BEA">
        <w:t xml:space="preserve"> the previous distribution (derived in Round 1) by the percent change in total services from Round 1 to Round</w:t>
      </w:r>
      <w:r w:rsidR="00374BF7">
        <w:t> </w:t>
      </w:r>
      <w:r w:rsidRPr="005F5BEA">
        <w:t xml:space="preserve">2. For in-person services, </w:t>
      </w:r>
      <w:proofErr w:type="gramStart"/>
      <w:r w:rsidRPr="005F5BEA">
        <w:t>Round</w:t>
      </w:r>
      <w:proofErr w:type="gramEnd"/>
      <w:r w:rsidRPr="005F5BEA">
        <w:t xml:space="preserve"> 2 reported an increase in 13% of total scheduled or non-scheduled services. For remote transmission services, </w:t>
      </w:r>
      <w:proofErr w:type="gramStart"/>
      <w:r w:rsidRPr="005F5BEA">
        <w:t>Round</w:t>
      </w:r>
      <w:proofErr w:type="gramEnd"/>
      <w:r w:rsidRPr="005F5BEA">
        <w:t xml:space="preserve"> 2 reported an increase in 20% of </w:t>
      </w:r>
      <w:r w:rsidRPr="005F5BEA">
        <w:lastRenderedPageBreak/>
        <w:t xml:space="preserve">total services. </w:t>
      </w:r>
      <w:r w:rsidR="3CF63EA3" w:rsidRPr="005F5BEA">
        <w:t>The focussed evaluation considered that t</w:t>
      </w:r>
      <w:r w:rsidRPr="005F5BEA">
        <w:t xml:space="preserve">his approach is </w:t>
      </w:r>
      <w:r w:rsidR="6C707674" w:rsidRPr="005F5BEA">
        <w:t>approximate and</w:t>
      </w:r>
      <w:r w:rsidRPr="005F5BEA">
        <w:t xml:space="preserve"> does not capture any changes in the distribution of services across devices or service type from Round</w:t>
      </w:r>
      <w:r w:rsidR="00374BF7">
        <w:t> </w:t>
      </w:r>
      <w:r w:rsidRPr="005F5BEA">
        <w:t>1 to Round 2.</w:t>
      </w:r>
    </w:p>
    <w:p w14:paraId="0F01F61D" w14:textId="706DF7DF" w:rsidR="001454B1" w:rsidRPr="005F5BEA" w:rsidRDefault="001454B1" w:rsidP="00C905CF">
      <w:r w:rsidRPr="005F5BEA">
        <w:t xml:space="preserve">Across all services, there </w:t>
      </w:r>
      <w:r w:rsidR="00D21579" w:rsidRPr="005F5BEA">
        <w:t>was</w:t>
      </w:r>
      <w:r w:rsidRPr="005F5BEA">
        <w:t xml:space="preserve"> a 9.2% increase associated with the incorporation of Round 2 data. This has had a variable impact on cost components. The largest increase in costs is attributed to the increase in the estimate of overhead costs. </w:t>
      </w:r>
    </w:p>
    <w:p w14:paraId="594B8043" w14:textId="5C6BEDD7" w:rsidR="001454B1" w:rsidRPr="005F5BEA" w:rsidRDefault="001454B1" w:rsidP="001454B1">
      <w:pPr>
        <w:keepNext/>
        <w:spacing w:before="0" w:after="200" w:line="240" w:lineRule="auto"/>
        <w:rPr>
          <w:rFonts w:ascii="Arial Narrow" w:eastAsia="Calibri" w:hAnsi="Arial Narrow" w:cs="Times New Roman"/>
          <w:b/>
          <w:iCs/>
          <w:sz w:val="20"/>
          <w:szCs w:val="20"/>
        </w:rPr>
      </w:pPr>
      <w:r w:rsidRPr="005F5BEA">
        <w:rPr>
          <w:rFonts w:ascii="Arial Narrow" w:eastAsia="Calibri" w:hAnsi="Arial Narrow" w:cs="Times New Roman"/>
          <w:b/>
          <w:iCs/>
          <w:sz w:val="20"/>
          <w:szCs w:val="20"/>
        </w:rPr>
        <w:t xml:space="preserve">Table </w:t>
      </w:r>
      <w:r w:rsidRPr="005F5BEA">
        <w:rPr>
          <w:rFonts w:ascii="Arial Narrow" w:eastAsia="Calibri" w:hAnsi="Arial Narrow" w:cs="Times New Roman"/>
          <w:b/>
          <w:iCs/>
          <w:sz w:val="20"/>
          <w:szCs w:val="20"/>
        </w:rPr>
        <w:fldChar w:fldCharType="begin"/>
      </w:r>
      <w:r w:rsidRPr="005F5BEA">
        <w:rPr>
          <w:rFonts w:ascii="Arial Narrow" w:eastAsia="Calibri" w:hAnsi="Arial Narrow" w:cs="Times New Roman"/>
          <w:b/>
          <w:iCs/>
          <w:sz w:val="20"/>
          <w:szCs w:val="20"/>
        </w:rPr>
        <w:instrText xml:space="preserve"> SEQ Table \* ARABIC </w:instrText>
      </w:r>
      <w:r w:rsidRPr="005F5BEA">
        <w:rPr>
          <w:rFonts w:ascii="Arial Narrow" w:eastAsia="Calibri" w:hAnsi="Arial Narrow" w:cs="Times New Roman"/>
          <w:b/>
          <w:iCs/>
          <w:sz w:val="20"/>
          <w:szCs w:val="20"/>
        </w:rPr>
        <w:fldChar w:fldCharType="separate"/>
      </w:r>
      <w:r w:rsidR="00334548">
        <w:rPr>
          <w:rFonts w:ascii="Arial Narrow" w:eastAsia="Calibri" w:hAnsi="Arial Narrow" w:cs="Times New Roman"/>
          <w:b/>
          <w:iCs/>
          <w:noProof/>
          <w:sz w:val="20"/>
          <w:szCs w:val="20"/>
        </w:rPr>
        <w:t>19</w:t>
      </w:r>
      <w:r w:rsidRPr="005F5BEA">
        <w:rPr>
          <w:rFonts w:ascii="Arial Narrow" w:eastAsia="Calibri" w:hAnsi="Arial Narrow" w:cs="Times New Roman"/>
          <w:b/>
          <w:iCs/>
          <w:noProof/>
          <w:sz w:val="20"/>
          <w:szCs w:val="20"/>
        </w:rPr>
        <w:fldChar w:fldCharType="end"/>
      </w:r>
      <w:r w:rsidRPr="005F5BEA">
        <w:rPr>
          <w:rFonts w:ascii="Arial Narrow" w:eastAsia="Calibri" w:hAnsi="Arial Narrow" w:cs="Times New Roman"/>
          <w:b/>
          <w:iCs/>
          <w:sz w:val="20"/>
          <w:szCs w:val="20"/>
        </w:rPr>
        <w:tab/>
        <w:t xml:space="preserve">Summary of </w:t>
      </w:r>
      <w:r w:rsidRPr="001454B1">
        <w:rPr>
          <w:rFonts w:ascii="Arial Narrow" w:eastAsia="Calibri" w:hAnsi="Arial Narrow" w:cs="Times New Roman"/>
          <w:b/>
          <w:iCs/>
          <w:sz w:val="20"/>
          <w:szCs w:val="20"/>
        </w:rPr>
        <w:t>the</w:t>
      </w:r>
      <w:r w:rsidRPr="005F5BEA">
        <w:rPr>
          <w:rFonts w:ascii="Arial Narrow" w:eastAsia="Calibri" w:hAnsi="Arial Narrow" w:cs="Times New Roman"/>
          <w:b/>
          <w:iCs/>
          <w:sz w:val="20"/>
          <w:szCs w:val="20"/>
        </w:rPr>
        <w:t xml:space="preserve"> changes in services and costs with the incorporation of Round 2 data</w:t>
      </w:r>
    </w:p>
    <w:tbl>
      <w:tblPr>
        <w:tblStyle w:val="TableGrid1"/>
        <w:tblW w:w="0" w:type="auto"/>
        <w:tblLook w:val="04A0" w:firstRow="1" w:lastRow="0" w:firstColumn="1" w:lastColumn="0" w:noHBand="0" w:noVBand="1"/>
      </w:tblPr>
      <w:tblGrid>
        <w:gridCol w:w="1288"/>
        <w:gridCol w:w="1288"/>
        <w:gridCol w:w="1288"/>
        <w:gridCol w:w="1288"/>
        <w:gridCol w:w="1288"/>
        <w:gridCol w:w="1288"/>
        <w:gridCol w:w="1288"/>
      </w:tblGrid>
      <w:tr w:rsidR="001454B1" w:rsidRPr="005F5BEA" w14:paraId="33BC9258" w14:textId="77777777" w:rsidTr="00032276">
        <w:tc>
          <w:tcPr>
            <w:tcW w:w="1288" w:type="dxa"/>
          </w:tcPr>
          <w:p w14:paraId="4084805A" w14:textId="77777777" w:rsidR="001454B1" w:rsidRPr="005F5BEA" w:rsidRDefault="001454B1" w:rsidP="001454B1">
            <w:pPr>
              <w:spacing w:before="0"/>
              <w:rPr>
                <w:rFonts w:ascii="Arial Narrow" w:eastAsia="Calibri" w:hAnsi="Arial Narrow" w:cs="Times New Roman"/>
                <w:b/>
                <w:sz w:val="20"/>
                <w:szCs w:val="20"/>
              </w:rPr>
            </w:pPr>
            <w:r w:rsidRPr="005F5BEA">
              <w:rPr>
                <w:rFonts w:ascii="Arial Narrow" w:eastAsia="Calibri" w:hAnsi="Arial Narrow" w:cs="Times New Roman"/>
                <w:b/>
                <w:sz w:val="20"/>
                <w:szCs w:val="20"/>
              </w:rPr>
              <w:t>2022</w:t>
            </w:r>
          </w:p>
        </w:tc>
        <w:tc>
          <w:tcPr>
            <w:tcW w:w="1288" w:type="dxa"/>
          </w:tcPr>
          <w:p w14:paraId="363CD9C2" w14:textId="77777777" w:rsidR="001454B1" w:rsidRPr="005F5BEA" w:rsidRDefault="001454B1" w:rsidP="001454B1">
            <w:pPr>
              <w:spacing w:before="0"/>
              <w:rPr>
                <w:rFonts w:ascii="Arial Narrow" w:eastAsia="Calibri" w:hAnsi="Arial Narrow" w:cs="Times New Roman"/>
                <w:b/>
                <w:sz w:val="20"/>
                <w:szCs w:val="20"/>
              </w:rPr>
            </w:pPr>
            <w:r w:rsidRPr="005F5BEA">
              <w:rPr>
                <w:rFonts w:ascii="Arial Narrow" w:eastAsia="Calibri" w:hAnsi="Arial Narrow" w:cs="Times New Roman"/>
                <w:b/>
                <w:sz w:val="20"/>
                <w:szCs w:val="20"/>
              </w:rPr>
              <w:t>Services</w:t>
            </w:r>
          </w:p>
        </w:tc>
        <w:tc>
          <w:tcPr>
            <w:tcW w:w="1288" w:type="dxa"/>
          </w:tcPr>
          <w:p w14:paraId="577AB1E1" w14:textId="77777777" w:rsidR="001454B1" w:rsidRPr="005F5BEA" w:rsidRDefault="001454B1" w:rsidP="001454B1">
            <w:pPr>
              <w:spacing w:before="0"/>
              <w:rPr>
                <w:rFonts w:ascii="Arial Narrow" w:eastAsia="Calibri" w:hAnsi="Arial Narrow" w:cs="Times New Roman"/>
                <w:b/>
                <w:sz w:val="20"/>
                <w:szCs w:val="20"/>
              </w:rPr>
            </w:pPr>
            <w:r w:rsidRPr="005F5BEA">
              <w:rPr>
                <w:rFonts w:ascii="Arial Narrow" w:eastAsia="Calibri" w:hAnsi="Arial Narrow" w:cs="Times New Roman"/>
                <w:b/>
                <w:sz w:val="20"/>
                <w:szCs w:val="20"/>
              </w:rPr>
              <w:t>Labour</w:t>
            </w:r>
          </w:p>
        </w:tc>
        <w:tc>
          <w:tcPr>
            <w:tcW w:w="1288" w:type="dxa"/>
          </w:tcPr>
          <w:p w14:paraId="1906ECBE" w14:textId="77777777" w:rsidR="001454B1" w:rsidRPr="005F5BEA" w:rsidRDefault="001454B1" w:rsidP="001454B1">
            <w:pPr>
              <w:spacing w:before="0"/>
              <w:rPr>
                <w:rFonts w:ascii="Arial Narrow" w:eastAsia="Calibri" w:hAnsi="Arial Narrow" w:cs="Times New Roman"/>
                <w:b/>
                <w:sz w:val="20"/>
                <w:szCs w:val="20"/>
              </w:rPr>
            </w:pPr>
            <w:r w:rsidRPr="005F5BEA">
              <w:rPr>
                <w:rFonts w:ascii="Arial Narrow" w:eastAsia="Calibri" w:hAnsi="Arial Narrow" w:cs="Times New Roman"/>
                <w:b/>
                <w:sz w:val="20"/>
                <w:szCs w:val="20"/>
              </w:rPr>
              <w:t>Travel</w:t>
            </w:r>
          </w:p>
        </w:tc>
        <w:tc>
          <w:tcPr>
            <w:tcW w:w="1288" w:type="dxa"/>
          </w:tcPr>
          <w:p w14:paraId="39B4ECFF" w14:textId="77777777" w:rsidR="001454B1" w:rsidRPr="005F5BEA" w:rsidRDefault="001454B1" w:rsidP="001454B1">
            <w:pPr>
              <w:spacing w:before="0"/>
              <w:rPr>
                <w:rFonts w:ascii="Arial Narrow" w:eastAsia="Calibri" w:hAnsi="Arial Narrow" w:cs="Times New Roman"/>
                <w:b/>
                <w:sz w:val="20"/>
                <w:szCs w:val="20"/>
              </w:rPr>
            </w:pPr>
            <w:r w:rsidRPr="005F5BEA">
              <w:rPr>
                <w:rFonts w:ascii="Arial Narrow" w:eastAsia="Calibri" w:hAnsi="Arial Narrow" w:cs="Times New Roman"/>
                <w:b/>
                <w:sz w:val="20"/>
                <w:szCs w:val="20"/>
              </w:rPr>
              <w:t>Training</w:t>
            </w:r>
          </w:p>
        </w:tc>
        <w:tc>
          <w:tcPr>
            <w:tcW w:w="1288" w:type="dxa"/>
          </w:tcPr>
          <w:p w14:paraId="6CF4C069" w14:textId="77777777" w:rsidR="001454B1" w:rsidRPr="005F5BEA" w:rsidRDefault="001454B1" w:rsidP="001454B1">
            <w:pPr>
              <w:spacing w:before="0"/>
              <w:rPr>
                <w:rFonts w:ascii="Arial Narrow" w:eastAsia="Calibri" w:hAnsi="Arial Narrow" w:cs="Times New Roman"/>
                <w:b/>
                <w:sz w:val="20"/>
                <w:szCs w:val="20"/>
              </w:rPr>
            </w:pPr>
            <w:r w:rsidRPr="005F5BEA">
              <w:rPr>
                <w:rFonts w:ascii="Arial Narrow" w:eastAsia="Calibri" w:hAnsi="Arial Narrow" w:cs="Times New Roman"/>
                <w:b/>
                <w:sz w:val="20"/>
                <w:szCs w:val="20"/>
              </w:rPr>
              <w:t>Overhead</w:t>
            </w:r>
          </w:p>
        </w:tc>
        <w:tc>
          <w:tcPr>
            <w:tcW w:w="1288" w:type="dxa"/>
          </w:tcPr>
          <w:p w14:paraId="04866AD1" w14:textId="77777777" w:rsidR="001454B1" w:rsidRPr="005F5BEA" w:rsidRDefault="001454B1" w:rsidP="001454B1">
            <w:pPr>
              <w:spacing w:before="0"/>
              <w:rPr>
                <w:rFonts w:ascii="Arial Narrow" w:eastAsia="Calibri" w:hAnsi="Arial Narrow" w:cs="Times New Roman"/>
                <w:b/>
                <w:sz w:val="20"/>
                <w:szCs w:val="20"/>
              </w:rPr>
            </w:pPr>
            <w:r w:rsidRPr="005F5BEA">
              <w:rPr>
                <w:rFonts w:ascii="Arial Narrow" w:eastAsia="Calibri" w:hAnsi="Arial Narrow" w:cs="Times New Roman"/>
                <w:b/>
                <w:sz w:val="20"/>
                <w:szCs w:val="20"/>
              </w:rPr>
              <w:t>Total</w:t>
            </w:r>
          </w:p>
        </w:tc>
      </w:tr>
      <w:tr w:rsidR="001454B1" w:rsidRPr="005F5BEA" w14:paraId="7DF132E2" w14:textId="77777777" w:rsidTr="00032276">
        <w:tc>
          <w:tcPr>
            <w:tcW w:w="1288" w:type="dxa"/>
          </w:tcPr>
          <w:p w14:paraId="6446F935"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Times New Roman"/>
                <w:sz w:val="20"/>
                <w:szCs w:val="20"/>
              </w:rPr>
              <w:t>Previous</w:t>
            </w:r>
          </w:p>
        </w:tc>
        <w:tc>
          <w:tcPr>
            <w:tcW w:w="1288" w:type="dxa"/>
          </w:tcPr>
          <w:p w14:paraId="11D34BC9" w14:textId="77777777" w:rsidR="001454B1" w:rsidRPr="005F5BEA" w:rsidRDefault="001454B1" w:rsidP="001454B1">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697,258</w:t>
            </w:r>
          </w:p>
        </w:tc>
        <w:tc>
          <w:tcPr>
            <w:tcW w:w="1288" w:type="dxa"/>
            <w:vAlign w:val="center"/>
          </w:tcPr>
          <w:p w14:paraId="720F1637"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Calibri"/>
                <w:color w:val="000000"/>
                <w:sz w:val="20"/>
                <w:szCs w:val="20"/>
              </w:rPr>
              <w:t>$35,226,463</w:t>
            </w:r>
          </w:p>
        </w:tc>
        <w:tc>
          <w:tcPr>
            <w:tcW w:w="1288" w:type="dxa"/>
            <w:vAlign w:val="center"/>
          </w:tcPr>
          <w:p w14:paraId="47D41EA9"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Calibri"/>
                <w:color w:val="000000"/>
                <w:sz w:val="20"/>
                <w:szCs w:val="20"/>
              </w:rPr>
              <w:t>$5,964,370</w:t>
            </w:r>
          </w:p>
        </w:tc>
        <w:tc>
          <w:tcPr>
            <w:tcW w:w="1288" w:type="dxa"/>
            <w:vAlign w:val="center"/>
          </w:tcPr>
          <w:p w14:paraId="2FA91BC7"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Calibri"/>
                <w:color w:val="000000"/>
                <w:sz w:val="20"/>
                <w:szCs w:val="20"/>
              </w:rPr>
              <w:t>$15,175,253</w:t>
            </w:r>
          </w:p>
        </w:tc>
        <w:tc>
          <w:tcPr>
            <w:tcW w:w="1288" w:type="dxa"/>
            <w:vAlign w:val="center"/>
          </w:tcPr>
          <w:p w14:paraId="059B67BB"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Calibri"/>
                <w:color w:val="000000"/>
                <w:sz w:val="20"/>
                <w:szCs w:val="20"/>
              </w:rPr>
              <w:t>$16,909,826</w:t>
            </w:r>
          </w:p>
        </w:tc>
        <w:tc>
          <w:tcPr>
            <w:tcW w:w="1288" w:type="dxa"/>
          </w:tcPr>
          <w:p w14:paraId="35E71A85" w14:textId="77777777" w:rsidR="001454B1" w:rsidRPr="005F5BEA" w:rsidRDefault="001454B1" w:rsidP="001454B1">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$73,275,912</w:t>
            </w:r>
          </w:p>
        </w:tc>
      </w:tr>
      <w:tr w:rsidR="001454B1" w:rsidRPr="005F5BEA" w14:paraId="7B9BC558" w14:textId="77777777" w:rsidTr="00032276">
        <w:tc>
          <w:tcPr>
            <w:tcW w:w="1288" w:type="dxa"/>
          </w:tcPr>
          <w:p w14:paraId="293A0EC0"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Times New Roman"/>
                <w:sz w:val="20"/>
                <w:szCs w:val="20"/>
              </w:rPr>
              <w:t>Updated</w:t>
            </w:r>
          </w:p>
        </w:tc>
        <w:tc>
          <w:tcPr>
            <w:tcW w:w="1288" w:type="dxa"/>
          </w:tcPr>
          <w:p w14:paraId="33549EF6" w14:textId="77777777" w:rsidR="001454B1" w:rsidRPr="005F5BEA" w:rsidRDefault="001454B1" w:rsidP="001454B1">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761,281</w:t>
            </w:r>
          </w:p>
        </w:tc>
        <w:tc>
          <w:tcPr>
            <w:tcW w:w="1288" w:type="dxa"/>
            <w:vAlign w:val="center"/>
          </w:tcPr>
          <w:p w14:paraId="50631A95"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Calibri"/>
                <w:color w:val="000000"/>
                <w:sz w:val="20"/>
                <w:szCs w:val="20"/>
              </w:rPr>
              <w:t>$37,955,527</w:t>
            </w:r>
          </w:p>
        </w:tc>
        <w:tc>
          <w:tcPr>
            <w:tcW w:w="1288" w:type="dxa"/>
            <w:vAlign w:val="center"/>
          </w:tcPr>
          <w:p w14:paraId="04FFB075"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Calibri"/>
                <w:color w:val="000000"/>
                <w:sz w:val="20"/>
                <w:szCs w:val="20"/>
              </w:rPr>
              <w:t>$6,490,068</w:t>
            </w:r>
          </w:p>
        </w:tc>
        <w:tc>
          <w:tcPr>
            <w:tcW w:w="1288" w:type="dxa"/>
            <w:vAlign w:val="center"/>
          </w:tcPr>
          <w:p w14:paraId="60212250"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Calibri"/>
                <w:color w:val="000000"/>
                <w:sz w:val="20"/>
                <w:szCs w:val="20"/>
              </w:rPr>
              <w:t>$15,175,253</w:t>
            </w:r>
          </w:p>
        </w:tc>
        <w:tc>
          <w:tcPr>
            <w:tcW w:w="1288" w:type="dxa"/>
            <w:vAlign w:val="center"/>
          </w:tcPr>
          <w:p w14:paraId="722E3E89"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Calibri"/>
                <w:color w:val="000000"/>
                <w:sz w:val="20"/>
                <w:szCs w:val="20"/>
              </w:rPr>
              <w:t>$31,648,755</w:t>
            </w:r>
          </w:p>
        </w:tc>
        <w:tc>
          <w:tcPr>
            <w:tcW w:w="1288" w:type="dxa"/>
          </w:tcPr>
          <w:p w14:paraId="7322080D" w14:textId="77777777" w:rsidR="001454B1" w:rsidRPr="005F5BEA" w:rsidRDefault="001454B1" w:rsidP="001454B1">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$91,269,603</w:t>
            </w:r>
          </w:p>
        </w:tc>
      </w:tr>
      <w:tr w:rsidR="001454B1" w:rsidRPr="005F5BEA" w14:paraId="58CE52C7" w14:textId="77777777" w:rsidTr="00032276">
        <w:tc>
          <w:tcPr>
            <w:tcW w:w="1288" w:type="dxa"/>
          </w:tcPr>
          <w:p w14:paraId="21EEAD18"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Times New Roman"/>
                <w:sz w:val="20"/>
                <w:szCs w:val="20"/>
              </w:rPr>
              <w:t>Percent change</w:t>
            </w:r>
          </w:p>
        </w:tc>
        <w:tc>
          <w:tcPr>
            <w:tcW w:w="1288" w:type="dxa"/>
          </w:tcPr>
          <w:p w14:paraId="5C732964"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Times New Roman"/>
                <w:sz w:val="20"/>
                <w:szCs w:val="20"/>
              </w:rPr>
              <w:t>9.2%</w:t>
            </w:r>
          </w:p>
        </w:tc>
        <w:tc>
          <w:tcPr>
            <w:tcW w:w="1288" w:type="dxa"/>
          </w:tcPr>
          <w:p w14:paraId="4907B998"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Times New Roman"/>
                <w:sz w:val="20"/>
                <w:szCs w:val="20"/>
              </w:rPr>
              <w:t>7.7%</w:t>
            </w:r>
          </w:p>
        </w:tc>
        <w:tc>
          <w:tcPr>
            <w:tcW w:w="1288" w:type="dxa"/>
          </w:tcPr>
          <w:p w14:paraId="4867D502"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Times New Roman"/>
                <w:sz w:val="20"/>
                <w:szCs w:val="20"/>
              </w:rPr>
              <w:t>8.8%</w:t>
            </w:r>
          </w:p>
        </w:tc>
        <w:tc>
          <w:tcPr>
            <w:tcW w:w="1288" w:type="dxa"/>
          </w:tcPr>
          <w:p w14:paraId="526390EE"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Times New Roman"/>
                <w:sz w:val="20"/>
                <w:szCs w:val="20"/>
              </w:rPr>
              <w:t>0.0%</w:t>
            </w:r>
          </w:p>
        </w:tc>
        <w:tc>
          <w:tcPr>
            <w:tcW w:w="1288" w:type="dxa"/>
          </w:tcPr>
          <w:p w14:paraId="50BBE72E"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Times New Roman"/>
                <w:sz w:val="20"/>
                <w:szCs w:val="20"/>
              </w:rPr>
              <w:t>87.2%</w:t>
            </w:r>
          </w:p>
        </w:tc>
        <w:tc>
          <w:tcPr>
            <w:tcW w:w="1288" w:type="dxa"/>
          </w:tcPr>
          <w:p w14:paraId="53A0BF0E" w14:textId="77777777" w:rsidR="001454B1" w:rsidRPr="005F5BEA" w:rsidRDefault="001454B1" w:rsidP="001454B1">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24.6%</w:t>
            </w:r>
          </w:p>
        </w:tc>
      </w:tr>
    </w:tbl>
    <w:p w14:paraId="7E4A7C33" w14:textId="77777777" w:rsidR="001454B1" w:rsidRPr="005F5BEA" w:rsidRDefault="001454B1" w:rsidP="00374BF7">
      <w:pPr>
        <w:spacing w:before="0" w:after="240"/>
        <w:jc w:val="both"/>
        <w:rPr>
          <w:rFonts w:ascii="Arial Narrow" w:eastAsia="Calibri" w:hAnsi="Arial Narrow" w:cs="Arial"/>
          <w:sz w:val="18"/>
        </w:rPr>
      </w:pPr>
      <w:r w:rsidRPr="005F5BEA">
        <w:rPr>
          <w:rFonts w:ascii="Arial Narrow" w:eastAsia="Calibri" w:hAnsi="Arial Narrow" w:cs="Arial"/>
          <w:sz w:val="18"/>
        </w:rPr>
        <w:t>Source: derived from the updated Utilisation and Cost Model spreadsheet.</w:t>
      </w:r>
    </w:p>
    <w:p w14:paraId="0A8B9D8D" w14:textId="77777777" w:rsidR="001454B1" w:rsidRPr="005F5BEA" w:rsidRDefault="001454B1" w:rsidP="00374BF7">
      <w:pPr>
        <w:spacing w:before="240"/>
      </w:pPr>
      <w:r w:rsidRPr="005F5BEA">
        <w:t>The applicant has provided a summary of the characteristics of the services from Round 1 (used to inform the initial ADAR) and Round 2 (additional 4 weeks of data collection). The results indicate that the number of services was slightly higher, with an increase in the proportion of phone/email troubleshooting services. There were more regional services provided in Round 2.</w:t>
      </w:r>
    </w:p>
    <w:p w14:paraId="7B1A5A8E" w14:textId="0B416D10" w:rsidR="001454B1" w:rsidRPr="00374BF7" w:rsidRDefault="001454B1" w:rsidP="00374BF7">
      <w:pPr>
        <w:rPr>
          <w:iCs/>
        </w:rPr>
      </w:pPr>
      <w:r w:rsidRPr="005F5BEA">
        <w:rPr>
          <w:iCs/>
        </w:rPr>
        <w:t xml:space="preserve">The </w:t>
      </w:r>
      <w:r w:rsidR="003919AF" w:rsidRPr="005F5BEA">
        <w:rPr>
          <w:iCs/>
        </w:rPr>
        <w:t xml:space="preserve">focussed evaluation considered the </w:t>
      </w:r>
      <w:r w:rsidRPr="005F5BEA">
        <w:rPr>
          <w:iCs/>
        </w:rPr>
        <w:t>differences between Round 1 and Round 2, in terms of the number and type of services provided</w:t>
      </w:r>
      <w:r w:rsidR="003919AF" w:rsidRPr="005F5BEA">
        <w:rPr>
          <w:iCs/>
        </w:rPr>
        <w:t xml:space="preserve"> to be</w:t>
      </w:r>
      <w:r w:rsidRPr="005F5BEA">
        <w:rPr>
          <w:iCs/>
        </w:rPr>
        <w:t xml:space="preserve"> relatively minor and </w:t>
      </w:r>
      <w:r w:rsidR="00D21579" w:rsidRPr="005F5BEA">
        <w:rPr>
          <w:iCs/>
        </w:rPr>
        <w:t>likely</w:t>
      </w:r>
      <w:r w:rsidRPr="005F5BEA">
        <w:rPr>
          <w:iCs/>
        </w:rPr>
        <w:t xml:space="preserve"> associated with a difference in the proportion of services provided across the companies included in the data collection.</w:t>
      </w:r>
      <w:r w:rsidRPr="005F5BEA">
        <w:rPr>
          <w:rFonts w:ascii="Calibri" w:eastAsia="Calibri" w:hAnsi="Calibri" w:cs="Times New Roman"/>
          <w:i/>
        </w:rPr>
        <w:br w:type="page"/>
      </w:r>
    </w:p>
    <w:p w14:paraId="3D10FD3C" w14:textId="5428A90B" w:rsidR="001454B1" w:rsidRPr="005F5BEA" w:rsidRDefault="001454B1" w:rsidP="001454B1">
      <w:pPr>
        <w:keepNext/>
        <w:spacing w:before="0" w:after="200" w:line="240" w:lineRule="auto"/>
        <w:rPr>
          <w:rFonts w:ascii="Arial Narrow" w:eastAsia="Calibri" w:hAnsi="Arial Narrow" w:cs="Times New Roman"/>
          <w:b/>
          <w:iCs/>
          <w:sz w:val="20"/>
          <w:szCs w:val="20"/>
        </w:rPr>
      </w:pPr>
      <w:bookmarkStart w:id="37" w:name="_Ref135150934"/>
      <w:r w:rsidRPr="005F5BEA">
        <w:rPr>
          <w:rFonts w:ascii="Arial Narrow" w:eastAsia="Calibri" w:hAnsi="Arial Narrow" w:cs="Times New Roman"/>
          <w:b/>
          <w:iCs/>
          <w:sz w:val="20"/>
          <w:szCs w:val="20"/>
        </w:rPr>
        <w:lastRenderedPageBreak/>
        <w:t xml:space="preserve">Table </w:t>
      </w:r>
      <w:r w:rsidRPr="005F5BEA">
        <w:rPr>
          <w:rFonts w:ascii="Arial Narrow" w:eastAsia="Calibri" w:hAnsi="Arial Narrow" w:cs="Times New Roman"/>
          <w:b/>
          <w:iCs/>
          <w:sz w:val="20"/>
          <w:szCs w:val="20"/>
        </w:rPr>
        <w:fldChar w:fldCharType="begin"/>
      </w:r>
      <w:r w:rsidRPr="005F5BEA">
        <w:rPr>
          <w:rFonts w:ascii="Arial Narrow" w:eastAsia="Calibri" w:hAnsi="Arial Narrow" w:cs="Times New Roman"/>
          <w:b/>
          <w:iCs/>
          <w:sz w:val="20"/>
          <w:szCs w:val="20"/>
        </w:rPr>
        <w:instrText xml:space="preserve"> SEQ Table \* ARABIC </w:instrText>
      </w:r>
      <w:r w:rsidRPr="005F5BEA">
        <w:rPr>
          <w:rFonts w:ascii="Arial Narrow" w:eastAsia="Calibri" w:hAnsi="Arial Narrow" w:cs="Times New Roman"/>
          <w:b/>
          <w:iCs/>
          <w:sz w:val="20"/>
          <w:szCs w:val="20"/>
        </w:rPr>
        <w:fldChar w:fldCharType="separate"/>
      </w:r>
      <w:r w:rsidR="00334548">
        <w:rPr>
          <w:rFonts w:ascii="Arial Narrow" w:eastAsia="Calibri" w:hAnsi="Arial Narrow" w:cs="Times New Roman"/>
          <w:b/>
          <w:iCs/>
          <w:noProof/>
          <w:sz w:val="20"/>
          <w:szCs w:val="20"/>
        </w:rPr>
        <w:t>20</w:t>
      </w:r>
      <w:r w:rsidRPr="005F5BEA">
        <w:rPr>
          <w:rFonts w:ascii="Arial Narrow" w:eastAsia="Calibri" w:hAnsi="Arial Narrow" w:cs="Times New Roman"/>
          <w:b/>
          <w:iCs/>
          <w:noProof/>
          <w:sz w:val="20"/>
          <w:szCs w:val="20"/>
        </w:rPr>
        <w:fldChar w:fldCharType="end"/>
      </w:r>
      <w:bookmarkEnd w:id="37"/>
      <w:r w:rsidRPr="005F5BEA">
        <w:rPr>
          <w:rFonts w:ascii="Arial Narrow" w:eastAsia="Calibri" w:hAnsi="Arial Narrow" w:cs="Times New Roman"/>
          <w:b/>
          <w:iCs/>
          <w:sz w:val="20"/>
          <w:szCs w:val="20"/>
        </w:rPr>
        <w:tab/>
        <w:t xml:space="preserve">Summary of results from round 1 and round 2 of the prospective data collection exercise  </w:t>
      </w:r>
    </w:p>
    <w:tbl>
      <w:tblPr>
        <w:tblStyle w:val="TableGrid1"/>
        <w:tblW w:w="5000" w:type="pct"/>
        <w:tblLook w:val="04A0" w:firstRow="1" w:lastRow="0" w:firstColumn="1" w:lastColumn="0" w:noHBand="0" w:noVBand="1"/>
      </w:tblPr>
      <w:tblGrid>
        <w:gridCol w:w="3327"/>
        <w:gridCol w:w="3199"/>
        <w:gridCol w:w="2490"/>
      </w:tblGrid>
      <w:tr w:rsidR="001454B1" w:rsidRPr="005F5BEA" w14:paraId="122385DE" w14:textId="77777777" w:rsidTr="00032276">
        <w:tc>
          <w:tcPr>
            <w:tcW w:w="1845" w:type="pct"/>
          </w:tcPr>
          <w:p w14:paraId="4FCFC62E" w14:textId="77777777" w:rsidR="001454B1" w:rsidRPr="005F5BEA" w:rsidRDefault="001454B1" w:rsidP="001454B1">
            <w:pPr>
              <w:widowControl w:val="0"/>
              <w:spacing w:before="20" w:after="20"/>
              <w:rPr>
                <w:rFonts w:ascii="Arial Narrow" w:eastAsia="Calibri" w:hAnsi="Arial Narrow" w:cs="Calibri"/>
                <w:b/>
                <w:sz w:val="20"/>
                <w:szCs w:val="20"/>
                <w:lang w:val="en-US"/>
              </w:rPr>
            </w:pPr>
          </w:p>
        </w:tc>
        <w:tc>
          <w:tcPr>
            <w:tcW w:w="1774" w:type="pct"/>
          </w:tcPr>
          <w:p w14:paraId="70F2B550"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Round 1, FAS</w:t>
            </w:r>
          </w:p>
        </w:tc>
        <w:tc>
          <w:tcPr>
            <w:tcW w:w="1381" w:type="pct"/>
          </w:tcPr>
          <w:p w14:paraId="2A22BFC4"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Round 2 *</w:t>
            </w:r>
          </w:p>
        </w:tc>
      </w:tr>
      <w:tr w:rsidR="001454B1" w:rsidRPr="005F5BEA" w14:paraId="7FC8C0DF" w14:textId="77777777" w:rsidTr="00032276">
        <w:tc>
          <w:tcPr>
            <w:tcW w:w="5000" w:type="pct"/>
            <w:gridSpan w:val="3"/>
          </w:tcPr>
          <w:p w14:paraId="77D349F2"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Service type</w:t>
            </w:r>
          </w:p>
        </w:tc>
      </w:tr>
      <w:tr w:rsidR="001454B1" w:rsidRPr="005F5BEA" w14:paraId="5761C1B1" w14:textId="77777777" w:rsidTr="00032276">
        <w:tc>
          <w:tcPr>
            <w:tcW w:w="1845" w:type="pct"/>
          </w:tcPr>
          <w:p w14:paraId="539C23DF"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In-person</w:t>
            </w:r>
          </w:p>
        </w:tc>
        <w:tc>
          <w:tcPr>
            <w:tcW w:w="1774" w:type="pct"/>
          </w:tcPr>
          <w:p w14:paraId="2818FB67"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13,744 (25.4</w:t>
            </w:r>
            <w:proofErr w:type="gramStart"/>
            <w:r w:rsidRPr="005F5BEA">
              <w:rPr>
                <w:rFonts w:ascii="Arial Narrow" w:eastAsia="Calibri" w:hAnsi="Arial Narrow" w:cs="Calibri"/>
                <w:sz w:val="20"/>
                <w:szCs w:val="20"/>
              </w:rPr>
              <w:t>%)*</w:t>
            </w:r>
            <w:proofErr w:type="gramEnd"/>
            <w:r w:rsidRPr="005F5BEA">
              <w:rPr>
                <w:rFonts w:ascii="Arial Narrow" w:eastAsia="Calibri" w:hAnsi="Arial Narrow" w:cs="Calibri"/>
                <w:sz w:val="20"/>
                <w:szCs w:val="20"/>
              </w:rPr>
              <w:t>*</w:t>
            </w:r>
          </w:p>
        </w:tc>
        <w:tc>
          <w:tcPr>
            <w:tcW w:w="1381" w:type="pct"/>
          </w:tcPr>
          <w:p w14:paraId="61716CA4"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15,476 (24.3</w:t>
            </w:r>
            <w:proofErr w:type="gramStart"/>
            <w:r w:rsidRPr="005F5BEA">
              <w:rPr>
                <w:rFonts w:ascii="Arial Narrow" w:eastAsia="Calibri" w:hAnsi="Arial Narrow" w:cs="Calibri"/>
                <w:sz w:val="20"/>
                <w:szCs w:val="20"/>
              </w:rPr>
              <w:t>%)*</w:t>
            </w:r>
            <w:proofErr w:type="gramEnd"/>
            <w:r w:rsidRPr="005F5BEA">
              <w:rPr>
                <w:rFonts w:ascii="Arial Narrow" w:eastAsia="Calibri" w:hAnsi="Arial Narrow" w:cs="Calibri"/>
                <w:sz w:val="20"/>
                <w:szCs w:val="20"/>
              </w:rPr>
              <w:t>*</w:t>
            </w:r>
          </w:p>
        </w:tc>
      </w:tr>
      <w:tr w:rsidR="001454B1" w:rsidRPr="005F5BEA" w14:paraId="10AA3F9C" w14:textId="77777777" w:rsidTr="00032276">
        <w:tc>
          <w:tcPr>
            <w:tcW w:w="1845" w:type="pct"/>
          </w:tcPr>
          <w:p w14:paraId="5C5095A4"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Remote transmission review</w:t>
            </w:r>
          </w:p>
        </w:tc>
        <w:tc>
          <w:tcPr>
            <w:tcW w:w="1774" w:type="pct"/>
          </w:tcPr>
          <w:p w14:paraId="1A899577"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31,276 (58.3%)</w:t>
            </w:r>
          </w:p>
        </w:tc>
        <w:tc>
          <w:tcPr>
            <w:tcW w:w="1381" w:type="pct"/>
          </w:tcPr>
          <w:p w14:paraId="2B37A463"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36,548 (57.5%)</w:t>
            </w:r>
          </w:p>
        </w:tc>
      </w:tr>
      <w:tr w:rsidR="001454B1" w:rsidRPr="005F5BEA" w14:paraId="7A314F15" w14:textId="77777777" w:rsidTr="00032276">
        <w:tc>
          <w:tcPr>
            <w:tcW w:w="1845" w:type="pct"/>
          </w:tcPr>
          <w:p w14:paraId="6E570EBF"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Phone/email troubleshooting support</w:t>
            </w:r>
          </w:p>
        </w:tc>
        <w:tc>
          <w:tcPr>
            <w:tcW w:w="1774" w:type="pct"/>
          </w:tcPr>
          <w:p w14:paraId="1CDDB5BE"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8,714 (16.3%)</w:t>
            </w:r>
          </w:p>
        </w:tc>
        <w:tc>
          <w:tcPr>
            <w:tcW w:w="1381" w:type="pct"/>
          </w:tcPr>
          <w:p w14:paraId="0091F359"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11,571 (18.2%)</w:t>
            </w:r>
          </w:p>
        </w:tc>
      </w:tr>
      <w:tr w:rsidR="001454B1" w:rsidRPr="005F5BEA" w14:paraId="1C535A88" w14:textId="77777777" w:rsidTr="00032276">
        <w:tc>
          <w:tcPr>
            <w:tcW w:w="5000" w:type="pct"/>
            <w:gridSpan w:val="3"/>
          </w:tcPr>
          <w:p w14:paraId="50B3C9D9"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Locality classification</w:t>
            </w:r>
          </w:p>
        </w:tc>
      </w:tr>
      <w:tr w:rsidR="001454B1" w:rsidRPr="005F5BEA" w14:paraId="105C3F1B" w14:textId="77777777" w:rsidTr="00032276">
        <w:tc>
          <w:tcPr>
            <w:tcW w:w="1845" w:type="pct"/>
          </w:tcPr>
          <w:p w14:paraId="44C4DEEF"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Metro</w:t>
            </w:r>
          </w:p>
        </w:tc>
        <w:tc>
          <w:tcPr>
            <w:tcW w:w="1774" w:type="pct"/>
          </w:tcPr>
          <w:p w14:paraId="4FA95442"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11,311 (82.3%)</w:t>
            </w:r>
          </w:p>
        </w:tc>
        <w:tc>
          <w:tcPr>
            <w:tcW w:w="1381" w:type="pct"/>
          </w:tcPr>
          <w:p w14:paraId="2E125539"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11,843 (76.5%)</w:t>
            </w:r>
          </w:p>
        </w:tc>
      </w:tr>
      <w:tr w:rsidR="001454B1" w:rsidRPr="005F5BEA" w14:paraId="791C1042" w14:textId="77777777" w:rsidTr="00032276">
        <w:tc>
          <w:tcPr>
            <w:tcW w:w="1845" w:type="pct"/>
          </w:tcPr>
          <w:p w14:paraId="3DEDA8A7"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Regional</w:t>
            </w:r>
          </w:p>
        </w:tc>
        <w:tc>
          <w:tcPr>
            <w:tcW w:w="1774" w:type="pct"/>
          </w:tcPr>
          <w:p w14:paraId="616BF132"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2,323 (17.0%)</w:t>
            </w:r>
          </w:p>
        </w:tc>
        <w:tc>
          <w:tcPr>
            <w:tcW w:w="1381" w:type="pct"/>
          </w:tcPr>
          <w:p w14:paraId="051105E7"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3,299 (21.3%)</w:t>
            </w:r>
          </w:p>
        </w:tc>
      </w:tr>
      <w:tr w:rsidR="001454B1" w:rsidRPr="005F5BEA" w14:paraId="05376EDD" w14:textId="77777777" w:rsidTr="00032276">
        <w:tc>
          <w:tcPr>
            <w:tcW w:w="1845" w:type="pct"/>
          </w:tcPr>
          <w:p w14:paraId="44A8ADA9"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Remote</w:t>
            </w:r>
          </w:p>
        </w:tc>
        <w:tc>
          <w:tcPr>
            <w:tcW w:w="1774" w:type="pct"/>
          </w:tcPr>
          <w:p w14:paraId="161B05A3"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41 (0.3%)</w:t>
            </w:r>
          </w:p>
        </w:tc>
        <w:tc>
          <w:tcPr>
            <w:tcW w:w="1381" w:type="pct"/>
          </w:tcPr>
          <w:p w14:paraId="25B3FE81"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24 (0.2%)</w:t>
            </w:r>
          </w:p>
        </w:tc>
      </w:tr>
      <w:tr w:rsidR="001454B1" w:rsidRPr="005F5BEA" w14:paraId="7E0D62DE" w14:textId="77777777" w:rsidTr="00032276">
        <w:tc>
          <w:tcPr>
            <w:tcW w:w="1845" w:type="pct"/>
          </w:tcPr>
          <w:p w14:paraId="3AA4B927"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Unknown</w:t>
            </w:r>
          </w:p>
        </w:tc>
        <w:tc>
          <w:tcPr>
            <w:tcW w:w="1774" w:type="pct"/>
          </w:tcPr>
          <w:p w14:paraId="5C5FCEBB"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69 (0.5%)</w:t>
            </w:r>
          </w:p>
        </w:tc>
        <w:tc>
          <w:tcPr>
            <w:tcW w:w="1381" w:type="pct"/>
          </w:tcPr>
          <w:p w14:paraId="628AB34C"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310 (2.0%)</w:t>
            </w:r>
          </w:p>
        </w:tc>
      </w:tr>
      <w:tr w:rsidR="001454B1" w:rsidRPr="005F5BEA" w14:paraId="4E4121C7" w14:textId="77777777" w:rsidTr="00032276">
        <w:tc>
          <w:tcPr>
            <w:tcW w:w="5000" w:type="pct"/>
            <w:gridSpan w:val="3"/>
          </w:tcPr>
          <w:p w14:paraId="6296CCF1"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Company providing the service***</w:t>
            </w:r>
          </w:p>
        </w:tc>
      </w:tr>
      <w:tr w:rsidR="001454B1" w:rsidRPr="005F5BEA" w14:paraId="2963E630" w14:textId="77777777" w:rsidTr="00D865D4">
        <w:tc>
          <w:tcPr>
            <w:tcW w:w="1845" w:type="pct"/>
          </w:tcPr>
          <w:p w14:paraId="33B99C2C"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Company 1</w:t>
            </w:r>
          </w:p>
        </w:tc>
        <w:tc>
          <w:tcPr>
            <w:tcW w:w="1774" w:type="pct"/>
            <w:tcBorders>
              <w:bottom w:val="single" w:sz="4" w:space="0" w:color="auto"/>
            </w:tcBorders>
            <w:shd w:val="solid" w:color="000000" w:fill="000000"/>
          </w:tcPr>
          <w:p w14:paraId="72A90565" w14:textId="2CF2EB51" w:rsidR="001454B1" w:rsidRPr="00D865D4" w:rsidRDefault="00D865D4" w:rsidP="001454B1">
            <w:pPr>
              <w:keepLines/>
              <w:spacing w:before="20" w:after="20"/>
              <w:rPr>
                <w:rFonts w:ascii="Arial Narrow" w:eastAsia="Calibri" w:hAnsi="Arial Narrow" w:cs="Calibri"/>
                <w:sz w:val="20"/>
                <w:szCs w:val="20"/>
              </w:rPr>
            </w:pPr>
            <w:r w:rsidRPr="008A2B4D">
              <w:rPr>
                <w:rFonts w:ascii="Arial Narrow" w:eastAsia="Calibri" w:hAnsi="Arial Narrow" w:cs="Calibri"/>
                <w:color w:val="000000"/>
                <w:spacing w:val="94"/>
                <w:sz w:val="20"/>
                <w:szCs w:val="20"/>
                <w:fitText w:val="180" w:id="-1157882871"/>
                <w14:textFill>
                  <w14:solidFill>
                    <w14:srgbClr w14:val="000000">
                      <w14:alpha w14:val="100000"/>
                    </w14:srgbClr>
                  </w14:solidFill>
                </w14:textFill>
              </w:rPr>
              <w:t>|</w:t>
            </w:r>
            <w:r w:rsidRPr="008A2B4D">
              <w:rPr>
                <w:rFonts w:ascii="Arial Narrow" w:eastAsia="Calibri" w:hAnsi="Arial Narrow" w:cs="Calibri"/>
                <w:color w:val="000000"/>
                <w:spacing w:val="1"/>
                <w:sz w:val="20"/>
                <w:szCs w:val="20"/>
                <w:fitText w:val="180" w:id="-1157882871"/>
                <w14:textFill>
                  <w14:solidFill>
                    <w14:srgbClr w14:val="000000">
                      <w14:alpha w14:val="100000"/>
                    </w14:srgbClr>
                  </w14:solidFill>
                </w14:textFill>
              </w:rPr>
              <w:t>|</w:t>
            </w:r>
          </w:p>
        </w:tc>
        <w:tc>
          <w:tcPr>
            <w:tcW w:w="1381" w:type="pct"/>
            <w:tcBorders>
              <w:bottom w:val="single" w:sz="4" w:space="0" w:color="auto"/>
            </w:tcBorders>
            <w:shd w:val="solid" w:color="000000" w:fill="000000"/>
          </w:tcPr>
          <w:p w14:paraId="5940E37C" w14:textId="7E3A3BBE" w:rsidR="001454B1" w:rsidRPr="00D865D4" w:rsidRDefault="00D865D4" w:rsidP="001454B1">
            <w:pPr>
              <w:keepLines/>
              <w:spacing w:before="20" w:after="20"/>
              <w:rPr>
                <w:rFonts w:ascii="Arial Narrow" w:eastAsia="Calibri" w:hAnsi="Arial Narrow" w:cs="Calibri"/>
                <w:sz w:val="20"/>
                <w:szCs w:val="20"/>
              </w:rPr>
            </w:pPr>
            <w:r w:rsidRPr="008A2B4D">
              <w:rPr>
                <w:rFonts w:ascii="Arial Narrow" w:eastAsia="Calibri" w:hAnsi="Arial Narrow" w:cs="Calibri"/>
                <w:color w:val="000000"/>
                <w:spacing w:val="94"/>
                <w:sz w:val="20"/>
                <w:szCs w:val="20"/>
                <w:fitText w:val="180" w:id="-1157882870"/>
                <w14:textFill>
                  <w14:solidFill>
                    <w14:srgbClr w14:val="000000">
                      <w14:alpha w14:val="100000"/>
                    </w14:srgbClr>
                  </w14:solidFill>
                </w14:textFill>
              </w:rPr>
              <w:t>|</w:t>
            </w:r>
            <w:r w:rsidRPr="008A2B4D">
              <w:rPr>
                <w:rFonts w:ascii="Arial Narrow" w:eastAsia="Calibri" w:hAnsi="Arial Narrow" w:cs="Calibri"/>
                <w:color w:val="000000"/>
                <w:spacing w:val="1"/>
                <w:sz w:val="20"/>
                <w:szCs w:val="20"/>
                <w:fitText w:val="180" w:id="-1157882870"/>
                <w14:textFill>
                  <w14:solidFill>
                    <w14:srgbClr w14:val="000000">
                      <w14:alpha w14:val="100000"/>
                    </w14:srgbClr>
                  </w14:solidFill>
                </w14:textFill>
              </w:rPr>
              <w:t>|</w:t>
            </w:r>
          </w:p>
        </w:tc>
      </w:tr>
      <w:tr w:rsidR="001454B1" w:rsidRPr="005F5BEA" w14:paraId="2CC78F5F" w14:textId="77777777" w:rsidTr="00D865D4">
        <w:tc>
          <w:tcPr>
            <w:tcW w:w="1845" w:type="pct"/>
          </w:tcPr>
          <w:p w14:paraId="7882869E"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Company 2</w:t>
            </w:r>
          </w:p>
        </w:tc>
        <w:tc>
          <w:tcPr>
            <w:tcW w:w="1774" w:type="pct"/>
            <w:tcBorders>
              <w:bottom w:val="single" w:sz="4" w:space="0" w:color="auto"/>
            </w:tcBorders>
            <w:shd w:val="solid" w:color="000000" w:fill="000000"/>
          </w:tcPr>
          <w:p w14:paraId="42734AAB" w14:textId="1B12E681" w:rsidR="001454B1" w:rsidRPr="00D865D4" w:rsidRDefault="00D865D4" w:rsidP="001454B1">
            <w:pPr>
              <w:keepLines/>
              <w:spacing w:before="20" w:after="20"/>
              <w:rPr>
                <w:rFonts w:ascii="Arial Narrow" w:eastAsia="Calibri" w:hAnsi="Arial Narrow" w:cs="Calibri"/>
                <w:sz w:val="20"/>
                <w:szCs w:val="20"/>
              </w:rPr>
            </w:pPr>
            <w:r w:rsidRPr="008A2B4D">
              <w:rPr>
                <w:rFonts w:ascii="Arial Narrow" w:eastAsia="Calibri" w:hAnsi="Arial Narrow" w:cs="Calibri"/>
                <w:color w:val="000000"/>
                <w:spacing w:val="94"/>
                <w:sz w:val="20"/>
                <w:szCs w:val="20"/>
                <w:fitText w:val="180" w:id="-1157882869"/>
                <w14:textFill>
                  <w14:solidFill>
                    <w14:srgbClr w14:val="000000">
                      <w14:alpha w14:val="100000"/>
                    </w14:srgbClr>
                  </w14:solidFill>
                </w14:textFill>
              </w:rPr>
              <w:t>|</w:t>
            </w:r>
            <w:r w:rsidRPr="008A2B4D">
              <w:rPr>
                <w:rFonts w:ascii="Arial Narrow" w:eastAsia="Calibri" w:hAnsi="Arial Narrow" w:cs="Calibri"/>
                <w:color w:val="000000"/>
                <w:spacing w:val="1"/>
                <w:sz w:val="20"/>
                <w:szCs w:val="20"/>
                <w:fitText w:val="180" w:id="-1157882869"/>
                <w14:textFill>
                  <w14:solidFill>
                    <w14:srgbClr w14:val="000000">
                      <w14:alpha w14:val="100000"/>
                    </w14:srgbClr>
                  </w14:solidFill>
                </w14:textFill>
              </w:rPr>
              <w:t>|</w:t>
            </w:r>
          </w:p>
        </w:tc>
        <w:tc>
          <w:tcPr>
            <w:tcW w:w="1381" w:type="pct"/>
            <w:tcBorders>
              <w:bottom w:val="single" w:sz="4" w:space="0" w:color="auto"/>
            </w:tcBorders>
            <w:shd w:val="solid" w:color="000000" w:fill="000000"/>
          </w:tcPr>
          <w:p w14:paraId="5C0451EB" w14:textId="3F21ADB8" w:rsidR="001454B1" w:rsidRPr="00D865D4" w:rsidRDefault="00D865D4" w:rsidP="001454B1">
            <w:pPr>
              <w:keepLines/>
              <w:spacing w:before="20" w:after="20"/>
              <w:rPr>
                <w:rFonts w:ascii="Arial Narrow" w:eastAsia="Calibri" w:hAnsi="Arial Narrow" w:cs="Calibri"/>
                <w:sz w:val="20"/>
                <w:szCs w:val="20"/>
              </w:rPr>
            </w:pPr>
            <w:r w:rsidRPr="008A2B4D">
              <w:rPr>
                <w:rFonts w:ascii="Arial Narrow" w:eastAsia="Calibri" w:hAnsi="Arial Narrow" w:cs="Calibri"/>
                <w:color w:val="000000"/>
                <w:spacing w:val="94"/>
                <w:sz w:val="20"/>
                <w:szCs w:val="20"/>
                <w:fitText w:val="180" w:id="-1157882868"/>
                <w14:textFill>
                  <w14:solidFill>
                    <w14:srgbClr w14:val="000000">
                      <w14:alpha w14:val="100000"/>
                    </w14:srgbClr>
                  </w14:solidFill>
                </w14:textFill>
              </w:rPr>
              <w:t>|</w:t>
            </w:r>
            <w:r w:rsidRPr="008A2B4D">
              <w:rPr>
                <w:rFonts w:ascii="Arial Narrow" w:eastAsia="Calibri" w:hAnsi="Arial Narrow" w:cs="Calibri"/>
                <w:color w:val="000000"/>
                <w:spacing w:val="1"/>
                <w:sz w:val="20"/>
                <w:szCs w:val="20"/>
                <w:fitText w:val="180" w:id="-1157882868"/>
                <w14:textFill>
                  <w14:solidFill>
                    <w14:srgbClr w14:val="000000">
                      <w14:alpha w14:val="100000"/>
                    </w14:srgbClr>
                  </w14:solidFill>
                </w14:textFill>
              </w:rPr>
              <w:t>|</w:t>
            </w:r>
          </w:p>
        </w:tc>
      </w:tr>
      <w:tr w:rsidR="001454B1" w:rsidRPr="005F5BEA" w14:paraId="52A07A06" w14:textId="77777777" w:rsidTr="00D865D4">
        <w:tc>
          <w:tcPr>
            <w:tcW w:w="1845" w:type="pct"/>
          </w:tcPr>
          <w:p w14:paraId="7ED3F1AB"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Company 3</w:t>
            </w:r>
          </w:p>
        </w:tc>
        <w:tc>
          <w:tcPr>
            <w:tcW w:w="1774" w:type="pct"/>
            <w:tcBorders>
              <w:bottom w:val="single" w:sz="4" w:space="0" w:color="auto"/>
            </w:tcBorders>
            <w:shd w:val="solid" w:color="000000" w:fill="000000"/>
          </w:tcPr>
          <w:p w14:paraId="23EB3C3C" w14:textId="31368D26" w:rsidR="001454B1" w:rsidRPr="00D865D4" w:rsidRDefault="00D865D4" w:rsidP="001454B1">
            <w:pPr>
              <w:keepLines/>
              <w:spacing w:before="20" w:after="20"/>
              <w:rPr>
                <w:rFonts w:ascii="Arial Narrow" w:eastAsia="Calibri" w:hAnsi="Arial Narrow" w:cs="Calibri"/>
                <w:sz w:val="20"/>
                <w:szCs w:val="20"/>
              </w:rPr>
            </w:pPr>
            <w:r w:rsidRPr="008A2B4D">
              <w:rPr>
                <w:rFonts w:ascii="Arial Narrow" w:eastAsia="Calibri" w:hAnsi="Arial Narrow" w:cs="Calibri"/>
                <w:color w:val="000000"/>
                <w:spacing w:val="94"/>
                <w:sz w:val="20"/>
                <w:szCs w:val="20"/>
                <w:fitText w:val="180" w:id="-1157882867"/>
                <w14:textFill>
                  <w14:solidFill>
                    <w14:srgbClr w14:val="000000">
                      <w14:alpha w14:val="100000"/>
                    </w14:srgbClr>
                  </w14:solidFill>
                </w14:textFill>
              </w:rPr>
              <w:t>|</w:t>
            </w:r>
            <w:r w:rsidRPr="008A2B4D">
              <w:rPr>
                <w:rFonts w:ascii="Arial Narrow" w:eastAsia="Calibri" w:hAnsi="Arial Narrow" w:cs="Calibri"/>
                <w:color w:val="000000"/>
                <w:spacing w:val="1"/>
                <w:sz w:val="20"/>
                <w:szCs w:val="20"/>
                <w:fitText w:val="180" w:id="-1157882867"/>
                <w14:textFill>
                  <w14:solidFill>
                    <w14:srgbClr w14:val="000000">
                      <w14:alpha w14:val="100000"/>
                    </w14:srgbClr>
                  </w14:solidFill>
                </w14:textFill>
              </w:rPr>
              <w:t>|</w:t>
            </w:r>
          </w:p>
        </w:tc>
        <w:tc>
          <w:tcPr>
            <w:tcW w:w="1381" w:type="pct"/>
            <w:tcBorders>
              <w:bottom w:val="single" w:sz="4" w:space="0" w:color="auto"/>
            </w:tcBorders>
            <w:shd w:val="solid" w:color="000000" w:fill="000000"/>
          </w:tcPr>
          <w:p w14:paraId="1272A13E" w14:textId="14D1BDD4" w:rsidR="001454B1" w:rsidRPr="00D865D4" w:rsidRDefault="00D865D4" w:rsidP="001454B1">
            <w:pPr>
              <w:keepLines/>
              <w:spacing w:before="20" w:after="20"/>
              <w:rPr>
                <w:rFonts w:ascii="Arial Narrow" w:eastAsia="Calibri" w:hAnsi="Arial Narrow" w:cs="Calibri"/>
                <w:sz w:val="20"/>
                <w:szCs w:val="20"/>
              </w:rPr>
            </w:pPr>
            <w:r w:rsidRPr="008A2B4D">
              <w:rPr>
                <w:rFonts w:ascii="Arial Narrow" w:eastAsia="Calibri" w:hAnsi="Arial Narrow" w:cs="Calibri"/>
                <w:color w:val="000000"/>
                <w:spacing w:val="94"/>
                <w:sz w:val="20"/>
                <w:szCs w:val="20"/>
                <w:fitText w:val="180" w:id="-1157882866"/>
                <w14:textFill>
                  <w14:solidFill>
                    <w14:srgbClr w14:val="000000">
                      <w14:alpha w14:val="100000"/>
                    </w14:srgbClr>
                  </w14:solidFill>
                </w14:textFill>
              </w:rPr>
              <w:t>|</w:t>
            </w:r>
            <w:r w:rsidRPr="008A2B4D">
              <w:rPr>
                <w:rFonts w:ascii="Arial Narrow" w:eastAsia="Calibri" w:hAnsi="Arial Narrow" w:cs="Calibri"/>
                <w:color w:val="000000"/>
                <w:spacing w:val="1"/>
                <w:sz w:val="20"/>
                <w:szCs w:val="20"/>
                <w:fitText w:val="180" w:id="-1157882866"/>
                <w14:textFill>
                  <w14:solidFill>
                    <w14:srgbClr w14:val="000000">
                      <w14:alpha w14:val="100000"/>
                    </w14:srgbClr>
                  </w14:solidFill>
                </w14:textFill>
              </w:rPr>
              <w:t>|</w:t>
            </w:r>
          </w:p>
        </w:tc>
      </w:tr>
      <w:tr w:rsidR="001454B1" w:rsidRPr="005F5BEA" w14:paraId="30AAC9E7" w14:textId="77777777" w:rsidTr="00D865D4">
        <w:tc>
          <w:tcPr>
            <w:tcW w:w="1845" w:type="pct"/>
          </w:tcPr>
          <w:p w14:paraId="7176225A"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Company 4</w:t>
            </w:r>
          </w:p>
        </w:tc>
        <w:tc>
          <w:tcPr>
            <w:tcW w:w="1774" w:type="pct"/>
            <w:tcBorders>
              <w:bottom w:val="single" w:sz="4" w:space="0" w:color="auto"/>
            </w:tcBorders>
            <w:shd w:val="solid" w:color="000000" w:fill="000000"/>
          </w:tcPr>
          <w:p w14:paraId="5C10BF4B" w14:textId="4D6C2B62" w:rsidR="001454B1" w:rsidRPr="00D865D4" w:rsidRDefault="00D865D4" w:rsidP="001454B1">
            <w:pPr>
              <w:keepLines/>
              <w:spacing w:before="20" w:after="20"/>
              <w:rPr>
                <w:rFonts w:ascii="Arial Narrow" w:eastAsia="Calibri" w:hAnsi="Arial Narrow" w:cs="Calibri"/>
                <w:sz w:val="20"/>
                <w:szCs w:val="20"/>
              </w:rPr>
            </w:pPr>
            <w:r w:rsidRPr="008A2B4D">
              <w:rPr>
                <w:rFonts w:ascii="Arial Narrow" w:eastAsia="Calibri" w:hAnsi="Arial Narrow" w:cs="Calibri"/>
                <w:color w:val="000000"/>
                <w:spacing w:val="94"/>
                <w:sz w:val="20"/>
                <w:szCs w:val="20"/>
                <w:fitText w:val="180" w:id="-1157882865"/>
                <w14:textFill>
                  <w14:solidFill>
                    <w14:srgbClr w14:val="000000">
                      <w14:alpha w14:val="100000"/>
                    </w14:srgbClr>
                  </w14:solidFill>
                </w14:textFill>
              </w:rPr>
              <w:t>|</w:t>
            </w:r>
            <w:r w:rsidRPr="008A2B4D">
              <w:rPr>
                <w:rFonts w:ascii="Arial Narrow" w:eastAsia="Calibri" w:hAnsi="Arial Narrow" w:cs="Calibri"/>
                <w:color w:val="000000"/>
                <w:spacing w:val="1"/>
                <w:sz w:val="20"/>
                <w:szCs w:val="20"/>
                <w:fitText w:val="180" w:id="-1157882865"/>
                <w14:textFill>
                  <w14:solidFill>
                    <w14:srgbClr w14:val="000000">
                      <w14:alpha w14:val="100000"/>
                    </w14:srgbClr>
                  </w14:solidFill>
                </w14:textFill>
              </w:rPr>
              <w:t>|</w:t>
            </w:r>
          </w:p>
        </w:tc>
        <w:tc>
          <w:tcPr>
            <w:tcW w:w="1381" w:type="pct"/>
            <w:tcBorders>
              <w:bottom w:val="single" w:sz="4" w:space="0" w:color="auto"/>
            </w:tcBorders>
            <w:shd w:val="solid" w:color="000000" w:fill="000000"/>
          </w:tcPr>
          <w:p w14:paraId="09878FF8" w14:textId="49C91F60" w:rsidR="001454B1" w:rsidRPr="00D865D4" w:rsidRDefault="00D865D4" w:rsidP="001454B1">
            <w:pPr>
              <w:keepLines/>
              <w:spacing w:before="20" w:after="20"/>
              <w:rPr>
                <w:rFonts w:ascii="Arial Narrow" w:eastAsia="Calibri" w:hAnsi="Arial Narrow" w:cs="Calibri"/>
                <w:sz w:val="20"/>
                <w:szCs w:val="20"/>
              </w:rPr>
            </w:pPr>
            <w:r w:rsidRPr="008A2B4D">
              <w:rPr>
                <w:rFonts w:ascii="Arial Narrow" w:eastAsia="Calibri" w:hAnsi="Arial Narrow" w:cs="Calibri"/>
                <w:color w:val="000000"/>
                <w:spacing w:val="94"/>
                <w:sz w:val="20"/>
                <w:szCs w:val="20"/>
                <w:fitText w:val="180" w:id="-1157882864"/>
                <w14:textFill>
                  <w14:solidFill>
                    <w14:srgbClr w14:val="000000">
                      <w14:alpha w14:val="100000"/>
                    </w14:srgbClr>
                  </w14:solidFill>
                </w14:textFill>
              </w:rPr>
              <w:t>|</w:t>
            </w:r>
            <w:r w:rsidRPr="008A2B4D">
              <w:rPr>
                <w:rFonts w:ascii="Arial Narrow" w:eastAsia="Calibri" w:hAnsi="Arial Narrow" w:cs="Calibri"/>
                <w:color w:val="000000"/>
                <w:spacing w:val="1"/>
                <w:sz w:val="20"/>
                <w:szCs w:val="20"/>
                <w:fitText w:val="180" w:id="-1157882864"/>
                <w14:textFill>
                  <w14:solidFill>
                    <w14:srgbClr w14:val="000000">
                      <w14:alpha w14:val="100000"/>
                    </w14:srgbClr>
                  </w14:solidFill>
                </w14:textFill>
              </w:rPr>
              <w:t>|</w:t>
            </w:r>
          </w:p>
        </w:tc>
      </w:tr>
      <w:tr w:rsidR="001454B1" w:rsidRPr="005F5BEA" w14:paraId="5308740D" w14:textId="77777777" w:rsidTr="00D865D4">
        <w:tc>
          <w:tcPr>
            <w:tcW w:w="1845" w:type="pct"/>
          </w:tcPr>
          <w:p w14:paraId="23106E39"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Company 5</w:t>
            </w:r>
          </w:p>
        </w:tc>
        <w:tc>
          <w:tcPr>
            <w:tcW w:w="1774" w:type="pct"/>
            <w:shd w:val="solid" w:color="000000" w:fill="000000"/>
          </w:tcPr>
          <w:p w14:paraId="4861493D" w14:textId="43C5785F" w:rsidR="001454B1" w:rsidRPr="00D865D4" w:rsidRDefault="00D865D4" w:rsidP="001454B1">
            <w:pPr>
              <w:keepLines/>
              <w:spacing w:before="20" w:after="20"/>
              <w:rPr>
                <w:rFonts w:ascii="Arial Narrow" w:eastAsia="Calibri" w:hAnsi="Arial Narrow" w:cs="Calibri"/>
                <w:sz w:val="20"/>
                <w:szCs w:val="20"/>
              </w:rPr>
            </w:pPr>
            <w:r w:rsidRPr="008A2B4D">
              <w:rPr>
                <w:rFonts w:ascii="Arial Narrow" w:eastAsia="Calibri" w:hAnsi="Arial Narrow" w:cs="Calibri"/>
                <w:color w:val="000000"/>
                <w:spacing w:val="94"/>
                <w:sz w:val="20"/>
                <w:szCs w:val="20"/>
                <w:fitText w:val="180" w:id="-1157882880"/>
                <w14:textFill>
                  <w14:solidFill>
                    <w14:srgbClr w14:val="000000">
                      <w14:alpha w14:val="100000"/>
                    </w14:srgbClr>
                  </w14:solidFill>
                </w14:textFill>
              </w:rPr>
              <w:t>|</w:t>
            </w:r>
            <w:r w:rsidRPr="008A2B4D">
              <w:rPr>
                <w:rFonts w:ascii="Arial Narrow" w:eastAsia="Calibri" w:hAnsi="Arial Narrow" w:cs="Calibri"/>
                <w:color w:val="000000"/>
                <w:spacing w:val="1"/>
                <w:sz w:val="20"/>
                <w:szCs w:val="20"/>
                <w:fitText w:val="180" w:id="-1157882880"/>
                <w14:textFill>
                  <w14:solidFill>
                    <w14:srgbClr w14:val="000000">
                      <w14:alpha w14:val="100000"/>
                    </w14:srgbClr>
                  </w14:solidFill>
                </w14:textFill>
              </w:rPr>
              <w:t>|</w:t>
            </w:r>
          </w:p>
        </w:tc>
        <w:tc>
          <w:tcPr>
            <w:tcW w:w="1381" w:type="pct"/>
            <w:shd w:val="solid" w:color="000000" w:fill="000000"/>
          </w:tcPr>
          <w:p w14:paraId="57437C68" w14:textId="09A7ADD4" w:rsidR="001454B1" w:rsidRPr="00D865D4" w:rsidRDefault="00D865D4" w:rsidP="001454B1">
            <w:pPr>
              <w:keepLines/>
              <w:spacing w:before="20" w:after="20"/>
              <w:rPr>
                <w:rFonts w:ascii="Arial Narrow" w:eastAsia="Calibri" w:hAnsi="Arial Narrow" w:cs="Calibri"/>
                <w:sz w:val="20"/>
                <w:szCs w:val="20"/>
              </w:rPr>
            </w:pPr>
            <w:r w:rsidRPr="008A2B4D">
              <w:rPr>
                <w:rFonts w:ascii="Arial Narrow" w:eastAsia="Calibri" w:hAnsi="Arial Narrow" w:cs="Calibri"/>
                <w:color w:val="000000"/>
                <w:spacing w:val="94"/>
                <w:sz w:val="20"/>
                <w:szCs w:val="20"/>
                <w:fitText w:val="180" w:id="-1157882879"/>
                <w14:textFill>
                  <w14:solidFill>
                    <w14:srgbClr w14:val="000000">
                      <w14:alpha w14:val="100000"/>
                    </w14:srgbClr>
                  </w14:solidFill>
                </w14:textFill>
              </w:rPr>
              <w:t>|</w:t>
            </w:r>
            <w:r w:rsidRPr="008A2B4D">
              <w:rPr>
                <w:rFonts w:ascii="Arial Narrow" w:eastAsia="Calibri" w:hAnsi="Arial Narrow" w:cs="Calibri"/>
                <w:color w:val="000000"/>
                <w:spacing w:val="1"/>
                <w:sz w:val="20"/>
                <w:szCs w:val="20"/>
                <w:fitText w:val="180" w:id="-1157882879"/>
                <w14:textFill>
                  <w14:solidFill>
                    <w14:srgbClr w14:val="000000">
                      <w14:alpha w14:val="100000"/>
                    </w14:srgbClr>
                  </w14:solidFill>
                </w14:textFill>
              </w:rPr>
              <w:t>|</w:t>
            </w:r>
          </w:p>
        </w:tc>
      </w:tr>
      <w:tr w:rsidR="001454B1" w:rsidRPr="005F5BEA" w14:paraId="1F9B38C2" w14:textId="77777777" w:rsidTr="00032276">
        <w:tc>
          <w:tcPr>
            <w:tcW w:w="5000" w:type="pct"/>
            <w:gridSpan w:val="3"/>
          </w:tcPr>
          <w:p w14:paraId="06590180"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Total</w:t>
            </w:r>
          </w:p>
        </w:tc>
      </w:tr>
      <w:tr w:rsidR="001454B1" w:rsidRPr="005F5BEA" w14:paraId="0A837B2D" w14:textId="77777777" w:rsidTr="00032276">
        <w:tc>
          <w:tcPr>
            <w:tcW w:w="1845" w:type="pct"/>
          </w:tcPr>
          <w:p w14:paraId="20DD393A"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Total</w:t>
            </w:r>
          </w:p>
        </w:tc>
        <w:tc>
          <w:tcPr>
            <w:tcW w:w="1774" w:type="pct"/>
          </w:tcPr>
          <w:p w14:paraId="61E93C3C"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53,734 (100%)</w:t>
            </w:r>
          </w:p>
        </w:tc>
        <w:tc>
          <w:tcPr>
            <w:tcW w:w="1381" w:type="pct"/>
          </w:tcPr>
          <w:p w14:paraId="4BB8C5A7"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63,595 (100%)</w:t>
            </w:r>
          </w:p>
        </w:tc>
      </w:tr>
    </w:tbl>
    <w:p w14:paraId="71192936"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*The data collection period for round 2 started on Monday 21 November 2022 and ended on 18 December 2022 for a total of 4 weeks or 27 days. Responders were asked if they conducted an in-person, remote transmission review or phone/email troubleshooting and how many patients they serviced. For in-person services, responders were asked to enter the postcode for each site visit. Postcodes were classified as metro, regional or remote post-hoc based off the Modified Monash Model (MMM). Note that a Modified Analysis Set (MAS) was not considered for this data collection given that all companies supplied data which did not contain any missing fields.</w:t>
      </w:r>
    </w:p>
    <w:p w14:paraId="6D4F01D6"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**In both data collection exercises 0.7% of the in-person services were cancelled</w:t>
      </w:r>
    </w:p>
    <w:p w14:paraId="0B066D73"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 xml:space="preserve">*** This information has been redacted from the interim report as it contains commercially confidential information which </w:t>
      </w:r>
      <w:proofErr w:type="spellStart"/>
      <w:r w:rsidRPr="005F5BEA">
        <w:rPr>
          <w:rFonts w:ascii="Arial Narrow" w:eastAsia="Calibri" w:hAnsi="Arial Narrow" w:cs="Arial"/>
          <w:sz w:val="18"/>
        </w:rPr>
        <w:t>can not</w:t>
      </w:r>
      <w:proofErr w:type="spellEnd"/>
      <w:r w:rsidRPr="005F5BEA">
        <w:rPr>
          <w:rFonts w:ascii="Arial Narrow" w:eastAsia="Calibri" w:hAnsi="Arial Narrow" w:cs="Arial"/>
          <w:sz w:val="18"/>
        </w:rPr>
        <w:t xml:space="preserve"> be shared between CF member companies. An unredacted version will be supplied to the Department within the pre-ESC commentary response. </w:t>
      </w:r>
    </w:p>
    <w:p w14:paraId="10A18E40"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Source: Table 1, 1724 – Attachment A – Additional Data Collection (Interim Report); FAS = full analysis set</w:t>
      </w:r>
    </w:p>
    <w:p w14:paraId="20DAECF1" w14:textId="77777777" w:rsidR="001454B1" w:rsidRPr="005F5BEA" w:rsidRDefault="001454B1" w:rsidP="004F01F9">
      <w:pPr>
        <w:pStyle w:val="Heading3"/>
      </w:pPr>
      <w:r w:rsidRPr="005F5BEA">
        <w:t>Structure and parameters of the model</w:t>
      </w:r>
    </w:p>
    <w:p w14:paraId="09C09C2A" w14:textId="039BFA97" w:rsidR="001454B1" w:rsidRPr="005F5BEA" w:rsidRDefault="001454B1" w:rsidP="004F01F9">
      <w:r w:rsidRPr="005F5BEA">
        <w:t xml:space="preserve">The structure of the </w:t>
      </w:r>
      <w:r w:rsidR="004F01F9" w:rsidRPr="005F5BEA">
        <w:t xml:space="preserve">updated </w:t>
      </w:r>
      <w:r w:rsidRPr="005F5BEA">
        <w:rPr>
          <w:i/>
        </w:rPr>
        <w:t>Utilisation and Cost Model workbook</w:t>
      </w:r>
      <w:r w:rsidRPr="005F5BEA">
        <w:t xml:space="preserve"> remains unchanged from Round 1. Briefly, most direct costs </w:t>
      </w:r>
      <w:r w:rsidR="00712C40" w:rsidRPr="005F5BEA">
        <w:t>(</w:t>
      </w:r>
      <w:proofErr w:type="gramStart"/>
      <w:r w:rsidR="00712C40" w:rsidRPr="005F5BEA">
        <w:t>with the exception of</w:t>
      </w:r>
      <w:proofErr w:type="gramEnd"/>
      <w:r w:rsidR="00712C40" w:rsidRPr="005F5BEA">
        <w:t xml:space="preserve"> the number of IECTs) </w:t>
      </w:r>
      <w:r w:rsidRPr="005F5BEA">
        <w:t xml:space="preserve">are linked to the number of services provided and costs change proportionally as the number of services is changed in the model. </w:t>
      </w:r>
    </w:p>
    <w:p w14:paraId="3D33BD17" w14:textId="77777777" w:rsidR="001454B1" w:rsidRPr="005F5BEA" w:rsidRDefault="001454B1" w:rsidP="004F01F9">
      <w:r w:rsidRPr="005F5BEA">
        <w:t>Two key costs are largely unaffected by the number of services provided:</w:t>
      </w:r>
    </w:p>
    <w:p w14:paraId="04EA004A" w14:textId="77777777" w:rsidR="001454B1" w:rsidRPr="005F5BEA" w:rsidRDefault="001454B1" w:rsidP="00AB5B20">
      <w:pPr>
        <w:pStyle w:val="ListParagraph"/>
        <w:numPr>
          <w:ilvl w:val="0"/>
          <w:numId w:val="24"/>
        </w:numPr>
      </w:pPr>
      <w:r w:rsidRPr="005F5BEA">
        <w:t>Training costs</w:t>
      </w:r>
    </w:p>
    <w:p w14:paraId="2019BDB3" w14:textId="77777777" w:rsidR="001454B1" w:rsidRPr="005F5BEA" w:rsidRDefault="001454B1" w:rsidP="00AB5B20">
      <w:pPr>
        <w:pStyle w:val="ListParagraph"/>
        <w:numPr>
          <w:ilvl w:val="0"/>
          <w:numId w:val="24"/>
        </w:numPr>
      </w:pPr>
      <w:r w:rsidRPr="005F5BEA">
        <w:t>Overhead costs</w:t>
      </w:r>
    </w:p>
    <w:p w14:paraId="168F32F4" w14:textId="77777777" w:rsidR="001454B1" w:rsidRPr="005F5BEA" w:rsidRDefault="001454B1" w:rsidP="004F01F9">
      <w:pPr>
        <w:pStyle w:val="Heading4"/>
      </w:pPr>
      <w:r w:rsidRPr="005F5BEA">
        <w:t>Training costs</w:t>
      </w:r>
    </w:p>
    <w:p w14:paraId="0EA27397" w14:textId="64624FD2" w:rsidR="001454B1" w:rsidRPr="005F5BEA" w:rsidRDefault="00070F66" w:rsidP="00AB5B20">
      <w:r w:rsidRPr="005F5BEA">
        <w:t>Unchanged from the ADAR</w:t>
      </w:r>
      <w:r w:rsidR="001454B1" w:rsidRPr="005F5BEA">
        <w:t>, training costs are static in the model, and do not vary by the number of services provided. This is because the estimated number of IECTs</w:t>
      </w:r>
      <w:r w:rsidR="004F01F9" w:rsidRPr="005F5BEA">
        <w:t xml:space="preserve"> (</w:t>
      </w:r>
      <w:r w:rsidR="001454B1" w:rsidRPr="005F5BEA">
        <w:t xml:space="preserve">301 in the base case) does not vary with other parameters in the model (such as the number of services provided). The number of IECTs is derived from the applicant’s Round 1 data collection. </w:t>
      </w:r>
      <w:r w:rsidRPr="005F5BEA">
        <w:t>The focussed evaluation considered that t</w:t>
      </w:r>
      <w:r w:rsidR="001454B1" w:rsidRPr="005F5BEA">
        <w:t xml:space="preserve">his approach may not be reasonable if the number or type of services provided by IECTs changes into the future. </w:t>
      </w:r>
      <w:r w:rsidR="00EF04C5" w:rsidRPr="005F5BEA">
        <w:t xml:space="preserve">As highlighted in MSAC’s </w:t>
      </w:r>
      <w:r w:rsidR="00457C5E" w:rsidRPr="005F5BEA">
        <w:t>March 2023</w:t>
      </w:r>
      <w:r w:rsidR="00EF04C5" w:rsidRPr="005F5BEA">
        <w:t xml:space="preserve"> consideration</w:t>
      </w:r>
      <w:r w:rsidR="00457C5E" w:rsidRPr="005F5BEA">
        <w:t xml:space="preserve">, </w:t>
      </w:r>
      <w:r w:rsidR="001454B1" w:rsidRPr="005F5BEA">
        <w:t xml:space="preserve">the proportion of patients enrolled in remote monitoring is increasing each year, and this may reduce the need for unscheduled checks. </w:t>
      </w:r>
      <w:r w:rsidR="00EF04C5" w:rsidRPr="005F5BEA">
        <w:t xml:space="preserve">Additionally, </w:t>
      </w:r>
      <w:r w:rsidR="001454B1" w:rsidRPr="005F5BEA">
        <w:t xml:space="preserve">MSAC noted </w:t>
      </w:r>
      <w:r w:rsidR="00EF04C5" w:rsidRPr="005F5BEA">
        <w:t xml:space="preserve">(in March 2023) </w:t>
      </w:r>
      <w:r w:rsidR="001454B1" w:rsidRPr="005F5BEA">
        <w:t xml:space="preserve">that it may be </w:t>
      </w:r>
      <w:r w:rsidR="001454B1" w:rsidRPr="005F5BEA">
        <w:lastRenderedPageBreak/>
        <w:t>reasonable to assume a 90%+ uptake of remote monitoring within 3-5 years. Th</w:t>
      </w:r>
      <w:r w:rsidR="00AB5B20" w:rsidRPr="005F5BEA">
        <w:t>e focussed evaluation considered th</w:t>
      </w:r>
      <w:r w:rsidR="001454B1" w:rsidRPr="005F5BEA">
        <w:t xml:space="preserve">is change may reduce the number of required IECTs. </w:t>
      </w:r>
    </w:p>
    <w:p w14:paraId="09391D22" w14:textId="7B103920" w:rsidR="001454B1" w:rsidRPr="005F5BEA" w:rsidRDefault="001454B1" w:rsidP="00AB5B20">
      <w:r w:rsidRPr="005F5BEA">
        <w:t xml:space="preserve">The model assumes $15,175,253 attributed to training costs in the first year (this is unchanged from the initial ADAR based on Round 1 data). This cost is comprised of training an estimated 301 industry IECTs. </w:t>
      </w:r>
    </w:p>
    <w:p w14:paraId="6F1F5A72" w14:textId="31F604BE" w:rsidR="001454B1" w:rsidRPr="005F5BEA" w:rsidRDefault="00AB5B20" w:rsidP="00AB5B20">
      <w:r w:rsidRPr="005F5BEA">
        <w:t xml:space="preserve">In March 2023, </w:t>
      </w:r>
      <w:r w:rsidR="001454B1" w:rsidRPr="005F5BEA">
        <w:t xml:space="preserve">MSAC advised that annual training costs for all technicians could be retained, and that certification costs could be retained but would only be applied to 10% of the workforce undergoing certification each year. MSAC advised that onboarding costs should be reduced from $212,000 - $250,000 to $30,000 per employee. MSAC based this revised estimate on the assumption that trainee (junior) technicians may require 6 months of supervision by a senior technician before they are able to perform the services unsupervised. MSAC considered this was a conservative assumption and may still represent an overestimate of true onboarding costs. The training related cost inputs for the applicant’s model and the revised estimates based on the MSAC PSD are presented in </w:t>
      </w:r>
      <w:r w:rsidR="001454B1" w:rsidRPr="005F5BEA">
        <w:fldChar w:fldCharType="begin"/>
      </w:r>
      <w:r w:rsidR="001454B1" w:rsidRPr="005F5BEA">
        <w:instrText xml:space="preserve"> REF _Ref138175494 \h </w:instrText>
      </w:r>
      <w:r w:rsidRPr="005F5BEA">
        <w:instrText xml:space="preserve"> \* MERGEFORMAT </w:instrText>
      </w:r>
      <w:r w:rsidR="001454B1" w:rsidRPr="005F5BEA">
        <w:fldChar w:fldCharType="separate"/>
      </w:r>
      <w:r w:rsidR="00334548" w:rsidRPr="00334548">
        <w:t>Table 21</w:t>
      </w:r>
      <w:r w:rsidR="001454B1" w:rsidRPr="005F5BEA">
        <w:fldChar w:fldCharType="end"/>
      </w:r>
      <w:r w:rsidR="001454B1" w:rsidRPr="005F5BEA">
        <w:t>.</w:t>
      </w:r>
    </w:p>
    <w:p w14:paraId="20DDB0FE" w14:textId="0DE05B1E" w:rsidR="001454B1" w:rsidRPr="005F5BEA" w:rsidRDefault="001454B1" w:rsidP="001454B1">
      <w:pPr>
        <w:keepNext/>
        <w:spacing w:before="0" w:after="200" w:line="240" w:lineRule="auto"/>
        <w:rPr>
          <w:rFonts w:ascii="Arial Narrow" w:eastAsia="Calibri" w:hAnsi="Arial Narrow" w:cs="Times New Roman"/>
          <w:b/>
          <w:iCs/>
          <w:sz w:val="20"/>
          <w:szCs w:val="20"/>
        </w:rPr>
      </w:pPr>
      <w:bookmarkStart w:id="38" w:name="_Ref138175494"/>
      <w:r w:rsidRPr="005F5BEA">
        <w:rPr>
          <w:rFonts w:ascii="Arial Narrow" w:eastAsia="Calibri" w:hAnsi="Arial Narrow" w:cs="Times New Roman"/>
          <w:b/>
          <w:iCs/>
          <w:sz w:val="20"/>
          <w:szCs w:val="20"/>
        </w:rPr>
        <w:t xml:space="preserve">Table </w:t>
      </w:r>
      <w:r w:rsidRPr="005F5BEA">
        <w:rPr>
          <w:rFonts w:ascii="Arial Narrow" w:eastAsia="Calibri" w:hAnsi="Arial Narrow" w:cs="Times New Roman"/>
          <w:b/>
          <w:iCs/>
          <w:sz w:val="20"/>
          <w:szCs w:val="20"/>
        </w:rPr>
        <w:fldChar w:fldCharType="begin"/>
      </w:r>
      <w:r w:rsidRPr="005F5BEA">
        <w:rPr>
          <w:rFonts w:ascii="Arial Narrow" w:eastAsia="Calibri" w:hAnsi="Arial Narrow" w:cs="Times New Roman"/>
          <w:b/>
          <w:iCs/>
          <w:sz w:val="20"/>
          <w:szCs w:val="20"/>
        </w:rPr>
        <w:instrText xml:space="preserve"> SEQ Table \* ARABIC </w:instrText>
      </w:r>
      <w:r w:rsidRPr="005F5BEA">
        <w:rPr>
          <w:rFonts w:ascii="Arial Narrow" w:eastAsia="Calibri" w:hAnsi="Arial Narrow" w:cs="Times New Roman"/>
          <w:b/>
          <w:iCs/>
          <w:sz w:val="20"/>
          <w:szCs w:val="20"/>
        </w:rPr>
        <w:fldChar w:fldCharType="separate"/>
      </w:r>
      <w:r w:rsidR="00334548">
        <w:rPr>
          <w:rFonts w:ascii="Arial Narrow" w:eastAsia="Calibri" w:hAnsi="Arial Narrow" w:cs="Times New Roman"/>
          <w:b/>
          <w:iCs/>
          <w:noProof/>
          <w:sz w:val="20"/>
          <w:szCs w:val="20"/>
        </w:rPr>
        <w:t>21</w:t>
      </w:r>
      <w:r w:rsidRPr="005F5BEA">
        <w:rPr>
          <w:rFonts w:ascii="Arial Narrow" w:eastAsia="Calibri" w:hAnsi="Arial Narrow" w:cs="Times New Roman"/>
          <w:b/>
          <w:iCs/>
          <w:noProof/>
          <w:sz w:val="20"/>
          <w:szCs w:val="20"/>
        </w:rPr>
        <w:fldChar w:fldCharType="end"/>
      </w:r>
      <w:bookmarkEnd w:id="38"/>
      <w:r w:rsidRPr="005F5BEA">
        <w:rPr>
          <w:rFonts w:ascii="Arial Narrow" w:eastAsia="Calibri" w:hAnsi="Arial Narrow" w:cs="Times New Roman"/>
          <w:b/>
          <w:iCs/>
          <w:sz w:val="20"/>
          <w:szCs w:val="20"/>
        </w:rPr>
        <w:tab/>
        <w:t xml:space="preserve">Costs included in training </w:t>
      </w:r>
      <w:proofErr w:type="gramStart"/>
      <w:r w:rsidRPr="005F5BEA">
        <w:rPr>
          <w:rFonts w:ascii="Arial Narrow" w:eastAsia="Calibri" w:hAnsi="Arial Narrow" w:cs="Times New Roman"/>
          <w:b/>
          <w:iCs/>
          <w:sz w:val="20"/>
          <w:szCs w:val="20"/>
        </w:rPr>
        <w:t>IECTs</w:t>
      </w:r>
      <w:proofErr w:type="gramEnd"/>
    </w:p>
    <w:tbl>
      <w:tblPr>
        <w:tblStyle w:val="TableGrid1"/>
        <w:tblW w:w="0" w:type="auto"/>
        <w:tblLook w:val="04A0" w:firstRow="1" w:lastRow="0" w:firstColumn="1" w:lastColumn="0" w:noHBand="0" w:noVBand="1"/>
      </w:tblPr>
      <w:tblGrid>
        <w:gridCol w:w="3114"/>
        <w:gridCol w:w="2768"/>
        <w:gridCol w:w="3134"/>
      </w:tblGrid>
      <w:tr w:rsidR="001454B1" w:rsidRPr="005F5BEA" w14:paraId="75031774" w14:textId="77777777" w:rsidTr="00032276">
        <w:tc>
          <w:tcPr>
            <w:tcW w:w="3114" w:type="dxa"/>
          </w:tcPr>
          <w:p w14:paraId="73DBB133" w14:textId="77777777" w:rsidR="001454B1" w:rsidRPr="005F5BEA" w:rsidRDefault="001454B1" w:rsidP="001454B1">
            <w:pPr>
              <w:spacing w:before="0"/>
              <w:rPr>
                <w:rFonts w:ascii="Arial Narrow" w:eastAsia="Calibri" w:hAnsi="Arial Narrow" w:cs="Times New Roman"/>
                <w:b/>
                <w:sz w:val="20"/>
                <w:szCs w:val="20"/>
              </w:rPr>
            </w:pPr>
            <w:r w:rsidRPr="005F5BEA">
              <w:rPr>
                <w:rFonts w:ascii="Arial Narrow" w:eastAsia="Calibri" w:hAnsi="Arial Narrow" w:cs="Times New Roman"/>
                <w:b/>
                <w:sz w:val="20"/>
                <w:szCs w:val="20"/>
              </w:rPr>
              <w:t>Cost component</w:t>
            </w:r>
          </w:p>
        </w:tc>
        <w:tc>
          <w:tcPr>
            <w:tcW w:w="2768" w:type="dxa"/>
          </w:tcPr>
          <w:p w14:paraId="4E29E2D2" w14:textId="77777777" w:rsidR="001454B1" w:rsidRPr="005F5BEA" w:rsidRDefault="001454B1" w:rsidP="001454B1">
            <w:pPr>
              <w:spacing w:before="0"/>
              <w:rPr>
                <w:rFonts w:ascii="Arial Narrow" w:eastAsia="Calibri" w:hAnsi="Arial Narrow" w:cs="Times New Roman"/>
                <w:b/>
                <w:sz w:val="20"/>
                <w:szCs w:val="20"/>
              </w:rPr>
            </w:pPr>
            <w:r w:rsidRPr="005F5BEA">
              <w:rPr>
                <w:rFonts w:ascii="Arial Narrow" w:eastAsia="Calibri" w:hAnsi="Arial Narrow" w:cs="Times New Roman"/>
                <w:b/>
                <w:sz w:val="20"/>
                <w:szCs w:val="20"/>
              </w:rPr>
              <w:t>Cost</w:t>
            </w:r>
          </w:p>
        </w:tc>
        <w:tc>
          <w:tcPr>
            <w:tcW w:w="3134" w:type="dxa"/>
          </w:tcPr>
          <w:p w14:paraId="37EF5E58" w14:textId="77777777" w:rsidR="001454B1" w:rsidRPr="00185424" w:rsidRDefault="001454B1" w:rsidP="001454B1">
            <w:pPr>
              <w:spacing w:before="0"/>
              <w:rPr>
                <w:rFonts w:ascii="Arial Narrow" w:eastAsia="Calibri" w:hAnsi="Arial Narrow" w:cs="Times New Roman"/>
                <w:b/>
                <w:sz w:val="20"/>
                <w:szCs w:val="20"/>
              </w:rPr>
            </w:pPr>
            <w:r w:rsidRPr="00185424">
              <w:rPr>
                <w:rFonts w:ascii="Arial Narrow" w:eastAsia="Calibri" w:hAnsi="Arial Narrow" w:cs="Times New Roman"/>
                <w:b/>
                <w:sz w:val="20"/>
                <w:szCs w:val="20"/>
              </w:rPr>
              <w:t>Revised based on MSAC PSD</w:t>
            </w:r>
          </w:p>
        </w:tc>
      </w:tr>
      <w:tr w:rsidR="001454B1" w:rsidRPr="005F5BEA" w14:paraId="3D9F9EA9" w14:textId="77777777" w:rsidTr="00032276">
        <w:tc>
          <w:tcPr>
            <w:tcW w:w="3114" w:type="dxa"/>
          </w:tcPr>
          <w:p w14:paraId="12A7B3E8"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Times New Roman"/>
                <w:sz w:val="20"/>
                <w:szCs w:val="20"/>
              </w:rPr>
              <w:t>IBHRE certification</w:t>
            </w:r>
          </w:p>
        </w:tc>
        <w:tc>
          <w:tcPr>
            <w:tcW w:w="2768" w:type="dxa"/>
          </w:tcPr>
          <w:p w14:paraId="46AD7B03"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Times New Roman"/>
                <w:sz w:val="20"/>
                <w:szCs w:val="20"/>
              </w:rPr>
              <w:t>$13,267.40</w:t>
            </w:r>
          </w:p>
        </w:tc>
        <w:tc>
          <w:tcPr>
            <w:tcW w:w="3134" w:type="dxa"/>
          </w:tcPr>
          <w:p w14:paraId="0854F09E" w14:textId="77777777" w:rsidR="001454B1" w:rsidRPr="00185424" w:rsidRDefault="001454B1" w:rsidP="001454B1">
            <w:pPr>
              <w:spacing w:before="0"/>
              <w:rPr>
                <w:rFonts w:ascii="Arial Narrow" w:eastAsia="Calibri" w:hAnsi="Arial Narrow" w:cs="Times New Roman"/>
                <w:sz w:val="20"/>
                <w:szCs w:val="20"/>
              </w:rPr>
            </w:pPr>
            <w:r w:rsidRPr="00185424">
              <w:rPr>
                <w:rFonts w:ascii="Arial Narrow" w:eastAsia="Calibri" w:hAnsi="Arial Narrow" w:cs="Times New Roman"/>
                <w:sz w:val="20"/>
                <w:szCs w:val="20"/>
              </w:rPr>
              <w:t xml:space="preserve">Retain – applied to 10% of workforce </w:t>
            </w:r>
          </w:p>
        </w:tc>
      </w:tr>
      <w:tr w:rsidR="001454B1" w:rsidRPr="005F5BEA" w14:paraId="727E8177" w14:textId="77777777" w:rsidTr="00032276">
        <w:tc>
          <w:tcPr>
            <w:tcW w:w="3114" w:type="dxa"/>
          </w:tcPr>
          <w:p w14:paraId="2F969B41"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Times New Roman"/>
                <w:sz w:val="20"/>
                <w:szCs w:val="20"/>
              </w:rPr>
              <w:t>Annual training (update)</w:t>
            </w:r>
          </w:p>
        </w:tc>
        <w:tc>
          <w:tcPr>
            <w:tcW w:w="2768" w:type="dxa"/>
          </w:tcPr>
          <w:p w14:paraId="3FCEC8A2"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Times New Roman"/>
                <w:sz w:val="20"/>
                <w:szCs w:val="20"/>
              </w:rPr>
              <w:t>$15,920.88</w:t>
            </w:r>
          </w:p>
        </w:tc>
        <w:tc>
          <w:tcPr>
            <w:tcW w:w="3134" w:type="dxa"/>
          </w:tcPr>
          <w:p w14:paraId="7AF3B548" w14:textId="77777777" w:rsidR="001454B1" w:rsidRPr="00185424" w:rsidRDefault="001454B1" w:rsidP="001454B1">
            <w:pPr>
              <w:spacing w:before="0"/>
              <w:rPr>
                <w:rFonts w:ascii="Arial Narrow" w:eastAsia="Calibri" w:hAnsi="Arial Narrow" w:cs="Times New Roman"/>
                <w:sz w:val="20"/>
                <w:szCs w:val="20"/>
              </w:rPr>
            </w:pPr>
            <w:r w:rsidRPr="00185424">
              <w:rPr>
                <w:rFonts w:ascii="Arial Narrow" w:eastAsia="Calibri" w:hAnsi="Arial Narrow" w:cs="Times New Roman"/>
                <w:sz w:val="20"/>
                <w:szCs w:val="20"/>
              </w:rPr>
              <w:t>Retain</w:t>
            </w:r>
          </w:p>
        </w:tc>
      </w:tr>
      <w:tr w:rsidR="001454B1" w:rsidRPr="005F5BEA" w14:paraId="43DCA610" w14:textId="77777777" w:rsidTr="00032276">
        <w:tc>
          <w:tcPr>
            <w:tcW w:w="3114" w:type="dxa"/>
          </w:tcPr>
          <w:p w14:paraId="7A39AB3D"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Times New Roman"/>
                <w:sz w:val="20"/>
                <w:szCs w:val="20"/>
              </w:rPr>
              <w:t>Onboarding costs</w:t>
            </w:r>
          </w:p>
        </w:tc>
        <w:tc>
          <w:tcPr>
            <w:tcW w:w="2768" w:type="dxa"/>
          </w:tcPr>
          <w:p w14:paraId="116B2A7D"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Times New Roman"/>
                <w:sz w:val="20"/>
                <w:szCs w:val="20"/>
              </w:rPr>
              <w:t>$212,278.43 (applied to 10% turnover)</w:t>
            </w:r>
          </w:p>
        </w:tc>
        <w:tc>
          <w:tcPr>
            <w:tcW w:w="3134" w:type="dxa"/>
          </w:tcPr>
          <w:p w14:paraId="5749C378" w14:textId="77777777" w:rsidR="001454B1" w:rsidRPr="00185424" w:rsidRDefault="001454B1" w:rsidP="001454B1">
            <w:pPr>
              <w:spacing w:before="0"/>
              <w:rPr>
                <w:rFonts w:ascii="Arial Narrow" w:eastAsia="Calibri" w:hAnsi="Arial Narrow" w:cs="Times New Roman"/>
                <w:sz w:val="20"/>
                <w:szCs w:val="20"/>
              </w:rPr>
            </w:pPr>
            <w:r w:rsidRPr="00185424">
              <w:rPr>
                <w:rFonts w:ascii="Arial Narrow" w:eastAsia="Calibri" w:hAnsi="Arial Narrow" w:cs="Times New Roman"/>
                <w:sz w:val="20"/>
                <w:szCs w:val="20"/>
              </w:rPr>
              <w:t>$30,000</w:t>
            </w:r>
          </w:p>
        </w:tc>
      </w:tr>
      <w:tr w:rsidR="001454B1" w:rsidRPr="005F5BEA" w14:paraId="4AD652F5" w14:textId="77777777" w:rsidTr="00032276">
        <w:tc>
          <w:tcPr>
            <w:tcW w:w="3114" w:type="dxa"/>
          </w:tcPr>
          <w:p w14:paraId="02DB9AFE"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Times New Roman"/>
                <w:sz w:val="20"/>
                <w:szCs w:val="20"/>
              </w:rPr>
              <w:t>Turnover for on-boarding costs</w:t>
            </w:r>
          </w:p>
        </w:tc>
        <w:tc>
          <w:tcPr>
            <w:tcW w:w="2768" w:type="dxa"/>
          </w:tcPr>
          <w:p w14:paraId="3DD5BA52"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Times New Roman"/>
                <w:sz w:val="20"/>
                <w:szCs w:val="20"/>
              </w:rPr>
              <w:t>10%</w:t>
            </w:r>
          </w:p>
        </w:tc>
        <w:tc>
          <w:tcPr>
            <w:tcW w:w="3134" w:type="dxa"/>
          </w:tcPr>
          <w:p w14:paraId="4B59B089" w14:textId="77777777" w:rsidR="001454B1" w:rsidRPr="00185424" w:rsidRDefault="001454B1" w:rsidP="001454B1">
            <w:pPr>
              <w:spacing w:before="0"/>
              <w:rPr>
                <w:rFonts w:ascii="Arial Narrow" w:eastAsia="Calibri" w:hAnsi="Arial Narrow" w:cs="Times New Roman"/>
                <w:sz w:val="20"/>
                <w:szCs w:val="20"/>
              </w:rPr>
            </w:pPr>
            <w:r w:rsidRPr="00185424">
              <w:rPr>
                <w:rFonts w:ascii="Arial Narrow" w:eastAsia="Calibri" w:hAnsi="Arial Narrow" w:cs="Times New Roman"/>
                <w:sz w:val="20"/>
                <w:szCs w:val="20"/>
              </w:rPr>
              <w:t>10%</w:t>
            </w:r>
          </w:p>
        </w:tc>
      </w:tr>
      <w:tr w:rsidR="001454B1" w:rsidRPr="005F5BEA" w14:paraId="0CF1D7B4" w14:textId="77777777" w:rsidTr="00032276">
        <w:tc>
          <w:tcPr>
            <w:tcW w:w="3114" w:type="dxa"/>
          </w:tcPr>
          <w:p w14:paraId="1B395D05"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Times New Roman"/>
                <w:sz w:val="20"/>
                <w:szCs w:val="20"/>
              </w:rPr>
              <w:t xml:space="preserve">Total cost per IECT per year (in </w:t>
            </w:r>
            <w:proofErr w:type="gramStart"/>
            <w:r w:rsidRPr="005F5BEA">
              <w:rPr>
                <w:rFonts w:ascii="Arial Narrow" w:eastAsia="Calibri" w:hAnsi="Arial Narrow" w:cs="Times New Roman"/>
                <w:sz w:val="20"/>
                <w:szCs w:val="20"/>
              </w:rPr>
              <w:t>2022)</w:t>
            </w:r>
            <w:r w:rsidRPr="005F5BEA">
              <w:rPr>
                <w:rFonts w:ascii="Arial Narrow" w:eastAsia="Calibri" w:hAnsi="Arial Narrow" w:cs="Times New Roman"/>
                <w:sz w:val="20"/>
                <w:szCs w:val="20"/>
                <w:vertAlign w:val="superscript"/>
              </w:rPr>
              <w:t>a</w:t>
            </w:r>
            <w:proofErr w:type="gramEnd"/>
          </w:p>
        </w:tc>
        <w:tc>
          <w:tcPr>
            <w:tcW w:w="2768" w:type="dxa"/>
          </w:tcPr>
          <w:p w14:paraId="02B23E65"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Times New Roman"/>
                <w:sz w:val="20"/>
                <w:szCs w:val="20"/>
              </w:rPr>
              <w:t>$50,416.12</w:t>
            </w:r>
          </w:p>
        </w:tc>
        <w:tc>
          <w:tcPr>
            <w:tcW w:w="3134" w:type="dxa"/>
          </w:tcPr>
          <w:p w14:paraId="0B10574D" w14:textId="77777777" w:rsidR="001454B1" w:rsidRPr="00185424" w:rsidRDefault="001454B1" w:rsidP="001454B1">
            <w:pPr>
              <w:spacing w:before="0"/>
              <w:rPr>
                <w:rFonts w:ascii="Arial Narrow" w:eastAsia="Calibri" w:hAnsi="Arial Narrow" w:cs="Times New Roman"/>
                <w:sz w:val="20"/>
                <w:szCs w:val="20"/>
              </w:rPr>
            </w:pPr>
            <w:r w:rsidRPr="00185424">
              <w:rPr>
                <w:rFonts w:ascii="Arial Narrow" w:eastAsia="Calibri" w:hAnsi="Arial Narrow" w:cs="Times New Roman"/>
                <w:sz w:val="20"/>
                <w:szCs w:val="20"/>
              </w:rPr>
              <w:t>$20,248</w:t>
            </w:r>
          </w:p>
        </w:tc>
      </w:tr>
      <w:tr w:rsidR="001454B1" w:rsidRPr="005F5BEA" w14:paraId="718EE01A" w14:textId="77777777" w:rsidTr="00032276">
        <w:tc>
          <w:tcPr>
            <w:tcW w:w="3114" w:type="dxa"/>
          </w:tcPr>
          <w:p w14:paraId="34ECDDBD"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Times New Roman"/>
                <w:sz w:val="20"/>
                <w:szCs w:val="20"/>
              </w:rPr>
              <w:t xml:space="preserve">Total cost in the model (in </w:t>
            </w:r>
            <w:proofErr w:type="gramStart"/>
            <w:r w:rsidRPr="005F5BEA">
              <w:rPr>
                <w:rFonts w:ascii="Arial Narrow" w:eastAsia="Calibri" w:hAnsi="Arial Narrow" w:cs="Times New Roman"/>
                <w:sz w:val="20"/>
                <w:szCs w:val="20"/>
              </w:rPr>
              <w:t>2022)</w:t>
            </w:r>
            <w:r w:rsidRPr="005F5BEA">
              <w:rPr>
                <w:rFonts w:ascii="Arial Narrow" w:eastAsia="Calibri" w:hAnsi="Arial Narrow" w:cs="Times New Roman"/>
                <w:sz w:val="20"/>
                <w:szCs w:val="20"/>
                <w:vertAlign w:val="superscript"/>
              </w:rPr>
              <w:t>b</w:t>
            </w:r>
            <w:proofErr w:type="gramEnd"/>
          </w:p>
        </w:tc>
        <w:tc>
          <w:tcPr>
            <w:tcW w:w="2768" w:type="dxa"/>
          </w:tcPr>
          <w:p w14:paraId="7E035F92"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Times New Roman"/>
                <w:sz w:val="20"/>
                <w:szCs w:val="20"/>
              </w:rPr>
              <w:t>$15,175,253</w:t>
            </w:r>
          </w:p>
        </w:tc>
        <w:tc>
          <w:tcPr>
            <w:tcW w:w="3134" w:type="dxa"/>
          </w:tcPr>
          <w:p w14:paraId="62765B06" w14:textId="77777777" w:rsidR="001454B1" w:rsidRPr="00185424" w:rsidRDefault="001454B1" w:rsidP="001454B1">
            <w:pPr>
              <w:spacing w:before="0"/>
              <w:rPr>
                <w:rFonts w:ascii="Arial Narrow" w:eastAsia="Calibri" w:hAnsi="Arial Narrow" w:cs="Times New Roman"/>
                <w:sz w:val="20"/>
                <w:szCs w:val="20"/>
              </w:rPr>
            </w:pPr>
            <w:r w:rsidRPr="00185424">
              <w:rPr>
                <w:rFonts w:ascii="Arial Narrow" w:eastAsia="Calibri" w:hAnsi="Arial Narrow" w:cs="Times New Roman"/>
                <w:sz w:val="20"/>
                <w:szCs w:val="20"/>
              </w:rPr>
              <w:t>$6,094,534</w:t>
            </w:r>
          </w:p>
        </w:tc>
      </w:tr>
    </w:tbl>
    <w:p w14:paraId="11382701"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Source: derived from the updated utilisation and cost model spreadsheet and March 2023 MSAC PSD</w:t>
      </w:r>
    </w:p>
    <w:p w14:paraId="323D1806" w14:textId="77777777" w:rsidR="001454B1" w:rsidRPr="005F5BEA" w:rsidRDefault="001454B1" w:rsidP="001454B1">
      <w:pPr>
        <w:spacing w:after="240"/>
        <w:contextualSpacing/>
        <w:jc w:val="both"/>
        <w:rPr>
          <w:rFonts w:ascii="Arial Narrow" w:eastAsia="Calibri" w:hAnsi="Arial Narrow" w:cs="Arial"/>
          <w:sz w:val="18"/>
        </w:rPr>
      </w:pPr>
      <w:proofErr w:type="spellStart"/>
      <w:r w:rsidRPr="005F5BEA">
        <w:rPr>
          <w:rFonts w:ascii="Arial Narrow" w:eastAsia="Calibri" w:hAnsi="Arial Narrow" w:cs="Arial"/>
          <w:sz w:val="18"/>
          <w:vertAlign w:val="superscript"/>
        </w:rPr>
        <w:t>a</w:t>
      </w:r>
      <w:r w:rsidRPr="005F5BEA">
        <w:rPr>
          <w:rFonts w:ascii="Arial Narrow" w:eastAsia="Calibri" w:hAnsi="Arial Narrow" w:cs="Arial"/>
          <w:sz w:val="18"/>
        </w:rPr>
        <w:t>Total</w:t>
      </w:r>
      <w:proofErr w:type="spellEnd"/>
      <w:r w:rsidRPr="005F5BEA">
        <w:rPr>
          <w:rFonts w:ascii="Arial Narrow" w:eastAsia="Calibri" w:hAnsi="Arial Narrow" w:cs="Arial"/>
          <w:sz w:val="18"/>
        </w:rPr>
        <w:t xml:space="preserve"> cost per IECT is estimated as certification costs plus training costs plus 10% x onboarding </w:t>
      </w:r>
      <w:proofErr w:type="gramStart"/>
      <w:r w:rsidRPr="005F5BEA">
        <w:rPr>
          <w:rFonts w:ascii="Arial Narrow" w:eastAsia="Calibri" w:hAnsi="Arial Narrow" w:cs="Arial"/>
          <w:sz w:val="18"/>
        </w:rPr>
        <w:t>costs</w:t>
      </w:r>
      <w:proofErr w:type="gramEnd"/>
    </w:p>
    <w:p w14:paraId="6CCF5CAB" w14:textId="77777777" w:rsidR="001454B1" w:rsidRPr="005F5BEA" w:rsidRDefault="001454B1" w:rsidP="00374BF7">
      <w:pPr>
        <w:spacing w:before="0" w:after="240"/>
        <w:jc w:val="both"/>
        <w:rPr>
          <w:rFonts w:ascii="Arial Narrow" w:eastAsia="Calibri" w:hAnsi="Arial Narrow" w:cs="Arial"/>
          <w:sz w:val="18"/>
        </w:rPr>
      </w:pPr>
      <w:proofErr w:type="spellStart"/>
      <w:r w:rsidRPr="005F5BEA">
        <w:rPr>
          <w:rFonts w:ascii="Arial Narrow" w:eastAsia="Calibri" w:hAnsi="Arial Narrow" w:cs="Arial"/>
          <w:sz w:val="18"/>
          <w:vertAlign w:val="superscript"/>
        </w:rPr>
        <w:t>b</w:t>
      </w:r>
      <w:r w:rsidRPr="005F5BEA">
        <w:rPr>
          <w:rFonts w:ascii="Arial Narrow" w:eastAsia="Calibri" w:hAnsi="Arial Narrow" w:cs="Arial"/>
          <w:sz w:val="18"/>
        </w:rPr>
        <w:t>Total</w:t>
      </w:r>
      <w:proofErr w:type="spellEnd"/>
      <w:r w:rsidRPr="005F5BEA">
        <w:rPr>
          <w:rFonts w:ascii="Arial Narrow" w:eastAsia="Calibri" w:hAnsi="Arial Narrow" w:cs="Arial"/>
          <w:sz w:val="18"/>
        </w:rPr>
        <w:t xml:space="preserve"> cost in the model is estimated as total cost per IECT x 301 </w:t>
      </w:r>
      <w:proofErr w:type="gramStart"/>
      <w:r w:rsidRPr="005F5BEA">
        <w:rPr>
          <w:rFonts w:ascii="Arial Narrow" w:eastAsia="Calibri" w:hAnsi="Arial Narrow" w:cs="Arial"/>
          <w:sz w:val="18"/>
        </w:rPr>
        <w:t>IECTs</w:t>
      </w:r>
      <w:proofErr w:type="gramEnd"/>
    </w:p>
    <w:p w14:paraId="6A22F8B1" w14:textId="21B50D88" w:rsidR="001454B1" w:rsidRPr="005F5BEA" w:rsidRDefault="15DB8F46" w:rsidP="004E4FCA">
      <w:r w:rsidRPr="005F5BEA">
        <w:t xml:space="preserve">The revised certification costs assumes that only new staff require certification, and that there is a 10% turnover of staff each year. Staff turnover is sourced from the applicant’s model. </w:t>
      </w:r>
      <w:r w:rsidR="28FF5095" w:rsidRPr="005F5BEA">
        <w:t>The focussed evaluat</w:t>
      </w:r>
      <w:r w:rsidR="5F6CA93D" w:rsidRPr="005F5BEA">
        <w:t>i</w:t>
      </w:r>
      <w:r w:rsidR="28FF5095" w:rsidRPr="005F5BEA">
        <w:t>on considered that i</w:t>
      </w:r>
      <w:r w:rsidRPr="005F5BEA">
        <w:t xml:space="preserve">f certification is required of all staff on a regular basis (such as every 10 years), then the estimation of certification costs would be slightly higher. Based on an annual 10% rate of turnover, most staff would not practice as an IECT for the full 10 years and therefore would not require re-certification, however a proportion would. </w:t>
      </w:r>
    </w:p>
    <w:p w14:paraId="5AAB7FC8" w14:textId="77777777" w:rsidR="001454B1" w:rsidRPr="005F5BEA" w:rsidRDefault="001454B1" w:rsidP="00DC369D">
      <w:pPr>
        <w:pStyle w:val="Heading4"/>
      </w:pPr>
      <w:r w:rsidRPr="005F5BEA">
        <w:t>Overhead costs</w:t>
      </w:r>
    </w:p>
    <w:p w14:paraId="00520190" w14:textId="6A62BB76" w:rsidR="001454B1" w:rsidRPr="005F5BEA" w:rsidRDefault="15DB8F46" w:rsidP="001454B1">
      <w:pPr>
        <w:spacing w:before="0"/>
        <w:rPr>
          <w:rFonts w:eastAsia="Calibri" w:cs="Times New Roman"/>
        </w:rPr>
      </w:pPr>
      <w:r w:rsidRPr="005F5BEA">
        <w:rPr>
          <w:rFonts w:eastAsia="Calibri" w:cs="Times New Roman"/>
        </w:rPr>
        <w:t xml:space="preserve">The ADAR stated that overhead costs (provided in Round 1) </w:t>
      </w:r>
      <w:r w:rsidR="280C1C7C" w:rsidRPr="005F5BEA">
        <w:rPr>
          <w:rFonts w:eastAsia="Calibri" w:cs="Times New Roman"/>
        </w:rPr>
        <w:t>were</w:t>
      </w:r>
      <w:r w:rsidRPr="005F5BEA">
        <w:rPr>
          <w:rFonts w:eastAsia="Calibri" w:cs="Times New Roman"/>
        </w:rPr>
        <w:t xml:space="preserve"> a collection of costs that are not directly related to the provision of cardiac technical support </w:t>
      </w:r>
      <w:proofErr w:type="gramStart"/>
      <w:r w:rsidRPr="005F5BEA">
        <w:rPr>
          <w:rFonts w:eastAsia="Calibri" w:cs="Times New Roman"/>
        </w:rPr>
        <w:t>services</w:t>
      </w:r>
      <w:proofErr w:type="gramEnd"/>
      <w:r w:rsidRPr="005F5BEA">
        <w:rPr>
          <w:rFonts w:eastAsia="Calibri" w:cs="Times New Roman"/>
        </w:rPr>
        <w:t xml:space="preserve"> but which are required for the provision of services and therefore need to be factored into the total resourcing requirement (IHPA Australian Hospital Patient Costing Standards 4.1, 2021). In the case of IECT-provided cardiac services, the following overhead or indirect costs are included:</w:t>
      </w:r>
    </w:p>
    <w:p w14:paraId="6512A5FC" w14:textId="77777777" w:rsidR="001454B1" w:rsidRPr="005F5BEA" w:rsidRDefault="001454B1" w:rsidP="00AB5B20">
      <w:pPr>
        <w:numPr>
          <w:ilvl w:val="0"/>
          <w:numId w:val="22"/>
        </w:numPr>
        <w:spacing w:before="0"/>
        <w:contextualSpacing/>
        <w:rPr>
          <w:rFonts w:eastAsia="Calibri" w:cs="Times New Roman"/>
        </w:rPr>
      </w:pPr>
      <w:r w:rsidRPr="005F5BEA">
        <w:rPr>
          <w:rFonts w:eastAsia="Calibri" w:cs="Times New Roman"/>
        </w:rPr>
        <w:t xml:space="preserve">Annual cost of equipment such as programmers and consumables needed for service delivery, including stock </w:t>
      </w:r>
      <w:proofErr w:type="gramStart"/>
      <w:r w:rsidRPr="005F5BEA">
        <w:rPr>
          <w:rFonts w:eastAsia="Calibri" w:cs="Times New Roman"/>
        </w:rPr>
        <w:t>write-offs</w:t>
      </w:r>
      <w:proofErr w:type="gramEnd"/>
    </w:p>
    <w:p w14:paraId="1776A8FD" w14:textId="77777777" w:rsidR="001454B1" w:rsidRPr="005F5BEA" w:rsidRDefault="001454B1" w:rsidP="00AB5B20">
      <w:pPr>
        <w:numPr>
          <w:ilvl w:val="0"/>
          <w:numId w:val="22"/>
        </w:numPr>
        <w:spacing w:before="0"/>
        <w:contextualSpacing/>
        <w:rPr>
          <w:rFonts w:eastAsia="Calibri" w:cs="Times New Roman"/>
        </w:rPr>
      </w:pPr>
      <w:r w:rsidRPr="005F5BEA">
        <w:rPr>
          <w:rFonts w:eastAsia="Calibri" w:cs="Times New Roman"/>
        </w:rPr>
        <w:t>Cost of remote monitoring network maintenance</w:t>
      </w:r>
    </w:p>
    <w:p w14:paraId="3E3DBE1D" w14:textId="77777777" w:rsidR="001454B1" w:rsidRPr="005F5BEA" w:rsidRDefault="15DB8F46" w:rsidP="00374BF7">
      <w:pPr>
        <w:numPr>
          <w:ilvl w:val="0"/>
          <w:numId w:val="22"/>
        </w:numPr>
        <w:spacing w:before="0"/>
        <w:ind w:left="765" w:hanging="357"/>
        <w:rPr>
          <w:rFonts w:eastAsia="Calibri" w:cs="Times New Roman"/>
        </w:rPr>
      </w:pPr>
      <w:r w:rsidRPr="005F5BEA">
        <w:rPr>
          <w:rFonts w:eastAsia="Calibri" w:cs="Times New Roman"/>
        </w:rPr>
        <w:t xml:space="preserve">Administrative costs around maintaining labour force (Finance, HR, Supply Chains etc) </w:t>
      </w:r>
    </w:p>
    <w:p w14:paraId="61B32DF5" w14:textId="77777777" w:rsidR="001454B1" w:rsidRPr="005F5BEA" w:rsidRDefault="001454B1" w:rsidP="00374BF7">
      <w:pPr>
        <w:spacing w:before="240"/>
        <w:rPr>
          <w:rFonts w:eastAsia="Calibri" w:cs="Times New Roman"/>
        </w:rPr>
      </w:pPr>
      <w:r w:rsidRPr="005F5BEA">
        <w:rPr>
          <w:rFonts w:eastAsia="Calibri" w:cs="Times New Roman"/>
        </w:rPr>
        <w:t xml:space="preserve">The ADAR (Round 1) estimated the overhead costs at 30% of direct costs. Direct costs were estimated as the </w:t>
      </w:r>
      <w:proofErr w:type="gramStart"/>
      <w:r w:rsidRPr="005F5BEA">
        <w:rPr>
          <w:rFonts w:eastAsia="Calibri" w:cs="Times New Roman"/>
        </w:rPr>
        <w:t>sum total</w:t>
      </w:r>
      <w:proofErr w:type="gramEnd"/>
      <w:r w:rsidRPr="005F5BEA">
        <w:rPr>
          <w:rFonts w:eastAsia="Calibri" w:cs="Times New Roman"/>
        </w:rPr>
        <w:t xml:space="preserve"> of labour costs, training costs and travel costs. The use of 30% is in </w:t>
      </w:r>
      <w:r w:rsidRPr="005F5BEA">
        <w:rPr>
          <w:rFonts w:eastAsia="Calibri" w:cs="Times New Roman"/>
        </w:rPr>
        <w:lastRenderedPageBreak/>
        <w:t>line with the average value of overhead costs in last five rounds of National Hospital Cost Data Collection (NHCDC) Public Hospitals Report.</w:t>
      </w:r>
    </w:p>
    <w:p w14:paraId="31F6FE86" w14:textId="30E7FF83" w:rsidR="001454B1" w:rsidRPr="005F5BEA" w:rsidRDefault="00247277" w:rsidP="001454B1">
      <w:pPr>
        <w:spacing w:before="0"/>
        <w:rPr>
          <w:rFonts w:eastAsia="Calibri" w:cs="Times New Roman"/>
        </w:rPr>
      </w:pPr>
      <w:r w:rsidRPr="005F5BEA">
        <w:rPr>
          <w:rFonts w:eastAsia="Calibri" w:cs="Times New Roman"/>
        </w:rPr>
        <w:t>The</w:t>
      </w:r>
      <w:r w:rsidR="001454B1" w:rsidRPr="005F5BEA">
        <w:rPr>
          <w:rFonts w:eastAsia="Calibri" w:cs="Times New Roman"/>
        </w:rPr>
        <w:t xml:space="preserve"> </w:t>
      </w:r>
      <w:r w:rsidR="00FB6F8F" w:rsidRPr="005F5BEA">
        <w:rPr>
          <w:rFonts w:eastAsia="Calibri" w:cs="Times New Roman"/>
        </w:rPr>
        <w:t xml:space="preserve">updated utilisation estimates </w:t>
      </w:r>
      <w:r w:rsidRPr="005F5BEA">
        <w:rPr>
          <w:rFonts w:eastAsia="Calibri" w:cs="Times New Roman"/>
        </w:rPr>
        <w:t>also included updated</w:t>
      </w:r>
      <w:r w:rsidR="001454B1" w:rsidRPr="005F5BEA">
        <w:rPr>
          <w:rFonts w:eastAsia="Calibri" w:cs="Times New Roman"/>
        </w:rPr>
        <w:t xml:space="preserve"> overhead costs from a survey of 5 participating companies. The</w:t>
      </w:r>
      <w:r w:rsidR="00FB6F8F" w:rsidRPr="005F5BEA">
        <w:rPr>
          <w:rFonts w:eastAsia="Calibri" w:cs="Times New Roman"/>
        </w:rPr>
        <w:t xml:space="preserve"> focussed evaluation considered the</w:t>
      </w:r>
      <w:r w:rsidR="001454B1" w:rsidRPr="005F5BEA">
        <w:rPr>
          <w:rFonts w:eastAsia="Calibri" w:cs="Times New Roman"/>
        </w:rPr>
        <w:t xml:space="preserve"> estimate of the overhead costs and the way in which they are applied in the model is uncertain</w:t>
      </w:r>
      <w:r w:rsidR="001454B1" w:rsidRPr="005F5BEA">
        <w:rPr>
          <w:rFonts w:eastAsia="Calibri" w:cs="Times New Roman"/>
          <w:i/>
          <w:iCs/>
        </w:rPr>
        <w:t>.</w:t>
      </w:r>
      <w:r w:rsidR="001454B1" w:rsidRPr="005F5BEA">
        <w:rPr>
          <w:rFonts w:eastAsia="Calibri" w:cs="Times New Roman"/>
        </w:rPr>
        <w:t xml:space="preserve"> The updated estimate of overhead costs was approximately $32 million in 2022. This updated estimate was reported is approximately 53.1% of the amount of non-overhead costs. This is a substantial increase from the estimate of 30% of non-overhead costs </w:t>
      </w:r>
      <w:r w:rsidRPr="005F5BEA">
        <w:rPr>
          <w:rFonts w:eastAsia="Calibri" w:cs="Times New Roman"/>
        </w:rPr>
        <w:t xml:space="preserve">previously </w:t>
      </w:r>
      <w:r w:rsidR="001454B1" w:rsidRPr="005F5BEA">
        <w:rPr>
          <w:rFonts w:eastAsia="Calibri" w:cs="Times New Roman"/>
        </w:rPr>
        <w:t>applied in the ADAR.</w:t>
      </w:r>
    </w:p>
    <w:p w14:paraId="6B8F3172" w14:textId="5AD7C9FD" w:rsidR="001454B1" w:rsidRPr="005F5BEA" w:rsidRDefault="001454B1" w:rsidP="001454B1">
      <w:pPr>
        <w:keepNext/>
        <w:spacing w:before="0" w:after="200" w:line="240" w:lineRule="auto"/>
        <w:rPr>
          <w:rFonts w:ascii="Arial Narrow" w:eastAsia="Calibri" w:hAnsi="Arial Narrow" w:cs="Times New Roman"/>
          <w:b/>
          <w:iCs/>
          <w:sz w:val="20"/>
          <w:szCs w:val="20"/>
        </w:rPr>
      </w:pPr>
      <w:bookmarkStart w:id="39" w:name="_Ref135077242"/>
      <w:r w:rsidRPr="005F5BEA">
        <w:rPr>
          <w:rFonts w:ascii="Arial Narrow" w:eastAsia="Calibri" w:hAnsi="Arial Narrow" w:cs="Times New Roman"/>
          <w:b/>
          <w:iCs/>
          <w:sz w:val="20"/>
          <w:szCs w:val="20"/>
        </w:rPr>
        <w:t xml:space="preserve">Table </w:t>
      </w:r>
      <w:r w:rsidRPr="005F5BEA">
        <w:rPr>
          <w:rFonts w:ascii="Arial Narrow" w:eastAsia="Calibri" w:hAnsi="Arial Narrow" w:cs="Times New Roman"/>
          <w:b/>
          <w:iCs/>
          <w:sz w:val="20"/>
          <w:szCs w:val="20"/>
        </w:rPr>
        <w:fldChar w:fldCharType="begin"/>
      </w:r>
      <w:r w:rsidRPr="005F5BEA">
        <w:rPr>
          <w:rFonts w:ascii="Arial Narrow" w:eastAsia="Calibri" w:hAnsi="Arial Narrow" w:cs="Times New Roman"/>
          <w:b/>
          <w:iCs/>
          <w:sz w:val="20"/>
          <w:szCs w:val="20"/>
        </w:rPr>
        <w:instrText xml:space="preserve"> SEQ Table \* ARABIC </w:instrText>
      </w:r>
      <w:r w:rsidRPr="005F5BEA">
        <w:rPr>
          <w:rFonts w:ascii="Arial Narrow" w:eastAsia="Calibri" w:hAnsi="Arial Narrow" w:cs="Times New Roman"/>
          <w:b/>
          <w:iCs/>
          <w:sz w:val="20"/>
          <w:szCs w:val="20"/>
        </w:rPr>
        <w:fldChar w:fldCharType="separate"/>
      </w:r>
      <w:r w:rsidR="00334548">
        <w:rPr>
          <w:rFonts w:ascii="Arial Narrow" w:eastAsia="Calibri" w:hAnsi="Arial Narrow" w:cs="Times New Roman"/>
          <w:b/>
          <w:iCs/>
          <w:noProof/>
          <w:sz w:val="20"/>
          <w:szCs w:val="20"/>
        </w:rPr>
        <w:t>22</w:t>
      </w:r>
      <w:r w:rsidRPr="005F5BEA">
        <w:rPr>
          <w:rFonts w:ascii="Arial Narrow" w:eastAsia="Calibri" w:hAnsi="Arial Narrow" w:cs="Times New Roman"/>
          <w:b/>
          <w:iCs/>
          <w:noProof/>
          <w:sz w:val="20"/>
          <w:szCs w:val="20"/>
        </w:rPr>
        <w:fldChar w:fldCharType="end"/>
      </w:r>
      <w:bookmarkEnd w:id="39"/>
      <w:r w:rsidRPr="005F5BEA">
        <w:rPr>
          <w:rFonts w:ascii="Arial Narrow" w:eastAsia="Calibri" w:hAnsi="Arial Narrow" w:cs="Times New Roman"/>
          <w:b/>
          <w:iCs/>
          <w:sz w:val="20"/>
          <w:szCs w:val="20"/>
        </w:rPr>
        <w:tab/>
        <w:t xml:space="preserve">Recorded overhead costs for 2022, and method of deriving overhead costs across the subsequent 3 </w:t>
      </w:r>
      <w:proofErr w:type="gramStart"/>
      <w:r w:rsidRPr="005F5BEA">
        <w:rPr>
          <w:rFonts w:ascii="Arial Narrow" w:eastAsia="Calibri" w:hAnsi="Arial Narrow" w:cs="Times New Roman"/>
          <w:b/>
          <w:iCs/>
          <w:sz w:val="20"/>
          <w:szCs w:val="20"/>
        </w:rPr>
        <w:t>years</w:t>
      </w:r>
      <w:proofErr w:type="gramEnd"/>
    </w:p>
    <w:tbl>
      <w:tblPr>
        <w:tblStyle w:val="TableGrid1"/>
        <w:tblW w:w="0" w:type="auto"/>
        <w:tblLook w:val="04A0" w:firstRow="1" w:lastRow="0" w:firstColumn="1" w:lastColumn="0" w:noHBand="0" w:noVBand="1"/>
      </w:tblPr>
      <w:tblGrid>
        <w:gridCol w:w="704"/>
        <w:gridCol w:w="3402"/>
        <w:gridCol w:w="1227"/>
        <w:gridCol w:w="1228"/>
        <w:gridCol w:w="1227"/>
        <w:gridCol w:w="1228"/>
      </w:tblGrid>
      <w:tr w:rsidR="001454B1" w:rsidRPr="005F5BEA" w14:paraId="36E8EFE5" w14:textId="77777777" w:rsidTr="00032276">
        <w:tc>
          <w:tcPr>
            <w:tcW w:w="704" w:type="dxa"/>
          </w:tcPr>
          <w:p w14:paraId="6F68C94A" w14:textId="77777777" w:rsidR="001454B1" w:rsidRPr="005F5BEA" w:rsidRDefault="001454B1" w:rsidP="001454B1">
            <w:pPr>
              <w:spacing w:before="0"/>
              <w:rPr>
                <w:rFonts w:ascii="Arial Narrow" w:eastAsia="Calibri" w:hAnsi="Arial Narrow" w:cs="Calibri"/>
                <w:color w:val="000000"/>
                <w:sz w:val="20"/>
                <w:szCs w:val="20"/>
              </w:rPr>
            </w:pPr>
          </w:p>
        </w:tc>
        <w:tc>
          <w:tcPr>
            <w:tcW w:w="3402" w:type="dxa"/>
            <w:vAlign w:val="center"/>
          </w:tcPr>
          <w:p w14:paraId="21FF04DC" w14:textId="77777777" w:rsidR="001454B1" w:rsidRPr="005F5BEA" w:rsidRDefault="001454B1" w:rsidP="001454B1">
            <w:pPr>
              <w:spacing w:before="0"/>
              <w:rPr>
                <w:rFonts w:ascii="Arial Narrow" w:eastAsia="Calibri" w:hAnsi="Arial Narrow" w:cs="Times New Roman"/>
                <w:sz w:val="20"/>
                <w:szCs w:val="20"/>
              </w:rPr>
            </w:pPr>
          </w:p>
        </w:tc>
        <w:tc>
          <w:tcPr>
            <w:tcW w:w="1227" w:type="dxa"/>
            <w:vAlign w:val="center"/>
          </w:tcPr>
          <w:p w14:paraId="4F6A31D4" w14:textId="77777777" w:rsidR="001454B1" w:rsidRPr="005F5BEA" w:rsidRDefault="001454B1" w:rsidP="001454B1">
            <w:pPr>
              <w:spacing w:before="0"/>
              <w:jc w:val="center"/>
              <w:rPr>
                <w:rFonts w:ascii="Arial Narrow" w:eastAsia="Calibri" w:hAnsi="Arial Narrow" w:cs="Times New Roman"/>
                <w:b/>
                <w:sz w:val="20"/>
                <w:szCs w:val="20"/>
              </w:rPr>
            </w:pPr>
            <w:r w:rsidRPr="005F5BEA">
              <w:rPr>
                <w:rFonts w:ascii="Arial Narrow" w:eastAsia="Calibri" w:hAnsi="Arial Narrow" w:cs="Calibri"/>
                <w:b/>
                <w:color w:val="000000"/>
                <w:sz w:val="20"/>
                <w:szCs w:val="20"/>
              </w:rPr>
              <w:t>2022</w:t>
            </w:r>
          </w:p>
        </w:tc>
        <w:tc>
          <w:tcPr>
            <w:tcW w:w="1228" w:type="dxa"/>
            <w:vAlign w:val="center"/>
          </w:tcPr>
          <w:p w14:paraId="38067DEA" w14:textId="77777777" w:rsidR="001454B1" w:rsidRPr="005F5BEA" w:rsidRDefault="001454B1" w:rsidP="001454B1">
            <w:pPr>
              <w:spacing w:before="0"/>
              <w:jc w:val="center"/>
              <w:rPr>
                <w:rFonts w:ascii="Arial Narrow" w:eastAsia="Calibri" w:hAnsi="Arial Narrow" w:cs="Times New Roman"/>
                <w:b/>
                <w:sz w:val="20"/>
                <w:szCs w:val="20"/>
              </w:rPr>
            </w:pPr>
            <w:r w:rsidRPr="005F5BEA">
              <w:rPr>
                <w:rFonts w:ascii="Arial Narrow" w:eastAsia="Calibri" w:hAnsi="Arial Narrow" w:cs="Calibri"/>
                <w:b/>
                <w:color w:val="000000"/>
                <w:sz w:val="20"/>
                <w:szCs w:val="20"/>
              </w:rPr>
              <w:t>2023</w:t>
            </w:r>
          </w:p>
        </w:tc>
        <w:tc>
          <w:tcPr>
            <w:tcW w:w="1227" w:type="dxa"/>
            <w:vAlign w:val="center"/>
          </w:tcPr>
          <w:p w14:paraId="6C19430F" w14:textId="77777777" w:rsidR="001454B1" w:rsidRPr="005F5BEA" w:rsidRDefault="001454B1" w:rsidP="001454B1">
            <w:pPr>
              <w:spacing w:before="0"/>
              <w:jc w:val="center"/>
              <w:rPr>
                <w:rFonts w:ascii="Arial Narrow" w:eastAsia="Calibri" w:hAnsi="Arial Narrow" w:cs="Times New Roman"/>
                <w:b/>
                <w:sz w:val="20"/>
                <w:szCs w:val="20"/>
              </w:rPr>
            </w:pPr>
            <w:r w:rsidRPr="005F5BEA">
              <w:rPr>
                <w:rFonts w:ascii="Arial Narrow" w:eastAsia="Calibri" w:hAnsi="Arial Narrow" w:cs="Calibri"/>
                <w:b/>
                <w:color w:val="000000"/>
                <w:sz w:val="20"/>
                <w:szCs w:val="20"/>
              </w:rPr>
              <w:t>2024</w:t>
            </w:r>
          </w:p>
        </w:tc>
        <w:tc>
          <w:tcPr>
            <w:tcW w:w="1228" w:type="dxa"/>
            <w:vAlign w:val="center"/>
          </w:tcPr>
          <w:p w14:paraId="202E9A7A" w14:textId="77777777" w:rsidR="001454B1" w:rsidRPr="005F5BEA" w:rsidRDefault="001454B1" w:rsidP="001454B1">
            <w:pPr>
              <w:spacing w:before="0"/>
              <w:jc w:val="center"/>
              <w:rPr>
                <w:rFonts w:ascii="Arial Narrow" w:eastAsia="Calibri" w:hAnsi="Arial Narrow" w:cs="Times New Roman"/>
                <w:b/>
                <w:sz w:val="20"/>
                <w:szCs w:val="20"/>
              </w:rPr>
            </w:pPr>
            <w:r w:rsidRPr="005F5BEA">
              <w:rPr>
                <w:rFonts w:ascii="Arial Narrow" w:eastAsia="Calibri" w:hAnsi="Arial Narrow" w:cs="Calibri"/>
                <w:b/>
                <w:color w:val="000000"/>
                <w:sz w:val="20"/>
                <w:szCs w:val="20"/>
              </w:rPr>
              <w:t>2025</w:t>
            </w:r>
          </w:p>
        </w:tc>
      </w:tr>
      <w:tr w:rsidR="001454B1" w:rsidRPr="005F5BEA" w14:paraId="04248CFE" w14:textId="77777777" w:rsidTr="00032276">
        <w:tc>
          <w:tcPr>
            <w:tcW w:w="704" w:type="dxa"/>
          </w:tcPr>
          <w:p w14:paraId="2147F92A" w14:textId="77777777" w:rsidR="001454B1" w:rsidRPr="005F5BEA" w:rsidRDefault="001454B1" w:rsidP="001454B1">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#1</w:t>
            </w:r>
          </w:p>
        </w:tc>
        <w:tc>
          <w:tcPr>
            <w:tcW w:w="3402" w:type="dxa"/>
            <w:vAlign w:val="center"/>
          </w:tcPr>
          <w:p w14:paraId="612E72FC"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Calibri"/>
                <w:color w:val="000000"/>
                <w:sz w:val="20"/>
                <w:szCs w:val="20"/>
              </w:rPr>
              <w:t xml:space="preserve">Total cost of </w:t>
            </w:r>
            <w:proofErr w:type="spellStart"/>
            <w:r w:rsidRPr="005F5BEA">
              <w:rPr>
                <w:rFonts w:ascii="Arial Narrow" w:eastAsia="Calibri" w:hAnsi="Arial Narrow" w:cs="Calibri"/>
                <w:color w:val="000000"/>
                <w:sz w:val="20"/>
                <w:szCs w:val="20"/>
              </w:rPr>
              <w:t>services</w:t>
            </w:r>
            <w:r w:rsidRPr="005F5BEA">
              <w:rPr>
                <w:rFonts w:ascii="Arial Narrow" w:eastAsia="Calibri" w:hAnsi="Arial Narrow" w:cs="Calibri"/>
                <w:color w:val="000000"/>
                <w:sz w:val="20"/>
                <w:szCs w:val="20"/>
                <w:vertAlign w:val="superscript"/>
              </w:rPr>
              <w:t>a</w:t>
            </w:r>
            <w:proofErr w:type="spellEnd"/>
          </w:p>
        </w:tc>
        <w:tc>
          <w:tcPr>
            <w:tcW w:w="1227" w:type="dxa"/>
            <w:vAlign w:val="center"/>
          </w:tcPr>
          <w:p w14:paraId="4DFE0643" w14:textId="77777777" w:rsidR="001454B1" w:rsidRPr="00461D0D" w:rsidRDefault="001454B1" w:rsidP="001454B1">
            <w:pPr>
              <w:spacing w:before="0"/>
              <w:rPr>
                <w:rFonts w:ascii="Arial Narrow" w:eastAsia="Calibri" w:hAnsi="Arial Narrow" w:cs="Times New Roman"/>
                <w:sz w:val="20"/>
                <w:szCs w:val="20"/>
              </w:rPr>
            </w:pPr>
            <w:r w:rsidRPr="00461D0D">
              <w:rPr>
                <w:rFonts w:ascii="Arial Narrow" w:eastAsia="Calibri" w:hAnsi="Arial Narrow" w:cs="Calibri"/>
                <w:color w:val="000000"/>
                <w:sz w:val="20"/>
                <w:szCs w:val="20"/>
              </w:rPr>
              <w:t>$73,275,912</w:t>
            </w:r>
          </w:p>
        </w:tc>
        <w:tc>
          <w:tcPr>
            <w:tcW w:w="1228" w:type="dxa"/>
            <w:vAlign w:val="center"/>
          </w:tcPr>
          <w:p w14:paraId="25431494" w14:textId="77777777" w:rsidR="001454B1" w:rsidRPr="00461D0D" w:rsidRDefault="001454B1" w:rsidP="001454B1">
            <w:pPr>
              <w:spacing w:before="0"/>
              <w:rPr>
                <w:rFonts w:ascii="Arial Narrow" w:eastAsia="Calibri" w:hAnsi="Arial Narrow" w:cs="Times New Roman"/>
                <w:sz w:val="20"/>
                <w:szCs w:val="20"/>
              </w:rPr>
            </w:pPr>
            <w:r w:rsidRPr="00461D0D">
              <w:rPr>
                <w:rFonts w:ascii="Arial Narrow" w:eastAsia="Calibri" w:hAnsi="Arial Narrow" w:cs="Calibri"/>
                <w:color w:val="000000"/>
                <w:sz w:val="20"/>
                <w:szCs w:val="20"/>
              </w:rPr>
              <w:t>$79,855,322</w:t>
            </w:r>
          </w:p>
        </w:tc>
        <w:tc>
          <w:tcPr>
            <w:tcW w:w="1227" w:type="dxa"/>
            <w:vAlign w:val="center"/>
          </w:tcPr>
          <w:p w14:paraId="19793C3F" w14:textId="77777777" w:rsidR="001454B1" w:rsidRPr="00461D0D" w:rsidRDefault="001454B1" w:rsidP="001454B1">
            <w:pPr>
              <w:spacing w:before="0"/>
              <w:rPr>
                <w:rFonts w:ascii="Arial Narrow" w:eastAsia="Calibri" w:hAnsi="Arial Narrow" w:cs="Times New Roman"/>
                <w:sz w:val="20"/>
                <w:szCs w:val="20"/>
              </w:rPr>
            </w:pPr>
            <w:r w:rsidRPr="00461D0D">
              <w:rPr>
                <w:rFonts w:ascii="Arial Narrow" w:eastAsia="Calibri" w:hAnsi="Arial Narrow" w:cs="Calibri"/>
                <w:color w:val="000000"/>
                <w:sz w:val="20"/>
                <w:szCs w:val="20"/>
              </w:rPr>
              <w:t>$86,933,257</w:t>
            </w:r>
          </w:p>
        </w:tc>
        <w:tc>
          <w:tcPr>
            <w:tcW w:w="1228" w:type="dxa"/>
            <w:vAlign w:val="center"/>
          </w:tcPr>
          <w:p w14:paraId="5B09057E" w14:textId="77777777" w:rsidR="001454B1" w:rsidRPr="00461D0D" w:rsidRDefault="001454B1" w:rsidP="001454B1">
            <w:pPr>
              <w:spacing w:before="0"/>
              <w:rPr>
                <w:rFonts w:ascii="Arial Narrow" w:eastAsia="Calibri" w:hAnsi="Arial Narrow" w:cs="Times New Roman"/>
                <w:sz w:val="20"/>
                <w:szCs w:val="20"/>
              </w:rPr>
            </w:pPr>
            <w:r w:rsidRPr="00461D0D">
              <w:rPr>
                <w:rFonts w:ascii="Arial Narrow" w:eastAsia="Calibri" w:hAnsi="Arial Narrow" w:cs="Calibri"/>
                <w:color w:val="000000"/>
                <w:sz w:val="20"/>
                <w:szCs w:val="20"/>
              </w:rPr>
              <w:t>$94,550,963</w:t>
            </w:r>
          </w:p>
        </w:tc>
      </w:tr>
      <w:tr w:rsidR="001454B1" w:rsidRPr="005F5BEA" w14:paraId="632569C5" w14:textId="77777777" w:rsidTr="00032276">
        <w:tc>
          <w:tcPr>
            <w:tcW w:w="704" w:type="dxa"/>
          </w:tcPr>
          <w:p w14:paraId="09419410" w14:textId="77777777" w:rsidR="001454B1" w:rsidRPr="005F5BEA" w:rsidRDefault="001454B1" w:rsidP="001454B1">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#2</w:t>
            </w:r>
          </w:p>
        </w:tc>
        <w:tc>
          <w:tcPr>
            <w:tcW w:w="3402" w:type="dxa"/>
            <w:vAlign w:val="center"/>
          </w:tcPr>
          <w:p w14:paraId="33D9EE99" w14:textId="77777777" w:rsidR="001454B1" w:rsidRPr="005F5BEA" w:rsidRDefault="001454B1" w:rsidP="001454B1">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Total cost of services w/o overhead</w:t>
            </w:r>
          </w:p>
        </w:tc>
        <w:tc>
          <w:tcPr>
            <w:tcW w:w="1227" w:type="dxa"/>
            <w:vAlign w:val="center"/>
          </w:tcPr>
          <w:p w14:paraId="4AA333AE" w14:textId="77777777" w:rsidR="001454B1" w:rsidRPr="00461D0D" w:rsidRDefault="001454B1" w:rsidP="001454B1">
            <w:pPr>
              <w:spacing w:before="0"/>
              <w:rPr>
                <w:rFonts w:ascii="Arial Narrow" w:eastAsia="Calibri" w:hAnsi="Arial Narrow" w:cs="Calibri"/>
                <w:color w:val="000000"/>
                <w:sz w:val="20"/>
                <w:szCs w:val="20"/>
              </w:rPr>
            </w:pPr>
            <w:r w:rsidRPr="00461D0D">
              <w:rPr>
                <w:rFonts w:ascii="Arial Narrow" w:eastAsia="Calibri" w:hAnsi="Arial Narrow" w:cs="Calibri"/>
                <w:color w:val="000000"/>
                <w:sz w:val="20"/>
                <w:szCs w:val="20"/>
              </w:rPr>
              <w:t>$56,366,086</w:t>
            </w:r>
          </w:p>
        </w:tc>
        <w:tc>
          <w:tcPr>
            <w:tcW w:w="1228" w:type="dxa"/>
            <w:vAlign w:val="center"/>
          </w:tcPr>
          <w:p w14:paraId="72027AB7" w14:textId="77777777" w:rsidR="001454B1" w:rsidRPr="00461D0D" w:rsidRDefault="001454B1" w:rsidP="001454B1">
            <w:pPr>
              <w:spacing w:before="0"/>
              <w:rPr>
                <w:rFonts w:ascii="Arial Narrow" w:eastAsia="Calibri" w:hAnsi="Arial Narrow" w:cs="Calibri"/>
                <w:color w:val="000000"/>
                <w:sz w:val="20"/>
                <w:szCs w:val="20"/>
              </w:rPr>
            </w:pPr>
            <w:r w:rsidRPr="00461D0D">
              <w:rPr>
                <w:rFonts w:ascii="Arial Narrow" w:eastAsia="Calibri" w:hAnsi="Arial Narrow" w:cs="Calibri"/>
                <w:color w:val="000000"/>
                <w:sz w:val="20"/>
                <w:szCs w:val="20"/>
              </w:rPr>
              <w:t>$61,427,171</w:t>
            </w:r>
          </w:p>
        </w:tc>
        <w:tc>
          <w:tcPr>
            <w:tcW w:w="1227" w:type="dxa"/>
            <w:vAlign w:val="center"/>
          </w:tcPr>
          <w:p w14:paraId="642ABCE2" w14:textId="77777777" w:rsidR="001454B1" w:rsidRPr="00461D0D" w:rsidRDefault="001454B1" w:rsidP="001454B1">
            <w:pPr>
              <w:spacing w:before="0"/>
              <w:rPr>
                <w:rFonts w:ascii="Arial Narrow" w:eastAsia="Calibri" w:hAnsi="Arial Narrow" w:cs="Calibri"/>
                <w:color w:val="000000"/>
                <w:sz w:val="20"/>
                <w:szCs w:val="20"/>
              </w:rPr>
            </w:pPr>
            <w:r w:rsidRPr="00461D0D">
              <w:rPr>
                <w:rFonts w:ascii="Arial Narrow" w:eastAsia="Calibri" w:hAnsi="Arial Narrow" w:cs="Calibri"/>
                <w:color w:val="000000"/>
                <w:sz w:val="20"/>
                <w:szCs w:val="20"/>
              </w:rPr>
              <w:t>$66,871,736</w:t>
            </w:r>
          </w:p>
        </w:tc>
        <w:tc>
          <w:tcPr>
            <w:tcW w:w="1228" w:type="dxa"/>
            <w:vAlign w:val="center"/>
          </w:tcPr>
          <w:p w14:paraId="569D146C" w14:textId="77777777" w:rsidR="001454B1" w:rsidRPr="00461D0D" w:rsidRDefault="001454B1" w:rsidP="001454B1">
            <w:pPr>
              <w:spacing w:before="0"/>
              <w:rPr>
                <w:rFonts w:ascii="Arial Narrow" w:eastAsia="Calibri" w:hAnsi="Arial Narrow" w:cs="Calibri"/>
                <w:color w:val="000000"/>
                <w:sz w:val="20"/>
                <w:szCs w:val="20"/>
              </w:rPr>
            </w:pPr>
            <w:r w:rsidRPr="00461D0D">
              <w:rPr>
                <w:rFonts w:ascii="Arial Narrow" w:eastAsia="Calibri" w:hAnsi="Arial Narrow" w:cs="Calibri"/>
                <w:color w:val="000000"/>
                <w:sz w:val="20"/>
                <w:szCs w:val="20"/>
              </w:rPr>
              <w:t>$72,731,510</w:t>
            </w:r>
          </w:p>
        </w:tc>
      </w:tr>
      <w:tr w:rsidR="001454B1" w:rsidRPr="005F5BEA" w14:paraId="12665CC4" w14:textId="77777777" w:rsidTr="00032276">
        <w:tc>
          <w:tcPr>
            <w:tcW w:w="704" w:type="dxa"/>
          </w:tcPr>
          <w:p w14:paraId="2D57920B" w14:textId="77777777" w:rsidR="001454B1" w:rsidRPr="005F5BEA" w:rsidRDefault="001454B1" w:rsidP="001454B1">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#3</w:t>
            </w:r>
          </w:p>
        </w:tc>
        <w:tc>
          <w:tcPr>
            <w:tcW w:w="3402" w:type="dxa"/>
          </w:tcPr>
          <w:p w14:paraId="138A83EB" w14:textId="77777777" w:rsidR="001454B1" w:rsidRPr="005F5BEA" w:rsidRDefault="001454B1" w:rsidP="001454B1">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 xml:space="preserve">Estimate of overhead </w:t>
            </w:r>
            <w:proofErr w:type="spellStart"/>
            <w:r w:rsidRPr="005F5BEA">
              <w:rPr>
                <w:rFonts w:ascii="Arial Narrow" w:eastAsia="Calibri" w:hAnsi="Arial Narrow" w:cs="Calibri"/>
                <w:color w:val="000000"/>
                <w:sz w:val="20"/>
                <w:szCs w:val="20"/>
              </w:rPr>
              <w:t>costs</w:t>
            </w:r>
            <w:r w:rsidRPr="005F5BEA">
              <w:rPr>
                <w:rFonts w:ascii="Arial Narrow" w:eastAsia="Calibri" w:hAnsi="Arial Narrow" w:cs="Calibri"/>
                <w:color w:val="000000"/>
                <w:sz w:val="20"/>
                <w:szCs w:val="20"/>
                <w:vertAlign w:val="superscript"/>
              </w:rPr>
              <w:t>b</w:t>
            </w:r>
            <w:proofErr w:type="spellEnd"/>
          </w:p>
        </w:tc>
        <w:tc>
          <w:tcPr>
            <w:tcW w:w="2455" w:type="dxa"/>
            <w:gridSpan w:val="2"/>
            <w:vAlign w:val="center"/>
          </w:tcPr>
          <w:p w14:paraId="43F392A1" w14:textId="77777777" w:rsidR="001454B1" w:rsidRPr="00461D0D" w:rsidRDefault="001454B1" w:rsidP="001454B1">
            <w:pPr>
              <w:spacing w:before="0"/>
              <w:rPr>
                <w:rFonts w:ascii="Arial Narrow" w:eastAsia="Calibri" w:hAnsi="Arial Narrow" w:cs="Calibri"/>
                <w:color w:val="000000"/>
                <w:sz w:val="20"/>
                <w:szCs w:val="20"/>
              </w:rPr>
            </w:pPr>
            <w:r w:rsidRPr="00461D0D">
              <w:rPr>
                <w:rFonts w:ascii="Arial Narrow" w:eastAsia="Calibri" w:hAnsi="Arial Narrow" w:cs="Calibri"/>
                <w:color w:val="000000"/>
                <w:sz w:val="20"/>
                <w:szCs w:val="20"/>
              </w:rPr>
              <w:t>$16,909,826</w:t>
            </w:r>
          </w:p>
        </w:tc>
        <w:tc>
          <w:tcPr>
            <w:tcW w:w="2455" w:type="dxa"/>
            <w:gridSpan w:val="2"/>
            <w:vAlign w:val="center"/>
          </w:tcPr>
          <w:p w14:paraId="724D1688" w14:textId="77777777" w:rsidR="001454B1" w:rsidRPr="00461D0D" w:rsidRDefault="001454B1" w:rsidP="001454B1">
            <w:pPr>
              <w:spacing w:before="0"/>
              <w:rPr>
                <w:rFonts w:ascii="Arial Narrow" w:eastAsia="Calibri" w:hAnsi="Arial Narrow" w:cs="Calibri"/>
                <w:color w:val="000000"/>
                <w:sz w:val="20"/>
                <w:szCs w:val="20"/>
              </w:rPr>
            </w:pPr>
            <w:r w:rsidRPr="00461D0D">
              <w:rPr>
                <w:rFonts w:ascii="Arial Narrow" w:eastAsia="Calibri" w:hAnsi="Arial Narrow" w:cs="Calibri"/>
                <w:color w:val="000000"/>
                <w:sz w:val="20"/>
                <w:szCs w:val="20"/>
              </w:rPr>
              <w:t>Calculated (#2 x #4)</w:t>
            </w:r>
          </w:p>
        </w:tc>
      </w:tr>
      <w:tr w:rsidR="001454B1" w:rsidRPr="005F5BEA" w14:paraId="73D3F159" w14:textId="77777777" w:rsidTr="00032276">
        <w:tc>
          <w:tcPr>
            <w:tcW w:w="704" w:type="dxa"/>
          </w:tcPr>
          <w:p w14:paraId="7C017A54" w14:textId="77777777" w:rsidR="001454B1" w:rsidRPr="005F5BEA" w:rsidRDefault="001454B1" w:rsidP="001454B1">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#4</w:t>
            </w:r>
          </w:p>
        </w:tc>
        <w:tc>
          <w:tcPr>
            <w:tcW w:w="3402" w:type="dxa"/>
            <w:vAlign w:val="center"/>
          </w:tcPr>
          <w:p w14:paraId="5FBEF262"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Calibri"/>
                <w:color w:val="000000"/>
                <w:sz w:val="20"/>
                <w:szCs w:val="20"/>
              </w:rPr>
              <w:t>Overhead costs (as a proportion of non-overhead costs) (#3 / #2)</w:t>
            </w:r>
          </w:p>
        </w:tc>
        <w:tc>
          <w:tcPr>
            <w:tcW w:w="2455" w:type="dxa"/>
            <w:gridSpan w:val="2"/>
            <w:vAlign w:val="center"/>
          </w:tcPr>
          <w:p w14:paraId="3B657BD5" w14:textId="77777777" w:rsidR="001454B1" w:rsidRPr="00461D0D" w:rsidRDefault="001454B1" w:rsidP="001454B1">
            <w:pPr>
              <w:spacing w:before="0"/>
              <w:rPr>
                <w:rFonts w:ascii="Arial Narrow" w:eastAsia="Calibri" w:hAnsi="Arial Narrow" w:cs="Times New Roman"/>
                <w:sz w:val="20"/>
                <w:szCs w:val="20"/>
              </w:rPr>
            </w:pPr>
            <w:r w:rsidRPr="00461D0D">
              <w:rPr>
                <w:rFonts w:ascii="Arial Narrow" w:eastAsia="Calibri" w:hAnsi="Arial Narrow" w:cs="Calibri"/>
                <w:color w:val="000000"/>
                <w:sz w:val="20"/>
                <w:szCs w:val="20"/>
              </w:rPr>
              <w:t>30%</w:t>
            </w:r>
          </w:p>
        </w:tc>
        <w:tc>
          <w:tcPr>
            <w:tcW w:w="2455" w:type="dxa"/>
            <w:gridSpan w:val="2"/>
            <w:vAlign w:val="center"/>
          </w:tcPr>
          <w:p w14:paraId="3F4C793D" w14:textId="77777777" w:rsidR="001454B1" w:rsidRPr="00461D0D" w:rsidRDefault="001454B1" w:rsidP="001454B1">
            <w:pPr>
              <w:spacing w:before="0"/>
              <w:rPr>
                <w:rFonts w:ascii="Arial Narrow" w:eastAsia="Calibri" w:hAnsi="Arial Narrow" w:cs="Times New Roman"/>
                <w:sz w:val="20"/>
                <w:szCs w:val="20"/>
              </w:rPr>
            </w:pPr>
            <w:r w:rsidRPr="00461D0D">
              <w:rPr>
                <w:rFonts w:ascii="Arial Narrow" w:eastAsia="Calibri" w:hAnsi="Arial Narrow" w:cs="Times New Roman"/>
                <w:sz w:val="20"/>
                <w:szCs w:val="20"/>
              </w:rPr>
              <w:t>Assumed to be constant (30%)</w:t>
            </w:r>
          </w:p>
        </w:tc>
      </w:tr>
      <w:tr w:rsidR="001454B1" w:rsidRPr="005F5BEA" w14:paraId="4EF74019" w14:textId="77777777" w:rsidTr="001454B1">
        <w:tc>
          <w:tcPr>
            <w:tcW w:w="704" w:type="dxa"/>
          </w:tcPr>
          <w:p w14:paraId="24DEDB85" w14:textId="77777777" w:rsidR="001454B1" w:rsidRPr="005F5BEA" w:rsidRDefault="001454B1" w:rsidP="001454B1">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#5</w:t>
            </w:r>
          </w:p>
        </w:tc>
        <w:tc>
          <w:tcPr>
            <w:tcW w:w="3402" w:type="dxa"/>
            <w:vAlign w:val="center"/>
          </w:tcPr>
          <w:p w14:paraId="14983E48" w14:textId="77777777" w:rsidR="001454B1" w:rsidRPr="005F5BEA" w:rsidRDefault="001454B1" w:rsidP="001454B1">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 xml:space="preserve">Revised 2022 Estimate of Overhead </w:t>
            </w:r>
            <w:proofErr w:type="spellStart"/>
            <w:r w:rsidRPr="005F5BEA">
              <w:rPr>
                <w:rFonts w:ascii="Arial Narrow" w:eastAsia="Calibri" w:hAnsi="Arial Narrow" w:cs="Calibri"/>
                <w:color w:val="000000"/>
                <w:sz w:val="20"/>
                <w:szCs w:val="20"/>
              </w:rPr>
              <w:t>costs</w:t>
            </w:r>
            <w:r w:rsidRPr="005F5BEA">
              <w:rPr>
                <w:rFonts w:ascii="Arial Narrow" w:eastAsia="Calibri" w:hAnsi="Arial Narrow" w:cs="Calibri"/>
                <w:color w:val="000000"/>
                <w:sz w:val="20"/>
                <w:szCs w:val="20"/>
                <w:vertAlign w:val="superscript"/>
              </w:rPr>
              <w:t>c</w:t>
            </w:r>
            <w:proofErr w:type="spellEnd"/>
          </w:p>
        </w:tc>
        <w:tc>
          <w:tcPr>
            <w:tcW w:w="1227" w:type="dxa"/>
            <w:vAlign w:val="center"/>
          </w:tcPr>
          <w:p w14:paraId="2F9A1624" w14:textId="77777777" w:rsidR="001454B1" w:rsidRPr="00461D0D" w:rsidRDefault="001454B1" w:rsidP="001454B1">
            <w:pPr>
              <w:spacing w:before="0"/>
              <w:rPr>
                <w:rFonts w:ascii="Arial Narrow" w:eastAsia="Calibri" w:hAnsi="Arial Narrow" w:cs="Calibri"/>
                <w:color w:val="000000"/>
                <w:sz w:val="20"/>
                <w:szCs w:val="20"/>
              </w:rPr>
            </w:pPr>
            <w:r w:rsidRPr="00461D0D">
              <w:rPr>
                <w:rFonts w:ascii="Arial Narrow" w:eastAsia="Calibri" w:hAnsi="Arial Narrow" w:cs="Calibri"/>
                <w:color w:val="000000"/>
                <w:sz w:val="20"/>
                <w:szCs w:val="20"/>
              </w:rPr>
              <w:t>$31,648,755</w:t>
            </w:r>
          </w:p>
        </w:tc>
        <w:tc>
          <w:tcPr>
            <w:tcW w:w="1228" w:type="dxa"/>
            <w:shd w:val="clear" w:color="auto" w:fill="D0CECE"/>
            <w:vAlign w:val="center"/>
          </w:tcPr>
          <w:p w14:paraId="45502F94" w14:textId="77777777" w:rsidR="001454B1" w:rsidRPr="00461D0D" w:rsidRDefault="001454B1" w:rsidP="001454B1">
            <w:pPr>
              <w:spacing w:before="0"/>
              <w:rPr>
                <w:rFonts w:ascii="Arial Narrow" w:eastAsia="Calibri" w:hAnsi="Arial Narrow" w:cs="Calibri"/>
                <w:color w:val="000000"/>
                <w:sz w:val="20"/>
                <w:szCs w:val="20"/>
              </w:rPr>
            </w:pPr>
          </w:p>
        </w:tc>
        <w:tc>
          <w:tcPr>
            <w:tcW w:w="1227" w:type="dxa"/>
            <w:shd w:val="clear" w:color="auto" w:fill="D0CECE"/>
            <w:vAlign w:val="center"/>
          </w:tcPr>
          <w:p w14:paraId="303E2C10" w14:textId="77777777" w:rsidR="001454B1" w:rsidRPr="00461D0D" w:rsidRDefault="001454B1" w:rsidP="001454B1">
            <w:pPr>
              <w:spacing w:before="0"/>
              <w:rPr>
                <w:rFonts w:ascii="Arial Narrow" w:eastAsia="Calibri" w:hAnsi="Arial Narrow" w:cs="Calibri"/>
                <w:color w:val="000000"/>
                <w:sz w:val="20"/>
                <w:szCs w:val="20"/>
              </w:rPr>
            </w:pPr>
          </w:p>
        </w:tc>
        <w:tc>
          <w:tcPr>
            <w:tcW w:w="1228" w:type="dxa"/>
            <w:shd w:val="clear" w:color="auto" w:fill="D0CECE"/>
            <w:vAlign w:val="center"/>
          </w:tcPr>
          <w:p w14:paraId="5C2D3FD9" w14:textId="77777777" w:rsidR="001454B1" w:rsidRPr="00461D0D" w:rsidRDefault="001454B1" w:rsidP="001454B1">
            <w:pPr>
              <w:spacing w:before="0"/>
              <w:rPr>
                <w:rFonts w:ascii="Arial Narrow" w:eastAsia="Calibri" w:hAnsi="Arial Narrow" w:cs="Calibri"/>
                <w:color w:val="000000"/>
                <w:sz w:val="20"/>
                <w:szCs w:val="20"/>
              </w:rPr>
            </w:pPr>
          </w:p>
        </w:tc>
      </w:tr>
      <w:tr w:rsidR="001454B1" w:rsidRPr="005F5BEA" w14:paraId="6B02945A" w14:textId="77777777" w:rsidTr="00032276">
        <w:tc>
          <w:tcPr>
            <w:tcW w:w="704" w:type="dxa"/>
          </w:tcPr>
          <w:p w14:paraId="7E62D7DE" w14:textId="77777777" w:rsidR="001454B1" w:rsidRPr="005F5BEA" w:rsidRDefault="001454B1" w:rsidP="001454B1">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#6</w:t>
            </w:r>
          </w:p>
        </w:tc>
        <w:tc>
          <w:tcPr>
            <w:tcW w:w="3402" w:type="dxa"/>
            <w:vAlign w:val="center"/>
          </w:tcPr>
          <w:p w14:paraId="31006938" w14:textId="77777777" w:rsidR="001454B1" w:rsidRPr="005F5BEA" w:rsidRDefault="001454B1" w:rsidP="001454B1">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Overhead costs divided by non-overhead costs (#5 / #2)</w:t>
            </w:r>
          </w:p>
        </w:tc>
        <w:tc>
          <w:tcPr>
            <w:tcW w:w="2455" w:type="dxa"/>
            <w:gridSpan w:val="2"/>
            <w:vAlign w:val="center"/>
          </w:tcPr>
          <w:p w14:paraId="77D14FB3" w14:textId="77777777" w:rsidR="001454B1" w:rsidRPr="00461D0D" w:rsidRDefault="001454B1" w:rsidP="001454B1">
            <w:pPr>
              <w:spacing w:before="0"/>
              <w:rPr>
                <w:rFonts w:ascii="Arial Narrow" w:eastAsia="Calibri" w:hAnsi="Arial Narrow" w:cs="Calibri"/>
                <w:color w:val="000000"/>
                <w:sz w:val="20"/>
                <w:szCs w:val="20"/>
              </w:rPr>
            </w:pPr>
            <w:r w:rsidRPr="00461D0D">
              <w:rPr>
                <w:rFonts w:ascii="Arial Narrow" w:eastAsia="Calibri" w:hAnsi="Arial Narrow" w:cs="Calibri"/>
                <w:color w:val="000000"/>
                <w:sz w:val="20"/>
                <w:szCs w:val="20"/>
              </w:rPr>
              <w:t>56%</w:t>
            </w:r>
          </w:p>
        </w:tc>
        <w:tc>
          <w:tcPr>
            <w:tcW w:w="2455" w:type="dxa"/>
            <w:gridSpan w:val="2"/>
            <w:vAlign w:val="center"/>
          </w:tcPr>
          <w:p w14:paraId="33EB755F" w14:textId="77777777" w:rsidR="001454B1" w:rsidRPr="00461D0D" w:rsidRDefault="001454B1" w:rsidP="001454B1">
            <w:pPr>
              <w:spacing w:before="0"/>
              <w:rPr>
                <w:rFonts w:ascii="Arial Narrow" w:eastAsia="Calibri" w:hAnsi="Arial Narrow" w:cs="Calibri"/>
                <w:color w:val="000000"/>
                <w:sz w:val="20"/>
                <w:szCs w:val="20"/>
              </w:rPr>
            </w:pPr>
            <w:r w:rsidRPr="00461D0D">
              <w:rPr>
                <w:rFonts w:ascii="Arial Narrow" w:eastAsia="Calibri" w:hAnsi="Arial Narrow" w:cs="Calibri"/>
                <w:color w:val="000000"/>
                <w:sz w:val="20"/>
                <w:szCs w:val="20"/>
              </w:rPr>
              <w:t>Assumed to be constant (56%)</w:t>
            </w:r>
          </w:p>
        </w:tc>
      </w:tr>
      <w:tr w:rsidR="001454B1" w:rsidRPr="005F5BEA" w14:paraId="5B34DEAD" w14:textId="77777777" w:rsidTr="001454B1">
        <w:tc>
          <w:tcPr>
            <w:tcW w:w="704" w:type="dxa"/>
          </w:tcPr>
          <w:p w14:paraId="5D022E8A" w14:textId="77777777" w:rsidR="001454B1" w:rsidRPr="005F5BEA" w:rsidRDefault="001454B1" w:rsidP="001454B1">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#7</w:t>
            </w:r>
          </w:p>
        </w:tc>
        <w:tc>
          <w:tcPr>
            <w:tcW w:w="3402" w:type="dxa"/>
            <w:vAlign w:val="center"/>
          </w:tcPr>
          <w:p w14:paraId="37C04910" w14:textId="77777777" w:rsidR="001454B1" w:rsidRPr="005F5BEA" w:rsidRDefault="001454B1" w:rsidP="001454B1">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Forecast overhead costs (#2 x #6)</w:t>
            </w:r>
          </w:p>
        </w:tc>
        <w:tc>
          <w:tcPr>
            <w:tcW w:w="1227" w:type="dxa"/>
            <w:shd w:val="clear" w:color="auto" w:fill="D0CECE"/>
            <w:vAlign w:val="center"/>
          </w:tcPr>
          <w:p w14:paraId="66BFB7FD" w14:textId="77777777" w:rsidR="001454B1" w:rsidRPr="00461D0D" w:rsidRDefault="001454B1" w:rsidP="001454B1">
            <w:pPr>
              <w:spacing w:before="0"/>
              <w:rPr>
                <w:rFonts w:ascii="Arial Narrow" w:eastAsia="Calibri" w:hAnsi="Arial Narrow" w:cs="Calibri"/>
                <w:color w:val="000000"/>
                <w:sz w:val="20"/>
                <w:szCs w:val="20"/>
              </w:rPr>
            </w:pPr>
          </w:p>
        </w:tc>
        <w:tc>
          <w:tcPr>
            <w:tcW w:w="1228" w:type="dxa"/>
            <w:vAlign w:val="center"/>
          </w:tcPr>
          <w:p w14:paraId="64024232" w14:textId="77777777" w:rsidR="001454B1" w:rsidRPr="00461D0D" w:rsidRDefault="001454B1" w:rsidP="001454B1">
            <w:pPr>
              <w:spacing w:before="0"/>
              <w:rPr>
                <w:rFonts w:ascii="Arial Narrow" w:eastAsia="Calibri" w:hAnsi="Arial Narrow" w:cs="Calibri"/>
                <w:color w:val="000000"/>
                <w:sz w:val="20"/>
                <w:szCs w:val="20"/>
              </w:rPr>
            </w:pPr>
            <w:r w:rsidRPr="00461D0D">
              <w:rPr>
                <w:rFonts w:ascii="Arial Narrow" w:eastAsia="Calibri" w:hAnsi="Arial Narrow" w:cs="Calibri"/>
                <w:color w:val="000000"/>
                <w:sz w:val="20"/>
                <w:szCs w:val="20"/>
              </w:rPr>
              <w:t>$34,490,482</w:t>
            </w:r>
          </w:p>
        </w:tc>
        <w:tc>
          <w:tcPr>
            <w:tcW w:w="1227" w:type="dxa"/>
            <w:vAlign w:val="center"/>
          </w:tcPr>
          <w:p w14:paraId="45B25779" w14:textId="77777777" w:rsidR="001454B1" w:rsidRPr="00461D0D" w:rsidRDefault="001454B1" w:rsidP="001454B1">
            <w:pPr>
              <w:spacing w:before="0"/>
              <w:rPr>
                <w:rFonts w:ascii="Arial Narrow" w:eastAsia="Calibri" w:hAnsi="Arial Narrow" w:cs="Calibri"/>
                <w:color w:val="000000"/>
                <w:sz w:val="20"/>
                <w:szCs w:val="20"/>
              </w:rPr>
            </w:pPr>
            <w:r w:rsidRPr="00461D0D">
              <w:rPr>
                <w:rFonts w:ascii="Arial Narrow" w:eastAsia="Calibri" w:hAnsi="Arial Narrow" w:cs="Calibri"/>
                <w:color w:val="000000"/>
                <w:sz w:val="20"/>
                <w:szCs w:val="20"/>
              </w:rPr>
              <w:t>$37,547,528</w:t>
            </w:r>
          </w:p>
        </w:tc>
        <w:tc>
          <w:tcPr>
            <w:tcW w:w="1228" w:type="dxa"/>
            <w:vAlign w:val="center"/>
          </w:tcPr>
          <w:p w14:paraId="65D29898" w14:textId="77777777" w:rsidR="001454B1" w:rsidRPr="00461D0D" w:rsidRDefault="001454B1" w:rsidP="001454B1">
            <w:pPr>
              <w:spacing w:before="0"/>
              <w:rPr>
                <w:rFonts w:ascii="Arial Narrow" w:eastAsia="Calibri" w:hAnsi="Arial Narrow" w:cs="Calibri"/>
                <w:color w:val="000000"/>
                <w:sz w:val="20"/>
                <w:szCs w:val="20"/>
              </w:rPr>
            </w:pPr>
            <w:r w:rsidRPr="00461D0D">
              <w:rPr>
                <w:rFonts w:ascii="Arial Narrow" w:eastAsia="Calibri" w:hAnsi="Arial Narrow" w:cs="Calibri"/>
                <w:color w:val="000000"/>
                <w:sz w:val="20"/>
                <w:szCs w:val="20"/>
              </w:rPr>
              <w:t>$40,837,708</w:t>
            </w:r>
          </w:p>
        </w:tc>
      </w:tr>
      <w:tr w:rsidR="001454B1" w:rsidRPr="005F5BEA" w14:paraId="3D10AC32" w14:textId="77777777" w:rsidTr="00032276">
        <w:tc>
          <w:tcPr>
            <w:tcW w:w="704" w:type="dxa"/>
          </w:tcPr>
          <w:p w14:paraId="164F7C6D" w14:textId="77777777" w:rsidR="001454B1" w:rsidRPr="005F5BEA" w:rsidRDefault="001454B1" w:rsidP="001454B1">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#8</w:t>
            </w:r>
          </w:p>
        </w:tc>
        <w:tc>
          <w:tcPr>
            <w:tcW w:w="3402" w:type="dxa"/>
            <w:vAlign w:val="center"/>
          </w:tcPr>
          <w:p w14:paraId="02651274" w14:textId="77777777" w:rsidR="001454B1" w:rsidRPr="005F5BEA" w:rsidRDefault="001454B1" w:rsidP="001454B1">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 xml:space="preserve">Overhead costs in </w:t>
            </w:r>
            <w:proofErr w:type="spellStart"/>
            <w:r w:rsidRPr="005F5BEA">
              <w:rPr>
                <w:rFonts w:ascii="Arial Narrow" w:eastAsia="Calibri" w:hAnsi="Arial Narrow" w:cs="Calibri"/>
                <w:color w:val="000000"/>
                <w:sz w:val="20"/>
                <w:szCs w:val="20"/>
              </w:rPr>
              <w:t>private</w:t>
            </w:r>
            <w:r w:rsidRPr="005F5BEA">
              <w:rPr>
                <w:rFonts w:ascii="Arial Narrow" w:eastAsia="Calibri" w:hAnsi="Arial Narrow" w:cs="Calibri"/>
                <w:color w:val="000000"/>
                <w:sz w:val="20"/>
                <w:szCs w:val="20"/>
                <w:vertAlign w:val="superscript"/>
              </w:rPr>
              <w:t>d</w:t>
            </w:r>
            <w:proofErr w:type="spellEnd"/>
          </w:p>
        </w:tc>
        <w:tc>
          <w:tcPr>
            <w:tcW w:w="1227" w:type="dxa"/>
            <w:shd w:val="clear" w:color="auto" w:fill="auto"/>
            <w:vAlign w:val="center"/>
          </w:tcPr>
          <w:p w14:paraId="7A81B019" w14:textId="77777777" w:rsidR="001454B1" w:rsidRPr="00461D0D" w:rsidRDefault="001454B1" w:rsidP="001454B1">
            <w:pPr>
              <w:spacing w:before="0"/>
              <w:rPr>
                <w:rFonts w:ascii="Arial Narrow" w:eastAsia="Calibri" w:hAnsi="Arial Narrow" w:cs="Calibri"/>
                <w:color w:val="000000"/>
                <w:sz w:val="20"/>
                <w:szCs w:val="20"/>
              </w:rPr>
            </w:pPr>
            <w:r w:rsidRPr="00461D0D">
              <w:rPr>
                <w:rFonts w:ascii="Arial Narrow" w:eastAsia="Calibri" w:hAnsi="Arial Narrow" w:cs="Calibri"/>
                <w:color w:val="000000"/>
                <w:sz w:val="20"/>
                <w:szCs w:val="20"/>
              </w:rPr>
              <w:t>$23,036,089</w:t>
            </w:r>
          </w:p>
        </w:tc>
        <w:tc>
          <w:tcPr>
            <w:tcW w:w="1228" w:type="dxa"/>
            <w:vAlign w:val="center"/>
          </w:tcPr>
          <w:p w14:paraId="5C4DA59F" w14:textId="77777777" w:rsidR="001454B1" w:rsidRPr="00461D0D" w:rsidRDefault="001454B1" w:rsidP="001454B1">
            <w:pPr>
              <w:spacing w:before="0"/>
              <w:rPr>
                <w:rFonts w:ascii="Arial Narrow" w:eastAsia="Calibri" w:hAnsi="Arial Narrow" w:cs="Calibri"/>
                <w:color w:val="000000"/>
                <w:sz w:val="20"/>
                <w:szCs w:val="20"/>
              </w:rPr>
            </w:pPr>
            <w:r w:rsidRPr="00461D0D">
              <w:rPr>
                <w:rFonts w:ascii="Arial Narrow" w:eastAsia="Calibri" w:hAnsi="Arial Narrow" w:cs="Calibri"/>
                <w:color w:val="000000"/>
                <w:sz w:val="20"/>
                <w:szCs w:val="20"/>
              </w:rPr>
              <w:t>$25,111,996</w:t>
            </w:r>
          </w:p>
        </w:tc>
        <w:tc>
          <w:tcPr>
            <w:tcW w:w="1227" w:type="dxa"/>
            <w:vAlign w:val="center"/>
          </w:tcPr>
          <w:p w14:paraId="29D79CF4" w14:textId="77777777" w:rsidR="001454B1" w:rsidRPr="00461D0D" w:rsidRDefault="001454B1" w:rsidP="001454B1">
            <w:pPr>
              <w:spacing w:before="0"/>
              <w:rPr>
                <w:rFonts w:ascii="Arial Narrow" w:eastAsia="Calibri" w:hAnsi="Arial Narrow" w:cs="Calibri"/>
                <w:color w:val="000000"/>
                <w:sz w:val="20"/>
                <w:szCs w:val="20"/>
              </w:rPr>
            </w:pPr>
            <w:r w:rsidRPr="00461D0D">
              <w:rPr>
                <w:rFonts w:ascii="Arial Narrow" w:eastAsia="Calibri" w:hAnsi="Arial Narrow" w:cs="Calibri"/>
                <w:color w:val="000000"/>
                <w:sz w:val="20"/>
                <w:szCs w:val="20"/>
              </w:rPr>
              <w:t>$27,344,391</w:t>
            </w:r>
          </w:p>
        </w:tc>
        <w:tc>
          <w:tcPr>
            <w:tcW w:w="1228" w:type="dxa"/>
            <w:vAlign w:val="center"/>
          </w:tcPr>
          <w:p w14:paraId="4FAD0E76" w14:textId="77777777" w:rsidR="001454B1" w:rsidRPr="00461D0D" w:rsidRDefault="001454B1" w:rsidP="001454B1">
            <w:pPr>
              <w:spacing w:before="0"/>
              <w:rPr>
                <w:rFonts w:ascii="Arial Narrow" w:eastAsia="Calibri" w:hAnsi="Arial Narrow" w:cs="Calibri"/>
                <w:color w:val="000000"/>
                <w:sz w:val="20"/>
                <w:szCs w:val="20"/>
              </w:rPr>
            </w:pPr>
            <w:r w:rsidRPr="00461D0D">
              <w:rPr>
                <w:rFonts w:ascii="Arial Narrow" w:eastAsia="Calibri" w:hAnsi="Arial Narrow" w:cs="Calibri"/>
                <w:color w:val="000000"/>
                <w:sz w:val="20"/>
                <w:szCs w:val="20"/>
              </w:rPr>
              <w:t>$29,746,277</w:t>
            </w:r>
          </w:p>
        </w:tc>
      </w:tr>
    </w:tbl>
    <w:p w14:paraId="43AAC026"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Source: derived from the updated utilisation and cost model spreadsheet.</w:t>
      </w:r>
    </w:p>
    <w:p w14:paraId="089A3E4F" w14:textId="77777777" w:rsidR="001454B1" w:rsidRPr="005F5BEA" w:rsidRDefault="001454B1" w:rsidP="001454B1">
      <w:pPr>
        <w:spacing w:after="240"/>
        <w:contextualSpacing/>
        <w:jc w:val="both"/>
        <w:rPr>
          <w:rFonts w:ascii="Arial Narrow" w:eastAsia="Calibri" w:hAnsi="Arial Narrow" w:cs="Arial"/>
          <w:sz w:val="18"/>
        </w:rPr>
      </w:pPr>
      <w:proofErr w:type="spellStart"/>
      <w:r w:rsidRPr="005F5BEA">
        <w:rPr>
          <w:rFonts w:ascii="Arial Narrow" w:eastAsia="Calibri" w:hAnsi="Arial Narrow" w:cs="Arial"/>
          <w:sz w:val="18"/>
          <w:vertAlign w:val="superscript"/>
        </w:rPr>
        <w:t>a</w:t>
      </w:r>
      <w:r w:rsidRPr="005F5BEA">
        <w:rPr>
          <w:rFonts w:ascii="Arial Narrow" w:eastAsia="Calibri" w:hAnsi="Arial Narrow" w:cs="Arial"/>
          <w:sz w:val="18"/>
        </w:rPr>
        <w:t>Total</w:t>
      </w:r>
      <w:proofErr w:type="spellEnd"/>
      <w:r w:rsidRPr="005F5BEA">
        <w:rPr>
          <w:rFonts w:ascii="Arial Narrow" w:eastAsia="Calibri" w:hAnsi="Arial Narrow" w:cs="Arial"/>
          <w:sz w:val="18"/>
        </w:rPr>
        <w:t xml:space="preserve"> cost of services estimated in the previous ADAR base case, presented in Table 3 of Attachment A (Additional Data Collection) report.</w:t>
      </w:r>
    </w:p>
    <w:p w14:paraId="205521A3" w14:textId="77777777" w:rsidR="001454B1" w:rsidRPr="005F5BEA" w:rsidRDefault="001454B1" w:rsidP="001454B1">
      <w:pPr>
        <w:spacing w:after="240"/>
        <w:contextualSpacing/>
        <w:jc w:val="both"/>
        <w:rPr>
          <w:rFonts w:ascii="Arial Narrow" w:eastAsia="Calibri" w:hAnsi="Arial Narrow" w:cs="Arial"/>
          <w:sz w:val="18"/>
        </w:rPr>
      </w:pPr>
      <w:proofErr w:type="spellStart"/>
      <w:r w:rsidRPr="005F5BEA">
        <w:rPr>
          <w:rFonts w:ascii="Arial Narrow" w:eastAsia="Calibri" w:hAnsi="Arial Narrow" w:cs="Arial"/>
          <w:sz w:val="18"/>
          <w:vertAlign w:val="superscript"/>
        </w:rPr>
        <w:t>b</w:t>
      </w:r>
      <w:r w:rsidRPr="005F5BEA">
        <w:rPr>
          <w:rFonts w:ascii="Arial Narrow" w:eastAsia="Calibri" w:hAnsi="Arial Narrow" w:cs="Arial"/>
          <w:sz w:val="18"/>
        </w:rPr>
        <w:t>Overhead</w:t>
      </w:r>
      <w:proofErr w:type="spellEnd"/>
      <w:r w:rsidRPr="005F5BEA">
        <w:rPr>
          <w:rFonts w:ascii="Arial Narrow" w:eastAsia="Calibri" w:hAnsi="Arial Narrow" w:cs="Arial"/>
          <w:sz w:val="18"/>
        </w:rPr>
        <w:t xml:space="preserve"> costs as estimated in the previous ADAR base case, presented in Table 3 of Attachment A (Additional Data Collection) report.</w:t>
      </w:r>
    </w:p>
    <w:p w14:paraId="7CF821E2" w14:textId="77777777" w:rsidR="001454B1" w:rsidRPr="005F5BEA" w:rsidRDefault="001454B1" w:rsidP="001454B1">
      <w:pPr>
        <w:spacing w:after="240"/>
        <w:contextualSpacing/>
        <w:jc w:val="both"/>
        <w:rPr>
          <w:rFonts w:ascii="Arial Narrow" w:eastAsia="Calibri" w:hAnsi="Arial Narrow" w:cs="Arial"/>
          <w:sz w:val="18"/>
        </w:rPr>
      </w:pPr>
      <w:proofErr w:type="spellStart"/>
      <w:r w:rsidRPr="005F5BEA">
        <w:rPr>
          <w:rFonts w:ascii="Arial Narrow" w:eastAsia="Calibri" w:hAnsi="Arial Narrow" w:cs="Arial"/>
          <w:sz w:val="18"/>
          <w:vertAlign w:val="superscript"/>
        </w:rPr>
        <w:t>c</w:t>
      </w:r>
      <w:r w:rsidRPr="005F5BEA">
        <w:rPr>
          <w:rFonts w:ascii="Arial Narrow" w:eastAsia="Calibri" w:hAnsi="Arial Narrow" w:cs="Arial"/>
          <w:sz w:val="18"/>
        </w:rPr>
        <w:t>Annual</w:t>
      </w:r>
      <w:proofErr w:type="spellEnd"/>
      <w:r w:rsidRPr="005F5BEA">
        <w:rPr>
          <w:rFonts w:ascii="Arial Narrow" w:eastAsia="Calibri" w:hAnsi="Arial Narrow" w:cs="Arial"/>
          <w:sz w:val="18"/>
        </w:rPr>
        <w:t xml:space="preserve"> overhead costs as collected from companies during the Round 2 data collection.</w:t>
      </w:r>
    </w:p>
    <w:p w14:paraId="5638D9BB" w14:textId="77777777" w:rsidR="001454B1" w:rsidRPr="005F5BEA" w:rsidRDefault="001454B1" w:rsidP="00374BF7">
      <w:pPr>
        <w:spacing w:before="0" w:after="240"/>
        <w:jc w:val="both"/>
        <w:rPr>
          <w:rFonts w:ascii="Arial Narrow" w:eastAsia="Calibri" w:hAnsi="Arial Narrow" w:cs="Arial"/>
          <w:sz w:val="18"/>
        </w:rPr>
      </w:pPr>
      <w:proofErr w:type="spellStart"/>
      <w:r w:rsidRPr="005F5BEA">
        <w:rPr>
          <w:rFonts w:ascii="Arial Narrow" w:eastAsia="Calibri" w:hAnsi="Arial Narrow" w:cs="Arial"/>
          <w:sz w:val="18"/>
          <w:vertAlign w:val="superscript"/>
        </w:rPr>
        <w:t>d</w:t>
      </w:r>
      <w:r w:rsidRPr="005F5BEA">
        <w:rPr>
          <w:rFonts w:ascii="Arial Narrow" w:eastAsia="Calibri" w:hAnsi="Arial Narrow" w:cs="Arial"/>
          <w:sz w:val="18"/>
        </w:rPr>
        <w:t>Approximately</w:t>
      </w:r>
      <w:proofErr w:type="spellEnd"/>
      <w:r w:rsidRPr="005F5BEA">
        <w:rPr>
          <w:rFonts w:ascii="Arial Narrow" w:eastAsia="Calibri" w:hAnsi="Arial Narrow" w:cs="Arial"/>
          <w:sz w:val="18"/>
        </w:rPr>
        <w:t xml:space="preserve"> 72.8% of total overhead costs are ascribed to the private system in the applicant’s model.</w:t>
      </w:r>
    </w:p>
    <w:p w14:paraId="5E05B3DF" w14:textId="1AB4DFF5" w:rsidR="001454B1" w:rsidRPr="005F5BEA" w:rsidRDefault="001454B1" w:rsidP="008C46F1">
      <w:r w:rsidRPr="005F5BEA">
        <w:t xml:space="preserve">The </w:t>
      </w:r>
      <w:r w:rsidR="004E4FCA" w:rsidRPr="005F5BEA">
        <w:t xml:space="preserve">focussed evaluation considered the </w:t>
      </w:r>
      <w:r w:rsidRPr="005F5BEA">
        <w:t xml:space="preserve">revised estimate of overhead costs is uncertain (see </w:t>
      </w:r>
      <w:r w:rsidRPr="005F5BEA">
        <w:fldChar w:fldCharType="begin"/>
      </w:r>
      <w:r w:rsidRPr="005F5BEA">
        <w:instrText xml:space="preserve"> REF _Ref135055310 \h  \* MERGEFORMAT </w:instrText>
      </w:r>
      <w:r w:rsidRPr="005F5BEA">
        <w:fldChar w:fldCharType="separate"/>
      </w:r>
      <w:r w:rsidR="00334548" w:rsidRPr="00334548">
        <w:t xml:space="preserve">Table </w:t>
      </w:r>
      <w:r w:rsidR="00334548" w:rsidRPr="00334548">
        <w:rPr>
          <w:noProof/>
        </w:rPr>
        <w:t>24</w:t>
      </w:r>
      <w:r w:rsidRPr="005F5BEA">
        <w:fldChar w:fldCharType="end"/>
      </w:r>
      <w:r w:rsidRPr="005F5BEA">
        <w:t xml:space="preserve"> for the components included in overhead costs). Furthermore, overhead costs do not change in the model in response to changes in the number or type of services provided. However, the proportion of overhead costs applied to services provided in the public system can be removed from the estimates.</w:t>
      </w:r>
    </w:p>
    <w:p w14:paraId="1BD26328" w14:textId="39FB432B" w:rsidR="001454B1" w:rsidRPr="005F5BEA" w:rsidRDefault="001454B1" w:rsidP="001454B1">
      <w:pPr>
        <w:keepNext/>
        <w:spacing w:before="0" w:after="200" w:line="240" w:lineRule="auto"/>
        <w:rPr>
          <w:rFonts w:ascii="Arial Narrow" w:eastAsia="Calibri" w:hAnsi="Arial Narrow" w:cs="Times New Roman"/>
          <w:b/>
          <w:iCs/>
          <w:sz w:val="20"/>
          <w:szCs w:val="20"/>
        </w:rPr>
      </w:pPr>
      <w:r w:rsidRPr="005F5BEA">
        <w:rPr>
          <w:rFonts w:ascii="Arial Narrow" w:eastAsia="Calibri" w:hAnsi="Arial Narrow" w:cs="Times New Roman"/>
          <w:b/>
          <w:iCs/>
          <w:sz w:val="20"/>
          <w:szCs w:val="20"/>
        </w:rPr>
        <w:t xml:space="preserve">Table </w:t>
      </w:r>
      <w:r w:rsidRPr="005F5BEA">
        <w:rPr>
          <w:rFonts w:ascii="Arial Narrow" w:eastAsia="Calibri" w:hAnsi="Arial Narrow" w:cs="Times New Roman"/>
          <w:b/>
          <w:iCs/>
          <w:sz w:val="20"/>
          <w:szCs w:val="20"/>
        </w:rPr>
        <w:fldChar w:fldCharType="begin"/>
      </w:r>
      <w:r w:rsidRPr="005F5BEA">
        <w:rPr>
          <w:rFonts w:ascii="Arial Narrow" w:eastAsia="Calibri" w:hAnsi="Arial Narrow" w:cs="Times New Roman"/>
          <w:b/>
          <w:iCs/>
          <w:sz w:val="20"/>
          <w:szCs w:val="20"/>
        </w:rPr>
        <w:instrText xml:space="preserve"> SEQ Table \* ARABIC </w:instrText>
      </w:r>
      <w:r w:rsidRPr="005F5BEA">
        <w:rPr>
          <w:rFonts w:ascii="Arial Narrow" w:eastAsia="Calibri" w:hAnsi="Arial Narrow" w:cs="Times New Roman"/>
          <w:b/>
          <w:iCs/>
          <w:sz w:val="20"/>
          <w:szCs w:val="20"/>
        </w:rPr>
        <w:fldChar w:fldCharType="separate"/>
      </w:r>
      <w:r w:rsidR="00334548">
        <w:rPr>
          <w:rFonts w:ascii="Arial Narrow" w:eastAsia="Calibri" w:hAnsi="Arial Narrow" w:cs="Times New Roman"/>
          <w:b/>
          <w:iCs/>
          <w:noProof/>
          <w:sz w:val="20"/>
          <w:szCs w:val="20"/>
        </w:rPr>
        <w:t>23</w:t>
      </w:r>
      <w:r w:rsidRPr="005F5BEA">
        <w:rPr>
          <w:rFonts w:ascii="Arial Narrow" w:eastAsia="Calibri" w:hAnsi="Arial Narrow" w:cs="Times New Roman"/>
          <w:b/>
          <w:iCs/>
          <w:noProof/>
          <w:sz w:val="20"/>
          <w:szCs w:val="20"/>
        </w:rPr>
        <w:fldChar w:fldCharType="end"/>
      </w:r>
      <w:r w:rsidRPr="005F5BEA">
        <w:rPr>
          <w:rFonts w:ascii="Arial Narrow" w:eastAsia="Calibri" w:hAnsi="Arial Narrow" w:cs="Times New Roman"/>
          <w:b/>
          <w:iCs/>
          <w:sz w:val="20"/>
          <w:szCs w:val="20"/>
        </w:rPr>
        <w:tab/>
        <w:t xml:space="preserve">Comparison of overhead costs applied in the ADAR with the updated </w:t>
      </w:r>
      <w:proofErr w:type="gramStart"/>
      <w:r w:rsidRPr="005F5BEA">
        <w:rPr>
          <w:rFonts w:ascii="Arial Narrow" w:eastAsia="Calibri" w:hAnsi="Arial Narrow" w:cs="Times New Roman"/>
          <w:b/>
          <w:iCs/>
          <w:sz w:val="20"/>
          <w:szCs w:val="20"/>
        </w:rPr>
        <w:t>estimates</w:t>
      </w:r>
      <w:proofErr w:type="gramEnd"/>
    </w:p>
    <w:tbl>
      <w:tblPr>
        <w:tblStyle w:val="TableGrid1"/>
        <w:tblW w:w="0" w:type="auto"/>
        <w:tblLook w:val="04A0" w:firstRow="1" w:lastRow="0" w:firstColumn="1" w:lastColumn="0" w:noHBand="0" w:noVBand="1"/>
      </w:tblPr>
      <w:tblGrid>
        <w:gridCol w:w="3539"/>
        <w:gridCol w:w="1241"/>
        <w:gridCol w:w="1330"/>
        <w:gridCol w:w="1543"/>
        <w:gridCol w:w="1363"/>
      </w:tblGrid>
      <w:tr w:rsidR="001454B1" w:rsidRPr="005F5BEA" w14:paraId="592E956E" w14:textId="77777777" w:rsidTr="00032276">
        <w:tc>
          <w:tcPr>
            <w:tcW w:w="3539" w:type="dxa"/>
          </w:tcPr>
          <w:p w14:paraId="7132B3A5" w14:textId="77777777" w:rsidR="001454B1" w:rsidRPr="005F5BEA" w:rsidRDefault="001454B1" w:rsidP="001454B1">
            <w:pPr>
              <w:keepNext/>
              <w:spacing w:before="0"/>
              <w:rPr>
                <w:rFonts w:ascii="Arial Narrow" w:eastAsia="Calibri" w:hAnsi="Arial Narrow" w:cs="Times New Roman"/>
                <w:sz w:val="20"/>
                <w:szCs w:val="20"/>
              </w:rPr>
            </w:pPr>
          </w:p>
        </w:tc>
        <w:tc>
          <w:tcPr>
            <w:tcW w:w="1241" w:type="dxa"/>
          </w:tcPr>
          <w:p w14:paraId="4122B109" w14:textId="77777777" w:rsidR="001454B1" w:rsidRPr="005F5BEA" w:rsidRDefault="001454B1" w:rsidP="001454B1">
            <w:pPr>
              <w:keepNext/>
              <w:spacing w:before="0"/>
              <w:jc w:val="center"/>
              <w:rPr>
                <w:rFonts w:ascii="Arial Narrow" w:eastAsia="Calibri" w:hAnsi="Arial Narrow" w:cs="Times New Roman"/>
                <w:b/>
                <w:sz w:val="20"/>
                <w:szCs w:val="20"/>
              </w:rPr>
            </w:pPr>
            <w:r w:rsidRPr="005F5BEA">
              <w:rPr>
                <w:rFonts w:ascii="Arial Narrow" w:eastAsia="Calibri" w:hAnsi="Arial Narrow" w:cs="Times New Roman"/>
                <w:b/>
                <w:sz w:val="20"/>
                <w:szCs w:val="20"/>
              </w:rPr>
              <w:t>ADAR (Round 1)</w:t>
            </w:r>
          </w:p>
        </w:tc>
        <w:tc>
          <w:tcPr>
            <w:tcW w:w="4236" w:type="dxa"/>
            <w:gridSpan w:val="3"/>
          </w:tcPr>
          <w:p w14:paraId="6AEE75EA" w14:textId="77777777" w:rsidR="001454B1" w:rsidRPr="005F5BEA" w:rsidRDefault="001454B1" w:rsidP="001454B1">
            <w:pPr>
              <w:keepNext/>
              <w:spacing w:before="0"/>
              <w:jc w:val="center"/>
              <w:rPr>
                <w:rFonts w:ascii="Arial Narrow" w:eastAsia="Calibri" w:hAnsi="Arial Narrow" w:cs="Times New Roman"/>
                <w:b/>
                <w:sz w:val="20"/>
                <w:szCs w:val="20"/>
              </w:rPr>
            </w:pPr>
            <w:r w:rsidRPr="005F5BEA">
              <w:rPr>
                <w:rFonts w:ascii="Arial Narrow" w:eastAsia="Calibri" w:hAnsi="Arial Narrow" w:cs="Times New Roman"/>
                <w:b/>
                <w:sz w:val="20"/>
                <w:szCs w:val="20"/>
              </w:rPr>
              <w:t>Updated data (Round 2)</w:t>
            </w:r>
          </w:p>
        </w:tc>
      </w:tr>
      <w:tr w:rsidR="001454B1" w:rsidRPr="005F5BEA" w14:paraId="7A205C1E" w14:textId="77777777" w:rsidTr="00032276">
        <w:tc>
          <w:tcPr>
            <w:tcW w:w="3539" w:type="dxa"/>
          </w:tcPr>
          <w:p w14:paraId="6B278DE0" w14:textId="77777777" w:rsidR="001454B1" w:rsidRPr="005F5BEA" w:rsidRDefault="001454B1" w:rsidP="001454B1">
            <w:pPr>
              <w:keepNext/>
              <w:spacing w:before="0"/>
              <w:rPr>
                <w:rFonts w:ascii="Arial Narrow" w:eastAsia="Calibri" w:hAnsi="Arial Narrow" w:cs="Times New Roman"/>
                <w:sz w:val="20"/>
                <w:szCs w:val="20"/>
              </w:rPr>
            </w:pPr>
          </w:p>
        </w:tc>
        <w:tc>
          <w:tcPr>
            <w:tcW w:w="1241" w:type="dxa"/>
          </w:tcPr>
          <w:p w14:paraId="677AC04F" w14:textId="77777777" w:rsidR="001454B1" w:rsidRPr="005F5BEA" w:rsidRDefault="001454B1" w:rsidP="001454B1">
            <w:pPr>
              <w:keepNext/>
              <w:spacing w:before="0"/>
              <w:jc w:val="center"/>
              <w:rPr>
                <w:rFonts w:ascii="Arial Narrow" w:eastAsia="Calibri" w:hAnsi="Arial Narrow" w:cs="Times New Roman"/>
                <w:b/>
                <w:sz w:val="20"/>
                <w:szCs w:val="20"/>
              </w:rPr>
            </w:pPr>
            <w:r w:rsidRPr="005F5BEA">
              <w:rPr>
                <w:rFonts w:ascii="Arial Narrow" w:eastAsia="Calibri" w:hAnsi="Arial Narrow" w:cs="Times New Roman"/>
                <w:b/>
                <w:sz w:val="20"/>
                <w:szCs w:val="20"/>
              </w:rPr>
              <w:t>Total</w:t>
            </w:r>
          </w:p>
        </w:tc>
        <w:tc>
          <w:tcPr>
            <w:tcW w:w="1330" w:type="dxa"/>
          </w:tcPr>
          <w:p w14:paraId="6B30934D" w14:textId="77777777" w:rsidR="001454B1" w:rsidRPr="005F5BEA" w:rsidRDefault="001454B1" w:rsidP="001454B1">
            <w:pPr>
              <w:keepNext/>
              <w:spacing w:before="0"/>
              <w:jc w:val="center"/>
              <w:rPr>
                <w:rFonts w:ascii="Arial Narrow" w:eastAsia="Calibri" w:hAnsi="Arial Narrow" w:cs="Times New Roman"/>
                <w:b/>
                <w:sz w:val="20"/>
                <w:szCs w:val="20"/>
              </w:rPr>
            </w:pPr>
            <w:r w:rsidRPr="005F5BEA">
              <w:rPr>
                <w:rFonts w:ascii="Arial Narrow" w:eastAsia="Calibri" w:hAnsi="Arial Narrow" w:cs="Times New Roman"/>
                <w:b/>
                <w:sz w:val="20"/>
                <w:szCs w:val="20"/>
              </w:rPr>
              <w:t>Total</w:t>
            </w:r>
          </w:p>
        </w:tc>
        <w:tc>
          <w:tcPr>
            <w:tcW w:w="1543" w:type="dxa"/>
          </w:tcPr>
          <w:p w14:paraId="418FF3CC" w14:textId="77777777" w:rsidR="001454B1" w:rsidRPr="005F5BEA" w:rsidRDefault="001454B1" w:rsidP="001454B1">
            <w:pPr>
              <w:keepNext/>
              <w:spacing w:before="0"/>
              <w:jc w:val="center"/>
              <w:rPr>
                <w:rFonts w:ascii="Arial Narrow" w:eastAsia="Calibri" w:hAnsi="Arial Narrow" w:cs="Times New Roman"/>
                <w:b/>
                <w:sz w:val="20"/>
                <w:szCs w:val="20"/>
              </w:rPr>
            </w:pPr>
            <w:r w:rsidRPr="005F5BEA">
              <w:rPr>
                <w:rFonts w:ascii="Arial Narrow" w:eastAsia="Calibri" w:hAnsi="Arial Narrow" w:cs="Times New Roman"/>
                <w:b/>
                <w:sz w:val="20"/>
                <w:szCs w:val="20"/>
              </w:rPr>
              <w:t>Private</w:t>
            </w:r>
          </w:p>
        </w:tc>
        <w:tc>
          <w:tcPr>
            <w:tcW w:w="1363" w:type="dxa"/>
          </w:tcPr>
          <w:p w14:paraId="4A88B8A5" w14:textId="77777777" w:rsidR="001454B1" w:rsidRPr="005F5BEA" w:rsidRDefault="001454B1" w:rsidP="001454B1">
            <w:pPr>
              <w:keepNext/>
              <w:spacing w:before="0"/>
              <w:jc w:val="center"/>
              <w:rPr>
                <w:rFonts w:ascii="Arial Narrow" w:eastAsia="Calibri" w:hAnsi="Arial Narrow" w:cs="Times New Roman"/>
                <w:b/>
                <w:sz w:val="20"/>
                <w:szCs w:val="20"/>
              </w:rPr>
            </w:pPr>
            <w:r w:rsidRPr="005F5BEA">
              <w:rPr>
                <w:rFonts w:ascii="Arial Narrow" w:eastAsia="Calibri" w:hAnsi="Arial Narrow" w:cs="Times New Roman"/>
                <w:b/>
                <w:sz w:val="20"/>
                <w:szCs w:val="20"/>
              </w:rPr>
              <w:t>Public</w:t>
            </w:r>
          </w:p>
        </w:tc>
      </w:tr>
      <w:tr w:rsidR="001454B1" w:rsidRPr="005F5BEA" w14:paraId="5A2805DE" w14:textId="77777777" w:rsidTr="00032276">
        <w:tc>
          <w:tcPr>
            <w:tcW w:w="3539" w:type="dxa"/>
          </w:tcPr>
          <w:p w14:paraId="467AE45B" w14:textId="77777777" w:rsidR="001454B1" w:rsidRPr="005F5BEA" w:rsidRDefault="001454B1" w:rsidP="001454B1">
            <w:pPr>
              <w:keepNext/>
              <w:spacing w:before="0"/>
              <w:rPr>
                <w:rFonts w:ascii="Arial Narrow" w:eastAsia="Calibri" w:hAnsi="Arial Narrow" w:cs="Times New Roman"/>
                <w:sz w:val="20"/>
                <w:szCs w:val="20"/>
              </w:rPr>
            </w:pPr>
            <w:r w:rsidRPr="005F5BEA">
              <w:rPr>
                <w:rFonts w:ascii="Arial Narrow" w:eastAsia="Calibri" w:hAnsi="Arial Narrow" w:cs="Times New Roman"/>
                <w:sz w:val="20"/>
                <w:szCs w:val="20"/>
              </w:rPr>
              <w:t>Services (in 2022)</w:t>
            </w:r>
          </w:p>
        </w:tc>
        <w:tc>
          <w:tcPr>
            <w:tcW w:w="1241" w:type="dxa"/>
          </w:tcPr>
          <w:p w14:paraId="739761D4" w14:textId="77777777" w:rsidR="001454B1" w:rsidRPr="005F5BEA" w:rsidRDefault="001454B1" w:rsidP="001454B1">
            <w:pPr>
              <w:keepNext/>
              <w:spacing w:before="0"/>
              <w:jc w:val="right"/>
              <w:rPr>
                <w:rFonts w:ascii="Arial Narrow" w:eastAsia="Calibri" w:hAnsi="Arial Narrow" w:cs="Times New Roman"/>
                <w:sz w:val="20"/>
                <w:szCs w:val="20"/>
              </w:rPr>
            </w:pPr>
            <w:r w:rsidRPr="005F5BEA">
              <w:rPr>
                <w:rFonts w:ascii="Arial Narrow" w:eastAsia="Calibri" w:hAnsi="Arial Narrow" w:cs="Times New Roman"/>
                <w:sz w:val="20"/>
                <w:szCs w:val="20"/>
              </w:rPr>
              <w:t>697,258</w:t>
            </w:r>
          </w:p>
        </w:tc>
        <w:tc>
          <w:tcPr>
            <w:tcW w:w="1330" w:type="dxa"/>
          </w:tcPr>
          <w:p w14:paraId="1190FC01" w14:textId="77777777" w:rsidR="001454B1" w:rsidRPr="005F5BEA" w:rsidRDefault="001454B1" w:rsidP="001454B1">
            <w:pPr>
              <w:keepNext/>
              <w:spacing w:before="0"/>
              <w:jc w:val="right"/>
              <w:rPr>
                <w:rFonts w:ascii="Arial Narrow" w:eastAsia="Calibri" w:hAnsi="Arial Narrow" w:cs="Times New Roman"/>
                <w:sz w:val="20"/>
                <w:szCs w:val="20"/>
              </w:rPr>
            </w:pPr>
            <w:r w:rsidRPr="005F5BEA">
              <w:rPr>
                <w:rFonts w:ascii="Arial Narrow" w:eastAsia="Calibri" w:hAnsi="Arial Narrow" w:cs="Times New Roman"/>
                <w:sz w:val="20"/>
                <w:szCs w:val="20"/>
              </w:rPr>
              <w:t>761,281</w:t>
            </w:r>
          </w:p>
        </w:tc>
        <w:tc>
          <w:tcPr>
            <w:tcW w:w="1543" w:type="dxa"/>
          </w:tcPr>
          <w:p w14:paraId="02205AC1" w14:textId="77777777" w:rsidR="001454B1" w:rsidRPr="005F5BEA" w:rsidRDefault="001454B1" w:rsidP="001454B1">
            <w:pPr>
              <w:keepNext/>
              <w:spacing w:before="0"/>
              <w:jc w:val="right"/>
              <w:rPr>
                <w:rFonts w:ascii="Arial Narrow" w:eastAsia="Calibri" w:hAnsi="Arial Narrow" w:cs="Times New Roman"/>
                <w:sz w:val="20"/>
                <w:szCs w:val="20"/>
              </w:rPr>
            </w:pPr>
            <w:r w:rsidRPr="005F5BEA">
              <w:rPr>
                <w:rFonts w:ascii="Arial Narrow" w:eastAsia="Calibri" w:hAnsi="Arial Narrow" w:cs="Times New Roman"/>
                <w:sz w:val="20"/>
                <w:szCs w:val="20"/>
              </w:rPr>
              <w:t>627,887</w:t>
            </w:r>
          </w:p>
        </w:tc>
        <w:tc>
          <w:tcPr>
            <w:tcW w:w="1363" w:type="dxa"/>
          </w:tcPr>
          <w:p w14:paraId="2E464DEB" w14:textId="77777777" w:rsidR="001454B1" w:rsidRPr="005F5BEA" w:rsidRDefault="001454B1" w:rsidP="001454B1">
            <w:pPr>
              <w:keepNext/>
              <w:spacing w:before="0"/>
              <w:jc w:val="right"/>
              <w:rPr>
                <w:rFonts w:ascii="Arial Narrow" w:eastAsia="Calibri" w:hAnsi="Arial Narrow" w:cs="Times New Roman"/>
                <w:sz w:val="20"/>
                <w:szCs w:val="20"/>
              </w:rPr>
            </w:pPr>
            <w:r w:rsidRPr="005F5BEA">
              <w:rPr>
                <w:rFonts w:ascii="Arial Narrow" w:eastAsia="Calibri" w:hAnsi="Arial Narrow" w:cs="Times New Roman"/>
                <w:sz w:val="20"/>
                <w:szCs w:val="20"/>
              </w:rPr>
              <w:t>133,394</w:t>
            </w:r>
          </w:p>
        </w:tc>
      </w:tr>
      <w:tr w:rsidR="001454B1" w:rsidRPr="005F5BEA" w14:paraId="48049AD6" w14:textId="77777777" w:rsidTr="00032276">
        <w:tc>
          <w:tcPr>
            <w:tcW w:w="3539" w:type="dxa"/>
          </w:tcPr>
          <w:p w14:paraId="4C75E9CB" w14:textId="77777777" w:rsidR="001454B1" w:rsidRPr="005F5BEA" w:rsidRDefault="001454B1" w:rsidP="001454B1">
            <w:pPr>
              <w:keepNext/>
              <w:spacing w:before="0"/>
              <w:rPr>
                <w:rFonts w:ascii="Arial Narrow" w:eastAsia="Calibri" w:hAnsi="Arial Narrow" w:cs="Times New Roman"/>
                <w:sz w:val="20"/>
                <w:szCs w:val="20"/>
              </w:rPr>
            </w:pPr>
            <w:r w:rsidRPr="005F5BEA">
              <w:rPr>
                <w:rFonts w:ascii="Arial Narrow" w:eastAsia="Calibri" w:hAnsi="Arial Narrow" w:cs="Times New Roman"/>
                <w:sz w:val="20"/>
                <w:szCs w:val="20"/>
              </w:rPr>
              <w:t>Total costs</w:t>
            </w:r>
          </w:p>
        </w:tc>
        <w:tc>
          <w:tcPr>
            <w:tcW w:w="1241" w:type="dxa"/>
          </w:tcPr>
          <w:p w14:paraId="6296E9E9" w14:textId="77777777" w:rsidR="001454B1" w:rsidRPr="00461D0D" w:rsidRDefault="001454B1" w:rsidP="001454B1">
            <w:pPr>
              <w:keepNext/>
              <w:spacing w:before="0"/>
              <w:jc w:val="right"/>
              <w:rPr>
                <w:rFonts w:ascii="Arial Narrow" w:eastAsia="Calibri" w:hAnsi="Arial Narrow" w:cs="Times New Roman"/>
                <w:sz w:val="20"/>
                <w:szCs w:val="20"/>
              </w:rPr>
            </w:pPr>
            <w:r w:rsidRPr="00461D0D">
              <w:rPr>
                <w:rFonts w:ascii="Arial Narrow" w:eastAsia="Calibri" w:hAnsi="Arial Narrow" w:cs="Times New Roman"/>
                <w:sz w:val="20"/>
                <w:szCs w:val="20"/>
              </w:rPr>
              <w:t>$73,275,912</w:t>
            </w:r>
          </w:p>
        </w:tc>
        <w:tc>
          <w:tcPr>
            <w:tcW w:w="1330" w:type="dxa"/>
          </w:tcPr>
          <w:p w14:paraId="52986F54" w14:textId="77777777" w:rsidR="001454B1" w:rsidRPr="00461D0D" w:rsidRDefault="001454B1" w:rsidP="001454B1">
            <w:pPr>
              <w:keepNext/>
              <w:spacing w:before="0"/>
              <w:jc w:val="right"/>
              <w:rPr>
                <w:rFonts w:ascii="Arial Narrow" w:eastAsia="Calibri" w:hAnsi="Arial Narrow" w:cs="Times New Roman"/>
                <w:sz w:val="20"/>
                <w:szCs w:val="20"/>
              </w:rPr>
            </w:pPr>
            <w:r w:rsidRPr="00461D0D">
              <w:rPr>
                <w:rFonts w:ascii="Arial Narrow" w:eastAsia="Calibri" w:hAnsi="Arial Narrow" w:cs="Times New Roman"/>
                <w:sz w:val="20"/>
                <w:szCs w:val="20"/>
              </w:rPr>
              <w:t>$91,269,603</w:t>
            </w:r>
          </w:p>
        </w:tc>
        <w:tc>
          <w:tcPr>
            <w:tcW w:w="1543" w:type="dxa"/>
          </w:tcPr>
          <w:p w14:paraId="3CF3C1A2" w14:textId="77777777" w:rsidR="001454B1" w:rsidRPr="00461D0D" w:rsidRDefault="001454B1" w:rsidP="001454B1">
            <w:pPr>
              <w:keepNext/>
              <w:spacing w:before="0"/>
              <w:jc w:val="right"/>
              <w:rPr>
                <w:rFonts w:ascii="Arial Narrow" w:eastAsia="Calibri" w:hAnsi="Arial Narrow" w:cs="Times New Roman"/>
                <w:sz w:val="20"/>
                <w:szCs w:val="20"/>
              </w:rPr>
            </w:pPr>
            <w:r w:rsidRPr="00461D0D">
              <w:rPr>
                <w:rFonts w:ascii="Arial Narrow" w:eastAsia="Calibri" w:hAnsi="Arial Narrow" w:cs="Times New Roman"/>
                <w:sz w:val="20"/>
                <w:szCs w:val="20"/>
              </w:rPr>
              <w:t>$66,611,116</w:t>
            </w:r>
          </w:p>
        </w:tc>
        <w:tc>
          <w:tcPr>
            <w:tcW w:w="1363" w:type="dxa"/>
          </w:tcPr>
          <w:p w14:paraId="6E582EB4" w14:textId="77777777" w:rsidR="001454B1" w:rsidRPr="00461D0D" w:rsidRDefault="001454B1" w:rsidP="001454B1">
            <w:pPr>
              <w:keepNext/>
              <w:spacing w:before="0"/>
              <w:jc w:val="right"/>
              <w:rPr>
                <w:rFonts w:ascii="Arial Narrow" w:eastAsia="Calibri" w:hAnsi="Arial Narrow" w:cs="Times New Roman"/>
                <w:sz w:val="20"/>
                <w:szCs w:val="20"/>
              </w:rPr>
            </w:pPr>
            <w:r w:rsidRPr="00461D0D">
              <w:rPr>
                <w:rFonts w:ascii="Arial Narrow" w:eastAsia="Calibri" w:hAnsi="Arial Narrow" w:cs="Times New Roman"/>
                <w:sz w:val="20"/>
                <w:szCs w:val="20"/>
              </w:rPr>
              <w:t>$24,658,486</w:t>
            </w:r>
          </w:p>
        </w:tc>
      </w:tr>
      <w:tr w:rsidR="001454B1" w:rsidRPr="005F5BEA" w14:paraId="3523536A" w14:textId="77777777" w:rsidTr="00032276">
        <w:tc>
          <w:tcPr>
            <w:tcW w:w="3539" w:type="dxa"/>
          </w:tcPr>
          <w:p w14:paraId="73B4EFDC" w14:textId="77777777" w:rsidR="001454B1" w:rsidRPr="005F5BEA" w:rsidRDefault="001454B1" w:rsidP="001454B1">
            <w:pPr>
              <w:keepNext/>
              <w:spacing w:before="0"/>
              <w:rPr>
                <w:rFonts w:ascii="Arial Narrow" w:eastAsia="Calibri" w:hAnsi="Arial Narrow" w:cs="Times New Roman"/>
                <w:sz w:val="20"/>
                <w:szCs w:val="20"/>
              </w:rPr>
            </w:pPr>
            <w:r w:rsidRPr="005F5BEA">
              <w:rPr>
                <w:rFonts w:ascii="Arial Narrow" w:eastAsia="Calibri" w:hAnsi="Arial Narrow" w:cs="Times New Roman"/>
                <w:sz w:val="20"/>
                <w:szCs w:val="20"/>
              </w:rPr>
              <w:t>Non-overhead costs</w:t>
            </w:r>
          </w:p>
        </w:tc>
        <w:tc>
          <w:tcPr>
            <w:tcW w:w="1241" w:type="dxa"/>
          </w:tcPr>
          <w:p w14:paraId="7F62CF3E" w14:textId="77777777" w:rsidR="001454B1" w:rsidRPr="00461D0D" w:rsidRDefault="001454B1" w:rsidP="001454B1">
            <w:pPr>
              <w:keepNext/>
              <w:spacing w:before="0"/>
              <w:jc w:val="right"/>
              <w:rPr>
                <w:rFonts w:ascii="Arial Narrow" w:eastAsia="Calibri" w:hAnsi="Arial Narrow" w:cs="Times New Roman"/>
                <w:sz w:val="20"/>
                <w:szCs w:val="20"/>
              </w:rPr>
            </w:pPr>
            <w:r w:rsidRPr="00461D0D">
              <w:rPr>
                <w:rFonts w:ascii="Arial Narrow" w:eastAsia="Calibri" w:hAnsi="Arial Narrow" w:cs="Times New Roman"/>
                <w:sz w:val="20"/>
                <w:szCs w:val="20"/>
              </w:rPr>
              <w:t>$56,366,086</w:t>
            </w:r>
          </w:p>
        </w:tc>
        <w:tc>
          <w:tcPr>
            <w:tcW w:w="1330" w:type="dxa"/>
          </w:tcPr>
          <w:p w14:paraId="0CB57556" w14:textId="77777777" w:rsidR="001454B1" w:rsidRPr="00461D0D" w:rsidRDefault="001454B1" w:rsidP="001454B1">
            <w:pPr>
              <w:keepNext/>
              <w:spacing w:before="0"/>
              <w:jc w:val="right"/>
              <w:rPr>
                <w:rFonts w:ascii="Arial Narrow" w:eastAsia="Calibri" w:hAnsi="Arial Narrow" w:cs="Times New Roman"/>
                <w:sz w:val="20"/>
                <w:szCs w:val="20"/>
              </w:rPr>
            </w:pPr>
            <w:r w:rsidRPr="00461D0D">
              <w:rPr>
                <w:rFonts w:ascii="Arial Narrow" w:eastAsia="Calibri" w:hAnsi="Arial Narrow" w:cs="Times New Roman"/>
                <w:sz w:val="20"/>
                <w:szCs w:val="20"/>
              </w:rPr>
              <w:t>$59,620,848</w:t>
            </w:r>
          </w:p>
        </w:tc>
        <w:tc>
          <w:tcPr>
            <w:tcW w:w="1543" w:type="dxa"/>
          </w:tcPr>
          <w:p w14:paraId="286328CE" w14:textId="77777777" w:rsidR="001454B1" w:rsidRPr="00461D0D" w:rsidRDefault="001454B1" w:rsidP="001454B1">
            <w:pPr>
              <w:keepNext/>
              <w:spacing w:before="0"/>
              <w:jc w:val="right"/>
              <w:rPr>
                <w:rFonts w:ascii="Arial Narrow" w:eastAsia="Calibri" w:hAnsi="Arial Narrow" w:cs="Times New Roman"/>
                <w:sz w:val="20"/>
                <w:szCs w:val="20"/>
              </w:rPr>
            </w:pPr>
            <w:r w:rsidRPr="00461D0D">
              <w:rPr>
                <w:rFonts w:ascii="Arial Narrow" w:eastAsia="Calibri" w:hAnsi="Arial Narrow" w:cs="Times New Roman"/>
                <w:sz w:val="20"/>
                <w:szCs w:val="20"/>
              </w:rPr>
              <w:t>$43,575,027</w:t>
            </w:r>
          </w:p>
        </w:tc>
        <w:tc>
          <w:tcPr>
            <w:tcW w:w="1363" w:type="dxa"/>
          </w:tcPr>
          <w:p w14:paraId="7F212207" w14:textId="77777777" w:rsidR="001454B1" w:rsidRPr="00461D0D" w:rsidRDefault="001454B1" w:rsidP="001454B1">
            <w:pPr>
              <w:keepNext/>
              <w:spacing w:before="0"/>
              <w:jc w:val="right"/>
              <w:rPr>
                <w:rFonts w:ascii="Arial Narrow" w:eastAsia="Calibri" w:hAnsi="Arial Narrow" w:cs="Times New Roman"/>
                <w:sz w:val="20"/>
                <w:szCs w:val="20"/>
              </w:rPr>
            </w:pPr>
            <w:r w:rsidRPr="00461D0D">
              <w:rPr>
                <w:rFonts w:ascii="Arial Narrow" w:eastAsia="Calibri" w:hAnsi="Arial Narrow" w:cs="Times New Roman"/>
                <w:sz w:val="20"/>
                <w:szCs w:val="20"/>
              </w:rPr>
              <w:t>$16,045,921</w:t>
            </w:r>
          </w:p>
        </w:tc>
      </w:tr>
      <w:tr w:rsidR="001454B1" w:rsidRPr="005F5BEA" w14:paraId="60C145D8" w14:textId="77777777" w:rsidTr="00032276">
        <w:tc>
          <w:tcPr>
            <w:tcW w:w="3539" w:type="dxa"/>
          </w:tcPr>
          <w:p w14:paraId="2743E080" w14:textId="77777777" w:rsidR="001454B1" w:rsidRPr="005F5BEA" w:rsidRDefault="001454B1" w:rsidP="001454B1">
            <w:pPr>
              <w:keepNext/>
              <w:spacing w:before="0"/>
              <w:rPr>
                <w:rFonts w:ascii="Arial Narrow" w:eastAsia="Calibri" w:hAnsi="Arial Narrow" w:cs="Times New Roman"/>
                <w:sz w:val="20"/>
                <w:szCs w:val="20"/>
              </w:rPr>
            </w:pPr>
            <w:r w:rsidRPr="005F5BEA">
              <w:rPr>
                <w:rFonts w:ascii="Arial Narrow" w:eastAsia="Calibri" w:hAnsi="Arial Narrow" w:cs="Times New Roman"/>
                <w:sz w:val="20"/>
                <w:szCs w:val="20"/>
              </w:rPr>
              <w:t>Overhead costs</w:t>
            </w:r>
          </w:p>
        </w:tc>
        <w:tc>
          <w:tcPr>
            <w:tcW w:w="1241" w:type="dxa"/>
          </w:tcPr>
          <w:p w14:paraId="720863EA" w14:textId="77777777" w:rsidR="001454B1" w:rsidRPr="00461D0D" w:rsidRDefault="001454B1" w:rsidP="001454B1">
            <w:pPr>
              <w:keepNext/>
              <w:spacing w:before="0"/>
              <w:jc w:val="right"/>
              <w:rPr>
                <w:rFonts w:ascii="Arial Narrow" w:eastAsia="Calibri" w:hAnsi="Arial Narrow" w:cs="Times New Roman"/>
                <w:sz w:val="20"/>
                <w:szCs w:val="20"/>
              </w:rPr>
            </w:pPr>
            <w:r w:rsidRPr="00461D0D">
              <w:rPr>
                <w:rFonts w:ascii="Arial Narrow" w:eastAsia="Calibri" w:hAnsi="Arial Narrow" w:cs="Times New Roman"/>
                <w:sz w:val="20"/>
                <w:szCs w:val="20"/>
              </w:rPr>
              <w:t>$16,909,826</w:t>
            </w:r>
          </w:p>
        </w:tc>
        <w:tc>
          <w:tcPr>
            <w:tcW w:w="1330" w:type="dxa"/>
          </w:tcPr>
          <w:p w14:paraId="46EE0AE8" w14:textId="77777777" w:rsidR="001454B1" w:rsidRPr="00461D0D" w:rsidRDefault="001454B1" w:rsidP="001454B1">
            <w:pPr>
              <w:keepNext/>
              <w:spacing w:before="0"/>
              <w:jc w:val="right"/>
              <w:rPr>
                <w:rFonts w:ascii="Arial Narrow" w:eastAsia="Calibri" w:hAnsi="Arial Narrow" w:cs="Times New Roman"/>
                <w:sz w:val="20"/>
                <w:szCs w:val="20"/>
              </w:rPr>
            </w:pPr>
            <w:r w:rsidRPr="00461D0D">
              <w:rPr>
                <w:rFonts w:ascii="Arial Narrow" w:eastAsia="Calibri" w:hAnsi="Arial Narrow" w:cs="Times New Roman"/>
                <w:sz w:val="20"/>
                <w:szCs w:val="20"/>
              </w:rPr>
              <w:t>$31,648,755</w:t>
            </w:r>
          </w:p>
        </w:tc>
        <w:tc>
          <w:tcPr>
            <w:tcW w:w="1543" w:type="dxa"/>
          </w:tcPr>
          <w:p w14:paraId="35254CB6" w14:textId="77777777" w:rsidR="001454B1" w:rsidRPr="00461D0D" w:rsidRDefault="001454B1" w:rsidP="001454B1">
            <w:pPr>
              <w:keepNext/>
              <w:spacing w:before="0"/>
              <w:jc w:val="right"/>
              <w:rPr>
                <w:rFonts w:ascii="Arial Narrow" w:eastAsia="Calibri" w:hAnsi="Arial Narrow" w:cs="Times New Roman"/>
                <w:sz w:val="20"/>
                <w:szCs w:val="20"/>
              </w:rPr>
            </w:pPr>
            <w:r w:rsidRPr="00461D0D">
              <w:rPr>
                <w:rFonts w:ascii="Arial Narrow" w:eastAsia="Calibri" w:hAnsi="Arial Narrow" w:cs="Times New Roman"/>
                <w:sz w:val="20"/>
                <w:szCs w:val="20"/>
              </w:rPr>
              <w:t>$23,036,089</w:t>
            </w:r>
          </w:p>
        </w:tc>
        <w:tc>
          <w:tcPr>
            <w:tcW w:w="1363" w:type="dxa"/>
          </w:tcPr>
          <w:p w14:paraId="72FCA134" w14:textId="77777777" w:rsidR="001454B1" w:rsidRPr="00461D0D" w:rsidRDefault="001454B1" w:rsidP="001454B1">
            <w:pPr>
              <w:keepNext/>
              <w:spacing w:before="0"/>
              <w:jc w:val="right"/>
              <w:rPr>
                <w:rFonts w:ascii="Arial Narrow" w:eastAsia="Calibri" w:hAnsi="Arial Narrow" w:cs="Times New Roman"/>
                <w:sz w:val="20"/>
                <w:szCs w:val="20"/>
              </w:rPr>
            </w:pPr>
            <w:r w:rsidRPr="00461D0D">
              <w:rPr>
                <w:rFonts w:ascii="Arial Narrow" w:eastAsia="Calibri" w:hAnsi="Arial Narrow" w:cs="Times New Roman"/>
                <w:sz w:val="20"/>
                <w:szCs w:val="20"/>
              </w:rPr>
              <w:t>$8,612,666</w:t>
            </w:r>
          </w:p>
        </w:tc>
      </w:tr>
      <w:tr w:rsidR="001454B1" w:rsidRPr="005F5BEA" w14:paraId="19B650F1" w14:textId="77777777" w:rsidTr="00032276">
        <w:tc>
          <w:tcPr>
            <w:tcW w:w="3539" w:type="dxa"/>
          </w:tcPr>
          <w:p w14:paraId="71A15658" w14:textId="77777777" w:rsidR="001454B1" w:rsidRPr="005F5BEA" w:rsidRDefault="001454B1" w:rsidP="001454B1">
            <w:pPr>
              <w:keepNext/>
              <w:spacing w:before="0"/>
              <w:rPr>
                <w:rFonts w:ascii="Arial Narrow" w:eastAsia="Calibri" w:hAnsi="Arial Narrow" w:cs="Times New Roman"/>
                <w:sz w:val="20"/>
                <w:szCs w:val="20"/>
              </w:rPr>
            </w:pPr>
            <w:r w:rsidRPr="005F5BEA">
              <w:rPr>
                <w:rFonts w:ascii="Arial Narrow" w:eastAsia="Calibri" w:hAnsi="Arial Narrow" w:cs="Times New Roman"/>
                <w:sz w:val="20"/>
                <w:szCs w:val="20"/>
              </w:rPr>
              <w:t>Overhead as a percent of direct costs</w:t>
            </w:r>
          </w:p>
        </w:tc>
        <w:tc>
          <w:tcPr>
            <w:tcW w:w="1241" w:type="dxa"/>
          </w:tcPr>
          <w:p w14:paraId="557A56DE" w14:textId="77777777" w:rsidR="001454B1" w:rsidRPr="00461D0D" w:rsidRDefault="001454B1" w:rsidP="001454B1">
            <w:pPr>
              <w:keepNext/>
              <w:spacing w:before="0"/>
              <w:jc w:val="right"/>
              <w:rPr>
                <w:rFonts w:ascii="Arial Narrow" w:eastAsia="Calibri" w:hAnsi="Arial Narrow" w:cs="Times New Roman"/>
                <w:sz w:val="20"/>
                <w:szCs w:val="20"/>
              </w:rPr>
            </w:pPr>
            <w:r w:rsidRPr="00461D0D">
              <w:rPr>
                <w:rFonts w:ascii="Arial Narrow" w:eastAsia="Calibri" w:hAnsi="Arial Narrow" w:cs="Times New Roman"/>
                <w:sz w:val="20"/>
                <w:szCs w:val="20"/>
              </w:rPr>
              <w:t>30%</w:t>
            </w:r>
          </w:p>
        </w:tc>
        <w:tc>
          <w:tcPr>
            <w:tcW w:w="1330" w:type="dxa"/>
          </w:tcPr>
          <w:p w14:paraId="516367E0" w14:textId="77777777" w:rsidR="001454B1" w:rsidRPr="00461D0D" w:rsidRDefault="001454B1" w:rsidP="001454B1">
            <w:pPr>
              <w:keepNext/>
              <w:spacing w:before="0"/>
              <w:jc w:val="right"/>
              <w:rPr>
                <w:rFonts w:ascii="Arial Narrow" w:eastAsia="Calibri" w:hAnsi="Arial Narrow" w:cs="Times New Roman"/>
                <w:sz w:val="20"/>
                <w:szCs w:val="20"/>
              </w:rPr>
            </w:pPr>
            <w:r w:rsidRPr="00461D0D">
              <w:rPr>
                <w:rFonts w:ascii="Arial Narrow" w:eastAsia="Calibri" w:hAnsi="Arial Narrow" w:cs="Times New Roman"/>
                <w:sz w:val="20"/>
                <w:szCs w:val="20"/>
              </w:rPr>
              <w:t>53.1%</w:t>
            </w:r>
          </w:p>
        </w:tc>
        <w:tc>
          <w:tcPr>
            <w:tcW w:w="1543" w:type="dxa"/>
          </w:tcPr>
          <w:p w14:paraId="6D94E56C" w14:textId="77777777" w:rsidR="001454B1" w:rsidRPr="00461D0D" w:rsidRDefault="001454B1" w:rsidP="001454B1">
            <w:pPr>
              <w:keepNext/>
              <w:spacing w:before="0"/>
              <w:jc w:val="right"/>
              <w:rPr>
                <w:rFonts w:ascii="Arial Narrow" w:eastAsia="Calibri" w:hAnsi="Arial Narrow" w:cs="Times New Roman"/>
                <w:sz w:val="20"/>
                <w:szCs w:val="20"/>
              </w:rPr>
            </w:pPr>
            <w:r w:rsidRPr="00461D0D">
              <w:rPr>
                <w:rFonts w:ascii="Arial Narrow" w:eastAsia="Calibri" w:hAnsi="Arial Narrow" w:cs="Times New Roman"/>
                <w:sz w:val="20"/>
                <w:szCs w:val="20"/>
              </w:rPr>
              <w:t>52.9%</w:t>
            </w:r>
          </w:p>
        </w:tc>
        <w:tc>
          <w:tcPr>
            <w:tcW w:w="1363" w:type="dxa"/>
          </w:tcPr>
          <w:p w14:paraId="04325367" w14:textId="77777777" w:rsidR="001454B1" w:rsidRPr="00461D0D" w:rsidRDefault="001454B1" w:rsidP="001454B1">
            <w:pPr>
              <w:keepNext/>
              <w:spacing w:before="0"/>
              <w:jc w:val="right"/>
              <w:rPr>
                <w:rFonts w:ascii="Arial Narrow" w:eastAsia="Calibri" w:hAnsi="Arial Narrow" w:cs="Times New Roman"/>
                <w:sz w:val="20"/>
                <w:szCs w:val="20"/>
              </w:rPr>
            </w:pPr>
            <w:r w:rsidRPr="00461D0D">
              <w:rPr>
                <w:rFonts w:ascii="Arial Narrow" w:eastAsia="Calibri" w:hAnsi="Arial Narrow" w:cs="Times New Roman"/>
                <w:sz w:val="20"/>
                <w:szCs w:val="20"/>
              </w:rPr>
              <w:t>53.7%</w:t>
            </w:r>
          </w:p>
        </w:tc>
      </w:tr>
    </w:tbl>
    <w:p w14:paraId="024BDBB6" w14:textId="77777777" w:rsidR="001454B1" w:rsidRPr="005F5BEA" w:rsidRDefault="001454B1" w:rsidP="00374BF7">
      <w:pPr>
        <w:keepNext/>
        <w:spacing w:before="0" w:after="240"/>
        <w:jc w:val="both"/>
        <w:rPr>
          <w:rFonts w:ascii="Arial Narrow" w:eastAsia="Calibri" w:hAnsi="Arial Narrow" w:cs="Arial"/>
          <w:sz w:val="18"/>
        </w:rPr>
      </w:pPr>
      <w:r w:rsidRPr="005F5BEA">
        <w:rPr>
          <w:rFonts w:ascii="Arial Narrow" w:eastAsia="Calibri" w:hAnsi="Arial Narrow" w:cs="Arial"/>
          <w:sz w:val="18"/>
        </w:rPr>
        <w:t>Source: generated from the updated Utilisation and Cost Model spreadsheet.</w:t>
      </w:r>
    </w:p>
    <w:p w14:paraId="33388466" w14:textId="18FA5EAB" w:rsidR="001454B1" w:rsidRPr="005F5BEA" w:rsidRDefault="001454B1" w:rsidP="00757D42">
      <w:r w:rsidRPr="005F5BEA">
        <w:t xml:space="preserve">The updated overhead costs were derived from data provided by companies during the Round 2 data collection. The applicant has provided a summary of the cost components, reproduced in </w:t>
      </w:r>
      <w:r w:rsidRPr="005F5BEA">
        <w:fldChar w:fldCharType="begin"/>
      </w:r>
      <w:r w:rsidRPr="005F5BEA">
        <w:instrText xml:space="preserve"> REF _Ref135055310 \h </w:instrText>
      </w:r>
      <w:r w:rsidR="00757D42" w:rsidRPr="005F5BEA">
        <w:instrText xml:space="preserve"> \* MERGEFORMAT </w:instrText>
      </w:r>
      <w:r w:rsidRPr="005F5BEA">
        <w:fldChar w:fldCharType="separate"/>
      </w:r>
      <w:r w:rsidR="00334548" w:rsidRPr="00334548">
        <w:t>Table 24</w:t>
      </w:r>
      <w:r w:rsidRPr="005F5BEA">
        <w:fldChar w:fldCharType="end"/>
      </w:r>
      <w:r w:rsidRPr="005F5BEA">
        <w:t xml:space="preserve">. </w:t>
      </w:r>
      <w:r w:rsidR="008C46F1" w:rsidRPr="005F5BEA">
        <w:t>The focussed evaluation considered that i</w:t>
      </w:r>
      <w:r w:rsidRPr="005F5BEA">
        <w:t xml:space="preserve">t is difficult to interpret the components of the overhead </w:t>
      </w:r>
      <w:proofErr w:type="gramStart"/>
      <w:r w:rsidRPr="005F5BEA">
        <w:t>costs, or</w:t>
      </w:r>
      <w:proofErr w:type="gramEnd"/>
      <w:r w:rsidRPr="005F5BEA">
        <w:t xml:space="preserve"> understand how some of the costs could have been derived. In many cases, there are considerable variations across companies in the categories of overhead costs, which may reflect the difficulties in ascribing costs to </w:t>
      </w:r>
      <w:proofErr w:type="gramStart"/>
      <w:r w:rsidRPr="005F5BEA">
        <w:t>particular categories</w:t>
      </w:r>
      <w:proofErr w:type="gramEnd"/>
      <w:r w:rsidRPr="005F5BEA">
        <w:t xml:space="preserve"> or to the cardiac technical support services component of the business. </w:t>
      </w:r>
      <w:r w:rsidR="00757D42" w:rsidRPr="005F5BEA">
        <w:t>The focussed evaluation considered that i</w:t>
      </w:r>
      <w:r w:rsidRPr="005F5BEA">
        <w:t xml:space="preserve">t </w:t>
      </w:r>
      <w:r w:rsidR="00757D42" w:rsidRPr="005F5BEA">
        <w:t>was</w:t>
      </w:r>
      <w:r w:rsidRPr="005F5BEA">
        <w:t xml:space="preserve"> not clear whether the sole purpose of the included companies is to provide cardiac technician support for implantable cardiac devices, however it is unlikely. Therefore, many </w:t>
      </w:r>
      <w:r w:rsidRPr="005F5BEA">
        <w:lastRenderedPageBreak/>
        <w:t xml:space="preserve">overhead costs would need to be derived from the total business overhead costs and apportioned appropriately to the cardiac technician component of the business. </w:t>
      </w:r>
    </w:p>
    <w:p w14:paraId="1A3C0823" w14:textId="1CDF8650" w:rsidR="001454B1" w:rsidRPr="005F5BEA" w:rsidRDefault="001454B1" w:rsidP="001454B1">
      <w:pPr>
        <w:keepNext/>
        <w:spacing w:before="0" w:after="200" w:line="240" w:lineRule="auto"/>
        <w:rPr>
          <w:rFonts w:ascii="Arial Narrow" w:eastAsia="Calibri" w:hAnsi="Arial Narrow" w:cs="Times New Roman"/>
          <w:b/>
          <w:iCs/>
          <w:sz w:val="20"/>
          <w:szCs w:val="20"/>
        </w:rPr>
      </w:pPr>
      <w:bookmarkStart w:id="40" w:name="_Ref135055310"/>
      <w:r w:rsidRPr="005F5BEA">
        <w:rPr>
          <w:rFonts w:ascii="Arial Narrow" w:eastAsia="Calibri" w:hAnsi="Arial Narrow" w:cs="Times New Roman"/>
          <w:b/>
          <w:iCs/>
          <w:sz w:val="20"/>
          <w:szCs w:val="20"/>
        </w:rPr>
        <w:t xml:space="preserve">Table </w:t>
      </w:r>
      <w:r w:rsidRPr="005F5BEA">
        <w:rPr>
          <w:rFonts w:ascii="Arial Narrow" w:eastAsia="Calibri" w:hAnsi="Arial Narrow" w:cs="Times New Roman"/>
          <w:b/>
          <w:iCs/>
          <w:sz w:val="20"/>
          <w:szCs w:val="20"/>
        </w:rPr>
        <w:fldChar w:fldCharType="begin"/>
      </w:r>
      <w:r w:rsidRPr="005F5BEA">
        <w:rPr>
          <w:rFonts w:ascii="Arial Narrow" w:eastAsia="Calibri" w:hAnsi="Arial Narrow" w:cs="Times New Roman"/>
          <w:b/>
          <w:iCs/>
          <w:sz w:val="20"/>
          <w:szCs w:val="20"/>
        </w:rPr>
        <w:instrText xml:space="preserve"> SEQ Table \* ARABIC </w:instrText>
      </w:r>
      <w:r w:rsidRPr="005F5BEA">
        <w:rPr>
          <w:rFonts w:ascii="Arial Narrow" w:eastAsia="Calibri" w:hAnsi="Arial Narrow" w:cs="Times New Roman"/>
          <w:b/>
          <w:iCs/>
          <w:sz w:val="20"/>
          <w:szCs w:val="20"/>
        </w:rPr>
        <w:fldChar w:fldCharType="separate"/>
      </w:r>
      <w:r w:rsidR="00334548">
        <w:rPr>
          <w:rFonts w:ascii="Arial Narrow" w:eastAsia="Calibri" w:hAnsi="Arial Narrow" w:cs="Times New Roman"/>
          <w:b/>
          <w:iCs/>
          <w:noProof/>
          <w:sz w:val="20"/>
          <w:szCs w:val="20"/>
        </w:rPr>
        <w:t>24</w:t>
      </w:r>
      <w:r w:rsidRPr="005F5BEA">
        <w:rPr>
          <w:rFonts w:ascii="Arial Narrow" w:eastAsia="Calibri" w:hAnsi="Arial Narrow" w:cs="Times New Roman"/>
          <w:b/>
          <w:iCs/>
          <w:noProof/>
          <w:sz w:val="20"/>
          <w:szCs w:val="20"/>
        </w:rPr>
        <w:fldChar w:fldCharType="end"/>
      </w:r>
      <w:bookmarkEnd w:id="40"/>
      <w:r w:rsidRPr="005F5BEA">
        <w:rPr>
          <w:rFonts w:ascii="Arial Narrow" w:eastAsia="Calibri" w:hAnsi="Arial Narrow" w:cs="Times New Roman"/>
          <w:b/>
          <w:iCs/>
          <w:sz w:val="20"/>
          <w:szCs w:val="20"/>
        </w:rPr>
        <w:tab/>
        <w:t xml:space="preserve">Overhead costing estimates </w:t>
      </w:r>
    </w:p>
    <w:tbl>
      <w:tblPr>
        <w:tblStyle w:val="TableGrid1"/>
        <w:tblW w:w="5000" w:type="pct"/>
        <w:tblLook w:val="04A0" w:firstRow="1" w:lastRow="0" w:firstColumn="1" w:lastColumn="0" w:noHBand="0" w:noVBand="1"/>
      </w:tblPr>
      <w:tblGrid>
        <w:gridCol w:w="2972"/>
        <w:gridCol w:w="986"/>
        <w:gridCol w:w="955"/>
        <w:gridCol w:w="1037"/>
        <w:gridCol w:w="1074"/>
        <w:gridCol w:w="955"/>
        <w:gridCol w:w="1037"/>
      </w:tblGrid>
      <w:tr w:rsidR="001454B1" w:rsidRPr="005F5BEA" w14:paraId="5A779536" w14:textId="77777777" w:rsidTr="11AFB54D">
        <w:trPr>
          <w:trHeight w:val="70"/>
        </w:trPr>
        <w:tc>
          <w:tcPr>
            <w:tcW w:w="2972" w:type="dxa"/>
            <w:vMerge w:val="restart"/>
          </w:tcPr>
          <w:p w14:paraId="0C10F159" w14:textId="77777777" w:rsidR="001454B1" w:rsidRPr="005F5BEA" w:rsidRDefault="001454B1" w:rsidP="001454B1">
            <w:pPr>
              <w:keepLines/>
              <w:spacing w:before="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Cost</w:t>
            </w:r>
          </w:p>
        </w:tc>
        <w:tc>
          <w:tcPr>
            <w:tcW w:w="5007" w:type="dxa"/>
            <w:gridSpan w:val="5"/>
          </w:tcPr>
          <w:p w14:paraId="01079384" w14:textId="77777777" w:rsidR="001454B1" w:rsidRPr="005F5BEA" w:rsidRDefault="001454B1" w:rsidP="001454B1">
            <w:pPr>
              <w:keepLines/>
              <w:spacing w:before="0"/>
              <w:jc w:val="center"/>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Company</w:t>
            </w:r>
          </w:p>
        </w:tc>
        <w:tc>
          <w:tcPr>
            <w:tcW w:w="1037" w:type="dxa"/>
            <w:vMerge w:val="restart"/>
          </w:tcPr>
          <w:p w14:paraId="1AB2DA90" w14:textId="77777777" w:rsidR="001454B1" w:rsidRPr="005F5BEA" w:rsidRDefault="001454B1" w:rsidP="001454B1">
            <w:pPr>
              <w:keepLines/>
              <w:spacing w:before="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Total</w:t>
            </w:r>
          </w:p>
        </w:tc>
      </w:tr>
      <w:tr w:rsidR="001454B1" w:rsidRPr="005F5BEA" w14:paraId="48572616" w14:textId="77777777" w:rsidTr="00D865D4">
        <w:trPr>
          <w:trHeight w:val="70"/>
        </w:trPr>
        <w:tc>
          <w:tcPr>
            <w:tcW w:w="2972" w:type="dxa"/>
            <w:vMerge/>
          </w:tcPr>
          <w:p w14:paraId="38A42839" w14:textId="77777777" w:rsidR="001454B1" w:rsidRPr="005F5BEA" w:rsidRDefault="001454B1" w:rsidP="001454B1">
            <w:pPr>
              <w:keepLines/>
              <w:spacing w:before="0"/>
              <w:rPr>
                <w:rFonts w:ascii="Arial Narrow" w:eastAsia="Calibri" w:hAnsi="Arial Narrow" w:cs="Calibri"/>
                <w:b/>
                <w:sz w:val="20"/>
                <w:szCs w:val="20"/>
                <w:lang w:val="en-US"/>
              </w:rPr>
            </w:pPr>
          </w:p>
        </w:tc>
        <w:tc>
          <w:tcPr>
            <w:tcW w:w="986" w:type="dxa"/>
            <w:tcBorders>
              <w:bottom w:val="single" w:sz="4" w:space="0" w:color="auto"/>
            </w:tcBorders>
          </w:tcPr>
          <w:p w14:paraId="0CA7EE93" w14:textId="77777777" w:rsidR="001454B1" w:rsidRPr="005F5BEA" w:rsidRDefault="001454B1" w:rsidP="001454B1">
            <w:pPr>
              <w:keepLines/>
              <w:spacing w:before="0"/>
              <w:jc w:val="center"/>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1</w:t>
            </w:r>
          </w:p>
        </w:tc>
        <w:tc>
          <w:tcPr>
            <w:tcW w:w="955" w:type="dxa"/>
            <w:tcBorders>
              <w:bottom w:val="single" w:sz="4" w:space="0" w:color="auto"/>
            </w:tcBorders>
          </w:tcPr>
          <w:p w14:paraId="2178250B" w14:textId="77777777" w:rsidR="001454B1" w:rsidRPr="005F5BEA" w:rsidRDefault="001454B1" w:rsidP="001454B1">
            <w:pPr>
              <w:keepLines/>
              <w:spacing w:before="0"/>
              <w:jc w:val="center"/>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2</w:t>
            </w:r>
          </w:p>
        </w:tc>
        <w:tc>
          <w:tcPr>
            <w:tcW w:w="1037" w:type="dxa"/>
            <w:tcBorders>
              <w:bottom w:val="single" w:sz="4" w:space="0" w:color="auto"/>
            </w:tcBorders>
          </w:tcPr>
          <w:p w14:paraId="1931CDD9" w14:textId="77777777" w:rsidR="001454B1" w:rsidRPr="005F5BEA" w:rsidRDefault="001454B1" w:rsidP="001454B1">
            <w:pPr>
              <w:keepLines/>
              <w:spacing w:before="0"/>
              <w:jc w:val="center"/>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3</w:t>
            </w:r>
          </w:p>
        </w:tc>
        <w:tc>
          <w:tcPr>
            <w:tcW w:w="1074" w:type="dxa"/>
            <w:tcBorders>
              <w:bottom w:val="single" w:sz="4" w:space="0" w:color="auto"/>
            </w:tcBorders>
          </w:tcPr>
          <w:p w14:paraId="26B2AFD0" w14:textId="77777777" w:rsidR="001454B1" w:rsidRPr="005F5BEA" w:rsidRDefault="001454B1" w:rsidP="001454B1">
            <w:pPr>
              <w:keepLines/>
              <w:spacing w:before="0"/>
              <w:jc w:val="center"/>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4</w:t>
            </w:r>
          </w:p>
        </w:tc>
        <w:tc>
          <w:tcPr>
            <w:tcW w:w="955" w:type="dxa"/>
            <w:tcBorders>
              <w:bottom w:val="single" w:sz="4" w:space="0" w:color="auto"/>
            </w:tcBorders>
          </w:tcPr>
          <w:p w14:paraId="300F77F5" w14:textId="77777777" w:rsidR="001454B1" w:rsidRPr="005F5BEA" w:rsidRDefault="001454B1" w:rsidP="001454B1">
            <w:pPr>
              <w:keepLines/>
              <w:spacing w:before="0"/>
              <w:jc w:val="center"/>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5</w:t>
            </w:r>
          </w:p>
        </w:tc>
        <w:tc>
          <w:tcPr>
            <w:tcW w:w="1037" w:type="dxa"/>
            <w:vMerge/>
            <w:tcBorders>
              <w:bottom w:val="single" w:sz="4" w:space="0" w:color="auto"/>
            </w:tcBorders>
          </w:tcPr>
          <w:p w14:paraId="5C79D116" w14:textId="77777777" w:rsidR="001454B1" w:rsidRPr="005F5BEA" w:rsidRDefault="001454B1" w:rsidP="001454B1">
            <w:pPr>
              <w:keepLines/>
              <w:spacing w:before="0"/>
              <w:rPr>
                <w:rFonts w:ascii="Arial Narrow" w:eastAsia="Calibri" w:hAnsi="Arial Narrow" w:cs="Calibri"/>
                <w:b/>
                <w:sz w:val="20"/>
                <w:szCs w:val="20"/>
                <w:lang w:val="en-US"/>
              </w:rPr>
            </w:pPr>
          </w:p>
        </w:tc>
      </w:tr>
      <w:tr w:rsidR="001454B1" w:rsidRPr="005F5BEA" w14:paraId="3101066D" w14:textId="77777777" w:rsidTr="00D865D4">
        <w:trPr>
          <w:trHeight w:val="70"/>
        </w:trPr>
        <w:tc>
          <w:tcPr>
            <w:tcW w:w="2972" w:type="dxa"/>
          </w:tcPr>
          <w:p w14:paraId="525D05D0" w14:textId="77777777" w:rsidR="001454B1" w:rsidRPr="005F5BEA" w:rsidRDefault="001454B1" w:rsidP="001454B1">
            <w:pPr>
              <w:keepLines/>
              <w:spacing w:before="0"/>
              <w:rPr>
                <w:rFonts w:ascii="Arial Narrow" w:eastAsia="Calibri" w:hAnsi="Arial Narrow" w:cs="Calibri"/>
                <w:sz w:val="20"/>
                <w:szCs w:val="20"/>
              </w:rPr>
            </w:pPr>
            <w:r w:rsidRPr="005F5BEA">
              <w:rPr>
                <w:rFonts w:ascii="Arial Narrow" w:eastAsia="Calibri" w:hAnsi="Arial Narrow" w:cs="Calibri"/>
                <w:sz w:val="20"/>
                <w:szCs w:val="20"/>
              </w:rPr>
              <w:t xml:space="preserve">Capital equipment + accessories </w:t>
            </w:r>
            <w:r w:rsidRPr="005F5BEA">
              <w:rPr>
                <w:rFonts w:ascii="Arial Narrow" w:eastAsia="Calibri" w:hAnsi="Arial Narrow" w:cs="Calibri"/>
                <w:sz w:val="20"/>
                <w:szCs w:val="20"/>
                <w:vertAlign w:val="superscript"/>
              </w:rPr>
              <w:t>a</w:t>
            </w:r>
          </w:p>
        </w:tc>
        <w:tc>
          <w:tcPr>
            <w:tcW w:w="986" w:type="dxa"/>
            <w:tcBorders>
              <w:bottom w:val="single" w:sz="4" w:space="0" w:color="auto"/>
            </w:tcBorders>
            <w:shd w:val="solid" w:color="000000" w:fill="000000"/>
          </w:tcPr>
          <w:p w14:paraId="55B4E503" w14:textId="367E0F5A" w:rsidR="001454B1" w:rsidRPr="00D865D4" w:rsidRDefault="00D865D4" w:rsidP="001454B1">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17C285E0" w14:textId="1D1FC857" w:rsidR="001454B1" w:rsidRPr="00D865D4" w:rsidRDefault="00D865D4" w:rsidP="001454B1">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tcPr>
          <w:p w14:paraId="1C96976D" w14:textId="67556082" w:rsidR="001454B1" w:rsidRPr="00D865D4" w:rsidRDefault="00D865D4" w:rsidP="001454B1">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74" w:type="dxa"/>
            <w:tcBorders>
              <w:bottom w:val="single" w:sz="4" w:space="0" w:color="auto"/>
            </w:tcBorders>
            <w:shd w:val="solid" w:color="000000" w:fill="000000"/>
          </w:tcPr>
          <w:p w14:paraId="583BFB26" w14:textId="51645030" w:rsidR="001454B1" w:rsidRPr="00D865D4" w:rsidRDefault="00D865D4" w:rsidP="001454B1">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101ED6BF" w14:textId="10653009" w:rsidR="001454B1" w:rsidRPr="00D865D4" w:rsidRDefault="00D865D4" w:rsidP="001454B1">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vAlign w:val="center"/>
          </w:tcPr>
          <w:p w14:paraId="0A210D1F" w14:textId="14F080A5" w:rsidR="001454B1" w:rsidRPr="00D865D4" w:rsidRDefault="00D865D4" w:rsidP="001454B1">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r>
      <w:tr w:rsidR="001454B1" w:rsidRPr="005F5BEA" w14:paraId="5C38B055" w14:textId="77777777" w:rsidTr="00D865D4">
        <w:trPr>
          <w:trHeight w:val="70"/>
        </w:trPr>
        <w:tc>
          <w:tcPr>
            <w:tcW w:w="2972" w:type="dxa"/>
          </w:tcPr>
          <w:p w14:paraId="0F6044DD" w14:textId="77777777" w:rsidR="001454B1" w:rsidRPr="005F5BEA" w:rsidRDefault="001454B1" w:rsidP="001454B1">
            <w:pPr>
              <w:keepLines/>
              <w:spacing w:before="0"/>
              <w:rPr>
                <w:rFonts w:ascii="Arial Narrow" w:eastAsia="Calibri" w:hAnsi="Arial Narrow" w:cs="Calibri"/>
                <w:sz w:val="20"/>
                <w:szCs w:val="20"/>
              </w:rPr>
            </w:pPr>
            <w:r w:rsidRPr="005F5BEA">
              <w:rPr>
                <w:rFonts w:ascii="Arial Narrow" w:eastAsia="Calibri" w:hAnsi="Arial Narrow" w:cs="Calibri"/>
                <w:sz w:val="20"/>
                <w:szCs w:val="20"/>
              </w:rPr>
              <w:t xml:space="preserve">Maintenance &amp; repairs costs </w:t>
            </w:r>
            <w:r w:rsidRPr="005F5BEA">
              <w:rPr>
                <w:rFonts w:ascii="Arial Narrow" w:eastAsia="Calibri" w:hAnsi="Arial Narrow" w:cs="Calibri"/>
                <w:sz w:val="20"/>
                <w:szCs w:val="20"/>
                <w:vertAlign w:val="superscript"/>
              </w:rPr>
              <w:t>b</w:t>
            </w:r>
          </w:p>
        </w:tc>
        <w:tc>
          <w:tcPr>
            <w:tcW w:w="986" w:type="dxa"/>
            <w:tcBorders>
              <w:bottom w:val="single" w:sz="4" w:space="0" w:color="auto"/>
            </w:tcBorders>
            <w:shd w:val="solid" w:color="000000" w:fill="000000"/>
          </w:tcPr>
          <w:p w14:paraId="7B3E8DC6" w14:textId="6983F655" w:rsidR="001454B1" w:rsidRPr="00D865D4" w:rsidRDefault="00D865D4" w:rsidP="001454B1">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29D1EDAD" w14:textId="068E0428" w:rsidR="001454B1" w:rsidRPr="00D865D4" w:rsidRDefault="00D865D4" w:rsidP="001454B1">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tcPr>
          <w:p w14:paraId="7597CC5A" w14:textId="11422DE1" w:rsidR="001454B1" w:rsidRPr="00D865D4" w:rsidRDefault="00D865D4" w:rsidP="001454B1">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74" w:type="dxa"/>
            <w:tcBorders>
              <w:bottom w:val="single" w:sz="4" w:space="0" w:color="auto"/>
            </w:tcBorders>
            <w:shd w:val="solid" w:color="000000" w:fill="000000"/>
          </w:tcPr>
          <w:p w14:paraId="5B8795F9" w14:textId="32E6BED2" w:rsidR="001454B1" w:rsidRPr="00D865D4" w:rsidRDefault="00D865D4" w:rsidP="001454B1">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7B916644" w14:textId="59334CF6" w:rsidR="001454B1" w:rsidRPr="00D865D4" w:rsidRDefault="00D865D4" w:rsidP="001454B1">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vAlign w:val="center"/>
          </w:tcPr>
          <w:p w14:paraId="140D45BA" w14:textId="201C6EEF" w:rsidR="001454B1" w:rsidRPr="00D865D4" w:rsidRDefault="00D865D4" w:rsidP="001454B1">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r>
      <w:tr w:rsidR="00D865D4" w:rsidRPr="005F5BEA" w14:paraId="4FC346D0" w14:textId="77777777" w:rsidTr="00D865D4">
        <w:trPr>
          <w:trHeight w:val="70"/>
        </w:trPr>
        <w:tc>
          <w:tcPr>
            <w:tcW w:w="2972" w:type="dxa"/>
          </w:tcPr>
          <w:p w14:paraId="05D19CD3" w14:textId="77777777" w:rsidR="007C3FA9" w:rsidRPr="005F5BEA" w:rsidRDefault="007C3FA9" w:rsidP="007C3FA9">
            <w:pPr>
              <w:keepLines/>
              <w:spacing w:before="0"/>
              <w:rPr>
                <w:rFonts w:ascii="Arial Narrow" w:eastAsia="Calibri" w:hAnsi="Arial Narrow" w:cs="Calibri"/>
                <w:sz w:val="20"/>
                <w:szCs w:val="20"/>
              </w:rPr>
            </w:pPr>
            <w:r w:rsidRPr="005F5BEA">
              <w:rPr>
                <w:rFonts w:ascii="Arial Narrow" w:eastAsia="Calibri" w:hAnsi="Arial Narrow" w:cs="Calibri"/>
                <w:sz w:val="20"/>
                <w:szCs w:val="20"/>
              </w:rPr>
              <w:t xml:space="preserve">Consumables - used not charged </w:t>
            </w:r>
            <w:r w:rsidRPr="005F5BEA">
              <w:rPr>
                <w:rFonts w:ascii="Arial Narrow" w:eastAsia="Calibri" w:hAnsi="Arial Narrow" w:cs="Calibri"/>
                <w:sz w:val="20"/>
                <w:szCs w:val="20"/>
                <w:vertAlign w:val="superscript"/>
              </w:rPr>
              <w:t>c</w:t>
            </w:r>
          </w:p>
        </w:tc>
        <w:tc>
          <w:tcPr>
            <w:tcW w:w="986" w:type="dxa"/>
            <w:tcBorders>
              <w:bottom w:val="single" w:sz="4" w:space="0" w:color="auto"/>
            </w:tcBorders>
            <w:shd w:val="solid" w:color="000000" w:fill="000000"/>
          </w:tcPr>
          <w:p w14:paraId="557A0C5D" w14:textId="7DD87A12"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46393117" w14:textId="74D00E08"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tcPr>
          <w:p w14:paraId="1B1D0903" w14:textId="6CB72EBB"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74" w:type="dxa"/>
            <w:tcBorders>
              <w:bottom w:val="single" w:sz="4" w:space="0" w:color="auto"/>
            </w:tcBorders>
            <w:shd w:val="solid" w:color="000000" w:fill="000000"/>
          </w:tcPr>
          <w:p w14:paraId="43EF80C5" w14:textId="4A88B671"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562BE6BF" w14:textId="79CBE64A"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vAlign w:val="center"/>
          </w:tcPr>
          <w:p w14:paraId="6D401DC7" w14:textId="1E4E8B89"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r>
      <w:tr w:rsidR="001454B1" w:rsidRPr="005F5BEA" w14:paraId="24296406" w14:textId="77777777" w:rsidTr="00D865D4">
        <w:trPr>
          <w:trHeight w:val="70"/>
        </w:trPr>
        <w:tc>
          <w:tcPr>
            <w:tcW w:w="2972" w:type="dxa"/>
          </w:tcPr>
          <w:p w14:paraId="11808C95" w14:textId="77777777" w:rsidR="001454B1" w:rsidRPr="005F5BEA" w:rsidRDefault="001454B1" w:rsidP="001454B1">
            <w:pPr>
              <w:keepLines/>
              <w:spacing w:before="0"/>
              <w:rPr>
                <w:rFonts w:ascii="Arial Narrow" w:eastAsia="Calibri" w:hAnsi="Arial Narrow" w:cs="Calibri"/>
                <w:sz w:val="20"/>
                <w:szCs w:val="20"/>
              </w:rPr>
            </w:pPr>
            <w:r w:rsidRPr="005F5BEA">
              <w:rPr>
                <w:rFonts w:ascii="Arial Narrow" w:eastAsia="Calibri" w:hAnsi="Arial Narrow" w:cs="Calibri"/>
                <w:sz w:val="20"/>
                <w:szCs w:val="20"/>
              </w:rPr>
              <w:t xml:space="preserve">Consumables - discarded </w:t>
            </w:r>
            <w:r w:rsidRPr="005F5BEA">
              <w:rPr>
                <w:rFonts w:ascii="Arial Narrow" w:eastAsia="Calibri" w:hAnsi="Arial Narrow" w:cs="Calibri"/>
                <w:sz w:val="20"/>
                <w:szCs w:val="20"/>
                <w:vertAlign w:val="superscript"/>
              </w:rPr>
              <w:t>d</w:t>
            </w:r>
          </w:p>
        </w:tc>
        <w:tc>
          <w:tcPr>
            <w:tcW w:w="986" w:type="dxa"/>
            <w:tcBorders>
              <w:bottom w:val="single" w:sz="4" w:space="0" w:color="auto"/>
            </w:tcBorders>
            <w:shd w:val="solid" w:color="000000" w:fill="000000"/>
          </w:tcPr>
          <w:p w14:paraId="0B9DDCA4" w14:textId="464BDAEA" w:rsidR="001454B1" w:rsidRPr="00D865D4" w:rsidRDefault="00D865D4" w:rsidP="001454B1">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42262F02" w14:textId="671A1C2C" w:rsidR="001454B1" w:rsidRPr="00D865D4" w:rsidRDefault="00D865D4" w:rsidP="001454B1">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tcPr>
          <w:p w14:paraId="4DE638BE" w14:textId="6FB7A3AA" w:rsidR="001454B1" w:rsidRPr="00D865D4" w:rsidRDefault="00D865D4" w:rsidP="001454B1">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74" w:type="dxa"/>
            <w:tcBorders>
              <w:bottom w:val="single" w:sz="4" w:space="0" w:color="auto"/>
            </w:tcBorders>
            <w:shd w:val="solid" w:color="000000" w:fill="000000"/>
          </w:tcPr>
          <w:p w14:paraId="141BA2C6" w14:textId="730EAF3C" w:rsidR="001454B1" w:rsidRPr="00D865D4" w:rsidRDefault="00D865D4" w:rsidP="001454B1">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03403FEE" w14:textId="15658204" w:rsidR="001454B1" w:rsidRPr="00D865D4" w:rsidRDefault="00D865D4" w:rsidP="001454B1">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vAlign w:val="center"/>
          </w:tcPr>
          <w:p w14:paraId="52E13133" w14:textId="7239989C" w:rsidR="001454B1" w:rsidRPr="00D865D4" w:rsidRDefault="00D865D4" w:rsidP="001454B1">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r>
      <w:tr w:rsidR="001454B1" w:rsidRPr="005F5BEA" w14:paraId="6C782D6B" w14:textId="77777777" w:rsidTr="00D865D4">
        <w:trPr>
          <w:trHeight w:val="70"/>
        </w:trPr>
        <w:tc>
          <w:tcPr>
            <w:tcW w:w="2972" w:type="dxa"/>
          </w:tcPr>
          <w:p w14:paraId="62EEF346" w14:textId="77777777" w:rsidR="001454B1" w:rsidRPr="005F5BEA" w:rsidRDefault="001454B1" w:rsidP="001454B1">
            <w:pPr>
              <w:keepLines/>
              <w:spacing w:before="0"/>
              <w:rPr>
                <w:rFonts w:ascii="Arial Narrow" w:eastAsia="Calibri" w:hAnsi="Arial Narrow" w:cs="Calibri"/>
                <w:sz w:val="20"/>
                <w:szCs w:val="20"/>
              </w:rPr>
            </w:pPr>
            <w:r w:rsidRPr="005F5BEA">
              <w:rPr>
                <w:rFonts w:ascii="Arial Narrow" w:eastAsia="Calibri" w:hAnsi="Arial Narrow" w:cs="Calibri"/>
                <w:sz w:val="20"/>
                <w:szCs w:val="20"/>
              </w:rPr>
              <w:t xml:space="preserve">Remote monitoring network maintenance </w:t>
            </w:r>
            <w:r w:rsidRPr="005F5BEA">
              <w:rPr>
                <w:rFonts w:ascii="Arial Narrow" w:eastAsia="Calibri" w:hAnsi="Arial Narrow" w:cs="Calibri"/>
                <w:sz w:val="20"/>
                <w:szCs w:val="20"/>
                <w:vertAlign w:val="superscript"/>
              </w:rPr>
              <w:t>e</w:t>
            </w:r>
          </w:p>
        </w:tc>
        <w:tc>
          <w:tcPr>
            <w:tcW w:w="986" w:type="dxa"/>
            <w:tcBorders>
              <w:bottom w:val="single" w:sz="4" w:space="0" w:color="auto"/>
            </w:tcBorders>
            <w:shd w:val="solid" w:color="000000" w:fill="000000"/>
          </w:tcPr>
          <w:p w14:paraId="03F7AE02" w14:textId="26A08B9D" w:rsidR="001454B1" w:rsidRPr="00D865D4" w:rsidRDefault="00D865D4" w:rsidP="001454B1">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4FDB3394" w14:textId="7818D216" w:rsidR="001454B1" w:rsidRPr="00D865D4" w:rsidRDefault="00D865D4" w:rsidP="001454B1">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tcPr>
          <w:p w14:paraId="27569F17" w14:textId="6B407DD7" w:rsidR="001454B1" w:rsidRPr="00D865D4" w:rsidRDefault="00D865D4" w:rsidP="001454B1">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74" w:type="dxa"/>
            <w:tcBorders>
              <w:bottom w:val="single" w:sz="4" w:space="0" w:color="auto"/>
            </w:tcBorders>
            <w:shd w:val="solid" w:color="000000" w:fill="000000"/>
          </w:tcPr>
          <w:p w14:paraId="41220587" w14:textId="24289805" w:rsidR="001454B1" w:rsidRPr="00D865D4" w:rsidRDefault="00D865D4" w:rsidP="001454B1">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513AF385" w14:textId="445CB57C" w:rsidR="001454B1" w:rsidRPr="00D865D4" w:rsidRDefault="00D865D4" w:rsidP="001454B1">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vAlign w:val="center"/>
          </w:tcPr>
          <w:p w14:paraId="5D9D093C" w14:textId="33AB1C55" w:rsidR="001454B1" w:rsidRPr="00D865D4" w:rsidRDefault="00D865D4" w:rsidP="001454B1">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r>
      <w:tr w:rsidR="00D865D4" w:rsidRPr="005F5BEA" w14:paraId="7A283228" w14:textId="77777777" w:rsidTr="00D865D4">
        <w:trPr>
          <w:trHeight w:val="70"/>
        </w:trPr>
        <w:tc>
          <w:tcPr>
            <w:tcW w:w="2972" w:type="dxa"/>
          </w:tcPr>
          <w:p w14:paraId="59734DEB" w14:textId="77777777" w:rsidR="007C3FA9" w:rsidRPr="005F5BEA" w:rsidRDefault="007C3FA9" w:rsidP="007C3FA9">
            <w:pPr>
              <w:keepLines/>
              <w:spacing w:before="0"/>
              <w:rPr>
                <w:rFonts w:ascii="Arial Narrow" w:eastAsia="Calibri" w:hAnsi="Arial Narrow" w:cs="Calibri"/>
                <w:sz w:val="20"/>
                <w:szCs w:val="20"/>
              </w:rPr>
            </w:pPr>
            <w:r w:rsidRPr="005F5BEA">
              <w:rPr>
                <w:rFonts w:ascii="Arial Narrow" w:eastAsia="Calibri" w:hAnsi="Arial Narrow" w:cs="Calibri"/>
                <w:sz w:val="20"/>
                <w:szCs w:val="20"/>
              </w:rPr>
              <w:t xml:space="preserve">Service support staff salaries </w:t>
            </w:r>
            <w:r w:rsidRPr="005F5BEA">
              <w:rPr>
                <w:rFonts w:ascii="Arial Narrow" w:eastAsia="Calibri" w:hAnsi="Arial Narrow" w:cs="Calibri"/>
                <w:sz w:val="20"/>
                <w:szCs w:val="20"/>
                <w:vertAlign w:val="superscript"/>
              </w:rPr>
              <w:t>f</w:t>
            </w:r>
          </w:p>
        </w:tc>
        <w:tc>
          <w:tcPr>
            <w:tcW w:w="986" w:type="dxa"/>
            <w:tcBorders>
              <w:bottom w:val="single" w:sz="4" w:space="0" w:color="auto"/>
            </w:tcBorders>
            <w:shd w:val="solid" w:color="000000" w:fill="000000"/>
          </w:tcPr>
          <w:p w14:paraId="37810783" w14:textId="466AAAE4"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6C0A0FF1" w14:textId="052AC7A5"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tcPr>
          <w:p w14:paraId="59128B35" w14:textId="5539BE1C"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74" w:type="dxa"/>
            <w:tcBorders>
              <w:bottom w:val="single" w:sz="4" w:space="0" w:color="auto"/>
            </w:tcBorders>
            <w:shd w:val="solid" w:color="000000" w:fill="000000"/>
          </w:tcPr>
          <w:p w14:paraId="3773576E" w14:textId="233F28B7"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5EEDF55E" w14:textId="4909C793"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vAlign w:val="center"/>
          </w:tcPr>
          <w:p w14:paraId="69EB1241" w14:textId="3046DB19"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r>
      <w:tr w:rsidR="00D865D4" w:rsidRPr="005F5BEA" w14:paraId="3583483F" w14:textId="77777777" w:rsidTr="00D865D4">
        <w:trPr>
          <w:trHeight w:val="70"/>
        </w:trPr>
        <w:tc>
          <w:tcPr>
            <w:tcW w:w="2972" w:type="dxa"/>
          </w:tcPr>
          <w:p w14:paraId="731933F8" w14:textId="77777777" w:rsidR="007C3FA9" w:rsidRPr="005F5BEA" w:rsidRDefault="007C3FA9" w:rsidP="007C3FA9">
            <w:pPr>
              <w:keepLines/>
              <w:spacing w:before="0"/>
              <w:rPr>
                <w:rFonts w:ascii="Arial Narrow" w:eastAsia="Calibri" w:hAnsi="Arial Narrow" w:cs="Calibri"/>
                <w:sz w:val="20"/>
                <w:szCs w:val="20"/>
              </w:rPr>
            </w:pPr>
            <w:r w:rsidRPr="005F5BEA">
              <w:rPr>
                <w:rFonts w:ascii="Arial Narrow" w:eastAsia="Calibri" w:hAnsi="Arial Narrow" w:cs="Calibri"/>
                <w:sz w:val="20"/>
                <w:szCs w:val="20"/>
              </w:rPr>
              <w:t xml:space="preserve">Property rent or lease </w:t>
            </w:r>
            <w:r w:rsidRPr="005F5BEA">
              <w:rPr>
                <w:rFonts w:ascii="Arial Narrow" w:eastAsia="Calibri" w:hAnsi="Arial Narrow" w:cs="Calibri"/>
                <w:sz w:val="20"/>
                <w:szCs w:val="20"/>
                <w:vertAlign w:val="superscript"/>
              </w:rPr>
              <w:t>g</w:t>
            </w:r>
          </w:p>
        </w:tc>
        <w:tc>
          <w:tcPr>
            <w:tcW w:w="986" w:type="dxa"/>
            <w:tcBorders>
              <w:bottom w:val="single" w:sz="4" w:space="0" w:color="auto"/>
            </w:tcBorders>
            <w:shd w:val="solid" w:color="000000" w:fill="000000"/>
          </w:tcPr>
          <w:p w14:paraId="28EBB2A6" w14:textId="295020F4"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75314006" w14:textId="020D0670"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tcPr>
          <w:p w14:paraId="7D722F72" w14:textId="48BCA957"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74" w:type="dxa"/>
            <w:tcBorders>
              <w:bottom w:val="single" w:sz="4" w:space="0" w:color="auto"/>
            </w:tcBorders>
            <w:shd w:val="solid" w:color="000000" w:fill="000000"/>
          </w:tcPr>
          <w:p w14:paraId="20931FA1" w14:textId="08B9405C"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473116AA" w14:textId="45E6B40E"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vAlign w:val="center"/>
          </w:tcPr>
          <w:p w14:paraId="413F53EB" w14:textId="3E96647D"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r>
      <w:tr w:rsidR="00D865D4" w:rsidRPr="005F5BEA" w14:paraId="3F6CC71F" w14:textId="77777777" w:rsidTr="00D865D4">
        <w:trPr>
          <w:trHeight w:val="70"/>
        </w:trPr>
        <w:tc>
          <w:tcPr>
            <w:tcW w:w="2972" w:type="dxa"/>
          </w:tcPr>
          <w:p w14:paraId="0877659E" w14:textId="77777777" w:rsidR="007C3FA9" w:rsidRPr="005F5BEA" w:rsidRDefault="007C3FA9" w:rsidP="007C3FA9">
            <w:pPr>
              <w:keepLines/>
              <w:spacing w:before="0"/>
              <w:rPr>
                <w:rFonts w:ascii="Arial Narrow" w:eastAsia="Calibri" w:hAnsi="Arial Narrow" w:cs="Calibri"/>
                <w:sz w:val="20"/>
                <w:szCs w:val="20"/>
              </w:rPr>
            </w:pPr>
            <w:r w:rsidRPr="005F5BEA">
              <w:rPr>
                <w:rFonts w:ascii="Arial Narrow" w:eastAsia="Calibri" w:hAnsi="Arial Narrow" w:cs="Calibri"/>
                <w:sz w:val="20"/>
                <w:szCs w:val="20"/>
              </w:rPr>
              <w:t xml:space="preserve">Utilities </w:t>
            </w:r>
            <w:r w:rsidRPr="005F5BEA">
              <w:rPr>
                <w:rFonts w:ascii="Arial Narrow" w:eastAsia="Calibri" w:hAnsi="Arial Narrow" w:cs="Calibri"/>
                <w:sz w:val="20"/>
                <w:szCs w:val="20"/>
                <w:vertAlign w:val="superscript"/>
              </w:rPr>
              <w:t>h</w:t>
            </w:r>
          </w:p>
        </w:tc>
        <w:tc>
          <w:tcPr>
            <w:tcW w:w="986" w:type="dxa"/>
            <w:tcBorders>
              <w:bottom w:val="single" w:sz="4" w:space="0" w:color="auto"/>
            </w:tcBorders>
            <w:shd w:val="solid" w:color="000000" w:fill="000000"/>
          </w:tcPr>
          <w:p w14:paraId="678211DF" w14:textId="2A99DC5D"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03F4900D" w14:textId="6BA7A42A"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tcPr>
          <w:p w14:paraId="5846F5BF" w14:textId="1951CAEF"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74" w:type="dxa"/>
            <w:tcBorders>
              <w:bottom w:val="single" w:sz="4" w:space="0" w:color="auto"/>
            </w:tcBorders>
            <w:shd w:val="solid" w:color="000000" w:fill="000000"/>
          </w:tcPr>
          <w:p w14:paraId="354E94FA" w14:textId="71E2E70C"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22B60693" w14:textId="28C6A85A"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vAlign w:val="center"/>
          </w:tcPr>
          <w:p w14:paraId="3C270161" w14:textId="68355B3C"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r>
      <w:tr w:rsidR="00D865D4" w:rsidRPr="005F5BEA" w14:paraId="3BDD2234" w14:textId="77777777" w:rsidTr="00D865D4">
        <w:trPr>
          <w:trHeight w:val="70"/>
        </w:trPr>
        <w:tc>
          <w:tcPr>
            <w:tcW w:w="2972" w:type="dxa"/>
          </w:tcPr>
          <w:p w14:paraId="4B1FC4C8" w14:textId="77777777" w:rsidR="007C3FA9" w:rsidRPr="005F5BEA" w:rsidRDefault="007C3FA9" w:rsidP="007C3FA9">
            <w:pPr>
              <w:keepLines/>
              <w:spacing w:before="0"/>
              <w:rPr>
                <w:rFonts w:ascii="Arial Narrow" w:eastAsia="Calibri" w:hAnsi="Arial Narrow" w:cs="Calibri"/>
                <w:sz w:val="20"/>
                <w:szCs w:val="20"/>
              </w:rPr>
            </w:pPr>
            <w:r w:rsidRPr="005F5BEA">
              <w:rPr>
                <w:rFonts w:ascii="Arial Narrow" w:eastAsia="Calibri" w:hAnsi="Arial Narrow" w:cs="Calibri"/>
                <w:sz w:val="20"/>
                <w:szCs w:val="20"/>
              </w:rPr>
              <w:t xml:space="preserve">IT &amp; comms costs </w:t>
            </w:r>
            <w:proofErr w:type="spellStart"/>
            <w:r w:rsidRPr="005F5BEA">
              <w:rPr>
                <w:rFonts w:ascii="Arial Narrow" w:eastAsia="Calibri" w:hAnsi="Arial Narrow" w:cs="Calibri"/>
                <w:sz w:val="20"/>
                <w:szCs w:val="20"/>
                <w:vertAlign w:val="superscript"/>
              </w:rPr>
              <w:t>i</w:t>
            </w:r>
            <w:proofErr w:type="spellEnd"/>
          </w:p>
        </w:tc>
        <w:tc>
          <w:tcPr>
            <w:tcW w:w="986" w:type="dxa"/>
            <w:tcBorders>
              <w:bottom w:val="single" w:sz="4" w:space="0" w:color="auto"/>
            </w:tcBorders>
            <w:shd w:val="solid" w:color="000000" w:fill="000000"/>
          </w:tcPr>
          <w:p w14:paraId="1CCD024D" w14:textId="61FA0521"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7FDE0F0C" w14:textId="4FA3B840"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tcPr>
          <w:p w14:paraId="04F43FB7" w14:textId="56E0535A"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74" w:type="dxa"/>
            <w:tcBorders>
              <w:bottom w:val="single" w:sz="4" w:space="0" w:color="auto"/>
            </w:tcBorders>
            <w:shd w:val="solid" w:color="000000" w:fill="000000"/>
          </w:tcPr>
          <w:p w14:paraId="293D08CD" w14:textId="76EA974E"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25877897" w14:textId="20BB95F5"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vAlign w:val="center"/>
          </w:tcPr>
          <w:p w14:paraId="592A03B5" w14:textId="57748CFA"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r>
      <w:tr w:rsidR="00D865D4" w:rsidRPr="005F5BEA" w14:paraId="24316683" w14:textId="77777777" w:rsidTr="00D865D4">
        <w:trPr>
          <w:trHeight w:val="70"/>
        </w:trPr>
        <w:tc>
          <w:tcPr>
            <w:tcW w:w="2972" w:type="dxa"/>
          </w:tcPr>
          <w:p w14:paraId="2D75EA80" w14:textId="77777777" w:rsidR="007C3FA9" w:rsidRPr="005F5BEA" w:rsidRDefault="007C3FA9" w:rsidP="007C3FA9">
            <w:pPr>
              <w:keepLines/>
              <w:spacing w:before="0"/>
              <w:rPr>
                <w:rFonts w:ascii="Arial Narrow" w:eastAsia="Calibri" w:hAnsi="Arial Narrow" w:cs="Calibri"/>
                <w:sz w:val="20"/>
                <w:szCs w:val="20"/>
              </w:rPr>
            </w:pPr>
            <w:r w:rsidRPr="005F5BEA">
              <w:rPr>
                <w:rFonts w:ascii="Arial Narrow" w:eastAsia="Calibri" w:hAnsi="Arial Narrow" w:cs="Calibri"/>
                <w:sz w:val="20"/>
                <w:szCs w:val="20"/>
              </w:rPr>
              <w:t xml:space="preserve">Office equipment &amp; supplies </w:t>
            </w:r>
            <w:r w:rsidRPr="005F5BEA">
              <w:rPr>
                <w:rFonts w:ascii="Arial Narrow" w:eastAsia="Calibri" w:hAnsi="Arial Narrow" w:cs="Calibri"/>
                <w:sz w:val="20"/>
                <w:szCs w:val="20"/>
                <w:vertAlign w:val="superscript"/>
              </w:rPr>
              <w:t>j</w:t>
            </w:r>
          </w:p>
        </w:tc>
        <w:tc>
          <w:tcPr>
            <w:tcW w:w="986" w:type="dxa"/>
            <w:tcBorders>
              <w:bottom w:val="single" w:sz="4" w:space="0" w:color="auto"/>
            </w:tcBorders>
            <w:shd w:val="solid" w:color="000000" w:fill="000000"/>
          </w:tcPr>
          <w:p w14:paraId="1FB20087" w14:textId="2D513CC5"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0ACAEE39" w14:textId="20952543"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tcPr>
          <w:p w14:paraId="2621B682" w14:textId="14C35110"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74" w:type="dxa"/>
            <w:tcBorders>
              <w:bottom w:val="single" w:sz="4" w:space="0" w:color="auto"/>
            </w:tcBorders>
            <w:shd w:val="solid" w:color="000000" w:fill="000000"/>
          </w:tcPr>
          <w:p w14:paraId="76635CBC" w14:textId="24097E7F"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5CE98B63" w14:textId="1B46A402"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vAlign w:val="center"/>
          </w:tcPr>
          <w:p w14:paraId="06952ECF" w14:textId="000E9A5A"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r>
      <w:tr w:rsidR="00D865D4" w:rsidRPr="005F5BEA" w14:paraId="741A7F42" w14:textId="77777777" w:rsidTr="00D865D4">
        <w:trPr>
          <w:trHeight w:val="70"/>
        </w:trPr>
        <w:tc>
          <w:tcPr>
            <w:tcW w:w="2972" w:type="dxa"/>
          </w:tcPr>
          <w:p w14:paraId="1636629E" w14:textId="77777777" w:rsidR="007C3FA9" w:rsidRPr="005F5BEA" w:rsidRDefault="007C3FA9" w:rsidP="007C3FA9">
            <w:pPr>
              <w:keepLines/>
              <w:spacing w:before="0"/>
              <w:rPr>
                <w:rFonts w:ascii="Arial Narrow" w:eastAsia="Calibri" w:hAnsi="Arial Narrow" w:cs="Calibri"/>
                <w:sz w:val="20"/>
                <w:szCs w:val="20"/>
              </w:rPr>
            </w:pPr>
            <w:r w:rsidRPr="005F5BEA">
              <w:rPr>
                <w:rFonts w:ascii="Arial Narrow" w:eastAsia="Calibri" w:hAnsi="Arial Narrow" w:cs="Calibri"/>
                <w:sz w:val="20"/>
                <w:szCs w:val="20"/>
              </w:rPr>
              <w:t xml:space="preserve">Insurances </w:t>
            </w:r>
            <w:r w:rsidRPr="005F5BEA">
              <w:rPr>
                <w:rFonts w:ascii="Arial Narrow" w:eastAsia="Calibri" w:hAnsi="Arial Narrow" w:cs="Calibri"/>
                <w:sz w:val="20"/>
                <w:szCs w:val="20"/>
                <w:vertAlign w:val="superscript"/>
              </w:rPr>
              <w:t>k</w:t>
            </w:r>
          </w:p>
        </w:tc>
        <w:tc>
          <w:tcPr>
            <w:tcW w:w="986" w:type="dxa"/>
            <w:tcBorders>
              <w:bottom w:val="single" w:sz="4" w:space="0" w:color="auto"/>
            </w:tcBorders>
            <w:shd w:val="solid" w:color="000000" w:fill="000000"/>
          </w:tcPr>
          <w:p w14:paraId="3F7215A0" w14:textId="4B4415F5"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16B466E1" w14:textId="0E0B38BE"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tcPr>
          <w:p w14:paraId="21DB91B8" w14:textId="5F8C7EE1"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74" w:type="dxa"/>
            <w:tcBorders>
              <w:bottom w:val="single" w:sz="4" w:space="0" w:color="auto"/>
            </w:tcBorders>
            <w:shd w:val="solid" w:color="000000" w:fill="000000"/>
          </w:tcPr>
          <w:p w14:paraId="7F71FA5C" w14:textId="2BEC5DDF"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529E964E" w14:textId="25DA0F93"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vAlign w:val="center"/>
          </w:tcPr>
          <w:p w14:paraId="28F903FB" w14:textId="399452E5"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r>
      <w:tr w:rsidR="00D865D4" w:rsidRPr="005F5BEA" w14:paraId="3041102E" w14:textId="77777777" w:rsidTr="00D865D4">
        <w:trPr>
          <w:trHeight w:val="70"/>
        </w:trPr>
        <w:tc>
          <w:tcPr>
            <w:tcW w:w="2972" w:type="dxa"/>
          </w:tcPr>
          <w:p w14:paraId="37910754" w14:textId="77777777" w:rsidR="007C3FA9" w:rsidRPr="005F5BEA" w:rsidRDefault="007C3FA9" w:rsidP="007C3FA9">
            <w:pPr>
              <w:keepLines/>
              <w:spacing w:before="0"/>
              <w:rPr>
                <w:rFonts w:ascii="Arial Narrow" w:eastAsia="Calibri" w:hAnsi="Arial Narrow" w:cs="Calibri"/>
                <w:sz w:val="20"/>
                <w:szCs w:val="20"/>
              </w:rPr>
            </w:pPr>
            <w:r w:rsidRPr="005F5BEA">
              <w:rPr>
                <w:rFonts w:ascii="Arial Narrow" w:eastAsia="Calibri" w:hAnsi="Arial Narrow" w:cs="Calibri"/>
                <w:sz w:val="20"/>
                <w:szCs w:val="20"/>
              </w:rPr>
              <w:t xml:space="preserve">Administration </w:t>
            </w:r>
            <w:r w:rsidRPr="005F5BEA">
              <w:rPr>
                <w:rFonts w:ascii="Arial Narrow" w:eastAsia="Calibri" w:hAnsi="Arial Narrow" w:cs="Calibri"/>
                <w:sz w:val="20"/>
                <w:szCs w:val="20"/>
                <w:vertAlign w:val="superscript"/>
              </w:rPr>
              <w:t>l</w:t>
            </w:r>
          </w:p>
        </w:tc>
        <w:tc>
          <w:tcPr>
            <w:tcW w:w="986" w:type="dxa"/>
            <w:tcBorders>
              <w:bottom w:val="single" w:sz="4" w:space="0" w:color="auto"/>
            </w:tcBorders>
            <w:shd w:val="solid" w:color="000000" w:fill="000000"/>
          </w:tcPr>
          <w:p w14:paraId="51D30133" w14:textId="0A3CE287"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26E1D9A5" w14:textId="5CCB0585"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tcPr>
          <w:p w14:paraId="416759CC" w14:textId="739FAD29"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74" w:type="dxa"/>
            <w:tcBorders>
              <w:bottom w:val="single" w:sz="4" w:space="0" w:color="auto"/>
            </w:tcBorders>
            <w:shd w:val="solid" w:color="000000" w:fill="000000"/>
          </w:tcPr>
          <w:p w14:paraId="34ECAC32" w14:textId="4FC2E2AC"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7696BFC5" w14:textId="027EC62B"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vAlign w:val="center"/>
          </w:tcPr>
          <w:p w14:paraId="1047DEF5" w14:textId="5484FF64"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r>
      <w:tr w:rsidR="00D865D4" w:rsidRPr="005F5BEA" w14:paraId="47BA265F" w14:textId="77777777" w:rsidTr="00D865D4">
        <w:trPr>
          <w:trHeight w:val="300"/>
        </w:trPr>
        <w:tc>
          <w:tcPr>
            <w:tcW w:w="2972" w:type="dxa"/>
          </w:tcPr>
          <w:p w14:paraId="4B1690DF" w14:textId="77777777" w:rsidR="007C3FA9" w:rsidRPr="005F5BEA" w:rsidRDefault="007C3FA9" w:rsidP="007C3FA9">
            <w:pPr>
              <w:keepLines/>
              <w:spacing w:before="0"/>
              <w:rPr>
                <w:rFonts w:ascii="Arial Narrow" w:eastAsia="Calibri" w:hAnsi="Arial Narrow" w:cs="Calibri"/>
                <w:sz w:val="20"/>
                <w:szCs w:val="20"/>
              </w:rPr>
            </w:pPr>
            <w:r w:rsidRPr="005F5BEA">
              <w:rPr>
                <w:rFonts w:ascii="Arial Narrow" w:eastAsia="Calibri" w:hAnsi="Arial Narrow" w:cs="Calibri"/>
                <w:sz w:val="20"/>
                <w:szCs w:val="20"/>
              </w:rPr>
              <w:t xml:space="preserve">Legal, regulatory and consultancy costs </w:t>
            </w:r>
            <w:r w:rsidRPr="005F5BEA">
              <w:rPr>
                <w:rFonts w:ascii="Arial Narrow" w:eastAsia="Calibri" w:hAnsi="Arial Narrow" w:cs="Calibri"/>
                <w:sz w:val="20"/>
                <w:szCs w:val="20"/>
                <w:vertAlign w:val="superscript"/>
              </w:rPr>
              <w:t>m</w:t>
            </w:r>
          </w:p>
        </w:tc>
        <w:tc>
          <w:tcPr>
            <w:tcW w:w="986" w:type="dxa"/>
            <w:tcBorders>
              <w:bottom w:val="single" w:sz="4" w:space="0" w:color="auto"/>
            </w:tcBorders>
            <w:shd w:val="solid" w:color="000000" w:fill="000000"/>
          </w:tcPr>
          <w:p w14:paraId="3BC0A4E3" w14:textId="0D4679C6"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68826530" w14:textId="63BA4E42"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tcPr>
          <w:p w14:paraId="6D70E2A3" w14:textId="7D59360E"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74" w:type="dxa"/>
            <w:tcBorders>
              <w:bottom w:val="single" w:sz="4" w:space="0" w:color="auto"/>
            </w:tcBorders>
            <w:shd w:val="solid" w:color="000000" w:fill="000000"/>
          </w:tcPr>
          <w:p w14:paraId="1EB37F41" w14:textId="627BAF7E"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672593CA" w14:textId="3E087114"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vAlign w:val="center"/>
          </w:tcPr>
          <w:p w14:paraId="27A3888C" w14:textId="64E6F337"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r>
      <w:tr w:rsidR="00D865D4" w:rsidRPr="005F5BEA" w14:paraId="187C591E" w14:textId="77777777" w:rsidTr="00D865D4">
        <w:trPr>
          <w:trHeight w:val="70"/>
        </w:trPr>
        <w:tc>
          <w:tcPr>
            <w:tcW w:w="2972" w:type="dxa"/>
          </w:tcPr>
          <w:p w14:paraId="4B5ED73D" w14:textId="77777777" w:rsidR="007C3FA9" w:rsidRPr="005F5BEA" w:rsidRDefault="007C3FA9" w:rsidP="007C3FA9">
            <w:pPr>
              <w:keepLines/>
              <w:spacing w:before="0"/>
              <w:rPr>
                <w:rFonts w:ascii="Arial Narrow" w:eastAsia="Calibri" w:hAnsi="Arial Narrow" w:cs="Calibri"/>
                <w:sz w:val="20"/>
                <w:szCs w:val="20"/>
              </w:rPr>
            </w:pPr>
            <w:r w:rsidRPr="005F5BEA">
              <w:rPr>
                <w:rFonts w:ascii="Arial Narrow" w:eastAsia="Calibri" w:hAnsi="Arial Narrow" w:cs="Calibri"/>
                <w:sz w:val="20"/>
                <w:szCs w:val="20"/>
              </w:rPr>
              <w:t xml:space="preserve">Security </w:t>
            </w:r>
            <w:r w:rsidRPr="005F5BEA">
              <w:rPr>
                <w:rFonts w:ascii="Arial Narrow" w:eastAsia="Calibri" w:hAnsi="Arial Narrow" w:cs="Calibri"/>
                <w:sz w:val="20"/>
                <w:szCs w:val="20"/>
                <w:vertAlign w:val="superscript"/>
              </w:rPr>
              <w:t>n</w:t>
            </w:r>
          </w:p>
        </w:tc>
        <w:tc>
          <w:tcPr>
            <w:tcW w:w="986" w:type="dxa"/>
            <w:tcBorders>
              <w:bottom w:val="single" w:sz="4" w:space="0" w:color="auto"/>
            </w:tcBorders>
            <w:shd w:val="solid" w:color="000000" w:fill="000000"/>
          </w:tcPr>
          <w:p w14:paraId="10741901" w14:textId="0B0D74DA"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50EFE6AC" w14:textId="1E4889F1"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tcPr>
          <w:p w14:paraId="1E712DE0" w14:textId="5FE0A59C"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74" w:type="dxa"/>
            <w:tcBorders>
              <w:bottom w:val="single" w:sz="4" w:space="0" w:color="auto"/>
            </w:tcBorders>
            <w:shd w:val="solid" w:color="000000" w:fill="000000"/>
          </w:tcPr>
          <w:p w14:paraId="76F9B899" w14:textId="483E4151"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652BB7B2" w14:textId="175C8CA1"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vAlign w:val="center"/>
          </w:tcPr>
          <w:p w14:paraId="59331A14" w14:textId="548BCBE9"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r>
      <w:tr w:rsidR="00D865D4" w:rsidRPr="005F5BEA" w14:paraId="59073636" w14:textId="77777777" w:rsidTr="00D865D4">
        <w:trPr>
          <w:trHeight w:val="70"/>
        </w:trPr>
        <w:tc>
          <w:tcPr>
            <w:tcW w:w="2972" w:type="dxa"/>
          </w:tcPr>
          <w:p w14:paraId="7573A44B" w14:textId="77777777" w:rsidR="007C3FA9" w:rsidRPr="005F5BEA" w:rsidRDefault="007C3FA9" w:rsidP="007C3FA9">
            <w:pPr>
              <w:keepLines/>
              <w:spacing w:before="0"/>
              <w:rPr>
                <w:rFonts w:ascii="Arial Narrow" w:eastAsia="Calibri" w:hAnsi="Arial Narrow" w:cs="Calibri"/>
                <w:sz w:val="20"/>
                <w:szCs w:val="20"/>
              </w:rPr>
            </w:pPr>
            <w:r w:rsidRPr="005F5BEA">
              <w:rPr>
                <w:rFonts w:ascii="Arial Narrow" w:eastAsia="Calibri" w:hAnsi="Arial Narrow" w:cs="Calibri"/>
                <w:sz w:val="20"/>
                <w:szCs w:val="20"/>
              </w:rPr>
              <w:t xml:space="preserve">Freight &amp; shipping </w:t>
            </w:r>
            <w:r w:rsidRPr="005F5BEA">
              <w:rPr>
                <w:rFonts w:ascii="Arial Narrow" w:eastAsia="Calibri" w:hAnsi="Arial Narrow" w:cs="Calibri"/>
                <w:sz w:val="20"/>
                <w:szCs w:val="20"/>
                <w:vertAlign w:val="superscript"/>
              </w:rPr>
              <w:t>o</w:t>
            </w:r>
          </w:p>
        </w:tc>
        <w:tc>
          <w:tcPr>
            <w:tcW w:w="986" w:type="dxa"/>
            <w:tcBorders>
              <w:bottom w:val="single" w:sz="4" w:space="0" w:color="auto"/>
            </w:tcBorders>
            <w:shd w:val="solid" w:color="000000" w:fill="000000"/>
          </w:tcPr>
          <w:p w14:paraId="7072CDA0" w14:textId="121A982B"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7F47610B" w14:textId="214C5A07"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tcPr>
          <w:p w14:paraId="7062CED1" w14:textId="09267F0F"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74" w:type="dxa"/>
            <w:tcBorders>
              <w:bottom w:val="single" w:sz="4" w:space="0" w:color="auto"/>
            </w:tcBorders>
            <w:shd w:val="solid" w:color="000000" w:fill="000000"/>
          </w:tcPr>
          <w:p w14:paraId="19A51074" w14:textId="00FEE0FC" w:rsidR="007C3FA9" w:rsidRPr="00D865D4" w:rsidRDefault="00D865D4" w:rsidP="007C3FA9">
            <w:pPr>
              <w:keepLines/>
              <w:spacing w:before="0"/>
              <w:jc w:val="right"/>
              <w:rPr>
                <w:rFonts w:ascii="Arial Narrow" w:eastAsia="Calibri" w:hAnsi="Arial Narrow" w:cs="Calibri"/>
                <w:sz w:val="18"/>
                <w:szCs w:val="18"/>
                <w:vertAlign w:val="superscript"/>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6C74F49A" w14:textId="4D09C9FC"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vAlign w:val="center"/>
          </w:tcPr>
          <w:p w14:paraId="5DD89634" w14:textId="0B96A95C"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r>
      <w:tr w:rsidR="00D865D4" w:rsidRPr="005F5BEA" w14:paraId="6731C777" w14:textId="77777777" w:rsidTr="00D865D4">
        <w:trPr>
          <w:trHeight w:val="70"/>
        </w:trPr>
        <w:tc>
          <w:tcPr>
            <w:tcW w:w="2972" w:type="dxa"/>
          </w:tcPr>
          <w:p w14:paraId="04B78FFC" w14:textId="77777777" w:rsidR="007C3FA9" w:rsidRPr="005F5BEA" w:rsidRDefault="007C3FA9" w:rsidP="007C3FA9">
            <w:pPr>
              <w:keepLines/>
              <w:spacing w:before="0"/>
              <w:rPr>
                <w:rFonts w:ascii="Arial Narrow" w:eastAsia="Calibri" w:hAnsi="Arial Narrow" w:cs="Calibri"/>
                <w:sz w:val="20"/>
                <w:szCs w:val="20"/>
              </w:rPr>
            </w:pPr>
            <w:r w:rsidRPr="005F5BEA">
              <w:rPr>
                <w:rFonts w:ascii="Arial Narrow" w:eastAsia="Calibri" w:hAnsi="Arial Narrow" w:cs="Calibri"/>
                <w:sz w:val="20"/>
                <w:szCs w:val="20"/>
              </w:rPr>
              <w:t xml:space="preserve">Finance costs </w:t>
            </w:r>
            <w:r w:rsidRPr="005F5BEA">
              <w:rPr>
                <w:rFonts w:ascii="Arial Narrow" w:eastAsia="Calibri" w:hAnsi="Arial Narrow" w:cs="Calibri"/>
                <w:sz w:val="20"/>
                <w:szCs w:val="20"/>
                <w:vertAlign w:val="superscript"/>
              </w:rPr>
              <w:t>p</w:t>
            </w:r>
          </w:p>
        </w:tc>
        <w:tc>
          <w:tcPr>
            <w:tcW w:w="986" w:type="dxa"/>
            <w:tcBorders>
              <w:bottom w:val="single" w:sz="4" w:space="0" w:color="auto"/>
            </w:tcBorders>
            <w:shd w:val="solid" w:color="000000" w:fill="000000"/>
          </w:tcPr>
          <w:p w14:paraId="111B6C46" w14:textId="2DEBE113"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641575F8" w14:textId="4D2667A6"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tcPr>
          <w:p w14:paraId="265BA24E" w14:textId="55632BA9"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74" w:type="dxa"/>
            <w:tcBorders>
              <w:bottom w:val="single" w:sz="4" w:space="0" w:color="auto"/>
            </w:tcBorders>
            <w:shd w:val="solid" w:color="000000" w:fill="000000"/>
          </w:tcPr>
          <w:p w14:paraId="246E63CD" w14:textId="588EE2DC"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39F784AB" w14:textId="7CA20469"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vAlign w:val="center"/>
          </w:tcPr>
          <w:p w14:paraId="67A95BC0" w14:textId="6E901EF6"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r>
      <w:tr w:rsidR="007C3FA9" w:rsidRPr="005F5BEA" w14:paraId="1BF8412D" w14:textId="77777777" w:rsidTr="00D865D4">
        <w:trPr>
          <w:trHeight w:val="70"/>
        </w:trPr>
        <w:tc>
          <w:tcPr>
            <w:tcW w:w="2972" w:type="dxa"/>
          </w:tcPr>
          <w:p w14:paraId="7BBDFD96" w14:textId="77777777" w:rsidR="007C3FA9" w:rsidRPr="005F5BEA" w:rsidRDefault="007C3FA9" w:rsidP="007C3FA9">
            <w:pPr>
              <w:keepLines/>
              <w:spacing w:before="0"/>
              <w:rPr>
                <w:rFonts w:ascii="Arial Narrow" w:eastAsia="Calibri" w:hAnsi="Arial Narrow" w:cs="Calibri"/>
                <w:sz w:val="20"/>
                <w:szCs w:val="20"/>
              </w:rPr>
            </w:pPr>
            <w:r w:rsidRPr="005F5BEA">
              <w:rPr>
                <w:rFonts w:ascii="Arial Narrow" w:eastAsia="Calibri" w:hAnsi="Arial Narrow" w:cs="Calibri"/>
                <w:sz w:val="20"/>
                <w:szCs w:val="20"/>
              </w:rPr>
              <w:t xml:space="preserve">External Service costs </w:t>
            </w:r>
            <w:r w:rsidRPr="005F5BEA">
              <w:rPr>
                <w:rFonts w:ascii="Arial Narrow" w:eastAsia="Calibri" w:hAnsi="Arial Narrow" w:cs="Calibri"/>
                <w:sz w:val="20"/>
                <w:szCs w:val="20"/>
                <w:vertAlign w:val="superscript"/>
              </w:rPr>
              <w:t>q</w:t>
            </w:r>
          </w:p>
        </w:tc>
        <w:tc>
          <w:tcPr>
            <w:tcW w:w="986" w:type="dxa"/>
            <w:tcBorders>
              <w:bottom w:val="single" w:sz="4" w:space="0" w:color="auto"/>
            </w:tcBorders>
            <w:shd w:val="solid" w:color="000000" w:fill="000000"/>
          </w:tcPr>
          <w:p w14:paraId="42B67022" w14:textId="2A00B616"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6BF89FF1" w14:textId="78562110"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tcBorders>
              <w:bottom w:val="single" w:sz="4" w:space="0" w:color="auto"/>
            </w:tcBorders>
            <w:shd w:val="solid" w:color="000000" w:fill="000000"/>
          </w:tcPr>
          <w:p w14:paraId="3C1CC75A" w14:textId="1B3F500F"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74" w:type="dxa"/>
            <w:tcBorders>
              <w:bottom w:val="single" w:sz="4" w:space="0" w:color="auto"/>
            </w:tcBorders>
            <w:shd w:val="solid" w:color="000000" w:fill="000000"/>
          </w:tcPr>
          <w:p w14:paraId="3718A9A1" w14:textId="66EF22FE"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tcBorders>
              <w:bottom w:val="single" w:sz="4" w:space="0" w:color="auto"/>
            </w:tcBorders>
            <w:shd w:val="solid" w:color="000000" w:fill="000000"/>
          </w:tcPr>
          <w:p w14:paraId="48304879" w14:textId="7F1E586A"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shd w:val="solid" w:color="000000" w:fill="000000"/>
            <w:vAlign w:val="center"/>
          </w:tcPr>
          <w:p w14:paraId="7F5932A1" w14:textId="1C0E8917"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r>
      <w:tr w:rsidR="007C3FA9" w:rsidRPr="005F5BEA" w14:paraId="54AA157E" w14:textId="77777777" w:rsidTr="00D865D4">
        <w:trPr>
          <w:trHeight w:val="70"/>
        </w:trPr>
        <w:tc>
          <w:tcPr>
            <w:tcW w:w="2972" w:type="dxa"/>
          </w:tcPr>
          <w:p w14:paraId="1DE92A66" w14:textId="77777777" w:rsidR="007C3FA9" w:rsidRPr="005F5BEA" w:rsidRDefault="007C3FA9" w:rsidP="007C3FA9">
            <w:pPr>
              <w:keepLines/>
              <w:spacing w:before="0"/>
              <w:rPr>
                <w:rFonts w:ascii="Arial Narrow" w:eastAsia="Calibri" w:hAnsi="Arial Narrow" w:cs="Calibri"/>
                <w:sz w:val="20"/>
                <w:szCs w:val="20"/>
              </w:rPr>
            </w:pPr>
            <w:r w:rsidRPr="005F5BEA">
              <w:rPr>
                <w:rFonts w:ascii="Arial Narrow" w:eastAsia="Calibri" w:hAnsi="Arial Narrow" w:cs="Calibri"/>
                <w:sz w:val="20"/>
                <w:szCs w:val="20"/>
              </w:rPr>
              <w:t>Total</w:t>
            </w:r>
          </w:p>
        </w:tc>
        <w:tc>
          <w:tcPr>
            <w:tcW w:w="986" w:type="dxa"/>
            <w:shd w:val="solid" w:color="000000" w:fill="000000"/>
          </w:tcPr>
          <w:p w14:paraId="150C56BC" w14:textId="74ADFEFC"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shd w:val="solid" w:color="000000" w:fill="000000"/>
          </w:tcPr>
          <w:p w14:paraId="15682F4F" w14:textId="521BFC43"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shd w:val="solid" w:color="000000" w:fill="000000"/>
          </w:tcPr>
          <w:p w14:paraId="58EBA857" w14:textId="16A973C7"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74" w:type="dxa"/>
            <w:shd w:val="solid" w:color="000000" w:fill="000000"/>
          </w:tcPr>
          <w:p w14:paraId="63A5E5C0" w14:textId="7DCB602C"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955" w:type="dxa"/>
            <w:shd w:val="solid" w:color="000000" w:fill="000000"/>
          </w:tcPr>
          <w:p w14:paraId="6E6BCFEA" w14:textId="7E3571BD" w:rsidR="007C3FA9" w:rsidRPr="00D865D4" w:rsidRDefault="00D865D4" w:rsidP="007C3FA9">
            <w:pPr>
              <w:keepLines/>
              <w:spacing w:before="0"/>
              <w:jc w:val="right"/>
              <w:rPr>
                <w:rFonts w:ascii="Arial Narrow" w:eastAsia="Calibri" w:hAnsi="Arial Narrow" w:cs="Calibri"/>
                <w:sz w:val="18"/>
                <w:szCs w:val="18"/>
              </w:rPr>
            </w:pPr>
            <w:r w:rsidRPr="00D865D4">
              <w:rPr>
                <w:rFonts w:ascii="Arial Narrow" w:eastAsia="Calibri" w:hAnsi="Arial Narrow" w:cs="Calibri"/>
                <w:color w:val="000000"/>
                <w:sz w:val="18"/>
                <w:szCs w:val="18"/>
                <w14:textFill>
                  <w14:solidFill>
                    <w14:srgbClr w14:val="000000">
                      <w14:alpha w14:val="100000"/>
                    </w14:srgbClr>
                  </w14:solidFill>
                </w14:textFill>
              </w:rPr>
              <w:t>|</w:t>
            </w:r>
          </w:p>
        </w:tc>
        <w:tc>
          <w:tcPr>
            <w:tcW w:w="1037" w:type="dxa"/>
            <w:vAlign w:val="center"/>
          </w:tcPr>
          <w:p w14:paraId="391423B1" w14:textId="77777777" w:rsidR="007C3FA9" w:rsidRPr="005F5BEA" w:rsidRDefault="007C3FA9" w:rsidP="007C3FA9">
            <w:pPr>
              <w:keepLines/>
              <w:spacing w:before="0"/>
              <w:jc w:val="right"/>
              <w:rPr>
                <w:rFonts w:ascii="Arial Narrow" w:eastAsia="Calibri" w:hAnsi="Arial Narrow" w:cs="Calibri"/>
                <w:sz w:val="18"/>
                <w:szCs w:val="18"/>
              </w:rPr>
            </w:pPr>
            <w:r w:rsidRPr="005F5BEA">
              <w:rPr>
                <w:rFonts w:ascii="Arial Narrow" w:eastAsia="Calibri" w:hAnsi="Arial Narrow" w:cs="Calibri"/>
                <w:color w:val="000000"/>
                <w:sz w:val="18"/>
                <w:szCs w:val="18"/>
              </w:rPr>
              <w:t>$31,648,755</w:t>
            </w:r>
          </w:p>
        </w:tc>
      </w:tr>
    </w:tbl>
    <w:p w14:paraId="1C075499"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 xml:space="preserve">a = Programmers, accessories, cables, test, demo equipment etc. Costs may include lease charges, </w:t>
      </w:r>
      <w:proofErr w:type="gramStart"/>
      <w:r w:rsidRPr="005F5BEA">
        <w:rPr>
          <w:rFonts w:ascii="Arial Narrow" w:eastAsia="Calibri" w:hAnsi="Arial Narrow" w:cs="Arial"/>
          <w:sz w:val="18"/>
        </w:rPr>
        <w:t>interest</w:t>
      </w:r>
      <w:proofErr w:type="gramEnd"/>
      <w:r w:rsidRPr="005F5BEA">
        <w:rPr>
          <w:rFonts w:ascii="Arial Narrow" w:eastAsia="Calibri" w:hAnsi="Arial Narrow" w:cs="Arial"/>
          <w:sz w:val="18"/>
        </w:rPr>
        <w:t xml:space="preserve"> and depreciation charges.</w:t>
      </w:r>
    </w:p>
    <w:p w14:paraId="6045328B"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b = Capital Equipment, infrastructure (office building), motor vehicles, etc.</w:t>
      </w:r>
    </w:p>
    <w:p w14:paraId="59B0EAD7"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c = Consumables not covered by PL benefits used in supporting implantation processes, clinics etc.</w:t>
      </w:r>
    </w:p>
    <w:p w14:paraId="732E2CF8"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d = Opened not used (</w:t>
      </w:r>
      <w:proofErr w:type="gramStart"/>
      <w:r w:rsidRPr="005F5BEA">
        <w:rPr>
          <w:rFonts w:ascii="Arial Narrow" w:eastAsia="Calibri" w:hAnsi="Arial Narrow" w:cs="Arial"/>
          <w:sz w:val="18"/>
        </w:rPr>
        <w:t>e.g.</w:t>
      </w:r>
      <w:proofErr w:type="gramEnd"/>
      <w:r w:rsidRPr="005F5BEA">
        <w:rPr>
          <w:rFonts w:ascii="Arial Narrow" w:eastAsia="Calibri" w:hAnsi="Arial Narrow" w:cs="Arial"/>
          <w:sz w:val="18"/>
        </w:rPr>
        <w:t xml:space="preserve"> intra-operative need changed after opening package) or expired on consignment.</w:t>
      </w:r>
    </w:p>
    <w:p w14:paraId="4D801164"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e = Only those costs not explicitly covered by PL benefit - data charges, server or cloud costs, algorithm maintenance etc.</w:t>
      </w:r>
    </w:p>
    <w:p w14:paraId="4528075D"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f = Salary of HR, Payroll, Marketing, Supply Chain, Customer Service, Regulatory and Finance staff, General Management.</w:t>
      </w:r>
    </w:p>
    <w:p w14:paraId="2BAF530D"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g = Facility charges for Warehouse, storage locations, offices etc.</w:t>
      </w:r>
    </w:p>
    <w:p w14:paraId="0011F284" w14:textId="6881A63D"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h = Electricity, gas, Phone &amp; Internet, cleaning services, sterilisation; hazardous waste etc.</w:t>
      </w:r>
      <w:r w:rsidR="006E35BC" w:rsidRPr="005F5BEA">
        <w:rPr>
          <w:rFonts w:ascii="Arial Narrow" w:eastAsia="Calibri" w:hAnsi="Arial Narrow" w:cs="Arial"/>
          <w:sz w:val="18"/>
        </w:rPr>
        <w:t xml:space="preserve"> The pre-MSAC response stat</w:t>
      </w:r>
      <w:r w:rsidR="00A158CE" w:rsidRPr="005F5BEA">
        <w:rPr>
          <w:rFonts w:ascii="Arial Narrow" w:eastAsia="Calibri" w:hAnsi="Arial Narrow" w:cs="Arial"/>
          <w:sz w:val="18"/>
        </w:rPr>
        <w:t xml:space="preserve">ed hazardous </w:t>
      </w:r>
      <w:proofErr w:type="gramStart"/>
      <w:r w:rsidR="00A158CE" w:rsidRPr="005F5BEA">
        <w:rPr>
          <w:rFonts w:ascii="Arial Narrow" w:eastAsia="Calibri" w:hAnsi="Arial Narrow" w:cs="Arial"/>
          <w:sz w:val="18"/>
        </w:rPr>
        <w:t>waste  costs</w:t>
      </w:r>
      <w:proofErr w:type="gramEnd"/>
      <w:r w:rsidR="00A158CE" w:rsidRPr="005F5BEA">
        <w:rPr>
          <w:rFonts w:ascii="Arial Narrow" w:eastAsia="Calibri" w:hAnsi="Arial Narrow" w:cs="Arial"/>
          <w:sz w:val="18"/>
        </w:rPr>
        <w:t xml:space="preserve"> include disposal of explanted material, items consumed in implantation- sheaths/catheters which may be collected time to time, items returned for quality assurance inspection and reporting, sterile covers for theatre. </w:t>
      </w:r>
    </w:p>
    <w:p w14:paraId="4B916ECB" w14:textId="77777777" w:rsidR="001454B1" w:rsidRPr="005F5BEA" w:rsidRDefault="001454B1" w:rsidP="001454B1">
      <w:pPr>
        <w:spacing w:after="240"/>
        <w:contextualSpacing/>
        <w:jc w:val="both"/>
        <w:rPr>
          <w:rFonts w:ascii="Arial Narrow" w:eastAsia="Calibri" w:hAnsi="Arial Narrow" w:cs="Arial"/>
          <w:sz w:val="18"/>
        </w:rPr>
      </w:pPr>
      <w:proofErr w:type="spellStart"/>
      <w:r w:rsidRPr="005F5BEA">
        <w:rPr>
          <w:rFonts w:ascii="Arial Narrow" w:eastAsia="Calibri" w:hAnsi="Arial Narrow" w:cs="Arial"/>
          <w:sz w:val="18"/>
        </w:rPr>
        <w:t>i</w:t>
      </w:r>
      <w:proofErr w:type="spellEnd"/>
      <w:r w:rsidRPr="005F5BEA">
        <w:rPr>
          <w:rFonts w:ascii="Arial Narrow" w:eastAsia="Calibri" w:hAnsi="Arial Narrow" w:cs="Arial"/>
          <w:sz w:val="18"/>
        </w:rPr>
        <w:t xml:space="preserve"> = Hardware, firmware, mobile network etc.</w:t>
      </w:r>
    </w:p>
    <w:p w14:paraId="25544E78"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j = Supporting administration, finance, regulatory etc.</w:t>
      </w:r>
    </w:p>
    <w:p w14:paraId="2E532836"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k = Public/ product/ professional/ cyber security/ workers comp etc.</w:t>
      </w:r>
    </w:p>
    <w:p w14:paraId="473A788F"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l = Business-specific charges.</w:t>
      </w:r>
    </w:p>
    <w:p w14:paraId="2A67540D" w14:textId="36C073B6" w:rsidR="001454B1" w:rsidRPr="005F5BEA" w:rsidRDefault="15DB8F46" w:rsidP="11AFB54D">
      <w:pPr>
        <w:spacing w:after="240"/>
        <w:contextualSpacing/>
        <w:jc w:val="both"/>
        <w:rPr>
          <w:rFonts w:ascii="Arial Narrow" w:eastAsia="Calibri" w:hAnsi="Arial Narrow" w:cs="Arial"/>
          <w:sz w:val="18"/>
          <w:szCs w:val="18"/>
        </w:rPr>
      </w:pPr>
      <w:r w:rsidRPr="005F5BEA">
        <w:rPr>
          <w:rFonts w:ascii="Arial Narrow" w:eastAsia="Calibri" w:hAnsi="Arial Narrow" w:cs="Arial"/>
          <w:sz w:val="18"/>
          <w:szCs w:val="18"/>
        </w:rPr>
        <w:t>m = ARTG registration, legal advice, supporting market regulation consultations (MSAC application costs), ASIC, ATO, Audit Fees etc.</w:t>
      </w:r>
      <w:r w:rsidR="19AB194E" w:rsidRPr="005F5BEA">
        <w:rPr>
          <w:rFonts w:ascii="Arial Narrow" w:eastAsia="Calibri" w:hAnsi="Arial Narrow" w:cs="Arial"/>
          <w:sz w:val="18"/>
          <w:szCs w:val="18"/>
        </w:rPr>
        <w:t xml:space="preserve"> The pre-MSAC response stated </w:t>
      </w:r>
      <w:r w:rsidR="2938A76A" w:rsidRPr="005F5BEA">
        <w:rPr>
          <w:rFonts w:ascii="Arial Narrow" w:eastAsia="Calibri" w:hAnsi="Arial Narrow" w:cs="Arial"/>
          <w:sz w:val="18"/>
          <w:szCs w:val="18"/>
        </w:rPr>
        <w:t xml:space="preserve">ARTG registration includes software and hardware service equipment required to have ARTG's approval. </w:t>
      </w:r>
      <w:r w:rsidRPr="005F5BEA">
        <w:rPr>
          <w:rFonts w:ascii="Arial Narrow" w:eastAsia="Calibri" w:hAnsi="Arial Narrow" w:cs="Arial"/>
          <w:sz w:val="18"/>
          <w:szCs w:val="18"/>
        </w:rPr>
        <w:t>n = Expenses to maintain asset and data security.</w:t>
      </w:r>
    </w:p>
    <w:p w14:paraId="59104073"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o = Local &amp; O/S in moving stock &amp; equipment.</w:t>
      </w:r>
    </w:p>
    <w:p w14:paraId="5F8571CA"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p = Interest, leasing, finance charge, FX losses.</w:t>
      </w:r>
    </w:p>
    <w:p w14:paraId="1D6B2F72" w14:textId="4F22666E"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q = Cost to engage external company providing remote monitoring</w:t>
      </w:r>
      <w:r w:rsidR="00A9403C" w:rsidRPr="005F5BEA">
        <w:rPr>
          <w:rFonts w:ascii="Arial Narrow" w:eastAsia="Calibri" w:hAnsi="Arial Narrow" w:cs="Arial"/>
          <w:sz w:val="18"/>
        </w:rPr>
        <w:t xml:space="preserve">. The pre-MSAC response stated </w:t>
      </w:r>
      <w:r w:rsidR="00CA70C0" w:rsidRPr="005F5BEA">
        <w:rPr>
          <w:rFonts w:ascii="Arial Narrow" w:eastAsia="Calibri" w:hAnsi="Arial Narrow" w:cs="Arial"/>
          <w:sz w:val="18"/>
        </w:rPr>
        <w:t>use of</w:t>
      </w:r>
      <w:r w:rsidR="00A9403C" w:rsidRPr="005F5BEA">
        <w:rPr>
          <w:rFonts w:ascii="Arial Narrow" w:eastAsia="Calibri" w:hAnsi="Arial Narrow" w:cs="Arial"/>
          <w:sz w:val="18"/>
        </w:rPr>
        <w:t xml:space="preserve"> e</w:t>
      </w:r>
      <w:r w:rsidR="003B6648" w:rsidRPr="005F5BEA">
        <w:rPr>
          <w:rFonts w:ascii="Arial Narrow" w:eastAsia="Calibri" w:hAnsi="Arial Narrow" w:cs="Arial"/>
          <w:sz w:val="18"/>
        </w:rPr>
        <w:t xml:space="preserve">xternal contractors for providing remote monitoring would be as per any other service industry and should be offset by internal labour hours consumed. </w:t>
      </w:r>
      <w:r w:rsidR="00CA70C0" w:rsidRPr="005F5BEA">
        <w:rPr>
          <w:rFonts w:ascii="Arial Narrow" w:eastAsia="Calibri" w:hAnsi="Arial Narrow" w:cs="Arial"/>
          <w:sz w:val="18"/>
        </w:rPr>
        <w:t>This includes p</w:t>
      </w:r>
      <w:r w:rsidR="003B6648" w:rsidRPr="005F5BEA">
        <w:rPr>
          <w:rFonts w:ascii="Arial Narrow" w:eastAsia="Calibri" w:hAnsi="Arial Narrow" w:cs="Arial"/>
          <w:sz w:val="18"/>
        </w:rPr>
        <w:t>eak load coverage, after hours, coverage during training/ leave etc.</w:t>
      </w:r>
    </w:p>
    <w:p w14:paraId="5290BAAF" w14:textId="35546CDD" w:rsidR="00642EE7" w:rsidRPr="005F5BEA" w:rsidRDefault="00642EE7"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 xml:space="preserve">r = </w:t>
      </w:r>
      <w:r w:rsidR="005D6A44" w:rsidRPr="005F5BEA">
        <w:rPr>
          <w:rFonts w:ascii="Arial Narrow" w:eastAsia="Calibri" w:hAnsi="Arial Narrow" w:cs="Arial"/>
          <w:sz w:val="18"/>
        </w:rPr>
        <w:t xml:space="preserve">The pre-MSAC response advised that </w:t>
      </w:r>
      <w:r w:rsidR="00520E6A" w:rsidRPr="005F5BEA">
        <w:rPr>
          <w:rFonts w:ascii="Arial Narrow" w:eastAsia="Calibri" w:hAnsi="Arial Narrow" w:cs="Arial"/>
          <w:sz w:val="18"/>
        </w:rPr>
        <w:t>that inbound freight and duties was incorrectly incorporated into this figure and correct figure should be $</w:t>
      </w:r>
      <w:r w:rsidR="00D865D4" w:rsidRPr="00D865D4">
        <w:rPr>
          <w:rFonts w:ascii="Arial Narrow" w:eastAsia="Calibri" w:hAnsi="Arial Narrow" w:cs="Arial"/>
          <w:color w:val="000000"/>
          <w:spacing w:val="8"/>
          <w:w w:val="43"/>
          <w:sz w:val="18"/>
          <w:shd w:val="solid" w:color="000000" w:fill="000000"/>
          <w:fitText w:val="145" w:id="-1157882624"/>
          <w14:textFill>
            <w14:solidFill>
              <w14:srgbClr w14:val="000000">
                <w14:alpha w14:val="100000"/>
              </w14:srgbClr>
            </w14:solidFill>
          </w14:textFill>
        </w:rPr>
        <w:t>|</w:t>
      </w:r>
      <w:proofErr w:type="gramStart"/>
      <w:r w:rsidR="00D865D4" w:rsidRPr="00D865D4">
        <w:rPr>
          <w:rFonts w:ascii="Arial Narrow" w:eastAsia="Calibri" w:hAnsi="Arial Narrow" w:cs="Arial"/>
          <w:color w:val="000000"/>
          <w:spacing w:val="8"/>
          <w:w w:val="43"/>
          <w:sz w:val="18"/>
          <w:shd w:val="solid" w:color="000000" w:fill="000000"/>
          <w:fitText w:val="145" w:id="-1157882624"/>
          <w14:textFill>
            <w14:solidFill>
              <w14:srgbClr w14:val="000000">
                <w14:alpha w14:val="100000"/>
              </w14:srgbClr>
            </w14:solidFill>
          </w14:textFill>
        </w:rPr>
        <w:t>|  |</w:t>
      </w:r>
      <w:proofErr w:type="gramEnd"/>
      <w:r w:rsidR="00D865D4" w:rsidRPr="00D865D4">
        <w:rPr>
          <w:rFonts w:ascii="Arial Narrow" w:eastAsia="Calibri" w:hAnsi="Arial Narrow" w:cs="Arial"/>
          <w:color w:val="000000"/>
          <w:spacing w:val="5"/>
          <w:w w:val="43"/>
          <w:sz w:val="18"/>
          <w:shd w:val="solid" w:color="000000" w:fill="000000"/>
          <w:fitText w:val="145" w:id="-1157882624"/>
          <w14:textFill>
            <w14:solidFill>
              <w14:srgbClr w14:val="000000">
                <w14:alpha w14:val="100000"/>
              </w14:srgbClr>
            </w14:solidFill>
          </w14:textFill>
        </w:rPr>
        <w:t>|</w:t>
      </w:r>
      <w:r w:rsidR="00520E6A" w:rsidRPr="005F5BEA">
        <w:rPr>
          <w:rFonts w:ascii="Arial Narrow" w:eastAsia="Calibri" w:hAnsi="Arial Narrow" w:cs="Arial"/>
          <w:sz w:val="18"/>
        </w:rPr>
        <w:t xml:space="preserve">. </w:t>
      </w:r>
    </w:p>
    <w:p w14:paraId="3407F2D2"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Abbreviations: ARTG= Australian Register of Therapeutic Goods, ASIC= Australian Securities &amp; Investments Commission, ATO=Australian Taxation Office, FAS = full analysis set; HR=human resources, IT = information technology; MSAC=Medical Services Advisory Committee, NP=none provided, PL=Prothesis List</w:t>
      </w:r>
    </w:p>
    <w:p w14:paraId="2FFB23ED" w14:textId="77777777" w:rsidR="001454B1" w:rsidRPr="005F5BEA" w:rsidRDefault="15DB8F46" w:rsidP="00374BF7">
      <w:pPr>
        <w:spacing w:before="0" w:after="240"/>
        <w:jc w:val="both"/>
        <w:rPr>
          <w:rFonts w:ascii="Arial Narrow" w:eastAsia="Calibri" w:hAnsi="Arial Narrow" w:cs="Arial"/>
          <w:sz w:val="18"/>
        </w:rPr>
      </w:pPr>
      <w:r w:rsidRPr="005F5BEA">
        <w:rPr>
          <w:rFonts w:ascii="Arial Narrow" w:eastAsia="Calibri" w:hAnsi="Arial Narrow" w:cs="Arial"/>
          <w:sz w:val="18"/>
          <w:szCs w:val="18"/>
        </w:rPr>
        <w:t>Source: Table 2, 1724 – Attachment A – Additional Data Collection (Interim Report)</w:t>
      </w:r>
    </w:p>
    <w:p w14:paraId="509E196F" w14:textId="037C9437" w:rsidR="001454B1" w:rsidRPr="005F5BEA" w:rsidRDefault="001454B1" w:rsidP="00374BF7">
      <w:pPr>
        <w:spacing w:before="240"/>
      </w:pPr>
      <w:r w:rsidRPr="005F5BEA">
        <w:t>The largest costs included in the calculation of the overhead costs w</w:t>
      </w:r>
      <w:r w:rsidR="007B42E9" w:rsidRPr="005F5BEA">
        <w:t>ere</w:t>
      </w:r>
      <w:r w:rsidRPr="005F5BEA">
        <w:t>:</w:t>
      </w:r>
    </w:p>
    <w:p w14:paraId="5C428519" w14:textId="77777777" w:rsidR="001454B1" w:rsidRPr="005F5BEA" w:rsidRDefault="001454B1" w:rsidP="00802A8E">
      <w:pPr>
        <w:pStyle w:val="ListParagraph"/>
        <w:numPr>
          <w:ilvl w:val="0"/>
          <w:numId w:val="25"/>
        </w:numPr>
      </w:pPr>
      <w:r w:rsidRPr="005F5BEA">
        <w:t>Service support staff salaries – 30%</w:t>
      </w:r>
    </w:p>
    <w:p w14:paraId="7EF8FEBF" w14:textId="77777777" w:rsidR="001454B1" w:rsidRPr="005F5BEA" w:rsidRDefault="001454B1" w:rsidP="00802A8E">
      <w:pPr>
        <w:pStyle w:val="ListParagraph"/>
        <w:numPr>
          <w:ilvl w:val="0"/>
          <w:numId w:val="25"/>
        </w:numPr>
      </w:pPr>
      <w:r w:rsidRPr="005F5BEA">
        <w:lastRenderedPageBreak/>
        <w:t>Capital equipment – 12%</w:t>
      </w:r>
    </w:p>
    <w:p w14:paraId="3151F074" w14:textId="77777777" w:rsidR="001454B1" w:rsidRPr="005F5BEA" w:rsidRDefault="001454B1" w:rsidP="00802A8E">
      <w:pPr>
        <w:pStyle w:val="ListParagraph"/>
        <w:numPr>
          <w:ilvl w:val="0"/>
          <w:numId w:val="25"/>
        </w:numPr>
      </w:pPr>
      <w:r w:rsidRPr="005F5BEA">
        <w:t>Consumables used not charged – 12%</w:t>
      </w:r>
    </w:p>
    <w:p w14:paraId="2F8270C7" w14:textId="77777777" w:rsidR="001454B1" w:rsidRPr="005F5BEA" w:rsidRDefault="001454B1" w:rsidP="00802A8E">
      <w:pPr>
        <w:pStyle w:val="ListParagraph"/>
        <w:numPr>
          <w:ilvl w:val="0"/>
          <w:numId w:val="25"/>
        </w:numPr>
      </w:pPr>
      <w:r w:rsidRPr="005F5BEA">
        <w:t>Remote network maintenance – 10%</w:t>
      </w:r>
    </w:p>
    <w:p w14:paraId="78B0D5A1" w14:textId="4E8C3E53" w:rsidR="0064691B" w:rsidRDefault="0064691B" w:rsidP="0064691B">
      <w:r w:rsidRPr="00802A8E">
        <w:t>The focussed evaluation considered that s</w:t>
      </w:r>
      <w:r w:rsidRPr="001454B1">
        <w:t xml:space="preserve">ome of the included costs appear unreasonable. </w:t>
      </w:r>
      <w:r w:rsidRPr="0064691B">
        <w:t xml:space="preserve">Company 3 has </w:t>
      </w:r>
      <w:r w:rsidRPr="001454B1">
        <w:t xml:space="preserve">reported an annual rent of almost </w:t>
      </w:r>
      <w:r w:rsidR="00D865D4" w:rsidRPr="00D865D4">
        <w:rPr>
          <w:color w:val="000000"/>
          <w:spacing w:val="74"/>
          <w:w w:val="82"/>
          <w:shd w:val="solid" w:color="000000" w:fill="000000"/>
          <w:fitText w:val="255" w:id="-1157882623"/>
          <w14:textFill>
            <w14:solidFill>
              <w14:srgbClr w14:val="000000">
                <w14:alpha w14:val="100000"/>
              </w14:srgbClr>
            </w14:solidFill>
          </w14:textFill>
        </w:rPr>
        <w:t>|</w:t>
      </w:r>
      <w:r w:rsidR="00D865D4" w:rsidRPr="00D865D4">
        <w:rPr>
          <w:color w:val="000000"/>
          <w:spacing w:val="1"/>
          <w:w w:val="82"/>
          <w:shd w:val="solid" w:color="000000" w:fill="000000"/>
          <w:fitText w:val="255" w:id="-1157882623"/>
          <w14:textFill>
            <w14:solidFill>
              <w14:srgbClr w14:val="000000">
                <w14:alpha w14:val="100000"/>
              </w14:srgbClr>
            </w14:solidFill>
          </w14:textFill>
        </w:rPr>
        <w:t>|</w:t>
      </w:r>
      <w:r w:rsidRPr="001454B1">
        <w:t xml:space="preserve"> dollars. A crude estimate of the number of IECTs that would be employed by Company</w:t>
      </w:r>
      <w:r w:rsidRPr="0064691B">
        <w:t xml:space="preserve"> 3 </w:t>
      </w:r>
      <w:r w:rsidRPr="001454B1">
        <w:t xml:space="preserve">is </w:t>
      </w:r>
      <w:r w:rsidR="00D865D4" w:rsidRPr="00D865D4">
        <w:rPr>
          <w:color w:val="000000"/>
          <w:spacing w:val="74"/>
          <w:w w:val="82"/>
          <w:shd w:val="solid" w:color="000000" w:fill="000000"/>
          <w:fitText w:val="255" w:id="-1157882622"/>
          <w14:textFill>
            <w14:solidFill>
              <w14:srgbClr w14:val="000000">
                <w14:alpha w14:val="100000"/>
              </w14:srgbClr>
            </w14:solidFill>
          </w14:textFill>
        </w:rPr>
        <w:t>|</w:t>
      </w:r>
      <w:r w:rsidR="00D865D4" w:rsidRPr="00D865D4">
        <w:rPr>
          <w:color w:val="000000"/>
          <w:spacing w:val="1"/>
          <w:w w:val="82"/>
          <w:shd w:val="solid" w:color="000000" w:fill="000000"/>
          <w:fitText w:val="255" w:id="-1157882622"/>
          <w14:textFill>
            <w14:solidFill>
              <w14:srgbClr w14:val="000000">
                <w14:alpha w14:val="100000"/>
              </w14:srgbClr>
            </w14:solidFill>
          </w14:textFill>
        </w:rPr>
        <w:t>|</w:t>
      </w:r>
      <w:r w:rsidRPr="001454B1">
        <w:t xml:space="preserve">, based on a total of </w:t>
      </w:r>
      <w:r w:rsidR="00D865D4" w:rsidRPr="00D865D4">
        <w:rPr>
          <w:color w:val="000000"/>
          <w:spacing w:val="74"/>
          <w:w w:val="82"/>
          <w:shd w:val="solid" w:color="000000" w:fill="000000"/>
          <w:fitText w:val="255" w:id="-1157882621"/>
          <w14:textFill>
            <w14:solidFill>
              <w14:srgbClr w14:val="000000">
                <w14:alpha w14:val="100000"/>
              </w14:srgbClr>
            </w14:solidFill>
          </w14:textFill>
        </w:rPr>
        <w:t>|</w:t>
      </w:r>
      <w:r w:rsidR="00D865D4" w:rsidRPr="00D865D4">
        <w:rPr>
          <w:color w:val="000000"/>
          <w:spacing w:val="1"/>
          <w:w w:val="82"/>
          <w:shd w:val="solid" w:color="000000" w:fill="000000"/>
          <w:fitText w:val="255" w:id="-1157882621"/>
          <w14:textFill>
            <w14:solidFill>
              <w14:srgbClr w14:val="000000">
                <w14:alpha w14:val="100000"/>
              </w14:srgbClr>
            </w14:solidFill>
          </w14:textFill>
        </w:rPr>
        <w:t>|</w:t>
      </w:r>
      <w:r w:rsidRPr="001454B1">
        <w:t xml:space="preserve"> IECTs and the proportion of services provided by Company </w:t>
      </w:r>
      <w:r w:rsidRPr="0064691B">
        <w:t>3</w:t>
      </w:r>
      <w:r w:rsidRPr="001454B1">
        <w:t xml:space="preserve"> (approximately </w:t>
      </w:r>
      <w:r w:rsidR="00D865D4" w:rsidRPr="00D865D4">
        <w:rPr>
          <w:color w:val="000000"/>
          <w:spacing w:val="78"/>
          <w:w w:val="87"/>
          <w:shd w:val="solid" w:color="000000" w:fill="000000"/>
          <w:fitText w:val="270" w:id="-1157882620"/>
          <w14:textFill>
            <w14:solidFill>
              <w14:srgbClr w14:val="000000">
                <w14:alpha w14:val="100000"/>
              </w14:srgbClr>
            </w14:solidFill>
          </w14:textFill>
        </w:rPr>
        <w:t>|</w:t>
      </w:r>
      <w:r w:rsidR="00D865D4" w:rsidRPr="00D865D4">
        <w:rPr>
          <w:color w:val="000000"/>
          <w:spacing w:val="1"/>
          <w:w w:val="87"/>
          <w:shd w:val="solid" w:color="000000" w:fill="000000"/>
          <w:fitText w:val="270" w:id="-1157882620"/>
          <w14:textFill>
            <w14:solidFill>
              <w14:srgbClr w14:val="000000">
                <w14:alpha w14:val="100000"/>
              </w14:srgbClr>
            </w14:solidFill>
          </w14:textFill>
        </w:rPr>
        <w:t>|</w:t>
      </w:r>
      <w:r w:rsidRPr="0064691B">
        <w:t>%).</w:t>
      </w:r>
      <w:r w:rsidRPr="001454B1">
        <w:t xml:space="preserve"> Company </w:t>
      </w:r>
      <w:r w:rsidRPr="0064691B">
        <w:t>4</w:t>
      </w:r>
      <w:r w:rsidRPr="001454B1">
        <w:t xml:space="preserve"> has reported </w:t>
      </w:r>
      <w:r w:rsidR="00D865D4" w:rsidRPr="00D865D4">
        <w:rPr>
          <w:color w:val="000000"/>
          <w:spacing w:val="74"/>
          <w:w w:val="82"/>
          <w:shd w:val="solid" w:color="000000" w:fill="000000"/>
          <w:fitText w:val="255" w:id="-1157882619"/>
          <w14:textFill>
            <w14:solidFill>
              <w14:srgbClr w14:val="000000">
                <w14:alpha w14:val="100000"/>
              </w14:srgbClr>
            </w14:solidFill>
          </w14:textFill>
        </w:rPr>
        <w:t>|</w:t>
      </w:r>
      <w:r w:rsidR="00D865D4" w:rsidRPr="00D865D4">
        <w:rPr>
          <w:color w:val="000000"/>
          <w:spacing w:val="1"/>
          <w:w w:val="82"/>
          <w:shd w:val="solid" w:color="000000" w:fill="000000"/>
          <w:fitText w:val="255" w:id="-1157882619"/>
          <w14:textFill>
            <w14:solidFill>
              <w14:srgbClr w14:val="000000">
                <w14:alpha w14:val="100000"/>
              </w14:srgbClr>
            </w14:solidFill>
          </w14:textFill>
        </w:rPr>
        <w:t>|</w:t>
      </w:r>
      <w:r w:rsidRPr="001454B1">
        <w:t xml:space="preserve"> in freight and shipping costs, although it is unclear what equipment is being freighted. </w:t>
      </w:r>
      <w:r>
        <w:t>The pre-MSAC response stated that this figure incorrectly included</w:t>
      </w:r>
      <w:r w:rsidRPr="005079FB">
        <w:t xml:space="preserve"> inbound freight and duties</w:t>
      </w:r>
      <w:r>
        <w:t xml:space="preserve"> and advised that the figure for local shipping costs was </w:t>
      </w:r>
      <w:r w:rsidRPr="0064691B">
        <w:t>$</w:t>
      </w:r>
      <w:r w:rsidR="00D865D4" w:rsidRPr="00D865D4">
        <w:rPr>
          <w:color w:val="000000"/>
          <w:spacing w:val="74"/>
          <w:w w:val="82"/>
          <w:shd w:val="solid" w:color="000000" w:fill="000000"/>
          <w:fitText w:val="255" w:id="-1157882618"/>
          <w14:textFill>
            <w14:solidFill>
              <w14:srgbClr w14:val="000000">
                <w14:alpha w14:val="100000"/>
              </w14:srgbClr>
            </w14:solidFill>
          </w14:textFill>
        </w:rPr>
        <w:t>|</w:t>
      </w:r>
      <w:r w:rsidR="00D865D4" w:rsidRPr="00D865D4">
        <w:rPr>
          <w:color w:val="000000"/>
          <w:spacing w:val="1"/>
          <w:w w:val="82"/>
          <w:shd w:val="solid" w:color="000000" w:fill="000000"/>
          <w:fitText w:val="255" w:id="-1157882618"/>
          <w14:textFill>
            <w14:solidFill>
              <w14:srgbClr w14:val="000000">
                <w14:alpha w14:val="100000"/>
              </w14:srgbClr>
            </w14:solidFill>
          </w14:textFill>
        </w:rPr>
        <w:t>|</w:t>
      </w:r>
      <w:r>
        <w:t xml:space="preserve">. This reduced the total overhead costs </w:t>
      </w:r>
      <w:r w:rsidRPr="00D852BD">
        <w:t xml:space="preserve">for 2022 </w:t>
      </w:r>
      <w:r>
        <w:t>for all companies</w:t>
      </w:r>
      <w:r w:rsidRPr="00D852BD">
        <w:t xml:space="preserve"> </w:t>
      </w:r>
      <w:r>
        <w:t>to</w:t>
      </w:r>
      <w:r w:rsidRPr="00D852BD">
        <w:t xml:space="preserve"> </w:t>
      </w:r>
      <w:r w:rsidRPr="0064691B">
        <w:t>$</w:t>
      </w:r>
      <w:r w:rsidR="00D865D4" w:rsidRPr="00D865D4">
        <w:rPr>
          <w:color w:val="000000"/>
          <w:spacing w:val="74"/>
          <w:w w:val="82"/>
          <w:shd w:val="solid" w:color="000000" w:fill="000000"/>
          <w:fitText w:val="255" w:id="-1157882617"/>
          <w14:textFill>
            <w14:solidFill>
              <w14:srgbClr w14:val="000000">
                <w14:alpha w14:val="100000"/>
              </w14:srgbClr>
            </w14:solidFill>
          </w14:textFill>
        </w:rPr>
        <w:t>|</w:t>
      </w:r>
      <w:r w:rsidR="00D865D4" w:rsidRPr="00D865D4">
        <w:rPr>
          <w:color w:val="000000"/>
          <w:spacing w:val="1"/>
          <w:w w:val="82"/>
          <w:shd w:val="solid" w:color="000000" w:fill="000000"/>
          <w:fitText w:val="255" w:id="-1157882617"/>
          <w14:textFill>
            <w14:solidFill>
              <w14:srgbClr w14:val="000000">
                <w14:alpha w14:val="100000"/>
              </w14:srgbClr>
            </w14:solidFill>
          </w14:textFill>
        </w:rPr>
        <w:t>|</w:t>
      </w:r>
      <w:r>
        <w:t xml:space="preserve">. </w:t>
      </w:r>
    </w:p>
    <w:p w14:paraId="3300715B" w14:textId="753FD41C" w:rsidR="0064691B" w:rsidRPr="001454B1" w:rsidRDefault="0064691B" w:rsidP="0064691B">
      <w:r w:rsidRPr="001454B1">
        <w:t xml:space="preserve">The service support staff salaries are stated to be, “Salary of HR, Payroll, Marketing, Supply Chain, Customer Service, Regulatory and Finance staff, General Management”. This accounts for </w:t>
      </w:r>
      <w:r w:rsidRPr="0064691B">
        <w:t>$</w:t>
      </w:r>
      <w:r w:rsidR="00D865D4" w:rsidRPr="00D865D4">
        <w:rPr>
          <w:color w:val="000000"/>
          <w:spacing w:val="74"/>
          <w:w w:val="82"/>
          <w:shd w:val="solid" w:color="000000" w:fill="000000"/>
          <w:fitText w:val="255" w:id="-1157882616"/>
          <w14:textFill>
            <w14:solidFill>
              <w14:srgbClr w14:val="000000">
                <w14:alpha w14:val="100000"/>
              </w14:srgbClr>
            </w14:solidFill>
          </w14:textFill>
        </w:rPr>
        <w:t>|</w:t>
      </w:r>
      <w:r w:rsidR="00D865D4" w:rsidRPr="00D865D4">
        <w:rPr>
          <w:color w:val="000000"/>
          <w:spacing w:val="1"/>
          <w:w w:val="82"/>
          <w:shd w:val="solid" w:color="000000" w:fill="000000"/>
          <w:fitText w:val="255" w:id="-1157882616"/>
          <w14:textFill>
            <w14:solidFill>
              <w14:srgbClr w14:val="000000">
                <w14:alpha w14:val="100000"/>
              </w14:srgbClr>
            </w14:solidFill>
          </w14:textFill>
        </w:rPr>
        <w:t>|</w:t>
      </w:r>
      <w:r w:rsidRPr="001454B1">
        <w:t xml:space="preserve"> dollars in 2022 (or roughly 10% of the total costs of providing all services in public and private in the applicant’s revised model). </w:t>
      </w:r>
    </w:p>
    <w:p w14:paraId="3309913E" w14:textId="3416BB36" w:rsidR="0064691B" w:rsidRDefault="0064691B" w:rsidP="0064691B">
      <w:r>
        <w:t>The focussed evaluation considered that i</w:t>
      </w:r>
      <w:r w:rsidRPr="001454B1">
        <w:t xml:space="preserve">t may be informative to consider the proposed overhead costs in relation to the number of employed IECTs. Excluding training and certification, travel, wages and on-costs, the estimated overhead costs for each employed cardiac technician is </w:t>
      </w:r>
      <w:r w:rsidRPr="0064691B">
        <w:t>$</w:t>
      </w:r>
      <w:r w:rsidR="00D865D4" w:rsidRPr="00D865D4">
        <w:rPr>
          <w:color w:val="000000"/>
          <w:spacing w:val="74"/>
          <w:w w:val="82"/>
          <w:shd w:val="solid" w:color="000000" w:fill="000000"/>
          <w:fitText w:val="255" w:id="-1157882615"/>
          <w14:textFill>
            <w14:solidFill>
              <w14:srgbClr w14:val="000000">
                <w14:alpha w14:val="100000"/>
              </w14:srgbClr>
            </w14:solidFill>
          </w14:textFill>
        </w:rPr>
        <w:t>|</w:t>
      </w:r>
      <w:r w:rsidR="00D865D4" w:rsidRPr="00D865D4">
        <w:rPr>
          <w:color w:val="000000"/>
          <w:spacing w:val="1"/>
          <w:w w:val="82"/>
          <w:shd w:val="solid" w:color="000000" w:fill="000000"/>
          <w:fitText w:val="255" w:id="-1157882615"/>
          <w14:textFill>
            <w14:solidFill>
              <w14:srgbClr w14:val="000000">
                <w14:alpha w14:val="100000"/>
              </w14:srgbClr>
            </w14:solidFill>
          </w14:textFill>
        </w:rPr>
        <w:t>|</w:t>
      </w:r>
      <w:r w:rsidRPr="001454B1">
        <w:t xml:space="preserve">. On the assumption that Company </w:t>
      </w:r>
      <w:r w:rsidRPr="0064691B">
        <w:t>2</w:t>
      </w:r>
      <w:r w:rsidRPr="001454B1">
        <w:t xml:space="preserve"> employs approximately </w:t>
      </w:r>
      <w:r w:rsidR="00D865D4" w:rsidRPr="00D865D4">
        <w:rPr>
          <w:color w:val="000000"/>
          <w:spacing w:val="74"/>
          <w:w w:val="82"/>
          <w:shd w:val="solid" w:color="000000" w:fill="000000"/>
          <w:fitText w:val="255" w:id="-1157882614"/>
          <w14:textFill>
            <w14:solidFill>
              <w14:srgbClr w14:val="000000">
                <w14:alpha w14:val="100000"/>
              </w14:srgbClr>
            </w14:solidFill>
          </w14:textFill>
        </w:rPr>
        <w:t>|</w:t>
      </w:r>
      <w:r w:rsidR="00D865D4" w:rsidRPr="00D865D4">
        <w:rPr>
          <w:color w:val="000000"/>
          <w:spacing w:val="1"/>
          <w:w w:val="82"/>
          <w:shd w:val="solid" w:color="000000" w:fill="000000"/>
          <w:fitText w:val="255" w:id="-1157882614"/>
          <w14:textFill>
            <w14:solidFill>
              <w14:srgbClr w14:val="000000">
                <w14:alpha w14:val="100000"/>
              </w14:srgbClr>
            </w14:solidFill>
          </w14:textFill>
        </w:rPr>
        <w:t>|</w:t>
      </w:r>
      <w:r w:rsidRPr="0064691B">
        <w:t>%</w:t>
      </w:r>
      <w:r w:rsidRPr="001454B1">
        <w:t xml:space="preserve"> of all IECTs (proportional to the number of services provided), the estimated overhead costs per IECT for Company </w:t>
      </w:r>
      <w:r w:rsidRPr="0064691B">
        <w:t>2</w:t>
      </w:r>
      <w:r w:rsidRPr="001454B1">
        <w:t xml:space="preserve"> would be </w:t>
      </w:r>
      <w:r w:rsidR="00D865D4" w:rsidRPr="00D865D4">
        <w:rPr>
          <w:color w:val="000000"/>
          <w:spacing w:val="74"/>
          <w:w w:val="82"/>
          <w:shd w:val="solid" w:color="000000" w:fill="000000"/>
          <w:fitText w:val="255" w:id="-1157882613"/>
          <w14:textFill>
            <w14:solidFill>
              <w14:srgbClr w14:val="000000">
                <w14:alpha w14:val="100000"/>
              </w14:srgbClr>
            </w14:solidFill>
          </w14:textFill>
        </w:rPr>
        <w:t>|</w:t>
      </w:r>
      <w:r w:rsidR="00D865D4" w:rsidRPr="00D865D4">
        <w:rPr>
          <w:color w:val="000000"/>
          <w:spacing w:val="1"/>
          <w:w w:val="82"/>
          <w:shd w:val="solid" w:color="000000" w:fill="000000"/>
          <w:fitText w:val="255" w:id="-1157882613"/>
          <w14:textFill>
            <w14:solidFill>
              <w14:srgbClr w14:val="000000">
                <w14:alpha w14:val="100000"/>
              </w14:srgbClr>
            </w14:solidFill>
          </w14:textFill>
        </w:rPr>
        <w:t>|</w:t>
      </w:r>
      <w:r w:rsidRPr="001454B1">
        <w:t xml:space="preserve">. </w:t>
      </w:r>
    </w:p>
    <w:p w14:paraId="10564B3C" w14:textId="49150F94" w:rsidR="001454B1" w:rsidRPr="00374BF7" w:rsidRDefault="001454B1" w:rsidP="00374BF7">
      <w:r w:rsidRPr="005F5BEA">
        <w:t xml:space="preserve">The applicant has provided descriptions of what might be captured in the overhead cost categories in table notes to the overhead costing estimates (see table notes to </w:t>
      </w:r>
      <w:r w:rsidRPr="005F5BEA">
        <w:fldChar w:fldCharType="begin"/>
      </w:r>
      <w:r w:rsidRPr="005F5BEA">
        <w:instrText xml:space="preserve"> REF _Ref135055310 \h  \* MERGEFORMAT </w:instrText>
      </w:r>
      <w:r w:rsidRPr="005F5BEA">
        <w:fldChar w:fldCharType="separate"/>
      </w:r>
      <w:r w:rsidR="00334548" w:rsidRPr="00334548">
        <w:t xml:space="preserve">Table </w:t>
      </w:r>
      <w:r w:rsidR="00334548" w:rsidRPr="00334548">
        <w:rPr>
          <w:noProof/>
        </w:rPr>
        <w:t>24</w:t>
      </w:r>
      <w:r w:rsidRPr="005F5BEA">
        <w:fldChar w:fldCharType="end"/>
      </w:r>
      <w:r w:rsidRPr="005F5BEA">
        <w:t>).</w:t>
      </w:r>
      <w:r w:rsidR="00802A8E" w:rsidRPr="005F5BEA">
        <w:t xml:space="preserve"> The focussed evaluation considered that </w:t>
      </w:r>
      <w:r w:rsidR="00A06BBA" w:rsidRPr="005F5BEA">
        <w:t xml:space="preserve">it was </w:t>
      </w:r>
      <w:r w:rsidRPr="005F5BEA">
        <w:t xml:space="preserve">unclear whether these descriptions indicate costs that </w:t>
      </w:r>
      <w:r w:rsidRPr="005F5BEA">
        <w:rPr>
          <w:u w:val="single"/>
        </w:rPr>
        <w:t>have</w:t>
      </w:r>
      <w:r w:rsidRPr="005F5BEA">
        <w:t xml:space="preserve"> been included in the estimate of overhead </w:t>
      </w:r>
      <w:proofErr w:type="gramStart"/>
      <w:r w:rsidRPr="005F5BEA">
        <w:t>costs, or</w:t>
      </w:r>
      <w:proofErr w:type="gramEnd"/>
      <w:r w:rsidRPr="005F5BEA">
        <w:t xml:space="preserve"> are a general description of costs that </w:t>
      </w:r>
      <w:r w:rsidRPr="005F5BEA">
        <w:rPr>
          <w:i/>
        </w:rPr>
        <w:t>might</w:t>
      </w:r>
      <w:r w:rsidRPr="005F5BEA">
        <w:t xml:space="preserve"> be associated with the overhead cost category. If the descriptions are costs that have been included, there are several costs that are clearly inappropriate (for example, hazardous waste, ARTG registration and external contractors for providing remote monitoring). If, on the other hand, the descriptions are general, then the basis on which the overhead costs have been generated </w:t>
      </w:r>
      <w:r w:rsidR="00E95DBC" w:rsidRPr="005F5BEA">
        <w:t xml:space="preserve">and </w:t>
      </w:r>
      <w:r w:rsidR="00861879" w:rsidRPr="005F5BEA">
        <w:t xml:space="preserve">distributed across the IECT services </w:t>
      </w:r>
      <w:r w:rsidRPr="005F5BEA">
        <w:t>is not transparent.</w:t>
      </w:r>
      <w:r w:rsidRPr="005F5BEA">
        <w:rPr>
          <w:rFonts w:ascii="Calibri" w:eastAsia="Calibri" w:hAnsi="Calibri" w:cs="Times New Roman"/>
          <w:i/>
        </w:rPr>
        <w:br w:type="page"/>
      </w:r>
    </w:p>
    <w:p w14:paraId="29E28DA5" w14:textId="2DDBF657" w:rsidR="001454B1" w:rsidRPr="005F5BEA" w:rsidRDefault="001454B1" w:rsidP="001454B1">
      <w:pPr>
        <w:keepNext/>
        <w:spacing w:before="0" w:after="200" w:line="240" w:lineRule="auto"/>
        <w:rPr>
          <w:rFonts w:ascii="Arial Narrow" w:eastAsia="Calibri" w:hAnsi="Arial Narrow" w:cs="Times New Roman"/>
          <w:b/>
          <w:iCs/>
          <w:sz w:val="20"/>
          <w:szCs w:val="20"/>
        </w:rPr>
      </w:pPr>
      <w:r w:rsidRPr="005F5BEA">
        <w:rPr>
          <w:rFonts w:ascii="Arial Narrow" w:eastAsia="Calibri" w:hAnsi="Arial Narrow" w:cs="Times New Roman"/>
          <w:b/>
          <w:iCs/>
          <w:sz w:val="20"/>
          <w:szCs w:val="20"/>
        </w:rPr>
        <w:t xml:space="preserve">Table </w:t>
      </w:r>
      <w:r w:rsidRPr="005F5BEA">
        <w:rPr>
          <w:rFonts w:ascii="Arial Narrow" w:eastAsia="Calibri" w:hAnsi="Arial Narrow" w:cs="Times New Roman"/>
          <w:b/>
          <w:iCs/>
          <w:sz w:val="20"/>
          <w:szCs w:val="20"/>
        </w:rPr>
        <w:fldChar w:fldCharType="begin"/>
      </w:r>
      <w:r w:rsidRPr="005F5BEA">
        <w:rPr>
          <w:rFonts w:ascii="Arial Narrow" w:eastAsia="Calibri" w:hAnsi="Arial Narrow" w:cs="Times New Roman"/>
          <w:b/>
          <w:iCs/>
          <w:sz w:val="20"/>
          <w:szCs w:val="20"/>
        </w:rPr>
        <w:instrText xml:space="preserve"> SEQ Table \* ARABIC </w:instrText>
      </w:r>
      <w:r w:rsidRPr="005F5BEA">
        <w:rPr>
          <w:rFonts w:ascii="Arial Narrow" w:eastAsia="Calibri" w:hAnsi="Arial Narrow" w:cs="Times New Roman"/>
          <w:b/>
          <w:iCs/>
          <w:sz w:val="20"/>
          <w:szCs w:val="20"/>
        </w:rPr>
        <w:fldChar w:fldCharType="separate"/>
      </w:r>
      <w:r w:rsidR="00334548">
        <w:rPr>
          <w:rFonts w:ascii="Arial Narrow" w:eastAsia="Calibri" w:hAnsi="Arial Narrow" w:cs="Times New Roman"/>
          <w:b/>
          <w:iCs/>
          <w:noProof/>
          <w:sz w:val="20"/>
          <w:szCs w:val="20"/>
        </w:rPr>
        <w:t>25</w:t>
      </w:r>
      <w:r w:rsidRPr="005F5BEA">
        <w:rPr>
          <w:rFonts w:ascii="Arial Narrow" w:eastAsia="Calibri" w:hAnsi="Arial Narrow" w:cs="Times New Roman"/>
          <w:b/>
          <w:iCs/>
          <w:noProof/>
          <w:sz w:val="20"/>
          <w:szCs w:val="20"/>
        </w:rPr>
        <w:fldChar w:fldCharType="end"/>
      </w:r>
      <w:r w:rsidRPr="005F5BEA">
        <w:rPr>
          <w:rFonts w:ascii="Arial Narrow" w:eastAsia="Calibri" w:hAnsi="Arial Narrow" w:cs="Times New Roman"/>
          <w:b/>
          <w:iCs/>
          <w:sz w:val="20"/>
          <w:szCs w:val="20"/>
        </w:rPr>
        <w:tab/>
        <w:t>Descriptions of overhead costs</w:t>
      </w:r>
    </w:p>
    <w:tbl>
      <w:tblPr>
        <w:tblStyle w:val="TableGrid1"/>
        <w:tblW w:w="5000" w:type="pct"/>
        <w:tblLook w:val="04A0" w:firstRow="1" w:lastRow="0" w:firstColumn="1" w:lastColumn="0" w:noHBand="0" w:noVBand="1"/>
      </w:tblPr>
      <w:tblGrid>
        <w:gridCol w:w="2263"/>
        <w:gridCol w:w="4678"/>
        <w:gridCol w:w="2075"/>
      </w:tblGrid>
      <w:tr w:rsidR="001454B1" w:rsidRPr="005F5BEA" w14:paraId="7C81F60C" w14:textId="77777777" w:rsidTr="00D865D4">
        <w:trPr>
          <w:trHeight w:val="57"/>
        </w:trPr>
        <w:tc>
          <w:tcPr>
            <w:tcW w:w="2263" w:type="dxa"/>
            <w:vAlign w:val="center"/>
          </w:tcPr>
          <w:p w14:paraId="7360B912" w14:textId="77777777" w:rsidR="001454B1" w:rsidRPr="005F5BEA" w:rsidRDefault="001454B1" w:rsidP="001454B1">
            <w:pPr>
              <w:spacing w:before="0"/>
              <w:rPr>
                <w:rFonts w:ascii="Arial Narrow" w:eastAsia="Calibri" w:hAnsi="Arial Narrow" w:cs="Times New Roman"/>
                <w:b/>
                <w:bCs/>
                <w:iCs/>
                <w:sz w:val="20"/>
                <w:szCs w:val="20"/>
              </w:rPr>
            </w:pPr>
            <w:r w:rsidRPr="005F5BEA">
              <w:rPr>
                <w:rFonts w:ascii="Arial Narrow" w:eastAsia="Calibri" w:hAnsi="Arial Narrow" w:cs="Times New Roman"/>
                <w:b/>
                <w:bCs/>
                <w:iCs/>
                <w:sz w:val="20"/>
                <w:szCs w:val="20"/>
              </w:rPr>
              <w:t>Overhead cost</w:t>
            </w:r>
          </w:p>
        </w:tc>
        <w:tc>
          <w:tcPr>
            <w:tcW w:w="4678" w:type="dxa"/>
            <w:vAlign w:val="center"/>
          </w:tcPr>
          <w:p w14:paraId="60A8E857" w14:textId="77777777" w:rsidR="001454B1" w:rsidRPr="005F5BEA" w:rsidRDefault="001454B1" w:rsidP="001454B1">
            <w:pPr>
              <w:spacing w:before="0"/>
              <w:rPr>
                <w:rFonts w:ascii="Arial Narrow" w:eastAsia="Calibri" w:hAnsi="Arial Narrow" w:cs="Times New Roman"/>
                <w:b/>
                <w:bCs/>
                <w:iCs/>
                <w:sz w:val="20"/>
                <w:szCs w:val="20"/>
              </w:rPr>
            </w:pPr>
            <w:r w:rsidRPr="005F5BEA">
              <w:rPr>
                <w:rFonts w:ascii="Arial Narrow" w:eastAsia="Calibri" w:hAnsi="Arial Narrow" w:cs="Times New Roman"/>
                <w:b/>
                <w:bCs/>
                <w:iCs/>
                <w:sz w:val="20"/>
                <w:szCs w:val="20"/>
              </w:rPr>
              <w:t>Details</w:t>
            </w:r>
          </w:p>
        </w:tc>
        <w:tc>
          <w:tcPr>
            <w:tcW w:w="2075" w:type="dxa"/>
            <w:tcBorders>
              <w:bottom w:val="single" w:sz="4" w:space="0" w:color="auto"/>
            </w:tcBorders>
            <w:vAlign w:val="center"/>
          </w:tcPr>
          <w:p w14:paraId="4AE634BC" w14:textId="77777777" w:rsidR="001454B1" w:rsidRPr="005F5BEA" w:rsidRDefault="001454B1" w:rsidP="001454B1">
            <w:pPr>
              <w:spacing w:before="0"/>
              <w:jc w:val="center"/>
              <w:rPr>
                <w:rFonts w:ascii="Arial Narrow" w:eastAsia="Calibri" w:hAnsi="Arial Narrow" w:cs="Times New Roman"/>
                <w:b/>
                <w:bCs/>
                <w:i/>
                <w:sz w:val="20"/>
                <w:szCs w:val="20"/>
              </w:rPr>
            </w:pPr>
            <w:r w:rsidRPr="005F5BEA">
              <w:rPr>
                <w:rFonts w:ascii="Arial Narrow" w:eastAsia="Calibri" w:hAnsi="Arial Narrow" w:cs="Times New Roman"/>
                <w:b/>
                <w:bCs/>
                <w:iCs/>
                <w:sz w:val="20"/>
                <w:szCs w:val="20"/>
              </w:rPr>
              <w:t xml:space="preserve">Cost (% of overhead / % of </w:t>
            </w:r>
            <w:proofErr w:type="gramStart"/>
            <w:r w:rsidRPr="005F5BEA">
              <w:rPr>
                <w:rFonts w:ascii="Arial Narrow" w:eastAsia="Calibri" w:hAnsi="Arial Narrow" w:cs="Times New Roman"/>
                <w:b/>
                <w:bCs/>
                <w:iCs/>
                <w:sz w:val="20"/>
                <w:szCs w:val="20"/>
              </w:rPr>
              <w:t>total)</w:t>
            </w:r>
            <w:r w:rsidRPr="005F5BEA">
              <w:rPr>
                <w:rFonts w:ascii="Arial Narrow" w:eastAsia="Calibri" w:hAnsi="Arial Narrow" w:cs="Times New Roman"/>
                <w:b/>
                <w:bCs/>
                <w:iCs/>
                <w:sz w:val="20"/>
                <w:szCs w:val="20"/>
                <w:vertAlign w:val="superscript"/>
              </w:rPr>
              <w:t>a</w:t>
            </w:r>
            <w:proofErr w:type="gramEnd"/>
          </w:p>
        </w:tc>
      </w:tr>
      <w:tr w:rsidR="001454B1" w:rsidRPr="005F5BEA" w14:paraId="35A4B7D5" w14:textId="77777777" w:rsidTr="00D865D4">
        <w:trPr>
          <w:trHeight w:val="57"/>
        </w:trPr>
        <w:tc>
          <w:tcPr>
            <w:tcW w:w="2263" w:type="dxa"/>
            <w:vAlign w:val="center"/>
          </w:tcPr>
          <w:p w14:paraId="20C91DD3"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Times New Roman"/>
                <w:sz w:val="20"/>
                <w:szCs w:val="20"/>
              </w:rPr>
              <w:t>Capital equipment + accessories</w:t>
            </w:r>
          </w:p>
        </w:tc>
        <w:tc>
          <w:tcPr>
            <w:tcW w:w="4678" w:type="dxa"/>
            <w:vAlign w:val="center"/>
          </w:tcPr>
          <w:p w14:paraId="5E89FE0B"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Calibri"/>
                <w:color w:val="000000"/>
                <w:sz w:val="20"/>
                <w:szCs w:val="20"/>
              </w:rPr>
              <w:t xml:space="preserve">Programmers, accessories, cables, test, demo equipment etc. Costs may include lease charges, </w:t>
            </w:r>
            <w:proofErr w:type="gramStart"/>
            <w:r w:rsidRPr="005F5BEA">
              <w:rPr>
                <w:rFonts w:ascii="Arial Narrow" w:eastAsia="Calibri" w:hAnsi="Arial Narrow" w:cs="Calibri"/>
                <w:color w:val="000000"/>
                <w:sz w:val="20"/>
                <w:szCs w:val="20"/>
              </w:rPr>
              <w:t>interest</w:t>
            </w:r>
            <w:proofErr w:type="gramEnd"/>
            <w:r w:rsidRPr="005F5BEA">
              <w:rPr>
                <w:rFonts w:ascii="Arial Narrow" w:eastAsia="Calibri" w:hAnsi="Arial Narrow" w:cs="Calibri"/>
                <w:color w:val="000000"/>
                <w:sz w:val="20"/>
                <w:szCs w:val="20"/>
              </w:rPr>
              <w:t xml:space="preserve"> and depreciation charges.</w:t>
            </w:r>
          </w:p>
        </w:tc>
        <w:tc>
          <w:tcPr>
            <w:tcW w:w="2075" w:type="dxa"/>
            <w:tcBorders>
              <w:bottom w:val="single" w:sz="4" w:space="0" w:color="auto"/>
            </w:tcBorders>
            <w:shd w:val="solid" w:color="000000" w:fill="000000"/>
            <w:vAlign w:val="center"/>
          </w:tcPr>
          <w:p w14:paraId="6EE3D664" w14:textId="6718D7EA" w:rsidR="001454B1" w:rsidRPr="00D865D4" w:rsidRDefault="00D865D4" w:rsidP="001454B1">
            <w:pPr>
              <w:spacing w:before="0"/>
              <w:jc w:val="right"/>
              <w:rPr>
                <w:rFonts w:ascii="Arial Narrow" w:eastAsia="Calibri" w:hAnsi="Arial Narrow" w:cs="Times New Roman"/>
                <w:i/>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1C8B56A7" w14:textId="77777777" w:rsidTr="00D865D4">
        <w:trPr>
          <w:trHeight w:val="57"/>
        </w:trPr>
        <w:tc>
          <w:tcPr>
            <w:tcW w:w="2263" w:type="dxa"/>
            <w:vAlign w:val="center"/>
          </w:tcPr>
          <w:p w14:paraId="0B2D49D0"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Times New Roman"/>
                <w:sz w:val="20"/>
                <w:szCs w:val="20"/>
              </w:rPr>
              <w:t>Maintenance &amp; repairs costs</w:t>
            </w:r>
          </w:p>
        </w:tc>
        <w:tc>
          <w:tcPr>
            <w:tcW w:w="4678" w:type="dxa"/>
            <w:vAlign w:val="center"/>
          </w:tcPr>
          <w:p w14:paraId="63756576"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Calibri"/>
                <w:color w:val="000000"/>
                <w:sz w:val="20"/>
                <w:szCs w:val="20"/>
              </w:rPr>
              <w:t>Capital Equipment, infrastructure (office building), motor vehicles, etc.</w:t>
            </w:r>
          </w:p>
        </w:tc>
        <w:tc>
          <w:tcPr>
            <w:tcW w:w="2075" w:type="dxa"/>
            <w:tcBorders>
              <w:bottom w:val="single" w:sz="4" w:space="0" w:color="auto"/>
            </w:tcBorders>
            <w:shd w:val="solid" w:color="000000" w:fill="000000"/>
            <w:vAlign w:val="center"/>
          </w:tcPr>
          <w:p w14:paraId="29C242D9" w14:textId="3F2008EB" w:rsidR="001454B1" w:rsidRPr="00D865D4" w:rsidRDefault="00D865D4" w:rsidP="001454B1">
            <w:pPr>
              <w:spacing w:before="0"/>
              <w:jc w:val="right"/>
              <w:rPr>
                <w:rFonts w:ascii="Arial Narrow" w:eastAsia="Calibri" w:hAnsi="Arial Narrow" w:cs="Times New Roman"/>
                <w:i/>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574E3028" w14:textId="77777777" w:rsidTr="00D865D4">
        <w:trPr>
          <w:trHeight w:val="57"/>
        </w:trPr>
        <w:tc>
          <w:tcPr>
            <w:tcW w:w="2263" w:type="dxa"/>
            <w:vAlign w:val="center"/>
          </w:tcPr>
          <w:p w14:paraId="2887F3A6"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Times New Roman"/>
                <w:sz w:val="20"/>
                <w:szCs w:val="20"/>
              </w:rPr>
              <w:t>Consumables - used not charged</w:t>
            </w:r>
          </w:p>
        </w:tc>
        <w:tc>
          <w:tcPr>
            <w:tcW w:w="4678" w:type="dxa"/>
            <w:vAlign w:val="center"/>
          </w:tcPr>
          <w:p w14:paraId="029AFCE0"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Calibri"/>
                <w:color w:val="000000"/>
                <w:sz w:val="20"/>
                <w:szCs w:val="20"/>
              </w:rPr>
              <w:t>Consumables not covered by PL benefits used in supporting implantation processes, clinics etc.</w:t>
            </w:r>
          </w:p>
        </w:tc>
        <w:tc>
          <w:tcPr>
            <w:tcW w:w="2075" w:type="dxa"/>
            <w:tcBorders>
              <w:bottom w:val="single" w:sz="4" w:space="0" w:color="auto"/>
            </w:tcBorders>
            <w:shd w:val="solid" w:color="000000" w:fill="000000"/>
            <w:vAlign w:val="center"/>
          </w:tcPr>
          <w:p w14:paraId="0EE3E17D" w14:textId="4B030233" w:rsidR="001454B1" w:rsidRPr="00D865D4" w:rsidRDefault="00D865D4" w:rsidP="001454B1">
            <w:pPr>
              <w:spacing w:before="0"/>
              <w:jc w:val="right"/>
              <w:rPr>
                <w:rFonts w:ascii="Arial Narrow" w:eastAsia="Calibri" w:hAnsi="Arial Narrow" w:cs="Times New Roman"/>
                <w:i/>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7F057A2C" w14:textId="77777777" w:rsidTr="00D865D4">
        <w:trPr>
          <w:trHeight w:val="57"/>
        </w:trPr>
        <w:tc>
          <w:tcPr>
            <w:tcW w:w="2263" w:type="dxa"/>
            <w:vAlign w:val="center"/>
          </w:tcPr>
          <w:p w14:paraId="6D9A64C4"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Times New Roman"/>
                <w:sz w:val="20"/>
                <w:szCs w:val="20"/>
              </w:rPr>
              <w:t>Consumables – discarded</w:t>
            </w:r>
          </w:p>
        </w:tc>
        <w:tc>
          <w:tcPr>
            <w:tcW w:w="4678" w:type="dxa"/>
            <w:vAlign w:val="center"/>
          </w:tcPr>
          <w:p w14:paraId="5718A52B"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Calibri"/>
                <w:color w:val="000000"/>
                <w:sz w:val="20"/>
                <w:szCs w:val="20"/>
              </w:rPr>
              <w:t>Opened not used (</w:t>
            </w:r>
            <w:proofErr w:type="gramStart"/>
            <w:r w:rsidRPr="005F5BEA">
              <w:rPr>
                <w:rFonts w:ascii="Arial Narrow" w:eastAsia="Calibri" w:hAnsi="Arial Narrow" w:cs="Calibri"/>
                <w:color w:val="000000"/>
                <w:sz w:val="20"/>
                <w:szCs w:val="20"/>
              </w:rPr>
              <w:t>e.g.</w:t>
            </w:r>
            <w:proofErr w:type="gramEnd"/>
            <w:r w:rsidRPr="005F5BEA">
              <w:rPr>
                <w:rFonts w:ascii="Arial Narrow" w:eastAsia="Calibri" w:hAnsi="Arial Narrow" w:cs="Calibri"/>
                <w:color w:val="000000"/>
                <w:sz w:val="20"/>
                <w:szCs w:val="20"/>
              </w:rPr>
              <w:t xml:space="preserve"> intra-operative need changed after opening package) or expired on consignment.</w:t>
            </w:r>
          </w:p>
        </w:tc>
        <w:tc>
          <w:tcPr>
            <w:tcW w:w="2075" w:type="dxa"/>
            <w:tcBorders>
              <w:bottom w:val="single" w:sz="4" w:space="0" w:color="auto"/>
            </w:tcBorders>
            <w:shd w:val="solid" w:color="000000" w:fill="000000"/>
            <w:vAlign w:val="center"/>
          </w:tcPr>
          <w:p w14:paraId="67854719" w14:textId="4D784EC5" w:rsidR="001454B1" w:rsidRPr="00D865D4" w:rsidRDefault="00D865D4" w:rsidP="001454B1">
            <w:pPr>
              <w:spacing w:before="0"/>
              <w:jc w:val="right"/>
              <w:rPr>
                <w:rFonts w:ascii="Arial Narrow" w:eastAsia="Calibri" w:hAnsi="Arial Narrow" w:cs="Times New Roman"/>
                <w:i/>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314F1CDA" w14:textId="77777777" w:rsidTr="00D865D4">
        <w:trPr>
          <w:trHeight w:val="57"/>
        </w:trPr>
        <w:tc>
          <w:tcPr>
            <w:tcW w:w="2263" w:type="dxa"/>
            <w:vAlign w:val="center"/>
          </w:tcPr>
          <w:p w14:paraId="102CE000"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Times New Roman"/>
                <w:sz w:val="20"/>
                <w:szCs w:val="20"/>
              </w:rPr>
              <w:t>Remote monitoring network maintenance</w:t>
            </w:r>
          </w:p>
        </w:tc>
        <w:tc>
          <w:tcPr>
            <w:tcW w:w="4678" w:type="dxa"/>
            <w:vAlign w:val="center"/>
          </w:tcPr>
          <w:p w14:paraId="249A16C6"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Calibri"/>
                <w:color w:val="000000"/>
                <w:sz w:val="20"/>
                <w:szCs w:val="20"/>
              </w:rPr>
              <w:t>Only those costs not explicitly covered by PL benefit - data charges, server or cloud costs, algorithm maintenance etc.  </w:t>
            </w:r>
          </w:p>
        </w:tc>
        <w:tc>
          <w:tcPr>
            <w:tcW w:w="2075" w:type="dxa"/>
            <w:tcBorders>
              <w:bottom w:val="single" w:sz="4" w:space="0" w:color="auto"/>
            </w:tcBorders>
            <w:shd w:val="solid" w:color="000000" w:fill="000000"/>
            <w:vAlign w:val="center"/>
          </w:tcPr>
          <w:p w14:paraId="46687B4D" w14:textId="1B72B928" w:rsidR="001454B1" w:rsidRPr="00D865D4" w:rsidRDefault="00D865D4" w:rsidP="001454B1">
            <w:pPr>
              <w:spacing w:before="0"/>
              <w:jc w:val="right"/>
              <w:rPr>
                <w:rFonts w:ascii="Arial Narrow" w:eastAsia="Calibri" w:hAnsi="Arial Narrow" w:cs="Times New Roman"/>
                <w:i/>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6CA515F4" w14:textId="77777777" w:rsidTr="00D865D4">
        <w:trPr>
          <w:trHeight w:val="57"/>
        </w:trPr>
        <w:tc>
          <w:tcPr>
            <w:tcW w:w="2263" w:type="dxa"/>
            <w:vAlign w:val="center"/>
          </w:tcPr>
          <w:p w14:paraId="4312B5E8"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Times New Roman"/>
                <w:sz w:val="20"/>
                <w:szCs w:val="20"/>
              </w:rPr>
              <w:t>Service support staff salaries</w:t>
            </w:r>
          </w:p>
        </w:tc>
        <w:tc>
          <w:tcPr>
            <w:tcW w:w="4678" w:type="dxa"/>
            <w:vAlign w:val="center"/>
          </w:tcPr>
          <w:p w14:paraId="3FD94F89"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Calibri"/>
                <w:color w:val="000000"/>
                <w:sz w:val="20"/>
                <w:szCs w:val="20"/>
              </w:rPr>
              <w:t>Salary of HR, Payroll, Marketing, Supply Chain, Customer Service, Regulatory and Finance staff, General Management.</w:t>
            </w:r>
          </w:p>
        </w:tc>
        <w:tc>
          <w:tcPr>
            <w:tcW w:w="2075" w:type="dxa"/>
            <w:tcBorders>
              <w:bottom w:val="single" w:sz="4" w:space="0" w:color="auto"/>
            </w:tcBorders>
            <w:shd w:val="solid" w:color="000000" w:fill="000000"/>
            <w:vAlign w:val="center"/>
          </w:tcPr>
          <w:p w14:paraId="0ECD14D6" w14:textId="1B35E1FD" w:rsidR="001454B1" w:rsidRPr="00D865D4" w:rsidRDefault="00D865D4" w:rsidP="001454B1">
            <w:pPr>
              <w:spacing w:before="0"/>
              <w:jc w:val="right"/>
              <w:rPr>
                <w:rFonts w:ascii="Arial Narrow" w:eastAsia="Calibri" w:hAnsi="Arial Narrow" w:cs="Times New Roman"/>
                <w:i/>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23956226" w14:textId="77777777" w:rsidTr="00D865D4">
        <w:trPr>
          <w:trHeight w:val="57"/>
        </w:trPr>
        <w:tc>
          <w:tcPr>
            <w:tcW w:w="2263" w:type="dxa"/>
            <w:vAlign w:val="center"/>
          </w:tcPr>
          <w:p w14:paraId="14482508"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Times New Roman"/>
                <w:sz w:val="20"/>
                <w:szCs w:val="20"/>
              </w:rPr>
              <w:t>Property rent or lease</w:t>
            </w:r>
          </w:p>
        </w:tc>
        <w:tc>
          <w:tcPr>
            <w:tcW w:w="4678" w:type="dxa"/>
            <w:vAlign w:val="center"/>
          </w:tcPr>
          <w:p w14:paraId="2EC17342"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Calibri"/>
                <w:color w:val="000000"/>
                <w:sz w:val="20"/>
                <w:szCs w:val="20"/>
              </w:rPr>
              <w:t>Facility charges for Warehouse, storage locations, offices etc.</w:t>
            </w:r>
          </w:p>
        </w:tc>
        <w:tc>
          <w:tcPr>
            <w:tcW w:w="2075" w:type="dxa"/>
            <w:tcBorders>
              <w:bottom w:val="single" w:sz="4" w:space="0" w:color="auto"/>
            </w:tcBorders>
            <w:shd w:val="solid" w:color="000000" w:fill="000000"/>
            <w:vAlign w:val="center"/>
          </w:tcPr>
          <w:p w14:paraId="4E6F6C2A" w14:textId="7D2B720F" w:rsidR="001454B1" w:rsidRPr="00D865D4" w:rsidRDefault="00D865D4" w:rsidP="001454B1">
            <w:pPr>
              <w:spacing w:before="0"/>
              <w:jc w:val="right"/>
              <w:rPr>
                <w:rFonts w:ascii="Arial Narrow" w:eastAsia="Calibri" w:hAnsi="Arial Narrow" w:cs="Times New Roman"/>
                <w:i/>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2BC56A47" w14:textId="77777777" w:rsidTr="00D865D4">
        <w:trPr>
          <w:trHeight w:val="57"/>
        </w:trPr>
        <w:tc>
          <w:tcPr>
            <w:tcW w:w="2263" w:type="dxa"/>
            <w:vAlign w:val="center"/>
          </w:tcPr>
          <w:p w14:paraId="34E30BF2"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Times New Roman"/>
                <w:sz w:val="20"/>
                <w:szCs w:val="20"/>
              </w:rPr>
              <w:t>Utilities</w:t>
            </w:r>
          </w:p>
        </w:tc>
        <w:tc>
          <w:tcPr>
            <w:tcW w:w="4678" w:type="dxa"/>
            <w:vAlign w:val="center"/>
          </w:tcPr>
          <w:p w14:paraId="054E08FA"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Calibri"/>
                <w:color w:val="000000"/>
                <w:sz w:val="20"/>
                <w:szCs w:val="20"/>
              </w:rPr>
              <w:t>Electricity, gas, Phone &amp; Internet, cleaning services, sterilisation; hazardous waste etc.</w:t>
            </w:r>
          </w:p>
        </w:tc>
        <w:tc>
          <w:tcPr>
            <w:tcW w:w="2075" w:type="dxa"/>
            <w:tcBorders>
              <w:bottom w:val="single" w:sz="4" w:space="0" w:color="auto"/>
            </w:tcBorders>
            <w:shd w:val="solid" w:color="000000" w:fill="000000"/>
            <w:vAlign w:val="center"/>
          </w:tcPr>
          <w:p w14:paraId="1DBB0BEE" w14:textId="06C3B0C6" w:rsidR="001454B1" w:rsidRPr="00D865D4" w:rsidRDefault="00D865D4" w:rsidP="001454B1">
            <w:pPr>
              <w:spacing w:before="0"/>
              <w:jc w:val="right"/>
              <w:rPr>
                <w:rFonts w:ascii="Arial Narrow" w:eastAsia="Calibri" w:hAnsi="Arial Narrow" w:cs="Times New Roman"/>
                <w:i/>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76AF7E50" w14:textId="77777777" w:rsidTr="00D865D4">
        <w:trPr>
          <w:trHeight w:val="57"/>
        </w:trPr>
        <w:tc>
          <w:tcPr>
            <w:tcW w:w="2263" w:type="dxa"/>
            <w:vAlign w:val="center"/>
          </w:tcPr>
          <w:p w14:paraId="4F8ADDD7"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Times New Roman"/>
                <w:sz w:val="20"/>
                <w:szCs w:val="20"/>
              </w:rPr>
              <w:t>IT &amp; comms costs</w:t>
            </w:r>
          </w:p>
        </w:tc>
        <w:tc>
          <w:tcPr>
            <w:tcW w:w="4678" w:type="dxa"/>
            <w:vAlign w:val="center"/>
          </w:tcPr>
          <w:p w14:paraId="1D6D55DA"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Calibri"/>
                <w:color w:val="000000"/>
                <w:sz w:val="20"/>
                <w:szCs w:val="20"/>
              </w:rPr>
              <w:t>Hardware, firmware, mobile network etc.</w:t>
            </w:r>
          </w:p>
        </w:tc>
        <w:tc>
          <w:tcPr>
            <w:tcW w:w="2075" w:type="dxa"/>
            <w:tcBorders>
              <w:bottom w:val="single" w:sz="4" w:space="0" w:color="auto"/>
            </w:tcBorders>
            <w:shd w:val="solid" w:color="000000" w:fill="000000"/>
            <w:vAlign w:val="center"/>
          </w:tcPr>
          <w:p w14:paraId="06835062" w14:textId="1C615135" w:rsidR="001454B1" w:rsidRPr="00D865D4" w:rsidRDefault="00D865D4" w:rsidP="001454B1">
            <w:pPr>
              <w:spacing w:before="0"/>
              <w:jc w:val="right"/>
              <w:rPr>
                <w:rFonts w:ascii="Arial Narrow" w:eastAsia="Calibri" w:hAnsi="Arial Narrow" w:cs="Times New Roman"/>
                <w:i/>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4B9C7F60" w14:textId="77777777" w:rsidTr="00D865D4">
        <w:trPr>
          <w:trHeight w:val="57"/>
        </w:trPr>
        <w:tc>
          <w:tcPr>
            <w:tcW w:w="2263" w:type="dxa"/>
            <w:vAlign w:val="center"/>
          </w:tcPr>
          <w:p w14:paraId="458DC48A"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Times New Roman"/>
                <w:sz w:val="20"/>
                <w:szCs w:val="20"/>
              </w:rPr>
              <w:t>Office equipment &amp; supplies</w:t>
            </w:r>
          </w:p>
        </w:tc>
        <w:tc>
          <w:tcPr>
            <w:tcW w:w="4678" w:type="dxa"/>
            <w:vAlign w:val="center"/>
          </w:tcPr>
          <w:p w14:paraId="6AB9B72D"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Calibri"/>
                <w:color w:val="000000"/>
                <w:sz w:val="20"/>
                <w:szCs w:val="20"/>
              </w:rPr>
              <w:t>Supporting administration, finance, regulatory etc.</w:t>
            </w:r>
          </w:p>
        </w:tc>
        <w:tc>
          <w:tcPr>
            <w:tcW w:w="2075" w:type="dxa"/>
            <w:tcBorders>
              <w:bottom w:val="single" w:sz="4" w:space="0" w:color="auto"/>
            </w:tcBorders>
            <w:shd w:val="solid" w:color="000000" w:fill="000000"/>
            <w:vAlign w:val="center"/>
          </w:tcPr>
          <w:p w14:paraId="71B51967" w14:textId="5C751759" w:rsidR="001454B1" w:rsidRPr="00D865D4" w:rsidRDefault="00D865D4" w:rsidP="001454B1">
            <w:pPr>
              <w:spacing w:before="0"/>
              <w:jc w:val="right"/>
              <w:rPr>
                <w:rFonts w:ascii="Arial Narrow" w:eastAsia="Calibri" w:hAnsi="Arial Narrow" w:cs="Times New Roman"/>
                <w:i/>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5329F9E1" w14:textId="77777777" w:rsidTr="00D865D4">
        <w:trPr>
          <w:trHeight w:val="57"/>
        </w:trPr>
        <w:tc>
          <w:tcPr>
            <w:tcW w:w="2263" w:type="dxa"/>
            <w:vAlign w:val="center"/>
          </w:tcPr>
          <w:p w14:paraId="4DCF6290"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Times New Roman"/>
                <w:sz w:val="20"/>
                <w:szCs w:val="20"/>
              </w:rPr>
              <w:t>Insurances</w:t>
            </w:r>
          </w:p>
        </w:tc>
        <w:tc>
          <w:tcPr>
            <w:tcW w:w="4678" w:type="dxa"/>
            <w:vAlign w:val="center"/>
          </w:tcPr>
          <w:p w14:paraId="2804FC3D"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Calibri"/>
                <w:color w:val="000000"/>
                <w:sz w:val="20"/>
                <w:szCs w:val="20"/>
              </w:rPr>
              <w:t>Public/ product/ professional/ cyber security/ workers comp etc.</w:t>
            </w:r>
          </w:p>
        </w:tc>
        <w:tc>
          <w:tcPr>
            <w:tcW w:w="2075" w:type="dxa"/>
            <w:tcBorders>
              <w:bottom w:val="single" w:sz="4" w:space="0" w:color="auto"/>
            </w:tcBorders>
            <w:shd w:val="solid" w:color="000000" w:fill="000000"/>
            <w:vAlign w:val="center"/>
          </w:tcPr>
          <w:p w14:paraId="624D8667" w14:textId="130D9AE9" w:rsidR="001454B1" w:rsidRPr="00D865D4" w:rsidRDefault="00D865D4" w:rsidP="001454B1">
            <w:pPr>
              <w:spacing w:before="0"/>
              <w:jc w:val="right"/>
              <w:rPr>
                <w:rFonts w:ascii="Arial Narrow" w:eastAsia="Calibri" w:hAnsi="Arial Narrow" w:cs="Times New Roman"/>
                <w:i/>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09502B93" w14:textId="77777777" w:rsidTr="00D865D4">
        <w:trPr>
          <w:trHeight w:val="57"/>
        </w:trPr>
        <w:tc>
          <w:tcPr>
            <w:tcW w:w="2263" w:type="dxa"/>
            <w:vAlign w:val="center"/>
          </w:tcPr>
          <w:p w14:paraId="0C640C20"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Times New Roman"/>
                <w:sz w:val="20"/>
                <w:szCs w:val="20"/>
              </w:rPr>
              <w:t>Administration</w:t>
            </w:r>
          </w:p>
        </w:tc>
        <w:tc>
          <w:tcPr>
            <w:tcW w:w="4678" w:type="dxa"/>
            <w:vAlign w:val="center"/>
          </w:tcPr>
          <w:p w14:paraId="7531E3DD"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Calibri"/>
                <w:color w:val="000000"/>
                <w:sz w:val="20"/>
                <w:szCs w:val="20"/>
              </w:rPr>
              <w:t>Business-specific charges.</w:t>
            </w:r>
          </w:p>
        </w:tc>
        <w:tc>
          <w:tcPr>
            <w:tcW w:w="2075" w:type="dxa"/>
            <w:tcBorders>
              <w:bottom w:val="single" w:sz="4" w:space="0" w:color="auto"/>
            </w:tcBorders>
            <w:shd w:val="solid" w:color="000000" w:fill="000000"/>
            <w:vAlign w:val="center"/>
          </w:tcPr>
          <w:p w14:paraId="15FF96FD" w14:textId="0BFC8D80" w:rsidR="001454B1" w:rsidRPr="00D865D4" w:rsidRDefault="00D865D4" w:rsidP="001454B1">
            <w:pPr>
              <w:spacing w:before="0"/>
              <w:jc w:val="right"/>
              <w:rPr>
                <w:rFonts w:ascii="Arial Narrow" w:eastAsia="Calibri" w:hAnsi="Arial Narrow" w:cs="Times New Roman"/>
                <w:i/>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73553739" w14:textId="77777777" w:rsidTr="00D865D4">
        <w:trPr>
          <w:trHeight w:val="57"/>
        </w:trPr>
        <w:tc>
          <w:tcPr>
            <w:tcW w:w="2263" w:type="dxa"/>
            <w:vAlign w:val="center"/>
          </w:tcPr>
          <w:p w14:paraId="63A45AB3"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Times New Roman"/>
                <w:sz w:val="20"/>
                <w:szCs w:val="20"/>
              </w:rPr>
              <w:t>Legal, regulatory and consultancy costs</w:t>
            </w:r>
          </w:p>
        </w:tc>
        <w:tc>
          <w:tcPr>
            <w:tcW w:w="4678" w:type="dxa"/>
            <w:vAlign w:val="center"/>
          </w:tcPr>
          <w:p w14:paraId="33387CFD" w14:textId="77777777" w:rsidR="001454B1" w:rsidRPr="005F5BEA" w:rsidRDefault="001454B1" w:rsidP="001454B1">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ARTG registration, legal advice, supporting market regulation consultations (MSAC application costs), ASIC, ATO, Audit Fees etc.</w:t>
            </w:r>
          </w:p>
        </w:tc>
        <w:tc>
          <w:tcPr>
            <w:tcW w:w="2075" w:type="dxa"/>
            <w:tcBorders>
              <w:bottom w:val="single" w:sz="4" w:space="0" w:color="auto"/>
            </w:tcBorders>
            <w:shd w:val="solid" w:color="000000" w:fill="000000"/>
            <w:vAlign w:val="center"/>
          </w:tcPr>
          <w:p w14:paraId="191FC855" w14:textId="72CD2B75" w:rsidR="001454B1" w:rsidRPr="00D865D4" w:rsidRDefault="00D865D4" w:rsidP="001454B1">
            <w:pPr>
              <w:spacing w:before="0"/>
              <w:jc w:val="right"/>
              <w:rPr>
                <w:rFonts w:ascii="Arial Narrow" w:eastAsia="Calibri" w:hAnsi="Arial Narrow" w:cs="Times New Roman"/>
                <w:i/>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4DE13DCC" w14:textId="77777777" w:rsidTr="00D865D4">
        <w:trPr>
          <w:trHeight w:val="57"/>
        </w:trPr>
        <w:tc>
          <w:tcPr>
            <w:tcW w:w="2263" w:type="dxa"/>
            <w:vAlign w:val="center"/>
          </w:tcPr>
          <w:p w14:paraId="27347773"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Times New Roman"/>
                <w:sz w:val="20"/>
                <w:szCs w:val="20"/>
              </w:rPr>
              <w:t>Security</w:t>
            </w:r>
          </w:p>
        </w:tc>
        <w:tc>
          <w:tcPr>
            <w:tcW w:w="4678" w:type="dxa"/>
            <w:vAlign w:val="center"/>
          </w:tcPr>
          <w:p w14:paraId="22D7466E"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Calibri"/>
                <w:color w:val="000000"/>
                <w:sz w:val="20"/>
                <w:szCs w:val="20"/>
              </w:rPr>
              <w:t>Expenses to maintain asset and data security.</w:t>
            </w:r>
          </w:p>
        </w:tc>
        <w:tc>
          <w:tcPr>
            <w:tcW w:w="2075" w:type="dxa"/>
            <w:tcBorders>
              <w:bottom w:val="single" w:sz="4" w:space="0" w:color="auto"/>
            </w:tcBorders>
            <w:shd w:val="solid" w:color="000000" w:fill="000000"/>
            <w:vAlign w:val="center"/>
          </w:tcPr>
          <w:p w14:paraId="37B5A0A9" w14:textId="44091E0A" w:rsidR="001454B1" w:rsidRPr="00D865D4" w:rsidRDefault="00D865D4" w:rsidP="001454B1">
            <w:pPr>
              <w:spacing w:before="0"/>
              <w:jc w:val="right"/>
              <w:rPr>
                <w:rFonts w:ascii="Arial Narrow" w:eastAsia="Calibri" w:hAnsi="Arial Narrow" w:cs="Times New Roman"/>
                <w:i/>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6B6A32AB" w14:textId="77777777" w:rsidTr="00D865D4">
        <w:trPr>
          <w:trHeight w:val="57"/>
        </w:trPr>
        <w:tc>
          <w:tcPr>
            <w:tcW w:w="2263" w:type="dxa"/>
            <w:vAlign w:val="center"/>
          </w:tcPr>
          <w:p w14:paraId="550CA31C"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Times New Roman"/>
                <w:sz w:val="20"/>
                <w:szCs w:val="20"/>
              </w:rPr>
              <w:t>Freight &amp; shipping</w:t>
            </w:r>
          </w:p>
        </w:tc>
        <w:tc>
          <w:tcPr>
            <w:tcW w:w="4678" w:type="dxa"/>
            <w:vAlign w:val="center"/>
          </w:tcPr>
          <w:p w14:paraId="60DA4781" w14:textId="77777777" w:rsidR="001454B1" w:rsidRPr="005F5BEA" w:rsidRDefault="001454B1" w:rsidP="001454B1">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Local &amp; O/S in moving stock &amp; equipment.</w:t>
            </w:r>
          </w:p>
        </w:tc>
        <w:tc>
          <w:tcPr>
            <w:tcW w:w="2075" w:type="dxa"/>
            <w:tcBorders>
              <w:bottom w:val="single" w:sz="4" w:space="0" w:color="auto"/>
            </w:tcBorders>
            <w:shd w:val="solid" w:color="000000" w:fill="000000"/>
            <w:vAlign w:val="center"/>
          </w:tcPr>
          <w:p w14:paraId="30F61401" w14:textId="2CD24D43" w:rsidR="001454B1" w:rsidRPr="00D865D4" w:rsidRDefault="00D865D4" w:rsidP="001454B1">
            <w:pPr>
              <w:spacing w:before="0"/>
              <w:jc w:val="right"/>
              <w:rPr>
                <w:rFonts w:ascii="Arial Narrow" w:eastAsia="Calibri" w:hAnsi="Arial Narrow" w:cs="Times New Roman"/>
                <w:i/>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05020CCF" w14:textId="77777777" w:rsidTr="00D865D4">
        <w:trPr>
          <w:trHeight w:val="57"/>
        </w:trPr>
        <w:tc>
          <w:tcPr>
            <w:tcW w:w="2263" w:type="dxa"/>
            <w:vAlign w:val="center"/>
          </w:tcPr>
          <w:p w14:paraId="6426AED3"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Times New Roman"/>
                <w:sz w:val="20"/>
                <w:szCs w:val="20"/>
              </w:rPr>
              <w:t>Finance costs</w:t>
            </w:r>
          </w:p>
        </w:tc>
        <w:tc>
          <w:tcPr>
            <w:tcW w:w="4678" w:type="dxa"/>
            <w:vAlign w:val="center"/>
          </w:tcPr>
          <w:p w14:paraId="3B0DB34A"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Calibri"/>
                <w:color w:val="000000"/>
                <w:sz w:val="20"/>
                <w:szCs w:val="20"/>
              </w:rPr>
              <w:t>Interest, leasing, finance charge, FX losses.</w:t>
            </w:r>
          </w:p>
        </w:tc>
        <w:tc>
          <w:tcPr>
            <w:tcW w:w="2075" w:type="dxa"/>
            <w:tcBorders>
              <w:bottom w:val="single" w:sz="4" w:space="0" w:color="auto"/>
            </w:tcBorders>
            <w:shd w:val="solid" w:color="000000" w:fill="000000"/>
            <w:vAlign w:val="center"/>
          </w:tcPr>
          <w:p w14:paraId="17A3E12C" w14:textId="1AEABED6" w:rsidR="001454B1" w:rsidRPr="00D865D4" w:rsidRDefault="00D865D4" w:rsidP="001454B1">
            <w:pPr>
              <w:spacing w:before="0"/>
              <w:jc w:val="right"/>
              <w:rPr>
                <w:rFonts w:ascii="Arial Narrow" w:eastAsia="Calibri" w:hAnsi="Arial Narrow" w:cs="Times New Roman"/>
                <w:i/>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62957C6F" w14:textId="77777777" w:rsidTr="00D865D4">
        <w:trPr>
          <w:trHeight w:val="57"/>
        </w:trPr>
        <w:tc>
          <w:tcPr>
            <w:tcW w:w="2263" w:type="dxa"/>
            <w:vAlign w:val="center"/>
          </w:tcPr>
          <w:p w14:paraId="3AB2210A" w14:textId="77777777" w:rsidR="001454B1" w:rsidRPr="005F5BEA" w:rsidRDefault="001454B1" w:rsidP="001454B1">
            <w:pPr>
              <w:spacing w:before="0"/>
              <w:rPr>
                <w:rFonts w:ascii="Arial Narrow" w:eastAsia="Calibri" w:hAnsi="Arial Narrow" w:cs="Times New Roman"/>
                <w:i/>
                <w:sz w:val="20"/>
                <w:szCs w:val="20"/>
              </w:rPr>
            </w:pPr>
            <w:r w:rsidRPr="005F5BEA">
              <w:rPr>
                <w:rFonts w:ascii="Arial Narrow" w:eastAsia="Calibri" w:hAnsi="Arial Narrow" w:cs="Times New Roman"/>
                <w:sz w:val="20"/>
                <w:szCs w:val="20"/>
              </w:rPr>
              <w:t>External Service costs</w:t>
            </w:r>
          </w:p>
        </w:tc>
        <w:tc>
          <w:tcPr>
            <w:tcW w:w="4678" w:type="dxa"/>
            <w:vAlign w:val="center"/>
          </w:tcPr>
          <w:p w14:paraId="5EAA4D2E" w14:textId="77777777" w:rsidR="001454B1" w:rsidRPr="005F5BEA" w:rsidRDefault="001454B1" w:rsidP="001454B1">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Cost to engage external company providing remote monitoring.</w:t>
            </w:r>
          </w:p>
        </w:tc>
        <w:tc>
          <w:tcPr>
            <w:tcW w:w="2075" w:type="dxa"/>
            <w:shd w:val="solid" w:color="000000" w:fill="000000"/>
            <w:vAlign w:val="center"/>
          </w:tcPr>
          <w:p w14:paraId="465FC1AA" w14:textId="5373A646" w:rsidR="001454B1" w:rsidRPr="00D865D4" w:rsidRDefault="00D865D4" w:rsidP="001454B1">
            <w:pPr>
              <w:spacing w:before="0"/>
              <w:jc w:val="right"/>
              <w:rPr>
                <w:rFonts w:ascii="Arial Narrow" w:eastAsia="Calibri" w:hAnsi="Arial Narrow" w:cs="Times New Roman"/>
                <w:i/>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bl>
    <w:p w14:paraId="1BD39AD3" w14:textId="77777777" w:rsidR="001454B1" w:rsidRPr="005F5BEA" w:rsidRDefault="001454B1" w:rsidP="00374BF7">
      <w:pPr>
        <w:spacing w:before="0" w:after="240"/>
        <w:jc w:val="both"/>
        <w:rPr>
          <w:rFonts w:ascii="Arial Narrow" w:eastAsia="Calibri" w:hAnsi="Arial Narrow" w:cs="Arial"/>
          <w:sz w:val="18"/>
        </w:rPr>
      </w:pPr>
      <w:r w:rsidRPr="005F5BEA">
        <w:rPr>
          <w:rFonts w:ascii="Arial Narrow" w:eastAsia="Calibri" w:hAnsi="Arial Narrow" w:cs="Arial"/>
          <w:sz w:val="18"/>
          <w:vertAlign w:val="superscript"/>
        </w:rPr>
        <w:t xml:space="preserve">a </w:t>
      </w:r>
      <w:r w:rsidRPr="005F5BEA">
        <w:rPr>
          <w:rFonts w:ascii="Arial Narrow" w:eastAsia="Calibri" w:hAnsi="Arial Narrow" w:cs="Arial"/>
          <w:sz w:val="18"/>
        </w:rPr>
        <w:t>Percentage of total overhead costs in updated estimates ($31,648,755), and percentage of total costs of providing cardiac services ($91,269,603)</w:t>
      </w:r>
    </w:p>
    <w:p w14:paraId="064476A1" w14:textId="5756DBF8" w:rsidR="001454B1" w:rsidRPr="00374BF7" w:rsidRDefault="001454B1" w:rsidP="00374BF7">
      <w:r w:rsidRPr="005F5BEA">
        <w:t xml:space="preserve">The </w:t>
      </w:r>
      <w:r w:rsidR="00A06BBA" w:rsidRPr="005F5BEA">
        <w:t>focussed evaluation considered</w:t>
      </w:r>
      <w:r w:rsidR="00861879" w:rsidRPr="005F5BEA">
        <w:t xml:space="preserve"> the</w:t>
      </w:r>
      <w:r w:rsidR="00A06BBA" w:rsidRPr="005F5BEA">
        <w:t xml:space="preserve"> </w:t>
      </w:r>
      <w:r w:rsidRPr="005F5BEA">
        <w:t xml:space="preserve">variation in costs for individual items and for total costs is very large across companies. When estimated as a percentage of non-overhead costs, overhead costs range from under </w:t>
      </w:r>
      <w:r w:rsidR="00D865D4" w:rsidRPr="00D865D4">
        <w:rPr>
          <w:color w:val="000000"/>
          <w:spacing w:val="74"/>
          <w:w w:val="82"/>
          <w:shd w:val="solid" w:color="000000" w:fill="000000"/>
          <w:fitText w:val="255" w:id="-1157882612"/>
          <w14:textFill>
            <w14:solidFill>
              <w14:srgbClr w14:val="000000">
                <w14:alpha w14:val="100000"/>
              </w14:srgbClr>
            </w14:solidFill>
          </w14:textFill>
        </w:rPr>
        <w:t>|</w:t>
      </w:r>
      <w:r w:rsidR="00D865D4" w:rsidRPr="00D865D4">
        <w:rPr>
          <w:color w:val="000000"/>
          <w:spacing w:val="1"/>
          <w:w w:val="82"/>
          <w:shd w:val="solid" w:color="000000" w:fill="000000"/>
          <w:fitText w:val="255" w:id="-1157882612"/>
          <w14:textFill>
            <w14:solidFill>
              <w14:srgbClr w14:val="000000">
                <w14:alpha w14:val="100000"/>
              </w14:srgbClr>
            </w14:solidFill>
          </w14:textFill>
        </w:rPr>
        <w:t>|</w:t>
      </w:r>
      <w:r w:rsidRPr="005F5BEA">
        <w:t xml:space="preserve">% up to </w:t>
      </w:r>
      <w:r w:rsidR="00D865D4" w:rsidRPr="00D865D4">
        <w:rPr>
          <w:color w:val="000000"/>
          <w:spacing w:val="78"/>
          <w:w w:val="87"/>
          <w:shd w:val="solid" w:color="000000" w:fill="000000"/>
          <w:fitText w:val="270" w:id="-1157882611"/>
          <w14:textFill>
            <w14:solidFill>
              <w14:srgbClr w14:val="000000">
                <w14:alpha w14:val="100000"/>
              </w14:srgbClr>
            </w14:solidFill>
          </w14:textFill>
        </w:rPr>
        <w:t>|</w:t>
      </w:r>
      <w:r w:rsidR="00D865D4" w:rsidRPr="00D865D4">
        <w:rPr>
          <w:color w:val="000000"/>
          <w:spacing w:val="1"/>
          <w:w w:val="87"/>
          <w:shd w:val="solid" w:color="000000" w:fill="000000"/>
          <w:fitText w:val="270" w:id="-1157882611"/>
          <w14:textFill>
            <w14:solidFill>
              <w14:srgbClr w14:val="000000">
                <w14:alpha w14:val="100000"/>
              </w14:srgbClr>
            </w14:solidFill>
          </w14:textFill>
        </w:rPr>
        <w:t>|</w:t>
      </w:r>
      <w:r w:rsidRPr="005F5BEA">
        <w:t xml:space="preserve">% across the companies. This means that overhead costs, adjusted for the number of services provided, is almost </w:t>
      </w:r>
      <w:r w:rsidR="00D865D4" w:rsidRPr="00E84460">
        <w:rPr>
          <w:color w:val="000000"/>
          <w:spacing w:val="74"/>
          <w:w w:val="82"/>
          <w:shd w:val="solid" w:color="000000" w:fill="000000"/>
          <w:fitText w:val="255" w:id="-1157882610"/>
          <w14:textFill>
            <w14:solidFill>
              <w14:srgbClr w14:val="000000">
                <w14:alpha w14:val="100000"/>
              </w14:srgbClr>
            </w14:solidFill>
          </w14:textFill>
        </w:rPr>
        <w:t>|</w:t>
      </w:r>
      <w:r w:rsidR="00D865D4" w:rsidRPr="00E84460">
        <w:rPr>
          <w:color w:val="000000"/>
          <w:w w:val="82"/>
          <w:shd w:val="solid" w:color="000000" w:fill="000000"/>
          <w:fitText w:val="255" w:id="-1157882610"/>
          <w14:textFill>
            <w14:solidFill>
              <w14:srgbClr w14:val="000000">
                <w14:alpha w14:val="100000"/>
              </w14:srgbClr>
            </w14:solidFill>
          </w14:textFill>
        </w:rPr>
        <w:t>|</w:t>
      </w:r>
      <w:r w:rsidRPr="005F5BEA">
        <w:t xml:space="preserve"> times more costly in one company compared to the company with the lowest estimate of overhead costs. </w:t>
      </w:r>
      <w:r w:rsidRPr="005F5BEA">
        <w:rPr>
          <w:rFonts w:ascii="Calibri" w:eastAsia="Calibri" w:hAnsi="Calibri" w:cs="Times New Roman"/>
          <w:i/>
        </w:rPr>
        <w:br w:type="page"/>
      </w:r>
    </w:p>
    <w:p w14:paraId="7080D9DD" w14:textId="450FF5AA" w:rsidR="001454B1" w:rsidRPr="005F5BEA" w:rsidRDefault="001454B1" w:rsidP="001454B1">
      <w:pPr>
        <w:keepNext/>
        <w:spacing w:before="0" w:after="200" w:line="240" w:lineRule="auto"/>
        <w:rPr>
          <w:rFonts w:ascii="Arial Narrow" w:eastAsia="Calibri" w:hAnsi="Arial Narrow" w:cs="Times New Roman"/>
          <w:b/>
          <w:iCs/>
          <w:sz w:val="20"/>
          <w:szCs w:val="20"/>
        </w:rPr>
      </w:pPr>
      <w:bookmarkStart w:id="41" w:name="_Ref135150940"/>
      <w:r w:rsidRPr="005F5BEA">
        <w:rPr>
          <w:rFonts w:ascii="Arial Narrow" w:eastAsia="Calibri" w:hAnsi="Arial Narrow" w:cs="Times New Roman"/>
          <w:b/>
          <w:iCs/>
          <w:sz w:val="20"/>
          <w:szCs w:val="20"/>
        </w:rPr>
        <w:t xml:space="preserve">Table </w:t>
      </w:r>
      <w:r w:rsidRPr="005F5BEA">
        <w:rPr>
          <w:rFonts w:ascii="Arial Narrow" w:eastAsia="Calibri" w:hAnsi="Arial Narrow" w:cs="Times New Roman"/>
          <w:b/>
          <w:iCs/>
          <w:sz w:val="20"/>
          <w:szCs w:val="20"/>
        </w:rPr>
        <w:fldChar w:fldCharType="begin"/>
      </w:r>
      <w:r w:rsidRPr="005F5BEA">
        <w:rPr>
          <w:rFonts w:ascii="Arial Narrow" w:eastAsia="Calibri" w:hAnsi="Arial Narrow" w:cs="Times New Roman"/>
          <w:b/>
          <w:iCs/>
          <w:sz w:val="20"/>
          <w:szCs w:val="20"/>
        </w:rPr>
        <w:instrText xml:space="preserve"> SEQ Table \* ARABIC </w:instrText>
      </w:r>
      <w:r w:rsidRPr="005F5BEA">
        <w:rPr>
          <w:rFonts w:ascii="Arial Narrow" w:eastAsia="Calibri" w:hAnsi="Arial Narrow" w:cs="Times New Roman"/>
          <w:b/>
          <w:iCs/>
          <w:sz w:val="20"/>
          <w:szCs w:val="20"/>
        </w:rPr>
        <w:fldChar w:fldCharType="separate"/>
      </w:r>
      <w:r w:rsidR="00334548">
        <w:rPr>
          <w:rFonts w:ascii="Arial Narrow" w:eastAsia="Calibri" w:hAnsi="Arial Narrow" w:cs="Times New Roman"/>
          <w:b/>
          <w:iCs/>
          <w:noProof/>
          <w:sz w:val="20"/>
          <w:szCs w:val="20"/>
        </w:rPr>
        <w:t>26</w:t>
      </w:r>
      <w:r w:rsidRPr="005F5BEA">
        <w:rPr>
          <w:rFonts w:ascii="Arial Narrow" w:eastAsia="Calibri" w:hAnsi="Arial Narrow" w:cs="Times New Roman"/>
          <w:b/>
          <w:iCs/>
          <w:noProof/>
          <w:sz w:val="20"/>
          <w:szCs w:val="20"/>
        </w:rPr>
        <w:fldChar w:fldCharType="end"/>
      </w:r>
      <w:bookmarkEnd w:id="41"/>
      <w:r w:rsidRPr="005F5BEA">
        <w:rPr>
          <w:rFonts w:ascii="Arial Narrow" w:eastAsia="Calibri" w:hAnsi="Arial Narrow" w:cs="Times New Roman"/>
          <w:b/>
          <w:iCs/>
          <w:sz w:val="20"/>
          <w:szCs w:val="20"/>
        </w:rPr>
        <w:tab/>
        <w:t>Overhead costs reported by each company as a percentage of estimated non-overhead costs in the private and public sector (applicant’s revised model)</w:t>
      </w:r>
    </w:p>
    <w:tbl>
      <w:tblPr>
        <w:tblStyle w:val="TableGrid1"/>
        <w:tblW w:w="0" w:type="auto"/>
        <w:tblLook w:val="04A0" w:firstRow="1" w:lastRow="0" w:firstColumn="1" w:lastColumn="0" w:noHBand="0" w:noVBand="1"/>
      </w:tblPr>
      <w:tblGrid>
        <w:gridCol w:w="1129"/>
        <w:gridCol w:w="1560"/>
        <w:gridCol w:w="2109"/>
        <w:gridCol w:w="2109"/>
        <w:gridCol w:w="2109"/>
      </w:tblGrid>
      <w:tr w:rsidR="001454B1" w:rsidRPr="005F5BEA" w14:paraId="17286BF7" w14:textId="77777777" w:rsidTr="00D865D4">
        <w:tc>
          <w:tcPr>
            <w:tcW w:w="1129" w:type="dxa"/>
            <w:vAlign w:val="bottom"/>
          </w:tcPr>
          <w:p w14:paraId="1A32EF98" w14:textId="77777777" w:rsidR="001454B1" w:rsidRPr="005F5BEA" w:rsidRDefault="001454B1" w:rsidP="001454B1">
            <w:pPr>
              <w:spacing w:before="0"/>
              <w:rPr>
                <w:rFonts w:ascii="Arial Narrow" w:eastAsia="Calibri" w:hAnsi="Arial Narrow" w:cs="Times New Roman"/>
                <w:b/>
                <w:sz w:val="20"/>
                <w:szCs w:val="20"/>
              </w:rPr>
            </w:pPr>
            <w:r w:rsidRPr="005F5BEA">
              <w:rPr>
                <w:rFonts w:ascii="Arial Narrow" w:eastAsia="Calibri" w:hAnsi="Arial Narrow" w:cs="Times New Roman"/>
                <w:b/>
                <w:sz w:val="20"/>
                <w:szCs w:val="20"/>
              </w:rPr>
              <w:t>Company</w:t>
            </w:r>
          </w:p>
        </w:tc>
        <w:tc>
          <w:tcPr>
            <w:tcW w:w="1560" w:type="dxa"/>
            <w:tcBorders>
              <w:bottom w:val="single" w:sz="4" w:space="0" w:color="auto"/>
            </w:tcBorders>
            <w:vAlign w:val="bottom"/>
          </w:tcPr>
          <w:p w14:paraId="2F1E5AE2" w14:textId="77777777" w:rsidR="001454B1" w:rsidRPr="005F5BEA" w:rsidRDefault="001454B1" w:rsidP="001454B1">
            <w:pPr>
              <w:spacing w:before="0"/>
              <w:jc w:val="center"/>
              <w:rPr>
                <w:rFonts w:ascii="Arial Narrow" w:eastAsia="Calibri" w:hAnsi="Arial Narrow" w:cs="Times New Roman"/>
                <w:b/>
                <w:sz w:val="20"/>
                <w:szCs w:val="20"/>
              </w:rPr>
            </w:pPr>
            <w:r w:rsidRPr="005F5BEA">
              <w:rPr>
                <w:rFonts w:ascii="Arial Narrow" w:eastAsia="Calibri" w:hAnsi="Arial Narrow" w:cs="Calibri"/>
                <w:b/>
                <w:color w:val="000000"/>
                <w:sz w:val="20"/>
                <w:szCs w:val="20"/>
              </w:rPr>
              <w:t>Total services (Round 2)</w:t>
            </w:r>
          </w:p>
        </w:tc>
        <w:tc>
          <w:tcPr>
            <w:tcW w:w="2109" w:type="dxa"/>
            <w:tcBorders>
              <w:bottom w:val="single" w:sz="4" w:space="0" w:color="auto"/>
            </w:tcBorders>
            <w:vAlign w:val="bottom"/>
          </w:tcPr>
          <w:p w14:paraId="3A916093" w14:textId="77777777" w:rsidR="001454B1" w:rsidRPr="005F5BEA" w:rsidRDefault="001454B1" w:rsidP="001454B1">
            <w:pPr>
              <w:spacing w:before="0"/>
              <w:jc w:val="center"/>
              <w:rPr>
                <w:rFonts w:ascii="Arial Narrow" w:eastAsia="Calibri" w:hAnsi="Arial Narrow" w:cs="Times New Roman"/>
                <w:b/>
                <w:sz w:val="20"/>
                <w:szCs w:val="20"/>
              </w:rPr>
            </w:pPr>
            <w:r w:rsidRPr="005F5BEA">
              <w:rPr>
                <w:rFonts w:ascii="Arial Narrow" w:eastAsia="Calibri" w:hAnsi="Arial Narrow" w:cs="Calibri"/>
                <w:b/>
                <w:color w:val="000000"/>
                <w:sz w:val="20"/>
                <w:szCs w:val="20"/>
              </w:rPr>
              <w:t xml:space="preserve">Non-overhead </w:t>
            </w:r>
            <w:proofErr w:type="spellStart"/>
            <w:r w:rsidRPr="005F5BEA">
              <w:rPr>
                <w:rFonts w:ascii="Arial Narrow" w:eastAsia="Calibri" w:hAnsi="Arial Narrow" w:cs="Calibri"/>
                <w:b/>
                <w:color w:val="000000"/>
                <w:sz w:val="20"/>
                <w:szCs w:val="20"/>
              </w:rPr>
              <w:t>costs</w:t>
            </w:r>
            <w:r w:rsidRPr="005F5BEA">
              <w:rPr>
                <w:rFonts w:ascii="Arial Narrow" w:eastAsia="Calibri" w:hAnsi="Arial Narrow" w:cs="Calibri"/>
                <w:b/>
                <w:color w:val="000000"/>
                <w:sz w:val="20"/>
                <w:szCs w:val="20"/>
                <w:vertAlign w:val="superscript"/>
              </w:rPr>
              <w:t>a</w:t>
            </w:r>
            <w:proofErr w:type="spellEnd"/>
          </w:p>
        </w:tc>
        <w:tc>
          <w:tcPr>
            <w:tcW w:w="2109" w:type="dxa"/>
            <w:tcBorders>
              <w:bottom w:val="single" w:sz="4" w:space="0" w:color="auto"/>
            </w:tcBorders>
            <w:vAlign w:val="bottom"/>
          </w:tcPr>
          <w:p w14:paraId="7632C463" w14:textId="77777777" w:rsidR="001454B1" w:rsidRPr="005F5BEA" w:rsidRDefault="001454B1" w:rsidP="001454B1">
            <w:pPr>
              <w:spacing w:before="0"/>
              <w:jc w:val="center"/>
              <w:rPr>
                <w:rFonts w:ascii="Arial Narrow" w:eastAsia="Calibri" w:hAnsi="Arial Narrow" w:cs="Times New Roman"/>
                <w:b/>
                <w:sz w:val="20"/>
                <w:szCs w:val="20"/>
              </w:rPr>
            </w:pPr>
            <w:r w:rsidRPr="005F5BEA">
              <w:rPr>
                <w:rFonts w:ascii="Arial Narrow" w:eastAsia="Calibri" w:hAnsi="Arial Narrow" w:cs="Calibri"/>
                <w:b/>
                <w:color w:val="000000"/>
                <w:sz w:val="20"/>
                <w:szCs w:val="20"/>
              </w:rPr>
              <w:t xml:space="preserve">Overhead </w:t>
            </w:r>
            <w:proofErr w:type="spellStart"/>
            <w:r w:rsidRPr="005F5BEA">
              <w:rPr>
                <w:rFonts w:ascii="Arial Narrow" w:eastAsia="Calibri" w:hAnsi="Arial Narrow" w:cs="Calibri"/>
                <w:b/>
                <w:color w:val="000000"/>
                <w:sz w:val="20"/>
                <w:szCs w:val="20"/>
              </w:rPr>
              <w:t>costs</w:t>
            </w:r>
            <w:r w:rsidRPr="005F5BEA">
              <w:rPr>
                <w:rFonts w:ascii="Arial Narrow" w:eastAsia="Calibri" w:hAnsi="Arial Narrow" w:cs="Calibri"/>
                <w:b/>
                <w:color w:val="000000"/>
                <w:sz w:val="20"/>
                <w:szCs w:val="20"/>
                <w:vertAlign w:val="superscript"/>
              </w:rPr>
              <w:t>b</w:t>
            </w:r>
            <w:proofErr w:type="spellEnd"/>
          </w:p>
        </w:tc>
        <w:tc>
          <w:tcPr>
            <w:tcW w:w="2109" w:type="dxa"/>
            <w:tcBorders>
              <w:bottom w:val="single" w:sz="4" w:space="0" w:color="auto"/>
            </w:tcBorders>
            <w:vAlign w:val="bottom"/>
          </w:tcPr>
          <w:p w14:paraId="14A4F3C4" w14:textId="77777777" w:rsidR="001454B1" w:rsidRPr="005F5BEA" w:rsidRDefault="001454B1" w:rsidP="001454B1">
            <w:pPr>
              <w:spacing w:before="0"/>
              <w:jc w:val="center"/>
              <w:rPr>
                <w:rFonts w:ascii="Arial Narrow" w:eastAsia="Calibri" w:hAnsi="Arial Narrow" w:cs="Times New Roman"/>
                <w:b/>
                <w:sz w:val="20"/>
                <w:szCs w:val="20"/>
              </w:rPr>
            </w:pPr>
            <w:r w:rsidRPr="005F5BEA">
              <w:rPr>
                <w:rFonts w:ascii="Arial Narrow" w:eastAsia="Calibri" w:hAnsi="Arial Narrow" w:cs="Times New Roman"/>
                <w:b/>
                <w:sz w:val="20"/>
                <w:szCs w:val="20"/>
              </w:rPr>
              <w:t>Overhead costs as a percentage of non-overhead costs</w:t>
            </w:r>
          </w:p>
        </w:tc>
      </w:tr>
      <w:tr w:rsidR="001454B1" w:rsidRPr="005F5BEA" w14:paraId="46CE5013" w14:textId="77777777" w:rsidTr="00D865D4">
        <w:tc>
          <w:tcPr>
            <w:tcW w:w="1129" w:type="dxa"/>
            <w:vAlign w:val="center"/>
          </w:tcPr>
          <w:p w14:paraId="04C29A55"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Calibri"/>
                <w:b/>
                <w:bCs/>
                <w:color w:val="000000"/>
                <w:sz w:val="20"/>
                <w:szCs w:val="20"/>
              </w:rPr>
              <w:t>1</w:t>
            </w:r>
          </w:p>
        </w:tc>
        <w:tc>
          <w:tcPr>
            <w:tcW w:w="1560" w:type="dxa"/>
            <w:tcBorders>
              <w:bottom w:val="single" w:sz="4" w:space="0" w:color="auto"/>
            </w:tcBorders>
            <w:shd w:val="solid" w:color="000000" w:fill="000000"/>
            <w:vAlign w:val="center"/>
          </w:tcPr>
          <w:p w14:paraId="38A759D0" w14:textId="4CDCF679" w:rsidR="001454B1" w:rsidRPr="00D865D4" w:rsidRDefault="00D865D4" w:rsidP="001454B1">
            <w:pPr>
              <w:spacing w:before="0"/>
              <w:jc w:val="right"/>
              <w:rPr>
                <w:rFonts w:ascii="Arial Narrow" w:eastAsia="Calibri" w:hAnsi="Arial Narrow" w:cs="Times New Roman"/>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2109" w:type="dxa"/>
            <w:tcBorders>
              <w:bottom w:val="single" w:sz="4" w:space="0" w:color="auto"/>
            </w:tcBorders>
            <w:shd w:val="solid" w:color="000000" w:fill="000000"/>
            <w:vAlign w:val="center"/>
          </w:tcPr>
          <w:p w14:paraId="072D5D7A" w14:textId="53E84CFC" w:rsidR="001454B1" w:rsidRPr="00D865D4" w:rsidRDefault="00D865D4" w:rsidP="001454B1">
            <w:pPr>
              <w:spacing w:before="0"/>
              <w:jc w:val="right"/>
              <w:rPr>
                <w:rFonts w:ascii="Arial Narrow" w:eastAsia="Calibri" w:hAnsi="Arial Narrow" w:cs="Times New Roman"/>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2109" w:type="dxa"/>
            <w:tcBorders>
              <w:bottom w:val="single" w:sz="4" w:space="0" w:color="auto"/>
            </w:tcBorders>
            <w:shd w:val="solid" w:color="000000" w:fill="000000"/>
            <w:vAlign w:val="center"/>
          </w:tcPr>
          <w:p w14:paraId="7267CDC9" w14:textId="11DE3A5D" w:rsidR="001454B1" w:rsidRPr="00D865D4" w:rsidRDefault="00D865D4" w:rsidP="001454B1">
            <w:pPr>
              <w:spacing w:before="0"/>
              <w:jc w:val="right"/>
              <w:rPr>
                <w:rFonts w:ascii="Arial Narrow" w:eastAsia="Calibri" w:hAnsi="Arial Narrow" w:cs="Times New Roman"/>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2109" w:type="dxa"/>
            <w:tcBorders>
              <w:bottom w:val="single" w:sz="4" w:space="0" w:color="auto"/>
            </w:tcBorders>
            <w:shd w:val="solid" w:color="000000" w:fill="000000"/>
            <w:vAlign w:val="bottom"/>
          </w:tcPr>
          <w:p w14:paraId="134E8844" w14:textId="1571BAF5" w:rsidR="001454B1" w:rsidRPr="00D865D4" w:rsidRDefault="00D865D4" w:rsidP="001454B1">
            <w:pPr>
              <w:spacing w:before="0"/>
              <w:jc w:val="right"/>
              <w:rPr>
                <w:rFonts w:ascii="Arial Narrow" w:eastAsia="Calibri" w:hAnsi="Arial Narrow" w:cs="Times New Roman"/>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73473C79" w14:textId="77777777" w:rsidTr="00D865D4">
        <w:tc>
          <w:tcPr>
            <w:tcW w:w="1129" w:type="dxa"/>
            <w:vAlign w:val="center"/>
          </w:tcPr>
          <w:p w14:paraId="73E2CBA8"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Calibri"/>
                <w:b/>
                <w:bCs/>
                <w:color w:val="000000"/>
                <w:sz w:val="20"/>
                <w:szCs w:val="20"/>
              </w:rPr>
              <w:t>2</w:t>
            </w:r>
          </w:p>
        </w:tc>
        <w:tc>
          <w:tcPr>
            <w:tcW w:w="1560" w:type="dxa"/>
            <w:tcBorders>
              <w:bottom w:val="single" w:sz="4" w:space="0" w:color="auto"/>
            </w:tcBorders>
            <w:shd w:val="solid" w:color="000000" w:fill="000000"/>
            <w:vAlign w:val="center"/>
          </w:tcPr>
          <w:p w14:paraId="5EABD54E" w14:textId="471E132F" w:rsidR="001454B1" w:rsidRPr="00D865D4" w:rsidRDefault="00D865D4" w:rsidP="001454B1">
            <w:pPr>
              <w:spacing w:before="0"/>
              <w:jc w:val="right"/>
              <w:rPr>
                <w:rFonts w:ascii="Arial Narrow" w:eastAsia="Calibri" w:hAnsi="Arial Narrow" w:cs="Times New Roman"/>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2109" w:type="dxa"/>
            <w:tcBorders>
              <w:bottom w:val="single" w:sz="4" w:space="0" w:color="auto"/>
            </w:tcBorders>
            <w:shd w:val="solid" w:color="000000" w:fill="000000"/>
            <w:vAlign w:val="center"/>
          </w:tcPr>
          <w:p w14:paraId="0122F31F" w14:textId="67D2C52B" w:rsidR="001454B1" w:rsidRPr="00D865D4" w:rsidRDefault="00D865D4" w:rsidP="001454B1">
            <w:pPr>
              <w:spacing w:before="0"/>
              <w:jc w:val="right"/>
              <w:rPr>
                <w:rFonts w:ascii="Arial Narrow" w:eastAsia="Calibri" w:hAnsi="Arial Narrow" w:cs="Times New Roman"/>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2109" w:type="dxa"/>
            <w:tcBorders>
              <w:bottom w:val="single" w:sz="4" w:space="0" w:color="auto"/>
            </w:tcBorders>
            <w:shd w:val="solid" w:color="000000" w:fill="000000"/>
            <w:vAlign w:val="center"/>
          </w:tcPr>
          <w:p w14:paraId="34D5A150" w14:textId="1BE2ED52" w:rsidR="001454B1" w:rsidRPr="00D865D4" w:rsidRDefault="00D865D4" w:rsidP="001454B1">
            <w:pPr>
              <w:spacing w:before="0"/>
              <w:jc w:val="right"/>
              <w:rPr>
                <w:rFonts w:ascii="Arial Narrow" w:eastAsia="Calibri" w:hAnsi="Arial Narrow" w:cs="Times New Roman"/>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2109" w:type="dxa"/>
            <w:tcBorders>
              <w:bottom w:val="single" w:sz="4" w:space="0" w:color="auto"/>
            </w:tcBorders>
            <w:shd w:val="solid" w:color="000000" w:fill="000000"/>
            <w:vAlign w:val="bottom"/>
          </w:tcPr>
          <w:p w14:paraId="029A449F" w14:textId="6BB72F70" w:rsidR="001454B1" w:rsidRPr="00D865D4" w:rsidRDefault="00D865D4" w:rsidP="001454B1">
            <w:pPr>
              <w:spacing w:before="0"/>
              <w:jc w:val="right"/>
              <w:rPr>
                <w:rFonts w:ascii="Arial Narrow" w:eastAsia="Calibri" w:hAnsi="Arial Narrow" w:cs="Times New Roman"/>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15A375B8" w14:textId="77777777" w:rsidTr="00D865D4">
        <w:tc>
          <w:tcPr>
            <w:tcW w:w="1129" w:type="dxa"/>
            <w:vAlign w:val="center"/>
          </w:tcPr>
          <w:p w14:paraId="0EE7D2B4"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Calibri"/>
                <w:b/>
                <w:bCs/>
                <w:color w:val="000000"/>
                <w:sz w:val="20"/>
                <w:szCs w:val="20"/>
              </w:rPr>
              <w:t>3</w:t>
            </w:r>
          </w:p>
        </w:tc>
        <w:tc>
          <w:tcPr>
            <w:tcW w:w="1560" w:type="dxa"/>
            <w:tcBorders>
              <w:bottom w:val="single" w:sz="4" w:space="0" w:color="auto"/>
            </w:tcBorders>
            <w:shd w:val="solid" w:color="000000" w:fill="000000"/>
            <w:vAlign w:val="center"/>
          </w:tcPr>
          <w:p w14:paraId="6E8B0301" w14:textId="6DA3D4EB" w:rsidR="001454B1" w:rsidRPr="00D865D4" w:rsidRDefault="00D865D4" w:rsidP="001454B1">
            <w:pPr>
              <w:spacing w:before="0"/>
              <w:jc w:val="right"/>
              <w:rPr>
                <w:rFonts w:ascii="Arial Narrow" w:eastAsia="Calibri" w:hAnsi="Arial Narrow" w:cs="Times New Roman"/>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2109" w:type="dxa"/>
            <w:tcBorders>
              <w:bottom w:val="single" w:sz="4" w:space="0" w:color="auto"/>
            </w:tcBorders>
            <w:shd w:val="solid" w:color="000000" w:fill="000000"/>
            <w:vAlign w:val="center"/>
          </w:tcPr>
          <w:p w14:paraId="65FF1F5E" w14:textId="412C37AD" w:rsidR="001454B1" w:rsidRPr="00D865D4" w:rsidRDefault="00D865D4" w:rsidP="001454B1">
            <w:pPr>
              <w:spacing w:before="0"/>
              <w:jc w:val="right"/>
              <w:rPr>
                <w:rFonts w:ascii="Arial Narrow" w:eastAsia="Calibri" w:hAnsi="Arial Narrow" w:cs="Times New Roman"/>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2109" w:type="dxa"/>
            <w:tcBorders>
              <w:bottom w:val="single" w:sz="4" w:space="0" w:color="auto"/>
            </w:tcBorders>
            <w:shd w:val="solid" w:color="000000" w:fill="000000"/>
            <w:vAlign w:val="center"/>
          </w:tcPr>
          <w:p w14:paraId="07634978" w14:textId="5860CEDF" w:rsidR="001454B1" w:rsidRPr="00D865D4" w:rsidRDefault="00D865D4" w:rsidP="001454B1">
            <w:pPr>
              <w:spacing w:before="0"/>
              <w:jc w:val="right"/>
              <w:rPr>
                <w:rFonts w:ascii="Arial Narrow" w:eastAsia="Calibri" w:hAnsi="Arial Narrow" w:cs="Times New Roman"/>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2109" w:type="dxa"/>
            <w:tcBorders>
              <w:bottom w:val="single" w:sz="4" w:space="0" w:color="auto"/>
            </w:tcBorders>
            <w:shd w:val="solid" w:color="000000" w:fill="000000"/>
            <w:vAlign w:val="bottom"/>
          </w:tcPr>
          <w:p w14:paraId="07063ECA" w14:textId="14ED37DA" w:rsidR="001454B1" w:rsidRPr="00D865D4" w:rsidRDefault="00D865D4" w:rsidP="001454B1">
            <w:pPr>
              <w:spacing w:before="0"/>
              <w:jc w:val="right"/>
              <w:rPr>
                <w:rFonts w:ascii="Arial Narrow" w:eastAsia="Calibri" w:hAnsi="Arial Narrow" w:cs="Times New Roman"/>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0CD26CAC" w14:textId="77777777" w:rsidTr="00D865D4">
        <w:tc>
          <w:tcPr>
            <w:tcW w:w="1129" w:type="dxa"/>
            <w:vAlign w:val="center"/>
          </w:tcPr>
          <w:p w14:paraId="3AE7DF5F"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Calibri"/>
                <w:b/>
                <w:bCs/>
                <w:color w:val="000000"/>
                <w:sz w:val="20"/>
                <w:szCs w:val="20"/>
              </w:rPr>
              <w:t>4</w:t>
            </w:r>
          </w:p>
        </w:tc>
        <w:tc>
          <w:tcPr>
            <w:tcW w:w="1560" w:type="dxa"/>
            <w:tcBorders>
              <w:bottom w:val="single" w:sz="4" w:space="0" w:color="auto"/>
            </w:tcBorders>
            <w:shd w:val="solid" w:color="000000" w:fill="000000"/>
            <w:vAlign w:val="center"/>
          </w:tcPr>
          <w:p w14:paraId="6C711CF2" w14:textId="6B845CD1" w:rsidR="001454B1" w:rsidRPr="00D865D4" w:rsidRDefault="00D865D4" w:rsidP="001454B1">
            <w:pPr>
              <w:spacing w:before="0"/>
              <w:jc w:val="right"/>
              <w:rPr>
                <w:rFonts w:ascii="Arial Narrow" w:eastAsia="Calibri" w:hAnsi="Arial Narrow" w:cs="Times New Roman"/>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2109" w:type="dxa"/>
            <w:tcBorders>
              <w:bottom w:val="single" w:sz="4" w:space="0" w:color="auto"/>
            </w:tcBorders>
            <w:shd w:val="solid" w:color="000000" w:fill="000000"/>
            <w:vAlign w:val="center"/>
          </w:tcPr>
          <w:p w14:paraId="4A705D29" w14:textId="4FE9A7B9" w:rsidR="001454B1" w:rsidRPr="00D865D4" w:rsidRDefault="00D865D4" w:rsidP="001454B1">
            <w:pPr>
              <w:spacing w:before="0"/>
              <w:jc w:val="right"/>
              <w:rPr>
                <w:rFonts w:ascii="Arial Narrow" w:eastAsia="Calibri" w:hAnsi="Arial Narrow" w:cs="Times New Roman"/>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2109" w:type="dxa"/>
            <w:tcBorders>
              <w:bottom w:val="single" w:sz="4" w:space="0" w:color="auto"/>
            </w:tcBorders>
            <w:shd w:val="solid" w:color="000000" w:fill="000000"/>
            <w:vAlign w:val="center"/>
          </w:tcPr>
          <w:p w14:paraId="53B2C170" w14:textId="51D45054" w:rsidR="001454B1" w:rsidRPr="00D865D4" w:rsidRDefault="00D865D4" w:rsidP="001454B1">
            <w:pPr>
              <w:spacing w:before="0"/>
              <w:jc w:val="right"/>
              <w:rPr>
                <w:rFonts w:ascii="Arial Narrow" w:eastAsia="Calibri" w:hAnsi="Arial Narrow" w:cs="Times New Roman"/>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2109" w:type="dxa"/>
            <w:tcBorders>
              <w:bottom w:val="single" w:sz="4" w:space="0" w:color="auto"/>
            </w:tcBorders>
            <w:shd w:val="solid" w:color="000000" w:fill="000000"/>
            <w:vAlign w:val="bottom"/>
          </w:tcPr>
          <w:p w14:paraId="0BB3D3D6" w14:textId="591A8479" w:rsidR="001454B1" w:rsidRPr="00D865D4" w:rsidRDefault="00D865D4" w:rsidP="001454B1">
            <w:pPr>
              <w:spacing w:before="0"/>
              <w:jc w:val="right"/>
              <w:rPr>
                <w:rFonts w:ascii="Arial Narrow" w:eastAsia="Calibri" w:hAnsi="Arial Narrow" w:cs="Times New Roman"/>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232DEAD9" w14:textId="77777777" w:rsidTr="00D865D4">
        <w:tc>
          <w:tcPr>
            <w:tcW w:w="1129" w:type="dxa"/>
            <w:vAlign w:val="center"/>
          </w:tcPr>
          <w:p w14:paraId="7F9FB13C"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Calibri"/>
                <w:b/>
                <w:bCs/>
                <w:color w:val="000000"/>
                <w:sz w:val="20"/>
                <w:szCs w:val="20"/>
              </w:rPr>
              <w:t>5</w:t>
            </w:r>
          </w:p>
        </w:tc>
        <w:tc>
          <w:tcPr>
            <w:tcW w:w="1560" w:type="dxa"/>
            <w:shd w:val="solid" w:color="000000" w:fill="000000"/>
            <w:vAlign w:val="center"/>
          </w:tcPr>
          <w:p w14:paraId="2C5F5830" w14:textId="69590D9E" w:rsidR="001454B1" w:rsidRPr="00D865D4" w:rsidRDefault="00D865D4" w:rsidP="001454B1">
            <w:pPr>
              <w:spacing w:before="0"/>
              <w:jc w:val="right"/>
              <w:rPr>
                <w:rFonts w:ascii="Arial Narrow" w:eastAsia="Calibri" w:hAnsi="Arial Narrow" w:cs="Times New Roman"/>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2109" w:type="dxa"/>
            <w:shd w:val="solid" w:color="000000" w:fill="000000"/>
            <w:vAlign w:val="center"/>
          </w:tcPr>
          <w:p w14:paraId="60C6F9FC" w14:textId="186C4350" w:rsidR="001454B1" w:rsidRPr="00D865D4" w:rsidRDefault="00D865D4" w:rsidP="001454B1">
            <w:pPr>
              <w:spacing w:before="0"/>
              <w:jc w:val="right"/>
              <w:rPr>
                <w:rFonts w:ascii="Arial Narrow" w:eastAsia="Calibri" w:hAnsi="Arial Narrow" w:cs="Times New Roman"/>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2109" w:type="dxa"/>
            <w:shd w:val="solid" w:color="000000" w:fill="000000"/>
            <w:vAlign w:val="center"/>
          </w:tcPr>
          <w:p w14:paraId="4C711C80" w14:textId="0C5F1088" w:rsidR="001454B1" w:rsidRPr="00D865D4" w:rsidRDefault="00D865D4" w:rsidP="001454B1">
            <w:pPr>
              <w:spacing w:before="0"/>
              <w:jc w:val="right"/>
              <w:rPr>
                <w:rFonts w:ascii="Arial Narrow" w:eastAsia="Calibri" w:hAnsi="Arial Narrow" w:cs="Times New Roman"/>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2109" w:type="dxa"/>
            <w:shd w:val="solid" w:color="000000" w:fill="000000"/>
            <w:vAlign w:val="bottom"/>
          </w:tcPr>
          <w:p w14:paraId="2A5F402E" w14:textId="3609FB49" w:rsidR="001454B1" w:rsidRPr="00D865D4" w:rsidRDefault="00D865D4" w:rsidP="001454B1">
            <w:pPr>
              <w:spacing w:before="0"/>
              <w:jc w:val="right"/>
              <w:rPr>
                <w:rFonts w:ascii="Arial Narrow" w:eastAsia="Calibri" w:hAnsi="Arial Narrow" w:cs="Times New Roman"/>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23130B65" w14:textId="77777777" w:rsidTr="00032276">
        <w:tc>
          <w:tcPr>
            <w:tcW w:w="1129" w:type="dxa"/>
            <w:vAlign w:val="bottom"/>
          </w:tcPr>
          <w:p w14:paraId="33973AE9" w14:textId="77777777" w:rsidR="001454B1" w:rsidRPr="005F5BEA" w:rsidRDefault="001454B1" w:rsidP="001454B1">
            <w:pPr>
              <w:spacing w:before="0"/>
              <w:rPr>
                <w:rFonts w:ascii="Arial Narrow" w:eastAsia="Calibri" w:hAnsi="Arial Narrow" w:cs="Times New Roman"/>
                <w:b/>
                <w:sz w:val="20"/>
                <w:szCs w:val="20"/>
              </w:rPr>
            </w:pPr>
            <w:r w:rsidRPr="005F5BEA">
              <w:rPr>
                <w:rFonts w:ascii="Arial Narrow" w:eastAsia="Calibri" w:hAnsi="Arial Narrow" w:cs="Calibri"/>
                <w:b/>
                <w:color w:val="000000"/>
                <w:sz w:val="20"/>
                <w:szCs w:val="20"/>
              </w:rPr>
              <w:t>Total</w:t>
            </w:r>
          </w:p>
        </w:tc>
        <w:tc>
          <w:tcPr>
            <w:tcW w:w="1560" w:type="dxa"/>
            <w:vAlign w:val="center"/>
          </w:tcPr>
          <w:p w14:paraId="4BBBB956" w14:textId="77777777" w:rsidR="001454B1" w:rsidRPr="005F5BEA" w:rsidRDefault="001454B1" w:rsidP="001454B1">
            <w:pPr>
              <w:spacing w:before="0"/>
              <w:jc w:val="right"/>
              <w:rPr>
                <w:rFonts w:ascii="Arial Narrow" w:eastAsia="Calibri" w:hAnsi="Arial Narrow" w:cs="Times New Roman"/>
                <w:sz w:val="20"/>
                <w:szCs w:val="20"/>
              </w:rPr>
            </w:pPr>
            <w:r w:rsidRPr="005F5BEA">
              <w:rPr>
                <w:rFonts w:ascii="Arial Narrow" w:eastAsia="Calibri" w:hAnsi="Arial Narrow" w:cs="Calibri"/>
                <w:color w:val="000000"/>
                <w:sz w:val="20"/>
                <w:szCs w:val="20"/>
              </w:rPr>
              <w:t>63595</w:t>
            </w:r>
          </w:p>
        </w:tc>
        <w:tc>
          <w:tcPr>
            <w:tcW w:w="2109" w:type="dxa"/>
            <w:vAlign w:val="center"/>
          </w:tcPr>
          <w:p w14:paraId="7BC1F706" w14:textId="77777777" w:rsidR="001454B1" w:rsidRPr="005F5BEA" w:rsidRDefault="001454B1" w:rsidP="001454B1">
            <w:pPr>
              <w:spacing w:before="0"/>
              <w:jc w:val="right"/>
              <w:rPr>
                <w:rFonts w:ascii="Arial Narrow" w:eastAsia="Calibri" w:hAnsi="Arial Narrow" w:cs="Times New Roman"/>
                <w:sz w:val="20"/>
                <w:szCs w:val="20"/>
              </w:rPr>
            </w:pPr>
            <w:r w:rsidRPr="005F5BEA">
              <w:rPr>
                <w:rFonts w:ascii="Arial Narrow" w:eastAsia="Calibri" w:hAnsi="Arial Narrow" w:cs="Calibri"/>
                <w:color w:val="000000"/>
                <w:sz w:val="20"/>
                <w:szCs w:val="20"/>
              </w:rPr>
              <w:t>$59,620,848</w:t>
            </w:r>
          </w:p>
        </w:tc>
        <w:tc>
          <w:tcPr>
            <w:tcW w:w="2109" w:type="dxa"/>
            <w:vAlign w:val="center"/>
          </w:tcPr>
          <w:p w14:paraId="5B2E98C4" w14:textId="77777777" w:rsidR="001454B1" w:rsidRPr="005F5BEA" w:rsidRDefault="001454B1" w:rsidP="001454B1">
            <w:pPr>
              <w:spacing w:before="0"/>
              <w:jc w:val="right"/>
              <w:rPr>
                <w:rFonts w:ascii="Arial Narrow" w:eastAsia="Calibri" w:hAnsi="Arial Narrow" w:cs="Times New Roman"/>
                <w:sz w:val="20"/>
                <w:szCs w:val="20"/>
              </w:rPr>
            </w:pPr>
            <w:r w:rsidRPr="005F5BEA">
              <w:rPr>
                <w:rFonts w:ascii="Arial Narrow" w:eastAsia="Calibri" w:hAnsi="Arial Narrow" w:cs="Calibri"/>
                <w:color w:val="000000"/>
                <w:sz w:val="20"/>
                <w:szCs w:val="20"/>
              </w:rPr>
              <w:t>$31,648,755</w:t>
            </w:r>
          </w:p>
        </w:tc>
        <w:tc>
          <w:tcPr>
            <w:tcW w:w="2109" w:type="dxa"/>
            <w:vAlign w:val="bottom"/>
          </w:tcPr>
          <w:p w14:paraId="25A76D26" w14:textId="77777777" w:rsidR="001454B1" w:rsidRPr="005F5BEA" w:rsidRDefault="001454B1" w:rsidP="001454B1">
            <w:pPr>
              <w:spacing w:before="0"/>
              <w:jc w:val="right"/>
              <w:rPr>
                <w:rFonts w:ascii="Arial Narrow" w:eastAsia="Calibri" w:hAnsi="Arial Narrow" w:cs="Times New Roman"/>
                <w:sz w:val="20"/>
                <w:szCs w:val="20"/>
              </w:rPr>
            </w:pPr>
            <w:r w:rsidRPr="005F5BEA">
              <w:rPr>
                <w:rFonts w:ascii="Arial Narrow" w:eastAsia="Calibri" w:hAnsi="Arial Narrow" w:cs="Calibri"/>
                <w:color w:val="000000"/>
                <w:sz w:val="20"/>
                <w:szCs w:val="20"/>
              </w:rPr>
              <w:t>53.1%</w:t>
            </w:r>
          </w:p>
        </w:tc>
      </w:tr>
    </w:tbl>
    <w:p w14:paraId="2CA8EB33"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Source: Table 2, 1724 – Attachment A – Additional Data Collection (Interim Report)</w:t>
      </w:r>
    </w:p>
    <w:p w14:paraId="6753BE45" w14:textId="77777777" w:rsidR="001454B1" w:rsidRPr="005F5BEA" w:rsidRDefault="001454B1" w:rsidP="001454B1">
      <w:pPr>
        <w:spacing w:after="240"/>
        <w:contextualSpacing/>
        <w:jc w:val="both"/>
        <w:rPr>
          <w:rFonts w:ascii="Arial Narrow" w:eastAsia="Calibri" w:hAnsi="Arial Narrow" w:cs="Arial"/>
          <w:sz w:val="18"/>
        </w:rPr>
      </w:pPr>
      <w:proofErr w:type="spellStart"/>
      <w:r w:rsidRPr="005F5BEA">
        <w:rPr>
          <w:rFonts w:ascii="Arial Narrow" w:eastAsia="Calibri" w:hAnsi="Arial Narrow" w:cs="Arial"/>
          <w:sz w:val="18"/>
        </w:rPr>
        <w:t>aApplied</w:t>
      </w:r>
      <w:proofErr w:type="spellEnd"/>
      <w:r w:rsidRPr="005F5BEA">
        <w:rPr>
          <w:rFonts w:ascii="Arial Narrow" w:eastAsia="Calibri" w:hAnsi="Arial Narrow" w:cs="Arial"/>
          <w:sz w:val="18"/>
        </w:rPr>
        <w:t xml:space="preserve"> to each company </w:t>
      </w:r>
      <w:proofErr w:type="gramStart"/>
      <w:r w:rsidRPr="005F5BEA">
        <w:rPr>
          <w:rFonts w:ascii="Arial Narrow" w:eastAsia="Calibri" w:hAnsi="Arial Narrow" w:cs="Arial"/>
          <w:sz w:val="18"/>
        </w:rPr>
        <w:t>on the basis of</w:t>
      </w:r>
      <w:proofErr w:type="gramEnd"/>
      <w:r w:rsidRPr="005F5BEA">
        <w:rPr>
          <w:rFonts w:ascii="Arial Narrow" w:eastAsia="Calibri" w:hAnsi="Arial Narrow" w:cs="Arial"/>
          <w:sz w:val="18"/>
        </w:rPr>
        <w:t xml:space="preserve"> the proportion of services provided during the Round 2 data collection period. </w:t>
      </w:r>
    </w:p>
    <w:p w14:paraId="12B7467E" w14:textId="77777777" w:rsidR="001454B1" w:rsidRPr="005F5BEA" w:rsidRDefault="001454B1" w:rsidP="00374BF7">
      <w:pPr>
        <w:spacing w:before="0" w:after="240"/>
        <w:jc w:val="both"/>
        <w:rPr>
          <w:rFonts w:ascii="Arial Narrow" w:eastAsia="Calibri" w:hAnsi="Arial Narrow" w:cs="Arial"/>
          <w:sz w:val="18"/>
        </w:rPr>
      </w:pPr>
      <w:proofErr w:type="spellStart"/>
      <w:r w:rsidRPr="005F5BEA">
        <w:rPr>
          <w:rFonts w:ascii="Arial Narrow" w:eastAsia="Calibri" w:hAnsi="Arial Narrow" w:cs="Arial"/>
          <w:sz w:val="18"/>
        </w:rPr>
        <w:t>bAnnual</w:t>
      </w:r>
      <w:proofErr w:type="spellEnd"/>
      <w:r w:rsidRPr="005F5BEA">
        <w:rPr>
          <w:rFonts w:ascii="Arial Narrow" w:eastAsia="Calibri" w:hAnsi="Arial Narrow" w:cs="Arial"/>
          <w:sz w:val="18"/>
        </w:rPr>
        <w:t xml:space="preserve"> overhead costs as reported by each </w:t>
      </w:r>
      <w:proofErr w:type="gramStart"/>
      <w:r w:rsidRPr="005F5BEA">
        <w:rPr>
          <w:rFonts w:ascii="Arial Narrow" w:eastAsia="Calibri" w:hAnsi="Arial Narrow" w:cs="Arial"/>
          <w:sz w:val="18"/>
        </w:rPr>
        <w:t>company</w:t>
      </w:r>
      <w:proofErr w:type="gramEnd"/>
    </w:p>
    <w:p w14:paraId="1C18190E" w14:textId="322D3C43" w:rsidR="001454B1" w:rsidRPr="005F5BEA" w:rsidRDefault="00727248" w:rsidP="00D870BF">
      <w:r w:rsidRPr="005F5BEA">
        <w:t>The focussed evaluation queried whether</w:t>
      </w:r>
      <w:r w:rsidR="001454B1" w:rsidRPr="005F5BEA">
        <w:t xml:space="preserve"> the updated overhead costs </w:t>
      </w:r>
      <w:r w:rsidRPr="005F5BEA">
        <w:t>were</w:t>
      </w:r>
      <w:r w:rsidR="001454B1" w:rsidRPr="005F5BEA">
        <w:t xml:space="preserve"> reasonable, </w:t>
      </w:r>
      <w:proofErr w:type="gramStart"/>
      <w:r w:rsidR="001454B1" w:rsidRPr="005F5BEA">
        <w:t>reliable</w:t>
      </w:r>
      <w:proofErr w:type="gramEnd"/>
      <w:r w:rsidR="001454B1" w:rsidRPr="005F5BEA">
        <w:t xml:space="preserve"> or adequately transparent to include in the Utilisation and Cost Model spreadsheet estimates. Key concerns include: a lack of explanation of the components included in the overhead costs; a lack of explanation for the considerable variability across companies in both the allocation of overhead costs to individual categories and in terms of the overall estimates of overhead costs; </w:t>
      </w:r>
      <w:proofErr w:type="gramStart"/>
      <w:r w:rsidR="001454B1" w:rsidRPr="005F5BEA">
        <w:t>and,</w:t>
      </w:r>
      <w:proofErr w:type="gramEnd"/>
      <w:r w:rsidR="001454B1" w:rsidRPr="005F5BEA">
        <w:t xml:space="preserve"> the reasonableness of some of the included items (such as, but not limited to, costs associated with external remote monitoring).</w:t>
      </w:r>
    </w:p>
    <w:p w14:paraId="6385FA49" w14:textId="2EDDE191" w:rsidR="001454B1" w:rsidRPr="005F5BEA" w:rsidRDefault="00727248" w:rsidP="00D870BF">
      <w:r w:rsidRPr="005F5BEA">
        <w:t xml:space="preserve">The focussed evaluation considered that </w:t>
      </w:r>
      <w:r w:rsidR="001454B1" w:rsidRPr="005F5BEA">
        <w:t xml:space="preserve">an </w:t>
      </w:r>
      <w:r w:rsidR="001454B1" w:rsidRPr="0064691B">
        <w:t>alternative estimate of overhead costs may be more reasonable, such as an estimate of 30% of non-overhead costs, as was provided in the 1724 ADAR considered by MSAC in March 2023.</w:t>
      </w:r>
      <w:r w:rsidR="001454B1" w:rsidRPr="005F5BEA">
        <w:t xml:space="preserve"> </w:t>
      </w:r>
    </w:p>
    <w:p w14:paraId="49F29A86" w14:textId="7D0DE82F" w:rsidR="00D870BF" w:rsidRPr="005F5BEA" w:rsidRDefault="15DB8F46" w:rsidP="00D870BF">
      <w:r w:rsidRPr="005F5BEA">
        <w:t xml:space="preserve">Several estimates of overhead costs </w:t>
      </w:r>
      <w:r w:rsidR="0562670D" w:rsidRPr="005F5BEA">
        <w:t>were</w:t>
      </w:r>
      <w:r w:rsidRPr="005F5BEA">
        <w:t xml:space="preserve"> included in sensitivity analyses.</w:t>
      </w:r>
    </w:p>
    <w:p w14:paraId="12AE76DC" w14:textId="77777777" w:rsidR="001454B1" w:rsidRPr="005F5BEA" w:rsidRDefault="001454B1" w:rsidP="00D870BF">
      <w:pPr>
        <w:pStyle w:val="Heading4"/>
      </w:pPr>
      <w:r w:rsidRPr="005F5BEA">
        <w:t>Results</w:t>
      </w:r>
    </w:p>
    <w:p w14:paraId="6423B3CC" w14:textId="5E6CC167" w:rsidR="00D870BF" w:rsidRPr="005F5BEA" w:rsidRDefault="001454B1" w:rsidP="006452E2">
      <w:pPr>
        <w:pStyle w:val="Heading5"/>
      </w:pPr>
      <w:r w:rsidRPr="005F5BEA">
        <w:t>ADAR Base Case (Round 1)</w:t>
      </w:r>
    </w:p>
    <w:p w14:paraId="43BAC247" w14:textId="7E2D794C" w:rsidR="001454B1" w:rsidRPr="00C63874" w:rsidRDefault="001454B1" w:rsidP="00C63874">
      <w:r w:rsidRPr="005F5BEA">
        <w:rPr>
          <w:i/>
        </w:rPr>
        <w:fldChar w:fldCharType="begin"/>
      </w:r>
      <w:r w:rsidRPr="005F5BEA">
        <w:rPr>
          <w:i/>
        </w:rPr>
        <w:instrText xml:space="preserve"> REF _Ref135150461 \h </w:instrText>
      </w:r>
      <w:r w:rsidR="00D870BF" w:rsidRPr="005F5BEA">
        <w:rPr>
          <w:i/>
        </w:rPr>
        <w:instrText xml:space="preserve"> \* MERGEFORMAT </w:instrText>
      </w:r>
      <w:r w:rsidRPr="005F5BEA">
        <w:rPr>
          <w:i/>
        </w:rPr>
      </w:r>
      <w:r w:rsidRPr="005F5BEA">
        <w:rPr>
          <w:i/>
        </w:rPr>
        <w:fldChar w:fldCharType="separate"/>
      </w:r>
      <w:r w:rsidR="00334548" w:rsidRPr="00334548">
        <w:rPr>
          <w:rFonts w:ascii="Arial Narrow" w:hAnsi="Arial Narrow"/>
          <w:b/>
          <w:iCs/>
          <w:sz w:val="20"/>
          <w:szCs w:val="20"/>
        </w:rPr>
        <w:t xml:space="preserve">Table </w:t>
      </w:r>
      <w:r w:rsidR="00334548" w:rsidRPr="00334548">
        <w:rPr>
          <w:rFonts w:ascii="Arial Narrow" w:hAnsi="Arial Narrow"/>
          <w:b/>
          <w:iCs/>
          <w:noProof/>
          <w:sz w:val="20"/>
          <w:szCs w:val="20"/>
        </w:rPr>
        <w:t>27</w:t>
      </w:r>
      <w:r w:rsidRPr="005F5BEA">
        <w:rPr>
          <w:i/>
        </w:rPr>
        <w:fldChar w:fldCharType="end"/>
      </w:r>
      <w:r w:rsidRPr="005F5BEA">
        <w:rPr>
          <w:i/>
        </w:rPr>
        <w:t xml:space="preserve"> </w:t>
      </w:r>
      <w:r w:rsidRPr="005F5BEA">
        <w:t>presents the applicants estimate of the cost of providing cardiac technical support services based on Round 1 data collection, as presented in the ADAR (considered by MSAC in March 2023).</w:t>
      </w:r>
      <w:r w:rsidRPr="005F5BEA">
        <w:rPr>
          <w:rFonts w:ascii="Calibri" w:eastAsia="Calibri" w:hAnsi="Calibri" w:cs="Times New Roman"/>
        </w:rPr>
        <w:br w:type="page"/>
      </w:r>
    </w:p>
    <w:p w14:paraId="3E5F5945" w14:textId="1B012EC2" w:rsidR="001454B1" w:rsidRPr="005F5BEA" w:rsidRDefault="001454B1" w:rsidP="001454B1">
      <w:pPr>
        <w:keepNext/>
        <w:spacing w:before="0" w:after="200" w:line="240" w:lineRule="auto"/>
        <w:rPr>
          <w:rFonts w:ascii="Arial Narrow" w:eastAsia="Calibri" w:hAnsi="Arial Narrow" w:cs="Times New Roman"/>
          <w:b/>
          <w:iCs/>
          <w:sz w:val="20"/>
          <w:szCs w:val="20"/>
        </w:rPr>
      </w:pPr>
      <w:bookmarkStart w:id="42" w:name="_Ref135150461"/>
      <w:r w:rsidRPr="005F5BEA">
        <w:rPr>
          <w:rFonts w:ascii="Arial Narrow" w:eastAsia="Calibri" w:hAnsi="Arial Narrow" w:cs="Times New Roman"/>
          <w:b/>
          <w:iCs/>
          <w:sz w:val="20"/>
          <w:szCs w:val="20"/>
        </w:rPr>
        <w:lastRenderedPageBreak/>
        <w:t xml:space="preserve">Table </w:t>
      </w:r>
      <w:r w:rsidRPr="005F5BEA">
        <w:rPr>
          <w:rFonts w:ascii="Arial Narrow" w:eastAsia="Calibri" w:hAnsi="Arial Narrow" w:cs="Times New Roman"/>
          <w:b/>
          <w:iCs/>
          <w:sz w:val="20"/>
          <w:szCs w:val="20"/>
        </w:rPr>
        <w:fldChar w:fldCharType="begin"/>
      </w:r>
      <w:r w:rsidRPr="005F5BEA">
        <w:rPr>
          <w:rFonts w:ascii="Arial Narrow" w:eastAsia="Calibri" w:hAnsi="Arial Narrow" w:cs="Times New Roman"/>
          <w:b/>
          <w:iCs/>
          <w:sz w:val="20"/>
          <w:szCs w:val="20"/>
        </w:rPr>
        <w:instrText xml:space="preserve"> SEQ Table \* ARABIC </w:instrText>
      </w:r>
      <w:r w:rsidRPr="005F5BEA">
        <w:rPr>
          <w:rFonts w:ascii="Arial Narrow" w:eastAsia="Calibri" w:hAnsi="Arial Narrow" w:cs="Times New Roman"/>
          <w:b/>
          <w:iCs/>
          <w:sz w:val="20"/>
          <w:szCs w:val="20"/>
        </w:rPr>
        <w:fldChar w:fldCharType="separate"/>
      </w:r>
      <w:r w:rsidR="00334548">
        <w:rPr>
          <w:rFonts w:ascii="Arial Narrow" w:eastAsia="Calibri" w:hAnsi="Arial Narrow" w:cs="Times New Roman"/>
          <w:b/>
          <w:iCs/>
          <w:noProof/>
          <w:sz w:val="20"/>
          <w:szCs w:val="20"/>
        </w:rPr>
        <w:t>27</w:t>
      </w:r>
      <w:r w:rsidRPr="005F5BEA">
        <w:rPr>
          <w:rFonts w:ascii="Arial Narrow" w:eastAsia="Calibri" w:hAnsi="Arial Narrow" w:cs="Times New Roman"/>
          <w:b/>
          <w:iCs/>
          <w:noProof/>
          <w:sz w:val="20"/>
          <w:szCs w:val="20"/>
        </w:rPr>
        <w:fldChar w:fldCharType="end"/>
      </w:r>
      <w:bookmarkEnd w:id="42"/>
      <w:r w:rsidRPr="005F5BEA">
        <w:rPr>
          <w:rFonts w:ascii="Arial Narrow" w:eastAsia="Calibri" w:hAnsi="Arial Narrow" w:cs="Times New Roman"/>
          <w:b/>
          <w:iCs/>
          <w:sz w:val="20"/>
          <w:szCs w:val="20"/>
        </w:rPr>
        <w:tab/>
        <w:t xml:space="preserve">The estimated cost of providing cardiac technical support services presented in the ADAR, disaggregated by direct and overhead </w:t>
      </w:r>
      <w:proofErr w:type="gramStart"/>
      <w:r w:rsidRPr="005F5BEA">
        <w:rPr>
          <w:rFonts w:ascii="Arial Narrow" w:eastAsia="Calibri" w:hAnsi="Arial Narrow" w:cs="Times New Roman"/>
          <w:b/>
          <w:iCs/>
          <w:sz w:val="20"/>
          <w:szCs w:val="20"/>
        </w:rPr>
        <w:t>costs</w:t>
      </w:r>
      <w:proofErr w:type="gramEnd"/>
    </w:p>
    <w:tbl>
      <w:tblPr>
        <w:tblStyle w:val="TableGrid1"/>
        <w:tblW w:w="5000" w:type="pct"/>
        <w:tblLook w:val="04A0" w:firstRow="1" w:lastRow="0" w:firstColumn="1" w:lastColumn="0" w:noHBand="0" w:noVBand="1"/>
      </w:tblPr>
      <w:tblGrid>
        <w:gridCol w:w="3397"/>
        <w:gridCol w:w="1404"/>
        <w:gridCol w:w="1405"/>
        <w:gridCol w:w="1405"/>
        <w:gridCol w:w="1405"/>
      </w:tblGrid>
      <w:tr w:rsidR="001454B1" w:rsidRPr="005F5BEA" w14:paraId="019ADDFF" w14:textId="77777777" w:rsidTr="00032276">
        <w:tc>
          <w:tcPr>
            <w:tcW w:w="3397" w:type="dxa"/>
          </w:tcPr>
          <w:p w14:paraId="6AF08CF2"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Data</w:t>
            </w:r>
          </w:p>
        </w:tc>
        <w:tc>
          <w:tcPr>
            <w:tcW w:w="1404" w:type="dxa"/>
          </w:tcPr>
          <w:p w14:paraId="295C1ACC"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2022</w:t>
            </w:r>
          </w:p>
        </w:tc>
        <w:tc>
          <w:tcPr>
            <w:tcW w:w="1405" w:type="dxa"/>
          </w:tcPr>
          <w:p w14:paraId="4D7CD9C0"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2023</w:t>
            </w:r>
          </w:p>
        </w:tc>
        <w:tc>
          <w:tcPr>
            <w:tcW w:w="1405" w:type="dxa"/>
          </w:tcPr>
          <w:p w14:paraId="49BA8C31"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2024</w:t>
            </w:r>
          </w:p>
        </w:tc>
        <w:tc>
          <w:tcPr>
            <w:tcW w:w="1405" w:type="dxa"/>
          </w:tcPr>
          <w:p w14:paraId="14A10DCB"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2025</w:t>
            </w:r>
          </w:p>
        </w:tc>
      </w:tr>
      <w:tr w:rsidR="001454B1" w:rsidRPr="005F5BEA" w14:paraId="04BF4037" w14:textId="77777777" w:rsidTr="00032276">
        <w:tc>
          <w:tcPr>
            <w:tcW w:w="9016" w:type="dxa"/>
            <w:gridSpan w:val="5"/>
          </w:tcPr>
          <w:p w14:paraId="2D432A6C"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ADAR base case</w:t>
            </w:r>
          </w:p>
        </w:tc>
      </w:tr>
      <w:tr w:rsidR="001454B1" w:rsidRPr="005F5BEA" w14:paraId="2549ECBE" w14:textId="77777777" w:rsidTr="00032276">
        <w:tc>
          <w:tcPr>
            <w:tcW w:w="3397" w:type="dxa"/>
          </w:tcPr>
          <w:p w14:paraId="380F27D4"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Total services</w:t>
            </w:r>
          </w:p>
        </w:tc>
        <w:tc>
          <w:tcPr>
            <w:tcW w:w="1404" w:type="dxa"/>
          </w:tcPr>
          <w:p w14:paraId="3877C7CB"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697,258</w:t>
            </w:r>
          </w:p>
        </w:tc>
        <w:tc>
          <w:tcPr>
            <w:tcW w:w="1405" w:type="dxa"/>
          </w:tcPr>
          <w:p w14:paraId="66389BBF"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746,066</w:t>
            </w:r>
          </w:p>
        </w:tc>
        <w:tc>
          <w:tcPr>
            <w:tcW w:w="1405" w:type="dxa"/>
          </w:tcPr>
          <w:p w14:paraId="24BBE8E5"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798,290</w:t>
            </w:r>
          </w:p>
        </w:tc>
        <w:tc>
          <w:tcPr>
            <w:tcW w:w="1405" w:type="dxa"/>
          </w:tcPr>
          <w:p w14:paraId="57E2725B"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854,170</w:t>
            </w:r>
          </w:p>
        </w:tc>
      </w:tr>
      <w:tr w:rsidR="001454B1" w:rsidRPr="005F5BEA" w14:paraId="197600C2" w14:textId="77777777" w:rsidTr="00032276">
        <w:tc>
          <w:tcPr>
            <w:tcW w:w="3397" w:type="dxa"/>
          </w:tcPr>
          <w:p w14:paraId="200C0D24"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Total costs</w:t>
            </w:r>
          </w:p>
        </w:tc>
        <w:tc>
          <w:tcPr>
            <w:tcW w:w="1404" w:type="dxa"/>
          </w:tcPr>
          <w:p w14:paraId="0960E8EF"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$73,275,912</w:t>
            </w:r>
          </w:p>
        </w:tc>
        <w:tc>
          <w:tcPr>
            <w:tcW w:w="1405" w:type="dxa"/>
          </w:tcPr>
          <w:p w14:paraId="65D4DDE8"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$79,855,322</w:t>
            </w:r>
          </w:p>
        </w:tc>
        <w:tc>
          <w:tcPr>
            <w:tcW w:w="1405" w:type="dxa"/>
          </w:tcPr>
          <w:p w14:paraId="3251F941"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$86,933,257</w:t>
            </w:r>
          </w:p>
        </w:tc>
        <w:tc>
          <w:tcPr>
            <w:tcW w:w="1405" w:type="dxa"/>
          </w:tcPr>
          <w:p w14:paraId="0DD402A4"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$94,550,963</w:t>
            </w:r>
          </w:p>
        </w:tc>
      </w:tr>
      <w:tr w:rsidR="001454B1" w:rsidRPr="005F5BEA" w14:paraId="512A61DD" w14:textId="77777777" w:rsidTr="00032276">
        <w:tc>
          <w:tcPr>
            <w:tcW w:w="3397" w:type="dxa"/>
          </w:tcPr>
          <w:p w14:paraId="5F07C846" w14:textId="77777777" w:rsidR="001454B1" w:rsidRPr="005F5BEA" w:rsidRDefault="001454B1" w:rsidP="001454B1">
            <w:pPr>
              <w:keepLines/>
              <w:spacing w:before="20" w:after="20"/>
              <w:rPr>
                <w:rFonts w:ascii="Arial Narrow" w:eastAsia="Calibri" w:hAnsi="Arial Narrow" w:cs="Calibri"/>
                <w:i/>
                <w:sz w:val="20"/>
                <w:szCs w:val="20"/>
              </w:rPr>
            </w:pPr>
            <w:r w:rsidRPr="005F5BEA">
              <w:rPr>
                <w:rFonts w:ascii="Arial Narrow" w:eastAsia="Calibri" w:hAnsi="Arial Narrow" w:cs="Calibri"/>
                <w:i/>
                <w:sz w:val="20"/>
                <w:szCs w:val="20"/>
              </w:rPr>
              <w:tab/>
              <w:t>corrected</w:t>
            </w:r>
          </w:p>
        </w:tc>
        <w:tc>
          <w:tcPr>
            <w:tcW w:w="1404" w:type="dxa"/>
          </w:tcPr>
          <w:p w14:paraId="489B0F4E" w14:textId="77777777" w:rsidR="001454B1" w:rsidRPr="00461D0D" w:rsidRDefault="001454B1" w:rsidP="001454B1">
            <w:pPr>
              <w:keepLines/>
              <w:spacing w:before="20" w:after="20"/>
              <w:jc w:val="right"/>
              <w:rPr>
                <w:rFonts w:ascii="Arial Narrow" w:eastAsia="Calibri" w:hAnsi="Arial Narrow" w:cs="Calibri"/>
                <w:i/>
                <w:sz w:val="20"/>
                <w:szCs w:val="20"/>
              </w:rPr>
            </w:pPr>
            <w:r w:rsidRPr="00461D0D">
              <w:rPr>
                <w:rFonts w:ascii="Arial Narrow" w:eastAsia="Calibri" w:hAnsi="Arial Narrow" w:cs="Calibri"/>
                <w:i/>
                <w:sz w:val="20"/>
                <w:szCs w:val="20"/>
              </w:rPr>
              <w:t>$73,275,912</w:t>
            </w:r>
          </w:p>
        </w:tc>
        <w:tc>
          <w:tcPr>
            <w:tcW w:w="1405" w:type="dxa"/>
          </w:tcPr>
          <w:p w14:paraId="7FA6F00F" w14:textId="77777777" w:rsidR="001454B1" w:rsidRPr="00461D0D" w:rsidRDefault="001454B1" w:rsidP="001454B1">
            <w:pPr>
              <w:keepLines/>
              <w:spacing w:before="20" w:after="20"/>
              <w:jc w:val="right"/>
              <w:rPr>
                <w:rFonts w:ascii="Arial Narrow" w:eastAsia="Calibri" w:hAnsi="Arial Narrow" w:cs="Calibri"/>
                <w:i/>
                <w:sz w:val="20"/>
                <w:szCs w:val="20"/>
              </w:rPr>
            </w:pPr>
            <w:r w:rsidRPr="00461D0D">
              <w:rPr>
                <w:rFonts w:ascii="Arial Narrow" w:eastAsia="Calibri" w:hAnsi="Arial Narrow" w:cs="Calibri"/>
                <w:i/>
                <w:sz w:val="20"/>
                <w:szCs w:val="20"/>
              </w:rPr>
              <w:t>$78,746,810</w:t>
            </w:r>
          </w:p>
        </w:tc>
        <w:tc>
          <w:tcPr>
            <w:tcW w:w="1405" w:type="dxa"/>
          </w:tcPr>
          <w:p w14:paraId="42546FA7" w14:textId="77777777" w:rsidR="001454B1" w:rsidRPr="00461D0D" w:rsidRDefault="001454B1" w:rsidP="001454B1">
            <w:pPr>
              <w:keepLines/>
              <w:spacing w:before="20" w:after="20"/>
              <w:jc w:val="right"/>
              <w:rPr>
                <w:rFonts w:ascii="Arial Narrow" w:eastAsia="Calibri" w:hAnsi="Arial Narrow" w:cs="Calibri"/>
                <w:i/>
                <w:sz w:val="20"/>
                <w:szCs w:val="20"/>
              </w:rPr>
            </w:pPr>
            <w:r w:rsidRPr="00461D0D">
              <w:rPr>
                <w:rFonts w:ascii="Arial Narrow" w:eastAsia="Calibri" w:hAnsi="Arial Narrow" w:cs="Calibri"/>
                <w:i/>
                <w:sz w:val="20"/>
                <w:szCs w:val="20"/>
              </w:rPr>
              <w:t>$84,552,771</w:t>
            </w:r>
          </w:p>
        </w:tc>
        <w:tc>
          <w:tcPr>
            <w:tcW w:w="1405" w:type="dxa"/>
          </w:tcPr>
          <w:p w14:paraId="3C4C2B6A" w14:textId="77777777" w:rsidR="001454B1" w:rsidRPr="00461D0D" w:rsidRDefault="001454B1" w:rsidP="001454B1">
            <w:pPr>
              <w:keepLines/>
              <w:spacing w:before="20" w:after="20"/>
              <w:jc w:val="right"/>
              <w:rPr>
                <w:rFonts w:ascii="Arial Narrow" w:eastAsia="Calibri" w:hAnsi="Arial Narrow" w:cs="Calibri"/>
                <w:i/>
                <w:sz w:val="20"/>
                <w:szCs w:val="20"/>
              </w:rPr>
            </w:pPr>
            <w:r w:rsidRPr="00461D0D">
              <w:rPr>
                <w:rFonts w:ascii="Arial Narrow" w:eastAsia="Calibri" w:hAnsi="Arial Narrow" w:cs="Calibri"/>
                <w:i/>
                <w:sz w:val="20"/>
                <w:szCs w:val="20"/>
              </w:rPr>
              <w:t>$90,719,797</w:t>
            </w:r>
          </w:p>
        </w:tc>
      </w:tr>
      <w:tr w:rsidR="001454B1" w:rsidRPr="005F5BEA" w14:paraId="38789160" w14:textId="77777777" w:rsidTr="00032276">
        <w:tc>
          <w:tcPr>
            <w:tcW w:w="3397" w:type="dxa"/>
          </w:tcPr>
          <w:p w14:paraId="61F94BC0"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Labour costs</w:t>
            </w:r>
          </w:p>
        </w:tc>
        <w:tc>
          <w:tcPr>
            <w:tcW w:w="1404" w:type="dxa"/>
          </w:tcPr>
          <w:p w14:paraId="33DBF73E"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$35,226,463</w:t>
            </w:r>
          </w:p>
        </w:tc>
        <w:tc>
          <w:tcPr>
            <w:tcW w:w="1405" w:type="dxa"/>
          </w:tcPr>
          <w:p w14:paraId="18A8CDFB"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$37,702,355</w:t>
            </w:r>
          </w:p>
        </w:tc>
        <w:tc>
          <w:tcPr>
            <w:tcW w:w="1405" w:type="dxa"/>
          </w:tcPr>
          <w:p w14:paraId="1EF2E277"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$40,352,262</w:t>
            </w:r>
          </w:p>
        </w:tc>
        <w:tc>
          <w:tcPr>
            <w:tcW w:w="1405" w:type="dxa"/>
          </w:tcPr>
          <w:p w14:paraId="66E69F42"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$43,188,415</w:t>
            </w:r>
          </w:p>
        </w:tc>
      </w:tr>
      <w:tr w:rsidR="001454B1" w:rsidRPr="005F5BEA" w14:paraId="51C04ECA" w14:textId="77777777" w:rsidTr="00032276">
        <w:tc>
          <w:tcPr>
            <w:tcW w:w="3397" w:type="dxa"/>
          </w:tcPr>
          <w:p w14:paraId="046DE705"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Travel costs</w:t>
            </w:r>
          </w:p>
        </w:tc>
        <w:tc>
          <w:tcPr>
            <w:tcW w:w="1404" w:type="dxa"/>
          </w:tcPr>
          <w:p w14:paraId="074467D0"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$5,964,370</w:t>
            </w:r>
          </w:p>
        </w:tc>
        <w:tc>
          <w:tcPr>
            <w:tcW w:w="1405" w:type="dxa"/>
          </w:tcPr>
          <w:p w14:paraId="664F447E"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$6,771,171</w:t>
            </w:r>
          </w:p>
        </w:tc>
        <w:tc>
          <w:tcPr>
            <w:tcW w:w="1405" w:type="dxa"/>
          </w:tcPr>
          <w:p w14:paraId="0A037CE1"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$7,661,698</w:t>
            </w:r>
          </w:p>
        </w:tc>
        <w:tc>
          <w:tcPr>
            <w:tcW w:w="1405" w:type="dxa"/>
          </w:tcPr>
          <w:p w14:paraId="42DA74D1"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$8,643,720</w:t>
            </w:r>
          </w:p>
        </w:tc>
      </w:tr>
      <w:tr w:rsidR="001454B1" w:rsidRPr="005F5BEA" w14:paraId="4936101F" w14:textId="77777777" w:rsidTr="00032276">
        <w:tc>
          <w:tcPr>
            <w:tcW w:w="3397" w:type="dxa"/>
          </w:tcPr>
          <w:p w14:paraId="599B858E"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Training costs</w:t>
            </w:r>
          </w:p>
        </w:tc>
        <w:tc>
          <w:tcPr>
            <w:tcW w:w="1404" w:type="dxa"/>
          </w:tcPr>
          <w:p w14:paraId="3E5F8130"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$15,175,253</w:t>
            </w:r>
          </w:p>
        </w:tc>
        <w:tc>
          <w:tcPr>
            <w:tcW w:w="1405" w:type="dxa"/>
          </w:tcPr>
          <w:p w14:paraId="70EBD7CA"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$16,100,943</w:t>
            </w:r>
          </w:p>
        </w:tc>
        <w:tc>
          <w:tcPr>
            <w:tcW w:w="1405" w:type="dxa"/>
          </w:tcPr>
          <w:p w14:paraId="22C259EB"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$17,026,634</w:t>
            </w:r>
          </w:p>
        </w:tc>
        <w:tc>
          <w:tcPr>
            <w:tcW w:w="1405" w:type="dxa"/>
          </w:tcPr>
          <w:p w14:paraId="150057D4"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$17,952,324</w:t>
            </w:r>
          </w:p>
        </w:tc>
      </w:tr>
      <w:tr w:rsidR="001454B1" w:rsidRPr="005F5BEA" w14:paraId="27C188AD" w14:textId="77777777" w:rsidTr="00032276">
        <w:tc>
          <w:tcPr>
            <w:tcW w:w="3397" w:type="dxa"/>
          </w:tcPr>
          <w:p w14:paraId="3A154044" w14:textId="77777777" w:rsidR="001454B1" w:rsidRPr="005F5BEA" w:rsidRDefault="001454B1" w:rsidP="001454B1">
            <w:pPr>
              <w:keepLines/>
              <w:spacing w:before="20" w:after="20"/>
              <w:rPr>
                <w:rFonts w:ascii="Arial Narrow" w:eastAsia="Calibri" w:hAnsi="Arial Narrow" w:cs="Calibri"/>
                <w:sz w:val="20"/>
                <w:szCs w:val="20"/>
                <w:vertAlign w:val="superscript"/>
              </w:rPr>
            </w:pPr>
            <w:r w:rsidRPr="005F5BEA">
              <w:rPr>
                <w:rFonts w:ascii="Arial Narrow" w:eastAsia="Calibri" w:hAnsi="Arial Narrow" w:cs="Calibri"/>
                <w:sz w:val="20"/>
                <w:szCs w:val="20"/>
              </w:rPr>
              <w:t xml:space="preserve">Overhead </w:t>
            </w:r>
            <w:proofErr w:type="spellStart"/>
            <w:r w:rsidRPr="005F5BEA">
              <w:rPr>
                <w:rFonts w:ascii="Arial Narrow" w:eastAsia="Calibri" w:hAnsi="Arial Narrow" w:cs="Calibri"/>
                <w:sz w:val="20"/>
                <w:szCs w:val="20"/>
              </w:rPr>
              <w:t>costs</w:t>
            </w:r>
            <w:r w:rsidRPr="005F5BEA">
              <w:rPr>
                <w:rFonts w:ascii="Arial Narrow" w:eastAsia="Calibri" w:hAnsi="Arial Narrow" w:cs="Calibri"/>
                <w:sz w:val="20"/>
                <w:szCs w:val="20"/>
                <w:vertAlign w:val="superscript"/>
              </w:rPr>
              <w:t>a</w:t>
            </w:r>
            <w:proofErr w:type="spellEnd"/>
          </w:p>
        </w:tc>
        <w:tc>
          <w:tcPr>
            <w:tcW w:w="1404" w:type="dxa"/>
          </w:tcPr>
          <w:p w14:paraId="5C4F43B9"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$16,909,826</w:t>
            </w:r>
          </w:p>
        </w:tc>
        <w:tc>
          <w:tcPr>
            <w:tcW w:w="1405" w:type="dxa"/>
          </w:tcPr>
          <w:p w14:paraId="67E5F3EF"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$19,280,853</w:t>
            </w:r>
          </w:p>
        </w:tc>
        <w:tc>
          <w:tcPr>
            <w:tcW w:w="1405" w:type="dxa"/>
          </w:tcPr>
          <w:p w14:paraId="7BCC0EF5"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$21,892,664</w:t>
            </w:r>
          </w:p>
        </w:tc>
        <w:tc>
          <w:tcPr>
            <w:tcW w:w="1405" w:type="dxa"/>
          </w:tcPr>
          <w:p w14:paraId="5E66C5DD"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$24,766,504</w:t>
            </w:r>
          </w:p>
        </w:tc>
      </w:tr>
      <w:tr w:rsidR="001454B1" w:rsidRPr="005F5BEA" w14:paraId="2846EB72" w14:textId="77777777" w:rsidTr="00032276">
        <w:tc>
          <w:tcPr>
            <w:tcW w:w="3397" w:type="dxa"/>
          </w:tcPr>
          <w:p w14:paraId="46A52313"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i/>
                <w:sz w:val="20"/>
                <w:szCs w:val="20"/>
              </w:rPr>
              <w:tab/>
              <w:t>corrected</w:t>
            </w:r>
          </w:p>
        </w:tc>
        <w:tc>
          <w:tcPr>
            <w:tcW w:w="1404" w:type="dxa"/>
            <w:vAlign w:val="center"/>
          </w:tcPr>
          <w:p w14:paraId="483F5BA8" w14:textId="77777777" w:rsidR="001454B1" w:rsidRPr="00461D0D" w:rsidRDefault="001454B1" w:rsidP="001454B1">
            <w:pPr>
              <w:keepLines/>
              <w:spacing w:before="20" w:after="20"/>
              <w:jc w:val="right"/>
              <w:rPr>
                <w:rFonts w:ascii="Arial Narrow" w:eastAsia="Calibri" w:hAnsi="Arial Narrow" w:cs="Calibri"/>
                <w:i/>
                <w:sz w:val="20"/>
                <w:szCs w:val="20"/>
              </w:rPr>
            </w:pPr>
            <w:r w:rsidRPr="00461D0D">
              <w:rPr>
                <w:rFonts w:ascii="Arial Narrow" w:eastAsia="Calibri" w:hAnsi="Arial Narrow" w:cs="Calibri"/>
                <w:i/>
                <w:sz w:val="20"/>
                <w:szCs w:val="20"/>
              </w:rPr>
              <w:t>$16,909,826</w:t>
            </w:r>
          </w:p>
        </w:tc>
        <w:tc>
          <w:tcPr>
            <w:tcW w:w="1405" w:type="dxa"/>
            <w:vAlign w:val="center"/>
          </w:tcPr>
          <w:p w14:paraId="41AC0802" w14:textId="77777777" w:rsidR="001454B1" w:rsidRPr="00461D0D" w:rsidRDefault="001454B1" w:rsidP="001454B1">
            <w:pPr>
              <w:keepLines/>
              <w:spacing w:before="20" w:after="20"/>
              <w:jc w:val="right"/>
              <w:rPr>
                <w:rFonts w:ascii="Arial Narrow" w:eastAsia="Calibri" w:hAnsi="Arial Narrow" w:cs="Calibri"/>
                <w:i/>
                <w:sz w:val="20"/>
                <w:szCs w:val="20"/>
              </w:rPr>
            </w:pPr>
            <w:r w:rsidRPr="00461D0D">
              <w:rPr>
                <w:rFonts w:ascii="Arial Narrow" w:eastAsia="Calibri" w:hAnsi="Arial Narrow" w:cs="Calibri"/>
                <w:i/>
                <w:sz w:val="20"/>
                <w:szCs w:val="20"/>
              </w:rPr>
              <w:t>$18,172,341</w:t>
            </w:r>
          </w:p>
        </w:tc>
        <w:tc>
          <w:tcPr>
            <w:tcW w:w="1405" w:type="dxa"/>
            <w:vAlign w:val="center"/>
          </w:tcPr>
          <w:p w14:paraId="7FBC159B" w14:textId="77777777" w:rsidR="001454B1" w:rsidRPr="00461D0D" w:rsidRDefault="001454B1" w:rsidP="001454B1">
            <w:pPr>
              <w:keepLines/>
              <w:spacing w:before="20" w:after="20"/>
              <w:jc w:val="right"/>
              <w:rPr>
                <w:rFonts w:ascii="Arial Narrow" w:eastAsia="Calibri" w:hAnsi="Arial Narrow" w:cs="Calibri"/>
                <w:i/>
                <w:sz w:val="20"/>
                <w:szCs w:val="20"/>
              </w:rPr>
            </w:pPr>
            <w:r w:rsidRPr="00461D0D">
              <w:rPr>
                <w:rFonts w:ascii="Arial Narrow" w:eastAsia="Calibri" w:hAnsi="Arial Narrow" w:cs="Calibri"/>
                <w:i/>
                <w:sz w:val="20"/>
                <w:szCs w:val="20"/>
              </w:rPr>
              <w:t>$19,512,178</w:t>
            </w:r>
          </w:p>
        </w:tc>
        <w:tc>
          <w:tcPr>
            <w:tcW w:w="1405" w:type="dxa"/>
            <w:vAlign w:val="center"/>
          </w:tcPr>
          <w:p w14:paraId="6D95D630" w14:textId="77777777" w:rsidR="001454B1" w:rsidRPr="00461D0D" w:rsidRDefault="001454B1" w:rsidP="001454B1">
            <w:pPr>
              <w:keepLines/>
              <w:spacing w:before="20" w:after="20"/>
              <w:jc w:val="right"/>
              <w:rPr>
                <w:rFonts w:ascii="Arial Narrow" w:eastAsia="Calibri" w:hAnsi="Arial Narrow" w:cs="Calibri"/>
                <w:i/>
                <w:sz w:val="20"/>
                <w:szCs w:val="20"/>
              </w:rPr>
            </w:pPr>
            <w:r w:rsidRPr="00461D0D">
              <w:rPr>
                <w:rFonts w:ascii="Arial Narrow" w:eastAsia="Calibri" w:hAnsi="Arial Narrow" w:cs="Calibri"/>
                <w:i/>
                <w:sz w:val="20"/>
                <w:szCs w:val="20"/>
              </w:rPr>
              <w:t>$20,935,338</w:t>
            </w:r>
          </w:p>
        </w:tc>
      </w:tr>
    </w:tbl>
    <w:p w14:paraId="43C33F91"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Source: Table 3, 1724 – Attachment A – Additional Data Collection (Interim Report); ADAR = Applicant developed assessment report</w:t>
      </w:r>
    </w:p>
    <w:p w14:paraId="346A7EA2" w14:textId="77777777" w:rsidR="001454B1" w:rsidRPr="005F5BEA" w:rsidRDefault="001454B1" w:rsidP="00C63874">
      <w:pPr>
        <w:spacing w:before="0" w:after="240"/>
        <w:jc w:val="both"/>
        <w:rPr>
          <w:rFonts w:ascii="Arial Narrow" w:eastAsia="Calibri" w:hAnsi="Arial Narrow" w:cs="Arial"/>
          <w:sz w:val="18"/>
        </w:rPr>
      </w:pPr>
      <w:proofErr w:type="spellStart"/>
      <w:r w:rsidRPr="005F5BEA">
        <w:rPr>
          <w:rFonts w:ascii="Arial Narrow" w:eastAsia="Calibri" w:hAnsi="Arial Narrow" w:cs="Arial"/>
          <w:sz w:val="18"/>
          <w:vertAlign w:val="superscript"/>
        </w:rPr>
        <w:t>a</w:t>
      </w:r>
      <w:r w:rsidRPr="005F5BEA">
        <w:rPr>
          <w:rFonts w:ascii="Arial Narrow" w:eastAsia="Calibri" w:hAnsi="Arial Narrow" w:cs="Arial"/>
          <w:sz w:val="18"/>
        </w:rPr>
        <w:t>Overhead</w:t>
      </w:r>
      <w:proofErr w:type="spellEnd"/>
      <w:r w:rsidRPr="005F5BEA">
        <w:rPr>
          <w:rFonts w:ascii="Arial Narrow" w:eastAsia="Calibri" w:hAnsi="Arial Narrow" w:cs="Arial"/>
          <w:sz w:val="18"/>
        </w:rPr>
        <w:t xml:space="preserve"> costs are estimated as 30% of non-overhead costs. These costs are inflated by 6% in 2023, 12% in 2024 and 18% in 2025. As the non-overhead costs are also inflated by CPI, this represents </w:t>
      </w:r>
      <w:proofErr w:type="gramStart"/>
      <w:r w:rsidRPr="005F5BEA">
        <w:rPr>
          <w:rFonts w:ascii="Arial Narrow" w:eastAsia="Calibri" w:hAnsi="Arial Narrow" w:cs="Arial"/>
          <w:sz w:val="18"/>
        </w:rPr>
        <w:t>double-counting</w:t>
      </w:r>
      <w:proofErr w:type="gramEnd"/>
      <w:r w:rsidRPr="005F5BEA">
        <w:rPr>
          <w:rFonts w:ascii="Arial Narrow" w:eastAsia="Calibri" w:hAnsi="Arial Narrow" w:cs="Arial"/>
          <w:sz w:val="18"/>
        </w:rPr>
        <w:t xml:space="preserve">. This is corrected in the table. </w:t>
      </w:r>
    </w:p>
    <w:p w14:paraId="7488E856" w14:textId="77777777" w:rsidR="001454B1" w:rsidRPr="005F5BEA" w:rsidRDefault="001454B1" w:rsidP="006452E2">
      <w:r w:rsidRPr="005F5BEA">
        <w:t xml:space="preserve">The updated Utilisation and Cost Model spreadsheet estimates services based on an average of the services from Round 1 and Round 2. There is no option provided in the model to isolate Round 1 data and replicate the ADAR base case. </w:t>
      </w:r>
    </w:p>
    <w:p w14:paraId="328445CF" w14:textId="7223220F" w:rsidR="006452E2" w:rsidRPr="005F5BEA" w:rsidRDefault="001454B1" w:rsidP="006452E2">
      <w:pPr>
        <w:pStyle w:val="Heading5"/>
      </w:pPr>
      <w:r w:rsidRPr="005F5BEA">
        <w:t>Updated patient numbers (Round 1 and Round 2)</w:t>
      </w:r>
    </w:p>
    <w:p w14:paraId="74BE7470" w14:textId="3F339AC6" w:rsidR="001454B1" w:rsidRPr="005F5BEA" w:rsidRDefault="001454B1" w:rsidP="006452E2">
      <w:r w:rsidRPr="005F5BEA">
        <w:t>The applicant has provided an updated estimate of the cost of providing cardiac technical support services based on patient numbers from Round 1 and Round 2 (</w:t>
      </w:r>
      <w:r w:rsidRPr="005F5BEA">
        <w:fldChar w:fldCharType="begin"/>
      </w:r>
      <w:r w:rsidRPr="005F5BEA">
        <w:instrText xml:space="preserve"> REF _Ref135071449 \h </w:instrText>
      </w:r>
      <w:r w:rsidR="006452E2" w:rsidRPr="005F5BEA">
        <w:instrText xml:space="preserve"> \* MERGEFORMAT </w:instrText>
      </w:r>
      <w:r w:rsidRPr="005F5BEA">
        <w:fldChar w:fldCharType="separate"/>
      </w:r>
      <w:r w:rsidR="00334548" w:rsidRPr="00334548">
        <w:rPr>
          <w:rFonts w:ascii="Arial Narrow" w:hAnsi="Arial Narrow"/>
          <w:b/>
          <w:iCs/>
          <w:sz w:val="20"/>
          <w:szCs w:val="20"/>
        </w:rPr>
        <w:t xml:space="preserve">Table </w:t>
      </w:r>
      <w:r w:rsidR="00334548" w:rsidRPr="00334548">
        <w:rPr>
          <w:rFonts w:ascii="Arial Narrow" w:hAnsi="Arial Narrow"/>
          <w:b/>
          <w:iCs/>
          <w:noProof/>
          <w:sz w:val="20"/>
          <w:szCs w:val="20"/>
        </w:rPr>
        <w:t>28</w:t>
      </w:r>
      <w:r w:rsidRPr="005F5BEA">
        <w:fldChar w:fldCharType="end"/>
      </w:r>
      <w:r w:rsidRPr="005F5BEA">
        <w:t>). Overhead costs have been estimated as 30% of non-overhead costs (as per the approach taken in the ADAR considered by MSAC in March 2023).</w:t>
      </w:r>
    </w:p>
    <w:p w14:paraId="4985E985" w14:textId="6658EC9D" w:rsidR="001454B1" w:rsidRPr="005F5BEA" w:rsidRDefault="001454B1" w:rsidP="001454B1">
      <w:pPr>
        <w:keepNext/>
        <w:spacing w:before="0" w:after="200" w:line="240" w:lineRule="auto"/>
        <w:rPr>
          <w:rFonts w:ascii="Arial Narrow" w:eastAsia="Calibri" w:hAnsi="Arial Narrow" w:cs="Times New Roman"/>
          <w:b/>
          <w:iCs/>
          <w:sz w:val="20"/>
          <w:szCs w:val="20"/>
        </w:rPr>
      </w:pPr>
      <w:bookmarkStart w:id="43" w:name="_Ref135071449"/>
      <w:bookmarkStart w:id="44" w:name="_Hlk137215531"/>
      <w:r w:rsidRPr="005F5BEA">
        <w:rPr>
          <w:rFonts w:ascii="Arial Narrow" w:eastAsia="Calibri" w:hAnsi="Arial Narrow" w:cs="Times New Roman"/>
          <w:b/>
          <w:iCs/>
          <w:sz w:val="20"/>
          <w:szCs w:val="20"/>
        </w:rPr>
        <w:t xml:space="preserve">Table </w:t>
      </w:r>
      <w:r w:rsidRPr="005F5BEA">
        <w:rPr>
          <w:rFonts w:ascii="Arial Narrow" w:eastAsia="Calibri" w:hAnsi="Arial Narrow" w:cs="Times New Roman"/>
          <w:b/>
          <w:iCs/>
          <w:sz w:val="20"/>
          <w:szCs w:val="20"/>
        </w:rPr>
        <w:fldChar w:fldCharType="begin"/>
      </w:r>
      <w:r w:rsidRPr="005F5BEA">
        <w:rPr>
          <w:rFonts w:ascii="Arial Narrow" w:eastAsia="Calibri" w:hAnsi="Arial Narrow" w:cs="Times New Roman"/>
          <w:b/>
          <w:iCs/>
          <w:sz w:val="20"/>
          <w:szCs w:val="20"/>
        </w:rPr>
        <w:instrText xml:space="preserve"> SEQ Table \* ARABIC </w:instrText>
      </w:r>
      <w:r w:rsidRPr="005F5BEA">
        <w:rPr>
          <w:rFonts w:ascii="Arial Narrow" w:eastAsia="Calibri" w:hAnsi="Arial Narrow" w:cs="Times New Roman"/>
          <w:b/>
          <w:iCs/>
          <w:sz w:val="20"/>
          <w:szCs w:val="20"/>
        </w:rPr>
        <w:fldChar w:fldCharType="separate"/>
      </w:r>
      <w:r w:rsidR="00334548">
        <w:rPr>
          <w:rFonts w:ascii="Arial Narrow" w:eastAsia="Calibri" w:hAnsi="Arial Narrow" w:cs="Times New Roman"/>
          <w:b/>
          <w:iCs/>
          <w:noProof/>
          <w:sz w:val="20"/>
          <w:szCs w:val="20"/>
        </w:rPr>
        <w:t>28</w:t>
      </w:r>
      <w:r w:rsidRPr="005F5BEA">
        <w:rPr>
          <w:rFonts w:ascii="Arial Narrow" w:eastAsia="Calibri" w:hAnsi="Arial Narrow" w:cs="Times New Roman"/>
          <w:b/>
          <w:iCs/>
          <w:noProof/>
          <w:sz w:val="20"/>
          <w:szCs w:val="20"/>
        </w:rPr>
        <w:fldChar w:fldCharType="end"/>
      </w:r>
      <w:bookmarkEnd w:id="43"/>
      <w:r w:rsidRPr="005F5BEA">
        <w:rPr>
          <w:rFonts w:ascii="Arial Narrow" w:eastAsia="Calibri" w:hAnsi="Arial Narrow" w:cs="Times New Roman"/>
          <w:b/>
          <w:iCs/>
          <w:sz w:val="20"/>
          <w:szCs w:val="20"/>
        </w:rPr>
        <w:tab/>
        <w:t xml:space="preserve">The estimated cost of providing cardiac technical support services presented in the ADAR, incorporating patient numbers from Round 1 and Round 2, disaggregated by direct and overhead </w:t>
      </w:r>
      <w:proofErr w:type="gramStart"/>
      <w:r w:rsidRPr="005F5BEA">
        <w:rPr>
          <w:rFonts w:ascii="Arial Narrow" w:eastAsia="Calibri" w:hAnsi="Arial Narrow" w:cs="Times New Roman"/>
          <w:b/>
          <w:iCs/>
          <w:sz w:val="20"/>
          <w:szCs w:val="20"/>
        </w:rPr>
        <w:t>costs</w:t>
      </w:r>
      <w:proofErr w:type="gramEnd"/>
    </w:p>
    <w:tbl>
      <w:tblPr>
        <w:tblStyle w:val="TableGrid1"/>
        <w:tblW w:w="0" w:type="auto"/>
        <w:tblLook w:val="04A0" w:firstRow="1" w:lastRow="0" w:firstColumn="1" w:lastColumn="0" w:noHBand="0" w:noVBand="1"/>
      </w:tblPr>
      <w:tblGrid>
        <w:gridCol w:w="1592"/>
        <w:gridCol w:w="1555"/>
        <w:gridCol w:w="1299"/>
        <w:gridCol w:w="1459"/>
        <w:gridCol w:w="1613"/>
        <w:gridCol w:w="1498"/>
      </w:tblGrid>
      <w:tr w:rsidR="001454B1" w:rsidRPr="005F5BEA" w14:paraId="706F12E1" w14:textId="77777777" w:rsidTr="00032276">
        <w:tc>
          <w:tcPr>
            <w:tcW w:w="1592" w:type="dxa"/>
          </w:tcPr>
          <w:bookmarkEnd w:id="44"/>
          <w:p w14:paraId="315C5E79"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Data</w:t>
            </w:r>
          </w:p>
        </w:tc>
        <w:tc>
          <w:tcPr>
            <w:tcW w:w="1555" w:type="dxa"/>
          </w:tcPr>
          <w:p w14:paraId="3FA1028D"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2022</w:t>
            </w:r>
          </w:p>
        </w:tc>
        <w:tc>
          <w:tcPr>
            <w:tcW w:w="1299" w:type="dxa"/>
          </w:tcPr>
          <w:p w14:paraId="1EEBB6B6"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2023</w:t>
            </w:r>
          </w:p>
        </w:tc>
        <w:tc>
          <w:tcPr>
            <w:tcW w:w="1459" w:type="dxa"/>
          </w:tcPr>
          <w:p w14:paraId="53CD35A3"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2024</w:t>
            </w:r>
          </w:p>
        </w:tc>
        <w:tc>
          <w:tcPr>
            <w:tcW w:w="1613" w:type="dxa"/>
          </w:tcPr>
          <w:p w14:paraId="028FA009"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2025</w:t>
            </w:r>
          </w:p>
        </w:tc>
        <w:tc>
          <w:tcPr>
            <w:tcW w:w="1498" w:type="dxa"/>
          </w:tcPr>
          <w:p w14:paraId="5AFB295F"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 xml:space="preserve">Percentage change from </w:t>
            </w:r>
            <w:proofErr w:type="spellStart"/>
            <w:r w:rsidRPr="005F5BEA">
              <w:rPr>
                <w:rFonts w:ascii="Arial Narrow" w:eastAsia="Calibri" w:hAnsi="Arial Narrow" w:cs="Calibri"/>
                <w:b/>
                <w:sz w:val="20"/>
                <w:szCs w:val="20"/>
                <w:lang w:val="en-US"/>
              </w:rPr>
              <w:t>ADAR</w:t>
            </w:r>
            <w:r w:rsidRPr="005F5BEA">
              <w:rPr>
                <w:rFonts w:ascii="Arial Narrow" w:eastAsia="Calibri" w:hAnsi="Arial Narrow" w:cs="Calibri"/>
                <w:b/>
                <w:sz w:val="20"/>
                <w:szCs w:val="20"/>
                <w:vertAlign w:val="superscript"/>
                <w:lang w:val="en-US"/>
              </w:rPr>
              <w:t>b</w:t>
            </w:r>
            <w:proofErr w:type="spellEnd"/>
          </w:p>
        </w:tc>
      </w:tr>
      <w:tr w:rsidR="001454B1" w:rsidRPr="005F5BEA" w14:paraId="1C7FB295" w14:textId="77777777" w:rsidTr="00032276">
        <w:tc>
          <w:tcPr>
            <w:tcW w:w="9016" w:type="dxa"/>
            <w:gridSpan w:val="6"/>
          </w:tcPr>
          <w:p w14:paraId="70342BC2"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Updated model with Round 1 and Round 2 patient numbers</w:t>
            </w:r>
          </w:p>
        </w:tc>
      </w:tr>
      <w:tr w:rsidR="001454B1" w:rsidRPr="005F5BEA" w14:paraId="4D122DC8" w14:textId="77777777" w:rsidTr="00032276">
        <w:tc>
          <w:tcPr>
            <w:tcW w:w="1592" w:type="dxa"/>
          </w:tcPr>
          <w:p w14:paraId="69F2B067"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Total services</w:t>
            </w:r>
          </w:p>
        </w:tc>
        <w:tc>
          <w:tcPr>
            <w:tcW w:w="1555" w:type="dxa"/>
          </w:tcPr>
          <w:p w14:paraId="1E665B0D"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761,281</w:t>
            </w:r>
          </w:p>
        </w:tc>
        <w:tc>
          <w:tcPr>
            <w:tcW w:w="1299" w:type="dxa"/>
          </w:tcPr>
          <w:p w14:paraId="57BFD052"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814,571</w:t>
            </w:r>
          </w:p>
        </w:tc>
        <w:tc>
          <w:tcPr>
            <w:tcW w:w="1459" w:type="dxa"/>
          </w:tcPr>
          <w:p w14:paraId="74A7C861"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871,591</w:t>
            </w:r>
          </w:p>
        </w:tc>
        <w:tc>
          <w:tcPr>
            <w:tcW w:w="1613" w:type="dxa"/>
          </w:tcPr>
          <w:p w14:paraId="63BF3556"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932,602</w:t>
            </w:r>
          </w:p>
        </w:tc>
        <w:tc>
          <w:tcPr>
            <w:tcW w:w="1498" w:type="dxa"/>
          </w:tcPr>
          <w:p w14:paraId="396E0713"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9.2%</w:t>
            </w:r>
          </w:p>
        </w:tc>
      </w:tr>
      <w:tr w:rsidR="001454B1" w:rsidRPr="005F5BEA" w14:paraId="2671FF5F" w14:textId="77777777" w:rsidTr="00032276">
        <w:tc>
          <w:tcPr>
            <w:tcW w:w="1592" w:type="dxa"/>
          </w:tcPr>
          <w:p w14:paraId="4D732F3E"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Total costs</w:t>
            </w:r>
          </w:p>
        </w:tc>
        <w:tc>
          <w:tcPr>
            <w:tcW w:w="1555" w:type="dxa"/>
          </w:tcPr>
          <w:p w14:paraId="56E83257"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$77,507,102</w:t>
            </w:r>
          </w:p>
        </w:tc>
        <w:tc>
          <w:tcPr>
            <w:tcW w:w="1299" w:type="dxa"/>
          </w:tcPr>
          <w:p w14:paraId="24E02520"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$84,488,969</w:t>
            </w:r>
          </w:p>
        </w:tc>
        <w:tc>
          <w:tcPr>
            <w:tcW w:w="1459" w:type="dxa"/>
          </w:tcPr>
          <w:p w14:paraId="45FCF738"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$92,006,235</w:t>
            </w:r>
          </w:p>
        </w:tc>
        <w:tc>
          <w:tcPr>
            <w:tcW w:w="1613" w:type="dxa"/>
          </w:tcPr>
          <w:p w14:paraId="14A4FAD6"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$100,103,426</w:t>
            </w:r>
          </w:p>
        </w:tc>
        <w:tc>
          <w:tcPr>
            <w:tcW w:w="1498" w:type="dxa"/>
          </w:tcPr>
          <w:p w14:paraId="18378EE7"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5.8%</w:t>
            </w:r>
          </w:p>
        </w:tc>
      </w:tr>
      <w:tr w:rsidR="001454B1" w:rsidRPr="005F5BEA" w14:paraId="6169529A" w14:textId="77777777" w:rsidTr="00032276">
        <w:tc>
          <w:tcPr>
            <w:tcW w:w="1592" w:type="dxa"/>
          </w:tcPr>
          <w:p w14:paraId="7E5EB5FA" w14:textId="77777777" w:rsidR="001454B1" w:rsidRPr="005F5BEA" w:rsidRDefault="001454B1" w:rsidP="001454B1">
            <w:pPr>
              <w:keepLines/>
              <w:spacing w:before="20" w:after="20"/>
              <w:rPr>
                <w:rFonts w:ascii="Arial Narrow" w:eastAsia="Calibri" w:hAnsi="Arial Narrow" w:cs="Calibri"/>
                <w:i/>
                <w:sz w:val="20"/>
                <w:szCs w:val="20"/>
              </w:rPr>
            </w:pPr>
            <w:r w:rsidRPr="005F5BEA">
              <w:rPr>
                <w:rFonts w:ascii="Arial Narrow" w:eastAsia="Calibri" w:hAnsi="Arial Narrow" w:cs="Calibri"/>
                <w:i/>
                <w:sz w:val="20"/>
                <w:szCs w:val="20"/>
              </w:rPr>
              <w:t>corrected</w:t>
            </w:r>
          </w:p>
        </w:tc>
        <w:tc>
          <w:tcPr>
            <w:tcW w:w="1555" w:type="dxa"/>
          </w:tcPr>
          <w:p w14:paraId="12782931" w14:textId="77777777" w:rsidR="001454B1" w:rsidRPr="00461D0D" w:rsidRDefault="001454B1" w:rsidP="001454B1">
            <w:pPr>
              <w:keepLines/>
              <w:spacing w:before="20" w:after="20"/>
              <w:jc w:val="right"/>
              <w:rPr>
                <w:rFonts w:ascii="Arial Narrow" w:eastAsia="Calibri" w:hAnsi="Arial Narrow" w:cs="Calibri"/>
                <w:i/>
                <w:sz w:val="20"/>
                <w:szCs w:val="20"/>
              </w:rPr>
            </w:pPr>
            <w:r w:rsidRPr="00461D0D">
              <w:rPr>
                <w:rFonts w:ascii="Arial Narrow" w:eastAsia="Calibri" w:hAnsi="Arial Narrow" w:cs="Calibri"/>
                <w:i/>
                <w:sz w:val="20"/>
                <w:szCs w:val="20"/>
              </w:rPr>
              <w:t>$77,507,102</w:t>
            </w:r>
          </w:p>
        </w:tc>
        <w:tc>
          <w:tcPr>
            <w:tcW w:w="1299" w:type="dxa"/>
          </w:tcPr>
          <w:p w14:paraId="26D0E989" w14:textId="77777777" w:rsidR="001454B1" w:rsidRPr="00461D0D" w:rsidRDefault="001454B1" w:rsidP="001454B1">
            <w:pPr>
              <w:keepLines/>
              <w:spacing w:before="20" w:after="20"/>
              <w:jc w:val="right"/>
              <w:rPr>
                <w:rFonts w:ascii="Arial Narrow" w:eastAsia="Calibri" w:hAnsi="Arial Narrow" w:cs="Calibri"/>
                <w:i/>
                <w:sz w:val="20"/>
                <w:szCs w:val="20"/>
              </w:rPr>
            </w:pPr>
            <w:r w:rsidRPr="00461D0D">
              <w:rPr>
                <w:rFonts w:ascii="Arial Narrow" w:eastAsia="Calibri" w:hAnsi="Arial Narrow" w:cs="Calibri"/>
                <w:i/>
                <w:sz w:val="20"/>
                <w:szCs w:val="20"/>
              </w:rPr>
              <w:t>$83,316,134</w:t>
            </w:r>
          </w:p>
        </w:tc>
        <w:tc>
          <w:tcPr>
            <w:tcW w:w="1459" w:type="dxa"/>
          </w:tcPr>
          <w:p w14:paraId="379BF11B" w14:textId="77777777" w:rsidR="001454B1" w:rsidRPr="00461D0D" w:rsidRDefault="001454B1" w:rsidP="001454B1">
            <w:pPr>
              <w:keepLines/>
              <w:spacing w:before="20" w:after="20"/>
              <w:jc w:val="right"/>
              <w:rPr>
                <w:rFonts w:ascii="Arial Narrow" w:eastAsia="Calibri" w:hAnsi="Arial Narrow" w:cs="Calibri"/>
                <w:i/>
                <w:sz w:val="20"/>
                <w:szCs w:val="20"/>
              </w:rPr>
            </w:pPr>
            <w:r w:rsidRPr="00461D0D">
              <w:rPr>
                <w:rFonts w:ascii="Arial Narrow" w:eastAsia="Calibri" w:hAnsi="Arial Narrow" w:cs="Calibri"/>
                <w:i/>
                <w:sz w:val="20"/>
                <w:szCs w:val="20"/>
              </w:rPr>
              <w:t>$89,486,836</w:t>
            </w:r>
          </w:p>
        </w:tc>
        <w:tc>
          <w:tcPr>
            <w:tcW w:w="1613" w:type="dxa"/>
          </w:tcPr>
          <w:p w14:paraId="747D6575" w14:textId="77777777" w:rsidR="001454B1" w:rsidRPr="00461D0D" w:rsidRDefault="001454B1" w:rsidP="001454B1">
            <w:pPr>
              <w:keepLines/>
              <w:spacing w:before="20" w:after="20"/>
              <w:jc w:val="right"/>
              <w:rPr>
                <w:rFonts w:ascii="Arial Narrow" w:eastAsia="Calibri" w:hAnsi="Arial Narrow" w:cs="Calibri"/>
                <w:i/>
                <w:sz w:val="20"/>
                <w:szCs w:val="20"/>
              </w:rPr>
            </w:pPr>
            <w:r w:rsidRPr="00461D0D">
              <w:rPr>
                <w:rFonts w:ascii="Arial Narrow" w:eastAsia="Calibri" w:hAnsi="Arial Narrow" w:cs="Calibri"/>
                <w:i/>
                <w:sz w:val="20"/>
                <w:szCs w:val="20"/>
              </w:rPr>
              <w:t>$96,047,275</w:t>
            </w:r>
          </w:p>
        </w:tc>
        <w:tc>
          <w:tcPr>
            <w:tcW w:w="1498" w:type="dxa"/>
          </w:tcPr>
          <w:p w14:paraId="09AA32BE" w14:textId="77777777" w:rsidR="001454B1" w:rsidRPr="00461D0D" w:rsidRDefault="001454B1" w:rsidP="001454B1">
            <w:pPr>
              <w:keepLines/>
              <w:spacing w:before="20" w:after="20"/>
              <w:jc w:val="right"/>
              <w:rPr>
                <w:rFonts w:ascii="Arial Narrow" w:eastAsia="Calibri" w:hAnsi="Arial Narrow" w:cs="Calibri"/>
                <w:i/>
                <w:sz w:val="20"/>
                <w:szCs w:val="20"/>
              </w:rPr>
            </w:pPr>
            <w:r w:rsidRPr="00461D0D">
              <w:rPr>
                <w:rFonts w:ascii="Arial Narrow" w:eastAsia="Calibri" w:hAnsi="Arial Narrow" w:cs="Calibri"/>
                <w:i/>
                <w:sz w:val="20"/>
                <w:szCs w:val="20"/>
              </w:rPr>
              <w:t>5.8%</w:t>
            </w:r>
          </w:p>
        </w:tc>
      </w:tr>
      <w:tr w:rsidR="001454B1" w:rsidRPr="005F5BEA" w14:paraId="5A16A5FA" w14:textId="77777777" w:rsidTr="00032276">
        <w:tc>
          <w:tcPr>
            <w:tcW w:w="1592" w:type="dxa"/>
          </w:tcPr>
          <w:p w14:paraId="2092C4E6"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Labour costs</w:t>
            </w:r>
          </w:p>
        </w:tc>
        <w:tc>
          <w:tcPr>
            <w:tcW w:w="1555" w:type="dxa"/>
          </w:tcPr>
          <w:p w14:paraId="3998750F"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$37,955,527</w:t>
            </w:r>
          </w:p>
        </w:tc>
        <w:tc>
          <w:tcPr>
            <w:tcW w:w="1299" w:type="dxa"/>
          </w:tcPr>
          <w:p w14:paraId="28CFA18F"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$40,620,411</w:t>
            </w:r>
          </w:p>
        </w:tc>
        <w:tc>
          <w:tcPr>
            <w:tcW w:w="1459" w:type="dxa"/>
          </w:tcPr>
          <w:p w14:paraId="4075AE03"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$43,472,397</w:t>
            </w:r>
          </w:p>
        </w:tc>
        <w:tc>
          <w:tcPr>
            <w:tcW w:w="1613" w:type="dxa"/>
          </w:tcPr>
          <w:p w14:paraId="7DA1725E"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$46,524,621</w:t>
            </w:r>
          </w:p>
        </w:tc>
        <w:tc>
          <w:tcPr>
            <w:tcW w:w="1498" w:type="dxa"/>
          </w:tcPr>
          <w:p w14:paraId="35AD72B7"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7.7%</w:t>
            </w:r>
          </w:p>
        </w:tc>
      </w:tr>
      <w:tr w:rsidR="001454B1" w:rsidRPr="005F5BEA" w14:paraId="12C2BABF" w14:textId="77777777" w:rsidTr="00032276">
        <w:tc>
          <w:tcPr>
            <w:tcW w:w="1592" w:type="dxa"/>
          </w:tcPr>
          <w:p w14:paraId="31EA5D4F"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Travel costs</w:t>
            </w:r>
          </w:p>
        </w:tc>
        <w:tc>
          <w:tcPr>
            <w:tcW w:w="1555" w:type="dxa"/>
          </w:tcPr>
          <w:p w14:paraId="070A7259"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$6,490,068</w:t>
            </w:r>
          </w:p>
        </w:tc>
        <w:tc>
          <w:tcPr>
            <w:tcW w:w="1299" w:type="dxa"/>
          </w:tcPr>
          <w:p w14:paraId="36D18139"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$7,367,979</w:t>
            </w:r>
          </w:p>
        </w:tc>
        <w:tc>
          <w:tcPr>
            <w:tcW w:w="1459" w:type="dxa"/>
          </w:tcPr>
          <w:p w14:paraId="1E5726B9"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$8,336,997</w:t>
            </w:r>
          </w:p>
        </w:tc>
        <w:tc>
          <w:tcPr>
            <w:tcW w:w="1613" w:type="dxa"/>
          </w:tcPr>
          <w:p w14:paraId="107557D5"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$9,405,574</w:t>
            </w:r>
          </w:p>
        </w:tc>
        <w:tc>
          <w:tcPr>
            <w:tcW w:w="1498" w:type="dxa"/>
          </w:tcPr>
          <w:p w14:paraId="00B74AF1"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8.8%</w:t>
            </w:r>
          </w:p>
        </w:tc>
      </w:tr>
      <w:tr w:rsidR="001454B1" w:rsidRPr="005F5BEA" w14:paraId="34F74B84" w14:textId="77777777" w:rsidTr="00032276">
        <w:tc>
          <w:tcPr>
            <w:tcW w:w="1592" w:type="dxa"/>
          </w:tcPr>
          <w:p w14:paraId="5382F7E5"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Training costs</w:t>
            </w:r>
          </w:p>
        </w:tc>
        <w:tc>
          <w:tcPr>
            <w:tcW w:w="1555" w:type="dxa"/>
          </w:tcPr>
          <w:p w14:paraId="626CEE9C"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$15,175,253</w:t>
            </w:r>
          </w:p>
        </w:tc>
        <w:tc>
          <w:tcPr>
            <w:tcW w:w="1299" w:type="dxa"/>
          </w:tcPr>
          <w:p w14:paraId="080AB3BD"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$16,100,943</w:t>
            </w:r>
          </w:p>
        </w:tc>
        <w:tc>
          <w:tcPr>
            <w:tcW w:w="1459" w:type="dxa"/>
          </w:tcPr>
          <w:p w14:paraId="1D9DFDB4"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$17,026,634</w:t>
            </w:r>
          </w:p>
        </w:tc>
        <w:tc>
          <w:tcPr>
            <w:tcW w:w="1613" w:type="dxa"/>
          </w:tcPr>
          <w:p w14:paraId="511AA407"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$17,952,324</w:t>
            </w:r>
          </w:p>
        </w:tc>
        <w:tc>
          <w:tcPr>
            <w:tcW w:w="1498" w:type="dxa"/>
          </w:tcPr>
          <w:p w14:paraId="06137EE2"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No change</w:t>
            </w:r>
          </w:p>
        </w:tc>
      </w:tr>
      <w:tr w:rsidR="001454B1" w:rsidRPr="005F5BEA" w14:paraId="4F6547ED" w14:textId="77777777" w:rsidTr="00032276">
        <w:tc>
          <w:tcPr>
            <w:tcW w:w="1592" w:type="dxa"/>
          </w:tcPr>
          <w:p w14:paraId="0E18CF43" w14:textId="3D0A145A" w:rsidR="001454B1" w:rsidRPr="005F5BEA" w:rsidRDefault="001454B1" w:rsidP="001454B1">
            <w:pPr>
              <w:keepLines/>
              <w:spacing w:before="20" w:after="20"/>
              <w:rPr>
                <w:rFonts w:ascii="Arial Narrow" w:eastAsia="Calibri" w:hAnsi="Arial Narrow" w:cs="Calibri"/>
                <w:sz w:val="20"/>
                <w:szCs w:val="20"/>
                <w:vertAlign w:val="superscript"/>
              </w:rPr>
            </w:pPr>
            <w:r w:rsidRPr="005F5BEA">
              <w:rPr>
                <w:rFonts w:ascii="Arial Narrow" w:eastAsia="Calibri" w:hAnsi="Arial Narrow" w:cs="Calibri"/>
                <w:sz w:val="20"/>
                <w:szCs w:val="20"/>
              </w:rPr>
              <w:t>Overhead costs</w:t>
            </w:r>
            <w:r w:rsidR="00B119CE" w:rsidRPr="005F5BEA">
              <w:rPr>
                <w:rFonts w:ascii="Arial Narrow" w:eastAsia="Calibri" w:hAnsi="Arial Narrow" w:cs="Calibri"/>
                <w:sz w:val="20"/>
                <w:szCs w:val="20"/>
              </w:rPr>
              <w:t xml:space="preserve"> </w:t>
            </w:r>
            <w:r w:rsidR="00B119CE" w:rsidRPr="005F5BEA">
              <w:rPr>
                <w:rFonts w:ascii="Arial Narrow" w:eastAsia="Calibri" w:hAnsi="Arial Narrow" w:cs="Calibri"/>
                <w:sz w:val="20"/>
                <w:szCs w:val="20"/>
                <w:vertAlign w:val="superscript"/>
              </w:rPr>
              <w:t>c</w:t>
            </w:r>
          </w:p>
        </w:tc>
        <w:tc>
          <w:tcPr>
            <w:tcW w:w="1555" w:type="dxa"/>
          </w:tcPr>
          <w:p w14:paraId="68D3FBAE"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$17,886,254</w:t>
            </w:r>
          </w:p>
        </w:tc>
        <w:tc>
          <w:tcPr>
            <w:tcW w:w="1299" w:type="dxa"/>
          </w:tcPr>
          <w:p w14:paraId="276B20D9"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$20,399,635</w:t>
            </w:r>
          </w:p>
        </w:tc>
        <w:tc>
          <w:tcPr>
            <w:tcW w:w="1459" w:type="dxa"/>
          </w:tcPr>
          <w:p w14:paraId="53D7E81E"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$23,170,207</w:t>
            </w:r>
          </w:p>
        </w:tc>
        <w:tc>
          <w:tcPr>
            <w:tcW w:w="1613" w:type="dxa"/>
          </w:tcPr>
          <w:p w14:paraId="1CF0A516"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$26,220,906</w:t>
            </w:r>
          </w:p>
        </w:tc>
        <w:tc>
          <w:tcPr>
            <w:tcW w:w="1498" w:type="dxa"/>
          </w:tcPr>
          <w:p w14:paraId="56F9FCD4" w14:textId="77777777" w:rsidR="001454B1" w:rsidRPr="00461D0D" w:rsidRDefault="001454B1" w:rsidP="001454B1">
            <w:pPr>
              <w:keepLines/>
              <w:spacing w:before="20" w:after="20"/>
              <w:jc w:val="right"/>
              <w:rPr>
                <w:rFonts w:ascii="Arial Narrow" w:eastAsia="Calibri" w:hAnsi="Arial Narrow" w:cs="Calibri"/>
                <w:sz w:val="20"/>
                <w:szCs w:val="20"/>
              </w:rPr>
            </w:pPr>
            <w:r w:rsidRPr="00461D0D">
              <w:rPr>
                <w:rFonts w:ascii="Arial Narrow" w:eastAsia="Calibri" w:hAnsi="Arial Narrow" w:cs="Calibri"/>
                <w:sz w:val="20"/>
                <w:szCs w:val="20"/>
              </w:rPr>
              <w:t>5.8%</w:t>
            </w:r>
          </w:p>
        </w:tc>
      </w:tr>
      <w:tr w:rsidR="001454B1" w:rsidRPr="005F5BEA" w14:paraId="63CB7E36" w14:textId="77777777" w:rsidTr="00032276">
        <w:tc>
          <w:tcPr>
            <w:tcW w:w="1592" w:type="dxa"/>
          </w:tcPr>
          <w:p w14:paraId="7B85330C" w14:textId="393A22A1" w:rsidR="001454B1" w:rsidRPr="005F5BEA" w:rsidRDefault="00B119CE" w:rsidP="001454B1">
            <w:pPr>
              <w:keepLines/>
              <w:spacing w:before="20" w:after="20"/>
              <w:rPr>
                <w:rFonts w:ascii="Arial Narrow" w:eastAsia="Calibri" w:hAnsi="Arial Narrow" w:cs="Calibri"/>
                <w:i/>
                <w:sz w:val="20"/>
                <w:szCs w:val="20"/>
              </w:rPr>
            </w:pPr>
            <w:r w:rsidRPr="005F5BEA">
              <w:rPr>
                <w:rFonts w:ascii="Arial Narrow" w:eastAsia="Calibri" w:hAnsi="Arial Narrow" w:cs="Calibri"/>
                <w:i/>
                <w:sz w:val="20"/>
                <w:szCs w:val="20"/>
              </w:rPr>
              <w:t>C</w:t>
            </w:r>
            <w:r w:rsidR="001454B1" w:rsidRPr="005F5BEA">
              <w:rPr>
                <w:rFonts w:ascii="Arial Narrow" w:eastAsia="Calibri" w:hAnsi="Arial Narrow" w:cs="Calibri"/>
                <w:i/>
                <w:sz w:val="20"/>
                <w:szCs w:val="20"/>
              </w:rPr>
              <w:t>orrected</w:t>
            </w:r>
            <w:r w:rsidRPr="005F5BEA">
              <w:rPr>
                <w:rFonts w:ascii="Arial Narrow" w:eastAsia="Calibri" w:hAnsi="Arial Narrow" w:cs="Calibri"/>
                <w:i/>
                <w:sz w:val="20"/>
                <w:szCs w:val="20"/>
              </w:rPr>
              <w:t xml:space="preserve"> </w:t>
            </w:r>
            <w:r w:rsidRPr="005F5BEA">
              <w:rPr>
                <w:rFonts w:ascii="Arial Narrow" w:eastAsia="Calibri" w:hAnsi="Arial Narrow" w:cs="Calibri"/>
                <w:sz w:val="20"/>
                <w:szCs w:val="20"/>
                <w:vertAlign w:val="superscript"/>
              </w:rPr>
              <w:t>c</w:t>
            </w:r>
          </w:p>
        </w:tc>
        <w:tc>
          <w:tcPr>
            <w:tcW w:w="1555" w:type="dxa"/>
          </w:tcPr>
          <w:p w14:paraId="40045F67" w14:textId="77777777" w:rsidR="001454B1" w:rsidRPr="00461D0D" w:rsidRDefault="001454B1" w:rsidP="001454B1">
            <w:pPr>
              <w:keepLines/>
              <w:spacing w:before="20" w:after="20"/>
              <w:jc w:val="right"/>
              <w:rPr>
                <w:rFonts w:ascii="Arial Narrow" w:eastAsia="Calibri" w:hAnsi="Arial Narrow" w:cs="Calibri"/>
                <w:i/>
                <w:sz w:val="20"/>
                <w:szCs w:val="20"/>
              </w:rPr>
            </w:pPr>
            <w:r w:rsidRPr="00461D0D">
              <w:rPr>
                <w:rFonts w:ascii="Arial Narrow" w:eastAsia="Calibri" w:hAnsi="Arial Narrow" w:cs="Calibri"/>
                <w:i/>
                <w:sz w:val="20"/>
                <w:szCs w:val="20"/>
              </w:rPr>
              <w:t>$17,886,254</w:t>
            </w:r>
          </w:p>
        </w:tc>
        <w:tc>
          <w:tcPr>
            <w:tcW w:w="1299" w:type="dxa"/>
          </w:tcPr>
          <w:p w14:paraId="02CCB8A1" w14:textId="77777777" w:rsidR="001454B1" w:rsidRPr="00461D0D" w:rsidRDefault="001454B1" w:rsidP="001454B1">
            <w:pPr>
              <w:keepLines/>
              <w:spacing w:before="20" w:after="20"/>
              <w:jc w:val="right"/>
              <w:rPr>
                <w:rFonts w:ascii="Arial Narrow" w:eastAsia="Calibri" w:hAnsi="Arial Narrow" w:cs="Calibri"/>
                <w:i/>
                <w:sz w:val="20"/>
                <w:szCs w:val="20"/>
              </w:rPr>
            </w:pPr>
            <w:r w:rsidRPr="00461D0D">
              <w:rPr>
                <w:rFonts w:ascii="Arial Narrow" w:eastAsia="Calibri" w:hAnsi="Arial Narrow" w:cs="Calibri"/>
                <w:i/>
                <w:sz w:val="20"/>
                <w:szCs w:val="20"/>
              </w:rPr>
              <w:t>$19,226,800</w:t>
            </w:r>
          </w:p>
        </w:tc>
        <w:tc>
          <w:tcPr>
            <w:tcW w:w="1459" w:type="dxa"/>
          </w:tcPr>
          <w:p w14:paraId="02D3B389" w14:textId="77777777" w:rsidR="001454B1" w:rsidRPr="00461D0D" w:rsidRDefault="001454B1" w:rsidP="001454B1">
            <w:pPr>
              <w:keepLines/>
              <w:spacing w:before="20" w:after="20"/>
              <w:jc w:val="right"/>
              <w:rPr>
                <w:rFonts w:ascii="Arial Narrow" w:eastAsia="Calibri" w:hAnsi="Arial Narrow" w:cs="Calibri"/>
                <w:i/>
                <w:sz w:val="20"/>
                <w:szCs w:val="20"/>
              </w:rPr>
            </w:pPr>
            <w:r w:rsidRPr="00461D0D">
              <w:rPr>
                <w:rFonts w:ascii="Arial Narrow" w:eastAsia="Calibri" w:hAnsi="Arial Narrow" w:cs="Calibri"/>
                <w:i/>
                <w:sz w:val="20"/>
                <w:szCs w:val="20"/>
              </w:rPr>
              <w:t>$20,650,808</w:t>
            </w:r>
          </w:p>
        </w:tc>
        <w:tc>
          <w:tcPr>
            <w:tcW w:w="1613" w:type="dxa"/>
          </w:tcPr>
          <w:p w14:paraId="0E9B4759" w14:textId="77777777" w:rsidR="001454B1" w:rsidRPr="00461D0D" w:rsidRDefault="001454B1" w:rsidP="001454B1">
            <w:pPr>
              <w:keepLines/>
              <w:spacing w:before="20" w:after="20"/>
              <w:jc w:val="right"/>
              <w:rPr>
                <w:rFonts w:ascii="Arial Narrow" w:eastAsia="Calibri" w:hAnsi="Arial Narrow" w:cs="Calibri"/>
                <w:i/>
                <w:sz w:val="20"/>
                <w:szCs w:val="20"/>
              </w:rPr>
            </w:pPr>
            <w:r w:rsidRPr="00461D0D">
              <w:rPr>
                <w:rFonts w:ascii="Arial Narrow" w:eastAsia="Calibri" w:hAnsi="Arial Narrow" w:cs="Calibri"/>
                <w:i/>
                <w:sz w:val="20"/>
                <w:szCs w:val="20"/>
              </w:rPr>
              <w:t>$22,164,756</w:t>
            </w:r>
          </w:p>
        </w:tc>
        <w:tc>
          <w:tcPr>
            <w:tcW w:w="1498" w:type="dxa"/>
          </w:tcPr>
          <w:p w14:paraId="760CCAC2" w14:textId="77777777" w:rsidR="001454B1" w:rsidRPr="00461D0D" w:rsidRDefault="001454B1" w:rsidP="001454B1">
            <w:pPr>
              <w:keepLines/>
              <w:spacing w:before="20" w:after="20"/>
              <w:jc w:val="right"/>
              <w:rPr>
                <w:rFonts w:ascii="Arial Narrow" w:eastAsia="Calibri" w:hAnsi="Arial Narrow" w:cs="Calibri"/>
                <w:i/>
                <w:sz w:val="20"/>
                <w:szCs w:val="20"/>
              </w:rPr>
            </w:pPr>
            <w:r w:rsidRPr="00461D0D">
              <w:rPr>
                <w:rFonts w:ascii="Arial Narrow" w:eastAsia="Calibri" w:hAnsi="Arial Narrow" w:cs="Calibri"/>
                <w:i/>
                <w:sz w:val="20"/>
                <w:szCs w:val="20"/>
              </w:rPr>
              <w:t>5.8%</w:t>
            </w:r>
          </w:p>
        </w:tc>
      </w:tr>
    </w:tbl>
    <w:p w14:paraId="10B5D07C"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Source: Table 3, 1724 – Attachment A – Additional Data Collection (Interim Report)</w:t>
      </w:r>
    </w:p>
    <w:p w14:paraId="2A0BE9FC" w14:textId="77777777" w:rsidR="001454B1" w:rsidRPr="005F5BEA" w:rsidRDefault="001454B1" w:rsidP="001454B1">
      <w:pPr>
        <w:spacing w:after="240"/>
        <w:contextualSpacing/>
        <w:jc w:val="both"/>
        <w:rPr>
          <w:rFonts w:ascii="Arial Narrow" w:eastAsia="Calibri" w:hAnsi="Arial Narrow" w:cs="Arial"/>
          <w:sz w:val="18"/>
        </w:rPr>
      </w:pPr>
      <w:proofErr w:type="spellStart"/>
      <w:r w:rsidRPr="005F5BEA">
        <w:rPr>
          <w:rFonts w:ascii="Arial Narrow" w:eastAsia="Calibri" w:hAnsi="Arial Narrow" w:cs="Arial"/>
          <w:sz w:val="18"/>
          <w:vertAlign w:val="superscript"/>
        </w:rPr>
        <w:t>a</w:t>
      </w:r>
      <w:r w:rsidRPr="005F5BEA">
        <w:rPr>
          <w:rFonts w:ascii="Arial Narrow" w:eastAsia="Calibri" w:hAnsi="Arial Narrow" w:cs="Arial"/>
          <w:sz w:val="18"/>
        </w:rPr>
        <w:t>Overhead</w:t>
      </w:r>
      <w:proofErr w:type="spellEnd"/>
      <w:r w:rsidRPr="005F5BEA">
        <w:rPr>
          <w:rFonts w:ascii="Arial Narrow" w:eastAsia="Calibri" w:hAnsi="Arial Narrow" w:cs="Arial"/>
          <w:sz w:val="18"/>
        </w:rPr>
        <w:t xml:space="preserve"> costs are estimated as 30% of non-overhead costs. These costs are inflated by 6% in 2023, 12% in 2024 and 18% in 2025. As the non-overhead costs are also inflated by CPI, this represents </w:t>
      </w:r>
      <w:proofErr w:type="gramStart"/>
      <w:r w:rsidRPr="005F5BEA">
        <w:rPr>
          <w:rFonts w:ascii="Arial Narrow" w:eastAsia="Calibri" w:hAnsi="Arial Narrow" w:cs="Arial"/>
          <w:sz w:val="18"/>
        </w:rPr>
        <w:t>double-counting</w:t>
      </w:r>
      <w:proofErr w:type="gramEnd"/>
      <w:r w:rsidRPr="005F5BEA">
        <w:rPr>
          <w:rFonts w:ascii="Arial Narrow" w:eastAsia="Calibri" w:hAnsi="Arial Narrow" w:cs="Arial"/>
          <w:sz w:val="18"/>
        </w:rPr>
        <w:t xml:space="preserve">. This is corrected in the table. </w:t>
      </w:r>
    </w:p>
    <w:p w14:paraId="261C2038" w14:textId="77777777" w:rsidR="001454B1" w:rsidRPr="005F5BEA" w:rsidRDefault="001454B1" w:rsidP="001454B1">
      <w:pPr>
        <w:spacing w:after="240"/>
        <w:contextualSpacing/>
        <w:jc w:val="both"/>
        <w:rPr>
          <w:rFonts w:ascii="Arial Narrow" w:eastAsia="Calibri" w:hAnsi="Arial Narrow" w:cs="Arial"/>
          <w:sz w:val="18"/>
        </w:rPr>
      </w:pPr>
      <w:proofErr w:type="spellStart"/>
      <w:r w:rsidRPr="005F5BEA">
        <w:rPr>
          <w:rFonts w:ascii="Arial Narrow" w:eastAsia="Calibri" w:hAnsi="Arial Narrow" w:cs="Arial"/>
          <w:sz w:val="18"/>
          <w:vertAlign w:val="superscript"/>
        </w:rPr>
        <w:t>b</w:t>
      </w:r>
      <w:r w:rsidRPr="005F5BEA">
        <w:rPr>
          <w:rFonts w:ascii="Arial Narrow" w:eastAsia="Calibri" w:hAnsi="Arial Narrow" w:cs="Arial"/>
          <w:sz w:val="18"/>
        </w:rPr>
        <w:t>Percent</w:t>
      </w:r>
      <w:proofErr w:type="spellEnd"/>
      <w:r w:rsidRPr="005F5BEA">
        <w:rPr>
          <w:rFonts w:ascii="Arial Narrow" w:eastAsia="Calibri" w:hAnsi="Arial Narrow" w:cs="Arial"/>
          <w:sz w:val="18"/>
        </w:rPr>
        <w:t xml:space="preserve"> change for 2022 costs.</w:t>
      </w:r>
    </w:p>
    <w:p w14:paraId="200CDC9D" w14:textId="1D4C1E57" w:rsidR="001454B1" w:rsidRPr="00C63874" w:rsidRDefault="00B119CE" w:rsidP="00C63874">
      <w:pPr>
        <w:spacing w:after="240"/>
        <w:contextualSpacing/>
        <w:jc w:val="both"/>
        <w:rPr>
          <w:rFonts w:ascii="Arial Narrow" w:eastAsia="Calibri" w:hAnsi="Arial Narrow" w:cs="Arial"/>
          <w:sz w:val="18"/>
        </w:rPr>
      </w:pPr>
      <w:r w:rsidRPr="005F5BEA">
        <w:rPr>
          <w:rFonts w:ascii="Arial Narrow" w:eastAsia="Calibri" w:hAnsi="Arial Narrow" w:cs="Arial"/>
          <w:sz w:val="18"/>
          <w:vertAlign w:val="superscript"/>
        </w:rPr>
        <w:t>c</w:t>
      </w:r>
      <w:r w:rsidRPr="005F5BEA">
        <w:rPr>
          <w:rFonts w:ascii="Arial Narrow" w:eastAsia="Calibri" w:hAnsi="Arial Narrow" w:cs="Arial"/>
          <w:sz w:val="18"/>
        </w:rPr>
        <w:t xml:space="preserve"> </w:t>
      </w:r>
      <w:r w:rsidR="00295330" w:rsidRPr="005F5BEA">
        <w:rPr>
          <w:rFonts w:ascii="Arial Narrow" w:eastAsia="Calibri" w:hAnsi="Arial Narrow" w:cs="Arial"/>
          <w:sz w:val="18"/>
        </w:rPr>
        <w:t>Calculated</w:t>
      </w:r>
      <w:r w:rsidR="0006621D" w:rsidRPr="005F5BEA">
        <w:rPr>
          <w:rFonts w:ascii="Arial Narrow" w:eastAsia="Calibri" w:hAnsi="Arial Narrow" w:cs="Arial"/>
          <w:sz w:val="18"/>
        </w:rPr>
        <w:t xml:space="preserve"> as 30% of direct costs (labour, </w:t>
      </w:r>
      <w:proofErr w:type="gramStart"/>
      <w:r w:rsidR="0006621D" w:rsidRPr="005F5BEA">
        <w:rPr>
          <w:rFonts w:ascii="Arial Narrow" w:eastAsia="Calibri" w:hAnsi="Arial Narrow" w:cs="Arial"/>
          <w:sz w:val="18"/>
        </w:rPr>
        <w:t>travel</w:t>
      </w:r>
      <w:proofErr w:type="gramEnd"/>
      <w:r w:rsidR="0006621D" w:rsidRPr="005F5BEA">
        <w:rPr>
          <w:rFonts w:ascii="Arial Narrow" w:eastAsia="Calibri" w:hAnsi="Arial Narrow" w:cs="Arial"/>
          <w:sz w:val="18"/>
        </w:rPr>
        <w:t xml:space="preserve"> and training).</w:t>
      </w:r>
      <w:r w:rsidR="001454B1" w:rsidRPr="005F5BEA">
        <w:rPr>
          <w:rFonts w:ascii="Calibri" w:eastAsia="Calibri" w:hAnsi="Calibri" w:cs="Times New Roman"/>
        </w:rPr>
        <w:br w:type="page"/>
      </w:r>
    </w:p>
    <w:p w14:paraId="28782577" w14:textId="77777777" w:rsidR="001454B1" w:rsidRPr="005F5BEA" w:rsidRDefault="15DB8F46" w:rsidP="00C63874">
      <w:pPr>
        <w:pStyle w:val="Heading5"/>
      </w:pPr>
      <w:r w:rsidRPr="005F5BEA">
        <w:lastRenderedPageBreak/>
        <w:t>Updated patient numbers with MSAC requested changes (MSAC updated model)</w:t>
      </w:r>
    </w:p>
    <w:p w14:paraId="24420313" w14:textId="2E739152" w:rsidR="001454B1" w:rsidRPr="005F5BEA" w:rsidRDefault="001454B1" w:rsidP="00C63874">
      <w:pPr>
        <w:rPr>
          <w:rFonts w:eastAsia="Calibri" w:cs="Times New Roman"/>
          <w:iCs/>
        </w:rPr>
      </w:pPr>
      <w:r w:rsidRPr="005F5BEA">
        <w:rPr>
          <w:rFonts w:eastAsia="Calibri" w:cs="Times New Roman"/>
          <w:iCs/>
        </w:rPr>
        <w:t>Following the previous MSAC consideration of cardiac technical support services, the following changes were requested.</w:t>
      </w:r>
    </w:p>
    <w:p w14:paraId="137CB643" w14:textId="77777777" w:rsidR="001454B1" w:rsidRPr="005F5BEA" w:rsidRDefault="001454B1" w:rsidP="00AB5B20">
      <w:pPr>
        <w:numPr>
          <w:ilvl w:val="0"/>
          <w:numId w:val="21"/>
        </w:numPr>
        <w:spacing w:before="0"/>
        <w:contextualSpacing/>
        <w:rPr>
          <w:rFonts w:eastAsia="Calibri" w:cs="Times New Roman"/>
          <w:iCs/>
        </w:rPr>
      </w:pPr>
      <w:r w:rsidRPr="005F5BEA">
        <w:rPr>
          <w:rFonts w:eastAsia="Calibri" w:cs="Times New Roman"/>
          <w:iCs/>
        </w:rPr>
        <w:t>Exclude services provided to public patients (S1)</w:t>
      </w:r>
    </w:p>
    <w:p w14:paraId="3268F152" w14:textId="77777777" w:rsidR="001454B1" w:rsidRPr="005F5BEA" w:rsidRDefault="001454B1" w:rsidP="00AB5B20">
      <w:pPr>
        <w:numPr>
          <w:ilvl w:val="0"/>
          <w:numId w:val="21"/>
        </w:numPr>
        <w:spacing w:before="0"/>
        <w:contextualSpacing/>
        <w:rPr>
          <w:rFonts w:eastAsia="Calibri" w:cs="Times New Roman"/>
          <w:iCs/>
        </w:rPr>
      </w:pPr>
      <w:r w:rsidRPr="005F5BEA">
        <w:rPr>
          <w:rFonts w:eastAsia="Calibri" w:cs="Times New Roman"/>
          <w:iCs/>
        </w:rPr>
        <w:t>Exclude peri-implantation services (defined as services at the time of implantation and the day one post-implantation check) (S2)</w:t>
      </w:r>
    </w:p>
    <w:p w14:paraId="7EFEAD7A" w14:textId="77777777" w:rsidR="001454B1" w:rsidRPr="005F5BEA" w:rsidRDefault="001454B1" w:rsidP="00AB5B20">
      <w:pPr>
        <w:numPr>
          <w:ilvl w:val="0"/>
          <w:numId w:val="21"/>
        </w:numPr>
        <w:spacing w:before="0"/>
        <w:contextualSpacing/>
        <w:rPr>
          <w:rFonts w:eastAsia="Calibri" w:cs="Times New Roman"/>
          <w:iCs/>
        </w:rPr>
      </w:pPr>
      <w:r w:rsidRPr="005F5BEA">
        <w:rPr>
          <w:rFonts w:eastAsia="Calibri" w:cs="Times New Roman"/>
          <w:iCs/>
        </w:rPr>
        <w:t>Reduce onboarding costs to $30,000 per technician (S3)</w:t>
      </w:r>
    </w:p>
    <w:p w14:paraId="0B522798" w14:textId="77777777" w:rsidR="001454B1" w:rsidRPr="005F5BEA" w:rsidRDefault="001454B1" w:rsidP="00AB5B20">
      <w:pPr>
        <w:numPr>
          <w:ilvl w:val="0"/>
          <w:numId w:val="21"/>
        </w:numPr>
        <w:spacing w:before="0"/>
        <w:contextualSpacing/>
        <w:rPr>
          <w:rFonts w:eastAsia="Calibri" w:cs="Times New Roman"/>
          <w:iCs/>
        </w:rPr>
      </w:pPr>
      <w:r w:rsidRPr="005F5BEA">
        <w:rPr>
          <w:rFonts w:eastAsia="Calibri" w:cs="Times New Roman"/>
          <w:iCs/>
        </w:rPr>
        <w:t>Only apply certification costs to the 10% of technicians being certified each year (S4)</w:t>
      </w:r>
    </w:p>
    <w:p w14:paraId="4D50EDFD" w14:textId="267DAE2D" w:rsidR="11AFB54D" w:rsidRPr="00C63874" w:rsidRDefault="15DB8F46" w:rsidP="00C63874">
      <w:pPr>
        <w:numPr>
          <w:ilvl w:val="0"/>
          <w:numId w:val="21"/>
        </w:numPr>
        <w:spacing w:before="0"/>
        <w:ind w:left="714" w:hanging="357"/>
        <w:rPr>
          <w:rFonts w:eastAsia="Calibri" w:cs="Times New Roman"/>
          <w:iCs/>
        </w:rPr>
      </w:pPr>
      <w:r w:rsidRPr="005F5BEA">
        <w:rPr>
          <w:rFonts w:eastAsia="Calibri" w:cs="Times New Roman"/>
        </w:rPr>
        <w:t>Reduce the wage rate to $50 per hour (S5)</w:t>
      </w:r>
    </w:p>
    <w:p w14:paraId="61524E3A" w14:textId="77777777" w:rsidR="001454B1" w:rsidRPr="005F5BEA" w:rsidRDefault="001454B1" w:rsidP="001454B1">
      <w:pPr>
        <w:spacing w:before="0"/>
        <w:rPr>
          <w:rFonts w:eastAsia="Calibri" w:cs="Times New Roman"/>
          <w:iCs/>
        </w:rPr>
      </w:pPr>
      <w:r w:rsidRPr="005F5BEA">
        <w:rPr>
          <w:rFonts w:eastAsia="Calibri" w:cs="Times New Roman"/>
          <w:iCs/>
        </w:rPr>
        <w:t>Parameters that were requested to be preserved:</w:t>
      </w:r>
    </w:p>
    <w:p w14:paraId="2D8FF3A5" w14:textId="77777777" w:rsidR="001454B1" w:rsidRPr="005F5BEA" w:rsidRDefault="001454B1" w:rsidP="00AB5B20">
      <w:pPr>
        <w:numPr>
          <w:ilvl w:val="0"/>
          <w:numId w:val="21"/>
        </w:numPr>
        <w:spacing w:before="0"/>
        <w:contextualSpacing/>
        <w:rPr>
          <w:rFonts w:eastAsia="Calibri" w:cs="Times New Roman"/>
          <w:iCs/>
        </w:rPr>
      </w:pPr>
      <w:r w:rsidRPr="005F5BEA">
        <w:rPr>
          <w:rFonts w:eastAsia="Calibri" w:cs="Times New Roman"/>
          <w:iCs/>
        </w:rPr>
        <w:t>Retain services for Implantable Loop Recorders (ILRs)</w:t>
      </w:r>
    </w:p>
    <w:p w14:paraId="0682BBFD" w14:textId="77777777" w:rsidR="001454B1" w:rsidRPr="005F5BEA" w:rsidRDefault="001454B1" w:rsidP="00AB5B20">
      <w:pPr>
        <w:numPr>
          <w:ilvl w:val="0"/>
          <w:numId w:val="21"/>
        </w:numPr>
        <w:spacing w:before="0"/>
        <w:contextualSpacing/>
        <w:rPr>
          <w:rFonts w:eastAsia="Calibri" w:cs="Times New Roman"/>
          <w:iCs/>
        </w:rPr>
      </w:pPr>
      <w:r w:rsidRPr="005F5BEA">
        <w:rPr>
          <w:rFonts w:eastAsia="Calibri" w:cs="Times New Roman"/>
          <w:iCs/>
        </w:rPr>
        <w:t>Retain regional wage loading of 25%</w:t>
      </w:r>
    </w:p>
    <w:p w14:paraId="6072917B" w14:textId="77777777" w:rsidR="001454B1" w:rsidRPr="005F5BEA" w:rsidRDefault="001454B1" w:rsidP="00AB5B20">
      <w:pPr>
        <w:numPr>
          <w:ilvl w:val="0"/>
          <w:numId w:val="21"/>
        </w:numPr>
        <w:spacing w:before="0"/>
        <w:contextualSpacing/>
        <w:rPr>
          <w:rFonts w:eastAsia="Calibri" w:cs="Times New Roman"/>
          <w:iCs/>
        </w:rPr>
      </w:pPr>
      <w:r w:rsidRPr="005F5BEA">
        <w:rPr>
          <w:rFonts w:eastAsia="Calibri" w:cs="Times New Roman"/>
          <w:iCs/>
        </w:rPr>
        <w:t xml:space="preserve">Retain on-demand wage loading of </w:t>
      </w:r>
      <w:proofErr w:type="gramStart"/>
      <w:r w:rsidRPr="005F5BEA">
        <w:rPr>
          <w:rFonts w:eastAsia="Calibri" w:cs="Times New Roman"/>
          <w:iCs/>
        </w:rPr>
        <w:t>1.55</w:t>
      </w:r>
      <w:proofErr w:type="gramEnd"/>
    </w:p>
    <w:p w14:paraId="2643FAD8" w14:textId="77777777" w:rsidR="001454B1" w:rsidRPr="005F5BEA" w:rsidRDefault="001454B1" w:rsidP="00AB5B20">
      <w:pPr>
        <w:numPr>
          <w:ilvl w:val="0"/>
          <w:numId w:val="21"/>
        </w:numPr>
        <w:spacing w:before="0"/>
        <w:contextualSpacing/>
        <w:rPr>
          <w:rFonts w:eastAsia="Calibri" w:cs="Times New Roman"/>
          <w:iCs/>
        </w:rPr>
      </w:pPr>
      <w:r w:rsidRPr="005F5BEA">
        <w:rPr>
          <w:rFonts w:eastAsia="Calibri" w:cs="Times New Roman"/>
          <w:iCs/>
        </w:rPr>
        <w:t xml:space="preserve">Retain the travel, parking and total costs presented in the </w:t>
      </w:r>
      <w:proofErr w:type="gramStart"/>
      <w:r w:rsidRPr="005F5BEA">
        <w:rPr>
          <w:rFonts w:eastAsia="Calibri" w:cs="Times New Roman"/>
          <w:iCs/>
        </w:rPr>
        <w:t>ADAR</w:t>
      </w:r>
      <w:proofErr w:type="gramEnd"/>
    </w:p>
    <w:p w14:paraId="18FAFE2C" w14:textId="77777777" w:rsidR="001454B1" w:rsidRPr="005F5BEA" w:rsidRDefault="001454B1" w:rsidP="00AB5B20">
      <w:pPr>
        <w:numPr>
          <w:ilvl w:val="0"/>
          <w:numId w:val="21"/>
        </w:numPr>
        <w:spacing w:before="0"/>
        <w:contextualSpacing/>
        <w:rPr>
          <w:rFonts w:eastAsia="Calibri" w:cs="Times New Roman"/>
          <w:iCs/>
        </w:rPr>
      </w:pPr>
      <w:r w:rsidRPr="005F5BEA">
        <w:rPr>
          <w:rFonts w:eastAsia="Calibri" w:cs="Times New Roman"/>
          <w:iCs/>
        </w:rPr>
        <w:t xml:space="preserve">Retain training costs of $15,921 per </w:t>
      </w:r>
      <w:proofErr w:type="gramStart"/>
      <w:r w:rsidRPr="005F5BEA">
        <w:rPr>
          <w:rFonts w:eastAsia="Calibri" w:cs="Times New Roman"/>
          <w:iCs/>
        </w:rPr>
        <w:t>annum</w:t>
      </w:r>
      <w:proofErr w:type="gramEnd"/>
    </w:p>
    <w:p w14:paraId="6FF59F52" w14:textId="77777777" w:rsidR="001454B1" w:rsidRPr="005F5BEA" w:rsidRDefault="001454B1" w:rsidP="00C63874">
      <w:pPr>
        <w:numPr>
          <w:ilvl w:val="0"/>
          <w:numId w:val="21"/>
        </w:numPr>
        <w:spacing w:before="0"/>
        <w:ind w:left="714" w:hanging="357"/>
        <w:rPr>
          <w:rFonts w:eastAsia="Calibri" w:cs="Times New Roman"/>
          <w:iCs/>
        </w:rPr>
      </w:pPr>
      <w:r w:rsidRPr="005F5BEA">
        <w:rPr>
          <w:rFonts w:eastAsia="Calibri" w:cs="Times New Roman"/>
          <w:iCs/>
        </w:rPr>
        <w:t xml:space="preserve">Retain certification costs of </w:t>
      </w:r>
      <w:proofErr w:type="gramStart"/>
      <w:r w:rsidRPr="005F5BEA">
        <w:rPr>
          <w:rFonts w:eastAsia="Calibri" w:cs="Times New Roman"/>
          <w:iCs/>
        </w:rPr>
        <w:t>$13,267</w:t>
      </w:r>
      <w:proofErr w:type="gramEnd"/>
      <w:r w:rsidRPr="005F5BEA">
        <w:rPr>
          <w:rFonts w:eastAsia="Calibri" w:cs="Times New Roman"/>
          <w:iCs/>
        </w:rPr>
        <w:t xml:space="preserve"> </w:t>
      </w:r>
    </w:p>
    <w:p w14:paraId="3CEDF59D" w14:textId="7B991A58" w:rsidR="001454B1" w:rsidRPr="005F5BEA" w:rsidRDefault="001454B1" w:rsidP="00C63874">
      <w:pPr>
        <w:rPr>
          <w:rFonts w:eastAsia="Calibri" w:cs="Times New Roman"/>
          <w:iCs/>
        </w:rPr>
      </w:pPr>
      <w:r w:rsidRPr="005F5BEA">
        <w:rPr>
          <w:rFonts w:eastAsia="Calibri" w:cs="Times New Roman"/>
          <w:iCs/>
        </w:rPr>
        <w:t xml:space="preserve">For this analysis, overhead costs are estimated as 30% of non-overhead costs in the updated model (based on Round 1 and Round 2 data), as presented in </w:t>
      </w:r>
      <w:r w:rsidRPr="005F5BEA">
        <w:rPr>
          <w:rFonts w:eastAsia="Calibri" w:cs="Times New Roman"/>
          <w:iCs/>
        </w:rPr>
        <w:fldChar w:fldCharType="begin"/>
      </w:r>
      <w:r w:rsidRPr="005F5BEA">
        <w:rPr>
          <w:rFonts w:eastAsia="Calibri" w:cs="Times New Roman"/>
          <w:iCs/>
        </w:rPr>
        <w:instrText xml:space="preserve"> REF _Ref135071449 \h  \* MERGEFORMAT </w:instrText>
      </w:r>
      <w:r w:rsidRPr="005F5BEA">
        <w:rPr>
          <w:rFonts w:eastAsia="Calibri" w:cs="Times New Roman"/>
          <w:iCs/>
        </w:rPr>
      </w:r>
      <w:r w:rsidRPr="005F5BEA">
        <w:rPr>
          <w:rFonts w:eastAsia="Calibri" w:cs="Times New Roman"/>
          <w:iCs/>
        </w:rPr>
        <w:fldChar w:fldCharType="separate"/>
      </w:r>
      <w:r w:rsidR="00334548" w:rsidRPr="00334548">
        <w:rPr>
          <w:rFonts w:eastAsia="Calibri" w:cs="Times New Roman"/>
          <w:iCs/>
        </w:rPr>
        <w:t xml:space="preserve">Table </w:t>
      </w:r>
      <w:r w:rsidR="00334548" w:rsidRPr="00334548">
        <w:rPr>
          <w:rFonts w:eastAsia="Calibri" w:cs="Times New Roman"/>
          <w:iCs/>
          <w:noProof/>
        </w:rPr>
        <w:t>28</w:t>
      </w:r>
      <w:r w:rsidRPr="005F5BEA">
        <w:rPr>
          <w:rFonts w:eastAsia="Calibri" w:cs="Times New Roman"/>
          <w:iCs/>
        </w:rPr>
        <w:fldChar w:fldCharType="end"/>
      </w:r>
      <w:r w:rsidRPr="005F5BEA">
        <w:rPr>
          <w:rFonts w:eastAsia="Calibri" w:cs="Times New Roman"/>
          <w:iCs/>
        </w:rPr>
        <w:t xml:space="preserve">. </w:t>
      </w:r>
    </w:p>
    <w:p w14:paraId="0FF46660" w14:textId="7B056729" w:rsidR="001454B1" w:rsidRPr="005F5BEA" w:rsidRDefault="001454B1" w:rsidP="001454B1">
      <w:pPr>
        <w:keepNext/>
        <w:spacing w:before="0" w:after="200" w:line="240" w:lineRule="auto"/>
        <w:rPr>
          <w:rFonts w:ascii="Arial Narrow" w:eastAsia="Calibri" w:hAnsi="Arial Narrow" w:cs="Times New Roman"/>
          <w:b/>
          <w:iCs/>
          <w:sz w:val="20"/>
          <w:szCs w:val="20"/>
        </w:rPr>
      </w:pPr>
      <w:bookmarkStart w:id="45" w:name="_Hlk137217357"/>
      <w:r w:rsidRPr="005F5BEA">
        <w:rPr>
          <w:rFonts w:ascii="Arial Narrow" w:eastAsia="Calibri" w:hAnsi="Arial Narrow" w:cs="Times New Roman"/>
          <w:b/>
          <w:iCs/>
          <w:sz w:val="20"/>
          <w:szCs w:val="20"/>
        </w:rPr>
        <w:t xml:space="preserve">Table </w:t>
      </w:r>
      <w:r w:rsidRPr="005F5BEA">
        <w:rPr>
          <w:rFonts w:ascii="Arial Narrow" w:eastAsia="Calibri" w:hAnsi="Arial Narrow" w:cs="Times New Roman"/>
          <w:b/>
          <w:iCs/>
          <w:sz w:val="20"/>
          <w:szCs w:val="20"/>
        </w:rPr>
        <w:fldChar w:fldCharType="begin"/>
      </w:r>
      <w:r w:rsidRPr="005F5BEA">
        <w:rPr>
          <w:rFonts w:ascii="Arial Narrow" w:eastAsia="Calibri" w:hAnsi="Arial Narrow" w:cs="Times New Roman"/>
          <w:b/>
          <w:iCs/>
          <w:sz w:val="20"/>
          <w:szCs w:val="20"/>
        </w:rPr>
        <w:instrText xml:space="preserve"> SEQ Table \* ARABIC </w:instrText>
      </w:r>
      <w:r w:rsidRPr="005F5BEA">
        <w:rPr>
          <w:rFonts w:ascii="Arial Narrow" w:eastAsia="Calibri" w:hAnsi="Arial Narrow" w:cs="Times New Roman"/>
          <w:b/>
          <w:iCs/>
          <w:sz w:val="20"/>
          <w:szCs w:val="20"/>
        </w:rPr>
        <w:fldChar w:fldCharType="separate"/>
      </w:r>
      <w:r w:rsidR="00334548">
        <w:rPr>
          <w:rFonts w:ascii="Arial Narrow" w:eastAsia="Calibri" w:hAnsi="Arial Narrow" w:cs="Times New Roman"/>
          <w:b/>
          <w:iCs/>
          <w:noProof/>
          <w:sz w:val="20"/>
          <w:szCs w:val="20"/>
        </w:rPr>
        <w:t>29</w:t>
      </w:r>
      <w:r w:rsidRPr="005F5BEA">
        <w:rPr>
          <w:rFonts w:ascii="Arial Narrow" w:eastAsia="Calibri" w:hAnsi="Arial Narrow" w:cs="Times New Roman"/>
          <w:b/>
          <w:iCs/>
          <w:noProof/>
          <w:sz w:val="20"/>
          <w:szCs w:val="20"/>
        </w:rPr>
        <w:fldChar w:fldCharType="end"/>
      </w:r>
      <w:r w:rsidRPr="005F5BEA">
        <w:rPr>
          <w:rFonts w:ascii="Arial Narrow" w:eastAsia="Calibri" w:hAnsi="Arial Narrow" w:cs="Times New Roman"/>
          <w:b/>
          <w:iCs/>
          <w:sz w:val="20"/>
          <w:szCs w:val="20"/>
        </w:rPr>
        <w:tab/>
        <w:t xml:space="preserve">Stepwise implementation of changes to generate the MSAC updated </w:t>
      </w:r>
      <w:proofErr w:type="gramStart"/>
      <w:r w:rsidRPr="005F5BEA">
        <w:rPr>
          <w:rFonts w:ascii="Arial Narrow" w:eastAsia="Calibri" w:hAnsi="Arial Narrow" w:cs="Times New Roman"/>
          <w:b/>
          <w:iCs/>
          <w:sz w:val="20"/>
          <w:szCs w:val="20"/>
        </w:rPr>
        <w:t>model</w:t>
      </w:r>
      <w:proofErr w:type="gramEnd"/>
    </w:p>
    <w:tbl>
      <w:tblPr>
        <w:tblStyle w:val="TableGrid1"/>
        <w:tblW w:w="0" w:type="auto"/>
        <w:tblLook w:val="04A0" w:firstRow="1" w:lastRow="0" w:firstColumn="1" w:lastColumn="0" w:noHBand="0" w:noVBand="1"/>
      </w:tblPr>
      <w:tblGrid>
        <w:gridCol w:w="1592"/>
        <w:gridCol w:w="1555"/>
        <w:gridCol w:w="1299"/>
        <w:gridCol w:w="1459"/>
        <w:gridCol w:w="1613"/>
        <w:gridCol w:w="1498"/>
      </w:tblGrid>
      <w:tr w:rsidR="001454B1" w:rsidRPr="005F5BEA" w14:paraId="7ADCDC3D" w14:textId="77777777" w:rsidTr="00032276">
        <w:tc>
          <w:tcPr>
            <w:tcW w:w="1592" w:type="dxa"/>
          </w:tcPr>
          <w:bookmarkEnd w:id="45"/>
          <w:p w14:paraId="2E08184A"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Data</w:t>
            </w:r>
          </w:p>
        </w:tc>
        <w:tc>
          <w:tcPr>
            <w:tcW w:w="1555" w:type="dxa"/>
          </w:tcPr>
          <w:p w14:paraId="07989731"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2022</w:t>
            </w:r>
          </w:p>
        </w:tc>
        <w:tc>
          <w:tcPr>
            <w:tcW w:w="1299" w:type="dxa"/>
          </w:tcPr>
          <w:p w14:paraId="03ECF125"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2023</w:t>
            </w:r>
          </w:p>
        </w:tc>
        <w:tc>
          <w:tcPr>
            <w:tcW w:w="1459" w:type="dxa"/>
          </w:tcPr>
          <w:p w14:paraId="33EBD0B7"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2024</w:t>
            </w:r>
          </w:p>
        </w:tc>
        <w:tc>
          <w:tcPr>
            <w:tcW w:w="1613" w:type="dxa"/>
          </w:tcPr>
          <w:p w14:paraId="78B2BFC3"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2025</w:t>
            </w:r>
          </w:p>
        </w:tc>
        <w:tc>
          <w:tcPr>
            <w:tcW w:w="1498" w:type="dxa"/>
          </w:tcPr>
          <w:p w14:paraId="7C73A062"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 xml:space="preserve">Percentage change from </w:t>
            </w:r>
            <w:proofErr w:type="spellStart"/>
            <w:r w:rsidRPr="005F5BEA">
              <w:rPr>
                <w:rFonts w:ascii="Arial Narrow" w:eastAsia="Calibri" w:hAnsi="Arial Narrow" w:cs="Calibri"/>
                <w:b/>
                <w:sz w:val="20"/>
                <w:szCs w:val="20"/>
                <w:lang w:val="en-US"/>
              </w:rPr>
              <w:t>ADAR</w:t>
            </w:r>
            <w:r w:rsidRPr="005F5BEA">
              <w:rPr>
                <w:rFonts w:ascii="Arial Narrow" w:eastAsia="Calibri" w:hAnsi="Arial Narrow" w:cs="Calibri"/>
                <w:b/>
                <w:sz w:val="20"/>
                <w:szCs w:val="20"/>
                <w:vertAlign w:val="superscript"/>
                <w:lang w:val="en-US"/>
              </w:rPr>
              <w:t>b</w:t>
            </w:r>
            <w:proofErr w:type="spellEnd"/>
          </w:p>
        </w:tc>
      </w:tr>
      <w:tr w:rsidR="001454B1" w:rsidRPr="005F5BEA" w14:paraId="64FC5569" w14:textId="77777777" w:rsidTr="00032276">
        <w:tc>
          <w:tcPr>
            <w:tcW w:w="9016" w:type="dxa"/>
            <w:gridSpan w:val="6"/>
          </w:tcPr>
          <w:p w14:paraId="05FA0E1E"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Updated model with Round 1 and Round 2 patient numbers</w:t>
            </w:r>
          </w:p>
        </w:tc>
      </w:tr>
      <w:tr w:rsidR="001454B1" w:rsidRPr="005F5BEA" w14:paraId="119F45E7" w14:textId="77777777" w:rsidTr="00032276">
        <w:tc>
          <w:tcPr>
            <w:tcW w:w="1592" w:type="dxa"/>
          </w:tcPr>
          <w:p w14:paraId="3F65860B"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Total services</w:t>
            </w:r>
          </w:p>
        </w:tc>
        <w:tc>
          <w:tcPr>
            <w:tcW w:w="1555" w:type="dxa"/>
          </w:tcPr>
          <w:p w14:paraId="34D4393A"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761,281</w:t>
            </w:r>
          </w:p>
        </w:tc>
        <w:tc>
          <w:tcPr>
            <w:tcW w:w="1299" w:type="dxa"/>
          </w:tcPr>
          <w:p w14:paraId="4CA428C2"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814,571</w:t>
            </w:r>
          </w:p>
        </w:tc>
        <w:tc>
          <w:tcPr>
            <w:tcW w:w="1459" w:type="dxa"/>
          </w:tcPr>
          <w:p w14:paraId="50BC6747"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871,591</w:t>
            </w:r>
          </w:p>
        </w:tc>
        <w:tc>
          <w:tcPr>
            <w:tcW w:w="1613" w:type="dxa"/>
          </w:tcPr>
          <w:p w14:paraId="66D2EF99"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932,602</w:t>
            </w:r>
          </w:p>
        </w:tc>
        <w:tc>
          <w:tcPr>
            <w:tcW w:w="1498" w:type="dxa"/>
          </w:tcPr>
          <w:p w14:paraId="453EB47F"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9.2%</w:t>
            </w:r>
          </w:p>
        </w:tc>
      </w:tr>
      <w:tr w:rsidR="001454B1" w:rsidRPr="005F5BEA" w14:paraId="201C1E16" w14:textId="77777777" w:rsidTr="00032276">
        <w:tc>
          <w:tcPr>
            <w:tcW w:w="1592" w:type="dxa"/>
          </w:tcPr>
          <w:p w14:paraId="264979A0"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Total costs</w:t>
            </w:r>
          </w:p>
        </w:tc>
        <w:tc>
          <w:tcPr>
            <w:tcW w:w="1555" w:type="dxa"/>
            <w:vAlign w:val="center"/>
          </w:tcPr>
          <w:p w14:paraId="6BCBA645"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color w:val="000000"/>
                <w:sz w:val="20"/>
                <w:szCs w:val="20"/>
              </w:rPr>
              <w:t>$77,507,102</w:t>
            </w:r>
          </w:p>
        </w:tc>
        <w:tc>
          <w:tcPr>
            <w:tcW w:w="1299" w:type="dxa"/>
            <w:vAlign w:val="center"/>
          </w:tcPr>
          <w:p w14:paraId="7EB69947"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color w:val="000000"/>
                <w:sz w:val="20"/>
                <w:szCs w:val="20"/>
              </w:rPr>
              <w:t>$83,316,134</w:t>
            </w:r>
          </w:p>
        </w:tc>
        <w:tc>
          <w:tcPr>
            <w:tcW w:w="1459" w:type="dxa"/>
            <w:vAlign w:val="center"/>
          </w:tcPr>
          <w:p w14:paraId="3E232E81"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color w:val="000000"/>
                <w:sz w:val="20"/>
                <w:szCs w:val="20"/>
              </w:rPr>
              <w:t>$89,486,836</w:t>
            </w:r>
          </w:p>
        </w:tc>
        <w:tc>
          <w:tcPr>
            <w:tcW w:w="1613" w:type="dxa"/>
            <w:vAlign w:val="center"/>
          </w:tcPr>
          <w:p w14:paraId="66BBF27D"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color w:val="000000"/>
                <w:sz w:val="20"/>
                <w:szCs w:val="20"/>
              </w:rPr>
              <w:t>$96,047,275</w:t>
            </w:r>
          </w:p>
        </w:tc>
        <w:tc>
          <w:tcPr>
            <w:tcW w:w="1498" w:type="dxa"/>
          </w:tcPr>
          <w:p w14:paraId="53528744"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5.8%</w:t>
            </w:r>
          </w:p>
        </w:tc>
      </w:tr>
      <w:tr w:rsidR="001454B1" w:rsidRPr="005F5BEA" w14:paraId="2CD93D8C" w14:textId="77777777" w:rsidTr="00032276">
        <w:tc>
          <w:tcPr>
            <w:tcW w:w="9016" w:type="dxa"/>
            <w:gridSpan w:val="6"/>
          </w:tcPr>
          <w:p w14:paraId="71BAF86C" w14:textId="77777777" w:rsidR="001454B1" w:rsidRPr="008A2B4D" w:rsidRDefault="001454B1" w:rsidP="001454B1">
            <w:pPr>
              <w:widowControl w:val="0"/>
              <w:spacing w:before="20" w:after="20"/>
              <w:rPr>
                <w:rFonts w:ascii="Arial Narrow" w:eastAsia="Calibri" w:hAnsi="Arial Narrow" w:cs="Calibri"/>
                <w:b/>
                <w:i/>
                <w:sz w:val="20"/>
                <w:szCs w:val="20"/>
                <w:lang w:val="en-US"/>
              </w:rPr>
            </w:pPr>
            <w:r w:rsidRPr="008A2B4D">
              <w:rPr>
                <w:rFonts w:ascii="Arial Narrow" w:eastAsia="Calibri" w:hAnsi="Arial Narrow" w:cs="Calibri"/>
                <w:b/>
                <w:sz w:val="20"/>
                <w:szCs w:val="20"/>
                <w:lang w:val="en-US"/>
              </w:rPr>
              <w:t>Exclude services provided to public patients (S1)</w:t>
            </w:r>
          </w:p>
        </w:tc>
      </w:tr>
      <w:tr w:rsidR="001454B1" w:rsidRPr="005F5BEA" w14:paraId="03CE2FE7" w14:textId="77777777" w:rsidTr="00032276">
        <w:tc>
          <w:tcPr>
            <w:tcW w:w="1592" w:type="dxa"/>
          </w:tcPr>
          <w:p w14:paraId="251AF682"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Total services</w:t>
            </w:r>
          </w:p>
        </w:tc>
        <w:tc>
          <w:tcPr>
            <w:tcW w:w="1555" w:type="dxa"/>
          </w:tcPr>
          <w:p w14:paraId="166F9A1E"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 xml:space="preserve"> 627,887 </w:t>
            </w:r>
          </w:p>
        </w:tc>
        <w:tc>
          <w:tcPr>
            <w:tcW w:w="1299" w:type="dxa"/>
          </w:tcPr>
          <w:p w14:paraId="52782FEA"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 xml:space="preserve"> 671,839 </w:t>
            </w:r>
          </w:p>
        </w:tc>
        <w:tc>
          <w:tcPr>
            <w:tcW w:w="1459" w:type="dxa"/>
          </w:tcPr>
          <w:p w14:paraId="67D2F4A1"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 xml:space="preserve"> 718,868 </w:t>
            </w:r>
          </w:p>
        </w:tc>
        <w:tc>
          <w:tcPr>
            <w:tcW w:w="1613" w:type="dxa"/>
          </w:tcPr>
          <w:p w14:paraId="22FFAF6A"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 xml:space="preserve"> 769,189 </w:t>
            </w:r>
          </w:p>
        </w:tc>
        <w:tc>
          <w:tcPr>
            <w:tcW w:w="1498" w:type="dxa"/>
          </w:tcPr>
          <w:p w14:paraId="45F930B3"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-9.9%</w:t>
            </w:r>
          </w:p>
        </w:tc>
      </w:tr>
      <w:tr w:rsidR="001454B1" w:rsidRPr="005F5BEA" w14:paraId="3B4EA016" w14:textId="77777777" w:rsidTr="00032276">
        <w:tc>
          <w:tcPr>
            <w:tcW w:w="1592" w:type="dxa"/>
          </w:tcPr>
          <w:p w14:paraId="18106179"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Total costs</w:t>
            </w:r>
          </w:p>
        </w:tc>
        <w:tc>
          <w:tcPr>
            <w:tcW w:w="1555" w:type="dxa"/>
            <w:vAlign w:val="center"/>
          </w:tcPr>
          <w:p w14:paraId="47782D68"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color w:val="000000"/>
                <w:sz w:val="20"/>
                <w:szCs w:val="20"/>
              </w:rPr>
              <w:t>$61,461,281</w:t>
            </w:r>
          </w:p>
        </w:tc>
        <w:tc>
          <w:tcPr>
            <w:tcW w:w="1299" w:type="dxa"/>
            <w:vAlign w:val="center"/>
          </w:tcPr>
          <w:p w14:paraId="6872CF70"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color w:val="000000"/>
                <w:sz w:val="20"/>
                <w:szCs w:val="20"/>
              </w:rPr>
              <w:t>$66,061,119</w:t>
            </w:r>
          </w:p>
        </w:tc>
        <w:tc>
          <w:tcPr>
            <w:tcW w:w="1459" w:type="dxa"/>
            <w:vAlign w:val="center"/>
          </w:tcPr>
          <w:p w14:paraId="178CE1AB"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color w:val="000000"/>
                <w:sz w:val="20"/>
                <w:szCs w:val="20"/>
              </w:rPr>
              <w:t>$70,948,121</w:t>
            </w:r>
          </w:p>
        </w:tc>
        <w:tc>
          <w:tcPr>
            <w:tcW w:w="1613" w:type="dxa"/>
            <w:vAlign w:val="center"/>
          </w:tcPr>
          <w:p w14:paraId="12BA18C4"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color w:val="000000"/>
                <w:sz w:val="20"/>
                <w:szCs w:val="20"/>
              </w:rPr>
              <w:t>$76,144,519</w:t>
            </w:r>
          </w:p>
        </w:tc>
        <w:tc>
          <w:tcPr>
            <w:tcW w:w="1498" w:type="dxa"/>
          </w:tcPr>
          <w:p w14:paraId="0854E129"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-16.1%</w:t>
            </w:r>
          </w:p>
        </w:tc>
      </w:tr>
      <w:tr w:rsidR="001454B1" w:rsidRPr="005F5BEA" w14:paraId="51051DD4" w14:textId="77777777" w:rsidTr="00032276">
        <w:tc>
          <w:tcPr>
            <w:tcW w:w="9016" w:type="dxa"/>
            <w:gridSpan w:val="6"/>
          </w:tcPr>
          <w:p w14:paraId="52603CB0" w14:textId="77777777" w:rsidR="001454B1" w:rsidRPr="008A2B4D" w:rsidRDefault="001454B1" w:rsidP="001454B1">
            <w:pPr>
              <w:keepLines/>
              <w:spacing w:before="20" w:after="20"/>
              <w:rPr>
                <w:rFonts w:ascii="Arial Narrow" w:eastAsia="Calibri" w:hAnsi="Arial Narrow" w:cs="Calibri"/>
                <w:b/>
                <w:sz w:val="20"/>
                <w:szCs w:val="20"/>
              </w:rPr>
            </w:pPr>
            <w:r w:rsidRPr="008A2B4D">
              <w:rPr>
                <w:rFonts w:ascii="Arial Narrow" w:eastAsia="Calibri" w:hAnsi="Arial Narrow" w:cs="Calibri"/>
                <w:b/>
                <w:sz w:val="20"/>
                <w:szCs w:val="20"/>
              </w:rPr>
              <w:t>S1 + Exclude peri-implantation services (S2)</w:t>
            </w:r>
          </w:p>
        </w:tc>
      </w:tr>
      <w:tr w:rsidR="001454B1" w:rsidRPr="005F5BEA" w14:paraId="6D49E40B" w14:textId="77777777" w:rsidTr="00032276">
        <w:tc>
          <w:tcPr>
            <w:tcW w:w="1592" w:type="dxa"/>
          </w:tcPr>
          <w:p w14:paraId="4C562B73"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Total services</w:t>
            </w:r>
          </w:p>
        </w:tc>
        <w:tc>
          <w:tcPr>
            <w:tcW w:w="1555" w:type="dxa"/>
          </w:tcPr>
          <w:p w14:paraId="20CDC806"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 xml:space="preserve"> 593,409 </w:t>
            </w:r>
          </w:p>
        </w:tc>
        <w:tc>
          <w:tcPr>
            <w:tcW w:w="1299" w:type="dxa"/>
          </w:tcPr>
          <w:p w14:paraId="117F6194"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 xml:space="preserve"> 634,948 </w:t>
            </w:r>
          </w:p>
        </w:tc>
        <w:tc>
          <w:tcPr>
            <w:tcW w:w="1459" w:type="dxa"/>
          </w:tcPr>
          <w:p w14:paraId="5ECF249C"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 xml:space="preserve"> 679,394 </w:t>
            </w:r>
          </w:p>
        </w:tc>
        <w:tc>
          <w:tcPr>
            <w:tcW w:w="1613" w:type="dxa"/>
          </w:tcPr>
          <w:p w14:paraId="4BBC5734"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 xml:space="preserve"> 726,952 </w:t>
            </w:r>
          </w:p>
        </w:tc>
        <w:tc>
          <w:tcPr>
            <w:tcW w:w="1498" w:type="dxa"/>
          </w:tcPr>
          <w:p w14:paraId="136A3A43"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-14.9%</w:t>
            </w:r>
          </w:p>
        </w:tc>
      </w:tr>
      <w:tr w:rsidR="001454B1" w:rsidRPr="005F5BEA" w14:paraId="242819DD" w14:textId="77777777" w:rsidTr="00032276">
        <w:tc>
          <w:tcPr>
            <w:tcW w:w="1592" w:type="dxa"/>
          </w:tcPr>
          <w:p w14:paraId="46BE73AE" w14:textId="77777777" w:rsidR="001454B1" w:rsidRPr="005F5BEA" w:rsidRDefault="001454B1" w:rsidP="001454B1">
            <w:pPr>
              <w:keepLines/>
              <w:spacing w:before="20" w:after="20"/>
              <w:rPr>
                <w:rFonts w:ascii="Arial Narrow" w:eastAsia="Calibri" w:hAnsi="Arial Narrow" w:cs="Calibri"/>
                <w:i/>
                <w:sz w:val="20"/>
                <w:szCs w:val="20"/>
              </w:rPr>
            </w:pPr>
            <w:r w:rsidRPr="005F5BEA">
              <w:rPr>
                <w:rFonts w:ascii="Arial Narrow" w:eastAsia="Calibri" w:hAnsi="Arial Narrow" w:cs="Calibri"/>
                <w:sz w:val="20"/>
                <w:szCs w:val="20"/>
              </w:rPr>
              <w:t>Total costs</w:t>
            </w:r>
          </w:p>
        </w:tc>
        <w:tc>
          <w:tcPr>
            <w:tcW w:w="1555" w:type="dxa"/>
            <w:vAlign w:val="center"/>
          </w:tcPr>
          <w:p w14:paraId="1368B374" w14:textId="77777777" w:rsidR="001454B1" w:rsidRPr="008A2B4D" w:rsidRDefault="001454B1" w:rsidP="001454B1">
            <w:pPr>
              <w:keepLines/>
              <w:spacing w:before="20" w:after="20"/>
              <w:jc w:val="right"/>
              <w:rPr>
                <w:rFonts w:ascii="Arial Narrow" w:eastAsia="Calibri" w:hAnsi="Arial Narrow" w:cs="Calibri"/>
                <w:i/>
                <w:sz w:val="20"/>
                <w:szCs w:val="20"/>
              </w:rPr>
            </w:pPr>
            <w:r w:rsidRPr="008A2B4D">
              <w:rPr>
                <w:rFonts w:ascii="Arial Narrow" w:eastAsia="Calibri" w:hAnsi="Arial Narrow" w:cs="Calibri"/>
                <w:color w:val="000000"/>
                <w:sz w:val="20"/>
                <w:szCs w:val="20"/>
              </w:rPr>
              <w:t>$52,428,467</w:t>
            </w:r>
          </w:p>
        </w:tc>
        <w:tc>
          <w:tcPr>
            <w:tcW w:w="1299" w:type="dxa"/>
            <w:vAlign w:val="center"/>
          </w:tcPr>
          <w:p w14:paraId="32B9296E" w14:textId="77777777" w:rsidR="001454B1" w:rsidRPr="008A2B4D" w:rsidRDefault="001454B1" w:rsidP="001454B1">
            <w:pPr>
              <w:keepLines/>
              <w:spacing w:before="20" w:after="20"/>
              <w:jc w:val="right"/>
              <w:rPr>
                <w:rFonts w:ascii="Arial Narrow" w:eastAsia="Calibri" w:hAnsi="Arial Narrow" w:cs="Calibri"/>
                <w:i/>
                <w:sz w:val="20"/>
                <w:szCs w:val="20"/>
              </w:rPr>
            </w:pPr>
            <w:r w:rsidRPr="008A2B4D">
              <w:rPr>
                <w:rFonts w:ascii="Arial Narrow" w:eastAsia="Calibri" w:hAnsi="Arial Narrow" w:cs="Calibri"/>
                <w:color w:val="000000"/>
                <w:sz w:val="20"/>
                <w:szCs w:val="20"/>
              </w:rPr>
              <w:t>$56,316,940</w:t>
            </w:r>
          </w:p>
        </w:tc>
        <w:tc>
          <w:tcPr>
            <w:tcW w:w="1459" w:type="dxa"/>
            <w:vAlign w:val="center"/>
          </w:tcPr>
          <w:p w14:paraId="047734F6" w14:textId="77777777" w:rsidR="001454B1" w:rsidRPr="008A2B4D" w:rsidRDefault="001454B1" w:rsidP="001454B1">
            <w:pPr>
              <w:keepLines/>
              <w:spacing w:before="20" w:after="20"/>
              <w:jc w:val="right"/>
              <w:rPr>
                <w:rFonts w:ascii="Arial Narrow" w:eastAsia="Calibri" w:hAnsi="Arial Narrow" w:cs="Calibri"/>
                <w:i/>
                <w:sz w:val="20"/>
                <w:szCs w:val="20"/>
              </w:rPr>
            </w:pPr>
            <w:r w:rsidRPr="008A2B4D">
              <w:rPr>
                <w:rFonts w:ascii="Arial Narrow" w:eastAsia="Calibri" w:hAnsi="Arial Narrow" w:cs="Calibri"/>
                <w:color w:val="000000"/>
                <w:sz w:val="20"/>
                <w:szCs w:val="20"/>
              </w:rPr>
              <w:t>$60,437,247</w:t>
            </w:r>
          </w:p>
        </w:tc>
        <w:tc>
          <w:tcPr>
            <w:tcW w:w="1613" w:type="dxa"/>
            <w:vAlign w:val="center"/>
          </w:tcPr>
          <w:p w14:paraId="6C37663B" w14:textId="77777777" w:rsidR="001454B1" w:rsidRPr="008A2B4D" w:rsidRDefault="001454B1" w:rsidP="001454B1">
            <w:pPr>
              <w:keepLines/>
              <w:spacing w:before="20" w:after="20"/>
              <w:jc w:val="right"/>
              <w:rPr>
                <w:rFonts w:ascii="Arial Narrow" w:eastAsia="Calibri" w:hAnsi="Arial Narrow" w:cs="Calibri"/>
                <w:i/>
                <w:sz w:val="20"/>
                <w:szCs w:val="20"/>
              </w:rPr>
            </w:pPr>
            <w:r w:rsidRPr="008A2B4D">
              <w:rPr>
                <w:rFonts w:ascii="Arial Narrow" w:eastAsia="Calibri" w:hAnsi="Arial Narrow" w:cs="Calibri"/>
                <w:color w:val="000000"/>
                <w:sz w:val="20"/>
                <w:szCs w:val="20"/>
              </w:rPr>
              <w:t>$64,807,361</w:t>
            </w:r>
          </w:p>
        </w:tc>
        <w:tc>
          <w:tcPr>
            <w:tcW w:w="1498" w:type="dxa"/>
          </w:tcPr>
          <w:p w14:paraId="2459CD5C"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-28.5%</w:t>
            </w:r>
          </w:p>
        </w:tc>
      </w:tr>
      <w:tr w:rsidR="001454B1" w:rsidRPr="005F5BEA" w14:paraId="725FF7FA" w14:textId="77777777" w:rsidTr="00032276">
        <w:tc>
          <w:tcPr>
            <w:tcW w:w="9016" w:type="dxa"/>
            <w:gridSpan w:val="6"/>
          </w:tcPr>
          <w:p w14:paraId="31750C27" w14:textId="77777777" w:rsidR="001454B1" w:rsidRPr="008A2B4D" w:rsidRDefault="001454B1" w:rsidP="001454B1">
            <w:pPr>
              <w:keepLines/>
              <w:spacing w:before="20" w:after="20"/>
              <w:rPr>
                <w:rFonts w:ascii="Arial Narrow" w:eastAsia="Calibri" w:hAnsi="Arial Narrow" w:cs="Calibri"/>
                <w:b/>
                <w:i/>
                <w:sz w:val="20"/>
                <w:szCs w:val="20"/>
              </w:rPr>
            </w:pPr>
            <w:r w:rsidRPr="008A2B4D">
              <w:rPr>
                <w:rFonts w:ascii="Arial Narrow" w:eastAsia="Calibri" w:hAnsi="Arial Narrow" w:cs="Calibri"/>
                <w:b/>
                <w:i/>
                <w:sz w:val="20"/>
                <w:szCs w:val="20"/>
              </w:rPr>
              <w:t xml:space="preserve">S1 + S2 + </w:t>
            </w:r>
            <w:r w:rsidRPr="008A2B4D">
              <w:rPr>
                <w:rFonts w:ascii="Arial Narrow" w:eastAsia="Calibri" w:hAnsi="Arial Narrow" w:cs="Calibri"/>
                <w:b/>
                <w:sz w:val="20"/>
                <w:szCs w:val="20"/>
              </w:rPr>
              <w:t>Reduce onboarding costs to $30,000 (S3)</w:t>
            </w:r>
          </w:p>
        </w:tc>
      </w:tr>
      <w:tr w:rsidR="001454B1" w:rsidRPr="005F5BEA" w14:paraId="6D6CA3F0" w14:textId="77777777" w:rsidTr="00032276">
        <w:tc>
          <w:tcPr>
            <w:tcW w:w="1592" w:type="dxa"/>
          </w:tcPr>
          <w:p w14:paraId="66B91A6B" w14:textId="77777777" w:rsidR="001454B1" w:rsidRPr="005F5BEA" w:rsidRDefault="001454B1" w:rsidP="001454B1">
            <w:pPr>
              <w:keepLines/>
              <w:spacing w:before="20" w:after="20"/>
              <w:rPr>
                <w:rFonts w:ascii="Arial Narrow" w:eastAsia="Calibri" w:hAnsi="Arial Narrow" w:cs="Calibri"/>
                <w:i/>
                <w:sz w:val="20"/>
                <w:szCs w:val="20"/>
              </w:rPr>
            </w:pPr>
            <w:r w:rsidRPr="005F5BEA">
              <w:rPr>
                <w:rFonts w:ascii="Arial Narrow" w:eastAsia="Calibri" w:hAnsi="Arial Narrow" w:cs="Calibri"/>
                <w:sz w:val="20"/>
                <w:szCs w:val="20"/>
              </w:rPr>
              <w:t>Total costs</w:t>
            </w:r>
          </w:p>
        </w:tc>
        <w:tc>
          <w:tcPr>
            <w:tcW w:w="1555" w:type="dxa"/>
            <w:vAlign w:val="center"/>
          </w:tcPr>
          <w:p w14:paraId="66376A96" w14:textId="77777777" w:rsidR="001454B1" w:rsidRPr="008A2B4D" w:rsidRDefault="001454B1" w:rsidP="001454B1">
            <w:pPr>
              <w:keepLines/>
              <w:spacing w:before="20" w:after="20"/>
              <w:jc w:val="right"/>
              <w:rPr>
                <w:rFonts w:ascii="Arial Narrow" w:eastAsia="Calibri" w:hAnsi="Arial Narrow" w:cs="Calibri"/>
                <w:i/>
                <w:sz w:val="20"/>
                <w:szCs w:val="20"/>
              </w:rPr>
            </w:pPr>
            <w:r w:rsidRPr="008A2B4D">
              <w:rPr>
                <w:rFonts w:ascii="Arial Narrow" w:eastAsia="Calibri" w:hAnsi="Arial Narrow" w:cs="Calibri"/>
                <w:color w:val="000000"/>
                <w:sz w:val="20"/>
                <w:szCs w:val="20"/>
              </w:rPr>
              <w:t>$48,546,590</w:t>
            </w:r>
          </w:p>
        </w:tc>
        <w:tc>
          <w:tcPr>
            <w:tcW w:w="1299" w:type="dxa"/>
            <w:vAlign w:val="center"/>
          </w:tcPr>
          <w:p w14:paraId="7700F606" w14:textId="77777777" w:rsidR="001454B1" w:rsidRPr="008A2B4D" w:rsidRDefault="001454B1" w:rsidP="001454B1">
            <w:pPr>
              <w:keepLines/>
              <w:spacing w:before="20" w:after="20"/>
              <w:jc w:val="right"/>
              <w:rPr>
                <w:rFonts w:ascii="Arial Narrow" w:eastAsia="Calibri" w:hAnsi="Arial Narrow" w:cs="Calibri"/>
                <w:i/>
                <w:sz w:val="20"/>
                <w:szCs w:val="20"/>
              </w:rPr>
            </w:pPr>
            <w:r w:rsidRPr="008A2B4D">
              <w:rPr>
                <w:rFonts w:ascii="Arial Narrow" w:eastAsia="Calibri" w:hAnsi="Arial Narrow" w:cs="Calibri"/>
                <w:color w:val="000000"/>
                <w:sz w:val="20"/>
                <w:szCs w:val="20"/>
              </w:rPr>
              <w:t>$52,198,269</w:t>
            </w:r>
          </w:p>
        </w:tc>
        <w:tc>
          <w:tcPr>
            <w:tcW w:w="1459" w:type="dxa"/>
            <w:vAlign w:val="center"/>
          </w:tcPr>
          <w:p w14:paraId="7AEB35D8" w14:textId="77777777" w:rsidR="001454B1" w:rsidRPr="008A2B4D" w:rsidRDefault="001454B1" w:rsidP="001454B1">
            <w:pPr>
              <w:keepLines/>
              <w:spacing w:before="20" w:after="20"/>
              <w:jc w:val="right"/>
              <w:rPr>
                <w:rFonts w:ascii="Arial Narrow" w:eastAsia="Calibri" w:hAnsi="Arial Narrow" w:cs="Calibri"/>
                <w:i/>
                <w:sz w:val="20"/>
                <w:szCs w:val="20"/>
              </w:rPr>
            </w:pPr>
            <w:r w:rsidRPr="008A2B4D">
              <w:rPr>
                <w:rFonts w:ascii="Arial Narrow" w:eastAsia="Calibri" w:hAnsi="Arial Narrow" w:cs="Calibri"/>
                <w:color w:val="000000"/>
                <w:sz w:val="20"/>
                <w:szCs w:val="20"/>
              </w:rPr>
              <w:t>$56,081,782</w:t>
            </w:r>
          </w:p>
        </w:tc>
        <w:tc>
          <w:tcPr>
            <w:tcW w:w="1613" w:type="dxa"/>
            <w:vAlign w:val="center"/>
          </w:tcPr>
          <w:p w14:paraId="2C7D8E70" w14:textId="77777777" w:rsidR="001454B1" w:rsidRPr="008A2B4D" w:rsidRDefault="001454B1" w:rsidP="001454B1">
            <w:pPr>
              <w:keepLines/>
              <w:spacing w:before="20" w:after="20"/>
              <w:jc w:val="right"/>
              <w:rPr>
                <w:rFonts w:ascii="Arial Narrow" w:eastAsia="Calibri" w:hAnsi="Arial Narrow" w:cs="Calibri"/>
                <w:i/>
                <w:sz w:val="20"/>
                <w:szCs w:val="20"/>
              </w:rPr>
            </w:pPr>
            <w:r w:rsidRPr="008A2B4D">
              <w:rPr>
                <w:rFonts w:ascii="Arial Narrow" w:eastAsia="Calibri" w:hAnsi="Arial Narrow" w:cs="Calibri"/>
                <w:color w:val="000000"/>
                <w:sz w:val="20"/>
                <w:szCs w:val="20"/>
              </w:rPr>
              <w:t>$60,215,101</w:t>
            </w:r>
          </w:p>
        </w:tc>
        <w:tc>
          <w:tcPr>
            <w:tcW w:w="1498" w:type="dxa"/>
          </w:tcPr>
          <w:p w14:paraId="67CE38F9" w14:textId="77777777" w:rsidR="001454B1" w:rsidRPr="008A2B4D" w:rsidRDefault="001454B1" w:rsidP="001454B1">
            <w:pPr>
              <w:keepLines/>
              <w:spacing w:before="20" w:after="20"/>
              <w:jc w:val="right"/>
              <w:rPr>
                <w:rFonts w:ascii="Arial Narrow" w:eastAsia="Calibri" w:hAnsi="Arial Narrow" w:cs="Calibri"/>
                <w:i/>
                <w:sz w:val="20"/>
                <w:szCs w:val="20"/>
              </w:rPr>
            </w:pPr>
            <w:r w:rsidRPr="008A2B4D">
              <w:rPr>
                <w:rFonts w:ascii="Arial Narrow" w:eastAsia="Calibri" w:hAnsi="Arial Narrow" w:cs="Calibri"/>
                <w:i/>
                <w:sz w:val="20"/>
                <w:szCs w:val="20"/>
              </w:rPr>
              <w:t>-33.7%</w:t>
            </w:r>
          </w:p>
        </w:tc>
      </w:tr>
      <w:tr w:rsidR="001454B1" w:rsidRPr="005F5BEA" w14:paraId="786CAF86" w14:textId="77777777" w:rsidTr="00032276">
        <w:tc>
          <w:tcPr>
            <w:tcW w:w="9016" w:type="dxa"/>
            <w:gridSpan w:val="6"/>
          </w:tcPr>
          <w:p w14:paraId="7BDA1536" w14:textId="77777777" w:rsidR="001454B1" w:rsidRPr="008A2B4D" w:rsidRDefault="001454B1" w:rsidP="001454B1">
            <w:pPr>
              <w:keepLines/>
              <w:spacing w:before="20" w:after="20"/>
              <w:rPr>
                <w:rFonts w:ascii="Arial Narrow" w:eastAsia="Calibri" w:hAnsi="Arial Narrow" w:cs="Calibri"/>
                <w:b/>
                <w:i/>
                <w:sz w:val="20"/>
                <w:szCs w:val="20"/>
              </w:rPr>
            </w:pPr>
            <w:r w:rsidRPr="008A2B4D">
              <w:rPr>
                <w:rFonts w:ascii="Arial Narrow" w:eastAsia="Calibri" w:hAnsi="Arial Narrow" w:cs="Calibri"/>
                <w:b/>
                <w:i/>
                <w:sz w:val="20"/>
                <w:szCs w:val="20"/>
              </w:rPr>
              <w:t xml:space="preserve">S1 + S2 + S3 + </w:t>
            </w:r>
            <w:r w:rsidRPr="008A2B4D">
              <w:rPr>
                <w:rFonts w:ascii="Arial Narrow" w:eastAsia="Calibri" w:hAnsi="Arial Narrow" w:cs="Calibri"/>
                <w:b/>
                <w:sz w:val="20"/>
                <w:szCs w:val="20"/>
              </w:rPr>
              <w:t>Only apply certification to 10% per annum (S4)</w:t>
            </w:r>
          </w:p>
        </w:tc>
      </w:tr>
      <w:tr w:rsidR="001454B1" w:rsidRPr="005F5BEA" w14:paraId="41683C99" w14:textId="77777777" w:rsidTr="00032276">
        <w:tc>
          <w:tcPr>
            <w:tcW w:w="1592" w:type="dxa"/>
          </w:tcPr>
          <w:p w14:paraId="7C96B212" w14:textId="77777777" w:rsidR="001454B1" w:rsidRPr="005F5BEA" w:rsidRDefault="001454B1" w:rsidP="001454B1">
            <w:pPr>
              <w:keepLines/>
              <w:spacing w:before="20" w:after="20"/>
              <w:rPr>
                <w:rFonts w:ascii="Arial Narrow" w:eastAsia="Calibri" w:hAnsi="Arial Narrow" w:cs="Calibri"/>
                <w:i/>
                <w:sz w:val="20"/>
                <w:szCs w:val="20"/>
              </w:rPr>
            </w:pPr>
            <w:r w:rsidRPr="005F5BEA">
              <w:rPr>
                <w:rFonts w:ascii="Arial Narrow" w:eastAsia="Calibri" w:hAnsi="Arial Narrow" w:cs="Calibri"/>
                <w:sz w:val="20"/>
                <w:szCs w:val="20"/>
              </w:rPr>
              <w:t>Total costs</w:t>
            </w:r>
          </w:p>
        </w:tc>
        <w:tc>
          <w:tcPr>
            <w:tcW w:w="1555" w:type="dxa"/>
            <w:vAlign w:val="center"/>
          </w:tcPr>
          <w:p w14:paraId="3C3A4943" w14:textId="77777777" w:rsidR="001454B1" w:rsidRPr="008A2B4D" w:rsidRDefault="001454B1" w:rsidP="001454B1">
            <w:pPr>
              <w:keepLines/>
              <w:spacing w:before="20" w:after="20"/>
              <w:jc w:val="right"/>
              <w:rPr>
                <w:rFonts w:ascii="Arial Narrow" w:eastAsia="Calibri" w:hAnsi="Arial Narrow" w:cs="Calibri"/>
                <w:i/>
                <w:sz w:val="20"/>
                <w:szCs w:val="20"/>
              </w:rPr>
            </w:pPr>
            <w:r w:rsidRPr="008A2B4D">
              <w:rPr>
                <w:rFonts w:ascii="Arial Narrow" w:eastAsia="Calibri" w:hAnsi="Arial Narrow" w:cs="Calibri"/>
                <w:color w:val="000000"/>
                <w:sz w:val="20"/>
                <w:szCs w:val="20"/>
              </w:rPr>
              <w:t>$46,003,658</w:t>
            </w:r>
          </w:p>
        </w:tc>
        <w:tc>
          <w:tcPr>
            <w:tcW w:w="1299" w:type="dxa"/>
            <w:vAlign w:val="center"/>
          </w:tcPr>
          <w:p w14:paraId="23195866" w14:textId="77777777" w:rsidR="001454B1" w:rsidRPr="008A2B4D" w:rsidRDefault="001454B1" w:rsidP="001454B1">
            <w:pPr>
              <w:keepLines/>
              <w:spacing w:before="20" w:after="20"/>
              <w:jc w:val="right"/>
              <w:rPr>
                <w:rFonts w:ascii="Arial Narrow" w:eastAsia="Calibri" w:hAnsi="Arial Narrow" w:cs="Calibri"/>
                <w:i/>
                <w:sz w:val="20"/>
                <w:szCs w:val="20"/>
              </w:rPr>
            </w:pPr>
            <w:r w:rsidRPr="008A2B4D">
              <w:rPr>
                <w:rFonts w:ascii="Arial Narrow" w:eastAsia="Calibri" w:hAnsi="Arial Narrow" w:cs="Calibri"/>
                <w:color w:val="000000"/>
                <w:sz w:val="20"/>
                <w:szCs w:val="20"/>
              </w:rPr>
              <w:t>$49,500,218</w:t>
            </w:r>
          </w:p>
        </w:tc>
        <w:tc>
          <w:tcPr>
            <w:tcW w:w="1459" w:type="dxa"/>
            <w:vAlign w:val="center"/>
          </w:tcPr>
          <w:p w14:paraId="1E60F85B" w14:textId="77777777" w:rsidR="001454B1" w:rsidRPr="008A2B4D" w:rsidRDefault="001454B1" w:rsidP="001454B1">
            <w:pPr>
              <w:keepLines/>
              <w:spacing w:before="20" w:after="20"/>
              <w:jc w:val="right"/>
              <w:rPr>
                <w:rFonts w:ascii="Arial Narrow" w:eastAsia="Calibri" w:hAnsi="Arial Narrow" w:cs="Calibri"/>
                <w:i/>
                <w:sz w:val="20"/>
                <w:szCs w:val="20"/>
              </w:rPr>
            </w:pPr>
            <w:r w:rsidRPr="008A2B4D">
              <w:rPr>
                <w:rFonts w:ascii="Arial Narrow" w:eastAsia="Calibri" w:hAnsi="Arial Narrow" w:cs="Calibri"/>
                <w:color w:val="000000"/>
                <w:sz w:val="20"/>
                <w:szCs w:val="20"/>
              </w:rPr>
              <w:t>$53,228,612</w:t>
            </w:r>
          </w:p>
        </w:tc>
        <w:tc>
          <w:tcPr>
            <w:tcW w:w="1613" w:type="dxa"/>
            <w:vAlign w:val="center"/>
          </w:tcPr>
          <w:p w14:paraId="0924707C" w14:textId="77777777" w:rsidR="001454B1" w:rsidRPr="008A2B4D" w:rsidRDefault="001454B1" w:rsidP="001454B1">
            <w:pPr>
              <w:keepLines/>
              <w:spacing w:before="20" w:after="20"/>
              <w:jc w:val="right"/>
              <w:rPr>
                <w:rFonts w:ascii="Arial Narrow" w:eastAsia="Calibri" w:hAnsi="Arial Narrow" w:cs="Calibri"/>
                <w:i/>
                <w:sz w:val="20"/>
                <w:szCs w:val="20"/>
              </w:rPr>
            </w:pPr>
            <w:r w:rsidRPr="008A2B4D">
              <w:rPr>
                <w:rFonts w:ascii="Arial Narrow" w:eastAsia="Calibri" w:hAnsi="Arial Narrow" w:cs="Calibri"/>
                <w:color w:val="000000"/>
                <w:sz w:val="20"/>
                <w:szCs w:val="20"/>
              </w:rPr>
              <w:t>$57,206,812</w:t>
            </w:r>
          </w:p>
        </w:tc>
        <w:tc>
          <w:tcPr>
            <w:tcW w:w="1498" w:type="dxa"/>
          </w:tcPr>
          <w:p w14:paraId="55FC0C14" w14:textId="77777777" w:rsidR="001454B1" w:rsidRPr="008A2B4D" w:rsidRDefault="001454B1" w:rsidP="001454B1">
            <w:pPr>
              <w:keepLines/>
              <w:spacing w:before="20" w:after="20"/>
              <w:jc w:val="right"/>
              <w:rPr>
                <w:rFonts w:ascii="Arial Narrow" w:eastAsia="Calibri" w:hAnsi="Arial Narrow" w:cs="Calibri"/>
                <w:i/>
                <w:sz w:val="20"/>
                <w:szCs w:val="20"/>
              </w:rPr>
            </w:pPr>
            <w:r w:rsidRPr="008A2B4D">
              <w:rPr>
                <w:rFonts w:ascii="Arial Narrow" w:eastAsia="Calibri" w:hAnsi="Arial Narrow" w:cs="Calibri"/>
                <w:i/>
                <w:sz w:val="20"/>
                <w:szCs w:val="20"/>
              </w:rPr>
              <w:t>-37.2%</w:t>
            </w:r>
          </w:p>
        </w:tc>
      </w:tr>
      <w:tr w:rsidR="001454B1" w:rsidRPr="005F5BEA" w14:paraId="59818B23" w14:textId="77777777" w:rsidTr="00032276">
        <w:tc>
          <w:tcPr>
            <w:tcW w:w="9016" w:type="dxa"/>
            <w:gridSpan w:val="6"/>
          </w:tcPr>
          <w:p w14:paraId="56E9918C" w14:textId="77777777" w:rsidR="001454B1" w:rsidRPr="008A2B4D" w:rsidRDefault="001454B1" w:rsidP="001454B1">
            <w:pPr>
              <w:keepLines/>
              <w:spacing w:before="20" w:after="20"/>
              <w:rPr>
                <w:rFonts w:ascii="Arial Narrow" w:eastAsia="Calibri" w:hAnsi="Arial Narrow" w:cs="Calibri"/>
                <w:i/>
                <w:sz w:val="20"/>
                <w:szCs w:val="20"/>
              </w:rPr>
            </w:pPr>
            <w:r w:rsidRPr="008A2B4D">
              <w:rPr>
                <w:rFonts w:ascii="Arial Narrow" w:eastAsia="Calibri" w:hAnsi="Arial Narrow" w:cs="Calibri"/>
                <w:b/>
                <w:i/>
                <w:sz w:val="20"/>
                <w:szCs w:val="20"/>
              </w:rPr>
              <w:t xml:space="preserve">S1 + S2 + S3+ S4 + </w:t>
            </w:r>
            <w:r w:rsidRPr="008A2B4D">
              <w:rPr>
                <w:rFonts w:ascii="Arial Narrow" w:eastAsia="Calibri" w:hAnsi="Arial Narrow" w:cs="Calibri"/>
                <w:b/>
                <w:sz w:val="20"/>
                <w:szCs w:val="20"/>
              </w:rPr>
              <w:t>Reduce the wage to $50 per hour (S5)</w:t>
            </w:r>
          </w:p>
        </w:tc>
      </w:tr>
      <w:tr w:rsidR="001454B1" w:rsidRPr="005F5BEA" w14:paraId="1ECD2A67" w14:textId="77777777" w:rsidTr="00032276">
        <w:tc>
          <w:tcPr>
            <w:tcW w:w="1592" w:type="dxa"/>
          </w:tcPr>
          <w:p w14:paraId="59C3B167" w14:textId="77777777" w:rsidR="001454B1" w:rsidRPr="005F5BEA" w:rsidRDefault="001454B1" w:rsidP="001454B1">
            <w:pPr>
              <w:keepLines/>
              <w:spacing w:before="20" w:after="20"/>
              <w:rPr>
                <w:rFonts w:ascii="Arial Narrow" w:eastAsia="Calibri" w:hAnsi="Arial Narrow" w:cs="Calibri"/>
                <w:i/>
                <w:sz w:val="20"/>
                <w:szCs w:val="20"/>
              </w:rPr>
            </w:pPr>
            <w:r w:rsidRPr="005F5BEA">
              <w:rPr>
                <w:rFonts w:ascii="Arial Narrow" w:eastAsia="Calibri" w:hAnsi="Arial Narrow" w:cs="Calibri"/>
                <w:sz w:val="20"/>
                <w:szCs w:val="20"/>
              </w:rPr>
              <w:t>Total costs</w:t>
            </w:r>
          </w:p>
        </w:tc>
        <w:tc>
          <w:tcPr>
            <w:tcW w:w="1555" w:type="dxa"/>
            <w:vAlign w:val="center"/>
          </w:tcPr>
          <w:p w14:paraId="4379A7A4" w14:textId="77777777" w:rsidR="001454B1" w:rsidRPr="008A2B4D" w:rsidRDefault="001454B1" w:rsidP="001454B1">
            <w:pPr>
              <w:keepLines/>
              <w:spacing w:before="20" w:after="20"/>
              <w:jc w:val="right"/>
              <w:rPr>
                <w:rFonts w:ascii="Arial Narrow" w:eastAsia="Calibri" w:hAnsi="Arial Narrow" w:cs="Calibri"/>
                <w:i/>
                <w:sz w:val="20"/>
                <w:szCs w:val="20"/>
              </w:rPr>
            </w:pPr>
            <w:r w:rsidRPr="008A2B4D">
              <w:rPr>
                <w:rFonts w:ascii="Arial Narrow" w:eastAsia="Calibri" w:hAnsi="Arial Narrow" w:cs="Calibri"/>
                <w:color w:val="000000"/>
                <w:sz w:val="20"/>
                <w:szCs w:val="20"/>
              </w:rPr>
              <w:t>$37,599,148</w:t>
            </w:r>
          </w:p>
        </w:tc>
        <w:tc>
          <w:tcPr>
            <w:tcW w:w="1299" w:type="dxa"/>
            <w:vAlign w:val="center"/>
          </w:tcPr>
          <w:p w14:paraId="2D2115A5" w14:textId="77777777" w:rsidR="001454B1" w:rsidRPr="008A2B4D" w:rsidRDefault="001454B1" w:rsidP="001454B1">
            <w:pPr>
              <w:keepLines/>
              <w:spacing w:before="20" w:after="20"/>
              <w:jc w:val="right"/>
              <w:rPr>
                <w:rFonts w:ascii="Arial Narrow" w:eastAsia="Calibri" w:hAnsi="Arial Narrow" w:cs="Calibri"/>
                <w:i/>
                <w:sz w:val="20"/>
                <w:szCs w:val="20"/>
              </w:rPr>
            </w:pPr>
            <w:r w:rsidRPr="008A2B4D">
              <w:rPr>
                <w:rFonts w:ascii="Arial Narrow" w:eastAsia="Calibri" w:hAnsi="Arial Narrow" w:cs="Calibri"/>
                <w:color w:val="000000"/>
                <w:sz w:val="20"/>
                <w:szCs w:val="20"/>
              </w:rPr>
              <w:t>$40,505,607</w:t>
            </w:r>
          </w:p>
        </w:tc>
        <w:tc>
          <w:tcPr>
            <w:tcW w:w="1459" w:type="dxa"/>
            <w:vAlign w:val="center"/>
          </w:tcPr>
          <w:p w14:paraId="69483753" w14:textId="77777777" w:rsidR="001454B1" w:rsidRPr="008A2B4D" w:rsidRDefault="001454B1" w:rsidP="001454B1">
            <w:pPr>
              <w:keepLines/>
              <w:spacing w:before="20" w:after="20"/>
              <w:jc w:val="right"/>
              <w:rPr>
                <w:rFonts w:ascii="Arial Narrow" w:eastAsia="Calibri" w:hAnsi="Arial Narrow" w:cs="Calibri"/>
                <w:i/>
                <w:sz w:val="20"/>
                <w:szCs w:val="20"/>
              </w:rPr>
            </w:pPr>
            <w:r w:rsidRPr="008A2B4D">
              <w:rPr>
                <w:rFonts w:ascii="Arial Narrow" w:eastAsia="Calibri" w:hAnsi="Arial Narrow" w:cs="Calibri"/>
                <w:color w:val="000000"/>
                <w:sz w:val="20"/>
                <w:szCs w:val="20"/>
              </w:rPr>
              <w:t>$43,602,466</w:t>
            </w:r>
          </w:p>
        </w:tc>
        <w:tc>
          <w:tcPr>
            <w:tcW w:w="1613" w:type="dxa"/>
            <w:vAlign w:val="center"/>
          </w:tcPr>
          <w:p w14:paraId="127F69EF" w14:textId="77777777" w:rsidR="001454B1" w:rsidRPr="008A2B4D" w:rsidRDefault="001454B1" w:rsidP="001454B1">
            <w:pPr>
              <w:keepLines/>
              <w:spacing w:before="20" w:after="20"/>
              <w:jc w:val="right"/>
              <w:rPr>
                <w:rFonts w:ascii="Arial Narrow" w:eastAsia="Calibri" w:hAnsi="Arial Narrow" w:cs="Calibri"/>
                <w:i/>
                <w:sz w:val="20"/>
                <w:szCs w:val="20"/>
              </w:rPr>
            </w:pPr>
            <w:r w:rsidRPr="008A2B4D">
              <w:rPr>
                <w:rFonts w:ascii="Arial Narrow" w:eastAsia="Calibri" w:hAnsi="Arial Narrow" w:cs="Calibri"/>
                <w:color w:val="000000"/>
                <w:sz w:val="20"/>
                <w:szCs w:val="20"/>
              </w:rPr>
              <w:t>$46,904,791</w:t>
            </w:r>
          </w:p>
        </w:tc>
        <w:tc>
          <w:tcPr>
            <w:tcW w:w="1498" w:type="dxa"/>
          </w:tcPr>
          <w:p w14:paraId="3D0FB630" w14:textId="77777777" w:rsidR="001454B1" w:rsidRPr="008A2B4D" w:rsidRDefault="001454B1" w:rsidP="001454B1">
            <w:pPr>
              <w:keepLines/>
              <w:spacing w:before="20" w:after="20"/>
              <w:jc w:val="right"/>
              <w:rPr>
                <w:rFonts w:ascii="Arial Narrow" w:eastAsia="Calibri" w:hAnsi="Arial Narrow" w:cs="Calibri"/>
                <w:i/>
                <w:sz w:val="20"/>
                <w:szCs w:val="20"/>
              </w:rPr>
            </w:pPr>
            <w:r w:rsidRPr="008A2B4D">
              <w:rPr>
                <w:rFonts w:ascii="Arial Narrow" w:eastAsia="Calibri" w:hAnsi="Arial Narrow" w:cs="Calibri"/>
                <w:i/>
                <w:sz w:val="20"/>
                <w:szCs w:val="20"/>
              </w:rPr>
              <w:t>-48.7%</w:t>
            </w:r>
          </w:p>
        </w:tc>
      </w:tr>
    </w:tbl>
    <w:p w14:paraId="3FE07886" w14:textId="77777777" w:rsidR="001454B1" w:rsidRPr="005F5BEA" w:rsidRDefault="001454B1" w:rsidP="00C63874">
      <w:pPr>
        <w:spacing w:before="0" w:after="240"/>
        <w:jc w:val="both"/>
        <w:rPr>
          <w:rFonts w:ascii="Arial Narrow" w:eastAsia="Calibri" w:hAnsi="Arial Narrow" w:cs="Arial"/>
          <w:sz w:val="18"/>
        </w:rPr>
      </w:pPr>
      <w:r w:rsidRPr="005F5BEA">
        <w:rPr>
          <w:rFonts w:ascii="Arial Narrow" w:eastAsia="Calibri" w:hAnsi="Arial Narrow" w:cs="Arial"/>
          <w:sz w:val="18"/>
        </w:rPr>
        <w:t>Source: generated from the Utilisation and Cost Model Spreadsheet.</w:t>
      </w:r>
    </w:p>
    <w:p w14:paraId="217C94FB" w14:textId="719E9A16" w:rsidR="001454B1" w:rsidRPr="005F5BEA" w:rsidRDefault="001454B1" w:rsidP="00C63874">
      <w:pPr>
        <w:spacing w:before="240"/>
      </w:pPr>
      <w:r w:rsidRPr="005F5BEA">
        <w:t xml:space="preserve">The increased number of services following Round 2 data collection resulted in a 9.2% increase in services. If overhead costs are assumed to be 30% of non-overhead costs, as was presented in the ADAR, the total costs associated with the increase in services was estimated to be 5.8% from the ADAR estimates. </w:t>
      </w:r>
    </w:p>
    <w:p w14:paraId="436C3507" w14:textId="77777777" w:rsidR="001454B1" w:rsidRPr="005F5BEA" w:rsidRDefault="001454B1" w:rsidP="009166EA">
      <w:r w:rsidRPr="005F5BEA">
        <w:lastRenderedPageBreak/>
        <w:t>Following the changes requested after MSAC consideration, the total number of services was 14.9% lower than the ADAR (representing a 22% reduction from the revised Round 2 estimates). Total costs were 48.7% lower than presented in the ADAR.</w:t>
      </w:r>
    </w:p>
    <w:p w14:paraId="293B3133" w14:textId="663418D7" w:rsidR="001454B1" w:rsidRPr="005F5BEA" w:rsidRDefault="001454B1" w:rsidP="009166EA">
      <w:r w:rsidRPr="005F5BEA">
        <w:t xml:space="preserve">Disaggregated costs of the revised model excluding services to public patients, peri-implantation services, reduced onboarding costs, certification costs applied to 10% of staff per annum, and reduced IECT wages are presented in </w:t>
      </w:r>
      <w:r w:rsidRPr="005F5BEA">
        <w:fldChar w:fldCharType="begin"/>
      </w:r>
      <w:r w:rsidRPr="005F5BEA">
        <w:instrText xml:space="preserve"> REF _Ref135131869 \h  \* MERGEFORMAT </w:instrText>
      </w:r>
      <w:r w:rsidRPr="005F5BEA">
        <w:fldChar w:fldCharType="separate"/>
      </w:r>
      <w:r w:rsidR="00334548" w:rsidRPr="00334548">
        <w:t xml:space="preserve">Table </w:t>
      </w:r>
      <w:r w:rsidR="00334548" w:rsidRPr="00334548">
        <w:rPr>
          <w:noProof/>
        </w:rPr>
        <w:t>30</w:t>
      </w:r>
      <w:r w:rsidRPr="005F5BEA">
        <w:fldChar w:fldCharType="end"/>
      </w:r>
      <w:r w:rsidRPr="005F5BEA">
        <w:t xml:space="preserve">. </w:t>
      </w:r>
    </w:p>
    <w:p w14:paraId="5EDB3B55" w14:textId="15A9F7A0" w:rsidR="001454B1" w:rsidRPr="005F5BEA" w:rsidRDefault="001454B1" w:rsidP="001454B1">
      <w:pPr>
        <w:keepNext/>
        <w:spacing w:before="0" w:after="200" w:line="240" w:lineRule="auto"/>
        <w:rPr>
          <w:rFonts w:ascii="Arial Narrow" w:eastAsia="Calibri" w:hAnsi="Arial Narrow" w:cs="Times New Roman"/>
          <w:b/>
          <w:iCs/>
          <w:sz w:val="20"/>
          <w:szCs w:val="20"/>
        </w:rPr>
      </w:pPr>
      <w:bookmarkStart w:id="46" w:name="_Ref135131869"/>
      <w:bookmarkStart w:id="47" w:name="_Hlk137218054"/>
      <w:r w:rsidRPr="005F5BEA">
        <w:rPr>
          <w:rFonts w:ascii="Arial Narrow" w:eastAsia="Calibri" w:hAnsi="Arial Narrow" w:cs="Times New Roman"/>
          <w:b/>
          <w:iCs/>
          <w:sz w:val="20"/>
          <w:szCs w:val="20"/>
        </w:rPr>
        <w:t xml:space="preserve">Table </w:t>
      </w:r>
      <w:r w:rsidRPr="005F5BEA">
        <w:rPr>
          <w:rFonts w:ascii="Arial Narrow" w:eastAsia="Calibri" w:hAnsi="Arial Narrow" w:cs="Times New Roman"/>
          <w:b/>
          <w:iCs/>
          <w:sz w:val="20"/>
          <w:szCs w:val="20"/>
        </w:rPr>
        <w:fldChar w:fldCharType="begin"/>
      </w:r>
      <w:r w:rsidRPr="005F5BEA">
        <w:rPr>
          <w:rFonts w:ascii="Arial Narrow" w:eastAsia="Calibri" w:hAnsi="Arial Narrow" w:cs="Times New Roman"/>
          <w:b/>
          <w:iCs/>
          <w:sz w:val="20"/>
          <w:szCs w:val="20"/>
        </w:rPr>
        <w:instrText xml:space="preserve"> SEQ Table \* ARABIC </w:instrText>
      </w:r>
      <w:r w:rsidRPr="005F5BEA">
        <w:rPr>
          <w:rFonts w:ascii="Arial Narrow" w:eastAsia="Calibri" w:hAnsi="Arial Narrow" w:cs="Times New Roman"/>
          <w:b/>
          <w:iCs/>
          <w:sz w:val="20"/>
          <w:szCs w:val="20"/>
        </w:rPr>
        <w:fldChar w:fldCharType="separate"/>
      </w:r>
      <w:r w:rsidR="00334548">
        <w:rPr>
          <w:rFonts w:ascii="Arial Narrow" w:eastAsia="Calibri" w:hAnsi="Arial Narrow" w:cs="Times New Roman"/>
          <w:b/>
          <w:iCs/>
          <w:noProof/>
          <w:sz w:val="20"/>
          <w:szCs w:val="20"/>
        </w:rPr>
        <w:t>30</w:t>
      </w:r>
      <w:r w:rsidRPr="005F5BEA">
        <w:rPr>
          <w:rFonts w:ascii="Arial Narrow" w:eastAsia="Calibri" w:hAnsi="Arial Narrow" w:cs="Times New Roman"/>
          <w:b/>
          <w:iCs/>
          <w:noProof/>
          <w:sz w:val="20"/>
          <w:szCs w:val="20"/>
        </w:rPr>
        <w:fldChar w:fldCharType="end"/>
      </w:r>
      <w:bookmarkEnd w:id="46"/>
      <w:r w:rsidRPr="005F5BEA">
        <w:rPr>
          <w:rFonts w:ascii="Arial Narrow" w:eastAsia="Calibri" w:hAnsi="Arial Narrow" w:cs="Times New Roman"/>
          <w:b/>
          <w:iCs/>
          <w:sz w:val="20"/>
          <w:szCs w:val="20"/>
        </w:rPr>
        <w:tab/>
        <w:t xml:space="preserve">Disaggregated costs for the MSAC updated </w:t>
      </w:r>
      <w:proofErr w:type="gramStart"/>
      <w:r w:rsidRPr="005F5BEA">
        <w:rPr>
          <w:rFonts w:ascii="Arial Narrow" w:eastAsia="Calibri" w:hAnsi="Arial Narrow" w:cs="Times New Roman"/>
          <w:b/>
          <w:iCs/>
          <w:sz w:val="20"/>
          <w:szCs w:val="20"/>
        </w:rPr>
        <w:t>model</w:t>
      </w:r>
      <w:proofErr w:type="gramEnd"/>
    </w:p>
    <w:tbl>
      <w:tblPr>
        <w:tblStyle w:val="TableGrid1"/>
        <w:tblW w:w="5000" w:type="pct"/>
        <w:tblLayout w:type="fixed"/>
        <w:tblLook w:val="04A0" w:firstRow="1" w:lastRow="0" w:firstColumn="1" w:lastColumn="0" w:noHBand="0" w:noVBand="1"/>
      </w:tblPr>
      <w:tblGrid>
        <w:gridCol w:w="4106"/>
        <w:gridCol w:w="1227"/>
        <w:gridCol w:w="1228"/>
        <w:gridCol w:w="1227"/>
        <w:gridCol w:w="1228"/>
      </w:tblGrid>
      <w:tr w:rsidR="001454B1" w:rsidRPr="005F5BEA" w14:paraId="48F7235F" w14:textId="77777777" w:rsidTr="00032276">
        <w:tc>
          <w:tcPr>
            <w:tcW w:w="4106" w:type="dxa"/>
          </w:tcPr>
          <w:bookmarkEnd w:id="47"/>
          <w:p w14:paraId="1B800280"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Data</w:t>
            </w:r>
          </w:p>
        </w:tc>
        <w:tc>
          <w:tcPr>
            <w:tcW w:w="1227" w:type="dxa"/>
          </w:tcPr>
          <w:p w14:paraId="18EC9B14"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2022</w:t>
            </w:r>
          </w:p>
        </w:tc>
        <w:tc>
          <w:tcPr>
            <w:tcW w:w="1228" w:type="dxa"/>
          </w:tcPr>
          <w:p w14:paraId="4806190B"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2023</w:t>
            </w:r>
          </w:p>
        </w:tc>
        <w:tc>
          <w:tcPr>
            <w:tcW w:w="1227" w:type="dxa"/>
          </w:tcPr>
          <w:p w14:paraId="2CFB9F7A"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2024</w:t>
            </w:r>
          </w:p>
        </w:tc>
        <w:tc>
          <w:tcPr>
            <w:tcW w:w="1228" w:type="dxa"/>
          </w:tcPr>
          <w:p w14:paraId="4C21D50D"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2025</w:t>
            </w:r>
          </w:p>
        </w:tc>
      </w:tr>
      <w:tr w:rsidR="001454B1" w:rsidRPr="005F5BEA" w14:paraId="559261CE" w14:textId="77777777" w:rsidTr="00032276">
        <w:tc>
          <w:tcPr>
            <w:tcW w:w="9016" w:type="dxa"/>
            <w:gridSpan w:val="5"/>
          </w:tcPr>
          <w:p w14:paraId="4C14D092" w14:textId="77777777" w:rsidR="001454B1" w:rsidRPr="005F5BEA" w:rsidRDefault="001454B1" w:rsidP="001454B1">
            <w:pPr>
              <w:keepLines/>
              <w:spacing w:before="20" w:after="20"/>
              <w:rPr>
                <w:rFonts w:ascii="Arial Narrow" w:eastAsia="Calibri" w:hAnsi="Arial Narrow" w:cs="Calibri"/>
                <w:sz w:val="20"/>
                <w:szCs w:val="20"/>
                <w:vertAlign w:val="superscript"/>
              </w:rPr>
            </w:pPr>
            <w:r w:rsidRPr="005F5BEA">
              <w:rPr>
                <w:rFonts w:ascii="Arial Narrow" w:eastAsia="Calibri" w:hAnsi="Arial Narrow" w:cs="Calibri"/>
                <w:b/>
                <w:i/>
                <w:sz w:val="20"/>
                <w:szCs w:val="20"/>
              </w:rPr>
              <w:t xml:space="preserve">S1 + S2 + S3+ S4 + S5 (MSAC Updated Model) </w:t>
            </w:r>
            <w:r w:rsidRPr="005F5BEA">
              <w:rPr>
                <w:rFonts w:ascii="Arial Narrow" w:eastAsia="Calibri" w:hAnsi="Arial Narrow" w:cs="Calibri"/>
                <w:b/>
                <w:i/>
                <w:sz w:val="20"/>
                <w:szCs w:val="20"/>
                <w:vertAlign w:val="superscript"/>
              </w:rPr>
              <w:t>a</w:t>
            </w:r>
          </w:p>
        </w:tc>
      </w:tr>
      <w:tr w:rsidR="001454B1" w:rsidRPr="005F5BEA" w14:paraId="38F23330" w14:textId="77777777" w:rsidTr="00032276">
        <w:tc>
          <w:tcPr>
            <w:tcW w:w="4106" w:type="dxa"/>
          </w:tcPr>
          <w:p w14:paraId="6BBF03D6"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Total services</w:t>
            </w:r>
          </w:p>
        </w:tc>
        <w:tc>
          <w:tcPr>
            <w:tcW w:w="1227" w:type="dxa"/>
          </w:tcPr>
          <w:p w14:paraId="1A030714"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593,409</w:t>
            </w:r>
          </w:p>
        </w:tc>
        <w:tc>
          <w:tcPr>
            <w:tcW w:w="1228" w:type="dxa"/>
          </w:tcPr>
          <w:p w14:paraId="0133581F"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634,948</w:t>
            </w:r>
          </w:p>
        </w:tc>
        <w:tc>
          <w:tcPr>
            <w:tcW w:w="1227" w:type="dxa"/>
          </w:tcPr>
          <w:p w14:paraId="29C8462D"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679,394</w:t>
            </w:r>
          </w:p>
        </w:tc>
        <w:tc>
          <w:tcPr>
            <w:tcW w:w="1228" w:type="dxa"/>
          </w:tcPr>
          <w:p w14:paraId="0338E692"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726,952</w:t>
            </w:r>
          </w:p>
        </w:tc>
      </w:tr>
      <w:tr w:rsidR="001454B1" w:rsidRPr="005F5BEA" w14:paraId="6D78EDFD" w14:textId="77777777" w:rsidTr="00032276">
        <w:tc>
          <w:tcPr>
            <w:tcW w:w="4106" w:type="dxa"/>
          </w:tcPr>
          <w:p w14:paraId="3EA286DA"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Total costs</w:t>
            </w:r>
          </w:p>
        </w:tc>
        <w:tc>
          <w:tcPr>
            <w:tcW w:w="1227" w:type="dxa"/>
            <w:vAlign w:val="center"/>
          </w:tcPr>
          <w:p w14:paraId="7C1C3A26"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color w:val="000000"/>
                <w:sz w:val="20"/>
                <w:szCs w:val="20"/>
              </w:rPr>
              <w:t>$37,599,148</w:t>
            </w:r>
          </w:p>
        </w:tc>
        <w:tc>
          <w:tcPr>
            <w:tcW w:w="1228" w:type="dxa"/>
            <w:vAlign w:val="center"/>
          </w:tcPr>
          <w:p w14:paraId="61EFC5A7"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color w:val="000000"/>
                <w:sz w:val="20"/>
                <w:szCs w:val="20"/>
              </w:rPr>
              <w:t>$40,505,607</w:t>
            </w:r>
          </w:p>
        </w:tc>
        <w:tc>
          <w:tcPr>
            <w:tcW w:w="1227" w:type="dxa"/>
            <w:vAlign w:val="center"/>
          </w:tcPr>
          <w:p w14:paraId="467E8FA1"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color w:val="000000"/>
                <w:sz w:val="20"/>
                <w:szCs w:val="20"/>
              </w:rPr>
              <w:t>$43,602,466</w:t>
            </w:r>
          </w:p>
        </w:tc>
        <w:tc>
          <w:tcPr>
            <w:tcW w:w="1228" w:type="dxa"/>
            <w:vAlign w:val="center"/>
          </w:tcPr>
          <w:p w14:paraId="0058E5EA"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color w:val="000000"/>
                <w:sz w:val="20"/>
                <w:szCs w:val="20"/>
              </w:rPr>
              <w:t>$46,904,791</w:t>
            </w:r>
          </w:p>
        </w:tc>
      </w:tr>
      <w:tr w:rsidR="001454B1" w:rsidRPr="005F5BEA" w14:paraId="620A38C1" w14:textId="77777777" w:rsidTr="00032276">
        <w:tc>
          <w:tcPr>
            <w:tcW w:w="4106" w:type="dxa"/>
          </w:tcPr>
          <w:p w14:paraId="534EF4A7"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ab/>
              <w:t>Labour costs</w:t>
            </w:r>
          </w:p>
        </w:tc>
        <w:tc>
          <w:tcPr>
            <w:tcW w:w="1227" w:type="dxa"/>
          </w:tcPr>
          <w:p w14:paraId="170C888E"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$11,995,510</w:t>
            </w:r>
          </w:p>
        </w:tc>
        <w:tc>
          <w:tcPr>
            <w:tcW w:w="1228" w:type="dxa"/>
          </w:tcPr>
          <w:p w14:paraId="56DF79EA"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$12,837,745</w:t>
            </w:r>
          </w:p>
        </w:tc>
        <w:tc>
          <w:tcPr>
            <w:tcW w:w="1227" w:type="dxa"/>
          </w:tcPr>
          <w:p w14:paraId="5654E70A"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$13,739,115</w:t>
            </w:r>
          </w:p>
        </w:tc>
        <w:tc>
          <w:tcPr>
            <w:tcW w:w="1228" w:type="dxa"/>
          </w:tcPr>
          <w:p w14:paraId="12304D17"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$14,703,772</w:t>
            </w:r>
          </w:p>
        </w:tc>
      </w:tr>
      <w:tr w:rsidR="001454B1" w:rsidRPr="005F5BEA" w14:paraId="6F1EBB58" w14:textId="77777777" w:rsidTr="00032276">
        <w:tc>
          <w:tcPr>
            <w:tcW w:w="4106" w:type="dxa"/>
          </w:tcPr>
          <w:p w14:paraId="3D30364E"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ab/>
              <w:t>Travel costs</w:t>
            </w:r>
          </w:p>
        </w:tc>
        <w:tc>
          <w:tcPr>
            <w:tcW w:w="1227" w:type="dxa"/>
          </w:tcPr>
          <w:p w14:paraId="7DA02147"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$3,405,368</w:t>
            </w:r>
          </w:p>
        </w:tc>
        <w:tc>
          <w:tcPr>
            <w:tcW w:w="1228" w:type="dxa"/>
          </w:tcPr>
          <w:p w14:paraId="0329A3EC"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$3,866,012</w:t>
            </w:r>
          </w:p>
        </w:tc>
        <w:tc>
          <w:tcPr>
            <w:tcW w:w="1227" w:type="dxa"/>
          </w:tcPr>
          <w:p w14:paraId="6F82436A"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$4,374,460</w:t>
            </w:r>
          </w:p>
        </w:tc>
        <w:tc>
          <w:tcPr>
            <w:tcW w:w="1228" w:type="dxa"/>
          </w:tcPr>
          <w:p w14:paraId="73611991"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$4,935,147</w:t>
            </w:r>
          </w:p>
        </w:tc>
      </w:tr>
      <w:tr w:rsidR="001454B1" w:rsidRPr="005F5BEA" w14:paraId="6D72952C" w14:textId="77777777" w:rsidTr="00032276">
        <w:tc>
          <w:tcPr>
            <w:tcW w:w="4106" w:type="dxa"/>
          </w:tcPr>
          <w:p w14:paraId="09061FED"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ab/>
              <w:t>Training costs</w:t>
            </w:r>
          </w:p>
        </w:tc>
        <w:tc>
          <w:tcPr>
            <w:tcW w:w="1227" w:type="dxa"/>
          </w:tcPr>
          <w:p w14:paraId="4B036B70"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$4,312,017</w:t>
            </w:r>
          </w:p>
        </w:tc>
        <w:tc>
          <w:tcPr>
            <w:tcW w:w="1228" w:type="dxa"/>
          </w:tcPr>
          <w:p w14:paraId="5D3D8532"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$4,575,050</w:t>
            </w:r>
          </w:p>
        </w:tc>
        <w:tc>
          <w:tcPr>
            <w:tcW w:w="1227" w:type="dxa"/>
          </w:tcPr>
          <w:p w14:paraId="1C2BC361"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$4,838,083</w:t>
            </w:r>
          </w:p>
        </w:tc>
        <w:tc>
          <w:tcPr>
            <w:tcW w:w="1228" w:type="dxa"/>
          </w:tcPr>
          <w:p w14:paraId="55F32F83"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sz w:val="20"/>
                <w:szCs w:val="20"/>
              </w:rPr>
              <w:t>$5,101,116</w:t>
            </w:r>
          </w:p>
        </w:tc>
      </w:tr>
      <w:tr w:rsidR="001454B1" w:rsidRPr="005F5BEA" w14:paraId="5C2DDEE3" w14:textId="77777777" w:rsidTr="00032276">
        <w:tc>
          <w:tcPr>
            <w:tcW w:w="4106" w:type="dxa"/>
          </w:tcPr>
          <w:p w14:paraId="5FD197FE" w14:textId="725A259C" w:rsidR="001454B1" w:rsidRPr="005F5BEA" w:rsidRDefault="001454B1" w:rsidP="001454B1">
            <w:pPr>
              <w:keepLines/>
              <w:spacing w:before="20" w:after="20"/>
              <w:rPr>
                <w:rFonts w:ascii="Arial Narrow" w:eastAsia="Calibri" w:hAnsi="Arial Narrow" w:cs="Calibri"/>
                <w:sz w:val="20"/>
                <w:szCs w:val="20"/>
                <w:vertAlign w:val="superscript"/>
              </w:rPr>
            </w:pPr>
            <w:r w:rsidRPr="005F5BEA">
              <w:rPr>
                <w:rFonts w:ascii="Arial Narrow" w:eastAsia="Calibri" w:hAnsi="Arial Narrow" w:cs="Calibri"/>
                <w:sz w:val="20"/>
                <w:szCs w:val="20"/>
              </w:rPr>
              <w:tab/>
              <w:t>Overhead costs</w:t>
            </w:r>
            <w:r w:rsidR="00880DBE" w:rsidRPr="005F5BEA">
              <w:rPr>
                <w:rFonts w:ascii="Arial Narrow" w:eastAsia="Calibri" w:hAnsi="Arial Narrow" w:cs="Calibri"/>
                <w:sz w:val="20"/>
                <w:szCs w:val="20"/>
              </w:rPr>
              <w:t xml:space="preserve"> </w:t>
            </w:r>
            <w:r w:rsidR="00880DBE" w:rsidRPr="005F5BEA">
              <w:rPr>
                <w:rFonts w:ascii="Arial Narrow" w:eastAsia="Calibri" w:hAnsi="Arial Narrow" w:cs="Calibri"/>
                <w:sz w:val="20"/>
                <w:szCs w:val="20"/>
                <w:vertAlign w:val="superscript"/>
              </w:rPr>
              <w:t>b</w:t>
            </w:r>
          </w:p>
        </w:tc>
        <w:tc>
          <w:tcPr>
            <w:tcW w:w="1227" w:type="dxa"/>
            <w:vAlign w:val="center"/>
          </w:tcPr>
          <w:p w14:paraId="06C0D168"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color w:val="000000"/>
                <w:sz w:val="20"/>
                <w:szCs w:val="20"/>
              </w:rPr>
              <w:t>$17,886,254</w:t>
            </w:r>
          </w:p>
        </w:tc>
        <w:tc>
          <w:tcPr>
            <w:tcW w:w="1228" w:type="dxa"/>
            <w:vAlign w:val="center"/>
          </w:tcPr>
          <w:p w14:paraId="2E2E2600"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color w:val="000000"/>
                <w:sz w:val="20"/>
                <w:szCs w:val="20"/>
              </w:rPr>
              <w:t>$19,226,800</w:t>
            </w:r>
          </w:p>
        </w:tc>
        <w:tc>
          <w:tcPr>
            <w:tcW w:w="1227" w:type="dxa"/>
            <w:vAlign w:val="center"/>
          </w:tcPr>
          <w:p w14:paraId="3B748FB6"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color w:val="000000"/>
                <w:sz w:val="20"/>
                <w:szCs w:val="20"/>
              </w:rPr>
              <w:t>$20,650,808</w:t>
            </w:r>
          </w:p>
        </w:tc>
        <w:tc>
          <w:tcPr>
            <w:tcW w:w="1228" w:type="dxa"/>
            <w:vAlign w:val="center"/>
          </w:tcPr>
          <w:p w14:paraId="01BA1E6D" w14:textId="77777777" w:rsidR="001454B1" w:rsidRPr="008A2B4D" w:rsidRDefault="001454B1" w:rsidP="001454B1">
            <w:pPr>
              <w:keepLines/>
              <w:spacing w:before="20" w:after="20"/>
              <w:jc w:val="right"/>
              <w:rPr>
                <w:rFonts w:ascii="Arial Narrow" w:eastAsia="Calibri" w:hAnsi="Arial Narrow" w:cs="Calibri"/>
                <w:sz w:val="20"/>
                <w:szCs w:val="20"/>
              </w:rPr>
            </w:pPr>
            <w:r w:rsidRPr="008A2B4D">
              <w:rPr>
                <w:rFonts w:ascii="Arial Narrow" w:eastAsia="Calibri" w:hAnsi="Arial Narrow" w:cs="Calibri"/>
                <w:color w:val="000000"/>
                <w:sz w:val="20"/>
                <w:szCs w:val="20"/>
              </w:rPr>
              <w:t>$22,164,756</w:t>
            </w:r>
          </w:p>
        </w:tc>
      </w:tr>
      <w:tr w:rsidR="001454B1" w:rsidRPr="005F5BEA" w14:paraId="70CDF604" w14:textId="77777777" w:rsidTr="00032276">
        <w:tc>
          <w:tcPr>
            <w:tcW w:w="4106" w:type="dxa"/>
          </w:tcPr>
          <w:p w14:paraId="66CC9982"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Proportion of overhead costs to non-overhead costs</w:t>
            </w:r>
          </w:p>
        </w:tc>
        <w:tc>
          <w:tcPr>
            <w:tcW w:w="1227" w:type="dxa"/>
            <w:vAlign w:val="center"/>
          </w:tcPr>
          <w:p w14:paraId="522A0869" w14:textId="77777777" w:rsidR="001454B1" w:rsidRPr="005F5BEA" w:rsidRDefault="001454B1" w:rsidP="001454B1">
            <w:pPr>
              <w:keepLines/>
              <w:spacing w:before="20" w:after="20"/>
              <w:jc w:val="right"/>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90.7%</w:t>
            </w:r>
          </w:p>
        </w:tc>
        <w:tc>
          <w:tcPr>
            <w:tcW w:w="1228" w:type="dxa"/>
            <w:vAlign w:val="center"/>
          </w:tcPr>
          <w:p w14:paraId="31918B79" w14:textId="77777777" w:rsidR="001454B1" w:rsidRPr="005F5BEA" w:rsidRDefault="001454B1" w:rsidP="001454B1">
            <w:pPr>
              <w:keepLines/>
              <w:spacing w:before="20" w:after="20"/>
              <w:jc w:val="right"/>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90.4%</w:t>
            </w:r>
          </w:p>
        </w:tc>
        <w:tc>
          <w:tcPr>
            <w:tcW w:w="1227" w:type="dxa"/>
            <w:vAlign w:val="center"/>
          </w:tcPr>
          <w:p w14:paraId="37A066F1" w14:textId="77777777" w:rsidR="001454B1" w:rsidRPr="005F5BEA" w:rsidRDefault="001454B1" w:rsidP="001454B1">
            <w:pPr>
              <w:keepLines/>
              <w:spacing w:before="20" w:after="20"/>
              <w:jc w:val="right"/>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90.0%</w:t>
            </w:r>
          </w:p>
        </w:tc>
        <w:tc>
          <w:tcPr>
            <w:tcW w:w="1228" w:type="dxa"/>
            <w:vAlign w:val="center"/>
          </w:tcPr>
          <w:p w14:paraId="1F99F80E" w14:textId="77777777" w:rsidR="001454B1" w:rsidRPr="005F5BEA" w:rsidRDefault="001454B1" w:rsidP="001454B1">
            <w:pPr>
              <w:keepLines/>
              <w:spacing w:before="20" w:after="20"/>
              <w:jc w:val="right"/>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89.6%</w:t>
            </w:r>
          </w:p>
        </w:tc>
      </w:tr>
      <w:tr w:rsidR="001454B1" w:rsidRPr="005F5BEA" w14:paraId="04F715AB" w14:textId="77777777" w:rsidTr="00032276">
        <w:tc>
          <w:tcPr>
            <w:tcW w:w="4106" w:type="dxa"/>
          </w:tcPr>
          <w:p w14:paraId="2863FBDA"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Proportion of overhead costs to total costs</w:t>
            </w:r>
          </w:p>
        </w:tc>
        <w:tc>
          <w:tcPr>
            <w:tcW w:w="1227" w:type="dxa"/>
            <w:vAlign w:val="center"/>
          </w:tcPr>
          <w:p w14:paraId="1EC1B28A" w14:textId="77777777" w:rsidR="001454B1" w:rsidRPr="005F5BEA" w:rsidRDefault="001454B1" w:rsidP="001454B1">
            <w:pPr>
              <w:keepLines/>
              <w:spacing w:before="20" w:after="20"/>
              <w:jc w:val="right"/>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47.6%</w:t>
            </w:r>
          </w:p>
        </w:tc>
        <w:tc>
          <w:tcPr>
            <w:tcW w:w="1228" w:type="dxa"/>
            <w:vAlign w:val="center"/>
          </w:tcPr>
          <w:p w14:paraId="07EB1188" w14:textId="77777777" w:rsidR="001454B1" w:rsidRPr="005F5BEA" w:rsidRDefault="001454B1" w:rsidP="001454B1">
            <w:pPr>
              <w:keepLines/>
              <w:spacing w:before="20" w:after="20"/>
              <w:jc w:val="right"/>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47.5%</w:t>
            </w:r>
          </w:p>
        </w:tc>
        <w:tc>
          <w:tcPr>
            <w:tcW w:w="1227" w:type="dxa"/>
            <w:vAlign w:val="center"/>
          </w:tcPr>
          <w:p w14:paraId="600C4720" w14:textId="77777777" w:rsidR="001454B1" w:rsidRPr="005F5BEA" w:rsidRDefault="001454B1" w:rsidP="001454B1">
            <w:pPr>
              <w:keepLines/>
              <w:spacing w:before="20" w:after="20"/>
              <w:jc w:val="right"/>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47.4%</w:t>
            </w:r>
          </w:p>
        </w:tc>
        <w:tc>
          <w:tcPr>
            <w:tcW w:w="1228" w:type="dxa"/>
            <w:vAlign w:val="center"/>
          </w:tcPr>
          <w:p w14:paraId="521183B8" w14:textId="77777777" w:rsidR="001454B1" w:rsidRPr="005F5BEA" w:rsidRDefault="001454B1" w:rsidP="001454B1">
            <w:pPr>
              <w:keepLines/>
              <w:spacing w:before="20" w:after="20"/>
              <w:jc w:val="right"/>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47.3%</w:t>
            </w:r>
          </w:p>
        </w:tc>
      </w:tr>
    </w:tbl>
    <w:p w14:paraId="16070336"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Source: generated from the Utilisation and Cost Model Spreadsheet.</w:t>
      </w:r>
    </w:p>
    <w:p w14:paraId="2612EA0A" w14:textId="77777777" w:rsidR="001454B1" w:rsidRPr="005F5BEA" w:rsidRDefault="001454B1" w:rsidP="001454B1">
      <w:pPr>
        <w:spacing w:after="240"/>
        <w:contextualSpacing/>
        <w:jc w:val="both"/>
        <w:rPr>
          <w:rFonts w:ascii="Arial Narrow" w:eastAsia="Calibri" w:hAnsi="Arial Narrow" w:cs="Arial"/>
          <w:sz w:val="18"/>
        </w:rPr>
      </w:pPr>
      <w:proofErr w:type="gramStart"/>
      <w:r w:rsidRPr="005F5BEA">
        <w:rPr>
          <w:rFonts w:ascii="Arial Narrow" w:eastAsia="Calibri" w:hAnsi="Arial Narrow" w:cs="Arial"/>
          <w:sz w:val="18"/>
          <w:vertAlign w:val="superscript"/>
        </w:rPr>
        <w:t>a</w:t>
      </w:r>
      <w:proofErr w:type="gramEnd"/>
      <w:r w:rsidRPr="005F5BEA">
        <w:rPr>
          <w:rFonts w:ascii="Arial Narrow" w:eastAsia="Calibri" w:hAnsi="Arial Narrow" w:cs="Arial"/>
          <w:sz w:val="18"/>
        </w:rPr>
        <w:t xml:space="preserve"> Updated model with Round 1 and Round 2 patient numbers, excluding peri-implantation services and public hospital services, reduced onboarding and certification costs and reduced IECT wage. </w:t>
      </w:r>
    </w:p>
    <w:p w14:paraId="0AA155EF" w14:textId="6D685DF1" w:rsidR="00880DBE" w:rsidRPr="005F5BEA" w:rsidRDefault="00880DBE" w:rsidP="001454B1">
      <w:pPr>
        <w:spacing w:after="240"/>
        <w:contextualSpacing/>
        <w:jc w:val="both"/>
        <w:rPr>
          <w:rFonts w:ascii="Arial Narrow" w:eastAsia="Calibri" w:hAnsi="Arial Narrow" w:cs="Arial"/>
          <w:sz w:val="18"/>
        </w:rPr>
      </w:pPr>
      <w:r w:rsidRPr="005F5BEA">
        <w:rPr>
          <w:rFonts w:ascii="Arial Narrow" w:eastAsia="Calibri" w:hAnsi="Arial Narrow" w:cs="Arial"/>
          <w:sz w:val="18"/>
          <w:vertAlign w:val="superscript"/>
        </w:rPr>
        <w:t xml:space="preserve">b </w:t>
      </w:r>
      <w:r w:rsidRPr="005F5BEA">
        <w:rPr>
          <w:rFonts w:ascii="Arial Narrow" w:eastAsia="Calibri" w:hAnsi="Arial Narrow" w:cs="Arial"/>
          <w:sz w:val="18"/>
        </w:rPr>
        <w:t xml:space="preserve">Calculated as 30% of direct costs (labour, </w:t>
      </w:r>
      <w:proofErr w:type="gramStart"/>
      <w:r w:rsidRPr="005F5BEA">
        <w:rPr>
          <w:rFonts w:ascii="Arial Narrow" w:eastAsia="Calibri" w:hAnsi="Arial Narrow" w:cs="Arial"/>
          <w:sz w:val="18"/>
        </w:rPr>
        <w:t>travel</w:t>
      </w:r>
      <w:proofErr w:type="gramEnd"/>
      <w:r w:rsidRPr="005F5BEA">
        <w:rPr>
          <w:rFonts w:ascii="Arial Narrow" w:eastAsia="Calibri" w:hAnsi="Arial Narrow" w:cs="Arial"/>
          <w:sz w:val="18"/>
        </w:rPr>
        <w:t xml:space="preserve"> and training) based on total </w:t>
      </w:r>
      <w:r w:rsidR="00F94D4F" w:rsidRPr="005F5BEA">
        <w:rPr>
          <w:rFonts w:ascii="Arial Narrow" w:eastAsia="Calibri" w:hAnsi="Arial Narrow" w:cs="Arial"/>
          <w:sz w:val="18"/>
        </w:rPr>
        <w:t>direct costs in the updated estimates ($59,620,848 in 2022).</w:t>
      </w:r>
    </w:p>
    <w:p w14:paraId="7CA3A220" w14:textId="77777777" w:rsidR="001454B1" w:rsidRPr="005F5BEA" w:rsidRDefault="001454B1" w:rsidP="00C63874">
      <w:pPr>
        <w:pStyle w:val="Heading5"/>
        <w:spacing w:after="240"/>
      </w:pPr>
      <w:r w:rsidRPr="005F5BEA">
        <w:t>Alternative estimates of overhead costs</w:t>
      </w:r>
    </w:p>
    <w:p w14:paraId="2C8F9B90" w14:textId="77777777" w:rsidR="001454B1" w:rsidRPr="005F5BEA" w:rsidRDefault="001454B1" w:rsidP="001454B1">
      <w:pPr>
        <w:spacing w:before="0"/>
        <w:rPr>
          <w:rFonts w:eastAsia="Calibri" w:cs="Times New Roman"/>
          <w:i/>
        </w:rPr>
      </w:pPr>
      <w:r w:rsidRPr="005F5BEA">
        <w:rPr>
          <w:rFonts w:eastAsia="Calibri" w:cs="Times New Roman"/>
        </w:rPr>
        <w:t xml:space="preserve">The largest cost associated with cardiac services in the revised model is overhead costs. These estimates have been kept at 30% of the non-overhead costs presented in the applicant’s updated model (including Round 1 and Round 2). </w:t>
      </w:r>
      <w:r w:rsidRPr="005F5BEA">
        <w:rPr>
          <w:rFonts w:eastAsia="Calibri" w:cs="Times New Roman"/>
          <w:iCs/>
        </w:rPr>
        <w:t>As overhead costs have not been permitted to vary by costs or service volumes, the overhead costs account for almost 50% of all costs in the MSAC revised model.</w:t>
      </w:r>
      <w:r w:rsidRPr="005F5BEA">
        <w:rPr>
          <w:rFonts w:eastAsia="Calibri" w:cs="Times New Roman"/>
          <w:i/>
        </w:rPr>
        <w:t xml:space="preserve"> </w:t>
      </w:r>
    </w:p>
    <w:p w14:paraId="1C4FB98F" w14:textId="78AA6968" w:rsidR="001454B1" w:rsidRPr="005F5BEA" w:rsidRDefault="001454B1" w:rsidP="001454B1">
      <w:pPr>
        <w:spacing w:before="0"/>
        <w:rPr>
          <w:rFonts w:eastAsia="Calibri" w:cs="Times New Roman"/>
          <w:iCs/>
        </w:rPr>
      </w:pPr>
      <w:r w:rsidRPr="005F5BEA">
        <w:rPr>
          <w:rFonts w:eastAsia="Calibri" w:cs="Times New Roman"/>
          <w:iCs/>
        </w:rPr>
        <w:t xml:space="preserve">The </w:t>
      </w:r>
      <w:r w:rsidR="00F94D4F" w:rsidRPr="005F5BEA">
        <w:rPr>
          <w:rFonts w:eastAsia="Calibri" w:cs="Times New Roman"/>
          <w:iCs/>
        </w:rPr>
        <w:t xml:space="preserve">focussed evaluation considered the </w:t>
      </w:r>
      <w:r w:rsidRPr="005F5BEA">
        <w:rPr>
          <w:rFonts w:eastAsia="Calibri" w:cs="Times New Roman"/>
          <w:iCs/>
        </w:rPr>
        <w:t xml:space="preserve">estimate of overhead costs represents a key uncertainty in the Utilisation and Cost Model spreadsheet. To address this uncertainty, multiple approaches have been applied to vary the estimate of overhead costs. These </w:t>
      </w:r>
      <w:r w:rsidR="00F94D4F" w:rsidRPr="005F5BEA">
        <w:rPr>
          <w:rFonts w:eastAsia="Calibri" w:cs="Times New Roman"/>
          <w:iCs/>
        </w:rPr>
        <w:t>were</w:t>
      </w:r>
      <w:r w:rsidRPr="005F5BEA">
        <w:rPr>
          <w:rFonts w:eastAsia="Calibri" w:cs="Times New Roman"/>
          <w:iCs/>
        </w:rPr>
        <w:t>:</w:t>
      </w:r>
    </w:p>
    <w:p w14:paraId="398E590C" w14:textId="77777777" w:rsidR="001454B1" w:rsidRPr="005F5BEA" w:rsidRDefault="001454B1" w:rsidP="00AB5B20">
      <w:pPr>
        <w:numPr>
          <w:ilvl w:val="0"/>
          <w:numId w:val="23"/>
        </w:numPr>
        <w:spacing w:before="0"/>
        <w:contextualSpacing/>
        <w:rPr>
          <w:rFonts w:eastAsia="Calibri" w:cs="Times New Roman"/>
          <w:iCs/>
        </w:rPr>
      </w:pPr>
      <w:r w:rsidRPr="005F5BEA">
        <w:rPr>
          <w:rFonts w:eastAsia="Calibri" w:cs="Times New Roman"/>
          <w:iCs/>
        </w:rPr>
        <w:t xml:space="preserve">Reducing the overhead costs from the ADAR estimates proportionally by the reduction in </w:t>
      </w:r>
      <w:proofErr w:type="gramStart"/>
      <w:r w:rsidRPr="005F5BEA">
        <w:rPr>
          <w:rFonts w:eastAsia="Calibri" w:cs="Times New Roman"/>
          <w:iCs/>
        </w:rPr>
        <w:t>services;</w:t>
      </w:r>
      <w:proofErr w:type="gramEnd"/>
    </w:p>
    <w:p w14:paraId="24FB00BF" w14:textId="77777777" w:rsidR="001454B1" w:rsidRPr="005F5BEA" w:rsidRDefault="001454B1" w:rsidP="00AB5B20">
      <w:pPr>
        <w:numPr>
          <w:ilvl w:val="0"/>
          <w:numId w:val="23"/>
        </w:numPr>
        <w:spacing w:before="0"/>
        <w:contextualSpacing/>
        <w:rPr>
          <w:rFonts w:eastAsia="Calibri" w:cs="Times New Roman"/>
          <w:iCs/>
        </w:rPr>
      </w:pPr>
      <w:r w:rsidRPr="005F5BEA">
        <w:rPr>
          <w:rFonts w:eastAsia="Calibri" w:cs="Times New Roman"/>
          <w:iCs/>
        </w:rPr>
        <w:t>Reducing the overhead costs from the ADAR estimates to be equivalent to 30% of non</w:t>
      </w:r>
      <w:r w:rsidRPr="005F5BEA">
        <w:rPr>
          <w:rFonts w:eastAsia="Calibri" w:cs="Times New Roman"/>
          <w:iCs/>
        </w:rPr>
        <w:noBreakHyphen/>
        <w:t xml:space="preserve">overhead </w:t>
      </w:r>
      <w:proofErr w:type="gramStart"/>
      <w:r w:rsidRPr="005F5BEA">
        <w:rPr>
          <w:rFonts w:eastAsia="Calibri" w:cs="Times New Roman"/>
          <w:iCs/>
        </w:rPr>
        <w:t>costs;</w:t>
      </w:r>
      <w:proofErr w:type="gramEnd"/>
    </w:p>
    <w:p w14:paraId="4C585BA1" w14:textId="77777777" w:rsidR="001454B1" w:rsidRPr="005F5BEA" w:rsidRDefault="001454B1" w:rsidP="00AB5B20">
      <w:pPr>
        <w:numPr>
          <w:ilvl w:val="0"/>
          <w:numId w:val="23"/>
        </w:numPr>
        <w:spacing w:before="0"/>
        <w:contextualSpacing/>
        <w:rPr>
          <w:rFonts w:eastAsia="Calibri" w:cs="Times New Roman"/>
          <w:iCs/>
        </w:rPr>
      </w:pPr>
      <w:r w:rsidRPr="005F5BEA">
        <w:rPr>
          <w:rFonts w:eastAsia="Calibri" w:cs="Times New Roman"/>
          <w:iCs/>
        </w:rPr>
        <w:t>Increase the overhead costs to match the costs derived by the applicant from the data collection from 5 companies (restricted to the proportion allocated to the provision of private services</w:t>
      </w:r>
      <w:proofErr w:type="gramStart"/>
      <w:r w:rsidRPr="005F5BEA">
        <w:rPr>
          <w:rFonts w:eastAsia="Calibri" w:cs="Times New Roman"/>
          <w:iCs/>
        </w:rPr>
        <w:t>);</w:t>
      </w:r>
      <w:proofErr w:type="gramEnd"/>
    </w:p>
    <w:p w14:paraId="74C00AD3" w14:textId="77777777" w:rsidR="001454B1" w:rsidRPr="005F5BEA" w:rsidRDefault="001454B1" w:rsidP="00AB5B20">
      <w:pPr>
        <w:numPr>
          <w:ilvl w:val="0"/>
          <w:numId w:val="23"/>
        </w:numPr>
        <w:spacing w:before="0"/>
        <w:contextualSpacing/>
        <w:rPr>
          <w:rFonts w:eastAsia="Calibri" w:cs="Times New Roman"/>
          <w:iCs/>
        </w:rPr>
      </w:pPr>
      <w:r w:rsidRPr="005F5BEA">
        <w:rPr>
          <w:rFonts w:eastAsia="Calibri" w:cs="Times New Roman"/>
          <w:iCs/>
        </w:rPr>
        <w:t>Adjust the overhead costs to match the costs derived from companies, restricted to overhead costs allocated to the provision of private services, excluding the 2 most costly companies.</w:t>
      </w:r>
    </w:p>
    <w:p w14:paraId="066C2A9B" w14:textId="5B46A9AC" w:rsidR="001454B1" w:rsidRPr="005F5BEA" w:rsidRDefault="001454B1" w:rsidP="001454B1">
      <w:pPr>
        <w:spacing w:before="0"/>
        <w:rPr>
          <w:rFonts w:eastAsia="Calibri" w:cs="Times New Roman"/>
          <w:iCs/>
        </w:rPr>
      </w:pPr>
      <w:r w:rsidRPr="005F5BEA">
        <w:rPr>
          <w:rFonts w:eastAsia="Calibri" w:cs="Times New Roman"/>
          <w:iCs/>
        </w:rPr>
        <w:t xml:space="preserve">The proportion of services provided by Company </w:t>
      </w:r>
      <w:r w:rsidR="00C97E03" w:rsidRPr="00794DB4">
        <w:rPr>
          <w:rFonts w:eastAsia="Calibri" w:cs="Times New Roman"/>
          <w:iCs/>
          <w:color w:val="000000"/>
          <w:spacing w:val="35"/>
          <w:shd w:val="solid" w:color="000000" w:fill="000000"/>
          <w:fitText w:val="255" w:id="-1005390592"/>
          <w14:textFill>
            <w14:solidFill>
              <w14:srgbClr w14:val="000000">
                <w14:alpha w14:val="100000"/>
              </w14:srgbClr>
            </w14:solidFill>
          </w14:textFill>
        </w:rPr>
        <w:t>|</w:t>
      </w:r>
      <w:r w:rsidR="00C97E03" w:rsidRPr="00794DB4">
        <w:rPr>
          <w:rFonts w:eastAsia="Calibri" w:cs="Times New Roman"/>
          <w:iCs/>
          <w:color w:val="000000"/>
          <w:shd w:val="solid" w:color="000000" w:fill="000000"/>
          <w:fitText w:val="255" w:id="-1005390592"/>
          <w14:textFill>
            <w14:solidFill>
              <w14:srgbClr w14:val="000000">
                <w14:alpha w14:val="100000"/>
              </w14:srgbClr>
            </w14:solidFill>
          </w14:textFill>
        </w:rPr>
        <w:t>|</w:t>
      </w:r>
      <w:r w:rsidRPr="005F5BEA">
        <w:rPr>
          <w:rFonts w:eastAsia="Calibri" w:cs="Times New Roman"/>
          <w:iCs/>
        </w:rPr>
        <w:t xml:space="preserve"> and Company </w:t>
      </w:r>
      <w:r w:rsidR="00C97E03" w:rsidRPr="00794DB4">
        <w:rPr>
          <w:rFonts w:eastAsia="Calibri" w:cs="Times New Roman"/>
          <w:iCs/>
          <w:color w:val="000000"/>
          <w:spacing w:val="35"/>
          <w:shd w:val="solid" w:color="000000" w:fill="000000"/>
          <w:fitText w:val="255" w:id="-1005390591"/>
          <w14:textFill>
            <w14:solidFill>
              <w14:srgbClr w14:val="000000">
                <w14:alpha w14:val="100000"/>
              </w14:srgbClr>
            </w14:solidFill>
          </w14:textFill>
        </w:rPr>
        <w:t>|</w:t>
      </w:r>
      <w:r w:rsidR="00C97E03" w:rsidRPr="00794DB4">
        <w:rPr>
          <w:rFonts w:eastAsia="Calibri" w:cs="Times New Roman"/>
          <w:iCs/>
          <w:color w:val="000000"/>
          <w:shd w:val="solid" w:color="000000" w:fill="000000"/>
          <w:fitText w:val="255" w:id="-1005390591"/>
          <w14:textFill>
            <w14:solidFill>
              <w14:srgbClr w14:val="000000">
                <w14:alpha w14:val="100000"/>
              </w14:srgbClr>
            </w14:solidFill>
          </w14:textFill>
        </w:rPr>
        <w:t>|</w:t>
      </w:r>
      <w:r w:rsidRPr="005F5BEA">
        <w:rPr>
          <w:rFonts w:eastAsia="Calibri" w:cs="Times New Roman"/>
          <w:iCs/>
        </w:rPr>
        <w:t xml:space="preserve"> as a percentage of the total services captured in the Round 2 data collection was about </w:t>
      </w:r>
      <w:r w:rsidR="00D865D4" w:rsidRPr="00794DB4">
        <w:rPr>
          <w:rFonts w:eastAsia="Calibri" w:cs="Times New Roman"/>
          <w:iCs/>
          <w:color w:val="000000"/>
          <w:spacing w:val="50"/>
          <w:shd w:val="solid" w:color="000000" w:fill="000000"/>
          <w:fitText w:val="270" w:id="-1157882609"/>
          <w14:textFill>
            <w14:solidFill>
              <w14:srgbClr w14:val="000000">
                <w14:alpha w14:val="100000"/>
              </w14:srgbClr>
            </w14:solidFill>
          </w14:textFill>
        </w:rPr>
        <w:t>|</w:t>
      </w:r>
      <w:r w:rsidR="00D865D4" w:rsidRPr="00794DB4">
        <w:rPr>
          <w:rFonts w:eastAsia="Calibri" w:cs="Times New Roman"/>
          <w:iCs/>
          <w:color w:val="000000"/>
          <w:shd w:val="solid" w:color="000000" w:fill="000000"/>
          <w:fitText w:val="270" w:id="-1157882609"/>
          <w14:textFill>
            <w14:solidFill>
              <w14:srgbClr w14:val="000000">
                <w14:alpha w14:val="100000"/>
              </w14:srgbClr>
            </w14:solidFill>
          </w14:textFill>
        </w:rPr>
        <w:t>|</w:t>
      </w:r>
      <w:r w:rsidRPr="005F5BEA">
        <w:rPr>
          <w:rFonts w:eastAsia="Calibri" w:cs="Times New Roman"/>
          <w:iCs/>
        </w:rPr>
        <w:t>% (</w:t>
      </w:r>
      <w:r w:rsidR="00D865D4" w:rsidRPr="00794DB4">
        <w:rPr>
          <w:rFonts w:eastAsia="Calibri" w:cs="Times New Roman"/>
          <w:iCs/>
          <w:color w:val="000000"/>
          <w:spacing w:val="35"/>
          <w:shd w:val="solid" w:color="000000" w:fill="000000"/>
          <w:fitText w:val="255" w:id="-1157882608"/>
          <w14:textFill>
            <w14:solidFill>
              <w14:srgbClr w14:val="000000">
                <w14:alpha w14:val="100000"/>
              </w14:srgbClr>
            </w14:solidFill>
          </w14:textFill>
        </w:rPr>
        <w:t>|</w:t>
      </w:r>
      <w:r w:rsidR="00D865D4" w:rsidRPr="00794DB4">
        <w:rPr>
          <w:rFonts w:eastAsia="Calibri" w:cs="Times New Roman"/>
          <w:iCs/>
          <w:color w:val="000000"/>
          <w:shd w:val="solid" w:color="000000" w:fill="000000"/>
          <w:fitText w:val="255" w:id="-1157882608"/>
          <w14:textFill>
            <w14:solidFill>
              <w14:srgbClr w14:val="000000">
                <w14:alpha w14:val="100000"/>
              </w14:srgbClr>
            </w14:solidFill>
          </w14:textFill>
        </w:rPr>
        <w:t>|</w:t>
      </w:r>
      <w:r w:rsidRPr="005F5BEA">
        <w:rPr>
          <w:rFonts w:eastAsia="Calibri" w:cs="Times New Roman"/>
          <w:iCs/>
        </w:rPr>
        <w:t xml:space="preserve"> / 63595 services). Despite this, the companies accounted for more than </w:t>
      </w:r>
      <w:r w:rsidR="00D865D4" w:rsidRPr="00794DB4">
        <w:rPr>
          <w:rFonts w:eastAsia="Calibri" w:cs="Times New Roman"/>
          <w:iCs/>
          <w:color w:val="000000"/>
          <w:spacing w:val="50"/>
          <w:shd w:val="solid" w:color="000000" w:fill="000000"/>
          <w:fitText w:val="270" w:id="-1157882624"/>
          <w14:textFill>
            <w14:solidFill>
              <w14:srgbClr w14:val="000000">
                <w14:alpha w14:val="100000"/>
              </w14:srgbClr>
            </w14:solidFill>
          </w14:textFill>
        </w:rPr>
        <w:t>|</w:t>
      </w:r>
      <w:r w:rsidR="00D865D4" w:rsidRPr="00794DB4">
        <w:rPr>
          <w:rFonts w:eastAsia="Calibri" w:cs="Times New Roman"/>
          <w:iCs/>
          <w:color w:val="000000"/>
          <w:shd w:val="solid" w:color="000000" w:fill="000000"/>
          <w:fitText w:val="270" w:id="-1157882624"/>
          <w14:textFill>
            <w14:solidFill>
              <w14:srgbClr w14:val="000000">
                <w14:alpha w14:val="100000"/>
              </w14:srgbClr>
            </w14:solidFill>
          </w14:textFill>
        </w:rPr>
        <w:t>|</w:t>
      </w:r>
      <w:r w:rsidRPr="005F5BEA">
        <w:rPr>
          <w:rFonts w:eastAsia="Calibri" w:cs="Times New Roman"/>
          <w:iCs/>
        </w:rPr>
        <w:t>% of the total overhead costs. If these companies are removed from the analysis, and the overhead costs of the remaining 3 companies were inflated to achieve the same number of services, the estimated cost would be approximately $</w:t>
      </w:r>
      <w:r w:rsidR="00D865D4" w:rsidRPr="00794DB4">
        <w:rPr>
          <w:rFonts w:eastAsia="Calibri" w:cs="Times New Roman"/>
          <w:iCs/>
          <w:color w:val="000000"/>
          <w:spacing w:val="35"/>
          <w:shd w:val="solid" w:color="000000" w:fill="000000"/>
          <w:fitText w:val="255" w:id="-1157882623"/>
          <w14:textFill>
            <w14:solidFill>
              <w14:srgbClr w14:val="000000">
                <w14:alpha w14:val="100000"/>
              </w14:srgbClr>
            </w14:solidFill>
          </w14:textFill>
        </w:rPr>
        <w:t>|</w:t>
      </w:r>
      <w:r w:rsidR="00D865D4" w:rsidRPr="00794DB4">
        <w:rPr>
          <w:rFonts w:eastAsia="Calibri" w:cs="Times New Roman"/>
          <w:iCs/>
          <w:color w:val="000000"/>
          <w:shd w:val="solid" w:color="000000" w:fill="000000"/>
          <w:fitText w:val="255" w:id="-1157882623"/>
          <w14:textFill>
            <w14:solidFill>
              <w14:srgbClr w14:val="000000">
                <w14:alpha w14:val="100000"/>
              </w14:srgbClr>
            </w14:solidFill>
          </w14:textFill>
        </w:rPr>
        <w:t>|</w:t>
      </w:r>
      <w:r w:rsidRPr="005F5BEA">
        <w:rPr>
          <w:rFonts w:eastAsia="Calibri" w:cs="Times New Roman"/>
          <w:iCs/>
        </w:rPr>
        <w:t xml:space="preserve"> lower. </w:t>
      </w:r>
      <w:r w:rsidR="00F94D4F" w:rsidRPr="005F5BEA">
        <w:rPr>
          <w:rFonts w:eastAsia="Calibri" w:cs="Times New Roman"/>
          <w:iCs/>
        </w:rPr>
        <w:t>The focussed evaluation considered t</w:t>
      </w:r>
      <w:r w:rsidRPr="005F5BEA">
        <w:rPr>
          <w:rFonts w:eastAsia="Calibri" w:cs="Times New Roman"/>
          <w:iCs/>
        </w:rPr>
        <w:t xml:space="preserve">his approach may be reasonable </w:t>
      </w:r>
      <w:r w:rsidRPr="005F5BEA">
        <w:rPr>
          <w:rFonts w:eastAsia="Calibri" w:cs="Times New Roman"/>
          <w:iCs/>
        </w:rPr>
        <w:lastRenderedPageBreak/>
        <w:t xml:space="preserve">as these companies report overhead costs that are approximately </w:t>
      </w:r>
      <w:r w:rsidR="00D865D4" w:rsidRPr="00794DB4">
        <w:rPr>
          <w:rFonts w:eastAsia="Calibri" w:cs="Times New Roman"/>
          <w:iCs/>
          <w:color w:val="000000"/>
          <w:spacing w:val="35"/>
          <w:shd w:val="solid" w:color="000000" w:fill="000000"/>
          <w:fitText w:val="255" w:id="-1157882622"/>
          <w14:textFill>
            <w14:solidFill>
              <w14:srgbClr w14:val="000000">
                <w14:alpha w14:val="100000"/>
              </w14:srgbClr>
            </w14:solidFill>
          </w14:textFill>
        </w:rPr>
        <w:t>|</w:t>
      </w:r>
      <w:r w:rsidR="00D865D4" w:rsidRPr="00794DB4">
        <w:rPr>
          <w:rFonts w:eastAsia="Calibri" w:cs="Times New Roman"/>
          <w:iCs/>
          <w:color w:val="000000"/>
          <w:shd w:val="solid" w:color="000000" w:fill="000000"/>
          <w:fitText w:val="255" w:id="-1157882622"/>
          <w14:textFill>
            <w14:solidFill>
              <w14:srgbClr w14:val="000000">
                <w14:alpha w14:val="100000"/>
              </w14:srgbClr>
            </w14:solidFill>
          </w14:textFill>
        </w:rPr>
        <w:t>|</w:t>
      </w:r>
      <w:r w:rsidRPr="005F5BEA">
        <w:rPr>
          <w:rFonts w:eastAsia="Calibri" w:cs="Times New Roman"/>
          <w:iCs/>
        </w:rPr>
        <w:t xml:space="preserve">% of the non-overhead costs, compared to less than </w:t>
      </w:r>
      <w:r w:rsidR="00D865D4" w:rsidRPr="00C97E03">
        <w:rPr>
          <w:rFonts w:eastAsia="Calibri" w:cs="Times New Roman"/>
          <w:iCs/>
          <w:color w:val="000000"/>
          <w:spacing w:val="50"/>
          <w:shd w:val="solid" w:color="000000" w:fill="000000"/>
          <w:fitText w:val="270" w:id="-1157882621"/>
          <w14:textFill>
            <w14:solidFill>
              <w14:srgbClr w14:val="000000">
                <w14:alpha w14:val="100000"/>
              </w14:srgbClr>
            </w14:solidFill>
          </w14:textFill>
        </w:rPr>
        <w:t>|</w:t>
      </w:r>
      <w:r w:rsidR="00D865D4" w:rsidRPr="00C97E03">
        <w:rPr>
          <w:rFonts w:eastAsia="Calibri" w:cs="Times New Roman"/>
          <w:iCs/>
          <w:color w:val="000000"/>
          <w:shd w:val="solid" w:color="000000" w:fill="000000"/>
          <w:fitText w:val="270" w:id="-1157882621"/>
          <w14:textFill>
            <w14:solidFill>
              <w14:srgbClr w14:val="000000">
                <w14:alpha w14:val="100000"/>
              </w14:srgbClr>
            </w14:solidFill>
          </w14:textFill>
        </w:rPr>
        <w:t>|</w:t>
      </w:r>
      <w:r w:rsidRPr="005F5BEA">
        <w:rPr>
          <w:rFonts w:eastAsia="Calibri" w:cs="Times New Roman"/>
          <w:iCs/>
        </w:rPr>
        <w:t>% for the remaining three companies.</w:t>
      </w:r>
    </w:p>
    <w:p w14:paraId="7EAB29C9" w14:textId="4B844E0E" w:rsidR="001454B1" w:rsidRPr="005F5BEA" w:rsidRDefault="15DB8F46" w:rsidP="11AFB54D">
      <w:pPr>
        <w:spacing w:before="0"/>
        <w:rPr>
          <w:rFonts w:eastAsia="Calibri" w:cs="Times New Roman"/>
        </w:rPr>
      </w:pPr>
      <w:r w:rsidRPr="005F5BEA">
        <w:rPr>
          <w:rFonts w:eastAsiaTheme="minorEastAsia"/>
        </w:rPr>
        <w:t xml:space="preserve">To exclude the two most costly companies from the estimate of overhead costs, the costs from the remaining 3 companies have been inflated to account for the loss in service provision from the two excluded companies (see </w:t>
      </w:r>
      <w:r w:rsidR="001454B1" w:rsidRPr="005F5BEA">
        <w:rPr>
          <w:rFonts w:ascii="Calibri" w:eastAsia="Calibri" w:hAnsi="Calibri" w:cs="Times New Roman"/>
        </w:rPr>
        <w:fldChar w:fldCharType="begin"/>
      </w:r>
      <w:r w:rsidR="001454B1" w:rsidRPr="005F5BEA">
        <w:rPr>
          <w:rFonts w:ascii="Calibri" w:eastAsia="Calibri" w:hAnsi="Calibri" w:cs="Times New Roman"/>
        </w:rPr>
        <w:instrText xml:space="preserve"> REF _Ref135132353 \h  \* MERGEFORMAT </w:instrText>
      </w:r>
      <w:r w:rsidR="001454B1" w:rsidRPr="005F5BEA">
        <w:rPr>
          <w:rFonts w:ascii="Calibri" w:eastAsia="Calibri" w:hAnsi="Calibri" w:cs="Times New Roman"/>
        </w:rPr>
      </w:r>
      <w:r w:rsidR="001454B1" w:rsidRPr="005F5BEA">
        <w:rPr>
          <w:rFonts w:ascii="Calibri" w:eastAsia="Calibri" w:hAnsi="Calibri" w:cs="Times New Roman"/>
        </w:rPr>
        <w:fldChar w:fldCharType="separate"/>
      </w:r>
      <w:r w:rsidR="00334548" w:rsidRPr="00334548">
        <w:rPr>
          <w:rFonts w:ascii="Calibri" w:eastAsia="Calibri" w:hAnsi="Calibri" w:cs="Times New Roman"/>
        </w:rPr>
        <w:t xml:space="preserve">Table </w:t>
      </w:r>
      <w:r w:rsidR="00334548" w:rsidRPr="00334548">
        <w:rPr>
          <w:rFonts w:ascii="Calibri" w:eastAsia="Calibri" w:hAnsi="Calibri" w:cs="Times New Roman"/>
          <w:noProof/>
        </w:rPr>
        <w:t>31</w:t>
      </w:r>
      <w:r w:rsidR="001454B1" w:rsidRPr="005F5BEA">
        <w:rPr>
          <w:rFonts w:ascii="Calibri" w:eastAsia="Calibri" w:hAnsi="Calibri" w:cs="Times New Roman"/>
        </w:rPr>
        <w:fldChar w:fldCharType="end"/>
      </w:r>
      <w:r w:rsidRPr="005F5BEA">
        <w:rPr>
          <w:rFonts w:eastAsiaTheme="minorEastAsia"/>
        </w:rPr>
        <w:t xml:space="preserve">). </w:t>
      </w:r>
    </w:p>
    <w:p w14:paraId="076F0E0B" w14:textId="3DBAA2CB" w:rsidR="001454B1" w:rsidRPr="005F5BEA" w:rsidRDefault="001454B1" w:rsidP="001454B1">
      <w:pPr>
        <w:keepNext/>
        <w:spacing w:before="0" w:after="200" w:line="240" w:lineRule="auto"/>
        <w:rPr>
          <w:rFonts w:ascii="Arial Narrow" w:eastAsia="Calibri" w:hAnsi="Arial Narrow" w:cs="Times New Roman"/>
          <w:b/>
          <w:iCs/>
          <w:sz w:val="20"/>
          <w:szCs w:val="20"/>
        </w:rPr>
      </w:pPr>
      <w:bookmarkStart w:id="48" w:name="_Ref135132353"/>
      <w:bookmarkStart w:id="49" w:name="_Hlk137218166"/>
      <w:r w:rsidRPr="005F5BEA">
        <w:rPr>
          <w:rFonts w:ascii="Arial Narrow" w:eastAsia="Calibri" w:hAnsi="Arial Narrow" w:cs="Times New Roman"/>
          <w:b/>
          <w:iCs/>
          <w:sz w:val="20"/>
          <w:szCs w:val="20"/>
        </w:rPr>
        <w:t xml:space="preserve">Table </w:t>
      </w:r>
      <w:r w:rsidRPr="005F5BEA">
        <w:rPr>
          <w:rFonts w:ascii="Arial Narrow" w:eastAsia="Calibri" w:hAnsi="Arial Narrow" w:cs="Times New Roman"/>
          <w:b/>
          <w:iCs/>
          <w:sz w:val="20"/>
          <w:szCs w:val="20"/>
        </w:rPr>
        <w:fldChar w:fldCharType="begin"/>
      </w:r>
      <w:r w:rsidRPr="005F5BEA">
        <w:rPr>
          <w:rFonts w:ascii="Arial Narrow" w:eastAsia="Calibri" w:hAnsi="Arial Narrow" w:cs="Times New Roman"/>
          <w:b/>
          <w:iCs/>
          <w:sz w:val="20"/>
          <w:szCs w:val="20"/>
        </w:rPr>
        <w:instrText xml:space="preserve"> SEQ Table \* ARABIC </w:instrText>
      </w:r>
      <w:r w:rsidRPr="005F5BEA">
        <w:rPr>
          <w:rFonts w:ascii="Arial Narrow" w:eastAsia="Calibri" w:hAnsi="Arial Narrow" w:cs="Times New Roman"/>
          <w:b/>
          <w:iCs/>
          <w:sz w:val="20"/>
          <w:szCs w:val="20"/>
        </w:rPr>
        <w:fldChar w:fldCharType="separate"/>
      </w:r>
      <w:r w:rsidR="00334548">
        <w:rPr>
          <w:rFonts w:ascii="Arial Narrow" w:eastAsia="Calibri" w:hAnsi="Arial Narrow" w:cs="Times New Roman"/>
          <w:b/>
          <w:iCs/>
          <w:noProof/>
          <w:sz w:val="20"/>
          <w:szCs w:val="20"/>
        </w:rPr>
        <w:t>31</w:t>
      </w:r>
      <w:r w:rsidRPr="005F5BEA">
        <w:rPr>
          <w:rFonts w:ascii="Arial Narrow" w:eastAsia="Calibri" w:hAnsi="Arial Narrow" w:cs="Times New Roman"/>
          <w:b/>
          <w:iCs/>
          <w:noProof/>
          <w:sz w:val="20"/>
          <w:szCs w:val="20"/>
        </w:rPr>
        <w:fldChar w:fldCharType="end"/>
      </w:r>
      <w:bookmarkEnd w:id="48"/>
      <w:r w:rsidRPr="005F5BEA">
        <w:rPr>
          <w:rFonts w:ascii="Arial Narrow" w:eastAsia="Calibri" w:hAnsi="Arial Narrow" w:cs="Times New Roman"/>
          <w:b/>
          <w:iCs/>
          <w:sz w:val="20"/>
          <w:szCs w:val="20"/>
        </w:rPr>
        <w:tab/>
        <w:t xml:space="preserve">Excluding the two most costly companies in terms of overhead costs (only private </w:t>
      </w:r>
      <w:proofErr w:type="gramStart"/>
      <w:r w:rsidRPr="005F5BEA">
        <w:rPr>
          <w:rFonts w:ascii="Arial Narrow" w:eastAsia="Calibri" w:hAnsi="Arial Narrow" w:cs="Times New Roman"/>
          <w:b/>
          <w:iCs/>
          <w:sz w:val="20"/>
          <w:szCs w:val="20"/>
        </w:rPr>
        <w:t>services)</w:t>
      </w:r>
      <w:r w:rsidRPr="005F5BEA">
        <w:rPr>
          <w:rFonts w:ascii="Arial Narrow" w:eastAsia="Calibri" w:hAnsi="Arial Narrow" w:cs="Times New Roman"/>
          <w:b/>
          <w:iCs/>
          <w:sz w:val="20"/>
          <w:szCs w:val="20"/>
          <w:vertAlign w:val="superscript"/>
        </w:rPr>
        <w:t>a</w:t>
      </w:r>
      <w:proofErr w:type="gramEnd"/>
    </w:p>
    <w:bookmarkEnd w:id="49"/>
    <w:tbl>
      <w:tblPr>
        <w:tblStyle w:val="TableGrid1"/>
        <w:tblW w:w="0" w:type="auto"/>
        <w:tblLook w:val="04A0" w:firstRow="1" w:lastRow="0" w:firstColumn="1" w:lastColumn="0" w:noHBand="0" w:noVBand="1"/>
      </w:tblPr>
      <w:tblGrid>
        <w:gridCol w:w="1502"/>
        <w:gridCol w:w="1502"/>
        <w:gridCol w:w="1503"/>
        <w:gridCol w:w="1503"/>
        <w:gridCol w:w="1503"/>
        <w:gridCol w:w="1503"/>
      </w:tblGrid>
      <w:tr w:rsidR="001454B1" w:rsidRPr="005F5BEA" w14:paraId="55081A51" w14:textId="77777777" w:rsidTr="00D865D4">
        <w:tc>
          <w:tcPr>
            <w:tcW w:w="1502" w:type="dxa"/>
          </w:tcPr>
          <w:p w14:paraId="4A7A5F96" w14:textId="77777777" w:rsidR="001454B1" w:rsidRPr="005F5BEA" w:rsidRDefault="001454B1" w:rsidP="001454B1">
            <w:pPr>
              <w:spacing w:before="0"/>
              <w:rPr>
                <w:rFonts w:ascii="Arial Narrow" w:eastAsia="Calibri" w:hAnsi="Arial Narrow" w:cs="Times New Roman"/>
                <w:sz w:val="20"/>
                <w:szCs w:val="20"/>
              </w:rPr>
            </w:pPr>
          </w:p>
        </w:tc>
        <w:tc>
          <w:tcPr>
            <w:tcW w:w="1502" w:type="dxa"/>
            <w:tcBorders>
              <w:bottom w:val="single" w:sz="4" w:space="0" w:color="auto"/>
            </w:tcBorders>
          </w:tcPr>
          <w:p w14:paraId="53B1E20C" w14:textId="77777777" w:rsidR="001454B1" w:rsidRPr="005F5BEA" w:rsidRDefault="001454B1" w:rsidP="001454B1">
            <w:pPr>
              <w:spacing w:before="0"/>
              <w:rPr>
                <w:rFonts w:ascii="Arial Narrow" w:eastAsia="Calibri" w:hAnsi="Arial Narrow" w:cs="Times New Roman"/>
                <w:b/>
                <w:sz w:val="20"/>
                <w:szCs w:val="20"/>
              </w:rPr>
            </w:pPr>
            <w:r w:rsidRPr="005F5BEA">
              <w:rPr>
                <w:rFonts w:ascii="Arial Narrow" w:eastAsia="Calibri" w:hAnsi="Arial Narrow" w:cs="Times New Roman"/>
                <w:b/>
                <w:sz w:val="20"/>
                <w:szCs w:val="20"/>
              </w:rPr>
              <w:t>Services</w:t>
            </w:r>
          </w:p>
        </w:tc>
        <w:tc>
          <w:tcPr>
            <w:tcW w:w="1503" w:type="dxa"/>
            <w:tcBorders>
              <w:bottom w:val="single" w:sz="4" w:space="0" w:color="auto"/>
            </w:tcBorders>
          </w:tcPr>
          <w:p w14:paraId="6A39B70E" w14:textId="77777777" w:rsidR="001454B1" w:rsidRPr="005F5BEA" w:rsidRDefault="001454B1" w:rsidP="001454B1">
            <w:pPr>
              <w:spacing w:before="0"/>
              <w:rPr>
                <w:rFonts w:ascii="Arial Narrow" w:eastAsia="Calibri" w:hAnsi="Arial Narrow" w:cs="Times New Roman"/>
                <w:b/>
                <w:sz w:val="20"/>
                <w:szCs w:val="20"/>
              </w:rPr>
            </w:pPr>
            <w:r w:rsidRPr="005F5BEA">
              <w:rPr>
                <w:rFonts w:ascii="Arial Narrow" w:eastAsia="Calibri" w:hAnsi="Arial Narrow" w:cs="Times New Roman"/>
                <w:b/>
                <w:sz w:val="20"/>
                <w:szCs w:val="20"/>
              </w:rPr>
              <w:t>Proportion</w:t>
            </w:r>
          </w:p>
        </w:tc>
        <w:tc>
          <w:tcPr>
            <w:tcW w:w="1503" w:type="dxa"/>
            <w:tcBorders>
              <w:bottom w:val="single" w:sz="4" w:space="0" w:color="auto"/>
            </w:tcBorders>
          </w:tcPr>
          <w:p w14:paraId="433085FA" w14:textId="77777777" w:rsidR="001454B1" w:rsidRPr="005F5BEA" w:rsidRDefault="001454B1" w:rsidP="001454B1">
            <w:pPr>
              <w:spacing w:before="0"/>
              <w:rPr>
                <w:rFonts w:ascii="Arial Narrow" w:eastAsia="Calibri" w:hAnsi="Arial Narrow" w:cs="Times New Roman"/>
                <w:b/>
                <w:sz w:val="20"/>
                <w:szCs w:val="20"/>
              </w:rPr>
            </w:pPr>
            <w:r w:rsidRPr="005F5BEA">
              <w:rPr>
                <w:rFonts w:ascii="Arial Narrow" w:eastAsia="Calibri" w:hAnsi="Arial Narrow" w:cs="Times New Roman"/>
                <w:b/>
                <w:sz w:val="20"/>
                <w:szCs w:val="20"/>
              </w:rPr>
              <w:t>O/H costs</w:t>
            </w:r>
          </w:p>
        </w:tc>
        <w:tc>
          <w:tcPr>
            <w:tcW w:w="1503" w:type="dxa"/>
            <w:tcBorders>
              <w:bottom w:val="single" w:sz="4" w:space="0" w:color="auto"/>
            </w:tcBorders>
          </w:tcPr>
          <w:p w14:paraId="3790A542" w14:textId="77777777" w:rsidR="001454B1" w:rsidRPr="005F5BEA" w:rsidRDefault="001454B1" w:rsidP="001454B1">
            <w:pPr>
              <w:spacing w:before="0"/>
              <w:rPr>
                <w:rFonts w:ascii="Arial Narrow" w:eastAsia="Calibri" w:hAnsi="Arial Narrow" w:cs="Times New Roman"/>
                <w:b/>
                <w:sz w:val="20"/>
                <w:szCs w:val="20"/>
              </w:rPr>
            </w:pPr>
            <w:r w:rsidRPr="005F5BEA">
              <w:rPr>
                <w:rFonts w:ascii="Arial Narrow" w:eastAsia="Calibri" w:hAnsi="Arial Narrow" w:cs="Times New Roman"/>
                <w:b/>
                <w:sz w:val="20"/>
                <w:szCs w:val="20"/>
              </w:rPr>
              <w:t>Alternative proportion</w:t>
            </w:r>
          </w:p>
        </w:tc>
        <w:tc>
          <w:tcPr>
            <w:tcW w:w="1503" w:type="dxa"/>
            <w:tcBorders>
              <w:bottom w:val="single" w:sz="4" w:space="0" w:color="auto"/>
            </w:tcBorders>
          </w:tcPr>
          <w:p w14:paraId="43209BDC" w14:textId="77777777" w:rsidR="001454B1" w:rsidRPr="005F5BEA" w:rsidRDefault="001454B1" w:rsidP="001454B1">
            <w:pPr>
              <w:spacing w:before="0"/>
              <w:rPr>
                <w:rFonts w:ascii="Arial Narrow" w:eastAsia="Calibri" w:hAnsi="Arial Narrow" w:cs="Times New Roman"/>
                <w:b/>
                <w:sz w:val="20"/>
                <w:szCs w:val="20"/>
              </w:rPr>
            </w:pPr>
            <w:r w:rsidRPr="005F5BEA">
              <w:rPr>
                <w:rFonts w:ascii="Arial Narrow" w:eastAsia="Calibri" w:hAnsi="Arial Narrow" w:cs="Times New Roman"/>
                <w:b/>
                <w:sz w:val="20"/>
                <w:szCs w:val="20"/>
              </w:rPr>
              <w:t>O/H costs</w:t>
            </w:r>
          </w:p>
        </w:tc>
      </w:tr>
      <w:tr w:rsidR="001454B1" w:rsidRPr="005F5BEA" w14:paraId="3AF2F305" w14:textId="77777777" w:rsidTr="00D865D4">
        <w:tc>
          <w:tcPr>
            <w:tcW w:w="1502" w:type="dxa"/>
            <w:vAlign w:val="center"/>
          </w:tcPr>
          <w:p w14:paraId="32E675A3"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Calibri"/>
                <w:color w:val="000000"/>
                <w:sz w:val="20"/>
                <w:szCs w:val="20"/>
              </w:rPr>
              <w:t>Company 1</w:t>
            </w:r>
          </w:p>
        </w:tc>
        <w:tc>
          <w:tcPr>
            <w:tcW w:w="1502" w:type="dxa"/>
            <w:tcBorders>
              <w:bottom w:val="single" w:sz="4" w:space="0" w:color="auto"/>
            </w:tcBorders>
            <w:shd w:val="solid" w:color="000000" w:fill="000000"/>
            <w:vAlign w:val="center"/>
          </w:tcPr>
          <w:p w14:paraId="4E3BAA62" w14:textId="353ADC24" w:rsidR="001454B1" w:rsidRPr="00D865D4" w:rsidRDefault="00D865D4" w:rsidP="001454B1">
            <w:pPr>
              <w:spacing w:before="0"/>
              <w:rPr>
                <w:rFonts w:ascii="Arial Narrow" w:eastAsia="Calibri" w:hAnsi="Arial Narrow" w:cs="Times New Roman"/>
                <w:sz w:val="20"/>
                <w:szCs w:val="20"/>
              </w:rPr>
            </w:pPr>
            <w:r w:rsidRPr="008A2B4D">
              <w:rPr>
                <w:rFonts w:ascii="Arial Narrow" w:eastAsia="Calibri" w:hAnsi="Arial Narrow" w:cs="Calibri"/>
                <w:color w:val="000000"/>
                <w:spacing w:val="94"/>
                <w:sz w:val="20"/>
                <w:szCs w:val="20"/>
                <w:fitText w:val="180" w:id="-1157882620"/>
                <w14:textFill>
                  <w14:solidFill>
                    <w14:srgbClr w14:val="000000">
                      <w14:alpha w14:val="100000"/>
                    </w14:srgbClr>
                  </w14:solidFill>
                </w14:textFill>
              </w:rPr>
              <w:t>|</w:t>
            </w:r>
            <w:r w:rsidRPr="008A2B4D">
              <w:rPr>
                <w:rFonts w:ascii="Arial Narrow" w:eastAsia="Calibri" w:hAnsi="Arial Narrow" w:cs="Calibri"/>
                <w:color w:val="000000"/>
                <w:spacing w:val="1"/>
                <w:sz w:val="20"/>
                <w:szCs w:val="20"/>
                <w:fitText w:val="180" w:id="-1157882620"/>
                <w14:textFill>
                  <w14:solidFill>
                    <w14:srgbClr w14:val="000000">
                      <w14:alpha w14:val="100000"/>
                    </w14:srgbClr>
                  </w14:solidFill>
                </w14:textFill>
              </w:rPr>
              <w:t>|</w:t>
            </w:r>
          </w:p>
        </w:tc>
        <w:tc>
          <w:tcPr>
            <w:tcW w:w="1503" w:type="dxa"/>
            <w:tcBorders>
              <w:bottom w:val="single" w:sz="4" w:space="0" w:color="auto"/>
            </w:tcBorders>
            <w:shd w:val="solid" w:color="000000" w:fill="000000"/>
            <w:vAlign w:val="center"/>
          </w:tcPr>
          <w:p w14:paraId="620445F8" w14:textId="2E1C266C" w:rsidR="001454B1" w:rsidRPr="00D865D4" w:rsidRDefault="00D865D4" w:rsidP="001454B1">
            <w:pPr>
              <w:spacing w:before="0"/>
              <w:rPr>
                <w:rFonts w:ascii="Arial Narrow" w:eastAsia="Calibri" w:hAnsi="Arial Narrow" w:cs="Times New Roman"/>
                <w:sz w:val="20"/>
                <w:szCs w:val="20"/>
              </w:rPr>
            </w:pPr>
            <w:r w:rsidRPr="008A2B4D">
              <w:rPr>
                <w:rFonts w:ascii="Arial Narrow" w:eastAsia="Calibri" w:hAnsi="Arial Narrow" w:cs="Calibri"/>
                <w:color w:val="000000"/>
                <w:spacing w:val="94"/>
                <w:sz w:val="20"/>
                <w:szCs w:val="20"/>
                <w:fitText w:val="180" w:id="-1157882619"/>
                <w14:textFill>
                  <w14:solidFill>
                    <w14:srgbClr w14:val="000000">
                      <w14:alpha w14:val="100000"/>
                    </w14:srgbClr>
                  </w14:solidFill>
                </w14:textFill>
              </w:rPr>
              <w:t>|</w:t>
            </w:r>
            <w:r w:rsidRPr="008A2B4D">
              <w:rPr>
                <w:rFonts w:ascii="Arial Narrow" w:eastAsia="Calibri" w:hAnsi="Arial Narrow" w:cs="Calibri"/>
                <w:color w:val="000000"/>
                <w:spacing w:val="1"/>
                <w:sz w:val="20"/>
                <w:szCs w:val="20"/>
                <w:fitText w:val="180" w:id="-1157882619"/>
                <w14:textFill>
                  <w14:solidFill>
                    <w14:srgbClr w14:val="000000">
                      <w14:alpha w14:val="100000"/>
                    </w14:srgbClr>
                  </w14:solidFill>
                </w14:textFill>
              </w:rPr>
              <w:t>|</w:t>
            </w:r>
          </w:p>
        </w:tc>
        <w:tc>
          <w:tcPr>
            <w:tcW w:w="1503" w:type="dxa"/>
            <w:tcBorders>
              <w:bottom w:val="single" w:sz="4" w:space="0" w:color="auto"/>
            </w:tcBorders>
            <w:shd w:val="solid" w:color="000000" w:fill="000000"/>
            <w:vAlign w:val="center"/>
          </w:tcPr>
          <w:p w14:paraId="58FD292A" w14:textId="08FAD2CE" w:rsidR="001454B1" w:rsidRPr="00D865D4" w:rsidRDefault="00D865D4" w:rsidP="001454B1">
            <w:pPr>
              <w:spacing w:before="0"/>
              <w:rPr>
                <w:rFonts w:ascii="Arial Narrow" w:eastAsia="Calibri" w:hAnsi="Arial Narrow" w:cs="Times New Roman"/>
                <w:sz w:val="20"/>
                <w:szCs w:val="20"/>
              </w:rPr>
            </w:pPr>
            <w:r w:rsidRPr="008A2B4D">
              <w:rPr>
                <w:rFonts w:ascii="Arial Narrow" w:eastAsia="Calibri" w:hAnsi="Arial Narrow" w:cs="Times New Roman"/>
                <w:color w:val="000000"/>
                <w:spacing w:val="94"/>
                <w:sz w:val="20"/>
                <w:szCs w:val="20"/>
                <w:fitText w:val="180" w:id="-1157882618"/>
                <w14:textFill>
                  <w14:solidFill>
                    <w14:srgbClr w14:val="000000">
                      <w14:alpha w14:val="100000"/>
                    </w14:srgbClr>
                  </w14:solidFill>
                </w14:textFill>
              </w:rPr>
              <w:t>|</w:t>
            </w:r>
            <w:r w:rsidRPr="008A2B4D">
              <w:rPr>
                <w:rFonts w:ascii="Arial Narrow" w:eastAsia="Calibri" w:hAnsi="Arial Narrow" w:cs="Times New Roman"/>
                <w:color w:val="000000"/>
                <w:spacing w:val="1"/>
                <w:sz w:val="20"/>
                <w:szCs w:val="20"/>
                <w:fitText w:val="180" w:id="-1157882618"/>
                <w14:textFill>
                  <w14:solidFill>
                    <w14:srgbClr w14:val="000000">
                      <w14:alpha w14:val="100000"/>
                    </w14:srgbClr>
                  </w14:solidFill>
                </w14:textFill>
              </w:rPr>
              <w:t>|</w:t>
            </w:r>
          </w:p>
        </w:tc>
        <w:tc>
          <w:tcPr>
            <w:tcW w:w="1503" w:type="dxa"/>
            <w:tcBorders>
              <w:bottom w:val="single" w:sz="4" w:space="0" w:color="auto"/>
            </w:tcBorders>
            <w:shd w:val="solid" w:color="000000" w:fill="000000"/>
            <w:vAlign w:val="center"/>
          </w:tcPr>
          <w:p w14:paraId="03210395" w14:textId="1975ECF3" w:rsidR="001454B1" w:rsidRPr="00D865D4" w:rsidRDefault="00D865D4" w:rsidP="001454B1">
            <w:pPr>
              <w:spacing w:before="0"/>
              <w:rPr>
                <w:rFonts w:ascii="Arial Narrow" w:eastAsia="Calibri" w:hAnsi="Arial Narrow" w:cs="Times New Roman"/>
                <w:sz w:val="20"/>
                <w:szCs w:val="20"/>
              </w:rPr>
            </w:pPr>
            <w:r w:rsidRPr="008A2B4D">
              <w:rPr>
                <w:rFonts w:ascii="Arial Narrow" w:eastAsia="Calibri" w:hAnsi="Arial Narrow" w:cs="Calibri"/>
                <w:color w:val="000000"/>
                <w:spacing w:val="94"/>
                <w:sz w:val="20"/>
                <w:szCs w:val="20"/>
                <w:fitText w:val="180" w:id="-1157882617"/>
                <w14:textFill>
                  <w14:solidFill>
                    <w14:srgbClr w14:val="000000">
                      <w14:alpha w14:val="100000"/>
                    </w14:srgbClr>
                  </w14:solidFill>
                </w14:textFill>
              </w:rPr>
              <w:t>|</w:t>
            </w:r>
            <w:r w:rsidRPr="008A2B4D">
              <w:rPr>
                <w:rFonts w:ascii="Arial Narrow" w:eastAsia="Calibri" w:hAnsi="Arial Narrow" w:cs="Calibri"/>
                <w:color w:val="000000"/>
                <w:spacing w:val="1"/>
                <w:sz w:val="20"/>
                <w:szCs w:val="20"/>
                <w:fitText w:val="180" w:id="-1157882617"/>
                <w14:textFill>
                  <w14:solidFill>
                    <w14:srgbClr w14:val="000000">
                      <w14:alpha w14:val="100000"/>
                    </w14:srgbClr>
                  </w14:solidFill>
                </w14:textFill>
              </w:rPr>
              <w:t>|</w:t>
            </w:r>
          </w:p>
        </w:tc>
        <w:tc>
          <w:tcPr>
            <w:tcW w:w="1503" w:type="dxa"/>
            <w:tcBorders>
              <w:bottom w:val="single" w:sz="4" w:space="0" w:color="auto"/>
            </w:tcBorders>
            <w:shd w:val="solid" w:color="000000" w:fill="000000"/>
            <w:vAlign w:val="center"/>
          </w:tcPr>
          <w:p w14:paraId="24931E02" w14:textId="5C0FDE06" w:rsidR="001454B1" w:rsidRPr="00D865D4" w:rsidRDefault="00D865D4" w:rsidP="001454B1">
            <w:pPr>
              <w:spacing w:before="0"/>
              <w:rPr>
                <w:rFonts w:ascii="Arial Narrow" w:eastAsia="Calibri" w:hAnsi="Arial Narrow" w:cs="Times New Roman"/>
                <w:sz w:val="20"/>
                <w:szCs w:val="20"/>
              </w:rPr>
            </w:pPr>
            <w:r w:rsidRPr="008A2B4D">
              <w:rPr>
                <w:rFonts w:ascii="Arial Narrow" w:eastAsia="Calibri" w:hAnsi="Arial Narrow" w:cs="Times New Roman"/>
                <w:color w:val="000000"/>
                <w:spacing w:val="94"/>
                <w:sz w:val="20"/>
                <w:szCs w:val="20"/>
                <w:fitText w:val="180" w:id="-1157882616"/>
                <w14:textFill>
                  <w14:solidFill>
                    <w14:srgbClr w14:val="000000">
                      <w14:alpha w14:val="100000"/>
                    </w14:srgbClr>
                  </w14:solidFill>
                </w14:textFill>
              </w:rPr>
              <w:t>|</w:t>
            </w:r>
            <w:r w:rsidRPr="008A2B4D">
              <w:rPr>
                <w:rFonts w:ascii="Arial Narrow" w:eastAsia="Calibri" w:hAnsi="Arial Narrow" w:cs="Times New Roman"/>
                <w:color w:val="000000"/>
                <w:spacing w:val="1"/>
                <w:sz w:val="20"/>
                <w:szCs w:val="20"/>
                <w:fitText w:val="180" w:id="-1157882616"/>
                <w14:textFill>
                  <w14:solidFill>
                    <w14:srgbClr w14:val="000000">
                      <w14:alpha w14:val="100000"/>
                    </w14:srgbClr>
                  </w14:solidFill>
                </w14:textFill>
              </w:rPr>
              <w:t>|</w:t>
            </w:r>
          </w:p>
        </w:tc>
      </w:tr>
      <w:tr w:rsidR="001454B1" w:rsidRPr="005F5BEA" w14:paraId="50420CF1" w14:textId="77777777" w:rsidTr="00D865D4">
        <w:tc>
          <w:tcPr>
            <w:tcW w:w="1502" w:type="dxa"/>
            <w:vAlign w:val="center"/>
          </w:tcPr>
          <w:p w14:paraId="1561CB74"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Calibri"/>
                <w:color w:val="000000"/>
                <w:sz w:val="20"/>
                <w:szCs w:val="20"/>
              </w:rPr>
              <w:t>Company 2</w:t>
            </w:r>
          </w:p>
        </w:tc>
        <w:tc>
          <w:tcPr>
            <w:tcW w:w="1502" w:type="dxa"/>
            <w:tcBorders>
              <w:bottom w:val="single" w:sz="4" w:space="0" w:color="auto"/>
            </w:tcBorders>
            <w:shd w:val="solid" w:color="000000" w:fill="000000"/>
            <w:vAlign w:val="center"/>
          </w:tcPr>
          <w:p w14:paraId="63C6E34D" w14:textId="67C56B69" w:rsidR="001454B1" w:rsidRPr="00D865D4" w:rsidRDefault="00D865D4" w:rsidP="001454B1">
            <w:pPr>
              <w:spacing w:before="0"/>
              <w:rPr>
                <w:rFonts w:ascii="Arial Narrow" w:eastAsia="Calibri" w:hAnsi="Arial Narrow" w:cs="Times New Roman"/>
                <w:sz w:val="20"/>
                <w:szCs w:val="20"/>
              </w:rPr>
            </w:pPr>
            <w:r w:rsidRPr="008A2B4D">
              <w:rPr>
                <w:rFonts w:ascii="Arial Narrow" w:eastAsia="Calibri" w:hAnsi="Arial Narrow" w:cs="Calibri"/>
                <w:color w:val="000000"/>
                <w:spacing w:val="94"/>
                <w:sz w:val="20"/>
                <w:szCs w:val="20"/>
                <w:fitText w:val="180" w:id="-1157882615"/>
                <w14:textFill>
                  <w14:solidFill>
                    <w14:srgbClr w14:val="000000">
                      <w14:alpha w14:val="100000"/>
                    </w14:srgbClr>
                  </w14:solidFill>
                </w14:textFill>
              </w:rPr>
              <w:t>|</w:t>
            </w:r>
            <w:r w:rsidRPr="008A2B4D">
              <w:rPr>
                <w:rFonts w:ascii="Arial Narrow" w:eastAsia="Calibri" w:hAnsi="Arial Narrow" w:cs="Calibri"/>
                <w:color w:val="000000"/>
                <w:spacing w:val="1"/>
                <w:sz w:val="20"/>
                <w:szCs w:val="20"/>
                <w:fitText w:val="180" w:id="-1157882615"/>
                <w14:textFill>
                  <w14:solidFill>
                    <w14:srgbClr w14:val="000000">
                      <w14:alpha w14:val="100000"/>
                    </w14:srgbClr>
                  </w14:solidFill>
                </w14:textFill>
              </w:rPr>
              <w:t>|</w:t>
            </w:r>
          </w:p>
        </w:tc>
        <w:tc>
          <w:tcPr>
            <w:tcW w:w="1503" w:type="dxa"/>
            <w:tcBorders>
              <w:bottom w:val="single" w:sz="4" w:space="0" w:color="auto"/>
            </w:tcBorders>
            <w:shd w:val="solid" w:color="000000" w:fill="000000"/>
            <w:vAlign w:val="center"/>
          </w:tcPr>
          <w:p w14:paraId="600AE9B9" w14:textId="1BB6962E" w:rsidR="001454B1" w:rsidRPr="00D865D4" w:rsidRDefault="00D865D4" w:rsidP="001454B1">
            <w:pPr>
              <w:spacing w:before="0"/>
              <w:rPr>
                <w:rFonts w:ascii="Arial Narrow" w:eastAsia="Calibri" w:hAnsi="Arial Narrow" w:cs="Times New Roman"/>
                <w:sz w:val="20"/>
                <w:szCs w:val="20"/>
              </w:rPr>
            </w:pPr>
            <w:r w:rsidRPr="008A2B4D">
              <w:rPr>
                <w:rFonts w:ascii="Arial Narrow" w:eastAsia="Calibri" w:hAnsi="Arial Narrow" w:cs="Calibri"/>
                <w:color w:val="000000"/>
                <w:spacing w:val="94"/>
                <w:sz w:val="20"/>
                <w:szCs w:val="20"/>
                <w:fitText w:val="180" w:id="-1157882614"/>
                <w14:textFill>
                  <w14:solidFill>
                    <w14:srgbClr w14:val="000000">
                      <w14:alpha w14:val="100000"/>
                    </w14:srgbClr>
                  </w14:solidFill>
                </w14:textFill>
              </w:rPr>
              <w:t>|</w:t>
            </w:r>
            <w:r w:rsidRPr="008A2B4D">
              <w:rPr>
                <w:rFonts w:ascii="Arial Narrow" w:eastAsia="Calibri" w:hAnsi="Arial Narrow" w:cs="Calibri"/>
                <w:color w:val="000000"/>
                <w:spacing w:val="1"/>
                <w:sz w:val="20"/>
                <w:szCs w:val="20"/>
                <w:fitText w:val="180" w:id="-1157882614"/>
                <w14:textFill>
                  <w14:solidFill>
                    <w14:srgbClr w14:val="000000">
                      <w14:alpha w14:val="100000"/>
                    </w14:srgbClr>
                  </w14:solidFill>
                </w14:textFill>
              </w:rPr>
              <w:t>|</w:t>
            </w:r>
          </w:p>
        </w:tc>
        <w:tc>
          <w:tcPr>
            <w:tcW w:w="1503" w:type="dxa"/>
            <w:tcBorders>
              <w:bottom w:val="single" w:sz="4" w:space="0" w:color="auto"/>
            </w:tcBorders>
            <w:shd w:val="solid" w:color="000000" w:fill="000000"/>
            <w:vAlign w:val="center"/>
          </w:tcPr>
          <w:p w14:paraId="1DB53580" w14:textId="46AC1FED" w:rsidR="001454B1" w:rsidRPr="00D865D4" w:rsidRDefault="00D865D4" w:rsidP="001454B1">
            <w:pPr>
              <w:spacing w:before="0"/>
              <w:rPr>
                <w:rFonts w:ascii="Arial Narrow" w:eastAsia="Calibri" w:hAnsi="Arial Narrow" w:cs="Times New Roman"/>
                <w:sz w:val="20"/>
                <w:szCs w:val="20"/>
              </w:rPr>
            </w:pPr>
            <w:r w:rsidRPr="008A2B4D">
              <w:rPr>
                <w:rFonts w:ascii="Arial Narrow" w:eastAsia="Calibri" w:hAnsi="Arial Narrow" w:cs="Times New Roman"/>
                <w:color w:val="000000"/>
                <w:spacing w:val="94"/>
                <w:sz w:val="20"/>
                <w:szCs w:val="20"/>
                <w:fitText w:val="180" w:id="-1157882613"/>
                <w14:textFill>
                  <w14:solidFill>
                    <w14:srgbClr w14:val="000000">
                      <w14:alpha w14:val="100000"/>
                    </w14:srgbClr>
                  </w14:solidFill>
                </w14:textFill>
              </w:rPr>
              <w:t>|</w:t>
            </w:r>
            <w:r w:rsidRPr="008A2B4D">
              <w:rPr>
                <w:rFonts w:ascii="Arial Narrow" w:eastAsia="Calibri" w:hAnsi="Arial Narrow" w:cs="Times New Roman"/>
                <w:color w:val="000000"/>
                <w:spacing w:val="1"/>
                <w:sz w:val="20"/>
                <w:szCs w:val="20"/>
                <w:fitText w:val="180" w:id="-1157882613"/>
                <w14:textFill>
                  <w14:solidFill>
                    <w14:srgbClr w14:val="000000">
                      <w14:alpha w14:val="100000"/>
                    </w14:srgbClr>
                  </w14:solidFill>
                </w14:textFill>
              </w:rPr>
              <w:t>|</w:t>
            </w:r>
          </w:p>
        </w:tc>
        <w:tc>
          <w:tcPr>
            <w:tcW w:w="1503" w:type="dxa"/>
            <w:tcBorders>
              <w:bottom w:val="single" w:sz="4" w:space="0" w:color="auto"/>
            </w:tcBorders>
            <w:shd w:val="solid" w:color="000000" w:fill="000000"/>
            <w:vAlign w:val="center"/>
          </w:tcPr>
          <w:p w14:paraId="4BD23A6E" w14:textId="5451B04C" w:rsidR="001454B1" w:rsidRPr="00D865D4" w:rsidRDefault="00D865D4" w:rsidP="001454B1">
            <w:pPr>
              <w:spacing w:before="0"/>
              <w:rPr>
                <w:rFonts w:ascii="Arial Narrow" w:eastAsia="Calibri" w:hAnsi="Arial Narrow" w:cs="Times New Roman"/>
                <w:sz w:val="20"/>
                <w:szCs w:val="20"/>
              </w:rPr>
            </w:pPr>
            <w:r w:rsidRPr="008A2B4D">
              <w:rPr>
                <w:rFonts w:ascii="Arial Narrow" w:eastAsia="Calibri" w:hAnsi="Arial Narrow" w:cs="Times New Roman"/>
                <w:color w:val="000000"/>
                <w:spacing w:val="94"/>
                <w:sz w:val="20"/>
                <w:szCs w:val="20"/>
                <w:fitText w:val="180" w:id="-1157882612"/>
                <w14:textFill>
                  <w14:solidFill>
                    <w14:srgbClr w14:val="000000">
                      <w14:alpha w14:val="100000"/>
                    </w14:srgbClr>
                  </w14:solidFill>
                </w14:textFill>
              </w:rPr>
              <w:t>|</w:t>
            </w:r>
            <w:r w:rsidRPr="008A2B4D">
              <w:rPr>
                <w:rFonts w:ascii="Arial Narrow" w:eastAsia="Calibri" w:hAnsi="Arial Narrow" w:cs="Times New Roman"/>
                <w:color w:val="000000"/>
                <w:spacing w:val="1"/>
                <w:sz w:val="20"/>
                <w:szCs w:val="20"/>
                <w:fitText w:val="180" w:id="-1157882612"/>
                <w14:textFill>
                  <w14:solidFill>
                    <w14:srgbClr w14:val="000000">
                      <w14:alpha w14:val="100000"/>
                    </w14:srgbClr>
                  </w14:solidFill>
                </w14:textFill>
              </w:rPr>
              <w:t>|</w:t>
            </w:r>
          </w:p>
        </w:tc>
        <w:tc>
          <w:tcPr>
            <w:tcW w:w="1503" w:type="dxa"/>
            <w:tcBorders>
              <w:bottom w:val="single" w:sz="4" w:space="0" w:color="auto"/>
            </w:tcBorders>
            <w:shd w:val="solid" w:color="000000" w:fill="000000"/>
            <w:vAlign w:val="center"/>
          </w:tcPr>
          <w:p w14:paraId="5B185A03" w14:textId="5CE52E59" w:rsidR="001454B1" w:rsidRPr="00D865D4" w:rsidRDefault="00D865D4" w:rsidP="001454B1">
            <w:pPr>
              <w:spacing w:before="0"/>
              <w:rPr>
                <w:rFonts w:ascii="Arial Narrow" w:eastAsia="Calibri" w:hAnsi="Arial Narrow" w:cs="Times New Roman"/>
                <w:sz w:val="20"/>
                <w:szCs w:val="20"/>
              </w:rPr>
            </w:pPr>
            <w:r w:rsidRPr="008A2B4D">
              <w:rPr>
                <w:rFonts w:ascii="Arial Narrow" w:eastAsia="Calibri" w:hAnsi="Arial Narrow" w:cs="Times New Roman"/>
                <w:color w:val="000000"/>
                <w:spacing w:val="94"/>
                <w:sz w:val="20"/>
                <w:szCs w:val="20"/>
                <w:fitText w:val="180" w:id="-1157882611"/>
                <w14:textFill>
                  <w14:solidFill>
                    <w14:srgbClr w14:val="000000">
                      <w14:alpha w14:val="100000"/>
                    </w14:srgbClr>
                  </w14:solidFill>
                </w14:textFill>
              </w:rPr>
              <w:t>|</w:t>
            </w:r>
            <w:r w:rsidRPr="008A2B4D">
              <w:rPr>
                <w:rFonts w:ascii="Arial Narrow" w:eastAsia="Calibri" w:hAnsi="Arial Narrow" w:cs="Times New Roman"/>
                <w:color w:val="000000"/>
                <w:spacing w:val="1"/>
                <w:sz w:val="20"/>
                <w:szCs w:val="20"/>
                <w:fitText w:val="180" w:id="-1157882611"/>
                <w14:textFill>
                  <w14:solidFill>
                    <w14:srgbClr w14:val="000000">
                      <w14:alpha w14:val="100000"/>
                    </w14:srgbClr>
                  </w14:solidFill>
                </w14:textFill>
              </w:rPr>
              <w:t>|</w:t>
            </w:r>
          </w:p>
        </w:tc>
      </w:tr>
      <w:tr w:rsidR="001454B1" w:rsidRPr="005F5BEA" w14:paraId="39C529C1" w14:textId="77777777" w:rsidTr="00D865D4">
        <w:tc>
          <w:tcPr>
            <w:tcW w:w="1502" w:type="dxa"/>
            <w:vAlign w:val="center"/>
          </w:tcPr>
          <w:p w14:paraId="10F749F4"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Calibri"/>
                <w:color w:val="000000"/>
                <w:sz w:val="20"/>
                <w:szCs w:val="20"/>
              </w:rPr>
              <w:t>Company 3</w:t>
            </w:r>
          </w:p>
        </w:tc>
        <w:tc>
          <w:tcPr>
            <w:tcW w:w="1502" w:type="dxa"/>
            <w:tcBorders>
              <w:bottom w:val="single" w:sz="4" w:space="0" w:color="auto"/>
            </w:tcBorders>
            <w:shd w:val="solid" w:color="000000" w:fill="000000"/>
            <w:vAlign w:val="center"/>
          </w:tcPr>
          <w:p w14:paraId="79DCC54B" w14:textId="5F2FE4E5" w:rsidR="001454B1" w:rsidRPr="00D865D4" w:rsidRDefault="00D865D4" w:rsidP="001454B1">
            <w:pPr>
              <w:spacing w:before="0"/>
              <w:rPr>
                <w:rFonts w:ascii="Arial Narrow" w:eastAsia="Calibri" w:hAnsi="Arial Narrow" w:cs="Times New Roman"/>
                <w:sz w:val="20"/>
                <w:szCs w:val="20"/>
              </w:rPr>
            </w:pPr>
            <w:r w:rsidRPr="008A2B4D">
              <w:rPr>
                <w:rFonts w:ascii="Arial Narrow" w:eastAsia="Calibri" w:hAnsi="Arial Narrow" w:cs="Calibri"/>
                <w:color w:val="000000"/>
                <w:spacing w:val="94"/>
                <w:sz w:val="20"/>
                <w:szCs w:val="20"/>
                <w:fitText w:val="180" w:id="-1157882610"/>
                <w14:textFill>
                  <w14:solidFill>
                    <w14:srgbClr w14:val="000000">
                      <w14:alpha w14:val="100000"/>
                    </w14:srgbClr>
                  </w14:solidFill>
                </w14:textFill>
              </w:rPr>
              <w:t>|</w:t>
            </w:r>
            <w:r w:rsidRPr="008A2B4D">
              <w:rPr>
                <w:rFonts w:ascii="Arial Narrow" w:eastAsia="Calibri" w:hAnsi="Arial Narrow" w:cs="Calibri"/>
                <w:color w:val="000000"/>
                <w:spacing w:val="1"/>
                <w:sz w:val="20"/>
                <w:szCs w:val="20"/>
                <w:fitText w:val="180" w:id="-1157882610"/>
                <w14:textFill>
                  <w14:solidFill>
                    <w14:srgbClr w14:val="000000">
                      <w14:alpha w14:val="100000"/>
                    </w14:srgbClr>
                  </w14:solidFill>
                </w14:textFill>
              </w:rPr>
              <w:t>|</w:t>
            </w:r>
          </w:p>
        </w:tc>
        <w:tc>
          <w:tcPr>
            <w:tcW w:w="1503" w:type="dxa"/>
            <w:tcBorders>
              <w:bottom w:val="single" w:sz="4" w:space="0" w:color="auto"/>
            </w:tcBorders>
            <w:shd w:val="solid" w:color="000000" w:fill="000000"/>
            <w:vAlign w:val="center"/>
          </w:tcPr>
          <w:p w14:paraId="2589BC2B" w14:textId="4B6D19DB" w:rsidR="001454B1" w:rsidRPr="00D865D4" w:rsidRDefault="00D865D4" w:rsidP="001454B1">
            <w:pPr>
              <w:spacing w:before="0"/>
              <w:rPr>
                <w:rFonts w:ascii="Arial Narrow" w:eastAsia="Calibri" w:hAnsi="Arial Narrow" w:cs="Times New Roman"/>
                <w:sz w:val="20"/>
                <w:szCs w:val="20"/>
              </w:rPr>
            </w:pPr>
            <w:r w:rsidRPr="008A2B4D">
              <w:rPr>
                <w:rFonts w:ascii="Arial Narrow" w:eastAsia="Calibri" w:hAnsi="Arial Narrow" w:cs="Calibri"/>
                <w:color w:val="000000"/>
                <w:spacing w:val="94"/>
                <w:sz w:val="20"/>
                <w:szCs w:val="20"/>
                <w:fitText w:val="180" w:id="-1157882609"/>
                <w14:textFill>
                  <w14:solidFill>
                    <w14:srgbClr w14:val="000000">
                      <w14:alpha w14:val="100000"/>
                    </w14:srgbClr>
                  </w14:solidFill>
                </w14:textFill>
              </w:rPr>
              <w:t>|</w:t>
            </w:r>
            <w:r w:rsidRPr="008A2B4D">
              <w:rPr>
                <w:rFonts w:ascii="Arial Narrow" w:eastAsia="Calibri" w:hAnsi="Arial Narrow" w:cs="Calibri"/>
                <w:color w:val="000000"/>
                <w:spacing w:val="1"/>
                <w:sz w:val="20"/>
                <w:szCs w:val="20"/>
                <w:fitText w:val="180" w:id="-1157882609"/>
                <w14:textFill>
                  <w14:solidFill>
                    <w14:srgbClr w14:val="000000">
                      <w14:alpha w14:val="100000"/>
                    </w14:srgbClr>
                  </w14:solidFill>
                </w14:textFill>
              </w:rPr>
              <w:t>|</w:t>
            </w:r>
          </w:p>
        </w:tc>
        <w:tc>
          <w:tcPr>
            <w:tcW w:w="1503" w:type="dxa"/>
            <w:tcBorders>
              <w:bottom w:val="single" w:sz="4" w:space="0" w:color="auto"/>
            </w:tcBorders>
            <w:shd w:val="solid" w:color="000000" w:fill="000000"/>
            <w:vAlign w:val="center"/>
          </w:tcPr>
          <w:p w14:paraId="30048315" w14:textId="3385B948" w:rsidR="001454B1" w:rsidRPr="00D865D4" w:rsidRDefault="00D865D4" w:rsidP="001454B1">
            <w:pPr>
              <w:spacing w:before="0"/>
              <w:rPr>
                <w:rFonts w:ascii="Arial Narrow" w:eastAsia="Calibri" w:hAnsi="Arial Narrow" w:cs="Times New Roman"/>
                <w:sz w:val="20"/>
                <w:szCs w:val="20"/>
              </w:rPr>
            </w:pPr>
            <w:r w:rsidRPr="008A2B4D">
              <w:rPr>
                <w:rFonts w:ascii="Arial Narrow" w:eastAsia="Calibri" w:hAnsi="Arial Narrow" w:cs="Times New Roman"/>
                <w:color w:val="000000"/>
                <w:spacing w:val="94"/>
                <w:sz w:val="20"/>
                <w:szCs w:val="20"/>
                <w:fitText w:val="180" w:id="-1157882608"/>
                <w14:textFill>
                  <w14:solidFill>
                    <w14:srgbClr w14:val="000000">
                      <w14:alpha w14:val="100000"/>
                    </w14:srgbClr>
                  </w14:solidFill>
                </w14:textFill>
              </w:rPr>
              <w:t>|</w:t>
            </w:r>
            <w:r w:rsidRPr="008A2B4D">
              <w:rPr>
                <w:rFonts w:ascii="Arial Narrow" w:eastAsia="Calibri" w:hAnsi="Arial Narrow" w:cs="Times New Roman"/>
                <w:color w:val="000000"/>
                <w:spacing w:val="1"/>
                <w:sz w:val="20"/>
                <w:szCs w:val="20"/>
                <w:fitText w:val="180" w:id="-1157882608"/>
                <w14:textFill>
                  <w14:solidFill>
                    <w14:srgbClr w14:val="000000">
                      <w14:alpha w14:val="100000"/>
                    </w14:srgbClr>
                  </w14:solidFill>
                </w14:textFill>
              </w:rPr>
              <w:t>|</w:t>
            </w:r>
          </w:p>
        </w:tc>
        <w:tc>
          <w:tcPr>
            <w:tcW w:w="1503" w:type="dxa"/>
            <w:tcBorders>
              <w:bottom w:val="single" w:sz="4" w:space="0" w:color="auto"/>
            </w:tcBorders>
            <w:shd w:val="solid" w:color="000000" w:fill="000000"/>
            <w:vAlign w:val="center"/>
          </w:tcPr>
          <w:p w14:paraId="38257EB7" w14:textId="2C21C704" w:rsidR="001454B1" w:rsidRPr="00D865D4" w:rsidRDefault="00D865D4" w:rsidP="001454B1">
            <w:pPr>
              <w:spacing w:before="0"/>
              <w:rPr>
                <w:rFonts w:ascii="Arial Narrow" w:eastAsia="Calibri" w:hAnsi="Arial Narrow" w:cs="Times New Roman"/>
                <w:sz w:val="20"/>
                <w:szCs w:val="20"/>
              </w:rPr>
            </w:pPr>
            <w:r w:rsidRPr="008A2B4D">
              <w:rPr>
                <w:rFonts w:ascii="Arial Narrow" w:eastAsia="Calibri" w:hAnsi="Arial Narrow" w:cs="Times New Roman"/>
                <w:color w:val="000000"/>
                <w:spacing w:val="94"/>
                <w:sz w:val="20"/>
                <w:szCs w:val="20"/>
                <w:fitText w:val="180" w:id="-1157882624"/>
                <w14:textFill>
                  <w14:solidFill>
                    <w14:srgbClr w14:val="000000">
                      <w14:alpha w14:val="100000"/>
                    </w14:srgbClr>
                  </w14:solidFill>
                </w14:textFill>
              </w:rPr>
              <w:t>|</w:t>
            </w:r>
            <w:r w:rsidRPr="008A2B4D">
              <w:rPr>
                <w:rFonts w:ascii="Arial Narrow" w:eastAsia="Calibri" w:hAnsi="Arial Narrow" w:cs="Times New Roman"/>
                <w:color w:val="000000"/>
                <w:spacing w:val="1"/>
                <w:sz w:val="20"/>
                <w:szCs w:val="20"/>
                <w:fitText w:val="180" w:id="-1157882624"/>
                <w14:textFill>
                  <w14:solidFill>
                    <w14:srgbClr w14:val="000000">
                      <w14:alpha w14:val="100000"/>
                    </w14:srgbClr>
                  </w14:solidFill>
                </w14:textFill>
              </w:rPr>
              <w:t>|</w:t>
            </w:r>
          </w:p>
        </w:tc>
        <w:tc>
          <w:tcPr>
            <w:tcW w:w="1503" w:type="dxa"/>
            <w:tcBorders>
              <w:bottom w:val="single" w:sz="4" w:space="0" w:color="auto"/>
            </w:tcBorders>
            <w:shd w:val="solid" w:color="000000" w:fill="000000"/>
            <w:vAlign w:val="center"/>
          </w:tcPr>
          <w:p w14:paraId="117B1444" w14:textId="26DC9F59" w:rsidR="001454B1" w:rsidRPr="00D865D4" w:rsidRDefault="00D865D4" w:rsidP="001454B1">
            <w:pPr>
              <w:spacing w:before="0"/>
              <w:rPr>
                <w:rFonts w:ascii="Arial Narrow" w:eastAsia="Calibri" w:hAnsi="Arial Narrow" w:cs="Times New Roman"/>
                <w:sz w:val="20"/>
                <w:szCs w:val="20"/>
              </w:rPr>
            </w:pPr>
            <w:r w:rsidRPr="008A2B4D">
              <w:rPr>
                <w:rFonts w:ascii="Arial Narrow" w:eastAsia="Calibri" w:hAnsi="Arial Narrow" w:cs="Times New Roman"/>
                <w:color w:val="000000"/>
                <w:spacing w:val="94"/>
                <w:sz w:val="20"/>
                <w:szCs w:val="20"/>
                <w:fitText w:val="180" w:id="-1157882623"/>
                <w14:textFill>
                  <w14:solidFill>
                    <w14:srgbClr w14:val="000000">
                      <w14:alpha w14:val="100000"/>
                    </w14:srgbClr>
                  </w14:solidFill>
                </w14:textFill>
              </w:rPr>
              <w:t>|</w:t>
            </w:r>
            <w:r w:rsidRPr="008A2B4D">
              <w:rPr>
                <w:rFonts w:ascii="Arial Narrow" w:eastAsia="Calibri" w:hAnsi="Arial Narrow" w:cs="Times New Roman"/>
                <w:color w:val="000000"/>
                <w:spacing w:val="1"/>
                <w:sz w:val="20"/>
                <w:szCs w:val="20"/>
                <w:fitText w:val="180" w:id="-1157882623"/>
                <w14:textFill>
                  <w14:solidFill>
                    <w14:srgbClr w14:val="000000">
                      <w14:alpha w14:val="100000"/>
                    </w14:srgbClr>
                  </w14:solidFill>
                </w14:textFill>
              </w:rPr>
              <w:t>|</w:t>
            </w:r>
          </w:p>
        </w:tc>
      </w:tr>
      <w:tr w:rsidR="001454B1" w:rsidRPr="005F5BEA" w14:paraId="0BCBDA91" w14:textId="77777777" w:rsidTr="00D865D4">
        <w:tc>
          <w:tcPr>
            <w:tcW w:w="1502" w:type="dxa"/>
            <w:vAlign w:val="center"/>
          </w:tcPr>
          <w:p w14:paraId="5BDF9BAA"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Calibri"/>
                <w:color w:val="000000"/>
                <w:sz w:val="20"/>
                <w:szCs w:val="20"/>
              </w:rPr>
              <w:t>Company 4</w:t>
            </w:r>
          </w:p>
        </w:tc>
        <w:tc>
          <w:tcPr>
            <w:tcW w:w="1502" w:type="dxa"/>
            <w:tcBorders>
              <w:bottom w:val="single" w:sz="4" w:space="0" w:color="auto"/>
            </w:tcBorders>
            <w:shd w:val="solid" w:color="000000" w:fill="000000"/>
            <w:vAlign w:val="center"/>
          </w:tcPr>
          <w:p w14:paraId="2C63BEB2" w14:textId="78D9EA54" w:rsidR="001454B1" w:rsidRPr="00D865D4" w:rsidRDefault="00D865D4" w:rsidP="001454B1">
            <w:pPr>
              <w:spacing w:before="0"/>
              <w:rPr>
                <w:rFonts w:ascii="Arial Narrow" w:eastAsia="Calibri" w:hAnsi="Arial Narrow" w:cs="Times New Roman"/>
                <w:sz w:val="20"/>
                <w:szCs w:val="20"/>
              </w:rPr>
            </w:pPr>
            <w:r w:rsidRPr="008A2B4D">
              <w:rPr>
                <w:rFonts w:ascii="Arial Narrow" w:eastAsia="Calibri" w:hAnsi="Arial Narrow" w:cs="Calibri"/>
                <w:color w:val="000000"/>
                <w:spacing w:val="94"/>
                <w:sz w:val="20"/>
                <w:szCs w:val="20"/>
                <w:fitText w:val="180" w:id="-1157882622"/>
                <w14:textFill>
                  <w14:solidFill>
                    <w14:srgbClr w14:val="000000">
                      <w14:alpha w14:val="100000"/>
                    </w14:srgbClr>
                  </w14:solidFill>
                </w14:textFill>
              </w:rPr>
              <w:t>|</w:t>
            </w:r>
            <w:r w:rsidRPr="008A2B4D">
              <w:rPr>
                <w:rFonts w:ascii="Arial Narrow" w:eastAsia="Calibri" w:hAnsi="Arial Narrow" w:cs="Calibri"/>
                <w:color w:val="000000"/>
                <w:spacing w:val="1"/>
                <w:sz w:val="20"/>
                <w:szCs w:val="20"/>
                <w:fitText w:val="180" w:id="-1157882622"/>
                <w14:textFill>
                  <w14:solidFill>
                    <w14:srgbClr w14:val="000000">
                      <w14:alpha w14:val="100000"/>
                    </w14:srgbClr>
                  </w14:solidFill>
                </w14:textFill>
              </w:rPr>
              <w:t>|</w:t>
            </w:r>
          </w:p>
        </w:tc>
        <w:tc>
          <w:tcPr>
            <w:tcW w:w="1503" w:type="dxa"/>
            <w:tcBorders>
              <w:bottom w:val="single" w:sz="4" w:space="0" w:color="auto"/>
            </w:tcBorders>
            <w:shd w:val="solid" w:color="000000" w:fill="000000"/>
            <w:vAlign w:val="center"/>
          </w:tcPr>
          <w:p w14:paraId="099788C3" w14:textId="5AFF7FEA" w:rsidR="001454B1" w:rsidRPr="00D865D4" w:rsidRDefault="00D865D4" w:rsidP="001454B1">
            <w:pPr>
              <w:spacing w:before="0"/>
              <w:rPr>
                <w:rFonts w:ascii="Arial Narrow" w:eastAsia="Calibri" w:hAnsi="Arial Narrow" w:cs="Times New Roman"/>
                <w:sz w:val="20"/>
                <w:szCs w:val="20"/>
              </w:rPr>
            </w:pPr>
            <w:r w:rsidRPr="008A2B4D">
              <w:rPr>
                <w:rFonts w:ascii="Arial Narrow" w:eastAsia="Calibri" w:hAnsi="Arial Narrow" w:cs="Calibri"/>
                <w:color w:val="000000"/>
                <w:spacing w:val="94"/>
                <w:sz w:val="20"/>
                <w:szCs w:val="20"/>
                <w:fitText w:val="180" w:id="-1157882621"/>
                <w14:textFill>
                  <w14:solidFill>
                    <w14:srgbClr w14:val="000000">
                      <w14:alpha w14:val="100000"/>
                    </w14:srgbClr>
                  </w14:solidFill>
                </w14:textFill>
              </w:rPr>
              <w:t>|</w:t>
            </w:r>
            <w:r w:rsidRPr="008A2B4D">
              <w:rPr>
                <w:rFonts w:ascii="Arial Narrow" w:eastAsia="Calibri" w:hAnsi="Arial Narrow" w:cs="Calibri"/>
                <w:color w:val="000000"/>
                <w:spacing w:val="1"/>
                <w:sz w:val="20"/>
                <w:szCs w:val="20"/>
                <w:fitText w:val="180" w:id="-1157882621"/>
                <w14:textFill>
                  <w14:solidFill>
                    <w14:srgbClr w14:val="000000">
                      <w14:alpha w14:val="100000"/>
                    </w14:srgbClr>
                  </w14:solidFill>
                </w14:textFill>
              </w:rPr>
              <w:t>|</w:t>
            </w:r>
          </w:p>
        </w:tc>
        <w:tc>
          <w:tcPr>
            <w:tcW w:w="1503" w:type="dxa"/>
            <w:tcBorders>
              <w:bottom w:val="single" w:sz="4" w:space="0" w:color="auto"/>
            </w:tcBorders>
            <w:shd w:val="solid" w:color="000000" w:fill="000000"/>
            <w:vAlign w:val="center"/>
          </w:tcPr>
          <w:p w14:paraId="15664901" w14:textId="16DB2753" w:rsidR="001454B1" w:rsidRPr="00D865D4" w:rsidRDefault="00D865D4" w:rsidP="001454B1">
            <w:pPr>
              <w:spacing w:before="0"/>
              <w:rPr>
                <w:rFonts w:ascii="Arial Narrow" w:eastAsia="Calibri" w:hAnsi="Arial Narrow" w:cs="Times New Roman"/>
                <w:sz w:val="20"/>
                <w:szCs w:val="20"/>
              </w:rPr>
            </w:pPr>
            <w:r w:rsidRPr="008A2B4D">
              <w:rPr>
                <w:rFonts w:ascii="Arial Narrow" w:eastAsia="Calibri" w:hAnsi="Arial Narrow" w:cs="Times New Roman"/>
                <w:color w:val="000000"/>
                <w:spacing w:val="94"/>
                <w:sz w:val="20"/>
                <w:szCs w:val="20"/>
                <w:fitText w:val="180" w:id="-1157882620"/>
                <w14:textFill>
                  <w14:solidFill>
                    <w14:srgbClr w14:val="000000">
                      <w14:alpha w14:val="100000"/>
                    </w14:srgbClr>
                  </w14:solidFill>
                </w14:textFill>
              </w:rPr>
              <w:t>|</w:t>
            </w:r>
            <w:r w:rsidRPr="008A2B4D">
              <w:rPr>
                <w:rFonts w:ascii="Arial Narrow" w:eastAsia="Calibri" w:hAnsi="Arial Narrow" w:cs="Times New Roman"/>
                <w:color w:val="000000"/>
                <w:spacing w:val="1"/>
                <w:sz w:val="20"/>
                <w:szCs w:val="20"/>
                <w:fitText w:val="180" w:id="-1157882620"/>
                <w14:textFill>
                  <w14:solidFill>
                    <w14:srgbClr w14:val="000000">
                      <w14:alpha w14:val="100000"/>
                    </w14:srgbClr>
                  </w14:solidFill>
                </w14:textFill>
              </w:rPr>
              <w:t>|</w:t>
            </w:r>
          </w:p>
        </w:tc>
        <w:tc>
          <w:tcPr>
            <w:tcW w:w="1503" w:type="dxa"/>
            <w:tcBorders>
              <w:bottom w:val="single" w:sz="4" w:space="0" w:color="auto"/>
            </w:tcBorders>
            <w:shd w:val="solid" w:color="000000" w:fill="000000"/>
            <w:vAlign w:val="center"/>
          </w:tcPr>
          <w:p w14:paraId="100B6CA1" w14:textId="70806388" w:rsidR="001454B1" w:rsidRPr="00D865D4" w:rsidRDefault="00D865D4" w:rsidP="001454B1">
            <w:pPr>
              <w:spacing w:before="0"/>
              <w:rPr>
                <w:rFonts w:ascii="Arial Narrow" w:eastAsia="Calibri" w:hAnsi="Arial Narrow" w:cs="Times New Roman"/>
                <w:sz w:val="20"/>
                <w:szCs w:val="20"/>
              </w:rPr>
            </w:pPr>
            <w:r w:rsidRPr="008A2B4D">
              <w:rPr>
                <w:rFonts w:ascii="Arial Narrow" w:eastAsia="Calibri" w:hAnsi="Arial Narrow" w:cs="Calibri"/>
                <w:color w:val="000000"/>
                <w:spacing w:val="94"/>
                <w:sz w:val="20"/>
                <w:szCs w:val="20"/>
                <w:fitText w:val="180" w:id="-1157882619"/>
                <w14:textFill>
                  <w14:solidFill>
                    <w14:srgbClr w14:val="000000">
                      <w14:alpha w14:val="100000"/>
                    </w14:srgbClr>
                  </w14:solidFill>
                </w14:textFill>
              </w:rPr>
              <w:t>|</w:t>
            </w:r>
            <w:r w:rsidRPr="008A2B4D">
              <w:rPr>
                <w:rFonts w:ascii="Arial Narrow" w:eastAsia="Calibri" w:hAnsi="Arial Narrow" w:cs="Calibri"/>
                <w:color w:val="000000"/>
                <w:spacing w:val="1"/>
                <w:sz w:val="20"/>
                <w:szCs w:val="20"/>
                <w:fitText w:val="180" w:id="-1157882619"/>
                <w14:textFill>
                  <w14:solidFill>
                    <w14:srgbClr w14:val="000000">
                      <w14:alpha w14:val="100000"/>
                    </w14:srgbClr>
                  </w14:solidFill>
                </w14:textFill>
              </w:rPr>
              <w:t>|</w:t>
            </w:r>
          </w:p>
        </w:tc>
        <w:tc>
          <w:tcPr>
            <w:tcW w:w="1503" w:type="dxa"/>
            <w:tcBorders>
              <w:bottom w:val="single" w:sz="4" w:space="0" w:color="auto"/>
            </w:tcBorders>
            <w:shd w:val="solid" w:color="000000" w:fill="000000"/>
            <w:vAlign w:val="center"/>
          </w:tcPr>
          <w:p w14:paraId="215317FC" w14:textId="08774415" w:rsidR="001454B1" w:rsidRPr="00D865D4" w:rsidRDefault="00D865D4" w:rsidP="001454B1">
            <w:pPr>
              <w:spacing w:before="0"/>
              <w:rPr>
                <w:rFonts w:ascii="Arial Narrow" w:eastAsia="Calibri" w:hAnsi="Arial Narrow" w:cs="Times New Roman"/>
                <w:sz w:val="20"/>
                <w:szCs w:val="20"/>
              </w:rPr>
            </w:pPr>
            <w:r w:rsidRPr="008A2B4D">
              <w:rPr>
                <w:rFonts w:ascii="Arial Narrow" w:eastAsia="Calibri" w:hAnsi="Arial Narrow" w:cs="Times New Roman"/>
                <w:color w:val="000000"/>
                <w:spacing w:val="94"/>
                <w:sz w:val="20"/>
                <w:szCs w:val="20"/>
                <w:fitText w:val="180" w:id="-1157882618"/>
                <w14:textFill>
                  <w14:solidFill>
                    <w14:srgbClr w14:val="000000">
                      <w14:alpha w14:val="100000"/>
                    </w14:srgbClr>
                  </w14:solidFill>
                </w14:textFill>
              </w:rPr>
              <w:t>|</w:t>
            </w:r>
            <w:r w:rsidRPr="008A2B4D">
              <w:rPr>
                <w:rFonts w:ascii="Arial Narrow" w:eastAsia="Calibri" w:hAnsi="Arial Narrow" w:cs="Times New Roman"/>
                <w:color w:val="000000"/>
                <w:spacing w:val="1"/>
                <w:sz w:val="20"/>
                <w:szCs w:val="20"/>
                <w:fitText w:val="180" w:id="-1157882618"/>
                <w14:textFill>
                  <w14:solidFill>
                    <w14:srgbClr w14:val="000000">
                      <w14:alpha w14:val="100000"/>
                    </w14:srgbClr>
                  </w14:solidFill>
                </w14:textFill>
              </w:rPr>
              <w:t>|</w:t>
            </w:r>
          </w:p>
        </w:tc>
      </w:tr>
      <w:tr w:rsidR="001454B1" w:rsidRPr="005F5BEA" w14:paraId="240BE39D" w14:textId="77777777" w:rsidTr="00D865D4">
        <w:tc>
          <w:tcPr>
            <w:tcW w:w="1502" w:type="dxa"/>
            <w:vAlign w:val="center"/>
          </w:tcPr>
          <w:p w14:paraId="268CB31C"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Calibri"/>
                <w:color w:val="000000"/>
                <w:sz w:val="20"/>
                <w:szCs w:val="20"/>
              </w:rPr>
              <w:t>Company 5</w:t>
            </w:r>
          </w:p>
        </w:tc>
        <w:tc>
          <w:tcPr>
            <w:tcW w:w="1502" w:type="dxa"/>
            <w:shd w:val="solid" w:color="000000" w:fill="000000"/>
            <w:vAlign w:val="center"/>
          </w:tcPr>
          <w:p w14:paraId="7EC0091E" w14:textId="627B8DDA" w:rsidR="001454B1" w:rsidRPr="00D865D4" w:rsidRDefault="00D865D4" w:rsidP="001454B1">
            <w:pPr>
              <w:spacing w:before="0"/>
              <w:rPr>
                <w:rFonts w:ascii="Arial Narrow" w:eastAsia="Calibri" w:hAnsi="Arial Narrow" w:cs="Times New Roman"/>
                <w:sz w:val="20"/>
                <w:szCs w:val="20"/>
              </w:rPr>
            </w:pPr>
            <w:r w:rsidRPr="008A2B4D">
              <w:rPr>
                <w:rFonts w:ascii="Arial Narrow" w:eastAsia="Calibri" w:hAnsi="Arial Narrow" w:cs="Calibri"/>
                <w:color w:val="000000"/>
                <w:spacing w:val="94"/>
                <w:sz w:val="20"/>
                <w:szCs w:val="20"/>
                <w:fitText w:val="180" w:id="-1157882617"/>
                <w14:textFill>
                  <w14:solidFill>
                    <w14:srgbClr w14:val="000000">
                      <w14:alpha w14:val="100000"/>
                    </w14:srgbClr>
                  </w14:solidFill>
                </w14:textFill>
              </w:rPr>
              <w:t>|</w:t>
            </w:r>
            <w:r w:rsidRPr="008A2B4D">
              <w:rPr>
                <w:rFonts w:ascii="Arial Narrow" w:eastAsia="Calibri" w:hAnsi="Arial Narrow" w:cs="Calibri"/>
                <w:color w:val="000000"/>
                <w:spacing w:val="1"/>
                <w:sz w:val="20"/>
                <w:szCs w:val="20"/>
                <w:fitText w:val="180" w:id="-1157882617"/>
                <w14:textFill>
                  <w14:solidFill>
                    <w14:srgbClr w14:val="000000">
                      <w14:alpha w14:val="100000"/>
                    </w14:srgbClr>
                  </w14:solidFill>
                </w14:textFill>
              </w:rPr>
              <w:t>|</w:t>
            </w:r>
          </w:p>
        </w:tc>
        <w:tc>
          <w:tcPr>
            <w:tcW w:w="1503" w:type="dxa"/>
            <w:shd w:val="solid" w:color="000000" w:fill="000000"/>
            <w:vAlign w:val="center"/>
          </w:tcPr>
          <w:p w14:paraId="282ABCD6" w14:textId="38FDD530" w:rsidR="001454B1" w:rsidRPr="00D865D4" w:rsidRDefault="00D865D4" w:rsidP="001454B1">
            <w:pPr>
              <w:spacing w:before="0"/>
              <w:rPr>
                <w:rFonts w:ascii="Arial Narrow" w:eastAsia="Calibri" w:hAnsi="Arial Narrow" w:cs="Times New Roman"/>
                <w:sz w:val="20"/>
                <w:szCs w:val="20"/>
              </w:rPr>
            </w:pPr>
            <w:r w:rsidRPr="008A2B4D">
              <w:rPr>
                <w:rFonts w:ascii="Arial Narrow" w:eastAsia="Calibri" w:hAnsi="Arial Narrow" w:cs="Calibri"/>
                <w:color w:val="000000"/>
                <w:spacing w:val="94"/>
                <w:sz w:val="20"/>
                <w:szCs w:val="20"/>
                <w:fitText w:val="180" w:id="-1157882616"/>
                <w14:textFill>
                  <w14:solidFill>
                    <w14:srgbClr w14:val="000000">
                      <w14:alpha w14:val="100000"/>
                    </w14:srgbClr>
                  </w14:solidFill>
                </w14:textFill>
              </w:rPr>
              <w:t>|</w:t>
            </w:r>
            <w:r w:rsidRPr="008A2B4D">
              <w:rPr>
                <w:rFonts w:ascii="Arial Narrow" w:eastAsia="Calibri" w:hAnsi="Arial Narrow" w:cs="Calibri"/>
                <w:color w:val="000000"/>
                <w:spacing w:val="1"/>
                <w:sz w:val="20"/>
                <w:szCs w:val="20"/>
                <w:fitText w:val="180" w:id="-1157882616"/>
                <w14:textFill>
                  <w14:solidFill>
                    <w14:srgbClr w14:val="000000">
                      <w14:alpha w14:val="100000"/>
                    </w14:srgbClr>
                  </w14:solidFill>
                </w14:textFill>
              </w:rPr>
              <w:t>|</w:t>
            </w:r>
          </w:p>
        </w:tc>
        <w:tc>
          <w:tcPr>
            <w:tcW w:w="1503" w:type="dxa"/>
            <w:shd w:val="solid" w:color="000000" w:fill="000000"/>
            <w:vAlign w:val="center"/>
          </w:tcPr>
          <w:p w14:paraId="0A9B17D1" w14:textId="7CE868FA" w:rsidR="001454B1" w:rsidRPr="00D865D4" w:rsidRDefault="00D865D4" w:rsidP="001454B1">
            <w:pPr>
              <w:spacing w:before="0"/>
              <w:rPr>
                <w:rFonts w:ascii="Arial Narrow" w:eastAsia="Calibri" w:hAnsi="Arial Narrow" w:cs="Times New Roman"/>
                <w:sz w:val="20"/>
                <w:szCs w:val="20"/>
              </w:rPr>
            </w:pPr>
            <w:r w:rsidRPr="008A2B4D">
              <w:rPr>
                <w:rFonts w:ascii="Arial Narrow" w:eastAsia="Calibri" w:hAnsi="Arial Narrow" w:cs="Times New Roman"/>
                <w:color w:val="000000"/>
                <w:spacing w:val="94"/>
                <w:sz w:val="20"/>
                <w:szCs w:val="20"/>
                <w:fitText w:val="180" w:id="-1157882615"/>
                <w14:textFill>
                  <w14:solidFill>
                    <w14:srgbClr w14:val="000000">
                      <w14:alpha w14:val="100000"/>
                    </w14:srgbClr>
                  </w14:solidFill>
                </w14:textFill>
              </w:rPr>
              <w:t>|</w:t>
            </w:r>
            <w:r w:rsidRPr="008A2B4D">
              <w:rPr>
                <w:rFonts w:ascii="Arial Narrow" w:eastAsia="Calibri" w:hAnsi="Arial Narrow" w:cs="Times New Roman"/>
                <w:color w:val="000000"/>
                <w:spacing w:val="1"/>
                <w:sz w:val="20"/>
                <w:szCs w:val="20"/>
                <w:fitText w:val="180" w:id="-1157882615"/>
                <w14:textFill>
                  <w14:solidFill>
                    <w14:srgbClr w14:val="000000">
                      <w14:alpha w14:val="100000"/>
                    </w14:srgbClr>
                  </w14:solidFill>
                </w14:textFill>
              </w:rPr>
              <w:t>|</w:t>
            </w:r>
          </w:p>
        </w:tc>
        <w:tc>
          <w:tcPr>
            <w:tcW w:w="1503" w:type="dxa"/>
            <w:shd w:val="solid" w:color="000000" w:fill="000000"/>
            <w:vAlign w:val="center"/>
          </w:tcPr>
          <w:p w14:paraId="7AED57A2" w14:textId="7B103727" w:rsidR="001454B1" w:rsidRPr="00D865D4" w:rsidRDefault="00D865D4" w:rsidP="001454B1">
            <w:pPr>
              <w:spacing w:before="0"/>
              <w:rPr>
                <w:rFonts w:ascii="Arial Narrow" w:eastAsia="Calibri" w:hAnsi="Arial Narrow" w:cs="Times New Roman"/>
                <w:sz w:val="20"/>
                <w:szCs w:val="20"/>
              </w:rPr>
            </w:pPr>
            <w:r w:rsidRPr="008A2B4D">
              <w:rPr>
                <w:rFonts w:ascii="Arial Narrow" w:eastAsia="Calibri" w:hAnsi="Arial Narrow" w:cs="Calibri"/>
                <w:color w:val="000000"/>
                <w:spacing w:val="94"/>
                <w:sz w:val="20"/>
                <w:szCs w:val="20"/>
                <w:fitText w:val="180" w:id="-1157882614"/>
                <w14:textFill>
                  <w14:solidFill>
                    <w14:srgbClr w14:val="000000">
                      <w14:alpha w14:val="100000"/>
                    </w14:srgbClr>
                  </w14:solidFill>
                </w14:textFill>
              </w:rPr>
              <w:t>|</w:t>
            </w:r>
            <w:r w:rsidRPr="008A2B4D">
              <w:rPr>
                <w:rFonts w:ascii="Arial Narrow" w:eastAsia="Calibri" w:hAnsi="Arial Narrow" w:cs="Calibri"/>
                <w:color w:val="000000"/>
                <w:spacing w:val="1"/>
                <w:sz w:val="20"/>
                <w:szCs w:val="20"/>
                <w:fitText w:val="180" w:id="-1157882614"/>
                <w14:textFill>
                  <w14:solidFill>
                    <w14:srgbClr w14:val="000000">
                      <w14:alpha w14:val="100000"/>
                    </w14:srgbClr>
                  </w14:solidFill>
                </w14:textFill>
              </w:rPr>
              <w:t>|</w:t>
            </w:r>
          </w:p>
        </w:tc>
        <w:tc>
          <w:tcPr>
            <w:tcW w:w="1503" w:type="dxa"/>
            <w:shd w:val="solid" w:color="000000" w:fill="000000"/>
            <w:vAlign w:val="center"/>
          </w:tcPr>
          <w:p w14:paraId="7E47D038" w14:textId="3820C895" w:rsidR="001454B1" w:rsidRPr="00D865D4" w:rsidRDefault="00D865D4" w:rsidP="001454B1">
            <w:pPr>
              <w:spacing w:before="0"/>
              <w:rPr>
                <w:rFonts w:ascii="Arial Narrow" w:eastAsia="Calibri" w:hAnsi="Arial Narrow" w:cs="Times New Roman"/>
                <w:sz w:val="20"/>
                <w:szCs w:val="20"/>
              </w:rPr>
            </w:pPr>
            <w:r w:rsidRPr="008A2B4D">
              <w:rPr>
                <w:rFonts w:ascii="Arial Narrow" w:eastAsia="Calibri" w:hAnsi="Arial Narrow" w:cs="Times New Roman"/>
                <w:color w:val="000000"/>
                <w:spacing w:val="94"/>
                <w:sz w:val="20"/>
                <w:szCs w:val="20"/>
                <w:fitText w:val="180" w:id="-1157882613"/>
                <w14:textFill>
                  <w14:solidFill>
                    <w14:srgbClr w14:val="000000">
                      <w14:alpha w14:val="100000"/>
                    </w14:srgbClr>
                  </w14:solidFill>
                </w14:textFill>
              </w:rPr>
              <w:t>|</w:t>
            </w:r>
            <w:r w:rsidRPr="008A2B4D">
              <w:rPr>
                <w:rFonts w:ascii="Arial Narrow" w:eastAsia="Calibri" w:hAnsi="Arial Narrow" w:cs="Times New Roman"/>
                <w:color w:val="000000"/>
                <w:spacing w:val="1"/>
                <w:sz w:val="20"/>
                <w:szCs w:val="20"/>
                <w:fitText w:val="180" w:id="-1157882613"/>
                <w14:textFill>
                  <w14:solidFill>
                    <w14:srgbClr w14:val="000000">
                      <w14:alpha w14:val="100000"/>
                    </w14:srgbClr>
                  </w14:solidFill>
                </w14:textFill>
              </w:rPr>
              <w:t>|</w:t>
            </w:r>
          </w:p>
        </w:tc>
      </w:tr>
      <w:tr w:rsidR="001454B1" w:rsidRPr="005F5BEA" w14:paraId="68A3684B" w14:textId="77777777" w:rsidTr="00032276">
        <w:tc>
          <w:tcPr>
            <w:tcW w:w="1502" w:type="dxa"/>
            <w:vAlign w:val="center"/>
          </w:tcPr>
          <w:p w14:paraId="7727CDD5" w14:textId="77777777" w:rsidR="001454B1" w:rsidRPr="005F5BEA" w:rsidRDefault="001454B1" w:rsidP="001454B1">
            <w:pPr>
              <w:spacing w:before="0"/>
              <w:rPr>
                <w:rFonts w:ascii="Arial Narrow" w:eastAsia="Calibri" w:hAnsi="Arial Narrow" w:cs="Calibri"/>
                <w:b/>
                <w:color w:val="000000"/>
                <w:sz w:val="20"/>
                <w:szCs w:val="20"/>
              </w:rPr>
            </w:pPr>
            <w:r w:rsidRPr="005F5BEA">
              <w:rPr>
                <w:rFonts w:ascii="Arial Narrow" w:eastAsia="Calibri" w:hAnsi="Arial Narrow" w:cs="Calibri"/>
                <w:b/>
                <w:color w:val="000000"/>
                <w:sz w:val="20"/>
                <w:szCs w:val="20"/>
              </w:rPr>
              <w:t>Total</w:t>
            </w:r>
          </w:p>
        </w:tc>
        <w:tc>
          <w:tcPr>
            <w:tcW w:w="1502" w:type="dxa"/>
            <w:vAlign w:val="center"/>
          </w:tcPr>
          <w:p w14:paraId="4D104F60" w14:textId="77777777" w:rsidR="001454B1" w:rsidRPr="005F5BEA" w:rsidRDefault="001454B1" w:rsidP="001454B1">
            <w:pPr>
              <w:spacing w:before="0"/>
              <w:rPr>
                <w:rFonts w:ascii="Arial Narrow" w:eastAsia="Calibri" w:hAnsi="Arial Narrow" w:cs="Times New Roman"/>
                <w:b/>
                <w:sz w:val="20"/>
                <w:szCs w:val="20"/>
              </w:rPr>
            </w:pPr>
            <w:r w:rsidRPr="005F5BEA">
              <w:rPr>
                <w:rFonts w:ascii="Arial Narrow" w:eastAsia="Calibri" w:hAnsi="Arial Narrow" w:cs="Calibri"/>
                <w:b/>
                <w:color w:val="000000"/>
                <w:sz w:val="20"/>
                <w:szCs w:val="20"/>
              </w:rPr>
              <w:t>63595</w:t>
            </w:r>
          </w:p>
        </w:tc>
        <w:tc>
          <w:tcPr>
            <w:tcW w:w="1503" w:type="dxa"/>
            <w:vAlign w:val="center"/>
          </w:tcPr>
          <w:p w14:paraId="05C1FE67" w14:textId="77777777" w:rsidR="001454B1" w:rsidRPr="005F5BEA" w:rsidRDefault="001454B1" w:rsidP="001454B1">
            <w:pPr>
              <w:spacing w:before="0"/>
              <w:rPr>
                <w:rFonts w:ascii="Arial Narrow" w:eastAsia="Calibri" w:hAnsi="Arial Narrow" w:cs="Times New Roman"/>
                <w:b/>
                <w:sz w:val="20"/>
                <w:szCs w:val="20"/>
              </w:rPr>
            </w:pPr>
            <w:r w:rsidRPr="005F5BEA">
              <w:rPr>
                <w:rFonts w:ascii="Arial Narrow" w:eastAsia="Calibri" w:hAnsi="Arial Narrow" w:cs="Calibri"/>
                <w:b/>
                <w:color w:val="000000"/>
                <w:sz w:val="20"/>
                <w:szCs w:val="20"/>
              </w:rPr>
              <w:t>100.0%</w:t>
            </w:r>
          </w:p>
        </w:tc>
        <w:tc>
          <w:tcPr>
            <w:tcW w:w="1503" w:type="dxa"/>
            <w:vAlign w:val="center"/>
          </w:tcPr>
          <w:p w14:paraId="7E4977CD" w14:textId="77777777" w:rsidR="001454B1" w:rsidRPr="005F5BEA" w:rsidRDefault="001454B1" w:rsidP="001454B1">
            <w:pPr>
              <w:spacing w:before="0"/>
              <w:rPr>
                <w:rFonts w:ascii="Arial Narrow" w:eastAsia="Calibri" w:hAnsi="Arial Narrow" w:cs="Times New Roman"/>
                <w:b/>
                <w:sz w:val="20"/>
                <w:szCs w:val="20"/>
              </w:rPr>
            </w:pPr>
            <w:r w:rsidRPr="005F5BEA">
              <w:rPr>
                <w:rFonts w:ascii="Arial Narrow" w:eastAsia="Calibri" w:hAnsi="Arial Narrow" w:cs="Times New Roman"/>
                <w:b/>
                <w:sz w:val="20"/>
                <w:szCs w:val="20"/>
              </w:rPr>
              <w:t>$26,103,153</w:t>
            </w:r>
          </w:p>
        </w:tc>
        <w:tc>
          <w:tcPr>
            <w:tcW w:w="1503" w:type="dxa"/>
            <w:vAlign w:val="center"/>
          </w:tcPr>
          <w:p w14:paraId="6385F120" w14:textId="77777777" w:rsidR="001454B1" w:rsidRPr="005F5BEA" w:rsidRDefault="001454B1" w:rsidP="001454B1">
            <w:pPr>
              <w:spacing w:before="0"/>
              <w:rPr>
                <w:rFonts w:ascii="Arial Narrow" w:eastAsia="Calibri" w:hAnsi="Arial Narrow" w:cs="Times New Roman"/>
                <w:b/>
                <w:sz w:val="20"/>
                <w:szCs w:val="20"/>
              </w:rPr>
            </w:pPr>
            <w:r w:rsidRPr="005F5BEA">
              <w:rPr>
                <w:rFonts w:ascii="Arial Narrow" w:eastAsia="Calibri" w:hAnsi="Arial Narrow" w:cs="Calibri"/>
                <w:b/>
                <w:color w:val="000000"/>
                <w:sz w:val="20"/>
                <w:szCs w:val="20"/>
              </w:rPr>
              <w:t>100.0%</w:t>
            </w:r>
          </w:p>
        </w:tc>
        <w:tc>
          <w:tcPr>
            <w:tcW w:w="1503" w:type="dxa"/>
            <w:vAlign w:val="center"/>
          </w:tcPr>
          <w:p w14:paraId="248049FE" w14:textId="77777777" w:rsidR="001454B1" w:rsidRPr="005F5BEA" w:rsidRDefault="001454B1" w:rsidP="001454B1">
            <w:pPr>
              <w:spacing w:before="0"/>
              <w:rPr>
                <w:rFonts w:ascii="Arial Narrow" w:eastAsia="Calibri" w:hAnsi="Arial Narrow" w:cs="Times New Roman"/>
                <w:b/>
                <w:sz w:val="20"/>
                <w:szCs w:val="20"/>
              </w:rPr>
            </w:pPr>
            <w:r w:rsidRPr="005F5BEA">
              <w:rPr>
                <w:rFonts w:ascii="Arial Narrow" w:eastAsia="Calibri" w:hAnsi="Arial Narrow" w:cs="Times New Roman"/>
                <w:b/>
                <w:sz w:val="20"/>
                <w:szCs w:val="20"/>
              </w:rPr>
              <w:t>$17,276,984</w:t>
            </w:r>
          </w:p>
        </w:tc>
      </w:tr>
    </w:tbl>
    <w:p w14:paraId="5FE4E8F9" w14:textId="72837FF2"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 xml:space="preserve">Source: generated during the evaluation based on </w:t>
      </w:r>
      <w:r w:rsidRPr="005F5BEA">
        <w:rPr>
          <w:rFonts w:ascii="Arial Narrow" w:eastAsia="Calibri" w:hAnsi="Arial Narrow" w:cs="Arial"/>
          <w:sz w:val="18"/>
        </w:rPr>
        <w:fldChar w:fldCharType="begin"/>
      </w:r>
      <w:r w:rsidRPr="005F5BEA">
        <w:rPr>
          <w:rFonts w:ascii="Arial Narrow" w:eastAsia="Calibri" w:hAnsi="Arial Narrow" w:cs="Arial"/>
          <w:sz w:val="18"/>
        </w:rPr>
        <w:instrText xml:space="preserve"> REF _Ref135150934 \h </w:instrText>
      </w:r>
      <w:r w:rsidR="008C0B0B" w:rsidRPr="005F5BEA">
        <w:rPr>
          <w:rFonts w:ascii="Arial Narrow" w:eastAsia="Calibri" w:hAnsi="Arial Narrow" w:cs="Arial"/>
          <w:sz w:val="18"/>
        </w:rPr>
        <w:instrText xml:space="preserve"> \* MERGEFORMAT </w:instrText>
      </w:r>
      <w:r w:rsidRPr="005F5BEA">
        <w:rPr>
          <w:rFonts w:ascii="Arial Narrow" w:eastAsia="Calibri" w:hAnsi="Arial Narrow" w:cs="Arial"/>
          <w:sz w:val="18"/>
        </w:rPr>
      </w:r>
      <w:r w:rsidRPr="005F5BEA">
        <w:rPr>
          <w:rFonts w:ascii="Arial Narrow" w:eastAsia="Calibri" w:hAnsi="Arial Narrow" w:cs="Arial"/>
          <w:sz w:val="18"/>
        </w:rPr>
        <w:fldChar w:fldCharType="separate"/>
      </w:r>
      <w:r w:rsidR="00334548" w:rsidRPr="00334548">
        <w:rPr>
          <w:rFonts w:ascii="Arial Narrow" w:eastAsia="Calibri" w:hAnsi="Arial Narrow" w:cs="Times New Roman"/>
          <w:iCs/>
          <w:sz w:val="20"/>
          <w:szCs w:val="20"/>
        </w:rPr>
        <w:t xml:space="preserve">Table </w:t>
      </w:r>
      <w:r w:rsidR="00334548" w:rsidRPr="00334548">
        <w:rPr>
          <w:rFonts w:ascii="Arial Narrow" w:eastAsia="Calibri" w:hAnsi="Arial Narrow" w:cs="Times New Roman"/>
          <w:iCs/>
          <w:noProof/>
          <w:sz w:val="20"/>
          <w:szCs w:val="20"/>
        </w:rPr>
        <w:t>20</w:t>
      </w:r>
      <w:r w:rsidRPr="005F5BEA">
        <w:rPr>
          <w:rFonts w:ascii="Arial Narrow" w:eastAsia="Calibri" w:hAnsi="Arial Narrow" w:cs="Arial"/>
          <w:sz w:val="18"/>
        </w:rPr>
        <w:fldChar w:fldCharType="end"/>
      </w:r>
      <w:r w:rsidRPr="005F5BEA">
        <w:rPr>
          <w:rFonts w:ascii="Arial Narrow" w:eastAsia="Calibri" w:hAnsi="Arial Narrow" w:cs="Arial"/>
          <w:sz w:val="18"/>
        </w:rPr>
        <w:t xml:space="preserve"> and </w:t>
      </w:r>
      <w:r w:rsidRPr="005F5BEA">
        <w:rPr>
          <w:rFonts w:ascii="Arial Narrow" w:eastAsia="Calibri" w:hAnsi="Arial Narrow" w:cs="Arial"/>
          <w:sz w:val="18"/>
        </w:rPr>
        <w:fldChar w:fldCharType="begin"/>
      </w:r>
      <w:r w:rsidRPr="005F5BEA">
        <w:rPr>
          <w:rFonts w:ascii="Arial Narrow" w:eastAsia="Calibri" w:hAnsi="Arial Narrow" w:cs="Arial"/>
          <w:sz w:val="18"/>
        </w:rPr>
        <w:instrText xml:space="preserve"> REF _Ref135150940 \h </w:instrText>
      </w:r>
      <w:r w:rsidR="008C0B0B" w:rsidRPr="005F5BEA">
        <w:rPr>
          <w:rFonts w:ascii="Arial Narrow" w:eastAsia="Calibri" w:hAnsi="Arial Narrow" w:cs="Arial"/>
          <w:sz w:val="18"/>
        </w:rPr>
        <w:instrText xml:space="preserve"> \* MERGEFORMAT </w:instrText>
      </w:r>
      <w:r w:rsidRPr="005F5BEA">
        <w:rPr>
          <w:rFonts w:ascii="Arial Narrow" w:eastAsia="Calibri" w:hAnsi="Arial Narrow" w:cs="Arial"/>
          <w:sz w:val="18"/>
        </w:rPr>
      </w:r>
      <w:r w:rsidRPr="005F5BEA">
        <w:rPr>
          <w:rFonts w:ascii="Arial Narrow" w:eastAsia="Calibri" w:hAnsi="Arial Narrow" w:cs="Arial"/>
          <w:sz w:val="18"/>
        </w:rPr>
        <w:fldChar w:fldCharType="separate"/>
      </w:r>
      <w:r w:rsidR="00334548" w:rsidRPr="00334548">
        <w:rPr>
          <w:rFonts w:ascii="Arial Narrow" w:eastAsia="Calibri" w:hAnsi="Arial Narrow" w:cs="Times New Roman"/>
          <w:iCs/>
          <w:sz w:val="20"/>
          <w:szCs w:val="20"/>
        </w:rPr>
        <w:t xml:space="preserve">Table </w:t>
      </w:r>
      <w:r w:rsidR="00334548" w:rsidRPr="00334548">
        <w:rPr>
          <w:rFonts w:ascii="Arial Narrow" w:eastAsia="Calibri" w:hAnsi="Arial Narrow" w:cs="Times New Roman"/>
          <w:iCs/>
          <w:noProof/>
          <w:sz w:val="20"/>
          <w:szCs w:val="20"/>
        </w:rPr>
        <w:t>26</w:t>
      </w:r>
      <w:r w:rsidRPr="005F5BEA">
        <w:rPr>
          <w:rFonts w:ascii="Arial Narrow" w:eastAsia="Calibri" w:hAnsi="Arial Narrow" w:cs="Arial"/>
          <w:sz w:val="18"/>
        </w:rPr>
        <w:fldChar w:fldCharType="end"/>
      </w:r>
      <w:r w:rsidRPr="005F5BEA">
        <w:rPr>
          <w:rFonts w:ascii="Arial Narrow" w:eastAsia="Calibri" w:hAnsi="Arial Narrow" w:cs="Arial"/>
          <w:sz w:val="18"/>
        </w:rPr>
        <w:t xml:space="preserve">. </w:t>
      </w:r>
      <w:r w:rsidRPr="005F5BEA">
        <w:rPr>
          <w:rFonts w:ascii="Arial Narrow" w:eastAsia="Calibri" w:hAnsi="Arial Narrow" w:cs="Arial"/>
          <w:i/>
          <w:iCs/>
          <w:sz w:val="18"/>
        </w:rPr>
        <w:t>See updated spreadsheet.</w:t>
      </w:r>
    </w:p>
    <w:p w14:paraId="6BCA8F97" w14:textId="77777777" w:rsidR="001454B1" w:rsidRPr="005F5BEA" w:rsidRDefault="001454B1" w:rsidP="001454B1">
      <w:pPr>
        <w:spacing w:after="240"/>
        <w:contextualSpacing/>
        <w:jc w:val="both"/>
        <w:rPr>
          <w:rFonts w:ascii="Arial Narrow" w:eastAsia="Calibri" w:hAnsi="Arial Narrow" w:cs="Arial"/>
          <w:sz w:val="18"/>
        </w:rPr>
      </w:pPr>
      <w:proofErr w:type="spellStart"/>
      <w:r w:rsidRPr="005F5BEA">
        <w:rPr>
          <w:rFonts w:ascii="Arial Narrow" w:eastAsia="Calibri" w:hAnsi="Arial Narrow" w:cs="Arial"/>
          <w:sz w:val="18"/>
          <w:vertAlign w:val="superscript"/>
        </w:rPr>
        <w:t>a</w:t>
      </w:r>
      <w:r w:rsidRPr="005F5BEA">
        <w:rPr>
          <w:rFonts w:ascii="Arial Narrow" w:eastAsia="Calibri" w:hAnsi="Arial Narrow" w:cs="Arial"/>
          <w:sz w:val="18"/>
        </w:rPr>
        <w:t>Private</w:t>
      </w:r>
      <w:proofErr w:type="spellEnd"/>
      <w:r w:rsidRPr="005F5BEA">
        <w:rPr>
          <w:rFonts w:ascii="Arial Narrow" w:eastAsia="Calibri" w:hAnsi="Arial Narrow" w:cs="Arial"/>
          <w:sz w:val="18"/>
        </w:rPr>
        <w:t xml:space="preserve"> services account for 82.5% of all services in the Utilisation and Cost Model spreadsheet. The O/H costs have been multiplied by 0.825 to remove O/H costs associated with the provision of services in the public sector. This adjustment may result in higher O/H costs than applying the applicant’s estimate of the distribution of O/H costs by sector, which assumes that 72.8% of O/H costs are attributed to the private sector.</w:t>
      </w:r>
    </w:p>
    <w:p w14:paraId="54F38CB7" w14:textId="77777777" w:rsidR="001454B1" w:rsidRPr="005F5BEA" w:rsidRDefault="001454B1" w:rsidP="00C63874">
      <w:pPr>
        <w:spacing w:before="0" w:after="240"/>
        <w:jc w:val="both"/>
        <w:rPr>
          <w:rFonts w:ascii="Arial Narrow" w:eastAsia="Calibri" w:hAnsi="Arial Narrow" w:cs="Arial"/>
          <w:sz w:val="18"/>
        </w:rPr>
      </w:pPr>
      <w:r w:rsidRPr="005F5BEA">
        <w:rPr>
          <w:rFonts w:ascii="Arial Narrow" w:eastAsia="Calibri" w:hAnsi="Arial Narrow" w:cs="Arial"/>
          <w:sz w:val="18"/>
        </w:rPr>
        <w:t>O/H = overhead</w:t>
      </w:r>
    </w:p>
    <w:p w14:paraId="1E6A21DF" w14:textId="06E0F205" w:rsidR="001454B1" w:rsidRPr="005F5BEA" w:rsidRDefault="001454B1" w:rsidP="00437E5B">
      <w:r w:rsidRPr="005F5BEA">
        <w:t xml:space="preserve">The alternative overhead costs by year are presented in </w:t>
      </w:r>
      <w:r w:rsidRPr="005F5BEA">
        <w:fldChar w:fldCharType="begin"/>
      </w:r>
      <w:r w:rsidRPr="005F5BEA">
        <w:instrText xml:space="preserve"> REF _Ref135135999 \h  \* MERGEFORMAT </w:instrText>
      </w:r>
      <w:r w:rsidRPr="005F5BEA">
        <w:fldChar w:fldCharType="separate"/>
      </w:r>
      <w:r w:rsidR="00334548" w:rsidRPr="00334548">
        <w:t xml:space="preserve">Table </w:t>
      </w:r>
      <w:r w:rsidR="00334548" w:rsidRPr="00334548">
        <w:rPr>
          <w:noProof/>
        </w:rPr>
        <w:t>32</w:t>
      </w:r>
      <w:r w:rsidRPr="005F5BEA">
        <w:fldChar w:fldCharType="end"/>
      </w:r>
      <w:r w:rsidRPr="005F5BEA">
        <w:t>.</w:t>
      </w:r>
    </w:p>
    <w:p w14:paraId="68A2363C" w14:textId="69F30BAB" w:rsidR="001454B1" w:rsidRPr="005F5BEA" w:rsidRDefault="001454B1" w:rsidP="001454B1">
      <w:pPr>
        <w:keepNext/>
        <w:spacing w:before="0" w:after="200" w:line="240" w:lineRule="auto"/>
        <w:rPr>
          <w:rFonts w:ascii="Arial Narrow" w:eastAsia="Calibri" w:hAnsi="Arial Narrow" w:cs="Times New Roman"/>
          <w:b/>
          <w:iCs/>
          <w:sz w:val="20"/>
          <w:szCs w:val="20"/>
        </w:rPr>
      </w:pPr>
      <w:bookmarkStart w:id="50" w:name="_Ref135135999"/>
      <w:bookmarkStart w:id="51" w:name="_Hlk137218624"/>
      <w:r w:rsidRPr="005F5BEA">
        <w:rPr>
          <w:rFonts w:ascii="Arial Narrow" w:eastAsia="Calibri" w:hAnsi="Arial Narrow" w:cs="Times New Roman"/>
          <w:b/>
          <w:iCs/>
          <w:sz w:val="20"/>
          <w:szCs w:val="20"/>
        </w:rPr>
        <w:t xml:space="preserve">Table </w:t>
      </w:r>
      <w:r w:rsidRPr="005F5BEA">
        <w:rPr>
          <w:rFonts w:ascii="Arial Narrow" w:eastAsia="Calibri" w:hAnsi="Arial Narrow" w:cs="Times New Roman"/>
          <w:b/>
          <w:iCs/>
          <w:sz w:val="20"/>
          <w:szCs w:val="20"/>
        </w:rPr>
        <w:fldChar w:fldCharType="begin"/>
      </w:r>
      <w:r w:rsidRPr="005F5BEA">
        <w:rPr>
          <w:rFonts w:ascii="Arial Narrow" w:eastAsia="Calibri" w:hAnsi="Arial Narrow" w:cs="Times New Roman"/>
          <w:b/>
          <w:iCs/>
          <w:sz w:val="20"/>
          <w:szCs w:val="20"/>
        </w:rPr>
        <w:instrText xml:space="preserve"> SEQ Table \* ARABIC </w:instrText>
      </w:r>
      <w:r w:rsidRPr="005F5BEA">
        <w:rPr>
          <w:rFonts w:ascii="Arial Narrow" w:eastAsia="Calibri" w:hAnsi="Arial Narrow" w:cs="Times New Roman"/>
          <w:b/>
          <w:iCs/>
          <w:sz w:val="20"/>
          <w:szCs w:val="20"/>
        </w:rPr>
        <w:fldChar w:fldCharType="separate"/>
      </w:r>
      <w:r w:rsidR="00334548">
        <w:rPr>
          <w:rFonts w:ascii="Arial Narrow" w:eastAsia="Calibri" w:hAnsi="Arial Narrow" w:cs="Times New Roman"/>
          <w:b/>
          <w:iCs/>
          <w:noProof/>
          <w:sz w:val="20"/>
          <w:szCs w:val="20"/>
        </w:rPr>
        <w:t>32</w:t>
      </w:r>
      <w:r w:rsidRPr="005F5BEA">
        <w:rPr>
          <w:rFonts w:ascii="Arial Narrow" w:eastAsia="Calibri" w:hAnsi="Arial Narrow" w:cs="Times New Roman"/>
          <w:b/>
          <w:iCs/>
          <w:noProof/>
          <w:sz w:val="20"/>
          <w:szCs w:val="20"/>
        </w:rPr>
        <w:fldChar w:fldCharType="end"/>
      </w:r>
      <w:bookmarkEnd w:id="50"/>
      <w:r w:rsidRPr="005F5BEA">
        <w:rPr>
          <w:rFonts w:ascii="Arial Narrow" w:eastAsia="Calibri" w:hAnsi="Arial Narrow" w:cs="Times New Roman"/>
          <w:b/>
          <w:iCs/>
          <w:sz w:val="20"/>
          <w:szCs w:val="20"/>
        </w:rPr>
        <w:tab/>
        <w:t xml:space="preserve">Alternative options for calculating overhead costs used in the estimate of costs for providing cardiac technical support </w:t>
      </w:r>
      <w:proofErr w:type="gramStart"/>
      <w:r w:rsidRPr="005F5BEA">
        <w:rPr>
          <w:rFonts w:ascii="Arial Narrow" w:eastAsia="Calibri" w:hAnsi="Arial Narrow" w:cs="Times New Roman"/>
          <w:b/>
          <w:iCs/>
          <w:sz w:val="20"/>
          <w:szCs w:val="20"/>
        </w:rPr>
        <w:t>services</w:t>
      </w:r>
      <w:proofErr w:type="gramEnd"/>
    </w:p>
    <w:tbl>
      <w:tblPr>
        <w:tblStyle w:val="TableGrid1"/>
        <w:tblW w:w="5000" w:type="pct"/>
        <w:tblLook w:val="04A0" w:firstRow="1" w:lastRow="0" w:firstColumn="1" w:lastColumn="0" w:noHBand="0" w:noVBand="1"/>
      </w:tblPr>
      <w:tblGrid>
        <w:gridCol w:w="873"/>
        <w:gridCol w:w="3382"/>
        <w:gridCol w:w="1190"/>
        <w:gridCol w:w="1190"/>
        <w:gridCol w:w="1190"/>
        <w:gridCol w:w="1191"/>
      </w:tblGrid>
      <w:tr w:rsidR="001454B1" w:rsidRPr="005F5BEA" w14:paraId="66142735" w14:textId="77777777" w:rsidTr="00032276">
        <w:tc>
          <w:tcPr>
            <w:tcW w:w="873" w:type="dxa"/>
          </w:tcPr>
          <w:bookmarkEnd w:id="51"/>
          <w:p w14:paraId="32078DEA" w14:textId="77777777" w:rsidR="001454B1" w:rsidRPr="005F5BEA" w:rsidRDefault="001454B1" w:rsidP="001454B1">
            <w:pPr>
              <w:spacing w:before="0"/>
              <w:rPr>
                <w:rFonts w:ascii="Arial Narrow" w:eastAsia="Calibri" w:hAnsi="Arial Narrow" w:cs="Times New Roman"/>
                <w:b/>
                <w:sz w:val="20"/>
                <w:szCs w:val="20"/>
              </w:rPr>
            </w:pPr>
            <w:r w:rsidRPr="005F5BEA">
              <w:rPr>
                <w:rFonts w:ascii="Arial Narrow" w:eastAsia="Calibri" w:hAnsi="Arial Narrow" w:cs="Times New Roman"/>
                <w:b/>
                <w:sz w:val="20"/>
                <w:szCs w:val="20"/>
              </w:rPr>
              <w:t>Option</w:t>
            </w:r>
          </w:p>
        </w:tc>
        <w:tc>
          <w:tcPr>
            <w:tcW w:w="3382" w:type="dxa"/>
          </w:tcPr>
          <w:p w14:paraId="66DC15FC" w14:textId="77777777" w:rsidR="001454B1" w:rsidRPr="005F5BEA" w:rsidRDefault="001454B1" w:rsidP="001454B1">
            <w:pPr>
              <w:spacing w:before="0"/>
              <w:rPr>
                <w:rFonts w:ascii="Arial Narrow" w:eastAsia="Calibri" w:hAnsi="Arial Narrow" w:cs="Times New Roman"/>
                <w:b/>
                <w:sz w:val="20"/>
                <w:szCs w:val="20"/>
              </w:rPr>
            </w:pPr>
            <w:r w:rsidRPr="005F5BEA">
              <w:rPr>
                <w:rFonts w:ascii="Arial Narrow" w:eastAsia="Calibri" w:hAnsi="Arial Narrow" w:cs="Times New Roman"/>
                <w:b/>
                <w:sz w:val="20"/>
                <w:szCs w:val="20"/>
              </w:rPr>
              <w:t>Description</w:t>
            </w:r>
          </w:p>
        </w:tc>
        <w:tc>
          <w:tcPr>
            <w:tcW w:w="1190" w:type="dxa"/>
          </w:tcPr>
          <w:p w14:paraId="2444456E" w14:textId="77777777" w:rsidR="001454B1" w:rsidRPr="005F5BEA" w:rsidRDefault="001454B1" w:rsidP="001454B1">
            <w:pPr>
              <w:spacing w:before="0"/>
              <w:jc w:val="center"/>
              <w:rPr>
                <w:rFonts w:ascii="Arial Narrow" w:eastAsia="Calibri" w:hAnsi="Arial Narrow" w:cs="Times New Roman"/>
                <w:b/>
                <w:sz w:val="20"/>
                <w:szCs w:val="20"/>
              </w:rPr>
            </w:pPr>
            <w:r w:rsidRPr="005F5BEA">
              <w:rPr>
                <w:rFonts w:ascii="Arial Narrow" w:eastAsia="Calibri" w:hAnsi="Arial Narrow" w:cs="Times New Roman"/>
                <w:b/>
                <w:sz w:val="20"/>
                <w:szCs w:val="20"/>
              </w:rPr>
              <w:t>2022</w:t>
            </w:r>
          </w:p>
        </w:tc>
        <w:tc>
          <w:tcPr>
            <w:tcW w:w="1190" w:type="dxa"/>
          </w:tcPr>
          <w:p w14:paraId="6A28617A" w14:textId="77777777" w:rsidR="001454B1" w:rsidRPr="005F5BEA" w:rsidRDefault="001454B1" w:rsidP="001454B1">
            <w:pPr>
              <w:spacing w:before="0"/>
              <w:jc w:val="center"/>
              <w:rPr>
                <w:rFonts w:ascii="Arial Narrow" w:eastAsia="Calibri" w:hAnsi="Arial Narrow" w:cs="Times New Roman"/>
                <w:b/>
                <w:sz w:val="20"/>
                <w:szCs w:val="20"/>
              </w:rPr>
            </w:pPr>
            <w:r w:rsidRPr="005F5BEA">
              <w:rPr>
                <w:rFonts w:ascii="Arial Narrow" w:eastAsia="Calibri" w:hAnsi="Arial Narrow" w:cs="Times New Roman"/>
                <w:b/>
                <w:sz w:val="20"/>
                <w:szCs w:val="20"/>
              </w:rPr>
              <w:t>2023</w:t>
            </w:r>
          </w:p>
        </w:tc>
        <w:tc>
          <w:tcPr>
            <w:tcW w:w="1190" w:type="dxa"/>
          </w:tcPr>
          <w:p w14:paraId="2A308154" w14:textId="77777777" w:rsidR="001454B1" w:rsidRPr="005F5BEA" w:rsidRDefault="001454B1" w:rsidP="001454B1">
            <w:pPr>
              <w:spacing w:before="0"/>
              <w:jc w:val="center"/>
              <w:rPr>
                <w:rFonts w:ascii="Arial Narrow" w:eastAsia="Calibri" w:hAnsi="Arial Narrow" w:cs="Times New Roman"/>
                <w:b/>
                <w:sz w:val="20"/>
                <w:szCs w:val="20"/>
              </w:rPr>
            </w:pPr>
            <w:r w:rsidRPr="005F5BEA">
              <w:rPr>
                <w:rFonts w:ascii="Arial Narrow" w:eastAsia="Calibri" w:hAnsi="Arial Narrow" w:cs="Times New Roman"/>
                <w:b/>
                <w:sz w:val="20"/>
                <w:szCs w:val="20"/>
              </w:rPr>
              <w:t>2024</w:t>
            </w:r>
          </w:p>
        </w:tc>
        <w:tc>
          <w:tcPr>
            <w:tcW w:w="1191" w:type="dxa"/>
          </w:tcPr>
          <w:p w14:paraId="21DE3E99" w14:textId="77777777" w:rsidR="001454B1" w:rsidRPr="005F5BEA" w:rsidRDefault="001454B1" w:rsidP="001454B1">
            <w:pPr>
              <w:spacing w:before="0"/>
              <w:jc w:val="center"/>
              <w:rPr>
                <w:rFonts w:ascii="Arial Narrow" w:eastAsia="Calibri" w:hAnsi="Arial Narrow" w:cs="Times New Roman"/>
                <w:b/>
                <w:sz w:val="20"/>
                <w:szCs w:val="20"/>
              </w:rPr>
            </w:pPr>
            <w:r w:rsidRPr="005F5BEA">
              <w:rPr>
                <w:rFonts w:ascii="Arial Narrow" w:eastAsia="Calibri" w:hAnsi="Arial Narrow" w:cs="Times New Roman"/>
                <w:b/>
                <w:sz w:val="20"/>
                <w:szCs w:val="20"/>
              </w:rPr>
              <w:t>2025</w:t>
            </w:r>
          </w:p>
        </w:tc>
      </w:tr>
      <w:tr w:rsidR="001454B1" w:rsidRPr="005F5BEA" w14:paraId="648DA63E" w14:textId="77777777" w:rsidTr="00185424">
        <w:tc>
          <w:tcPr>
            <w:tcW w:w="873" w:type="dxa"/>
          </w:tcPr>
          <w:p w14:paraId="2E30FBDD" w14:textId="77777777" w:rsidR="001454B1" w:rsidRPr="005F5BEA" w:rsidRDefault="001454B1" w:rsidP="001454B1">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A</w:t>
            </w:r>
          </w:p>
        </w:tc>
        <w:tc>
          <w:tcPr>
            <w:tcW w:w="3382" w:type="dxa"/>
            <w:vAlign w:val="center"/>
          </w:tcPr>
          <w:p w14:paraId="283B1E6F" w14:textId="77777777" w:rsidR="001454B1" w:rsidRPr="005F5BEA" w:rsidRDefault="001454B1" w:rsidP="001454B1">
            <w:pPr>
              <w:spacing w:before="0"/>
              <w:rPr>
                <w:rFonts w:ascii="Arial Narrow" w:eastAsia="Calibri" w:hAnsi="Arial Narrow" w:cs="Times New Roman"/>
                <w:sz w:val="20"/>
                <w:szCs w:val="20"/>
              </w:rPr>
            </w:pPr>
            <w:r w:rsidRPr="005F5BEA">
              <w:rPr>
                <w:rFonts w:ascii="Arial Narrow" w:eastAsia="Calibri" w:hAnsi="Arial Narrow" w:cs="Calibri"/>
                <w:color w:val="000000"/>
                <w:sz w:val="20"/>
                <w:szCs w:val="20"/>
              </w:rPr>
              <w:t>30% of non-OH costs in updated ADAR</w:t>
            </w:r>
          </w:p>
        </w:tc>
        <w:tc>
          <w:tcPr>
            <w:tcW w:w="1190" w:type="dxa"/>
            <w:tcBorders>
              <w:bottom w:val="single" w:sz="4" w:space="0" w:color="auto"/>
            </w:tcBorders>
            <w:vAlign w:val="center"/>
          </w:tcPr>
          <w:p w14:paraId="7F0B574C" w14:textId="77777777" w:rsidR="001454B1" w:rsidRPr="005F5BEA" w:rsidRDefault="001454B1" w:rsidP="001454B1">
            <w:pPr>
              <w:spacing w:before="0"/>
              <w:jc w:val="right"/>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$17,886,254</w:t>
            </w:r>
          </w:p>
        </w:tc>
        <w:tc>
          <w:tcPr>
            <w:tcW w:w="1190" w:type="dxa"/>
            <w:tcBorders>
              <w:bottom w:val="single" w:sz="4" w:space="0" w:color="auto"/>
            </w:tcBorders>
            <w:vAlign w:val="center"/>
          </w:tcPr>
          <w:p w14:paraId="7120E9AE" w14:textId="77777777" w:rsidR="001454B1" w:rsidRPr="005F5BEA" w:rsidRDefault="001454B1" w:rsidP="001454B1">
            <w:pPr>
              <w:spacing w:before="0"/>
              <w:jc w:val="right"/>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$19,226,800</w:t>
            </w:r>
          </w:p>
        </w:tc>
        <w:tc>
          <w:tcPr>
            <w:tcW w:w="1190" w:type="dxa"/>
            <w:tcBorders>
              <w:bottom w:val="single" w:sz="4" w:space="0" w:color="auto"/>
            </w:tcBorders>
            <w:vAlign w:val="center"/>
          </w:tcPr>
          <w:p w14:paraId="16B1A7C8" w14:textId="77777777" w:rsidR="001454B1" w:rsidRPr="005F5BEA" w:rsidRDefault="001454B1" w:rsidP="001454B1">
            <w:pPr>
              <w:spacing w:before="0"/>
              <w:jc w:val="right"/>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$20,650,808</w:t>
            </w:r>
          </w:p>
        </w:tc>
        <w:tc>
          <w:tcPr>
            <w:tcW w:w="1191" w:type="dxa"/>
            <w:tcBorders>
              <w:bottom w:val="single" w:sz="4" w:space="0" w:color="auto"/>
            </w:tcBorders>
            <w:vAlign w:val="center"/>
          </w:tcPr>
          <w:p w14:paraId="387E68F7" w14:textId="77777777" w:rsidR="001454B1" w:rsidRPr="005F5BEA" w:rsidRDefault="001454B1" w:rsidP="001454B1">
            <w:pPr>
              <w:spacing w:before="0"/>
              <w:jc w:val="right"/>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$22,164,756</w:t>
            </w:r>
          </w:p>
        </w:tc>
      </w:tr>
      <w:tr w:rsidR="00606130" w:rsidRPr="005F5BEA" w14:paraId="1E33E4B1" w14:textId="77777777" w:rsidTr="00185424">
        <w:tc>
          <w:tcPr>
            <w:tcW w:w="873" w:type="dxa"/>
          </w:tcPr>
          <w:p w14:paraId="292F828C" w14:textId="77777777" w:rsidR="00606130" w:rsidRPr="005F5BEA" w:rsidRDefault="00606130" w:rsidP="00606130">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B</w:t>
            </w:r>
          </w:p>
        </w:tc>
        <w:tc>
          <w:tcPr>
            <w:tcW w:w="3382" w:type="dxa"/>
            <w:vAlign w:val="center"/>
          </w:tcPr>
          <w:p w14:paraId="1EB00F86" w14:textId="77777777" w:rsidR="00606130" w:rsidRPr="005F5BEA" w:rsidRDefault="00606130" w:rsidP="00606130">
            <w:pPr>
              <w:spacing w:before="0"/>
              <w:rPr>
                <w:rFonts w:ascii="Arial Narrow" w:eastAsia="Calibri" w:hAnsi="Arial Narrow" w:cs="Times New Roman"/>
                <w:sz w:val="20"/>
                <w:szCs w:val="20"/>
              </w:rPr>
            </w:pPr>
            <w:r w:rsidRPr="005F5BEA">
              <w:rPr>
                <w:rFonts w:ascii="Arial Narrow" w:eastAsia="Calibri" w:hAnsi="Arial Narrow" w:cs="Calibri"/>
                <w:color w:val="000000"/>
                <w:sz w:val="20"/>
                <w:szCs w:val="20"/>
              </w:rPr>
              <w:t>Reduced proportionally by services</w:t>
            </w:r>
          </w:p>
        </w:tc>
        <w:tc>
          <w:tcPr>
            <w:tcW w:w="1190" w:type="dxa"/>
            <w:tcBorders>
              <w:bottom w:val="single" w:sz="4" w:space="0" w:color="auto"/>
            </w:tcBorders>
            <w:shd w:val="solid" w:color="000000" w:fill="000000"/>
          </w:tcPr>
          <w:p w14:paraId="63505946" w14:textId="3C004393" w:rsidR="00606130" w:rsidRPr="00185424" w:rsidRDefault="00185424" w:rsidP="00606130">
            <w:pPr>
              <w:spacing w:before="0"/>
              <w:jc w:val="center"/>
              <w:rPr>
                <w:rFonts w:ascii="Arial Narrow" w:eastAsia="Calibri" w:hAnsi="Arial Narrow" w:cs="Calibri"/>
                <w:color w:val="000000"/>
                <w:sz w:val="20"/>
                <w:szCs w:val="20"/>
              </w:rPr>
            </w:pPr>
            <w:r w:rsidRPr="00185424">
              <w:rPr>
                <w:rFonts w:ascii="Arial Narrow" w:eastAsia="Calibri" w:hAnsi="Arial Narrow" w:cs="Calibri"/>
                <w:color w:val="000000"/>
                <w:sz w:val="20"/>
                <w:szCs w:val="20"/>
                <w14:textFill>
                  <w14:solidFill>
                    <w14:srgbClr w14:val="000000">
                      <w14:alpha w14:val="100000"/>
                    </w14:srgbClr>
                  </w14:solidFill>
                </w14:textFill>
              </w:rPr>
              <w:t>|</w:t>
            </w:r>
          </w:p>
        </w:tc>
        <w:tc>
          <w:tcPr>
            <w:tcW w:w="1190" w:type="dxa"/>
            <w:tcBorders>
              <w:bottom w:val="single" w:sz="4" w:space="0" w:color="auto"/>
            </w:tcBorders>
            <w:shd w:val="solid" w:color="000000" w:fill="000000"/>
          </w:tcPr>
          <w:p w14:paraId="1C7DCB37" w14:textId="2A20AEC0" w:rsidR="00606130" w:rsidRPr="00185424" w:rsidRDefault="00185424" w:rsidP="00606130">
            <w:pPr>
              <w:spacing w:before="0"/>
              <w:jc w:val="center"/>
              <w:rPr>
                <w:rFonts w:ascii="Arial Narrow" w:eastAsia="Calibri" w:hAnsi="Arial Narrow" w:cs="Calibri"/>
                <w:color w:val="000000"/>
                <w:sz w:val="20"/>
                <w:szCs w:val="20"/>
              </w:rPr>
            </w:pPr>
            <w:r w:rsidRPr="00185424">
              <w:rPr>
                <w:rFonts w:ascii="Arial Narrow" w:eastAsia="Calibri" w:hAnsi="Arial Narrow" w:cs="Calibri"/>
                <w:color w:val="000000"/>
                <w:sz w:val="20"/>
                <w:szCs w:val="20"/>
                <w14:textFill>
                  <w14:solidFill>
                    <w14:srgbClr w14:val="000000">
                      <w14:alpha w14:val="100000"/>
                    </w14:srgbClr>
                  </w14:solidFill>
                </w14:textFill>
              </w:rPr>
              <w:t>|</w:t>
            </w:r>
          </w:p>
        </w:tc>
        <w:tc>
          <w:tcPr>
            <w:tcW w:w="1190" w:type="dxa"/>
            <w:tcBorders>
              <w:bottom w:val="single" w:sz="4" w:space="0" w:color="auto"/>
            </w:tcBorders>
            <w:shd w:val="solid" w:color="000000" w:fill="000000"/>
          </w:tcPr>
          <w:p w14:paraId="20E9CF54" w14:textId="3E95C28D" w:rsidR="00606130" w:rsidRPr="00185424" w:rsidRDefault="00185424" w:rsidP="00606130">
            <w:pPr>
              <w:spacing w:before="0"/>
              <w:jc w:val="center"/>
              <w:rPr>
                <w:rFonts w:ascii="Arial Narrow" w:eastAsia="Calibri" w:hAnsi="Arial Narrow" w:cs="Calibri"/>
                <w:color w:val="000000"/>
                <w:sz w:val="20"/>
                <w:szCs w:val="20"/>
              </w:rPr>
            </w:pPr>
            <w:r w:rsidRPr="00185424">
              <w:rPr>
                <w:rFonts w:ascii="Arial Narrow" w:eastAsia="Calibri" w:hAnsi="Arial Narrow" w:cs="Calibri"/>
                <w:color w:val="000000"/>
                <w:sz w:val="20"/>
                <w:szCs w:val="20"/>
                <w14:textFill>
                  <w14:solidFill>
                    <w14:srgbClr w14:val="000000">
                      <w14:alpha w14:val="100000"/>
                    </w14:srgbClr>
                  </w14:solidFill>
                </w14:textFill>
              </w:rPr>
              <w:t>|</w:t>
            </w:r>
          </w:p>
        </w:tc>
        <w:tc>
          <w:tcPr>
            <w:tcW w:w="1191" w:type="dxa"/>
            <w:tcBorders>
              <w:bottom w:val="single" w:sz="4" w:space="0" w:color="auto"/>
            </w:tcBorders>
            <w:shd w:val="solid" w:color="000000" w:fill="000000"/>
          </w:tcPr>
          <w:p w14:paraId="44C394E5" w14:textId="3E5222DC" w:rsidR="00606130" w:rsidRPr="00185424" w:rsidRDefault="00185424" w:rsidP="00606130">
            <w:pPr>
              <w:spacing w:before="0"/>
              <w:jc w:val="center"/>
              <w:rPr>
                <w:rFonts w:ascii="Arial Narrow" w:eastAsia="Calibri" w:hAnsi="Arial Narrow" w:cs="Calibri"/>
                <w:color w:val="000000"/>
                <w:sz w:val="20"/>
                <w:szCs w:val="20"/>
              </w:rPr>
            </w:pPr>
            <w:r w:rsidRPr="00185424">
              <w:rPr>
                <w:rFonts w:ascii="Arial Narrow" w:eastAsia="Calibri" w:hAnsi="Arial Narrow" w:cs="Calibri"/>
                <w:color w:val="000000"/>
                <w:sz w:val="20"/>
                <w:szCs w:val="20"/>
                <w14:textFill>
                  <w14:solidFill>
                    <w14:srgbClr w14:val="000000">
                      <w14:alpha w14:val="100000"/>
                    </w14:srgbClr>
                  </w14:solidFill>
                </w14:textFill>
              </w:rPr>
              <w:t>|</w:t>
            </w:r>
          </w:p>
        </w:tc>
      </w:tr>
      <w:tr w:rsidR="00606130" w:rsidRPr="005F5BEA" w14:paraId="371BAA28" w14:textId="77777777" w:rsidTr="00185424">
        <w:tc>
          <w:tcPr>
            <w:tcW w:w="873" w:type="dxa"/>
          </w:tcPr>
          <w:p w14:paraId="47D9296D" w14:textId="77777777" w:rsidR="00606130" w:rsidRPr="005F5BEA" w:rsidRDefault="00606130" w:rsidP="00606130">
            <w:pPr>
              <w:spacing w:before="0"/>
              <w:rPr>
                <w:rFonts w:ascii="Arial Narrow" w:eastAsia="Calibri" w:hAnsi="Arial Narrow" w:cs="Times New Roman"/>
                <w:sz w:val="20"/>
                <w:szCs w:val="20"/>
              </w:rPr>
            </w:pPr>
            <w:r w:rsidRPr="005F5BEA">
              <w:rPr>
                <w:rFonts w:ascii="Arial Narrow" w:eastAsia="Calibri" w:hAnsi="Arial Narrow" w:cs="Times New Roman"/>
                <w:sz w:val="20"/>
                <w:szCs w:val="20"/>
              </w:rPr>
              <w:t>C</w:t>
            </w:r>
          </w:p>
        </w:tc>
        <w:tc>
          <w:tcPr>
            <w:tcW w:w="3382" w:type="dxa"/>
            <w:vAlign w:val="center"/>
          </w:tcPr>
          <w:p w14:paraId="71170D3E" w14:textId="77777777" w:rsidR="00606130" w:rsidRPr="005F5BEA" w:rsidRDefault="00606130" w:rsidP="00606130">
            <w:pPr>
              <w:spacing w:before="0"/>
              <w:rPr>
                <w:rFonts w:ascii="Arial Narrow" w:eastAsia="Calibri" w:hAnsi="Arial Narrow" w:cs="Times New Roman"/>
                <w:sz w:val="20"/>
                <w:szCs w:val="20"/>
              </w:rPr>
            </w:pPr>
            <w:r w:rsidRPr="005F5BEA">
              <w:rPr>
                <w:rFonts w:ascii="Arial Narrow" w:eastAsia="Calibri" w:hAnsi="Arial Narrow" w:cs="Times New Roman"/>
                <w:sz w:val="20"/>
                <w:szCs w:val="20"/>
              </w:rPr>
              <w:t>Set as 30% of non-OH costs</w:t>
            </w:r>
          </w:p>
        </w:tc>
        <w:tc>
          <w:tcPr>
            <w:tcW w:w="1190" w:type="dxa"/>
            <w:tcBorders>
              <w:bottom w:val="single" w:sz="4" w:space="0" w:color="auto"/>
            </w:tcBorders>
            <w:shd w:val="solid" w:color="000000" w:fill="000000"/>
          </w:tcPr>
          <w:p w14:paraId="1C63EAC7" w14:textId="3EBD8F31" w:rsidR="00606130" w:rsidRPr="00185424" w:rsidRDefault="00185424" w:rsidP="00606130">
            <w:pPr>
              <w:spacing w:before="0"/>
              <w:jc w:val="center"/>
              <w:rPr>
                <w:rFonts w:ascii="Arial Narrow" w:eastAsia="Calibri" w:hAnsi="Arial Narrow" w:cs="Calibri"/>
                <w:color w:val="000000"/>
                <w:sz w:val="20"/>
                <w:szCs w:val="20"/>
              </w:rPr>
            </w:pPr>
            <w:r w:rsidRPr="00185424">
              <w:rPr>
                <w:rFonts w:ascii="Arial Narrow" w:eastAsia="Calibri" w:hAnsi="Arial Narrow" w:cs="Calibri"/>
                <w:color w:val="000000"/>
                <w:sz w:val="20"/>
                <w:szCs w:val="20"/>
                <w14:textFill>
                  <w14:solidFill>
                    <w14:srgbClr w14:val="000000">
                      <w14:alpha w14:val="100000"/>
                    </w14:srgbClr>
                  </w14:solidFill>
                </w14:textFill>
              </w:rPr>
              <w:t>|</w:t>
            </w:r>
          </w:p>
        </w:tc>
        <w:tc>
          <w:tcPr>
            <w:tcW w:w="1190" w:type="dxa"/>
            <w:tcBorders>
              <w:bottom w:val="single" w:sz="4" w:space="0" w:color="auto"/>
            </w:tcBorders>
            <w:shd w:val="solid" w:color="000000" w:fill="000000"/>
          </w:tcPr>
          <w:p w14:paraId="40329375" w14:textId="3E967BDC" w:rsidR="00606130" w:rsidRPr="00185424" w:rsidRDefault="00185424" w:rsidP="00606130">
            <w:pPr>
              <w:spacing w:before="0"/>
              <w:jc w:val="center"/>
              <w:rPr>
                <w:rFonts w:ascii="Arial Narrow" w:eastAsia="Calibri" w:hAnsi="Arial Narrow" w:cs="Calibri"/>
                <w:color w:val="000000"/>
                <w:sz w:val="20"/>
                <w:szCs w:val="20"/>
              </w:rPr>
            </w:pPr>
            <w:r w:rsidRPr="00185424">
              <w:rPr>
                <w:rFonts w:ascii="Arial Narrow" w:eastAsia="Calibri" w:hAnsi="Arial Narrow" w:cs="Calibri"/>
                <w:color w:val="000000"/>
                <w:sz w:val="20"/>
                <w:szCs w:val="20"/>
                <w14:textFill>
                  <w14:solidFill>
                    <w14:srgbClr w14:val="000000">
                      <w14:alpha w14:val="100000"/>
                    </w14:srgbClr>
                  </w14:solidFill>
                </w14:textFill>
              </w:rPr>
              <w:t>|</w:t>
            </w:r>
          </w:p>
        </w:tc>
        <w:tc>
          <w:tcPr>
            <w:tcW w:w="1190" w:type="dxa"/>
            <w:tcBorders>
              <w:bottom w:val="single" w:sz="4" w:space="0" w:color="auto"/>
            </w:tcBorders>
            <w:shd w:val="solid" w:color="000000" w:fill="000000"/>
          </w:tcPr>
          <w:p w14:paraId="6F4FCE10" w14:textId="10628C1D" w:rsidR="00606130" w:rsidRPr="00185424" w:rsidRDefault="00185424" w:rsidP="00606130">
            <w:pPr>
              <w:spacing w:before="0"/>
              <w:jc w:val="center"/>
              <w:rPr>
                <w:rFonts w:ascii="Arial Narrow" w:eastAsia="Calibri" w:hAnsi="Arial Narrow" w:cs="Calibri"/>
                <w:color w:val="000000"/>
                <w:sz w:val="20"/>
                <w:szCs w:val="20"/>
              </w:rPr>
            </w:pPr>
            <w:r w:rsidRPr="00185424">
              <w:rPr>
                <w:rFonts w:ascii="Arial Narrow" w:eastAsia="Calibri" w:hAnsi="Arial Narrow" w:cs="Calibri"/>
                <w:color w:val="000000"/>
                <w:sz w:val="20"/>
                <w:szCs w:val="20"/>
                <w14:textFill>
                  <w14:solidFill>
                    <w14:srgbClr w14:val="000000">
                      <w14:alpha w14:val="100000"/>
                    </w14:srgbClr>
                  </w14:solidFill>
                </w14:textFill>
              </w:rPr>
              <w:t>|</w:t>
            </w:r>
          </w:p>
        </w:tc>
        <w:tc>
          <w:tcPr>
            <w:tcW w:w="1191" w:type="dxa"/>
            <w:tcBorders>
              <w:bottom w:val="single" w:sz="4" w:space="0" w:color="auto"/>
            </w:tcBorders>
            <w:shd w:val="solid" w:color="000000" w:fill="000000"/>
          </w:tcPr>
          <w:p w14:paraId="63A11E7E" w14:textId="7B558DC3" w:rsidR="00606130" w:rsidRPr="00185424" w:rsidRDefault="00185424" w:rsidP="00606130">
            <w:pPr>
              <w:spacing w:before="0"/>
              <w:jc w:val="center"/>
              <w:rPr>
                <w:rFonts w:ascii="Arial Narrow" w:eastAsia="Calibri" w:hAnsi="Arial Narrow" w:cs="Calibri"/>
                <w:color w:val="000000"/>
                <w:sz w:val="20"/>
                <w:szCs w:val="20"/>
              </w:rPr>
            </w:pPr>
            <w:r w:rsidRPr="00185424">
              <w:rPr>
                <w:rFonts w:ascii="Arial Narrow" w:eastAsia="Calibri" w:hAnsi="Arial Narrow" w:cs="Calibri"/>
                <w:color w:val="000000"/>
                <w:sz w:val="20"/>
                <w:szCs w:val="20"/>
                <w14:textFill>
                  <w14:solidFill>
                    <w14:srgbClr w14:val="000000">
                      <w14:alpha w14:val="100000"/>
                    </w14:srgbClr>
                  </w14:solidFill>
                </w14:textFill>
              </w:rPr>
              <w:t>|</w:t>
            </w:r>
          </w:p>
        </w:tc>
      </w:tr>
      <w:tr w:rsidR="00606130" w:rsidRPr="005F5BEA" w14:paraId="468EE385" w14:textId="77777777" w:rsidTr="00185424">
        <w:tc>
          <w:tcPr>
            <w:tcW w:w="873" w:type="dxa"/>
          </w:tcPr>
          <w:p w14:paraId="3B5B86F7" w14:textId="77777777" w:rsidR="00606130" w:rsidRPr="005F5BEA" w:rsidRDefault="00606130" w:rsidP="00606130">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D</w:t>
            </w:r>
          </w:p>
        </w:tc>
        <w:tc>
          <w:tcPr>
            <w:tcW w:w="3382" w:type="dxa"/>
            <w:vAlign w:val="center"/>
          </w:tcPr>
          <w:p w14:paraId="415581AE" w14:textId="77777777" w:rsidR="00606130" w:rsidRPr="005F5BEA" w:rsidRDefault="00606130" w:rsidP="00606130">
            <w:pPr>
              <w:spacing w:before="0"/>
              <w:rPr>
                <w:rFonts w:ascii="Arial Narrow" w:eastAsia="Calibri" w:hAnsi="Arial Narrow" w:cs="Times New Roman"/>
                <w:sz w:val="20"/>
                <w:szCs w:val="20"/>
              </w:rPr>
            </w:pPr>
            <w:r w:rsidRPr="005F5BEA">
              <w:rPr>
                <w:rFonts w:ascii="Arial Narrow" w:eastAsia="Calibri" w:hAnsi="Arial Narrow" w:cs="Calibri"/>
                <w:color w:val="000000"/>
                <w:sz w:val="20"/>
                <w:szCs w:val="20"/>
              </w:rPr>
              <w:t>Applicant estimated costs</w:t>
            </w:r>
          </w:p>
        </w:tc>
        <w:tc>
          <w:tcPr>
            <w:tcW w:w="1190" w:type="dxa"/>
            <w:tcBorders>
              <w:bottom w:val="single" w:sz="4" w:space="0" w:color="auto"/>
            </w:tcBorders>
            <w:shd w:val="solid" w:color="000000" w:fill="000000"/>
          </w:tcPr>
          <w:p w14:paraId="085CC2C9" w14:textId="633CE902" w:rsidR="00606130" w:rsidRPr="00185424" w:rsidRDefault="00185424" w:rsidP="00606130">
            <w:pPr>
              <w:spacing w:before="0"/>
              <w:jc w:val="center"/>
              <w:rPr>
                <w:rFonts w:ascii="Arial Narrow" w:eastAsia="Calibri" w:hAnsi="Arial Narrow" w:cs="Calibri"/>
                <w:color w:val="000000"/>
                <w:sz w:val="20"/>
                <w:szCs w:val="20"/>
              </w:rPr>
            </w:pPr>
            <w:r w:rsidRPr="00185424">
              <w:rPr>
                <w:rFonts w:ascii="Arial Narrow" w:eastAsia="Calibri" w:hAnsi="Arial Narrow" w:cs="Calibri"/>
                <w:color w:val="000000"/>
                <w:sz w:val="20"/>
                <w:szCs w:val="20"/>
                <w14:textFill>
                  <w14:solidFill>
                    <w14:srgbClr w14:val="000000">
                      <w14:alpha w14:val="100000"/>
                    </w14:srgbClr>
                  </w14:solidFill>
                </w14:textFill>
              </w:rPr>
              <w:t>|</w:t>
            </w:r>
          </w:p>
        </w:tc>
        <w:tc>
          <w:tcPr>
            <w:tcW w:w="1190" w:type="dxa"/>
            <w:tcBorders>
              <w:bottom w:val="single" w:sz="4" w:space="0" w:color="auto"/>
            </w:tcBorders>
            <w:shd w:val="solid" w:color="000000" w:fill="000000"/>
          </w:tcPr>
          <w:p w14:paraId="69A952F0" w14:textId="7707593B" w:rsidR="00606130" w:rsidRPr="00185424" w:rsidRDefault="00185424" w:rsidP="00606130">
            <w:pPr>
              <w:spacing w:before="0"/>
              <w:jc w:val="center"/>
              <w:rPr>
                <w:rFonts w:ascii="Arial Narrow" w:eastAsia="Calibri" w:hAnsi="Arial Narrow" w:cs="Calibri"/>
                <w:color w:val="000000"/>
                <w:sz w:val="20"/>
                <w:szCs w:val="20"/>
              </w:rPr>
            </w:pPr>
            <w:r w:rsidRPr="00185424">
              <w:rPr>
                <w:rFonts w:ascii="Arial Narrow" w:eastAsia="Calibri" w:hAnsi="Arial Narrow" w:cs="Calibri"/>
                <w:color w:val="000000"/>
                <w:sz w:val="20"/>
                <w:szCs w:val="20"/>
                <w14:textFill>
                  <w14:solidFill>
                    <w14:srgbClr w14:val="000000">
                      <w14:alpha w14:val="100000"/>
                    </w14:srgbClr>
                  </w14:solidFill>
                </w14:textFill>
              </w:rPr>
              <w:t>|</w:t>
            </w:r>
          </w:p>
        </w:tc>
        <w:tc>
          <w:tcPr>
            <w:tcW w:w="1190" w:type="dxa"/>
            <w:tcBorders>
              <w:bottom w:val="single" w:sz="4" w:space="0" w:color="auto"/>
            </w:tcBorders>
            <w:shd w:val="solid" w:color="000000" w:fill="000000"/>
          </w:tcPr>
          <w:p w14:paraId="1FDFAAB0" w14:textId="572A6A7E" w:rsidR="00606130" w:rsidRPr="00185424" w:rsidRDefault="00185424" w:rsidP="00606130">
            <w:pPr>
              <w:spacing w:before="0"/>
              <w:jc w:val="center"/>
              <w:rPr>
                <w:rFonts w:ascii="Arial Narrow" w:eastAsia="Calibri" w:hAnsi="Arial Narrow" w:cs="Calibri"/>
                <w:color w:val="000000"/>
                <w:sz w:val="20"/>
                <w:szCs w:val="20"/>
              </w:rPr>
            </w:pPr>
            <w:r w:rsidRPr="00185424">
              <w:rPr>
                <w:rFonts w:ascii="Arial Narrow" w:eastAsia="Calibri" w:hAnsi="Arial Narrow" w:cs="Calibri"/>
                <w:color w:val="000000"/>
                <w:sz w:val="20"/>
                <w:szCs w:val="20"/>
                <w14:textFill>
                  <w14:solidFill>
                    <w14:srgbClr w14:val="000000">
                      <w14:alpha w14:val="100000"/>
                    </w14:srgbClr>
                  </w14:solidFill>
                </w14:textFill>
              </w:rPr>
              <w:t>|</w:t>
            </w:r>
          </w:p>
        </w:tc>
        <w:tc>
          <w:tcPr>
            <w:tcW w:w="1191" w:type="dxa"/>
            <w:tcBorders>
              <w:bottom w:val="single" w:sz="4" w:space="0" w:color="auto"/>
            </w:tcBorders>
            <w:shd w:val="solid" w:color="000000" w:fill="000000"/>
          </w:tcPr>
          <w:p w14:paraId="62A3F22F" w14:textId="1B8BE3C2" w:rsidR="00606130" w:rsidRPr="00185424" w:rsidRDefault="00185424" w:rsidP="00606130">
            <w:pPr>
              <w:spacing w:before="0"/>
              <w:jc w:val="center"/>
              <w:rPr>
                <w:rFonts w:ascii="Arial Narrow" w:eastAsia="Calibri" w:hAnsi="Arial Narrow" w:cs="Calibri"/>
                <w:color w:val="000000"/>
                <w:sz w:val="20"/>
                <w:szCs w:val="20"/>
              </w:rPr>
            </w:pPr>
            <w:r w:rsidRPr="00185424">
              <w:rPr>
                <w:rFonts w:ascii="Arial Narrow" w:eastAsia="Calibri" w:hAnsi="Arial Narrow" w:cs="Calibri"/>
                <w:color w:val="000000"/>
                <w:sz w:val="20"/>
                <w:szCs w:val="20"/>
                <w14:textFill>
                  <w14:solidFill>
                    <w14:srgbClr w14:val="000000">
                      <w14:alpha w14:val="100000"/>
                    </w14:srgbClr>
                  </w14:solidFill>
                </w14:textFill>
              </w:rPr>
              <w:t>|</w:t>
            </w:r>
          </w:p>
        </w:tc>
      </w:tr>
      <w:tr w:rsidR="00606130" w:rsidRPr="005F5BEA" w14:paraId="46581E74" w14:textId="77777777" w:rsidTr="00185424">
        <w:tc>
          <w:tcPr>
            <w:tcW w:w="873" w:type="dxa"/>
          </w:tcPr>
          <w:p w14:paraId="72BB351D" w14:textId="77777777" w:rsidR="00606130" w:rsidRPr="005F5BEA" w:rsidRDefault="00606130" w:rsidP="00606130">
            <w:pPr>
              <w:spacing w:before="0"/>
              <w:rPr>
                <w:rFonts w:ascii="Arial Narrow" w:eastAsia="Calibri" w:hAnsi="Arial Narrow" w:cs="Calibri"/>
                <w:color w:val="000000"/>
                <w:sz w:val="20"/>
                <w:szCs w:val="20"/>
              </w:rPr>
            </w:pPr>
            <w:r w:rsidRPr="005F5BEA">
              <w:rPr>
                <w:rFonts w:ascii="Arial Narrow" w:eastAsia="Calibri" w:hAnsi="Arial Narrow" w:cs="Calibri"/>
                <w:color w:val="000000"/>
                <w:sz w:val="20"/>
                <w:szCs w:val="20"/>
              </w:rPr>
              <w:t>E</w:t>
            </w:r>
          </w:p>
        </w:tc>
        <w:tc>
          <w:tcPr>
            <w:tcW w:w="3382" w:type="dxa"/>
            <w:vAlign w:val="center"/>
          </w:tcPr>
          <w:p w14:paraId="12F18489" w14:textId="77777777" w:rsidR="00606130" w:rsidRPr="005F5BEA" w:rsidRDefault="00606130" w:rsidP="00606130">
            <w:pPr>
              <w:spacing w:before="0"/>
              <w:rPr>
                <w:rFonts w:ascii="Arial Narrow" w:eastAsia="Calibri" w:hAnsi="Arial Narrow" w:cs="Times New Roman"/>
                <w:sz w:val="20"/>
                <w:szCs w:val="20"/>
              </w:rPr>
            </w:pPr>
            <w:r w:rsidRPr="005F5BEA">
              <w:rPr>
                <w:rFonts w:ascii="Arial Narrow" w:eastAsia="Calibri" w:hAnsi="Arial Narrow" w:cs="Calibri"/>
                <w:color w:val="000000"/>
                <w:sz w:val="20"/>
                <w:szCs w:val="20"/>
              </w:rPr>
              <w:t>Removing 2 most costly companies</w:t>
            </w:r>
          </w:p>
        </w:tc>
        <w:tc>
          <w:tcPr>
            <w:tcW w:w="1190" w:type="dxa"/>
            <w:shd w:val="solid" w:color="000000" w:fill="000000"/>
          </w:tcPr>
          <w:p w14:paraId="56763DEE" w14:textId="3196731A" w:rsidR="00606130" w:rsidRPr="00185424" w:rsidRDefault="00185424" w:rsidP="00606130">
            <w:pPr>
              <w:spacing w:before="0"/>
              <w:jc w:val="center"/>
              <w:rPr>
                <w:rFonts w:ascii="Arial Narrow" w:eastAsia="Calibri" w:hAnsi="Arial Narrow" w:cs="Calibri"/>
                <w:color w:val="000000"/>
                <w:sz w:val="20"/>
                <w:szCs w:val="20"/>
              </w:rPr>
            </w:pPr>
            <w:r w:rsidRPr="00185424">
              <w:rPr>
                <w:rFonts w:ascii="Arial Narrow" w:eastAsia="Calibri" w:hAnsi="Arial Narrow" w:cs="Calibri"/>
                <w:color w:val="000000"/>
                <w:sz w:val="20"/>
                <w:szCs w:val="20"/>
                <w14:textFill>
                  <w14:solidFill>
                    <w14:srgbClr w14:val="000000">
                      <w14:alpha w14:val="100000"/>
                    </w14:srgbClr>
                  </w14:solidFill>
                </w14:textFill>
              </w:rPr>
              <w:t>|</w:t>
            </w:r>
          </w:p>
        </w:tc>
        <w:tc>
          <w:tcPr>
            <w:tcW w:w="1190" w:type="dxa"/>
            <w:shd w:val="solid" w:color="000000" w:fill="000000"/>
          </w:tcPr>
          <w:p w14:paraId="1132BC37" w14:textId="2E8B1964" w:rsidR="00606130" w:rsidRPr="00185424" w:rsidRDefault="00185424" w:rsidP="00606130">
            <w:pPr>
              <w:spacing w:before="0"/>
              <w:jc w:val="center"/>
              <w:rPr>
                <w:rFonts w:ascii="Arial Narrow" w:eastAsia="Calibri" w:hAnsi="Arial Narrow" w:cs="Calibri"/>
                <w:color w:val="000000"/>
                <w:sz w:val="20"/>
                <w:szCs w:val="20"/>
              </w:rPr>
            </w:pPr>
            <w:r w:rsidRPr="00185424">
              <w:rPr>
                <w:rFonts w:ascii="Arial Narrow" w:eastAsia="Calibri" w:hAnsi="Arial Narrow" w:cs="Calibri"/>
                <w:color w:val="000000"/>
                <w:sz w:val="20"/>
                <w:szCs w:val="20"/>
                <w14:textFill>
                  <w14:solidFill>
                    <w14:srgbClr w14:val="000000">
                      <w14:alpha w14:val="100000"/>
                    </w14:srgbClr>
                  </w14:solidFill>
                </w14:textFill>
              </w:rPr>
              <w:t>|</w:t>
            </w:r>
          </w:p>
        </w:tc>
        <w:tc>
          <w:tcPr>
            <w:tcW w:w="1190" w:type="dxa"/>
            <w:shd w:val="solid" w:color="000000" w:fill="000000"/>
          </w:tcPr>
          <w:p w14:paraId="626B3AE8" w14:textId="1EE4D8AD" w:rsidR="00606130" w:rsidRPr="00185424" w:rsidRDefault="00185424" w:rsidP="00606130">
            <w:pPr>
              <w:spacing w:before="0"/>
              <w:jc w:val="center"/>
              <w:rPr>
                <w:rFonts w:ascii="Arial Narrow" w:eastAsia="Calibri" w:hAnsi="Arial Narrow" w:cs="Calibri"/>
                <w:color w:val="000000"/>
                <w:sz w:val="20"/>
                <w:szCs w:val="20"/>
              </w:rPr>
            </w:pPr>
            <w:r w:rsidRPr="00185424">
              <w:rPr>
                <w:rFonts w:ascii="Arial Narrow" w:eastAsia="Calibri" w:hAnsi="Arial Narrow" w:cs="Calibri"/>
                <w:color w:val="000000"/>
                <w:sz w:val="20"/>
                <w:szCs w:val="20"/>
                <w14:textFill>
                  <w14:solidFill>
                    <w14:srgbClr w14:val="000000">
                      <w14:alpha w14:val="100000"/>
                    </w14:srgbClr>
                  </w14:solidFill>
                </w14:textFill>
              </w:rPr>
              <w:t>|</w:t>
            </w:r>
          </w:p>
        </w:tc>
        <w:tc>
          <w:tcPr>
            <w:tcW w:w="1191" w:type="dxa"/>
            <w:shd w:val="solid" w:color="000000" w:fill="000000"/>
          </w:tcPr>
          <w:p w14:paraId="46BFC793" w14:textId="0369A783" w:rsidR="00606130" w:rsidRPr="00185424" w:rsidRDefault="00185424" w:rsidP="00606130">
            <w:pPr>
              <w:spacing w:before="0"/>
              <w:jc w:val="center"/>
              <w:rPr>
                <w:rFonts w:ascii="Arial Narrow" w:eastAsia="Calibri" w:hAnsi="Arial Narrow" w:cs="Calibri"/>
                <w:color w:val="000000"/>
                <w:sz w:val="20"/>
                <w:szCs w:val="20"/>
              </w:rPr>
            </w:pPr>
            <w:r w:rsidRPr="00185424">
              <w:rPr>
                <w:rFonts w:ascii="Arial Narrow" w:eastAsia="Calibri" w:hAnsi="Arial Narrow" w:cs="Calibri"/>
                <w:color w:val="000000"/>
                <w:sz w:val="20"/>
                <w:szCs w:val="20"/>
                <w14:textFill>
                  <w14:solidFill>
                    <w14:srgbClr w14:val="000000">
                      <w14:alpha w14:val="100000"/>
                    </w14:srgbClr>
                  </w14:solidFill>
                </w14:textFill>
              </w:rPr>
              <w:t>|</w:t>
            </w:r>
          </w:p>
        </w:tc>
      </w:tr>
    </w:tbl>
    <w:p w14:paraId="3D952FFE" w14:textId="77777777" w:rsidR="001454B1" w:rsidRPr="005F5BEA" w:rsidRDefault="001454B1" w:rsidP="001454B1">
      <w:pPr>
        <w:spacing w:after="240"/>
        <w:contextualSpacing/>
        <w:jc w:val="both"/>
        <w:rPr>
          <w:rFonts w:ascii="Arial Narrow" w:eastAsia="Calibri" w:hAnsi="Arial Narrow" w:cs="Arial"/>
          <w:i/>
          <w:iCs/>
          <w:sz w:val="18"/>
        </w:rPr>
      </w:pPr>
      <w:r w:rsidRPr="005F5BEA">
        <w:rPr>
          <w:rFonts w:ascii="Arial Narrow" w:eastAsia="Calibri" w:hAnsi="Arial Narrow" w:cs="Arial"/>
          <w:sz w:val="18"/>
        </w:rPr>
        <w:t xml:space="preserve">Source: generated from the Utilisation and Cost Model Spreadsheet. </w:t>
      </w:r>
      <w:r w:rsidRPr="005F5BEA">
        <w:rPr>
          <w:rFonts w:ascii="Arial Narrow" w:eastAsia="Calibri" w:hAnsi="Arial Narrow" w:cs="Arial"/>
          <w:i/>
          <w:iCs/>
          <w:sz w:val="18"/>
        </w:rPr>
        <w:t xml:space="preserve">See </w:t>
      </w:r>
      <w:proofErr w:type="gramStart"/>
      <w:r w:rsidRPr="005F5BEA">
        <w:rPr>
          <w:rFonts w:ascii="Arial Narrow" w:eastAsia="Calibri" w:hAnsi="Arial Narrow" w:cs="Arial"/>
          <w:i/>
          <w:iCs/>
          <w:sz w:val="18"/>
        </w:rPr>
        <w:t>Support!B254:F266</w:t>
      </w:r>
      <w:proofErr w:type="gramEnd"/>
      <w:r w:rsidRPr="005F5BEA">
        <w:rPr>
          <w:rFonts w:ascii="Arial Narrow" w:eastAsia="Calibri" w:hAnsi="Arial Narrow" w:cs="Arial"/>
          <w:i/>
          <w:iCs/>
          <w:sz w:val="18"/>
        </w:rPr>
        <w:t xml:space="preserve"> of the updated spreadsheet. </w:t>
      </w:r>
    </w:p>
    <w:p w14:paraId="1F5EF3AC"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Description of derivation of overhead costs:</w:t>
      </w:r>
    </w:p>
    <w:p w14:paraId="18B6E381" w14:textId="74FADA94"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 xml:space="preserve">A This estimate (presented in </w:t>
      </w:r>
      <w:r w:rsidRPr="005F5BEA">
        <w:rPr>
          <w:rFonts w:ascii="Arial Narrow" w:eastAsia="Calibri" w:hAnsi="Arial Narrow" w:cs="Arial"/>
          <w:sz w:val="18"/>
        </w:rPr>
        <w:fldChar w:fldCharType="begin"/>
      </w:r>
      <w:r w:rsidRPr="005F5BEA">
        <w:rPr>
          <w:rFonts w:ascii="Arial Narrow" w:eastAsia="Calibri" w:hAnsi="Arial Narrow" w:cs="Arial"/>
          <w:sz w:val="18"/>
        </w:rPr>
        <w:instrText xml:space="preserve"> REF _Ref135131869 \h  \* MERGEFORMAT </w:instrText>
      </w:r>
      <w:r w:rsidRPr="005F5BEA">
        <w:rPr>
          <w:rFonts w:ascii="Arial Narrow" w:eastAsia="Calibri" w:hAnsi="Arial Narrow" w:cs="Arial"/>
          <w:sz w:val="18"/>
        </w:rPr>
      </w:r>
      <w:r w:rsidRPr="005F5BEA">
        <w:rPr>
          <w:rFonts w:ascii="Arial Narrow" w:eastAsia="Calibri" w:hAnsi="Arial Narrow" w:cs="Arial"/>
          <w:sz w:val="18"/>
        </w:rPr>
        <w:fldChar w:fldCharType="separate"/>
      </w:r>
      <w:r w:rsidR="00334548" w:rsidRPr="00334548">
        <w:rPr>
          <w:rFonts w:ascii="Arial Narrow" w:eastAsia="Calibri" w:hAnsi="Arial Narrow" w:cs="Arial"/>
          <w:sz w:val="18"/>
        </w:rPr>
        <w:t xml:space="preserve">Table </w:t>
      </w:r>
      <w:r w:rsidR="00334548" w:rsidRPr="00334548">
        <w:rPr>
          <w:rFonts w:ascii="Arial Narrow" w:eastAsia="Calibri" w:hAnsi="Arial Narrow" w:cs="Arial"/>
          <w:noProof/>
          <w:sz w:val="18"/>
        </w:rPr>
        <w:t>30</w:t>
      </w:r>
      <w:r w:rsidRPr="005F5BEA">
        <w:rPr>
          <w:rFonts w:ascii="Arial Narrow" w:eastAsia="Calibri" w:hAnsi="Arial Narrow" w:cs="Arial"/>
          <w:sz w:val="18"/>
        </w:rPr>
        <w:fldChar w:fldCharType="end"/>
      </w:r>
      <w:r w:rsidRPr="005F5BEA">
        <w:rPr>
          <w:rFonts w:ascii="Arial Narrow" w:eastAsia="Calibri" w:hAnsi="Arial Narrow" w:cs="Arial"/>
          <w:sz w:val="18"/>
        </w:rPr>
        <w:t>) is based on 30% of the non-overhead costs after the incorporation of Round 2 data. This estimate is not varied with subsequent changes to costs or services.</w:t>
      </w:r>
    </w:p>
    <w:p w14:paraId="3B42936C"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B This estimate represents (A) reduced by 22.1% to account for the loss of services provided in the public sector and peri-implantation services</w:t>
      </w:r>
    </w:p>
    <w:p w14:paraId="041E5B9F"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C This estimate represents 30% of non-overhead costs after reductions in services and reductions in wages, training and onboarding costs are applied</w:t>
      </w:r>
    </w:p>
    <w:p w14:paraId="1BAD9DE2" w14:textId="712B0709"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D This estimate represents the applicant’s estimate of overhead costs derived from the survey of 5 companies. The initial estimate is $31,648,755 across both public and private sectors in 2022. The estimate used in this analysis is $</w:t>
      </w:r>
      <w:r w:rsidR="00D865D4" w:rsidRPr="00C97E03">
        <w:rPr>
          <w:rFonts w:ascii="Arial Narrow" w:eastAsia="Calibri" w:hAnsi="Arial Narrow" w:cs="Arial"/>
          <w:color w:val="000000"/>
          <w:spacing w:val="5"/>
          <w:w w:val="50"/>
          <w:sz w:val="18"/>
          <w:shd w:val="solid" w:color="000000" w:fill="000000"/>
          <w:fitText w:val="145" w:id="-1157882612"/>
          <w14:textFill>
            <w14:solidFill>
              <w14:srgbClr w14:val="000000">
                <w14:alpha w14:val="100000"/>
              </w14:srgbClr>
            </w14:solidFill>
          </w14:textFill>
        </w:rPr>
        <w:t>|</w:t>
      </w:r>
      <w:proofErr w:type="gramStart"/>
      <w:r w:rsidR="00D865D4" w:rsidRPr="00C97E03">
        <w:rPr>
          <w:rFonts w:ascii="Arial Narrow" w:eastAsia="Calibri" w:hAnsi="Arial Narrow" w:cs="Arial"/>
          <w:color w:val="000000"/>
          <w:spacing w:val="5"/>
          <w:w w:val="50"/>
          <w:sz w:val="18"/>
          <w:shd w:val="solid" w:color="000000" w:fill="000000"/>
          <w:fitText w:val="145" w:id="-1157882612"/>
          <w14:textFill>
            <w14:solidFill>
              <w14:srgbClr w14:val="000000">
                <w14:alpha w14:val="100000"/>
              </w14:srgbClr>
            </w14:solidFill>
          </w14:textFill>
        </w:rPr>
        <w:t>|  |</w:t>
      </w:r>
      <w:proofErr w:type="gramEnd"/>
      <w:r w:rsidR="00D865D4" w:rsidRPr="00C97E03">
        <w:rPr>
          <w:rFonts w:ascii="Arial Narrow" w:eastAsia="Calibri" w:hAnsi="Arial Narrow" w:cs="Arial"/>
          <w:color w:val="000000"/>
          <w:spacing w:val="3"/>
          <w:w w:val="50"/>
          <w:sz w:val="18"/>
          <w:shd w:val="solid" w:color="000000" w:fill="000000"/>
          <w:fitText w:val="145" w:id="-1157882612"/>
          <w14:textFill>
            <w14:solidFill>
              <w14:srgbClr w14:val="000000">
                <w14:alpha w14:val="100000"/>
              </w14:srgbClr>
            </w14:solidFill>
          </w14:textFill>
        </w:rPr>
        <w:t>|</w:t>
      </w:r>
      <w:r w:rsidRPr="005F5BEA">
        <w:rPr>
          <w:rFonts w:ascii="Arial Narrow" w:eastAsia="Calibri" w:hAnsi="Arial Narrow" w:cs="Arial"/>
          <w:sz w:val="18"/>
        </w:rPr>
        <w:t>, which is the amount that the Utilisation and Cost Model spreadsheet allocates to the private sector (approximately 72.8%)</w:t>
      </w:r>
    </w:p>
    <w:p w14:paraId="6E8EA6A3" w14:textId="07AEEAC1" w:rsidR="001454B1" w:rsidRPr="005F5BEA" w:rsidRDefault="001454B1" w:rsidP="00C63874">
      <w:pPr>
        <w:spacing w:before="0" w:after="240"/>
        <w:jc w:val="both"/>
        <w:rPr>
          <w:rFonts w:ascii="Arial Narrow" w:eastAsia="Calibri" w:hAnsi="Arial Narrow" w:cs="Arial"/>
          <w:sz w:val="18"/>
        </w:rPr>
      </w:pPr>
      <w:r w:rsidRPr="005F5BEA">
        <w:rPr>
          <w:rFonts w:ascii="Arial Narrow" w:eastAsia="Calibri" w:hAnsi="Arial Narrow" w:cs="Arial"/>
          <w:sz w:val="18"/>
        </w:rPr>
        <w:t xml:space="preserve">E This estimate removes the two most costly companies, as per </w:t>
      </w:r>
      <w:r w:rsidRPr="005F5BEA">
        <w:rPr>
          <w:rFonts w:ascii="Arial Narrow" w:eastAsia="Calibri" w:hAnsi="Arial Narrow" w:cs="Arial"/>
          <w:sz w:val="18"/>
        </w:rPr>
        <w:fldChar w:fldCharType="begin"/>
      </w:r>
      <w:r w:rsidRPr="005F5BEA">
        <w:rPr>
          <w:rFonts w:ascii="Arial Narrow" w:eastAsia="Calibri" w:hAnsi="Arial Narrow" w:cs="Arial"/>
          <w:sz w:val="18"/>
        </w:rPr>
        <w:instrText xml:space="preserve"> REF _Ref135132353 \h  \* MERGEFORMAT </w:instrText>
      </w:r>
      <w:r w:rsidRPr="005F5BEA">
        <w:rPr>
          <w:rFonts w:ascii="Arial Narrow" w:eastAsia="Calibri" w:hAnsi="Arial Narrow" w:cs="Arial"/>
          <w:sz w:val="18"/>
        </w:rPr>
      </w:r>
      <w:r w:rsidRPr="005F5BEA">
        <w:rPr>
          <w:rFonts w:ascii="Arial Narrow" w:eastAsia="Calibri" w:hAnsi="Arial Narrow" w:cs="Arial"/>
          <w:sz w:val="18"/>
        </w:rPr>
        <w:fldChar w:fldCharType="separate"/>
      </w:r>
      <w:r w:rsidR="00334548" w:rsidRPr="00334548">
        <w:rPr>
          <w:rFonts w:ascii="Arial Narrow" w:eastAsia="Calibri" w:hAnsi="Arial Narrow" w:cs="Arial"/>
          <w:sz w:val="18"/>
        </w:rPr>
        <w:t xml:space="preserve">Table </w:t>
      </w:r>
      <w:r w:rsidR="00334548" w:rsidRPr="00334548">
        <w:rPr>
          <w:rFonts w:ascii="Arial Narrow" w:eastAsia="Calibri" w:hAnsi="Arial Narrow" w:cs="Arial"/>
          <w:noProof/>
          <w:sz w:val="18"/>
        </w:rPr>
        <w:t>31</w:t>
      </w:r>
      <w:r w:rsidRPr="005F5BEA">
        <w:rPr>
          <w:rFonts w:ascii="Arial Narrow" w:eastAsia="Calibri" w:hAnsi="Arial Narrow" w:cs="Arial"/>
          <w:sz w:val="18"/>
        </w:rPr>
        <w:fldChar w:fldCharType="end"/>
      </w:r>
      <w:r w:rsidRPr="005F5BEA">
        <w:rPr>
          <w:rFonts w:ascii="Arial Narrow" w:eastAsia="Calibri" w:hAnsi="Arial Narrow" w:cs="Arial"/>
          <w:sz w:val="18"/>
        </w:rPr>
        <w:t xml:space="preserve">. This estimate represents 87.6% of the non-overhead costs of the MSAC revised estimates (after removing public services, peri-implantation services, reducing onboarding costs, reducing certification </w:t>
      </w:r>
      <w:proofErr w:type="gramStart"/>
      <w:r w:rsidRPr="005F5BEA">
        <w:rPr>
          <w:rFonts w:ascii="Arial Narrow" w:eastAsia="Calibri" w:hAnsi="Arial Narrow" w:cs="Arial"/>
          <w:sz w:val="18"/>
        </w:rPr>
        <w:t>frequency</w:t>
      </w:r>
      <w:proofErr w:type="gramEnd"/>
      <w:r w:rsidRPr="005F5BEA">
        <w:rPr>
          <w:rFonts w:ascii="Arial Narrow" w:eastAsia="Calibri" w:hAnsi="Arial Narrow" w:cs="Arial"/>
          <w:sz w:val="18"/>
        </w:rPr>
        <w:t xml:space="preserve"> and reducing IECT wages). This proportion has been used to generate an estimate of overhead costs for 2023-2025.</w:t>
      </w:r>
    </w:p>
    <w:p w14:paraId="7E9FC78C" w14:textId="69CDFF2E" w:rsidR="001454B1" w:rsidRPr="00C63874" w:rsidRDefault="001454B1" w:rsidP="00C63874">
      <w:r w:rsidRPr="005F5BEA">
        <w:t xml:space="preserve">The MSAC updated model results in a total cost of $37,599,148 for providing cardiac technical support services in 2022. The impact of using alternative estimates for overhead costs on total cost of providing services is presented in </w:t>
      </w:r>
      <w:r w:rsidRPr="005F5BEA">
        <w:fldChar w:fldCharType="begin"/>
      </w:r>
      <w:r w:rsidRPr="005F5BEA">
        <w:instrText xml:space="preserve"> REF _Ref135146831 \h  \* MERGEFORMAT </w:instrText>
      </w:r>
      <w:r w:rsidRPr="005F5BEA">
        <w:fldChar w:fldCharType="separate"/>
      </w:r>
      <w:r w:rsidR="00334548" w:rsidRPr="00334548">
        <w:t xml:space="preserve">Table </w:t>
      </w:r>
      <w:r w:rsidR="00334548" w:rsidRPr="00334548">
        <w:rPr>
          <w:noProof/>
        </w:rPr>
        <w:t>33</w:t>
      </w:r>
      <w:r w:rsidRPr="005F5BEA">
        <w:fldChar w:fldCharType="end"/>
      </w:r>
      <w:r w:rsidRPr="005F5BEA">
        <w:t>.</w:t>
      </w:r>
      <w:r w:rsidRPr="005F5BEA">
        <w:rPr>
          <w:rFonts w:ascii="Calibri" w:eastAsia="Calibri" w:hAnsi="Calibri" w:cs="Times New Roman"/>
          <w:i/>
        </w:rPr>
        <w:br w:type="page"/>
      </w:r>
    </w:p>
    <w:p w14:paraId="58E2C9C5" w14:textId="7CF82D14" w:rsidR="001454B1" w:rsidRPr="005F5BEA" w:rsidRDefault="001454B1" w:rsidP="001454B1">
      <w:pPr>
        <w:keepNext/>
        <w:spacing w:before="0" w:after="200" w:line="240" w:lineRule="auto"/>
        <w:rPr>
          <w:rFonts w:ascii="Arial Narrow" w:eastAsia="Calibri" w:hAnsi="Arial Narrow" w:cs="Times New Roman"/>
          <w:b/>
          <w:iCs/>
          <w:sz w:val="20"/>
          <w:szCs w:val="20"/>
        </w:rPr>
      </w:pPr>
      <w:bookmarkStart w:id="52" w:name="_Ref135146831"/>
      <w:bookmarkStart w:id="53" w:name="_Hlk137226372"/>
      <w:r w:rsidRPr="005F5BEA">
        <w:rPr>
          <w:rFonts w:ascii="Arial Narrow" w:eastAsia="Calibri" w:hAnsi="Arial Narrow" w:cs="Times New Roman"/>
          <w:b/>
          <w:iCs/>
          <w:sz w:val="20"/>
          <w:szCs w:val="20"/>
        </w:rPr>
        <w:lastRenderedPageBreak/>
        <w:t xml:space="preserve">Table </w:t>
      </w:r>
      <w:r w:rsidRPr="005F5BEA">
        <w:rPr>
          <w:rFonts w:ascii="Arial Narrow" w:eastAsia="Calibri" w:hAnsi="Arial Narrow" w:cs="Times New Roman"/>
          <w:b/>
          <w:iCs/>
          <w:sz w:val="20"/>
          <w:szCs w:val="20"/>
        </w:rPr>
        <w:fldChar w:fldCharType="begin"/>
      </w:r>
      <w:r w:rsidRPr="005F5BEA">
        <w:rPr>
          <w:rFonts w:ascii="Arial Narrow" w:eastAsia="Calibri" w:hAnsi="Arial Narrow" w:cs="Times New Roman"/>
          <w:b/>
          <w:iCs/>
          <w:sz w:val="20"/>
          <w:szCs w:val="20"/>
        </w:rPr>
        <w:instrText xml:space="preserve"> SEQ Table \* ARABIC </w:instrText>
      </w:r>
      <w:r w:rsidRPr="005F5BEA">
        <w:rPr>
          <w:rFonts w:ascii="Arial Narrow" w:eastAsia="Calibri" w:hAnsi="Arial Narrow" w:cs="Times New Roman"/>
          <w:b/>
          <w:iCs/>
          <w:sz w:val="20"/>
          <w:szCs w:val="20"/>
        </w:rPr>
        <w:fldChar w:fldCharType="separate"/>
      </w:r>
      <w:r w:rsidR="00334548">
        <w:rPr>
          <w:rFonts w:ascii="Arial Narrow" w:eastAsia="Calibri" w:hAnsi="Arial Narrow" w:cs="Times New Roman"/>
          <w:b/>
          <w:iCs/>
          <w:noProof/>
          <w:sz w:val="20"/>
          <w:szCs w:val="20"/>
        </w:rPr>
        <w:t>33</w:t>
      </w:r>
      <w:r w:rsidRPr="005F5BEA">
        <w:rPr>
          <w:rFonts w:ascii="Arial Narrow" w:eastAsia="Calibri" w:hAnsi="Arial Narrow" w:cs="Times New Roman"/>
          <w:b/>
          <w:iCs/>
          <w:noProof/>
          <w:sz w:val="20"/>
          <w:szCs w:val="20"/>
        </w:rPr>
        <w:fldChar w:fldCharType="end"/>
      </w:r>
      <w:bookmarkEnd w:id="52"/>
      <w:r w:rsidRPr="005F5BEA">
        <w:rPr>
          <w:rFonts w:ascii="Arial Narrow" w:eastAsia="Calibri" w:hAnsi="Arial Narrow" w:cs="Times New Roman"/>
          <w:b/>
          <w:iCs/>
          <w:sz w:val="20"/>
          <w:szCs w:val="20"/>
        </w:rPr>
        <w:tab/>
        <w:t xml:space="preserve">Sensitivity analyses applying alternative estimates of overhead </w:t>
      </w:r>
      <w:proofErr w:type="gramStart"/>
      <w:r w:rsidRPr="005F5BEA">
        <w:rPr>
          <w:rFonts w:ascii="Arial Narrow" w:eastAsia="Calibri" w:hAnsi="Arial Narrow" w:cs="Times New Roman"/>
          <w:b/>
          <w:iCs/>
          <w:sz w:val="20"/>
          <w:szCs w:val="20"/>
        </w:rPr>
        <w:t>costs</w:t>
      </w:r>
      <w:proofErr w:type="gramEnd"/>
    </w:p>
    <w:tbl>
      <w:tblPr>
        <w:tblStyle w:val="TableGrid1"/>
        <w:tblW w:w="5000" w:type="pct"/>
        <w:tblLook w:val="04A0" w:firstRow="1" w:lastRow="0" w:firstColumn="1" w:lastColumn="0" w:noHBand="0" w:noVBand="1"/>
      </w:tblPr>
      <w:tblGrid>
        <w:gridCol w:w="3486"/>
        <w:gridCol w:w="1382"/>
        <w:gridCol w:w="1383"/>
        <w:gridCol w:w="1382"/>
        <w:gridCol w:w="1383"/>
      </w:tblGrid>
      <w:tr w:rsidR="001454B1" w:rsidRPr="005F5BEA" w14:paraId="2B8A5A47" w14:textId="77777777" w:rsidTr="00032276">
        <w:tc>
          <w:tcPr>
            <w:tcW w:w="3486" w:type="dxa"/>
          </w:tcPr>
          <w:bookmarkEnd w:id="53"/>
          <w:p w14:paraId="0F636DED"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Data</w:t>
            </w:r>
          </w:p>
        </w:tc>
        <w:tc>
          <w:tcPr>
            <w:tcW w:w="1382" w:type="dxa"/>
          </w:tcPr>
          <w:p w14:paraId="747CCB07"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2022</w:t>
            </w:r>
          </w:p>
        </w:tc>
        <w:tc>
          <w:tcPr>
            <w:tcW w:w="1383" w:type="dxa"/>
          </w:tcPr>
          <w:p w14:paraId="7285B2A4"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2023</w:t>
            </w:r>
          </w:p>
        </w:tc>
        <w:tc>
          <w:tcPr>
            <w:tcW w:w="1382" w:type="dxa"/>
          </w:tcPr>
          <w:p w14:paraId="0E233B63"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2024</w:t>
            </w:r>
          </w:p>
        </w:tc>
        <w:tc>
          <w:tcPr>
            <w:tcW w:w="1383" w:type="dxa"/>
          </w:tcPr>
          <w:p w14:paraId="78A9F78A" w14:textId="77777777"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2025</w:t>
            </w:r>
          </w:p>
        </w:tc>
      </w:tr>
      <w:tr w:rsidR="001454B1" w:rsidRPr="005F5BEA" w14:paraId="652C5B1D" w14:textId="77777777" w:rsidTr="00032276">
        <w:tc>
          <w:tcPr>
            <w:tcW w:w="9016" w:type="dxa"/>
            <w:gridSpan w:val="5"/>
          </w:tcPr>
          <w:p w14:paraId="75B6140E" w14:textId="231ABB7B" w:rsidR="001454B1" w:rsidRPr="005F5BEA" w:rsidRDefault="001454B1" w:rsidP="001454B1">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 xml:space="preserve">Updated model with Round 1 and Round 2 patient numbers </w:t>
            </w:r>
          </w:p>
        </w:tc>
      </w:tr>
      <w:tr w:rsidR="001454B1" w:rsidRPr="005F5BEA" w14:paraId="2E71A636" w14:textId="77777777" w:rsidTr="00032276">
        <w:tc>
          <w:tcPr>
            <w:tcW w:w="3486" w:type="dxa"/>
          </w:tcPr>
          <w:p w14:paraId="71B05574"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Total costs</w:t>
            </w:r>
          </w:p>
        </w:tc>
        <w:tc>
          <w:tcPr>
            <w:tcW w:w="1382" w:type="dxa"/>
          </w:tcPr>
          <w:p w14:paraId="14CB2EE4"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$77,507,102</w:t>
            </w:r>
          </w:p>
        </w:tc>
        <w:tc>
          <w:tcPr>
            <w:tcW w:w="1383" w:type="dxa"/>
          </w:tcPr>
          <w:p w14:paraId="51D29C18"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$84,488,969</w:t>
            </w:r>
          </w:p>
        </w:tc>
        <w:tc>
          <w:tcPr>
            <w:tcW w:w="1382" w:type="dxa"/>
          </w:tcPr>
          <w:p w14:paraId="17BB3890"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$92,006,235</w:t>
            </w:r>
          </w:p>
        </w:tc>
        <w:tc>
          <w:tcPr>
            <w:tcW w:w="1383" w:type="dxa"/>
          </w:tcPr>
          <w:p w14:paraId="047598C0"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$100,103,426</w:t>
            </w:r>
          </w:p>
        </w:tc>
      </w:tr>
      <w:tr w:rsidR="001454B1" w:rsidRPr="005F5BEA" w14:paraId="33242035" w14:textId="77777777" w:rsidTr="00032276">
        <w:tc>
          <w:tcPr>
            <w:tcW w:w="3486" w:type="dxa"/>
          </w:tcPr>
          <w:p w14:paraId="590242C0"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ab/>
              <w:t>Overhead costs (A)</w:t>
            </w:r>
          </w:p>
        </w:tc>
        <w:tc>
          <w:tcPr>
            <w:tcW w:w="1382" w:type="dxa"/>
          </w:tcPr>
          <w:p w14:paraId="46C7B77C"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$17,886,254</w:t>
            </w:r>
          </w:p>
        </w:tc>
        <w:tc>
          <w:tcPr>
            <w:tcW w:w="1383" w:type="dxa"/>
          </w:tcPr>
          <w:p w14:paraId="76D6F3EC"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$19,226,800</w:t>
            </w:r>
          </w:p>
        </w:tc>
        <w:tc>
          <w:tcPr>
            <w:tcW w:w="1382" w:type="dxa"/>
          </w:tcPr>
          <w:p w14:paraId="2F58A9CF"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$20,650,808</w:t>
            </w:r>
          </w:p>
        </w:tc>
        <w:tc>
          <w:tcPr>
            <w:tcW w:w="1383" w:type="dxa"/>
          </w:tcPr>
          <w:p w14:paraId="77773473"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$22,164,756</w:t>
            </w:r>
          </w:p>
        </w:tc>
      </w:tr>
      <w:tr w:rsidR="001454B1" w:rsidRPr="005F5BEA" w14:paraId="36EBF55D" w14:textId="77777777" w:rsidTr="00032276">
        <w:tc>
          <w:tcPr>
            <w:tcW w:w="9016" w:type="dxa"/>
            <w:gridSpan w:val="5"/>
          </w:tcPr>
          <w:p w14:paraId="0BF4519F" w14:textId="77777777" w:rsidR="001454B1" w:rsidRPr="005F5BEA" w:rsidRDefault="001454B1" w:rsidP="001454B1">
            <w:pPr>
              <w:widowControl w:val="0"/>
              <w:spacing w:before="20" w:after="20"/>
              <w:rPr>
                <w:rFonts w:ascii="Arial Narrow" w:eastAsia="Calibri" w:hAnsi="Arial Narrow" w:cs="Calibri"/>
                <w:b/>
                <w:i/>
                <w:sz w:val="20"/>
                <w:szCs w:val="20"/>
                <w:lang w:val="en-US"/>
              </w:rPr>
            </w:pPr>
            <w:r w:rsidRPr="005F5BEA">
              <w:rPr>
                <w:rFonts w:ascii="Arial Narrow" w:eastAsia="Calibri" w:hAnsi="Arial Narrow" w:cs="Calibri"/>
                <w:b/>
                <w:i/>
                <w:sz w:val="20"/>
                <w:szCs w:val="20"/>
                <w:lang w:val="en-US"/>
              </w:rPr>
              <w:t xml:space="preserve">MSAC updated model (remove public and peri-implantation services, reduce onboarding costs, reduce certification </w:t>
            </w:r>
            <w:proofErr w:type="gramStart"/>
            <w:r w:rsidRPr="005F5BEA">
              <w:rPr>
                <w:rFonts w:ascii="Arial Narrow" w:eastAsia="Calibri" w:hAnsi="Arial Narrow" w:cs="Calibri"/>
                <w:b/>
                <w:i/>
                <w:sz w:val="20"/>
                <w:szCs w:val="20"/>
                <w:lang w:val="en-US"/>
              </w:rPr>
              <w:t>frequency</w:t>
            </w:r>
            <w:proofErr w:type="gramEnd"/>
            <w:r w:rsidRPr="005F5BEA">
              <w:rPr>
                <w:rFonts w:ascii="Arial Narrow" w:eastAsia="Calibri" w:hAnsi="Arial Narrow" w:cs="Calibri"/>
                <w:b/>
                <w:i/>
                <w:sz w:val="20"/>
                <w:szCs w:val="20"/>
                <w:lang w:val="en-US"/>
              </w:rPr>
              <w:t xml:space="preserve"> and reduce IECT wages)</w:t>
            </w:r>
          </w:p>
        </w:tc>
      </w:tr>
      <w:tr w:rsidR="001454B1" w:rsidRPr="005F5BEA" w14:paraId="7537B484" w14:textId="77777777" w:rsidTr="00032276">
        <w:tc>
          <w:tcPr>
            <w:tcW w:w="3486" w:type="dxa"/>
          </w:tcPr>
          <w:p w14:paraId="1530B7E5"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Total costs</w:t>
            </w:r>
          </w:p>
        </w:tc>
        <w:tc>
          <w:tcPr>
            <w:tcW w:w="1382" w:type="dxa"/>
            <w:vAlign w:val="center"/>
          </w:tcPr>
          <w:p w14:paraId="090B8E22"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color w:val="000000"/>
                <w:sz w:val="20"/>
                <w:szCs w:val="20"/>
              </w:rPr>
              <w:t>$37,599,148</w:t>
            </w:r>
          </w:p>
        </w:tc>
        <w:tc>
          <w:tcPr>
            <w:tcW w:w="1383" w:type="dxa"/>
            <w:vAlign w:val="center"/>
          </w:tcPr>
          <w:p w14:paraId="1B585BD6"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color w:val="000000"/>
                <w:sz w:val="20"/>
                <w:szCs w:val="20"/>
              </w:rPr>
              <w:t>$40,505,607</w:t>
            </w:r>
          </w:p>
        </w:tc>
        <w:tc>
          <w:tcPr>
            <w:tcW w:w="1382" w:type="dxa"/>
            <w:vAlign w:val="center"/>
          </w:tcPr>
          <w:p w14:paraId="27C7DE09"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color w:val="000000"/>
                <w:sz w:val="20"/>
                <w:szCs w:val="20"/>
              </w:rPr>
              <w:t>$43,602,466</w:t>
            </w:r>
          </w:p>
        </w:tc>
        <w:tc>
          <w:tcPr>
            <w:tcW w:w="1383" w:type="dxa"/>
            <w:vAlign w:val="center"/>
          </w:tcPr>
          <w:p w14:paraId="399DC913"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color w:val="000000"/>
                <w:sz w:val="20"/>
                <w:szCs w:val="20"/>
              </w:rPr>
              <w:t>$46,904,791</w:t>
            </w:r>
          </w:p>
        </w:tc>
      </w:tr>
      <w:tr w:rsidR="001454B1" w:rsidRPr="005F5BEA" w14:paraId="1EBAFA79" w14:textId="77777777" w:rsidTr="00032276">
        <w:tc>
          <w:tcPr>
            <w:tcW w:w="3486" w:type="dxa"/>
          </w:tcPr>
          <w:p w14:paraId="75152B41"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ab/>
              <w:t>Overhead costs (A)</w:t>
            </w:r>
          </w:p>
        </w:tc>
        <w:tc>
          <w:tcPr>
            <w:tcW w:w="1382" w:type="dxa"/>
          </w:tcPr>
          <w:p w14:paraId="48294DD4"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$17,886,254</w:t>
            </w:r>
          </w:p>
        </w:tc>
        <w:tc>
          <w:tcPr>
            <w:tcW w:w="1383" w:type="dxa"/>
          </w:tcPr>
          <w:p w14:paraId="739BA989"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$19,226,800</w:t>
            </w:r>
          </w:p>
        </w:tc>
        <w:tc>
          <w:tcPr>
            <w:tcW w:w="1382" w:type="dxa"/>
          </w:tcPr>
          <w:p w14:paraId="35C3DFB6"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$20,650,808</w:t>
            </w:r>
          </w:p>
        </w:tc>
        <w:tc>
          <w:tcPr>
            <w:tcW w:w="1383" w:type="dxa"/>
          </w:tcPr>
          <w:p w14:paraId="366A152C" w14:textId="77777777" w:rsidR="001454B1" w:rsidRPr="005F5BEA" w:rsidRDefault="001454B1" w:rsidP="001454B1">
            <w:pPr>
              <w:keepLines/>
              <w:spacing w:before="20" w:after="20"/>
              <w:jc w:val="right"/>
              <w:rPr>
                <w:rFonts w:ascii="Arial Narrow" w:eastAsia="Calibri" w:hAnsi="Arial Narrow" w:cs="Calibri"/>
                <w:sz w:val="20"/>
                <w:szCs w:val="20"/>
              </w:rPr>
            </w:pPr>
            <w:r w:rsidRPr="005F5BEA">
              <w:rPr>
                <w:rFonts w:ascii="Arial Narrow" w:eastAsia="Calibri" w:hAnsi="Arial Narrow" w:cs="Calibri"/>
                <w:sz w:val="20"/>
                <w:szCs w:val="20"/>
              </w:rPr>
              <w:t>$22,164,756</w:t>
            </w:r>
          </w:p>
        </w:tc>
      </w:tr>
      <w:tr w:rsidR="001454B1" w:rsidRPr="005F5BEA" w14:paraId="3EA4AD14" w14:textId="77777777" w:rsidTr="00032276">
        <w:tc>
          <w:tcPr>
            <w:tcW w:w="9016" w:type="dxa"/>
            <w:gridSpan w:val="5"/>
          </w:tcPr>
          <w:p w14:paraId="0627C45C" w14:textId="5AEDBEEC" w:rsidR="001454B1" w:rsidRPr="005F5BEA" w:rsidRDefault="001454B1" w:rsidP="001454B1">
            <w:pPr>
              <w:keepLines/>
              <w:spacing w:before="20" w:after="20"/>
              <w:rPr>
                <w:rFonts w:ascii="Arial Narrow" w:eastAsia="Calibri" w:hAnsi="Arial Narrow" w:cs="Calibri"/>
                <w:b/>
                <w:i/>
                <w:sz w:val="20"/>
                <w:szCs w:val="20"/>
              </w:rPr>
            </w:pPr>
            <w:r w:rsidRPr="005F5BEA">
              <w:rPr>
                <w:rFonts w:ascii="Arial Narrow" w:eastAsia="Calibri" w:hAnsi="Arial Narrow" w:cs="Calibri"/>
                <w:b/>
                <w:sz w:val="20"/>
                <w:szCs w:val="20"/>
              </w:rPr>
              <w:t>Overhead costs reduced proportionally with services (-22.1%)</w:t>
            </w:r>
          </w:p>
        </w:tc>
      </w:tr>
      <w:tr w:rsidR="001454B1" w:rsidRPr="005F5BEA" w14:paraId="43FEE6D4" w14:textId="77777777" w:rsidTr="00D865D4">
        <w:tc>
          <w:tcPr>
            <w:tcW w:w="3486" w:type="dxa"/>
          </w:tcPr>
          <w:p w14:paraId="4E909FD2" w14:textId="77777777" w:rsidR="001454B1" w:rsidRPr="005F5BEA" w:rsidRDefault="001454B1" w:rsidP="001454B1">
            <w:pPr>
              <w:keepLines/>
              <w:spacing w:before="20" w:after="20"/>
              <w:rPr>
                <w:rFonts w:ascii="Arial Narrow" w:eastAsia="Calibri" w:hAnsi="Arial Narrow" w:cs="Calibri"/>
                <w:i/>
                <w:sz w:val="20"/>
                <w:szCs w:val="20"/>
              </w:rPr>
            </w:pPr>
            <w:r w:rsidRPr="005F5BEA">
              <w:rPr>
                <w:rFonts w:ascii="Arial Narrow" w:eastAsia="Calibri" w:hAnsi="Arial Narrow" w:cs="Calibri"/>
                <w:sz w:val="20"/>
                <w:szCs w:val="20"/>
              </w:rPr>
              <w:t>Total costs</w:t>
            </w:r>
          </w:p>
        </w:tc>
        <w:tc>
          <w:tcPr>
            <w:tcW w:w="1382" w:type="dxa"/>
            <w:tcBorders>
              <w:bottom w:val="single" w:sz="4" w:space="0" w:color="auto"/>
            </w:tcBorders>
            <w:shd w:val="solid" w:color="000000" w:fill="000000"/>
            <w:vAlign w:val="center"/>
          </w:tcPr>
          <w:p w14:paraId="1D50270A" w14:textId="0848F80F" w:rsidR="001454B1" w:rsidRPr="00D865D4" w:rsidRDefault="00D865D4" w:rsidP="001454B1">
            <w:pPr>
              <w:keepLines/>
              <w:spacing w:before="20" w:after="20"/>
              <w:jc w:val="right"/>
              <w:rPr>
                <w:rFonts w:ascii="Arial Narrow" w:eastAsia="Calibri" w:hAnsi="Arial Narrow" w:cs="Calibri"/>
                <w:i/>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1383" w:type="dxa"/>
            <w:tcBorders>
              <w:bottom w:val="single" w:sz="4" w:space="0" w:color="auto"/>
            </w:tcBorders>
            <w:shd w:val="solid" w:color="000000" w:fill="000000"/>
            <w:vAlign w:val="center"/>
          </w:tcPr>
          <w:p w14:paraId="26F665C1" w14:textId="72611111" w:rsidR="001454B1" w:rsidRPr="00D865D4" w:rsidRDefault="00D865D4" w:rsidP="001454B1">
            <w:pPr>
              <w:keepLines/>
              <w:spacing w:before="20" w:after="20"/>
              <w:jc w:val="right"/>
              <w:rPr>
                <w:rFonts w:ascii="Arial Narrow" w:eastAsia="Calibri" w:hAnsi="Arial Narrow" w:cs="Calibri"/>
                <w:i/>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1382" w:type="dxa"/>
            <w:tcBorders>
              <w:bottom w:val="single" w:sz="4" w:space="0" w:color="auto"/>
            </w:tcBorders>
            <w:shd w:val="solid" w:color="000000" w:fill="000000"/>
            <w:vAlign w:val="center"/>
          </w:tcPr>
          <w:p w14:paraId="55AA5CA7" w14:textId="10D8AD2B" w:rsidR="001454B1" w:rsidRPr="00D865D4" w:rsidRDefault="00D865D4" w:rsidP="001454B1">
            <w:pPr>
              <w:keepLines/>
              <w:spacing w:before="20" w:after="20"/>
              <w:jc w:val="right"/>
              <w:rPr>
                <w:rFonts w:ascii="Arial Narrow" w:eastAsia="Calibri" w:hAnsi="Arial Narrow" w:cs="Calibri"/>
                <w:i/>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1383" w:type="dxa"/>
            <w:tcBorders>
              <w:bottom w:val="single" w:sz="4" w:space="0" w:color="auto"/>
            </w:tcBorders>
            <w:shd w:val="solid" w:color="000000" w:fill="000000"/>
            <w:vAlign w:val="center"/>
          </w:tcPr>
          <w:p w14:paraId="03B14DB6" w14:textId="637804FD" w:rsidR="001454B1" w:rsidRPr="00D865D4" w:rsidRDefault="00D865D4" w:rsidP="001454B1">
            <w:pPr>
              <w:keepLines/>
              <w:spacing w:before="20" w:after="20"/>
              <w:jc w:val="right"/>
              <w:rPr>
                <w:rFonts w:ascii="Arial Narrow" w:eastAsia="Calibri" w:hAnsi="Arial Narrow" w:cs="Calibri"/>
                <w:i/>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221260D7" w14:textId="77777777" w:rsidTr="00D865D4">
        <w:tc>
          <w:tcPr>
            <w:tcW w:w="3486" w:type="dxa"/>
          </w:tcPr>
          <w:p w14:paraId="24EA3732"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ab/>
              <w:t>Overhead costs (B)</w:t>
            </w:r>
          </w:p>
        </w:tc>
        <w:tc>
          <w:tcPr>
            <w:tcW w:w="1382" w:type="dxa"/>
            <w:shd w:val="solid" w:color="000000" w:fill="000000"/>
            <w:vAlign w:val="center"/>
          </w:tcPr>
          <w:p w14:paraId="48544D62" w14:textId="0E644ADC"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1383" w:type="dxa"/>
            <w:shd w:val="solid" w:color="000000" w:fill="000000"/>
            <w:vAlign w:val="center"/>
          </w:tcPr>
          <w:p w14:paraId="652988BC" w14:textId="38989172"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1382" w:type="dxa"/>
            <w:shd w:val="solid" w:color="000000" w:fill="000000"/>
            <w:vAlign w:val="center"/>
          </w:tcPr>
          <w:p w14:paraId="056F6FDD" w14:textId="50108CBE"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1383" w:type="dxa"/>
            <w:shd w:val="solid" w:color="000000" w:fill="000000"/>
            <w:vAlign w:val="center"/>
          </w:tcPr>
          <w:p w14:paraId="1F23236A" w14:textId="25F4360F"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1BF0A7C3" w14:textId="77777777" w:rsidTr="00032276">
        <w:tc>
          <w:tcPr>
            <w:tcW w:w="9016" w:type="dxa"/>
            <w:gridSpan w:val="5"/>
          </w:tcPr>
          <w:p w14:paraId="3619EEF3" w14:textId="77777777" w:rsidR="001454B1" w:rsidRPr="005F5BEA" w:rsidRDefault="001454B1" w:rsidP="001454B1">
            <w:pPr>
              <w:keepLines/>
              <w:spacing w:before="20" w:after="20"/>
              <w:rPr>
                <w:rFonts w:ascii="Arial Narrow" w:eastAsia="Calibri" w:hAnsi="Arial Narrow" w:cs="Calibri"/>
                <w:b/>
                <w:color w:val="000000"/>
                <w:sz w:val="20"/>
                <w:szCs w:val="20"/>
              </w:rPr>
            </w:pPr>
            <w:r w:rsidRPr="005F5BEA">
              <w:rPr>
                <w:rFonts w:ascii="Arial Narrow" w:eastAsia="Calibri" w:hAnsi="Arial Narrow" w:cs="Calibri"/>
                <w:b/>
                <w:color w:val="000000"/>
                <w:sz w:val="20"/>
                <w:szCs w:val="20"/>
              </w:rPr>
              <w:t xml:space="preserve">Overhead costs set to 30% of updated non-overhead costs (C) </w:t>
            </w:r>
          </w:p>
        </w:tc>
      </w:tr>
      <w:tr w:rsidR="001454B1" w:rsidRPr="005F5BEA" w14:paraId="4C47AF55" w14:textId="77777777" w:rsidTr="00D865D4">
        <w:tc>
          <w:tcPr>
            <w:tcW w:w="3486" w:type="dxa"/>
          </w:tcPr>
          <w:p w14:paraId="7A60A240"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Total costs</w:t>
            </w:r>
          </w:p>
        </w:tc>
        <w:tc>
          <w:tcPr>
            <w:tcW w:w="1382" w:type="dxa"/>
            <w:tcBorders>
              <w:bottom w:val="single" w:sz="4" w:space="0" w:color="auto"/>
            </w:tcBorders>
            <w:shd w:val="solid" w:color="000000" w:fill="000000"/>
            <w:vAlign w:val="center"/>
          </w:tcPr>
          <w:p w14:paraId="683D7D37" w14:textId="24CA998B"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1383" w:type="dxa"/>
            <w:tcBorders>
              <w:bottom w:val="single" w:sz="4" w:space="0" w:color="auto"/>
            </w:tcBorders>
            <w:shd w:val="solid" w:color="000000" w:fill="000000"/>
            <w:vAlign w:val="center"/>
          </w:tcPr>
          <w:p w14:paraId="19F98C83" w14:textId="0B7136E7"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1382" w:type="dxa"/>
            <w:tcBorders>
              <w:bottom w:val="single" w:sz="4" w:space="0" w:color="auto"/>
            </w:tcBorders>
            <w:shd w:val="solid" w:color="000000" w:fill="000000"/>
            <w:vAlign w:val="center"/>
          </w:tcPr>
          <w:p w14:paraId="159035CA" w14:textId="1153E163"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1383" w:type="dxa"/>
            <w:tcBorders>
              <w:bottom w:val="single" w:sz="4" w:space="0" w:color="auto"/>
            </w:tcBorders>
            <w:shd w:val="solid" w:color="000000" w:fill="000000"/>
            <w:vAlign w:val="center"/>
          </w:tcPr>
          <w:p w14:paraId="586C42B3" w14:textId="59FA3F8C"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4A7E25C9" w14:textId="77777777" w:rsidTr="00D865D4">
        <w:tc>
          <w:tcPr>
            <w:tcW w:w="3486" w:type="dxa"/>
          </w:tcPr>
          <w:p w14:paraId="751E35B4"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ab/>
              <w:t>Overhead costs (C)</w:t>
            </w:r>
          </w:p>
        </w:tc>
        <w:tc>
          <w:tcPr>
            <w:tcW w:w="1382" w:type="dxa"/>
            <w:shd w:val="solid" w:color="000000" w:fill="000000"/>
            <w:vAlign w:val="center"/>
          </w:tcPr>
          <w:p w14:paraId="22FF34D3" w14:textId="7064BA9E"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1383" w:type="dxa"/>
            <w:shd w:val="solid" w:color="000000" w:fill="000000"/>
            <w:vAlign w:val="center"/>
          </w:tcPr>
          <w:p w14:paraId="339A5500" w14:textId="63583AA7"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1382" w:type="dxa"/>
            <w:shd w:val="solid" w:color="000000" w:fill="000000"/>
            <w:vAlign w:val="center"/>
          </w:tcPr>
          <w:p w14:paraId="42BBAC61" w14:textId="4ACF113A"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1383" w:type="dxa"/>
            <w:shd w:val="solid" w:color="000000" w:fill="000000"/>
            <w:vAlign w:val="center"/>
          </w:tcPr>
          <w:p w14:paraId="34D0D4BD" w14:textId="04D4C1E1"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12E1FB03" w14:textId="77777777" w:rsidTr="00032276">
        <w:tc>
          <w:tcPr>
            <w:tcW w:w="9016" w:type="dxa"/>
            <w:gridSpan w:val="5"/>
          </w:tcPr>
          <w:p w14:paraId="647C62AA" w14:textId="77777777" w:rsidR="001454B1" w:rsidRPr="005F5BEA" w:rsidRDefault="001454B1" w:rsidP="001454B1">
            <w:pPr>
              <w:keepLines/>
              <w:spacing w:before="20" w:after="20"/>
              <w:rPr>
                <w:rFonts w:ascii="Arial Narrow" w:eastAsia="Calibri" w:hAnsi="Arial Narrow" w:cs="Calibri"/>
                <w:b/>
                <w:color w:val="000000"/>
                <w:sz w:val="20"/>
                <w:szCs w:val="20"/>
              </w:rPr>
            </w:pPr>
            <w:r w:rsidRPr="005F5BEA">
              <w:rPr>
                <w:rFonts w:ascii="Arial Narrow" w:eastAsia="Calibri" w:hAnsi="Arial Narrow" w:cs="Calibri"/>
                <w:b/>
                <w:sz w:val="20"/>
                <w:szCs w:val="20"/>
              </w:rPr>
              <w:t>Applicant company survey data for overhead costs (restricted to the private sector)</w:t>
            </w:r>
          </w:p>
        </w:tc>
      </w:tr>
      <w:tr w:rsidR="001454B1" w:rsidRPr="005F5BEA" w14:paraId="3F5FE445" w14:textId="77777777" w:rsidTr="00D865D4">
        <w:tc>
          <w:tcPr>
            <w:tcW w:w="3486" w:type="dxa"/>
          </w:tcPr>
          <w:p w14:paraId="0267611C"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Total costs</w:t>
            </w:r>
          </w:p>
        </w:tc>
        <w:tc>
          <w:tcPr>
            <w:tcW w:w="1382" w:type="dxa"/>
            <w:tcBorders>
              <w:bottom w:val="single" w:sz="4" w:space="0" w:color="auto"/>
            </w:tcBorders>
            <w:shd w:val="solid" w:color="000000" w:fill="000000"/>
          </w:tcPr>
          <w:p w14:paraId="5305196E" w14:textId="711E861D"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1383" w:type="dxa"/>
            <w:tcBorders>
              <w:bottom w:val="single" w:sz="4" w:space="0" w:color="auto"/>
            </w:tcBorders>
            <w:shd w:val="solid" w:color="000000" w:fill="000000"/>
          </w:tcPr>
          <w:p w14:paraId="05AD7BE4" w14:textId="3B0BFB46"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1382" w:type="dxa"/>
            <w:tcBorders>
              <w:bottom w:val="single" w:sz="4" w:space="0" w:color="auto"/>
            </w:tcBorders>
            <w:shd w:val="solid" w:color="000000" w:fill="000000"/>
          </w:tcPr>
          <w:p w14:paraId="6B7685A9" w14:textId="55B38645"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1383" w:type="dxa"/>
            <w:tcBorders>
              <w:bottom w:val="single" w:sz="4" w:space="0" w:color="auto"/>
            </w:tcBorders>
            <w:shd w:val="solid" w:color="000000" w:fill="000000"/>
          </w:tcPr>
          <w:p w14:paraId="3CF28833" w14:textId="6332D6BD"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67EDE319" w14:textId="77777777" w:rsidTr="00D865D4">
        <w:tc>
          <w:tcPr>
            <w:tcW w:w="3486" w:type="dxa"/>
          </w:tcPr>
          <w:p w14:paraId="5CC4F971"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ab/>
              <w:t>Overhead costs (D)</w:t>
            </w:r>
          </w:p>
        </w:tc>
        <w:tc>
          <w:tcPr>
            <w:tcW w:w="1382" w:type="dxa"/>
            <w:shd w:val="solid" w:color="000000" w:fill="000000"/>
          </w:tcPr>
          <w:p w14:paraId="0BA23DBE" w14:textId="3064EA0D"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1383" w:type="dxa"/>
            <w:shd w:val="solid" w:color="000000" w:fill="000000"/>
          </w:tcPr>
          <w:p w14:paraId="6A2765C2" w14:textId="2A73C2F3"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1382" w:type="dxa"/>
            <w:shd w:val="solid" w:color="000000" w:fill="000000"/>
          </w:tcPr>
          <w:p w14:paraId="0477A51D" w14:textId="360AB008"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1383" w:type="dxa"/>
            <w:shd w:val="solid" w:color="000000" w:fill="000000"/>
          </w:tcPr>
          <w:p w14:paraId="7D05F0A5" w14:textId="530FEEE2"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0241B314" w14:textId="77777777" w:rsidTr="00032276">
        <w:tc>
          <w:tcPr>
            <w:tcW w:w="9016" w:type="dxa"/>
            <w:gridSpan w:val="5"/>
          </w:tcPr>
          <w:p w14:paraId="2C2E2B59" w14:textId="77777777" w:rsidR="001454B1" w:rsidRPr="005F5BEA" w:rsidRDefault="001454B1" w:rsidP="001454B1">
            <w:pPr>
              <w:keepLines/>
              <w:spacing w:before="20" w:after="20"/>
              <w:rPr>
                <w:rFonts w:ascii="Arial Narrow" w:eastAsia="Calibri" w:hAnsi="Arial Narrow" w:cs="Calibri"/>
                <w:b/>
                <w:color w:val="000000"/>
                <w:sz w:val="20"/>
                <w:szCs w:val="20"/>
              </w:rPr>
            </w:pPr>
            <w:r w:rsidRPr="005F5BEA">
              <w:rPr>
                <w:rFonts w:ascii="Arial Narrow" w:eastAsia="Calibri" w:hAnsi="Arial Narrow" w:cs="Calibri"/>
                <w:b/>
                <w:sz w:val="20"/>
                <w:szCs w:val="20"/>
              </w:rPr>
              <w:t>Overhead costs recalculated removing the 2 most costly companies</w:t>
            </w:r>
          </w:p>
        </w:tc>
      </w:tr>
      <w:tr w:rsidR="001454B1" w:rsidRPr="005F5BEA" w14:paraId="378EB7DF" w14:textId="77777777" w:rsidTr="00D865D4">
        <w:tc>
          <w:tcPr>
            <w:tcW w:w="3486" w:type="dxa"/>
          </w:tcPr>
          <w:p w14:paraId="2D7FAD28"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Total costs</w:t>
            </w:r>
          </w:p>
        </w:tc>
        <w:tc>
          <w:tcPr>
            <w:tcW w:w="1382" w:type="dxa"/>
            <w:tcBorders>
              <w:bottom w:val="single" w:sz="4" w:space="0" w:color="auto"/>
            </w:tcBorders>
            <w:shd w:val="solid" w:color="000000" w:fill="000000"/>
            <w:vAlign w:val="center"/>
          </w:tcPr>
          <w:p w14:paraId="1622956D" w14:textId="254C34FC"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1383" w:type="dxa"/>
            <w:tcBorders>
              <w:bottom w:val="single" w:sz="4" w:space="0" w:color="auto"/>
            </w:tcBorders>
            <w:shd w:val="solid" w:color="000000" w:fill="000000"/>
            <w:vAlign w:val="center"/>
          </w:tcPr>
          <w:p w14:paraId="47CB426D" w14:textId="77997C10"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1382" w:type="dxa"/>
            <w:tcBorders>
              <w:bottom w:val="single" w:sz="4" w:space="0" w:color="auto"/>
            </w:tcBorders>
            <w:shd w:val="solid" w:color="000000" w:fill="000000"/>
            <w:vAlign w:val="center"/>
          </w:tcPr>
          <w:p w14:paraId="5BC0228B" w14:textId="56396DD1"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1383" w:type="dxa"/>
            <w:tcBorders>
              <w:bottom w:val="single" w:sz="4" w:space="0" w:color="auto"/>
            </w:tcBorders>
            <w:shd w:val="solid" w:color="000000" w:fill="000000"/>
            <w:vAlign w:val="center"/>
          </w:tcPr>
          <w:p w14:paraId="74FA0B41" w14:textId="7436DC70"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r w:rsidR="001454B1" w:rsidRPr="005F5BEA" w14:paraId="43D4C11C" w14:textId="77777777" w:rsidTr="00D865D4">
        <w:tc>
          <w:tcPr>
            <w:tcW w:w="3486" w:type="dxa"/>
          </w:tcPr>
          <w:p w14:paraId="7930B834" w14:textId="77777777" w:rsidR="001454B1" w:rsidRPr="005F5BEA" w:rsidRDefault="001454B1" w:rsidP="001454B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ab/>
              <w:t>Overhead costs (E)</w:t>
            </w:r>
          </w:p>
        </w:tc>
        <w:tc>
          <w:tcPr>
            <w:tcW w:w="1382" w:type="dxa"/>
            <w:shd w:val="solid" w:color="000000" w:fill="000000"/>
            <w:vAlign w:val="center"/>
          </w:tcPr>
          <w:p w14:paraId="5D17AD0F" w14:textId="77B3BC01"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1383" w:type="dxa"/>
            <w:shd w:val="solid" w:color="000000" w:fill="000000"/>
            <w:vAlign w:val="center"/>
          </w:tcPr>
          <w:p w14:paraId="7056F030" w14:textId="4540745D"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1382" w:type="dxa"/>
            <w:shd w:val="solid" w:color="000000" w:fill="000000"/>
            <w:vAlign w:val="center"/>
          </w:tcPr>
          <w:p w14:paraId="5249562D" w14:textId="54BCF351"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c>
          <w:tcPr>
            <w:tcW w:w="1383" w:type="dxa"/>
            <w:shd w:val="solid" w:color="000000" w:fill="000000"/>
            <w:vAlign w:val="center"/>
          </w:tcPr>
          <w:p w14:paraId="627BD62F" w14:textId="3067EC38" w:rsidR="001454B1" w:rsidRPr="00D865D4" w:rsidRDefault="00D865D4" w:rsidP="001454B1">
            <w:pPr>
              <w:keepLines/>
              <w:spacing w:before="20" w:after="20"/>
              <w:jc w:val="right"/>
              <w:rPr>
                <w:rFonts w:ascii="Arial Narrow" w:eastAsia="Calibri" w:hAnsi="Arial Narrow" w:cs="Calibri"/>
                <w:color w:val="000000"/>
                <w:sz w:val="20"/>
                <w:szCs w:val="20"/>
              </w:rPr>
            </w:pPr>
            <w:r w:rsidRPr="00D865D4">
              <w:rPr>
                <w:rFonts w:ascii="Arial Narrow" w:eastAsia="Calibri" w:hAnsi="Arial Narrow" w:cs="Calibri"/>
                <w:color w:val="000000"/>
                <w:sz w:val="20"/>
                <w:szCs w:val="20"/>
                <w14:textFill>
                  <w14:solidFill>
                    <w14:srgbClr w14:val="000000">
                      <w14:alpha w14:val="100000"/>
                    </w14:srgbClr>
                  </w14:solidFill>
                </w14:textFill>
              </w:rPr>
              <w:t>|</w:t>
            </w:r>
          </w:p>
        </w:tc>
      </w:tr>
    </w:tbl>
    <w:p w14:paraId="5401288F" w14:textId="77777777" w:rsidR="001454B1" w:rsidRPr="005F5BEA" w:rsidRDefault="001454B1" w:rsidP="001454B1">
      <w:pPr>
        <w:spacing w:after="240"/>
        <w:contextualSpacing/>
        <w:jc w:val="both"/>
        <w:rPr>
          <w:rFonts w:ascii="Arial Narrow" w:eastAsia="Calibri" w:hAnsi="Arial Narrow" w:cs="Arial"/>
          <w:sz w:val="18"/>
        </w:rPr>
      </w:pPr>
      <w:r w:rsidRPr="005F5BEA">
        <w:rPr>
          <w:rFonts w:ascii="Arial Narrow" w:eastAsia="Calibri" w:hAnsi="Arial Narrow" w:cs="Arial"/>
          <w:sz w:val="18"/>
        </w:rPr>
        <w:t>Source: generated from the Utilisation and Cost Model Spreadsheet.</w:t>
      </w:r>
    </w:p>
    <w:p w14:paraId="4B7DEA8A" w14:textId="406AD544" w:rsidR="001454B1" w:rsidRPr="005F5BEA" w:rsidRDefault="001454B1" w:rsidP="00C63874">
      <w:pPr>
        <w:spacing w:before="0" w:after="240"/>
        <w:jc w:val="both"/>
        <w:rPr>
          <w:rFonts w:ascii="Arial Narrow" w:eastAsia="Calibri" w:hAnsi="Arial Narrow" w:cs="Arial"/>
          <w:sz w:val="18"/>
        </w:rPr>
      </w:pPr>
      <w:r w:rsidRPr="005F5BEA">
        <w:rPr>
          <w:rFonts w:ascii="Arial Narrow" w:eastAsia="Calibri" w:hAnsi="Arial Narrow" w:cs="Arial"/>
          <w:sz w:val="18"/>
        </w:rPr>
        <w:t xml:space="preserve">Note: letters appearing next to “Overhead costs” in the table refer to the approaches described in </w:t>
      </w:r>
      <w:r w:rsidRPr="005F5BEA">
        <w:rPr>
          <w:rFonts w:ascii="Arial Narrow" w:eastAsia="Calibri" w:hAnsi="Arial Narrow" w:cs="Arial"/>
          <w:sz w:val="18"/>
        </w:rPr>
        <w:fldChar w:fldCharType="begin"/>
      </w:r>
      <w:r w:rsidRPr="005F5BEA">
        <w:rPr>
          <w:rFonts w:ascii="Arial Narrow" w:eastAsia="Calibri" w:hAnsi="Arial Narrow" w:cs="Arial"/>
          <w:sz w:val="18"/>
        </w:rPr>
        <w:instrText xml:space="preserve"> REF _Ref135135999 \h  \* MERGEFORMAT </w:instrText>
      </w:r>
      <w:r w:rsidRPr="005F5BEA">
        <w:rPr>
          <w:rFonts w:ascii="Arial Narrow" w:eastAsia="Calibri" w:hAnsi="Arial Narrow" w:cs="Arial"/>
          <w:sz w:val="18"/>
        </w:rPr>
      </w:r>
      <w:r w:rsidRPr="005F5BEA">
        <w:rPr>
          <w:rFonts w:ascii="Arial Narrow" w:eastAsia="Calibri" w:hAnsi="Arial Narrow" w:cs="Arial"/>
          <w:sz w:val="18"/>
        </w:rPr>
        <w:fldChar w:fldCharType="separate"/>
      </w:r>
      <w:r w:rsidR="00334548" w:rsidRPr="00334548">
        <w:rPr>
          <w:rFonts w:ascii="Arial Narrow" w:eastAsia="Calibri" w:hAnsi="Arial Narrow" w:cs="Arial"/>
          <w:sz w:val="18"/>
        </w:rPr>
        <w:t xml:space="preserve">Table </w:t>
      </w:r>
      <w:r w:rsidR="00334548" w:rsidRPr="00334548">
        <w:rPr>
          <w:rFonts w:ascii="Arial Narrow" w:eastAsia="Calibri" w:hAnsi="Arial Narrow" w:cs="Arial"/>
          <w:noProof/>
          <w:sz w:val="18"/>
        </w:rPr>
        <w:t>32</w:t>
      </w:r>
      <w:r w:rsidRPr="005F5BEA">
        <w:rPr>
          <w:rFonts w:ascii="Arial Narrow" w:eastAsia="Calibri" w:hAnsi="Arial Narrow" w:cs="Arial"/>
          <w:sz w:val="18"/>
        </w:rPr>
        <w:fldChar w:fldCharType="end"/>
      </w:r>
      <w:r w:rsidRPr="005F5BEA">
        <w:rPr>
          <w:rFonts w:ascii="Arial Narrow" w:eastAsia="Calibri" w:hAnsi="Arial Narrow" w:cs="Arial"/>
          <w:sz w:val="18"/>
        </w:rPr>
        <w:t>.</w:t>
      </w:r>
    </w:p>
    <w:p w14:paraId="389B7BE3" w14:textId="28E4BFA4" w:rsidR="001454B1" w:rsidRPr="005F5BEA" w:rsidRDefault="15DB8F46" w:rsidP="00437E5B">
      <w:r w:rsidRPr="005F5BEA">
        <w:t xml:space="preserve">Overhead costs </w:t>
      </w:r>
      <w:r w:rsidR="2C84323E" w:rsidRPr="005F5BEA">
        <w:t>in the MSAC updated model</w:t>
      </w:r>
      <w:r w:rsidRPr="005F5BEA">
        <w:t xml:space="preserve"> are estimated as 30% of the non-overhead costs in the applicant’s model incorporating Round 2 data (</w:t>
      </w:r>
      <w:proofErr w:type="gramStart"/>
      <w:r w:rsidRPr="005F5BEA">
        <w:t>e.g.</w:t>
      </w:r>
      <w:proofErr w:type="gramEnd"/>
      <w:r w:rsidRPr="005F5BEA">
        <w:t xml:space="preserve"> $17,886,254 in 2022)</w:t>
      </w:r>
      <w:r w:rsidR="2C84323E" w:rsidRPr="005F5BEA">
        <w:t xml:space="preserve"> </w:t>
      </w:r>
      <w:r w:rsidR="491BEE6C" w:rsidRPr="005F5BEA">
        <w:t xml:space="preserve">and includes overhead costs for </w:t>
      </w:r>
      <w:r w:rsidR="062073B9" w:rsidRPr="005F5BEA">
        <w:t>direct costs that were removed (public patients, peri-implantation services)</w:t>
      </w:r>
      <w:r w:rsidR="75CB733F" w:rsidRPr="005F5BEA">
        <w:t xml:space="preserve"> or recalculated (onboarding costs, wages, certifications costs). </w:t>
      </w:r>
      <w:r w:rsidRPr="005F5BEA">
        <w:t xml:space="preserve">These overhead costs are applied in the MSAC updated model. However, the MSAC updated model involved changes to the number of services, and to parameters that reduced non-overhead costs. </w:t>
      </w:r>
      <w:r w:rsidR="34A7EFC0" w:rsidRPr="005F5BEA">
        <w:t>The focussed evaluation considered that i</w:t>
      </w:r>
      <w:r w:rsidRPr="005F5BEA">
        <w:t>t may be reasonable to consider that the estimate of overhead costs would vary if the estimate of services is lower, or the estimate of non-overhead costs is lower.</w:t>
      </w:r>
    </w:p>
    <w:p w14:paraId="3FEC7F71" w14:textId="413133C4" w:rsidR="001454B1" w:rsidRPr="005F5BEA" w:rsidRDefault="001454B1" w:rsidP="00437E5B">
      <w:r w:rsidRPr="005F5BEA">
        <w:t xml:space="preserve">Compared with the MSAC updated model estimates, the total cost of providing cardiac technical support services reduces by approximately 10% if the estimate of overhead costs </w:t>
      </w:r>
      <w:r w:rsidR="00437E5B" w:rsidRPr="005F5BEA">
        <w:t>were</w:t>
      </w:r>
      <w:r w:rsidRPr="005F5BEA">
        <w:t xml:space="preserve"> revised down proportionally with the reduction of services (associated with the removal of public sector and peri-implantation services). </w:t>
      </w:r>
    </w:p>
    <w:p w14:paraId="2DEF15A2" w14:textId="104271E0" w:rsidR="009272DB" w:rsidRPr="005F5BEA" w:rsidRDefault="001454B1" w:rsidP="00437E5B">
      <w:r w:rsidRPr="005F5BEA">
        <w:t xml:space="preserve">Applying the applicant’s estimate of overhead costs (for the private sector only) derived from the company survey results in a </w:t>
      </w:r>
      <w:r w:rsidR="00D865D4" w:rsidRPr="008A2B4D">
        <w:rPr>
          <w:color w:val="000000"/>
          <w:spacing w:val="74"/>
          <w:w w:val="82"/>
          <w:shd w:val="solid" w:color="000000" w:fill="000000"/>
          <w:fitText w:val="255" w:id="-1157882611"/>
          <w14:textFill>
            <w14:solidFill>
              <w14:srgbClr w14:val="000000">
                <w14:alpha w14:val="100000"/>
              </w14:srgbClr>
            </w14:solidFill>
          </w14:textFill>
        </w:rPr>
        <w:t>|</w:t>
      </w:r>
      <w:r w:rsidR="00D865D4" w:rsidRPr="008A2B4D">
        <w:rPr>
          <w:color w:val="000000"/>
          <w:spacing w:val="1"/>
          <w:w w:val="82"/>
          <w:shd w:val="solid" w:color="000000" w:fill="000000"/>
          <w:fitText w:val="255" w:id="-1157882611"/>
          <w14:textFill>
            <w14:solidFill>
              <w14:srgbClr w14:val="000000">
                <w14:alpha w14:val="100000"/>
              </w14:srgbClr>
            </w14:solidFill>
          </w14:textFill>
        </w:rPr>
        <w:t>|</w:t>
      </w:r>
      <w:r w:rsidRPr="005F5BEA">
        <w:t xml:space="preserve">% increase in total costs, and if the two most costly companies are removed from the analysis, it results in a </w:t>
      </w:r>
      <w:r w:rsidR="00D865D4" w:rsidRPr="008A2B4D">
        <w:rPr>
          <w:color w:val="000000"/>
          <w:spacing w:val="74"/>
          <w:w w:val="82"/>
          <w:shd w:val="solid" w:color="000000" w:fill="000000"/>
          <w:fitText w:val="255" w:id="-1157882610"/>
          <w14:textFill>
            <w14:solidFill>
              <w14:srgbClr w14:val="000000">
                <w14:alpha w14:val="100000"/>
              </w14:srgbClr>
            </w14:solidFill>
          </w14:textFill>
        </w:rPr>
        <w:t>|</w:t>
      </w:r>
      <w:r w:rsidR="00D865D4" w:rsidRPr="008A2B4D">
        <w:rPr>
          <w:color w:val="000000"/>
          <w:spacing w:val="1"/>
          <w:w w:val="82"/>
          <w:shd w:val="solid" w:color="000000" w:fill="000000"/>
          <w:fitText w:val="255" w:id="-1157882610"/>
          <w14:textFill>
            <w14:solidFill>
              <w14:srgbClr w14:val="000000">
                <w14:alpha w14:val="100000"/>
              </w14:srgbClr>
            </w14:solidFill>
          </w14:textFill>
        </w:rPr>
        <w:t>|</w:t>
      </w:r>
      <w:r w:rsidRPr="005F5BEA">
        <w:t>% reduction in total costs.</w:t>
      </w:r>
    </w:p>
    <w:p w14:paraId="751E2A49" w14:textId="54EF5A71" w:rsidR="00C63874" w:rsidRPr="00C63874" w:rsidRDefault="2219CE0C" w:rsidP="00C63874">
      <w:r w:rsidRPr="005F5BEA">
        <w:t xml:space="preserve">The pre-MSAC response provided </w:t>
      </w:r>
      <w:r w:rsidR="670F64FD" w:rsidRPr="005F5BEA">
        <w:t xml:space="preserve">an updated </w:t>
      </w:r>
      <w:r w:rsidR="432230A0" w:rsidRPr="005F5BEA">
        <w:t xml:space="preserve">costs that </w:t>
      </w:r>
      <w:r w:rsidR="1C54E272" w:rsidRPr="005F5BEA">
        <w:t>corrected errors in the overhead costs and appl</w:t>
      </w:r>
      <w:r w:rsidR="70DECCBF" w:rsidRPr="005F5BEA">
        <w:t>i</w:t>
      </w:r>
      <w:r w:rsidR="51BD58C7" w:rsidRPr="005F5BEA">
        <w:t>ed</w:t>
      </w:r>
      <w:r w:rsidR="1C54E272" w:rsidRPr="005F5BEA">
        <w:t xml:space="preserve"> certification costs to only 10% of technicians per year</w:t>
      </w:r>
      <w:r w:rsidR="25D6807E" w:rsidRPr="005F5BEA">
        <w:t xml:space="preserve"> (</w:t>
      </w:r>
      <w:r w:rsidR="002C174D" w:rsidRPr="005F5BEA">
        <w:fldChar w:fldCharType="begin"/>
      </w:r>
      <w:r w:rsidR="002C174D" w:rsidRPr="005F5BEA">
        <w:instrText xml:space="preserve"> REF _Ref142305892 \h  \* MERGEFORMAT </w:instrText>
      </w:r>
      <w:r w:rsidR="002C174D" w:rsidRPr="005F5BEA">
        <w:fldChar w:fldCharType="separate"/>
      </w:r>
      <w:r w:rsidR="00334548" w:rsidRPr="00334548">
        <w:t>Table 34</w:t>
      </w:r>
      <w:r w:rsidR="002C174D" w:rsidRPr="005F5BEA">
        <w:fldChar w:fldCharType="end"/>
      </w:r>
      <w:r w:rsidR="25D6807E" w:rsidRPr="005F5BEA">
        <w:t>).</w:t>
      </w:r>
      <w:bookmarkStart w:id="54" w:name="_Ref142305892"/>
      <w:r w:rsidR="00C63874">
        <w:rPr>
          <w:rFonts w:ascii="Arial Narrow" w:hAnsi="Arial Narrow"/>
          <w:b/>
          <w:bCs/>
          <w:i/>
          <w:iCs/>
          <w:sz w:val="20"/>
          <w:szCs w:val="20"/>
        </w:rPr>
        <w:br w:type="page"/>
      </w:r>
    </w:p>
    <w:p w14:paraId="6A184A4E" w14:textId="3E08DD4A" w:rsidR="00325C61" w:rsidRPr="005F5BEA" w:rsidRDefault="00325C61" w:rsidP="00325C61">
      <w:pPr>
        <w:pStyle w:val="Caption"/>
        <w:keepNext/>
        <w:rPr>
          <w:rFonts w:ascii="Arial Narrow" w:hAnsi="Arial Narrow"/>
          <w:b/>
          <w:bCs/>
          <w:i w:val="0"/>
          <w:iCs w:val="0"/>
          <w:color w:val="auto"/>
          <w:sz w:val="20"/>
          <w:szCs w:val="20"/>
        </w:rPr>
      </w:pPr>
      <w:r w:rsidRPr="005F5BEA">
        <w:rPr>
          <w:rFonts w:ascii="Arial Narrow" w:hAnsi="Arial Narrow"/>
          <w:b/>
          <w:bCs/>
          <w:i w:val="0"/>
          <w:iCs w:val="0"/>
          <w:color w:val="auto"/>
          <w:sz w:val="20"/>
          <w:szCs w:val="20"/>
        </w:rPr>
        <w:t xml:space="preserve">Table </w:t>
      </w:r>
      <w:r w:rsidRPr="005F5BEA">
        <w:rPr>
          <w:rFonts w:ascii="Arial Narrow" w:hAnsi="Arial Narrow"/>
          <w:b/>
          <w:bCs/>
          <w:i w:val="0"/>
          <w:iCs w:val="0"/>
          <w:color w:val="auto"/>
          <w:sz w:val="20"/>
          <w:szCs w:val="20"/>
        </w:rPr>
        <w:fldChar w:fldCharType="begin"/>
      </w:r>
      <w:r w:rsidRPr="005F5BEA">
        <w:rPr>
          <w:rFonts w:ascii="Arial Narrow" w:hAnsi="Arial Narrow"/>
          <w:b/>
          <w:bCs/>
          <w:i w:val="0"/>
          <w:iCs w:val="0"/>
          <w:color w:val="auto"/>
          <w:sz w:val="20"/>
          <w:szCs w:val="20"/>
        </w:rPr>
        <w:instrText xml:space="preserve"> SEQ Table \* ARABIC </w:instrText>
      </w:r>
      <w:r w:rsidRPr="005F5BEA">
        <w:rPr>
          <w:rFonts w:ascii="Arial Narrow" w:hAnsi="Arial Narrow"/>
          <w:b/>
          <w:bCs/>
          <w:i w:val="0"/>
          <w:iCs w:val="0"/>
          <w:color w:val="auto"/>
          <w:sz w:val="20"/>
          <w:szCs w:val="20"/>
        </w:rPr>
        <w:fldChar w:fldCharType="separate"/>
      </w:r>
      <w:r w:rsidR="00334548">
        <w:rPr>
          <w:rFonts w:ascii="Arial Narrow" w:hAnsi="Arial Narrow"/>
          <w:b/>
          <w:bCs/>
          <w:i w:val="0"/>
          <w:iCs w:val="0"/>
          <w:noProof/>
          <w:color w:val="auto"/>
          <w:sz w:val="20"/>
          <w:szCs w:val="20"/>
        </w:rPr>
        <w:t>34</w:t>
      </w:r>
      <w:r w:rsidRPr="005F5BEA">
        <w:rPr>
          <w:rFonts w:ascii="Arial Narrow" w:hAnsi="Arial Narrow"/>
          <w:b/>
          <w:bCs/>
          <w:i w:val="0"/>
          <w:iCs w:val="0"/>
          <w:color w:val="auto"/>
          <w:sz w:val="20"/>
          <w:szCs w:val="20"/>
        </w:rPr>
        <w:fldChar w:fldCharType="end"/>
      </w:r>
      <w:bookmarkEnd w:id="54"/>
      <w:r w:rsidRPr="005F5BEA">
        <w:rPr>
          <w:rFonts w:ascii="Arial Narrow" w:hAnsi="Arial Narrow"/>
          <w:b/>
          <w:bCs/>
          <w:i w:val="0"/>
          <w:iCs w:val="0"/>
          <w:color w:val="auto"/>
          <w:sz w:val="20"/>
          <w:szCs w:val="20"/>
        </w:rPr>
        <w:t xml:space="preserve">: </w:t>
      </w:r>
      <w:r w:rsidR="008B531D" w:rsidRPr="005F5BEA">
        <w:rPr>
          <w:rFonts w:ascii="Arial Narrow" w:hAnsi="Arial Narrow"/>
          <w:b/>
          <w:bCs/>
          <w:i w:val="0"/>
          <w:iCs w:val="0"/>
          <w:color w:val="auto"/>
          <w:sz w:val="20"/>
          <w:szCs w:val="20"/>
        </w:rPr>
        <w:t>Updated costs in the pre-MSAC response</w:t>
      </w:r>
    </w:p>
    <w:tbl>
      <w:tblPr>
        <w:tblStyle w:val="TableGrid1"/>
        <w:tblW w:w="5000" w:type="pct"/>
        <w:tblLook w:val="04A0" w:firstRow="1" w:lastRow="0" w:firstColumn="1" w:lastColumn="0" w:noHBand="0" w:noVBand="1"/>
      </w:tblPr>
      <w:tblGrid>
        <w:gridCol w:w="2806"/>
        <w:gridCol w:w="1488"/>
        <w:gridCol w:w="1488"/>
        <w:gridCol w:w="1617"/>
        <w:gridCol w:w="1617"/>
      </w:tblGrid>
      <w:tr w:rsidR="00325C61" w:rsidRPr="005F5BEA" w14:paraId="5855638C" w14:textId="77777777" w:rsidTr="00311E10">
        <w:tc>
          <w:tcPr>
            <w:tcW w:w="2806" w:type="dxa"/>
          </w:tcPr>
          <w:p w14:paraId="6643A509" w14:textId="77777777" w:rsidR="00325C61" w:rsidRPr="005F5BEA" w:rsidRDefault="00325C61" w:rsidP="00D370AC">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Data</w:t>
            </w:r>
          </w:p>
        </w:tc>
        <w:tc>
          <w:tcPr>
            <w:tcW w:w="1488" w:type="dxa"/>
          </w:tcPr>
          <w:p w14:paraId="4C1F30B2" w14:textId="77777777" w:rsidR="00325C61" w:rsidRPr="005F5BEA" w:rsidRDefault="00325C61" w:rsidP="00D370AC">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2022</w:t>
            </w:r>
          </w:p>
        </w:tc>
        <w:tc>
          <w:tcPr>
            <w:tcW w:w="1488" w:type="dxa"/>
          </w:tcPr>
          <w:p w14:paraId="639C021D" w14:textId="77777777" w:rsidR="00325C61" w:rsidRPr="005F5BEA" w:rsidRDefault="00325C61" w:rsidP="00D370AC">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2023</w:t>
            </w:r>
          </w:p>
        </w:tc>
        <w:tc>
          <w:tcPr>
            <w:tcW w:w="1617" w:type="dxa"/>
          </w:tcPr>
          <w:p w14:paraId="730A107D" w14:textId="77777777" w:rsidR="00325C61" w:rsidRPr="005F5BEA" w:rsidRDefault="00325C61" w:rsidP="00D370AC">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2024</w:t>
            </w:r>
          </w:p>
        </w:tc>
        <w:tc>
          <w:tcPr>
            <w:tcW w:w="1617" w:type="dxa"/>
          </w:tcPr>
          <w:p w14:paraId="64277236" w14:textId="77777777" w:rsidR="00325C61" w:rsidRPr="005F5BEA" w:rsidRDefault="00325C61" w:rsidP="00D370AC">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2025</w:t>
            </w:r>
          </w:p>
        </w:tc>
      </w:tr>
      <w:tr w:rsidR="00325C61" w:rsidRPr="005F5BEA" w14:paraId="405E68EE" w14:textId="77777777" w:rsidTr="00D370AC">
        <w:tc>
          <w:tcPr>
            <w:tcW w:w="9016" w:type="dxa"/>
            <w:gridSpan w:val="5"/>
          </w:tcPr>
          <w:p w14:paraId="5ED8DB35" w14:textId="25CC7483" w:rsidR="00325C61" w:rsidRPr="005F5BEA" w:rsidRDefault="00C8610E" w:rsidP="00D370AC">
            <w:pPr>
              <w:widowControl w:val="0"/>
              <w:spacing w:before="20" w:after="20"/>
              <w:rPr>
                <w:rFonts w:ascii="Arial Narrow" w:eastAsia="Calibri" w:hAnsi="Arial Narrow" w:cs="Calibri"/>
                <w:b/>
                <w:sz w:val="20"/>
                <w:szCs w:val="20"/>
                <w:lang w:val="en-US"/>
              </w:rPr>
            </w:pPr>
            <w:r w:rsidRPr="005F5BEA">
              <w:rPr>
                <w:rFonts w:ascii="Arial Narrow" w:eastAsia="Calibri" w:hAnsi="Arial Narrow" w:cs="Calibri"/>
                <w:b/>
                <w:sz w:val="20"/>
                <w:szCs w:val="20"/>
                <w:lang w:val="en-US"/>
              </w:rPr>
              <w:t>Round 1 + Round 2 patient numbers and revised real-world overhead cost (updated base case)</w:t>
            </w:r>
          </w:p>
        </w:tc>
      </w:tr>
      <w:tr w:rsidR="00362926" w:rsidRPr="005F5BEA" w14:paraId="5A896907" w14:textId="77777777" w:rsidTr="00311E10">
        <w:tc>
          <w:tcPr>
            <w:tcW w:w="2806" w:type="dxa"/>
          </w:tcPr>
          <w:p w14:paraId="00EC42CA" w14:textId="77777777" w:rsidR="00362926" w:rsidRPr="005F5BEA" w:rsidRDefault="00362926" w:rsidP="00362926">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Total costs</w:t>
            </w:r>
          </w:p>
        </w:tc>
        <w:tc>
          <w:tcPr>
            <w:tcW w:w="1488" w:type="dxa"/>
          </w:tcPr>
          <w:p w14:paraId="02CAE813" w14:textId="7129779C" w:rsidR="00362926" w:rsidRPr="00606130" w:rsidRDefault="00362926" w:rsidP="00E16901">
            <w:pPr>
              <w:pStyle w:val="TableText"/>
              <w:jc w:val="right"/>
              <w:rPr>
                <w:rFonts w:eastAsia="Calibri" w:cs="Calibri"/>
                <w:szCs w:val="20"/>
              </w:rPr>
            </w:pPr>
            <w:r w:rsidRPr="00606130">
              <w:t>$90,637,882</w:t>
            </w:r>
          </w:p>
        </w:tc>
        <w:tc>
          <w:tcPr>
            <w:tcW w:w="1488" w:type="dxa"/>
          </w:tcPr>
          <w:p w14:paraId="3D35C638" w14:textId="1D706DBA" w:rsidR="00362926" w:rsidRPr="00606130" w:rsidRDefault="00362926" w:rsidP="00E16901">
            <w:pPr>
              <w:pStyle w:val="TableText"/>
              <w:jc w:val="right"/>
              <w:rPr>
                <w:rFonts w:eastAsia="Calibri" w:cs="Calibri"/>
                <w:szCs w:val="20"/>
              </w:rPr>
            </w:pPr>
            <w:r w:rsidRPr="00606130">
              <w:t>$97,891,373</w:t>
            </w:r>
          </w:p>
        </w:tc>
        <w:tc>
          <w:tcPr>
            <w:tcW w:w="1617" w:type="dxa"/>
          </w:tcPr>
          <w:p w14:paraId="530222DA" w14:textId="725657C2" w:rsidR="00362926" w:rsidRPr="00606130" w:rsidRDefault="00362926" w:rsidP="00E16901">
            <w:pPr>
              <w:pStyle w:val="TableText"/>
              <w:jc w:val="right"/>
              <w:rPr>
                <w:rFonts w:eastAsia="Calibri" w:cs="Calibri"/>
                <w:szCs w:val="20"/>
              </w:rPr>
            </w:pPr>
            <w:r w:rsidRPr="00606130">
              <w:t>$105,634,093</w:t>
            </w:r>
          </w:p>
        </w:tc>
        <w:tc>
          <w:tcPr>
            <w:tcW w:w="1617" w:type="dxa"/>
          </w:tcPr>
          <w:p w14:paraId="13FFE1E2" w14:textId="22635D84" w:rsidR="00362926" w:rsidRPr="00606130" w:rsidRDefault="00362926" w:rsidP="00E16901">
            <w:pPr>
              <w:pStyle w:val="TableText"/>
              <w:jc w:val="right"/>
              <w:rPr>
                <w:rFonts w:eastAsia="Calibri" w:cs="Calibri"/>
                <w:szCs w:val="20"/>
              </w:rPr>
            </w:pPr>
            <w:r w:rsidRPr="00606130">
              <w:t>$113,905,091</w:t>
            </w:r>
          </w:p>
        </w:tc>
      </w:tr>
      <w:tr w:rsidR="00311E10" w:rsidRPr="005F5BEA" w14:paraId="0D94EB3A" w14:textId="77777777" w:rsidTr="00311E10">
        <w:tc>
          <w:tcPr>
            <w:tcW w:w="2806" w:type="dxa"/>
          </w:tcPr>
          <w:p w14:paraId="648F07C9" w14:textId="6C77BD8E" w:rsidR="00311E10" w:rsidRPr="005F5BEA" w:rsidRDefault="00311E10" w:rsidP="00311E10">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ab/>
              <w:t xml:space="preserve">Overhead costs </w:t>
            </w:r>
          </w:p>
        </w:tc>
        <w:tc>
          <w:tcPr>
            <w:tcW w:w="1488" w:type="dxa"/>
          </w:tcPr>
          <w:p w14:paraId="5E2A867B" w14:textId="7CD3583E" w:rsidR="00311E10" w:rsidRPr="00606130" w:rsidRDefault="00311E10" w:rsidP="00E16901">
            <w:pPr>
              <w:pStyle w:val="TableText"/>
              <w:jc w:val="right"/>
              <w:rPr>
                <w:rFonts w:eastAsia="Calibri" w:cs="Calibri"/>
                <w:szCs w:val="20"/>
              </w:rPr>
            </w:pPr>
            <w:r w:rsidRPr="00606130">
              <w:t>$31,017,034</w:t>
            </w:r>
          </w:p>
        </w:tc>
        <w:tc>
          <w:tcPr>
            <w:tcW w:w="1488" w:type="dxa"/>
          </w:tcPr>
          <w:p w14:paraId="2075FC12" w14:textId="74873B7B" w:rsidR="00311E10" w:rsidRPr="00606130" w:rsidRDefault="00311E10" w:rsidP="00E16901">
            <w:pPr>
              <w:pStyle w:val="TableText"/>
              <w:jc w:val="right"/>
              <w:rPr>
                <w:rFonts w:eastAsia="Calibri" w:cs="Calibri"/>
                <w:szCs w:val="20"/>
              </w:rPr>
            </w:pPr>
            <w:r w:rsidRPr="00606130">
              <w:t>$33,802,039</w:t>
            </w:r>
          </w:p>
        </w:tc>
        <w:tc>
          <w:tcPr>
            <w:tcW w:w="1617" w:type="dxa"/>
          </w:tcPr>
          <w:p w14:paraId="6953FAC7" w14:textId="7A76361A" w:rsidR="00311E10" w:rsidRPr="00606130" w:rsidRDefault="00311E10" w:rsidP="00E16901">
            <w:pPr>
              <w:pStyle w:val="TableText"/>
              <w:jc w:val="right"/>
              <w:rPr>
                <w:rFonts w:eastAsia="Calibri" w:cs="Calibri"/>
                <w:szCs w:val="20"/>
              </w:rPr>
            </w:pPr>
            <w:r w:rsidRPr="00606130">
              <w:t>$36,798,066</w:t>
            </w:r>
          </w:p>
        </w:tc>
        <w:tc>
          <w:tcPr>
            <w:tcW w:w="1617" w:type="dxa"/>
          </w:tcPr>
          <w:p w14:paraId="55C8A5FE" w14:textId="2760124B" w:rsidR="00311E10" w:rsidRPr="00606130" w:rsidRDefault="00311E10" w:rsidP="00E16901">
            <w:pPr>
              <w:pStyle w:val="TableText"/>
              <w:jc w:val="right"/>
              <w:rPr>
                <w:rFonts w:eastAsia="Calibri" w:cs="Calibri"/>
                <w:szCs w:val="20"/>
              </w:rPr>
            </w:pPr>
            <w:r w:rsidRPr="00606130">
              <w:t>$40,022,572</w:t>
            </w:r>
          </w:p>
        </w:tc>
      </w:tr>
      <w:tr w:rsidR="00325C61" w:rsidRPr="005F5BEA" w14:paraId="0E3EEE24" w14:textId="77777777" w:rsidTr="00D370AC">
        <w:tc>
          <w:tcPr>
            <w:tcW w:w="9016" w:type="dxa"/>
            <w:gridSpan w:val="5"/>
          </w:tcPr>
          <w:p w14:paraId="2510BD67" w14:textId="6C9D5FF9" w:rsidR="00325C61" w:rsidRPr="005F5BEA" w:rsidRDefault="00BF1B97" w:rsidP="00E16901">
            <w:pPr>
              <w:pStyle w:val="TableText"/>
              <w:rPr>
                <w:rFonts w:eastAsia="Calibri" w:cs="Calibri"/>
                <w:b/>
                <w:iCs/>
                <w:szCs w:val="20"/>
                <w:lang w:val="en-US"/>
              </w:rPr>
            </w:pPr>
            <w:r w:rsidRPr="005F5BEA">
              <w:rPr>
                <w:rFonts w:eastAsia="Calibri" w:cs="Calibri"/>
                <w:b/>
                <w:iCs/>
                <w:szCs w:val="20"/>
                <w:lang w:val="en-US"/>
              </w:rPr>
              <w:lastRenderedPageBreak/>
              <w:t>Updated base case + Only apply certification to 10% per annum</w:t>
            </w:r>
          </w:p>
        </w:tc>
      </w:tr>
      <w:tr w:rsidR="00E16901" w:rsidRPr="005F5BEA" w14:paraId="37A30832" w14:textId="77777777" w:rsidTr="00263CBA">
        <w:tc>
          <w:tcPr>
            <w:tcW w:w="2806" w:type="dxa"/>
          </w:tcPr>
          <w:p w14:paraId="1F4286C3" w14:textId="77777777" w:rsidR="00E16901" w:rsidRPr="005F5BEA" w:rsidRDefault="00E16901" w:rsidP="00E16901">
            <w:pPr>
              <w:keepLines/>
              <w:spacing w:before="20" w:after="20"/>
              <w:rPr>
                <w:rFonts w:ascii="Arial Narrow" w:eastAsia="Calibri" w:hAnsi="Arial Narrow" w:cs="Calibri"/>
                <w:sz w:val="20"/>
                <w:szCs w:val="20"/>
              </w:rPr>
            </w:pPr>
            <w:r w:rsidRPr="005F5BEA">
              <w:rPr>
                <w:rFonts w:ascii="Arial Narrow" w:eastAsia="Calibri" w:hAnsi="Arial Narrow" w:cs="Calibri"/>
                <w:sz w:val="20"/>
                <w:szCs w:val="20"/>
              </w:rPr>
              <w:t>Total costs</w:t>
            </w:r>
          </w:p>
        </w:tc>
        <w:tc>
          <w:tcPr>
            <w:tcW w:w="1488" w:type="dxa"/>
          </w:tcPr>
          <w:p w14:paraId="5638BCB5" w14:textId="6CA645FB" w:rsidR="00E16901" w:rsidRPr="00606130" w:rsidRDefault="00E16901" w:rsidP="00E16901">
            <w:pPr>
              <w:pStyle w:val="TableText"/>
              <w:jc w:val="right"/>
              <w:rPr>
                <w:rFonts w:eastAsia="Calibri" w:cs="Calibri"/>
                <w:szCs w:val="20"/>
              </w:rPr>
            </w:pPr>
            <w:r w:rsidRPr="00606130">
              <w:t>$87,043,743</w:t>
            </w:r>
          </w:p>
        </w:tc>
        <w:tc>
          <w:tcPr>
            <w:tcW w:w="1488" w:type="dxa"/>
          </w:tcPr>
          <w:p w14:paraId="59AC4BBC" w14:textId="086F9321" w:rsidR="00E16901" w:rsidRPr="00606130" w:rsidRDefault="00E16901" w:rsidP="00E16901">
            <w:pPr>
              <w:pStyle w:val="TableText"/>
              <w:jc w:val="right"/>
              <w:rPr>
                <w:rFonts w:eastAsia="Calibri" w:cs="Calibri"/>
                <w:szCs w:val="20"/>
              </w:rPr>
            </w:pPr>
            <w:r w:rsidRPr="00606130">
              <w:t>$94,077,992</w:t>
            </w:r>
          </w:p>
        </w:tc>
        <w:tc>
          <w:tcPr>
            <w:tcW w:w="1617" w:type="dxa"/>
          </w:tcPr>
          <w:p w14:paraId="41E25F49" w14:textId="3B971DDC" w:rsidR="00E16901" w:rsidRPr="00606130" w:rsidRDefault="00E16901" w:rsidP="00E16901">
            <w:pPr>
              <w:pStyle w:val="TableText"/>
              <w:jc w:val="right"/>
              <w:rPr>
                <w:rFonts w:eastAsia="Calibri" w:cs="Calibri"/>
                <w:szCs w:val="20"/>
              </w:rPr>
            </w:pPr>
            <w:r w:rsidRPr="00606130">
              <w:t>$101,601,470</w:t>
            </w:r>
          </w:p>
        </w:tc>
        <w:tc>
          <w:tcPr>
            <w:tcW w:w="1617" w:type="dxa"/>
          </w:tcPr>
          <w:p w14:paraId="246E5441" w14:textId="43BBA9D5" w:rsidR="00E16901" w:rsidRPr="00606130" w:rsidRDefault="00E16901" w:rsidP="00E16901">
            <w:pPr>
              <w:pStyle w:val="TableText"/>
              <w:jc w:val="right"/>
              <w:rPr>
                <w:rFonts w:eastAsia="Calibri" w:cs="Calibri"/>
                <w:szCs w:val="20"/>
              </w:rPr>
            </w:pPr>
            <w:r w:rsidRPr="00606130">
              <w:t>$109,653,225</w:t>
            </w:r>
          </w:p>
        </w:tc>
      </w:tr>
    </w:tbl>
    <w:p w14:paraId="079DCF00" w14:textId="73D48567" w:rsidR="00B4590E" w:rsidRPr="005F5BEA" w:rsidRDefault="00E16901" w:rsidP="00437E5B">
      <w:r w:rsidRPr="005F5BEA">
        <w:rPr>
          <w:rFonts w:ascii="Arial Narrow" w:eastAsia="Calibri" w:hAnsi="Arial Narrow" w:cs="Arial"/>
          <w:sz w:val="18"/>
        </w:rPr>
        <w:t xml:space="preserve">Source: Table 1, pre-MSAC response. </w:t>
      </w:r>
    </w:p>
    <w:p w14:paraId="1545C377" w14:textId="519F6A04" w:rsidR="00723157" w:rsidRPr="005F5BEA" w:rsidRDefault="00EE7BA5" w:rsidP="0097698B">
      <w:pPr>
        <w:pStyle w:val="Heading2"/>
      </w:pPr>
      <w:r w:rsidRPr="005F5BEA">
        <w:t>9</w:t>
      </w:r>
      <w:r w:rsidR="00240196" w:rsidRPr="005F5BEA">
        <w:t>.</w:t>
      </w:r>
      <w:r w:rsidR="00240196" w:rsidRPr="005F5BEA">
        <w:tab/>
      </w:r>
      <w:r w:rsidR="00723157" w:rsidRPr="005F5BEA">
        <w:t xml:space="preserve">Estimated total number of </w:t>
      </w:r>
      <w:r w:rsidR="00692C27" w:rsidRPr="005F5BEA">
        <w:t>devices being serviced</w:t>
      </w:r>
    </w:p>
    <w:p w14:paraId="65506234" w14:textId="62DFA456" w:rsidR="00A32B50" w:rsidRPr="005F5BEA" w:rsidRDefault="00A32B50" w:rsidP="00360B2A">
      <w:r w:rsidRPr="005F5BEA">
        <w:t>One of the aims of th</w:t>
      </w:r>
      <w:r w:rsidR="00E51991" w:rsidRPr="005F5BEA">
        <w:t>e request for the application</w:t>
      </w:r>
      <w:r w:rsidRPr="005F5BEA">
        <w:t xml:space="preserve"> was to determine the total number of active CIEDs in Australia (</w:t>
      </w:r>
      <w:proofErr w:type="gramStart"/>
      <w:r w:rsidRPr="005F5BEA">
        <w:t>i.e.</w:t>
      </w:r>
      <w:proofErr w:type="gramEnd"/>
      <w:r w:rsidRPr="005F5BEA">
        <w:t xml:space="preserve"> how many devices are currently in use and in need of services on a regular basis). </w:t>
      </w:r>
      <w:r w:rsidR="00E51991" w:rsidRPr="005F5BEA">
        <w:t>However, this number is difficult to determine due t</w:t>
      </w:r>
      <w:r w:rsidR="003704F5" w:rsidRPr="005F5BEA">
        <w:t>o an absence of reporting this data by the MTAA CF members</w:t>
      </w:r>
      <w:r w:rsidR="0097662A">
        <w:t>.</w:t>
      </w:r>
      <w:r w:rsidR="0097662A" w:rsidRPr="005F5BEA">
        <w:t xml:space="preserve"> </w:t>
      </w:r>
    </w:p>
    <w:p w14:paraId="77812953" w14:textId="5BE5862F" w:rsidR="00F3014B" w:rsidRPr="005F5BEA" w:rsidRDefault="00F3014B" w:rsidP="00360B2A">
      <w:r w:rsidRPr="005F5BEA">
        <w:t>The total number of</w:t>
      </w:r>
      <w:r w:rsidR="00733B39" w:rsidRPr="005F5BEA">
        <w:t xml:space="preserve"> active</w:t>
      </w:r>
      <w:r w:rsidRPr="005F5BEA">
        <w:t xml:space="preserve"> CIEDs</w:t>
      </w:r>
      <w:r w:rsidR="0097077A" w:rsidRPr="005F5BEA">
        <w:t xml:space="preserve"> in the KPMG report</w:t>
      </w:r>
      <w:r w:rsidRPr="005F5BEA">
        <w:t xml:space="preserve"> was estimated to be 252,671 in 2022/2023.</w:t>
      </w:r>
    </w:p>
    <w:p w14:paraId="1708C240" w14:textId="239CD4B7" w:rsidR="00C25833" w:rsidRPr="005F5BEA" w:rsidRDefault="00A32B50" w:rsidP="00360B2A">
      <w:r w:rsidRPr="005F5BEA">
        <w:t>Based on the number of PPMs and ICDs sold in Australia (with the assumption that all of these devices will be implanted), and the average length of time a device is in use (although it is recognised that some of these sources are possibly out-of-date), the average number or range of active devices in Australia was estimated (</w:t>
      </w:r>
      <w:r w:rsidRPr="005F5BEA">
        <w:fldChar w:fldCharType="begin"/>
      </w:r>
      <w:r w:rsidRPr="005F5BEA">
        <w:instrText xml:space="preserve"> REF _Ref120539995 \h </w:instrText>
      </w:r>
      <w:r w:rsidR="00733B39" w:rsidRPr="005F5BEA">
        <w:instrText xml:space="preserve"> \* MERGEFORMAT </w:instrText>
      </w:r>
      <w:r w:rsidRPr="005F5BEA">
        <w:fldChar w:fldCharType="separate"/>
      </w:r>
      <w:r w:rsidR="00334548" w:rsidRPr="005F5BEA">
        <w:t xml:space="preserve">Table </w:t>
      </w:r>
      <w:r w:rsidR="00334548">
        <w:t>35</w:t>
      </w:r>
      <w:r w:rsidRPr="005F5BEA">
        <w:fldChar w:fldCharType="end"/>
      </w:r>
      <w:r w:rsidRPr="005F5BEA">
        <w:t xml:space="preserve">). </w:t>
      </w:r>
      <w:r w:rsidR="00AB0969" w:rsidRPr="005F5BEA">
        <w:t>It should be noted that these numbers are uncertain.</w:t>
      </w:r>
      <w:r w:rsidR="00733B39" w:rsidRPr="005F5BEA">
        <w:t xml:space="preserve"> Based on these estimates, there would be 226,947 – 247,756 active CIEDs in Australia. This estimate is slightly lower than KPMG’s estimate. </w:t>
      </w:r>
    </w:p>
    <w:p w14:paraId="0705A358" w14:textId="4A69038E" w:rsidR="00C25833" w:rsidRPr="005F5BEA" w:rsidRDefault="00C25833" w:rsidP="00360B2A">
      <w:r w:rsidRPr="005F5BEA">
        <w:t>The MBS item for remote monitoring for a PPM was claimed 34,463 times in the 2021-2022 financial year. This item is payable only once in a 12-month period, which means it was claimed for only 34,463 patients.</w:t>
      </w:r>
      <w:r w:rsidR="00A32B50" w:rsidRPr="005F5BEA">
        <w:t xml:space="preserve"> </w:t>
      </w:r>
      <w:r w:rsidRPr="005F5BEA">
        <w:t>Not all patients with a PPM will currently have a remote monitoring option, and a proportion of patients will receive monitoring through the public health system and therefore would not be claiming the MBS item. If the estimated number of active PPMs is accurate (n=181,368) this would mean only 19.0% of patients with a PPM had remote monitoring in the private system.</w:t>
      </w:r>
      <w:r w:rsidR="009F66DB" w:rsidRPr="005F5BEA">
        <w:t xml:space="preserve"> </w:t>
      </w:r>
    </w:p>
    <w:p w14:paraId="39BA3787" w14:textId="69BCD5A0" w:rsidR="009F66DB" w:rsidRPr="005F5BEA" w:rsidRDefault="00A12CAB" w:rsidP="00360B2A">
      <w:r w:rsidRPr="005F5BEA">
        <w:t xml:space="preserve">A member of the reference group stated that of all replacement and new implants in 2021, around 70% of individuals were billed for the provision of remote monitoring. This is a higher percentage than the percentage suggested above. Presumably a proportion of the patients </w:t>
      </w:r>
      <w:r w:rsidR="00C236E3" w:rsidRPr="005F5BEA">
        <w:t xml:space="preserve">are being supplied with the infrastructure for remote monitoring (a monitor or app), without implementing the remote monitoring. More details surrounding this issue should be provided. </w:t>
      </w:r>
    </w:p>
    <w:p w14:paraId="4493EA0D" w14:textId="15570A6B" w:rsidR="00360B2A" w:rsidRPr="005F5BEA" w:rsidRDefault="00C25833" w:rsidP="002B2C0B">
      <w:r w:rsidRPr="005F5BEA">
        <w:t xml:space="preserve">ICD/CRT-D remote monitoring was claimed for 13,026 patients in the 2021-2022 financial year. If there are between 31,463 and 45,589 patients with ICDs and CRT-Ds in Australia, only between 28.6% and 41.4% of patients with an ICD or CRT-D would </w:t>
      </w:r>
      <w:r w:rsidR="00E776EA" w:rsidRPr="005F5BEA">
        <w:t xml:space="preserve">currently have remote monitoring in the private system. </w:t>
      </w:r>
      <w:r w:rsidR="00661EC7" w:rsidRPr="005F5BEA">
        <w:t>Claim data for remote monitoring of ILRs</w:t>
      </w:r>
      <w:r w:rsidRPr="005F5BEA">
        <w:t xml:space="preserve"> </w:t>
      </w:r>
      <w:r w:rsidR="00661EC7" w:rsidRPr="005F5BEA">
        <w:t>was not available as the MBS item has only recently been introduced.</w:t>
      </w:r>
    </w:p>
    <w:p w14:paraId="07FF77AE" w14:textId="0E8BB98F" w:rsidR="009C6F77" w:rsidRPr="005F5BEA" w:rsidRDefault="009C6F77" w:rsidP="00863DB5">
      <w:pPr>
        <w:pStyle w:val="TableHeading"/>
        <w:keepNext/>
      </w:pPr>
      <w:bookmarkStart w:id="55" w:name="_Ref120539995"/>
      <w:r w:rsidRPr="005F5BEA">
        <w:lastRenderedPageBreak/>
        <w:t xml:space="preserve">Table </w:t>
      </w:r>
      <w:r w:rsidRPr="005F5BEA">
        <w:fldChar w:fldCharType="begin"/>
      </w:r>
      <w:r w:rsidRPr="005F5BEA">
        <w:instrText>SEQ Table \* ARABIC</w:instrText>
      </w:r>
      <w:r w:rsidRPr="005F5BEA">
        <w:fldChar w:fldCharType="separate"/>
      </w:r>
      <w:r w:rsidR="00334548">
        <w:rPr>
          <w:noProof/>
        </w:rPr>
        <w:t>35</w:t>
      </w:r>
      <w:r w:rsidRPr="005F5BEA">
        <w:fldChar w:fldCharType="end"/>
      </w:r>
      <w:bookmarkEnd w:id="55"/>
      <w:r w:rsidRPr="005F5BEA">
        <w:t xml:space="preserve"> data to work out the estimated number of devices (prevalent) and total time required for providing </w:t>
      </w:r>
      <w:proofErr w:type="gramStart"/>
      <w:r w:rsidRPr="005F5BEA">
        <w:t>services</w:t>
      </w:r>
      <w:proofErr w:type="gramEnd"/>
    </w:p>
    <w:tbl>
      <w:tblPr>
        <w:tblStyle w:val="TableGrid"/>
        <w:tblW w:w="0" w:type="auto"/>
        <w:tblLook w:val="04A0" w:firstRow="1" w:lastRow="0" w:firstColumn="1" w:lastColumn="0" w:noHBand="0" w:noVBand="1"/>
      </w:tblPr>
      <w:tblGrid>
        <w:gridCol w:w="1876"/>
        <w:gridCol w:w="1837"/>
        <w:gridCol w:w="1669"/>
        <w:gridCol w:w="2126"/>
        <w:gridCol w:w="1508"/>
      </w:tblGrid>
      <w:tr w:rsidR="00C356B6" w:rsidRPr="005F5BEA" w14:paraId="37E04D15" w14:textId="4B3BF48B" w:rsidTr="002B2C0B">
        <w:trPr>
          <w:tblHeader/>
        </w:trPr>
        <w:tc>
          <w:tcPr>
            <w:tcW w:w="1876" w:type="dxa"/>
          </w:tcPr>
          <w:p w14:paraId="6E9EF9E5" w14:textId="77777777" w:rsidR="00C356B6" w:rsidRPr="005F5BEA" w:rsidRDefault="00C356B6" w:rsidP="00863DB5">
            <w:pPr>
              <w:keepNext/>
              <w:rPr>
                <w:rFonts w:ascii="Arial Narrow" w:hAnsi="Arial Narrow"/>
                <w:b/>
                <w:sz w:val="20"/>
                <w:szCs w:val="20"/>
              </w:rPr>
            </w:pPr>
          </w:p>
        </w:tc>
        <w:tc>
          <w:tcPr>
            <w:tcW w:w="1837" w:type="dxa"/>
          </w:tcPr>
          <w:p w14:paraId="63E5A78F" w14:textId="77777777" w:rsidR="00C356B6" w:rsidRPr="005F5BEA" w:rsidRDefault="00C356B6" w:rsidP="00863DB5">
            <w:pPr>
              <w:keepNext/>
              <w:rPr>
                <w:rFonts w:ascii="Arial Narrow" w:hAnsi="Arial Narrow"/>
                <w:b/>
                <w:sz w:val="20"/>
                <w:szCs w:val="20"/>
              </w:rPr>
            </w:pPr>
            <w:r w:rsidRPr="005F5BEA">
              <w:rPr>
                <w:rFonts w:ascii="Arial Narrow" w:hAnsi="Arial Narrow"/>
                <w:b/>
                <w:sz w:val="20"/>
                <w:szCs w:val="20"/>
              </w:rPr>
              <w:t>PPMs</w:t>
            </w:r>
          </w:p>
        </w:tc>
        <w:tc>
          <w:tcPr>
            <w:tcW w:w="1669" w:type="dxa"/>
          </w:tcPr>
          <w:p w14:paraId="7C5A079D" w14:textId="77777777" w:rsidR="00C356B6" w:rsidRPr="005F5BEA" w:rsidRDefault="00C356B6" w:rsidP="00863DB5">
            <w:pPr>
              <w:keepNext/>
              <w:rPr>
                <w:rFonts w:ascii="Arial Narrow" w:hAnsi="Arial Narrow"/>
                <w:b/>
                <w:sz w:val="20"/>
                <w:szCs w:val="20"/>
              </w:rPr>
            </w:pPr>
            <w:r w:rsidRPr="005F5BEA">
              <w:rPr>
                <w:rFonts w:ascii="Arial Narrow" w:hAnsi="Arial Narrow"/>
                <w:b/>
                <w:sz w:val="20"/>
                <w:szCs w:val="20"/>
              </w:rPr>
              <w:t>ICDs</w:t>
            </w:r>
          </w:p>
        </w:tc>
        <w:tc>
          <w:tcPr>
            <w:tcW w:w="2126" w:type="dxa"/>
          </w:tcPr>
          <w:p w14:paraId="24E31D1B" w14:textId="37EE10FD" w:rsidR="00C356B6" w:rsidRPr="005F5BEA" w:rsidRDefault="00C356B6" w:rsidP="00863DB5">
            <w:pPr>
              <w:keepNext/>
              <w:rPr>
                <w:rFonts w:ascii="Arial Narrow" w:hAnsi="Arial Narrow"/>
                <w:b/>
                <w:sz w:val="20"/>
                <w:szCs w:val="20"/>
              </w:rPr>
            </w:pPr>
            <w:r w:rsidRPr="005F5BEA">
              <w:rPr>
                <w:rFonts w:ascii="Arial Narrow" w:hAnsi="Arial Narrow"/>
                <w:b/>
                <w:sz w:val="20"/>
                <w:szCs w:val="20"/>
              </w:rPr>
              <w:t>CRT</w:t>
            </w:r>
            <w:r w:rsidR="005B1245" w:rsidRPr="005F5BEA">
              <w:rPr>
                <w:rFonts w:ascii="Arial Narrow" w:hAnsi="Arial Narrow"/>
                <w:b/>
                <w:sz w:val="20"/>
                <w:szCs w:val="20"/>
              </w:rPr>
              <w:t>D</w:t>
            </w:r>
            <w:r w:rsidRPr="005F5BEA">
              <w:rPr>
                <w:rFonts w:ascii="Arial Narrow" w:hAnsi="Arial Narrow"/>
                <w:b/>
                <w:sz w:val="20"/>
                <w:szCs w:val="20"/>
              </w:rPr>
              <w:t>s</w:t>
            </w:r>
          </w:p>
        </w:tc>
        <w:tc>
          <w:tcPr>
            <w:tcW w:w="1508" w:type="dxa"/>
          </w:tcPr>
          <w:p w14:paraId="56214DC3" w14:textId="4CC6743E" w:rsidR="00C356B6" w:rsidRPr="005F5BEA" w:rsidRDefault="00C356B6" w:rsidP="00863DB5">
            <w:pPr>
              <w:keepNext/>
              <w:rPr>
                <w:rFonts w:ascii="Arial Narrow" w:hAnsi="Arial Narrow"/>
                <w:b/>
                <w:sz w:val="20"/>
                <w:szCs w:val="20"/>
              </w:rPr>
            </w:pPr>
            <w:r w:rsidRPr="005F5BEA">
              <w:rPr>
                <w:rFonts w:ascii="Arial Narrow" w:hAnsi="Arial Narrow"/>
                <w:b/>
                <w:sz w:val="20"/>
                <w:szCs w:val="20"/>
              </w:rPr>
              <w:t>ILRs</w:t>
            </w:r>
          </w:p>
        </w:tc>
      </w:tr>
      <w:tr w:rsidR="00DE516A" w:rsidRPr="005F5BEA" w14:paraId="114336AD" w14:textId="56B126CD" w:rsidTr="002B2C0B">
        <w:tc>
          <w:tcPr>
            <w:tcW w:w="1876" w:type="dxa"/>
          </w:tcPr>
          <w:p w14:paraId="32F9E1EA" w14:textId="116B193B" w:rsidR="00DE516A" w:rsidRPr="005F5BEA" w:rsidRDefault="00DE516A" w:rsidP="00863DB5">
            <w:pPr>
              <w:keepNext/>
              <w:rPr>
                <w:rFonts w:ascii="Arial Narrow" w:hAnsi="Arial Narrow"/>
                <w:b/>
                <w:sz w:val="20"/>
                <w:szCs w:val="20"/>
              </w:rPr>
            </w:pPr>
            <w:r w:rsidRPr="005F5BEA">
              <w:rPr>
                <w:rFonts w:ascii="Arial Narrow" w:hAnsi="Arial Narrow"/>
                <w:b/>
                <w:sz w:val="20"/>
                <w:szCs w:val="20"/>
              </w:rPr>
              <w:t>Devices</w:t>
            </w:r>
            <w:r w:rsidR="00C25833" w:rsidRPr="005F5BEA">
              <w:rPr>
                <w:rFonts w:ascii="Arial Narrow" w:hAnsi="Arial Narrow"/>
                <w:b/>
                <w:sz w:val="20"/>
                <w:szCs w:val="20"/>
              </w:rPr>
              <w:t xml:space="preserve"> sold</w:t>
            </w:r>
            <w:r w:rsidRPr="005F5BEA">
              <w:rPr>
                <w:rFonts w:ascii="Arial Narrow" w:hAnsi="Arial Narrow"/>
                <w:b/>
                <w:sz w:val="20"/>
                <w:szCs w:val="20"/>
              </w:rPr>
              <w:t xml:space="preserve"> per year</w:t>
            </w:r>
            <w:r w:rsidR="00D6234F" w:rsidRPr="005F5BEA">
              <w:rPr>
                <w:rFonts w:ascii="Arial Narrow" w:hAnsi="Arial Narrow"/>
                <w:b/>
                <w:sz w:val="20"/>
                <w:szCs w:val="20"/>
              </w:rPr>
              <w:t xml:space="preserve"> (2021)</w:t>
            </w:r>
            <w:r w:rsidR="00D6234F" w:rsidRPr="005F5BEA">
              <w:rPr>
                <w:rStyle w:val="FootnoteReference"/>
                <w:rFonts w:ascii="Arial Narrow" w:hAnsi="Arial Narrow"/>
                <w:b/>
                <w:sz w:val="20"/>
                <w:szCs w:val="20"/>
              </w:rPr>
              <w:footnoteReference w:id="22"/>
            </w:r>
            <w:r w:rsidR="00C25833" w:rsidRPr="005F5BEA">
              <w:rPr>
                <w:rFonts w:ascii="Arial Narrow" w:hAnsi="Arial Narrow"/>
                <w:b/>
                <w:sz w:val="20"/>
                <w:szCs w:val="20"/>
              </w:rPr>
              <w:t xml:space="preserve"> (assumed to be the number of implanted devices)</w:t>
            </w:r>
          </w:p>
        </w:tc>
        <w:tc>
          <w:tcPr>
            <w:tcW w:w="1837" w:type="dxa"/>
          </w:tcPr>
          <w:p w14:paraId="375CAC32" w14:textId="138BAA85" w:rsidR="00DE516A" w:rsidRPr="005F5BEA" w:rsidRDefault="00DE516A" w:rsidP="00863DB5">
            <w:pPr>
              <w:keepNext/>
              <w:rPr>
                <w:rFonts w:ascii="Arial Narrow" w:hAnsi="Arial Narrow"/>
                <w:sz w:val="20"/>
                <w:szCs w:val="20"/>
              </w:rPr>
            </w:pPr>
            <w:r w:rsidRPr="005F5BEA">
              <w:rPr>
                <w:rFonts w:ascii="Arial Narrow" w:eastAsia="Times New Roman" w:hAnsi="Arial Narrow" w:cs="Times New Roman"/>
                <w:sz w:val="20"/>
                <w:szCs w:val="20"/>
                <w:lang w:eastAsia="en-AU"/>
              </w:rPr>
              <w:t>25,190</w:t>
            </w:r>
          </w:p>
        </w:tc>
        <w:tc>
          <w:tcPr>
            <w:tcW w:w="1669" w:type="dxa"/>
          </w:tcPr>
          <w:p w14:paraId="7946BA00" w14:textId="65EB57B2" w:rsidR="00DE516A" w:rsidRPr="005F5BEA" w:rsidRDefault="00DE516A" w:rsidP="00863DB5">
            <w:pPr>
              <w:keepNext/>
              <w:rPr>
                <w:rFonts w:ascii="Arial Narrow" w:hAnsi="Arial Narrow"/>
                <w:sz w:val="20"/>
                <w:szCs w:val="20"/>
              </w:rPr>
            </w:pPr>
            <w:r w:rsidRPr="005F5BEA">
              <w:rPr>
                <w:rFonts w:ascii="Arial Narrow" w:eastAsia="Times New Roman" w:hAnsi="Arial Narrow" w:cs="Times New Roman"/>
                <w:sz w:val="20"/>
                <w:szCs w:val="20"/>
                <w:lang w:eastAsia="en-AU"/>
              </w:rPr>
              <w:t>6,421</w:t>
            </w:r>
          </w:p>
        </w:tc>
        <w:tc>
          <w:tcPr>
            <w:tcW w:w="2126" w:type="dxa"/>
          </w:tcPr>
          <w:p w14:paraId="295A88EA" w14:textId="0491A3CA" w:rsidR="00DE516A" w:rsidRPr="005F5BEA" w:rsidRDefault="00D6234F" w:rsidP="00863DB5">
            <w:pPr>
              <w:keepNext/>
              <w:rPr>
                <w:rFonts w:ascii="Arial Narrow" w:hAnsi="Arial Narrow"/>
                <w:sz w:val="20"/>
                <w:szCs w:val="20"/>
              </w:rPr>
            </w:pPr>
            <w:r w:rsidRPr="005F5BEA">
              <w:rPr>
                <w:rFonts w:ascii="Arial Narrow" w:hAnsi="Arial Narrow"/>
                <w:sz w:val="20"/>
                <w:szCs w:val="20"/>
              </w:rPr>
              <w:t>Not reported</w:t>
            </w:r>
          </w:p>
        </w:tc>
        <w:tc>
          <w:tcPr>
            <w:tcW w:w="1508" w:type="dxa"/>
          </w:tcPr>
          <w:p w14:paraId="652A7511" w14:textId="41146E09" w:rsidR="00DE516A" w:rsidRPr="005F5BEA" w:rsidRDefault="00661EC7" w:rsidP="00863DB5">
            <w:pPr>
              <w:keepNext/>
              <w:rPr>
                <w:rFonts w:ascii="Arial Narrow" w:hAnsi="Arial Narrow"/>
                <w:sz w:val="20"/>
                <w:szCs w:val="20"/>
              </w:rPr>
            </w:pPr>
            <w:r w:rsidRPr="005F5BEA">
              <w:rPr>
                <w:rFonts w:ascii="Arial Narrow" w:hAnsi="Arial Narrow"/>
                <w:sz w:val="20"/>
                <w:szCs w:val="20"/>
              </w:rPr>
              <w:t>6,933</w:t>
            </w:r>
          </w:p>
        </w:tc>
      </w:tr>
      <w:tr w:rsidR="00DE516A" w:rsidRPr="005F5BEA" w14:paraId="5BD2BF13" w14:textId="28D9EAEA" w:rsidTr="002B2C0B">
        <w:tc>
          <w:tcPr>
            <w:tcW w:w="1876" w:type="dxa"/>
          </w:tcPr>
          <w:p w14:paraId="5A955121" w14:textId="049516E5" w:rsidR="00DE516A" w:rsidRPr="005F5BEA" w:rsidRDefault="00DE516A" w:rsidP="00863DB5">
            <w:pPr>
              <w:keepNext/>
              <w:rPr>
                <w:rFonts w:ascii="Arial Narrow" w:hAnsi="Arial Narrow"/>
                <w:b/>
                <w:sz w:val="20"/>
                <w:szCs w:val="20"/>
              </w:rPr>
            </w:pPr>
            <w:r w:rsidRPr="005F5BEA">
              <w:rPr>
                <w:rFonts w:ascii="Arial Narrow" w:hAnsi="Arial Narrow"/>
                <w:b/>
                <w:sz w:val="20"/>
                <w:szCs w:val="20"/>
              </w:rPr>
              <w:t>Average length of time the devices are in use</w:t>
            </w:r>
          </w:p>
        </w:tc>
        <w:tc>
          <w:tcPr>
            <w:tcW w:w="1837" w:type="dxa"/>
          </w:tcPr>
          <w:p w14:paraId="2D56475D" w14:textId="4E0F4505" w:rsidR="00DE516A" w:rsidRPr="005F5BEA" w:rsidRDefault="00DE516A" w:rsidP="00863DB5">
            <w:pPr>
              <w:keepNext/>
              <w:rPr>
                <w:rFonts w:ascii="Arial Narrow" w:hAnsi="Arial Narrow"/>
                <w:sz w:val="20"/>
                <w:szCs w:val="20"/>
              </w:rPr>
            </w:pPr>
            <w:r w:rsidRPr="005F5BEA">
              <w:rPr>
                <w:rFonts w:ascii="Arial Narrow" w:hAnsi="Arial Narrow"/>
                <w:sz w:val="20"/>
                <w:szCs w:val="20"/>
              </w:rPr>
              <w:t>7.2</w:t>
            </w:r>
            <w:r w:rsidRPr="005F5BEA">
              <w:rPr>
                <w:rStyle w:val="FootnoteReference"/>
                <w:rFonts w:ascii="Arial Narrow" w:hAnsi="Arial Narrow"/>
                <w:sz w:val="20"/>
                <w:szCs w:val="20"/>
              </w:rPr>
              <w:footnoteReference w:id="23"/>
            </w:r>
            <w:r w:rsidRPr="005F5BEA">
              <w:rPr>
                <w:rFonts w:ascii="Arial Narrow" w:hAnsi="Arial Narrow"/>
                <w:sz w:val="20"/>
                <w:szCs w:val="20"/>
              </w:rPr>
              <w:t xml:space="preserve"> years</w:t>
            </w:r>
          </w:p>
        </w:tc>
        <w:tc>
          <w:tcPr>
            <w:tcW w:w="1669" w:type="dxa"/>
          </w:tcPr>
          <w:p w14:paraId="61FC9599" w14:textId="5B3789C7" w:rsidR="00DE516A" w:rsidRPr="005F5BEA" w:rsidRDefault="004619AD" w:rsidP="00863DB5">
            <w:pPr>
              <w:keepNext/>
              <w:rPr>
                <w:rFonts w:ascii="Arial Narrow" w:hAnsi="Arial Narrow"/>
                <w:sz w:val="20"/>
                <w:szCs w:val="20"/>
              </w:rPr>
            </w:pPr>
            <w:r w:rsidRPr="005F5BEA">
              <w:rPr>
                <w:rFonts w:ascii="Arial Narrow" w:hAnsi="Arial Narrow"/>
                <w:sz w:val="20"/>
                <w:szCs w:val="20"/>
              </w:rPr>
              <w:t>4.</w:t>
            </w:r>
            <w:r w:rsidR="00856994" w:rsidRPr="005F5BEA">
              <w:rPr>
                <w:rFonts w:ascii="Arial Narrow" w:hAnsi="Arial Narrow"/>
                <w:sz w:val="20"/>
                <w:szCs w:val="20"/>
              </w:rPr>
              <w:t>9</w:t>
            </w:r>
            <w:r w:rsidRPr="005F5BEA">
              <w:rPr>
                <w:rFonts w:ascii="Arial Narrow" w:hAnsi="Arial Narrow"/>
                <w:sz w:val="20"/>
                <w:szCs w:val="20"/>
              </w:rPr>
              <w:footnoteReference w:id="24"/>
            </w:r>
            <w:r w:rsidR="00856994" w:rsidRPr="005F5BEA">
              <w:rPr>
                <w:rFonts w:ascii="Arial Narrow" w:hAnsi="Arial Narrow"/>
                <w:sz w:val="20"/>
                <w:szCs w:val="20"/>
              </w:rPr>
              <w:t xml:space="preserve"> -</w:t>
            </w:r>
            <w:r w:rsidR="00AB1E19" w:rsidRPr="005F5BEA">
              <w:rPr>
                <w:rFonts w:ascii="Arial Narrow" w:hAnsi="Arial Narrow"/>
                <w:sz w:val="20"/>
                <w:szCs w:val="20"/>
              </w:rPr>
              <w:t xml:space="preserve"> 7.1</w:t>
            </w:r>
            <w:r w:rsidR="00856994" w:rsidRPr="005F5BEA">
              <w:rPr>
                <w:rStyle w:val="FootnoteReference"/>
                <w:rFonts w:ascii="Arial Narrow" w:hAnsi="Arial Narrow"/>
                <w:sz w:val="20"/>
                <w:szCs w:val="20"/>
              </w:rPr>
              <w:footnoteReference w:id="25"/>
            </w:r>
            <w:r w:rsidR="00AB1E19" w:rsidRPr="005F5BEA">
              <w:rPr>
                <w:rFonts w:ascii="Arial Narrow" w:hAnsi="Arial Narrow"/>
                <w:sz w:val="20"/>
                <w:szCs w:val="20"/>
              </w:rPr>
              <w:t xml:space="preserve"> years</w:t>
            </w:r>
          </w:p>
        </w:tc>
        <w:tc>
          <w:tcPr>
            <w:tcW w:w="2126" w:type="dxa"/>
          </w:tcPr>
          <w:p w14:paraId="320B7AEA" w14:textId="596EEBF6" w:rsidR="00DE516A" w:rsidRPr="005F5BEA" w:rsidRDefault="00BA2B94" w:rsidP="00863DB5">
            <w:pPr>
              <w:keepNext/>
              <w:rPr>
                <w:rFonts w:ascii="Arial Narrow" w:hAnsi="Arial Narrow"/>
                <w:sz w:val="20"/>
                <w:szCs w:val="20"/>
                <w:vertAlign w:val="superscript"/>
              </w:rPr>
            </w:pPr>
            <w:r w:rsidRPr="005F5BEA">
              <w:rPr>
                <w:rFonts w:ascii="Arial Narrow" w:hAnsi="Arial Narrow"/>
                <w:sz w:val="20"/>
                <w:szCs w:val="20"/>
              </w:rPr>
              <w:t>CRT- D: 4.5 – 6.0 years</w:t>
            </w:r>
            <w:r w:rsidRPr="005F5BEA">
              <w:rPr>
                <w:rFonts w:ascii="Arial Narrow" w:hAnsi="Arial Narrow"/>
                <w:sz w:val="20"/>
                <w:szCs w:val="20"/>
                <w:vertAlign w:val="superscript"/>
              </w:rPr>
              <w:t>6,</w:t>
            </w:r>
            <w:r w:rsidR="0038204A" w:rsidRPr="005F5BEA">
              <w:rPr>
                <w:rStyle w:val="FootnoteReference"/>
                <w:rFonts w:ascii="Arial Narrow" w:hAnsi="Arial Narrow"/>
                <w:sz w:val="20"/>
                <w:szCs w:val="20"/>
              </w:rPr>
              <w:footnoteReference w:id="26"/>
            </w:r>
            <w:r w:rsidR="0038204A" w:rsidRPr="005F5BEA">
              <w:rPr>
                <w:rFonts w:ascii="Arial Narrow" w:hAnsi="Arial Narrow"/>
                <w:sz w:val="20"/>
                <w:szCs w:val="20"/>
                <w:vertAlign w:val="superscript"/>
              </w:rPr>
              <w:t>,</w:t>
            </w:r>
            <w:r w:rsidR="0038204A" w:rsidRPr="005F5BEA">
              <w:rPr>
                <w:rStyle w:val="FootnoteReference"/>
                <w:rFonts w:ascii="Arial Narrow" w:hAnsi="Arial Narrow"/>
                <w:sz w:val="20"/>
                <w:szCs w:val="20"/>
              </w:rPr>
              <w:footnoteReference w:id="27"/>
            </w:r>
            <w:r w:rsidR="0038204A" w:rsidRPr="005F5BEA">
              <w:rPr>
                <w:rFonts w:ascii="Arial Narrow" w:hAnsi="Arial Narrow"/>
                <w:sz w:val="20"/>
                <w:szCs w:val="20"/>
                <w:vertAlign w:val="superscript"/>
              </w:rPr>
              <w:t>,</w:t>
            </w:r>
            <w:r w:rsidR="0038204A" w:rsidRPr="005F5BEA">
              <w:rPr>
                <w:rStyle w:val="FootnoteReference"/>
                <w:rFonts w:ascii="Arial Narrow" w:hAnsi="Arial Narrow"/>
                <w:sz w:val="20"/>
                <w:szCs w:val="20"/>
              </w:rPr>
              <w:footnoteReference w:id="28"/>
            </w:r>
          </w:p>
          <w:p w14:paraId="3203EE1E" w14:textId="6FB1DEDE" w:rsidR="00BA2B94" w:rsidRPr="005F5BEA" w:rsidRDefault="00BA2B94" w:rsidP="00863DB5">
            <w:pPr>
              <w:keepNext/>
              <w:rPr>
                <w:rFonts w:ascii="Arial Narrow" w:hAnsi="Arial Narrow"/>
                <w:sz w:val="20"/>
                <w:szCs w:val="20"/>
                <w:vertAlign w:val="superscript"/>
              </w:rPr>
            </w:pPr>
            <w:r w:rsidRPr="005F5BEA">
              <w:rPr>
                <w:rFonts w:ascii="Arial Narrow" w:hAnsi="Arial Narrow"/>
                <w:sz w:val="20"/>
                <w:szCs w:val="20"/>
              </w:rPr>
              <w:t>CRT-P: 8.4 – 10.4 years</w:t>
            </w:r>
            <w:r w:rsidRPr="005F5BEA">
              <w:rPr>
                <w:rFonts w:ascii="Arial Narrow" w:hAnsi="Arial Narrow"/>
                <w:sz w:val="20"/>
                <w:szCs w:val="20"/>
                <w:vertAlign w:val="superscript"/>
              </w:rPr>
              <w:t>6,</w:t>
            </w:r>
            <w:r w:rsidR="0038204A" w:rsidRPr="005F5BEA">
              <w:rPr>
                <w:rFonts w:ascii="Arial Narrow" w:hAnsi="Arial Narrow"/>
                <w:sz w:val="20"/>
                <w:szCs w:val="20"/>
                <w:vertAlign w:val="superscript"/>
              </w:rPr>
              <w:t>7</w:t>
            </w:r>
          </w:p>
        </w:tc>
        <w:tc>
          <w:tcPr>
            <w:tcW w:w="1508" w:type="dxa"/>
          </w:tcPr>
          <w:p w14:paraId="4B15CF66" w14:textId="2A4A765E" w:rsidR="00DE516A" w:rsidRPr="005F5BEA" w:rsidRDefault="00BA2B94" w:rsidP="00863DB5">
            <w:pPr>
              <w:keepNext/>
              <w:rPr>
                <w:rFonts w:ascii="Arial Narrow" w:hAnsi="Arial Narrow"/>
                <w:sz w:val="20"/>
                <w:szCs w:val="20"/>
              </w:rPr>
            </w:pPr>
            <w:r w:rsidRPr="005F5BEA">
              <w:rPr>
                <w:rFonts w:ascii="Arial Narrow" w:hAnsi="Arial Narrow"/>
                <w:sz w:val="20"/>
                <w:szCs w:val="20"/>
              </w:rPr>
              <w:t>2-3 years</w:t>
            </w:r>
            <w:r w:rsidR="002B2C0B" w:rsidRPr="005F5BEA">
              <w:rPr>
                <w:rStyle w:val="FootnoteReference"/>
                <w:rFonts w:ascii="Arial Narrow" w:hAnsi="Arial Narrow"/>
                <w:sz w:val="20"/>
                <w:szCs w:val="20"/>
              </w:rPr>
              <w:footnoteReference w:id="29"/>
            </w:r>
          </w:p>
        </w:tc>
      </w:tr>
      <w:tr w:rsidR="00C356B6" w:rsidRPr="005F5BEA" w14:paraId="15546668" w14:textId="1EC26555" w:rsidTr="002B2C0B">
        <w:tc>
          <w:tcPr>
            <w:tcW w:w="1876" w:type="dxa"/>
          </w:tcPr>
          <w:p w14:paraId="3EF9355D" w14:textId="2541CCD0" w:rsidR="00C356B6" w:rsidRPr="005F5BEA" w:rsidRDefault="00AB1E19" w:rsidP="00863DB5">
            <w:pPr>
              <w:keepNext/>
              <w:rPr>
                <w:rFonts w:ascii="Arial Narrow" w:hAnsi="Arial Narrow"/>
                <w:b/>
                <w:sz w:val="20"/>
                <w:szCs w:val="20"/>
              </w:rPr>
            </w:pPr>
            <w:r w:rsidRPr="005F5BEA">
              <w:rPr>
                <w:rFonts w:ascii="Arial Narrow" w:hAnsi="Arial Narrow"/>
                <w:b/>
                <w:sz w:val="20"/>
                <w:szCs w:val="20"/>
              </w:rPr>
              <w:t>Estimated number of active devices in Australia</w:t>
            </w:r>
          </w:p>
        </w:tc>
        <w:tc>
          <w:tcPr>
            <w:tcW w:w="1837" w:type="dxa"/>
          </w:tcPr>
          <w:p w14:paraId="7980F51E" w14:textId="5980CEE7" w:rsidR="00C356B6" w:rsidRPr="005F5BEA" w:rsidRDefault="00AB1E19" w:rsidP="00863DB5">
            <w:pPr>
              <w:keepNext/>
              <w:rPr>
                <w:rFonts w:ascii="Arial Narrow" w:hAnsi="Arial Narrow"/>
                <w:sz w:val="20"/>
                <w:szCs w:val="20"/>
              </w:rPr>
            </w:pPr>
            <w:r w:rsidRPr="005F5BEA">
              <w:rPr>
                <w:rFonts w:ascii="Arial Narrow" w:hAnsi="Arial Narrow"/>
                <w:sz w:val="20"/>
                <w:szCs w:val="20"/>
              </w:rPr>
              <w:t>181,368</w:t>
            </w:r>
            <w:r w:rsidR="00D6234F" w:rsidRPr="005F5BEA">
              <w:rPr>
                <w:rFonts w:ascii="Arial Narrow" w:hAnsi="Arial Narrow"/>
                <w:sz w:val="20"/>
                <w:szCs w:val="20"/>
              </w:rPr>
              <w:t xml:space="preserve"> </w:t>
            </w:r>
          </w:p>
        </w:tc>
        <w:tc>
          <w:tcPr>
            <w:tcW w:w="1669" w:type="dxa"/>
          </w:tcPr>
          <w:p w14:paraId="634872E9" w14:textId="5CA693C4" w:rsidR="00C356B6" w:rsidRPr="005F5BEA" w:rsidRDefault="00AB1E19" w:rsidP="00863DB5">
            <w:pPr>
              <w:keepNext/>
              <w:rPr>
                <w:rFonts w:ascii="Arial Narrow" w:hAnsi="Arial Narrow"/>
                <w:sz w:val="20"/>
                <w:szCs w:val="20"/>
              </w:rPr>
            </w:pPr>
            <w:r w:rsidRPr="005F5BEA">
              <w:rPr>
                <w:rFonts w:ascii="Arial Narrow" w:hAnsi="Arial Narrow"/>
                <w:sz w:val="20"/>
                <w:szCs w:val="20"/>
              </w:rPr>
              <w:t>31,463 – 45,589</w:t>
            </w:r>
          </w:p>
        </w:tc>
        <w:tc>
          <w:tcPr>
            <w:tcW w:w="2126" w:type="dxa"/>
          </w:tcPr>
          <w:p w14:paraId="6D6D4DF3" w14:textId="5E83F56A" w:rsidR="00C356B6" w:rsidRPr="005F5BEA" w:rsidRDefault="0038204A" w:rsidP="00863DB5">
            <w:pPr>
              <w:keepNext/>
              <w:rPr>
                <w:rFonts w:ascii="Arial Narrow" w:hAnsi="Arial Narrow"/>
                <w:sz w:val="20"/>
                <w:szCs w:val="20"/>
              </w:rPr>
            </w:pPr>
            <w:r w:rsidRPr="005F5BEA">
              <w:rPr>
                <w:rFonts w:ascii="Arial Narrow" w:hAnsi="Arial Narrow"/>
                <w:sz w:val="20"/>
                <w:szCs w:val="20"/>
              </w:rPr>
              <w:t>Unknown</w:t>
            </w:r>
          </w:p>
        </w:tc>
        <w:tc>
          <w:tcPr>
            <w:tcW w:w="1508" w:type="dxa"/>
          </w:tcPr>
          <w:p w14:paraId="22B62939" w14:textId="467FC891" w:rsidR="00C356B6" w:rsidRPr="005F5BEA" w:rsidRDefault="00661EC7" w:rsidP="00863DB5">
            <w:pPr>
              <w:keepNext/>
              <w:rPr>
                <w:rFonts w:ascii="Arial Narrow" w:hAnsi="Arial Narrow"/>
                <w:sz w:val="20"/>
                <w:szCs w:val="20"/>
              </w:rPr>
            </w:pPr>
            <w:r w:rsidRPr="005F5BEA">
              <w:rPr>
                <w:rFonts w:ascii="Arial Narrow" w:hAnsi="Arial Narrow"/>
                <w:sz w:val="20"/>
                <w:szCs w:val="20"/>
              </w:rPr>
              <w:t>13,866 – 20,799</w:t>
            </w:r>
          </w:p>
        </w:tc>
      </w:tr>
    </w:tbl>
    <w:p w14:paraId="7B411E25" w14:textId="636DFFE2" w:rsidR="0038204A" w:rsidRPr="005F5BEA" w:rsidRDefault="0038204A" w:rsidP="00863DB5">
      <w:pPr>
        <w:pStyle w:val="Tablenotes"/>
        <w:keepNext/>
      </w:pPr>
      <w:r w:rsidRPr="005F5BEA">
        <w:t>CRT</w:t>
      </w:r>
      <w:r w:rsidR="005B1245" w:rsidRPr="005F5BEA">
        <w:t>D</w:t>
      </w:r>
      <w:r w:rsidRPr="005F5BEA">
        <w:t xml:space="preserve"> = cardiac resynchronisation therapy</w:t>
      </w:r>
      <w:r w:rsidR="005B1245" w:rsidRPr="005F5BEA">
        <w:t xml:space="preserve"> device</w:t>
      </w:r>
      <w:r w:rsidRPr="005F5BEA">
        <w:t xml:space="preserve">; ICD = implantable cardioverter-defibrillator; ILR = implantable loop recorder; PPM = </w:t>
      </w:r>
      <w:r w:rsidR="000135FF" w:rsidRPr="005F5BEA">
        <w:t xml:space="preserve">permanent </w:t>
      </w:r>
      <w:r w:rsidRPr="005F5BEA">
        <w:t>pacemaker</w:t>
      </w:r>
    </w:p>
    <w:p w14:paraId="7BDCBFE2" w14:textId="31AFA494" w:rsidR="00592096" w:rsidRPr="005F5BEA" w:rsidRDefault="00EE7BA5" w:rsidP="0097698B">
      <w:pPr>
        <w:pStyle w:val="Heading2"/>
      </w:pPr>
      <w:r w:rsidRPr="005F5BEA">
        <w:t>10</w:t>
      </w:r>
      <w:r w:rsidR="0097698B" w:rsidRPr="005F5BEA">
        <w:t>.</w:t>
      </w:r>
      <w:r w:rsidR="0097698B" w:rsidRPr="005F5BEA">
        <w:tab/>
      </w:r>
      <w:r w:rsidR="00860095" w:rsidRPr="005F5BEA">
        <w:t xml:space="preserve"> </w:t>
      </w:r>
      <w:r w:rsidR="00CF5570" w:rsidRPr="005F5BEA">
        <w:t>Advantages and disadvantages</w:t>
      </w:r>
      <w:r w:rsidR="00592096" w:rsidRPr="005F5BEA">
        <w:t xml:space="preserve"> of </w:t>
      </w:r>
      <w:r w:rsidR="00142F8F" w:rsidRPr="005F5BEA">
        <w:t xml:space="preserve">the different care </w:t>
      </w:r>
      <w:r w:rsidR="00592096" w:rsidRPr="005F5BEA">
        <w:t>model</w:t>
      </w:r>
      <w:r w:rsidR="00DD7FFB" w:rsidRPr="005F5BEA">
        <w:t>s</w:t>
      </w:r>
    </w:p>
    <w:p w14:paraId="14E1CC60" w14:textId="7D6D8FB7" w:rsidR="00BB4A7E" w:rsidRPr="005F5BEA" w:rsidRDefault="002375F7" w:rsidP="00BB4A7E">
      <w:r w:rsidRPr="005F5BEA">
        <w:t xml:space="preserve">Currently within the private health system there are </w:t>
      </w:r>
      <w:r w:rsidR="00CA759E" w:rsidRPr="005F5BEA">
        <w:t xml:space="preserve">two </w:t>
      </w:r>
      <w:r w:rsidRPr="005F5BEA">
        <w:t>models of care</w:t>
      </w:r>
      <w:r w:rsidR="00CA759E" w:rsidRPr="005F5BEA">
        <w:t xml:space="preserve"> in operation (Model 2 and Model 3);</w:t>
      </w:r>
      <w:r w:rsidR="00612836" w:rsidRPr="005F5BEA">
        <w:t xml:space="preserve"> each model </w:t>
      </w:r>
      <w:r w:rsidR="00232AE0" w:rsidRPr="005F5BEA">
        <w:t>has</w:t>
      </w:r>
      <w:r w:rsidR="00612836" w:rsidRPr="005F5BEA">
        <w:t xml:space="preserve"> </w:t>
      </w:r>
      <w:r w:rsidR="00CF5570" w:rsidRPr="005F5BEA">
        <w:t>advantages and disadvantages</w:t>
      </w:r>
      <w:r w:rsidR="00612836" w:rsidRPr="005F5BEA">
        <w:t xml:space="preserve">. Some of these </w:t>
      </w:r>
      <w:r w:rsidR="00B41434" w:rsidRPr="005F5BEA">
        <w:t xml:space="preserve">advantages and disadvantages </w:t>
      </w:r>
      <w:r w:rsidR="00CA759E" w:rsidRPr="005F5BEA">
        <w:t xml:space="preserve">are outlined </w:t>
      </w:r>
      <w:r w:rsidR="00B41434" w:rsidRPr="005F5BEA">
        <w:t>in</w:t>
      </w:r>
      <w:r w:rsidR="00B6136B" w:rsidRPr="005F5BEA">
        <w:t xml:space="preserve"> </w:t>
      </w:r>
      <w:r w:rsidR="00B6136B" w:rsidRPr="005F5BEA">
        <w:fldChar w:fldCharType="begin"/>
      </w:r>
      <w:r w:rsidR="00B6136B" w:rsidRPr="005F5BEA">
        <w:instrText xml:space="preserve"> REF _Ref135301687 \h </w:instrText>
      </w:r>
      <w:r w:rsidR="005F5BEA">
        <w:instrText xml:space="preserve"> \* MERGEFORMAT </w:instrText>
      </w:r>
      <w:r w:rsidR="00B6136B" w:rsidRPr="005F5BEA">
        <w:fldChar w:fldCharType="separate"/>
      </w:r>
      <w:r w:rsidR="00334548" w:rsidRPr="005F5BEA">
        <w:t xml:space="preserve">Table </w:t>
      </w:r>
      <w:r w:rsidR="00334548">
        <w:rPr>
          <w:noProof/>
        </w:rPr>
        <w:t>36</w:t>
      </w:r>
      <w:r w:rsidR="00B6136B" w:rsidRPr="005F5BEA">
        <w:fldChar w:fldCharType="end"/>
      </w:r>
      <w:r w:rsidR="00F14A71" w:rsidRPr="005F5BEA">
        <w:t>.</w:t>
      </w:r>
      <w:bookmarkStart w:id="56" w:name="_Ref120674235"/>
      <w:r w:rsidR="00BB4A7E" w:rsidRPr="005F5BEA">
        <w:br w:type="page"/>
      </w:r>
    </w:p>
    <w:p w14:paraId="6EA1B605" w14:textId="4B52AEAA" w:rsidR="00383B7C" w:rsidRPr="005F5BEA" w:rsidRDefault="00383B7C" w:rsidP="005926D9">
      <w:pPr>
        <w:pStyle w:val="TableHeading"/>
        <w:keepNext/>
      </w:pPr>
      <w:bookmarkStart w:id="57" w:name="_Ref135301687"/>
      <w:r w:rsidRPr="005F5BEA">
        <w:lastRenderedPageBreak/>
        <w:t xml:space="preserve">Table </w:t>
      </w:r>
      <w:r w:rsidRPr="005F5BEA">
        <w:fldChar w:fldCharType="begin"/>
      </w:r>
      <w:r w:rsidRPr="005F5BEA">
        <w:instrText>SEQ Table \* ARABIC</w:instrText>
      </w:r>
      <w:r w:rsidRPr="005F5BEA">
        <w:fldChar w:fldCharType="separate"/>
      </w:r>
      <w:r w:rsidR="00334548">
        <w:rPr>
          <w:noProof/>
        </w:rPr>
        <w:t>36</w:t>
      </w:r>
      <w:r w:rsidRPr="005F5BEA">
        <w:fldChar w:fldCharType="end"/>
      </w:r>
      <w:bookmarkEnd w:id="56"/>
      <w:bookmarkEnd w:id="57"/>
      <w:r w:rsidRPr="005F5BEA">
        <w:t xml:space="preserve"> </w:t>
      </w:r>
      <w:r w:rsidR="00CF5570" w:rsidRPr="005F5BEA">
        <w:t>Advantages and disadvantages</w:t>
      </w:r>
      <w:r w:rsidRPr="005F5BEA">
        <w:t xml:space="preserve"> of Model 2 and Model 3 </w:t>
      </w:r>
    </w:p>
    <w:tbl>
      <w:tblPr>
        <w:tblStyle w:val="TableGrid"/>
        <w:tblW w:w="9067" w:type="dxa"/>
        <w:tblLook w:val="04A0" w:firstRow="1" w:lastRow="0" w:firstColumn="1" w:lastColumn="0" w:noHBand="0" w:noVBand="1"/>
      </w:tblPr>
      <w:tblGrid>
        <w:gridCol w:w="1643"/>
        <w:gridCol w:w="3712"/>
        <w:gridCol w:w="3712"/>
      </w:tblGrid>
      <w:tr w:rsidR="002375F7" w:rsidRPr="005F5BEA" w14:paraId="25C328B6" w14:textId="77777777" w:rsidTr="002B2C0B">
        <w:trPr>
          <w:tblHeader/>
        </w:trPr>
        <w:tc>
          <w:tcPr>
            <w:tcW w:w="1643" w:type="dxa"/>
          </w:tcPr>
          <w:p w14:paraId="2A982591" w14:textId="77777777" w:rsidR="002375F7" w:rsidRPr="005F5BEA" w:rsidRDefault="002375F7" w:rsidP="002B2C0B">
            <w:pPr>
              <w:spacing w:after="120"/>
              <w:rPr>
                <w:rFonts w:ascii="Arial Narrow" w:hAnsi="Arial Narrow"/>
                <w:sz w:val="20"/>
                <w:szCs w:val="20"/>
              </w:rPr>
            </w:pPr>
          </w:p>
        </w:tc>
        <w:tc>
          <w:tcPr>
            <w:tcW w:w="3712" w:type="dxa"/>
            <w:vAlign w:val="center"/>
          </w:tcPr>
          <w:p w14:paraId="76BC5E26" w14:textId="652E5F74" w:rsidR="002375F7" w:rsidRPr="005F5BEA" w:rsidRDefault="000A10AF" w:rsidP="002B2C0B">
            <w:pPr>
              <w:contextualSpacing/>
              <w:rPr>
                <w:rFonts w:ascii="Arial Narrow" w:hAnsi="Arial Narrow"/>
                <w:b/>
                <w:sz w:val="20"/>
                <w:szCs w:val="20"/>
              </w:rPr>
            </w:pPr>
            <w:r w:rsidRPr="005F5BEA">
              <w:rPr>
                <w:rFonts w:ascii="Arial Narrow" w:hAnsi="Arial Narrow"/>
                <w:b/>
                <w:sz w:val="20"/>
                <w:szCs w:val="20"/>
              </w:rPr>
              <w:t>Model 2</w:t>
            </w:r>
            <w:r w:rsidR="002375F7" w:rsidRPr="005F5BEA">
              <w:rPr>
                <w:rFonts w:ascii="Arial Narrow" w:hAnsi="Arial Narrow"/>
                <w:b/>
                <w:sz w:val="20"/>
                <w:szCs w:val="20"/>
              </w:rPr>
              <w:t>: clinic employ</w:t>
            </w:r>
            <w:r w:rsidR="002D6997" w:rsidRPr="005F5BEA">
              <w:rPr>
                <w:rFonts w:ascii="Arial Narrow" w:hAnsi="Arial Narrow"/>
                <w:b/>
                <w:sz w:val="20"/>
                <w:szCs w:val="20"/>
              </w:rPr>
              <w:t>s</w:t>
            </w:r>
            <w:r w:rsidR="002375F7" w:rsidRPr="005F5BEA">
              <w:rPr>
                <w:rFonts w:ascii="Arial Narrow" w:hAnsi="Arial Narrow"/>
                <w:b/>
                <w:sz w:val="20"/>
                <w:szCs w:val="20"/>
              </w:rPr>
              <w:t xml:space="preserve"> </w:t>
            </w:r>
            <w:r w:rsidRPr="005F5BEA">
              <w:rPr>
                <w:rFonts w:ascii="Arial Narrow" w:hAnsi="Arial Narrow"/>
                <w:b/>
                <w:sz w:val="20"/>
                <w:szCs w:val="20"/>
              </w:rPr>
              <w:t xml:space="preserve">cardiac </w:t>
            </w:r>
            <w:r w:rsidR="002375F7" w:rsidRPr="005F5BEA">
              <w:rPr>
                <w:rFonts w:ascii="Arial Narrow" w:hAnsi="Arial Narrow"/>
                <w:b/>
                <w:sz w:val="20"/>
                <w:szCs w:val="20"/>
              </w:rPr>
              <w:t>technicians</w:t>
            </w:r>
            <w:r w:rsidR="002D6997" w:rsidRPr="005F5BEA">
              <w:rPr>
                <w:rFonts w:ascii="Arial Narrow" w:hAnsi="Arial Narrow"/>
                <w:b/>
                <w:sz w:val="20"/>
                <w:szCs w:val="20"/>
              </w:rPr>
              <w:t xml:space="preserve"> with occasional </w:t>
            </w:r>
            <w:r w:rsidR="00B62C82" w:rsidRPr="005F5BEA">
              <w:rPr>
                <w:rFonts w:ascii="Arial Narrow" w:hAnsi="Arial Narrow"/>
                <w:b/>
                <w:sz w:val="20"/>
                <w:szCs w:val="20"/>
              </w:rPr>
              <w:t>IECT</w:t>
            </w:r>
            <w:r w:rsidR="002D6997" w:rsidRPr="005F5BEA">
              <w:rPr>
                <w:rFonts w:ascii="Arial Narrow" w:hAnsi="Arial Narrow"/>
                <w:b/>
                <w:sz w:val="20"/>
                <w:szCs w:val="20"/>
              </w:rPr>
              <w:t xml:space="preserve"> technical support</w:t>
            </w:r>
          </w:p>
        </w:tc>
        <w:tc>
          <w:tcPr>
            <w:tcW w:w="3712" w:type="dxa"/>
          </w:tcPr>
          <w:p w14:paraId="3374E007" w14:textId="3F10E4D2" w:rsidR="002375F7" w:rsidRPr="005F5BEA" w:rsidRDefault="000A10AF" w:rsidP="002B2C0B">
            <w:pPr>
              <w:spacing w:after="120"/>
              <w:rPr>
                <w:rFonts w:ascii="Arial Narrow" w:hAnsi="Arial Narrow"/>
                <w:b/>
                <w:sz w:val="20"/>
                <w:szCs w:val="20"/>
              </w:rPr>
            </w:pPr>
            <w:r w:rsidRPr="005F5BEA">
              <w:rPr>
                <w:rFonts w:ascii="Arial Narrow" w:hAnsi="Arial Narrow"/>
                <w:b/>
                <w:sz w:val="20"/>
                <w:szCs w:val="20"/>
              </w:rPr>
              <w:t>Model 3</w:t>
            </w:r>
            <w:r w:rsidR="002375F7" w:rsidRPr="005F5BEA">
              <w:rPr>
                <w:rFonts w:ascii="Arial Narrow" w:hAnsi="Arial Narrow"/>
                <w:b/>
                <w:sz w:val="20"/>
                <w:szCs w:val="20"/>
              </w:rPr>
              <w:t xml:space="preserve">: </w:t>
            </w:r>
            <w:r w:rsidR="002D6997" w:rsidRPr="005F5BEA">
              <w:rPr>
                <w:rFonts w:ascii="Arial Narrow" w:hAnsi="Arial Narrow"/>
                <w:b/>
                <w:sz w:val="20"/>
                <w:szCs w:val="20"/>
              </w:rPr>
              <w:t xml:space="preserve">clinic </w:t>
            </w:r>
            <w:r w:rsidR="002375F7" w:rsidRPr="005F5BEA">
              <w:rPr>
                <w:rFonts w:ascii="Arial Narrow" w:hAnsi="Arial Narrow"/>
                <w:b/>
                <w:sz w:val="20"/>
                <w:szCs w:val="20"/>
              </w:rPr>
              <w:t xml:space="preserve">relying on </w:t>
            </w:r>
            <w:r w:rsidR="00B62C82" w:rsidRPr="005F5BEA">
              <w:rPr>
                <w:rFonts w:ascii="Arial Narrow" w:hAnsi="Arial Narrow"/>
                <w:b/>
                <w:sz w:val="20"/>
                <w:szCs w:val="20"/>
              </w:rPr>
              <w:t>IECT</w:t>
            </w:r>
            <w:r w:rsidR="002375F7" w:rsidRPr="005F5BEA">
              <w:rPr>
                <w:rFonts w:ascii="Arial Narrow" w:hAnsi="Arial Narrow"/>
                <w:b/>
                <w:sz w:val="20"/>
                <w:szCs w:val="20"/>
              </w:rPr>
              <w:t>s for all services</w:t>
            </w:r>
          </w:p>
        </w:tc>
      </w:tr>
      <w:tr w:rsidR="002375F7" w:rsidRPr="005F5BEA" w14:paraId="754096C7" w14:textId="77777777" w:rsidTr="002B2C0B">
        <w:tc>
          <w:tcPr>
            <w:tcW w:w="1643" w:type="dxa"/>
          </w:tcPr>
          <w:p w14:paraId="4AFDA27C" w14:textId="7FC77B75" w:rsidR="002375F7" w:rsidRPr="005F5BEA" w:rsidRDefault="003E2202">
            <w:pPr>
              <w:rPr>
                <w:rFonts w:ascii="Arial Narrow" w:hAnsi="Arial Narrow"/>
                <w:b/>
                <w:sz w:val="20"/>
                <w:szCs w:val="20"/>
              </w:rPr>
            </w:pPr>
            <w:r w:rsidRPr="005F5BEA">
              <w:rPr>
                <w:rFonts w:ascii="Arial Narrow" w:hAnsi="Arial Narrow"/>
                <w:b/>
                <w:sz w:val="20"/>
                <w:szCs w:val="20"/>
              </w:rPr>
              <w:t>Advantages</w:t>
            </w:r>
          </w:p>
        </w:tc>
        <w:tc>
          <w:tcPr>
            <w:tcW w:w="3712" w:type="dxa"/>
          </w:tcPr>
          <w:p w14:paraId="6F2FAE2A" w14:textId="499F4567" w:rsidR="002375F7" w:rsidRPr="005F5BEA" w:rsidRDefault="002375F7" w:rsidP="00AB5B20">
            <w:pPr>
              <w:pStyle w:val="ListParagraph"/>
              <w:numPr>
                <w:ilvl w:val="0"/>
                <w:numId w:val="9"/>
              </w:numPr>
              <w:ind w:left="714" w:hanging="357"/>
              <w:contextualSpacing w:val="0"/>
              <w:rPr>
                <w:rFonts w:ascii="Arial Narrow" w:hAnsi="Arial Narrow"/>
                <w:sz w:val="20"/>
                <w:szCs w:val="20"/>
              </w:rPr>
            </w:pPr>
            <w:r w:rsidRPr="005F5BEA">
              <w:rPr>
                <w:rFonts w:ascii="Arial Narrow" w:hAnsi="Arial Narrow"/>
                <w:sz w:val="20"/>
                <w:szCs w:val="20"/>
              </w:rPr>
              <w:t xml:space="preserve">The patient sees the same technician for each scheduled service </w:t>
            </w:r>
            <w:r w:rsidR="004A6D18" w:rsidRPr="005F5BEA">
              <w:rPr>
                <w:rFonts w:ascii="Arial Narrow" w:hAnsi="Arial Narrow"/>
                <w:sz w:val="20"/>
                <w:szCs w:val="20"/>
              </w:rPr>
              <w:t>(continuity of care)</w:t>
            </w:r>
          </w:p>
          <w:p w14:paraId="7477C741" w14:textId="1EBDF83B" w:rsidR="002375F7" w:rsidRPr="005F5BEA" w:rsidRDefault="002375F7" w:rsidP="00AB5B20">
            <w:pPr>
              <w:pStyle w:val="ListParagraph"/>
              <w:numPr>
                <w:ilvl w:val="0"/>
                <w:numId w:val="9"/>
              </w:numPr>
              <w:contextualSpacing w:val="0"/>
              <w:rPr>
                <w:rFonts w:ascii="Arial Narrow" w:hAnsi="Arial Narrow"/>
                <w:sz w:val="20"/>
                <w:szCs w:val="20"/>
              </w:rPr>
            </w:pPr>
            <w:r w:rsidRPr="005F5BEA">
              <w:rPr>
                <w:rFonts w:ascii="Arial Narrow" w:hAnsi="Arial Narrow"/>
                <w:sz w:val="20"/>
                <w:szCs w:val="20"/>
              </w:rPr>
              <w:t>Technicians provide most services in the clinic (more centralised care, less travel costs and wait times for technicians)</w:t>
            </w:r>
          </w:p>
          <w:p w14:paraId="22B41B39" w14:textId="2A1B880B" w:rsidR="002375F7" w:rsidRPr="005F5BEA" w:rsidRDefault="002375F7" w:rsidP="00AB5B20">
            <w:pPr>
              <w:pStyle w:val="ListParagraph"/>
              <w:numPr>
                <w:ilvl w:val="0"/>
                <w:numId w:val="9"/>
              </w:numPr>
              <w:contextualSpacing w:val="0"/>
              <w:rPr>
                <w:rFonts w:ascii="Arial Narrow" w:hAnsi="Arial Narrow"/>
                <w:sz w:val="20"/>
                <w:szCs w:val="20"/>
              </w:rPr>
            </w:pPr>
            <w:r w:rsidRPr="005F5BEA">
              <w:rPr>
                <w:rFonts w:ascii="Arial Narrow" w:hAnsi="Arial Narrow"/>
                <w:sz w:val="20"/>
                <w:szCs w:val="20"/>
              </w:rPr>
              <w:t>More efficient scheduling of services possible (cost saving)</w:t>
            </w:r>
          </w:p>
        </w:tc>
        <w:tc>
          <w:tcPr>
            <w:tcW w:w="3712" w:type="dxa"/>
          </w:tcPr>
          <w:p w14:paraId="31D10EAB" w14:textId="77777777" w:rsidR="002375F7" w:rsidRPr="005F5BEA" w:rsidRDefault="002375F7" w:rsidP="00AB5B20">
            <w:pPr>
              <w:pStyle w:val="ListParagraph"/>
              <w:numPr>
                <w:ilvl w:val="0"/>
                <w:numId w:val="9"/>
              </w:numPr>
              <w:contextualSpacing w:val="0"/>
              <w:rPr>
                <w:rFonts w:ascii="Arial Narrow" w:hAnsi="Arial Narrow"/>
                <w:sz w:val="20"/>
                <w:szCs w:val="20"/>
              </w:rPr>
            </w:pPr>
            <w:r w:rsidRPr="005F5BEA">
              <w:rPr>
                <w:rFonts w:ascii="Arial Narrow" w:hAnsi="Arial Narrow"/>
                <w:sz w:val="20"/>
                <w:szCs w:val="20"/>
              </w:rPr>
              <w:t>No out-of-pocket expenses for patients</w:t>
            </w:r>
          </w:p>
          <w:p w14:paraId="729ED278" w14:textId="73AB6B29" w:rsidR="002375F7" w:rsidRPr="005F5BEA" w:rsidRDefault="00B62C82" w:rsidP="00AB5B20">
            <w:pPr>
              <w:pStyle w:val="ListParagraph"/>
              <w:numPr>
                <w:ilvl w:val="0"/>
                <w:numId w:val="9"/>
              </w:numPr>
              <w:contextualSpacing w:val="0"/>
              <w:rPr>
                <w:rFonts w:ascii="Arial Narrow" w:hAnsi="Arial Narrow"/>
                <w:sz w:val="20"/>
                <w:szCs w:val="20"/>
              </w:rPr>
            </w:pPr>
            <w:r w:rsidRPr="005F5BEA">
              <w:rPr>
                <w:rFonts w:ascii="Arial Narrow" w:hAnsi="Arial Narrow"/>
                <w:sz w:val="20"/>
                <w:szCs w:val="20"/>
              </w:rPr>
              <w:t>IECT</w:t>
            </w:r>
            <w:r w:rsidR="002375F7" w:rsidRPr="005F5BEA">
              <w:rPr>
                <w:rFonts w:ascii="Arial Narrow" w:hAnsi="Arial Narrow"/>
                <w:sz w:val="20"/>
                <w:szCs w:val="20"/>
              </w:rPr>
              <w:t xml:space="preserve">s have more knowledge </w:t>
            </w:r>
            <w:r w:rsidR="003137DB" w:rsidRPr="005F5BEA">
              <w:rPr>
                <w:rFonts w:ascii="Arial Narrow" w:hAnsi="Arial Narrow"/>
                <w:sz w:val="20"/>
                <w:szCs w:val="20"/>
              </w:rPr>
              <w:t>about</w:t>
            </w:r>
            <w:r w:rsidR="002375F7" w:rsidRPr="005F5BEA">
              <w:rPr>
                <w:rFonts w:ascii="Arial Narrow" w:hAnsi="Arial Narrow"/>
                <w:sz w:val="20"/>
                <w:szCs w:val="20"/>
              </w:rPr>
              <w:t xml:space="preserve"> </w:t>
            </w:r>
            <w:r w:rsidR="003137DB" w:rsidRPr="005F5BEA">
              <w:rPr>
                <w:rFonts w:ascii="Arial Narrow" w:hAnsi="Arial Narrow"/>
                <w:sz w:val="20"/>
                <w:szCs w:val="20"/>
              </w:rPr>
              <w:t>CIEDs manufactured by their company</w:t>
            </w:r>
            <w:r w:rsidR="002375F7" w:rsidRPr="005F5BEA">
              <w:rPr>
                <w:rFonts w:ascii="Arial Narrow" w:hAnsi="Arial Narrow"/>
                <w:sz w:val="20"/>
                <w:szCs w:val="20"/>
              </w:rPr>
              <w:t xml:space="preserve"> than a clinic-employed </w:t>
            </w:r>
            <w:proofErr w:type="gramStart"/>
            <w:r w:rsidR="002375F7" w:rsidRPr="005F5BEA">
              <w:rPr>
                <w:rFonts w:ascii="Arial Narrow" w:hAnsi="Arial Narrow"/>
                <w:sz w:val="20"/>
                <w:szCs w:val="20"/>
              </w:rPr>
              <w:t>technician</w:t>
            </w:r>
            <w:proofErr w:type="gramEnd"/>
          </w:p>
          <w:p w14:paraId="72850C95" w14:textId="123AF843" w:rsidR="002375F7" w:rsidRPr="005F5BEA" w:rsidRDefault="002375F7" w:rsidP="00AB5B20">
            <w:pPr>
              <w:pStyle w:val="ListParagraph"/>
              <w:numPr>
                <w:ilvl w:val="0"/>
                <w:numId w:val="9"/>
              </w:numPr>
              <w:contextualSpacing w:val="0"/>
              <w:rPr>
                <w:rFonts w:ascii="Arial Narrow" w:hAnsi="Arial Narrow"/>
                <w:sz w:val="20"/>
                <w:szCs w:val="20"/>
              </w:rPr>
            </w:pPr>
            <w:r w:rsidRPr="005F5BEA">
              <w:rPr>
                <w:rFonts w:ascii="Arial Narrow" w:hAnsi="Arial Narrow"/>
                <w:sz w:val="20"/>
                <w:szCs w:val="20"/>
              </w:rPr>
              <w:t xml:space="preserve">No need to employ/train clinic-employed </w:t>
            </w:r>
            <w:r w:rsidR="003B76CF" w:rsidRPr="005F5BEA">
              <w:rPr>
                <w:rFonts w:ascii="Arial Narrow" w:hAnsi="Arial Narrow"/>
                <w:sz w:val="20"/>
                <w:szCs w:val="20"/>
              </w:rPr>
              <w:t xml:space="preserve">cardiac </w:t>
            </w:r>
            <w:r w:rsidRPr="005F5BEA">
              <w:rPr>
                <w:rFonts w:ascii="Arial Narrow" w:hAnsi="Arial Narrow"/>
                <w:sz w:val="20"/>
                <w:szCs w:val="20"/>
              </w:rPr>
              <w:t xml:space="preserve">technicians if </w:t>
            </w:r>
            <w:r w:rsidR="00B62C82" w:rsidRPr="005F5BEA">
              <w:rPr>
                <w:rFonts w:ascii="Arial Narrow" w:hAnsi="Arial Narrow"/>
                <w:sz w:val="20"/>
                <w:szCs w:val="20"/>
              </w:rPr>
              <w:t>IECT</w:t>
            </w:r>
            <w:r w:rsidRPr="005F5BEA">
              <w:rPr>
                <w:rFonts w:ascii="Arial Narrow" w:hAnsi="Arial Narrow"/>
                <w:sz w:val="20"/>
                <w:szCs w:val="20"/>
              </w:rPr>
              <w:t>s provide all services</w:t>
            </w:r>
          </w:p>
        </w:tc>
      </w:tr>
      <w:tr w:rsidR="002375F7" w:rsidRPr="005F5BEA" w14:paraId="7AE03F5A" w14:textId="77777777" w:rsidTr="002B2C0B">
        <w:tc>
          <w:tcPr>
            <w:tcW w:w="1643" w:type="dxa"/>
          </w:tcPr>
          <w:p w14:paraId="49E54ACD" w14:textId="52267381" w:rsidR="002375F7" w:rsidRPr="005F5BEA" w:rsidRDefault="003E2202">
            <w:pPr>
              <w:rPr>
                <w:rFonts w:ascii="Arial Narrow" w:hAnsi="Arial Narrow"/>
                <w:b/>
                <w:sz w:val="20"/>
                <w:szCs w:val="20"/>
              </w:rPr>
            </w:pPr>
            <w:r w:rsidRPr="005F5BEA">
              <w:rPr>
                <w:rFonts w:ascii="Arial Narrow" w:hAnsi="Arial Narrow"/>
                <w:b/>
                <w:sz w:val="20"/>
                <w:szCs w:val="20"/>
              </w:rPr>
              <w:t>Disadvantages</w:t>
            </w:r>
          </w:p>
        </w:tc>
        <w:tc>
          <w:tcPr>
            <w:tcW w:w="3712" w:type="dxa"/>
          </w:tcPr>
          <w:p w14:paraId="2E3E8C86" w14:textId="30530F8C" w:rsidR="002375F7" w:rsidRPr="005F5BEA" w:rsidRDefault="002375F7" w:rsidP="00AB5B20">
            <w:pPr>
              <w:pStyle w:val="ListParagraph"/>
              <w:numPr>
                <w:ilvl w:val="0"/>
                <w:numId w:val="8"/>
              </w:numPr>
              <w:contextualSpacing w:val="0"/>
              <w:rPr>
                <w:rFonts w:ascii="Arial Narrow" w:hAnsi="Arial Narrow"/>
                <w:sz w:val="20"/>
                <w:szCs w:val="20"/>
              </w:rPr>
            </w:pPr>
            <w:r w:rsidRPr="005F5BEA">
              <w:rPr>
                <w:rFonts w:ascii="Arial Narrow" w:hAnsi="Arial Narrow"/>
                <w:sz w:val="20"/>
                <w:szCs w:val="20"/>
              </w:rPr>
              <w:t xml:space="preserve">Patients currently have an out-of-pocket fee for accessing technical support </w:t>
            </w:r>
            <w:proofErr w:type="gramStart"/>
            <w:r w:rsidRPr="005F5BEA">
              <w:rPr>
                <w:rFonts w:ascii="Arial Narrow" w:hAnsi="Arial Narrow"/>
                <w:sz w:val="20"/>
                <w:szCs w:val="20"/>
              </w:rPr>
              <w:t>services</w:t>
            </w:r>
            <w:proofErr w:type="gramEnd"/>
          </w:p>
          <w:p w14:paraId="787F7341" w14:textId="7B52D942" w:rsidR="002375F7" w:rsidRPr="005F5BEA" w:rsidRDefault="002375F7" w:rsidP="00AB5B20">
            <w:pPr>
              <w:pStyle w:val="ListParagraph"/>
              <w:numPr>
                <w:ilvl w:val="0"/>
                <w:numId w:val="8"/>
              </w:numPr>
              <w:contextualSpacing w:val="0"/>
              <w:rPr>
                <w:rFonts w:ascii="Arial Narrow" w:hAnsi="Arial Narrow"/>
                <w:sz w:val="20"/>
                <w:szCs w:val="20"/>
              </w:rPr>
            </w:pPr>
            <w:r w:rsidRPr="005F5BEA">
              <w:rPr>
                <w:rFonts w:ascii="Arial Narrow" w:hAnsi="Arial Narrow"/>
                <w:sz w:val="20"/>
                <w:szCs w:val="20"/>
              </w:rPr>
              <w:t xml:space="preserve">Still need to rely on </w:t>
            </w:r>
            <w:r w:rsidR="00B62C82" w:rsidRPr="005F5BEA">
              <w:rPr>
                <w:rFonts w:ascii="Arial Narrow" w:hAnsi="Arial Narrow"/>
                <w:sz w:val="20"/>
                <w:szCs w:val="20"/>
              </w:rPr>
              <w:t>IECT</w:t>
            </w:r>
            <w:r w:rsidRPr="005F5BEA">
              <w:rPr>
                <w:rFonts w:ascii="Arial Narrow" w:hAnsi="Arial Narrow"/>
                <w:sz w:val="20"/>
                <w:szCs w:val="20"/>
              </w:rPr>
              <w:t>s for:</w:t>
            </w:r>
            <w:r w:rsidR="003656CC" w:rsidRPr="005F5BEA">
              <w:rPr>
                <w:rFonts w:ascii="Arial Narrow" w:hAnsi="Arial Narrow"/>
                <w:sz w:val="20"/>
                <w:szCs w:val="20"/>
              </w:rPr>
              <w:t xml:space="preserve"> </w:t>
            </w:r>
          </w:p>
          <w:p w14:paraId="3F5B3BC5" w14:textId="23462C17" w:rsidR="002375F7" w:rsidRPr="005F5BEA" w:rsidRDefault="002D6997" w:rsidP="00AB5B20">
            <w:pPr>
              <w:pStyle w:val="ListParagraph"/>
              <w:numPr>
                <w:ilvl w:val="1"/>
                <w:numId w:val="8"/>
              </w:numPr>
              <w:ind w:left="1434" w:hanging="357"/>
              <w:contextualSpacing w:val="0"/>
              <w:rPr>
                <w:rFonts w:ascii="Arial Narrow" w:hAnsi="Arial Narrow"/>
                <w:sz w:val="20"/>
                <w:szCs w:val="20"/>
              </w:rPr>
            </w:pPr>
            <w:r w:rsidRPr="005F5BEA">
              <w:rPr>
                <w:rFonts w:ascii="Arial Narrow" w:hAnsi="Arial Narrow"/>
                <w:sz w:val="20"/>
                <w:szCs w:val="20"/>
              </w:rPr>
              <w:t xml:space="preserve">Some </w:t>
            </w:r>
            <w:r w:rsidR="002375F7" w:rsidRPr="005F5BEA">
              <w:rPr>
                <w:rFonts w:ascii="Arial Narrow" w:hAnsi="Arial Narrow"/>
                <w:sz w:val="20"/>
                <w:szCs w:val="20"/>
              </w:rPr>
              <w:t xml:space="preserve">after-hours </w:t>
            </w:r>
            <w:r w:rsidRPr="005F5BEA">
              <w:rPr>
                <w:rFonts w:ascii="Arial Narrow" w:hAnsi="Arial Narrow"/>
                <w:sz w:val="20"/>
                <w:szCs w:val="20"/>
              </w:rPr>
              <w:t>unscheduled service support</w:t>
            </w:r>
          </w:p>
          <w:p w14:paraId="4D44B254" w14:textId="7FF3D704" w:rsidR="002375F7" w:rsidRPr="005F5BEA" w:rsidRDefault="002375F7" w:rsidP="00AB5B20">
            <w:pPr>
              <w:pStyle w:val="ListParagraph"/>
              <w:numPr>
                <w:ilvl w:val="1"/>
                <w:numId w:val="8"/>
              </w:numPr>
              <w:ind w:left="1434" w:hanging="357"/>
              <w:contextualSpacing w:val="0"/>
              <w:rPr>
                <w:rFonts w:ascii="Arial Narrow" w:hAnsi="Arial Narrow"/>
                <w:sz w:val="20"/>
                <w:szCs w:val="20"/>
              </w:rPr>
            </w:pPr>
            <w:r w:rsidRPr="005F5BEA">
              <w:rPr>
                <w:rFonts w:ascii="Arial Narrow" w:hAnsi="Arial Narrow"/>
                <w:sz w:val="20"/>
                <w:szCs w:val="20"/>
              </w:rPr>
              <w:t xml:space="preserve">implantation support and </w:t>
            </w:r>
            <w:r w:rsidR="000A10AF" w:rsidRPr="005F5BEA">
              <w:rPr>
                <w:rFonts w:ascii="Arial Narrow" w:hAnsi="Arial Narrow"/>
                <w:sz w:val="20"/>
                <w:szCs w:val="20"/>
              </w:rPr>
              <w:t>D</w:t>
            </w:r>
            <w:r w:rsidRPr="005F5BEA">
              <w:rPr>
                <w:rFonts w:ascii="Arial Narrow" w:hAnsi="Arial Narrow"/>
                <w:sz w:val="20"/>
                <w:szCs w:val="20"/>
              </w:rPr>
              <w:t>ay-1 checks</w:t>
            </w:r>
          </w:p>
          <w:p w14:paraId="1BE0E980" w14:textId="77777777" w:rsidR="002375F7" w:rsidRPr="005F5BEA" w:rsidRDefault="002375F7" w:rsidP="00AB5B20">
            <w:pPr>
              <w:pStyle w:val="ListParagraph"/>
              <w:numPr>
                <w:ilvl w:val="1"/>
                <w:numId w:val="8"/>
              </w:numPr>
              <w:ind w:left="1434" w:hanging="357"/>
              <w:contextualSpacing w:val="0"/>
              <w:rPr>
                <w:rFonts w:ascii="Arial Narrow" w:hAnsi="Arial Narrow"/>
                <w:sz w:val="20"/>
                <w:szCs w:val="20"/>
              </w:rPr>
            </w:pPr>
            <w:r w:rsidRPr="005F5BEA">
              <w:rPr>
                <w:rFonts w:ascii="Arial Narrow" w:hAnsi="Arial Narrow"/>
                <w:sz w:val="20"/>
                <w:szCs w:val="20"/>
              </w:rPr>
              <w:t>complex/advanced reprogramming</w:t>
            </w:r>
          </w:p>
          <w:p w14:paraId="4EF29E14" w14:textId="77777777" w:rsidR="002375F7" w:rsidRPr="005F5BEA" w:rsidRDefault="002375F7" w:rsidP="00AB5B20">
            <w:pPr>
              <w:pStyle w:val="ListParagraph"/>
              <w:numPr>
                <w:ilvl w:val="1"/>
                <w:numId w:val="8"/>
              </w:numPr>
              <w:ind w:left="1434" w:hanging="357"/>
              <w:contextualSpacing w:val="0"/>
              <w:rPr>
                <w:rFonts w:ascii="Arial Narrow" w:hAnsi="Arial Narrow"/>
                <w:sz w:val="20"/>
                <w:szCs w:val="20"/>
              </w:rPr>
            </w:pPr>
            <w:r w:rsidRPr="005F5BEA">
              <w:rPr>
                <w:rFonts w:ascii="Arial Narrow" w:hAnsi="Arial Narrow"/>
                <w:sz w:val="20"/>
                <w:szCs w:val="20"/>
              </w:rPr>
              <w:t>training new technicians</w:t>
            </w:r>
          </w:p>
          <w:p w14:paraId="25A0AFA7" w14:textId="0A99FBD9" w:rsidR="002375F7" w:rsidRPr="005F5BEA" w:rsidRDefault="003B76CF" w:rsidP="00AB5B20">
            <w:pPr>
              <w:pStyle w:val="ListParagraph"/>
              <w:numPr>
                <w:ilvl w:val="1"/>
                <w:numId w:val="8"/>
              </w:numPr>
              <w:ind w:left="1434" w:hanging="357"/>
              <w:contextualSpacing w:val="0"/>
              <w:rPr>
                <w:rFonts w:ascii="Arial Narrow" w:hAnsi="Arial Narrow"/>
                <w:sz w:val="20"/>
                <w:szCs w:val="20"/>
              </w:rPr>
            </w:pPr>
            <w:r w:rsidRPr="005F5BEA">
              <w:rPr>
                <w:rFonts w:ascii="Arial Narrow" w:hAnsi="Arial Narrow"/>
                <w:sz w:val="20"/>
                <w:szCs w:val="20"/>
              </w:rPr>
              <w:t>technical a</w:t>
            </w:r>
            <w:r w:rsidR="002375F7" w:rsidRPr="005F5BEA">
              <w:rPr>
                <w:rFonts w:ascii="Arial Narrow" w:hAnsi="Arial Narrow"/>
                <w:sz w:val="20"/>
                <w:szCs w:val="20"/>
              </w:rPr>
              <w:t>dvice</w:t>
            </w:r>
          </w:p>
          <w:p w14:paraId="6E3F4EB6" w14:textId="77777777" w:rsidR="002375F7" w:rsidRPr="005F5BEA" w:rsidRDefault="002375F7" w:rsidP="00AB5B20">
            <w:pPr>
              <w:pStyle w:val="ListParagraph"/>
              <w:numPr>
                <w:ilvl w:val="1"/>
                <w:numId w:val="8"/>
              </w:numPr>
              <w:ind w:left="1434" w:hanging="357"/>
              <w:contextualSpacing w:val="0"/>
              <w:rPr>
                <w:rFonts w:ascii="Arial Narrow" w:hAnsi="Arial Narrow"/>
                <w:sz w:val="20"/>
                <w:szCs w:val="20"/>
              </w:rPr>
            </w:pPr>
            <w:r w:rsidRPr="005F5BEA">
              <w:rPr>
                <w:rFonts w:ascii="Arial Narrow" w:hAnsi="Arial Narrow"/>
                <w:sz w:val="20"/>
                <w:szCs w:val="20"/>
              </w:rPr>
              <w:t>Updated information on the device</w:t>
            </w:r>
          </w:p>
          <w:p w14:paraId="742AF3C4" w14:textId="71B22E5C" w:rsidR="00F01DB1" w:rsidRPr="005F5BEA" w:rsidRDefault="00F01DB1" w:rsidP="00AB5B20">
            <w:pPr>
              <w:pStyle w:val="ListParagraph"/>
              <w:numPr>
                <w:ilvl w:val="0"/>
                <w:numId w:val="8"/>
              </w:numPr>
              <w:rPr>
                <w:rFonts w:ascii="Arial Narrow" w:hAnsi="Arial Narrow"/>
                <w:sz w:val="20"/>
                <w:szCs w:val="20"/>
              </w:rPr>
            </w:pPr>
            <w:r w:rsidRPr="005F5BEA">
              <w:rPr>
                <w:rFonts w:ascii="Arial Narrow" w:hAnsi="Arial Narrow"/>
                <w:sz w:val="20"/>
                <w:szCs w:val="20"/>
              </w:rPr>
              <w:t xml:space="preserve">Potential conflict of interest, </w:t>
            </w:r>
            <w:proofErr w:type="gramStart"/>
            <w:r w:rsidRPr="005F5BEA">
              <w:rPr>
                <w:rFonts w:ascii="Arial Narrow" w:hAnsi="Arial Narrow"/>
                <w:sz w:val="20"/>
                <w:szCs w:val="20"/>
              </w:rPr>
              <w:t>confidentiality</w:t>
            </w:r>
            <w:proofErr w:type="gramEnd"/>
            <w:r w:rsidRPr="005F5BEA">
              <w:rPr>
                <w:rFonts w:ascii="Arial Narrow" w:hAnsi="Arial Narrow"/>
                <w:sz w:val="20"/>
                <w:szCs w:val="20"/>
              </w:rPr>
              <w:t xml:space="preserve"> and ethical issues.</w:t>
            </w:r>
          </w:p>
        </w:tc>
        <w:tc>
          <w:tcPr>
            <w:tcW w:w="3712" w:type="dxa"/>
          </w:tcPr>
          <w:p w14:paraId="0252E667" w14:textId="66E5DF90" w:rsidR="002375F7" w:rsidRPr="005F5BEA" w:rsidRDefault="002375F7" w:rsidP="00AB5B20">
            <w:pPr>
              <w:pStyle w:val="ListParagraph"/>
              <w:numPr>
                <w:ilvl w:val="0"/>
                <w:numId w:val="8"/>
              </w:numPr>
              <w:contextualSpacing w:val="0"/>
              <w:rPr>
                <w:rFonts w:ascii="Arial Narrow" w:hAnsi="Arial Narrow"/>
                <w:sz w:val="20"/>
                <w:szCs w:val="20"/>
              </w:rPr>
            </w:pPr>
            <w:r w:rsidRPr="005F5BEA">
              <w:rPr>
                <w:rFonts w:ascii="Arial Narrow" w:hAnsi="Arial Narrow"/>
                <w:sz w:val="20"/>
                <w:szCs w:val="20"/>
              </w:rPr>
              <w:t xml:space="preserve">An </w:t>
            </w:r>
            <w:r w:rsidR="00B62C82" w:rsidRPr="005F5BEA">
              <w:rPr>
                <w:rFonts w:ascii="Arial Narrow" w:hAnsi="Arial Narrow"/>
                <w:sz w:val="20"/>
                <w:szCs w:val="20"/>
              </w:rPr>
              <w:t>IECT</w:t>
            </w:r>
            <w:r w:rsidRPr="005F5BEA">
              <w:rPr>
                <w:rFonts w:ascii="Arial Narrow" w:hAnsi="Arial Narrow"/>
                <w:sz w:val="20"/>
                <w:szCs w:val="20"/>
              </w:rPr>
              <w:t xml:space="preserve"> is trained in providing services for only one brand of CIED, whereas </w:t>
            </w:r>
            <w:r w:rsidR="002D6997" w:rsidRPr="005F5BEA">
              <w:rPr>
                <w:rFonts w:ascii="Arial Narrow" w:hAnsi="Arial Narrow"/>
                <w:sz w:val="20"/>
                <w:szCs w:val="20"/>
              </w:rPr>
              <w:t xml:space="preserve">cardiac </w:t>
            </w:r>
            <w:r w:rsidRPr="005F5BEA">
              <w:rPr>
                <w:rFonts w:ascii="Arial Narrow" w:hAnsi="Arial Narrow"/>
                <w:sz w:val="20"/>
                <w:szCs w:val="20"/>
              </w:rPr>
              <w:t>technicians employed by private clinics will provide services for a range of brands.</w:t>
            </w:r>
            <w:r w:rsidR="00932BCF" w:rsidRPr="005F5BEA">
              <w:rPr>
                <w:rFonts w:ascii="Arial Narrow" w:hAnsi="Arial Narrow"/>
                <w:sz w:val="20"/>
                <w:szCs w:val="20"/>
              </w:rPr>
              <w:t xml:space="preserve"> Therefore</w:t>
            </w:r>
            <w:r w:rsidR="00587E86" w:rsidRPr="005F5BEA">
              <w:rPr>
                <w:rFonts w:ascii="Arial Narrow" w:hAnsi="Arial Narrow"/>
                <w:sz w:val="20"/>
                <w:szCs w:val="20"/>
              </w:rPr>
              <w:t>,</w:t>
            </w:r>
            <w:r w:rsidR="00932BCF" w:rsidRPr="005F5BEA">
              <w:rPr>
                <w:rFonts w:ascii="Arial Narrow" w:hAnsi="Arial Narrow"/>
                <w:sz w:val="20"/>
                <w:szCs w:val="20"/>
              </w:rPr>
              <w:t xml:space="preserve"> multiple </w:t>
            </w:r>
            <w:r w:rsidR="00B62C82" w:rsidRPr="005F5BEA">
              <w:rPr>
                <w:rFonts w:ascii="Arial Narrow" w:hAnsi="Arial Narrow"/>
                <w:sz w:val="20"/>
                <w:szCs w:val="20"/>
              </w:rPr>
              <w:t>IECT</w:t>
            </w:r>
            <w:r w:rsidR="00932BCF" w:rsidRPr="005F5BEA">
              <w:rPr>
                <w:rFonts w:ascii="Arial Narrow" w:hAnsi="Arial Narrow"/>
                <w:sz w:val="20"/>
                <w:szCs w:val="20"/>
              </w:rPr>
              <w:t xml:space="preserve">s may be required </w:t>
            </w:r>
            <w:r w:rsidR="00AE13B9" w:rsidRPr="005F5BEA">
              <w:rPr>
                <w:rFonts w:ascii="Arial Narrow" w:hAnsi="Arial Narrow"/>
                <w:sz w:val="20"/>
                <w:szCs w:val="20"/>
              </w:rPr>
              <w:t>to attend</w:t>
            </w:r>
            <w:r w:rsidR="00587E86" w:rsidRPr="005F5BEA">
              <w:rPr>
                <w:rFonts w:ascii="Arial Narrow" w:hAnsi="Arial Narrow"/>
                <w:sz w:val="20"/>
                <w:szCs w:val="20"/>
              </w:rPr>
              <w:t xml:space="preserve"> a single clinic or hospital </w:t>
            </w:r>
            <w:r w:rsidR="00932BCF" w:rsidRPr="005F5BEA">
              <w:rPr>
                <w:rFonts w:ascii="Arial Narrow" w:hAnsi="Arial Narrow"/>
                <w:sz w:val="20"/>
                <w:szCs w:val="20"/>
              </w:rPr>
              <w:t xml:space="preserve">to service the different </w:t>
            </w:r>
            <w:r w:rsidR="00587E86" w:rsidRPr="005F5BEA">
              <w:rPr>
                <w:rFonts w:ascii="Arial Narrow" w:hAnsi="Arial Narrow"/>
                <w:sz w:val="20"/>
                <w:szCs w:val="20"/>
              </w:rPr>
              <w:t xml:space="preserve">implanted </w:t>
            </w:r>
            <w:r w:rsidR="00932BCF" w:rsidRPr="005F5BEA">
              <w:rPr>
                <w:rFonts w:ascii="Arial Narrow" w:hAnsi="Arial Narrow"/>
                <w:sz w:val="20"/>
                <w:szCs w:val="20"/>
              </w:rPr>
              <w:t>CIED</w:t>
            </w:r>
            <w:r w:rsidR="00587E86" w:rsidRPr="005F5BEA">
              <w:rPr>
                <w:rFonts w:ascii="Arial Narrow" w:hAnsi="Arial Narrow"/>
                <w:sz w:val="20"/>
                <w:szCs w:val="20"/>
              </w:rPr>
              <w:t xml:space="preserve"> </w:t>
            </w:r>
            <w:proofErr w:type="gramStart"/>
            <w:r w:rsidR="00587E86" w:rsidRPr="005F5BEA">
              <w:rPr>
                <w:rFonts w:ascii="Arial Narrow" w:hAnsi="Arial Narrow"/>
                <w:sz w:val="20"/>
                <w:szCs w:val="20"/>
              </w:rPr>
              <w:t>brands</w:t>
            </w:r>
            <w:proofErr w:type="gramEnd"/>
            <w:r w:rsidR="00587E86" w:rsidRPr="005F5BEA">
              <w:rPr>
                <w:rFonts w:ascii="Arial Narrow" w:hAnsi="Arial Narrow"/>
                <w:sz w:val="20"/>
                <w:szCs w:val="20"/>
              </w:rPr>
              <w:t xml:space="preserve"> </w:t>
            </w:r>
          </w:p>
          <w:p w14:paraId="7A1EBA32" w14:textId="1BBE9199" w:rsidR="002375F7" w:rsidRPr="005F5BEA" w:rsidRDefault="00B62C82" w:rsidP="00AB5B20">
            <w:pPr>
              <w:pStyle w:val="ListParagraph"/>
              <w:numPr>
                <w:ilvl w:val="0"/>
                <w:numId w:val="8"/>
              </w:numPr>
              <w:contextualSpacing w:val="0"/>
              <w:rPr>
                <w:rFonts w:ascii="Arial Narrow" w:hAnsi="Arial Narrow"/>
                <w:sz w:val="20"/>
                <w:szCs w:val="20"/>
              </w:rPr>
            </w:pPr>
            <w:r w:rsidRPr="005F5BEA">
              <w:rPr>
                <w:rFonts w:ascii="Arial Narrow" w:hAnsi="Arial Narrow"/>
                <w:sz w:val="20"/>
                <w:szCs w:val="20"/>
              </w:rPr>
              <w:t>IECT</w:t>
            </w:r>
            <w:r w:rsidR="002375F7" w:rsidRPr="005F5BEA">
              <w:rPr>
                <w:rFonts w:ascii="Arial Narrow" w:hAnsi="Arial Narrow"/>
                <w:sz w:val="20"/>
                <w:szCs w:val="20"/>
              </w:rPr>
              <w:t>s don’t provide many services per location visit</w:t>
            </w:r>
            <w:r w:rsidR="00587E86" w:rsidRPr="005F5BEA">
              <w:rPr>
                <w:rFonts w:ascii="Arial Narrow" w:hAnsi="Arial Narrow"/>
                <w:sz w:val="20"/>
                <w:szCs w:val="20"/>
              </w:rPr>
              <w:t xml:space="preserve"> because they only service their own company CIEDs</w:t>
            </w:r>
            <w:r w:rsidR="002375F7" w:rsidRPr="005F5BEA">
              <w:rPr>
                <w:rFonts w:ascii="Arial Narrow" w:hAnsi="Arial Narrow"/>
                <w:sz w:val="20"/>
                <w:szCs w:val="20"/>
              </w:rPr>
              <w:t>, which means there are significant travel costs and wait times (inefficient provision of services).</w:t>
            </w:r>
          </w:p>
          <w:p w14:paraId="1203537A" w14:textId="530BEE6C" w:rsidR="003137DB" w:rsidRPr="005F5BEA" w:rsidRDefault="003137DB" w:rsidP="00AB5B20">
            <w:pPr>
              <w:pStyle w:val="ListParagraph"/>
              <w:numPr>
                <w:ilvl w:val="0"/>
                <w:numId w:val="8"/>
              </w:numPr>
              <w:contextualSpacing w:val="0"/>
              <w:rPr>
                <w:rFonts w:ascii="Arial Narrow" w:hAnsi="Arial Narrow"/>
                <w:sz w:val="20"/>
                <w:szCs w:val="20"/>
              </w:rPr>
            </w:pPr>
            <w:r w:rsidRPr="005F5BEA">
              <w:rPr>
                <w:rFonts w:ascii="Arial Narrow" w:hAnsi="Arial Narrow"/>
                <w:sz w:val="20"/>
                <w:szCs w:val="20"/>
              </w:rPr>
              <w:t>Potential conflict of interest</w:t>
            </w:r>
            <w:r w:rsidR="00F01DB1" w:rsidRPr="005F5BEA">
              <w:rPr>
                <w:rFonts w:ascii="Arial Narrow" w:hAnsi="Arial Narrow"/>
                <w:sz w:val="20"/>
                <w:szCs w:val="20"/>
              </w:rPr>
              <w:t xml:space="preserve">, </w:t>
            </w:r>
            <w:proofErr w:type="gramStart"/>
            <w:r w:rsidR="00F01DB1" w:rsidRPr="005F5BEA">
              <w:rPr>
                <w:rFonts w:ascii="Arial Narrow" w:hAnsi="Arial Narrow"/>
                <w:sz w:val="20"/>
                <w:szCs w:val="20"/>
              </w:rPr>
              <w:t>confidentiality</w:t>
            </w:r>
            <w:proofErr w:type="gramEnd"/>
            <w:r w:rsidRPr="005F5BEA">
              <w:rPr>
                <w:rFonts w:ascii="Arial Narrow" w:hAnsi="Arial Narrow"/>
                <w:sz w:val="20"/>
                <w:szCs w:val="20"/>
              </w:rPr>
              <w:t xml:space="preserve"> and ethical issues.</w:t>
            </w:r>
          </w:p>
          <w:p w14:paraId="2ED6A0B6" w14:textId="5EA85055" w:rsidR="002375F7" w:rsidRPr="005F5BEA" w:rsidRDefault="002375F7" w:rsidP="002B2C0B">
            <w:pPr>
              <w:pStyle w:val="ListParagraph"/>
              <w:contextualSpacing w:val="0"/>
              <w:rPr>
                <w:rFonts w:ascii="Arial Narrow" w:hAnsi="Arial Narrow"/>
                <w:sz w:val="20"/>
                <w:szCs w:val="20"/>
              </w:rPr>
            </w:pPr>
          </w:p>
        </w:tc>
      </w:tr>
    </w:tbl>
    <w:p w14:paraId="49A5A8F6" w14:textId="0A5C905E" w:rsidR="00592096" w:rsidRPr="005F5BEA" w:rsidRDefault="00AE13B9" w:rsidP="002B2C0B">
      <w:pPr>
        <w:pStyle w:val="Tablenotes"/>
      </w:pPr>
      <w:r w:rsidRPr="005F5BEA">
        <w:t xml:space="preserve">CIED, cardiac implantable electronic device; </w:t>
      </w:r>
      <w:r w:rsidR="00B62C82" w:rsidRPr="005F5BEA">
        <w:t>IECT</w:t>
      </w:r>
      <w:r w:rsidRPr="005F5BEA">
        <w:t xml:space="preserve">, industry employed </w:t>
      </w:r>
      <w:r w:rsidR="008B581C" w:rsidRPr="005F5BEA">
        <w:t xml:space="preserve">cardiac </w:t>
      </w:r>
      <w:proofErr w:type="gramStart"/>
      <w:r w:rsidR="008B581C" w:rsidRPr="005F5BEA">
        <w:t>technician</w:t>
      </w:r>
      <w:proofErr w:type="gramEnd"/>
    </w:p>
    <w:p w14:paraId="7A0742C0" w14:textId="6CC32EEA" w:rsidR="00802098" w:rsidRPr="005F5BEA" w:rsidRDefault="00EE7BA5" w:rsidP="0097698B">
      <w:pPr>
        <w:pStyle w:val="Heading2"/>
      </w:pPr>
      <w:r w:rsidRPr="005F5BEA">
        <w:t>11</w:t>
      </w:r>
      <w:r w:rsidR="0097698B" w:rsidRPr="005F5BEA">
        <w:t>.</w:t>
      </w:r>
      <w:r w:rsidR="0097698B" w:rsidRPr="005F5BEA">
        <w:tab/>
      </w:r>
      <w:r w:rsidR="00802098" w:rsidRPr="005F5BEA">
        <w:t>Alternative models of care</w:t>
      </w:r>
    </w:p>
    <w:p w14:paraId="7FF4AFE1" w14:textId="7C7BBF67" w:rsidR="00C83B6E" w:rsidRPr="005F5BEA" w:rsidRDefault="00C83B6E" w:rsidP="00C83B6E">
      <w:pPr>
        <w:pStyle w:val="Heading3"/>
      </w:pPr>
      <w:r w:rsidRPr="005F5BEA">
        <w:t>International reimbursement models</w:t>
      </w:r>
    </w:p>
    <w:p w14:paraId="4D6223B8" w14:textId="60F5A1CA" w:rsidR="00C83B6E" w:rsidRPr="005F5BEA" w:rsidRDefault="00C83B6E" w:rsidP="00C83B6E">
      <w:r w:rsidRPr="005F5BEA">
        <w:t xml:space="preserve">Information was sought on what models of care are used internationally to provide support for CIEDs, and how they are reimbursed. An overview of European reimbursement was reported by </w:t>
      </w:r>
      <w:proofErr w:type="spellStart"/>
      <w:r w:rsidRPr="005F5BEA">
        <w:t>Boriani</w:t>
      </w:r>
      <w:proofErr w:type="spellEnd"/>
      <w:r w:rsidRPr="005F5BEA">
        <w:t xml:space="preserve"> et al. (2022) (</w:t>
      </w:r>
      <w:r w:rsidRPr="005F5BEA">
        <w:fldChar w:fldCharType="begin"/>
      </w:r>
      <w:r w:rsidRPr="005F5BEA">
        <w:instrText xml:space="preserve"> REF _Ref120543527 \h </w:instrText>
      </w:r>
      <w:r w:rsidR="005F5BEA">
        <w:instrText xml:space="preserve"> \* MERGEFORMAT </w:instrText>
      </w:r>
      <w:r w:rsidRPr="005F5BEA">
        <w:fldChar w:fldCharType="separate"/>
      </w:r>
      <w:r w:rsidR="00334548" w:rsidRPr="005F5BEA">
        <w:t xml:space="preserve">Table </w:t>
      </w:r>
      <w:r w:rsidR="00334548">
        <w:rPr>
          <w:noProof/>
        </w:rPr>
        <w:t>37</w:t>
      </w:r>
      <w:r w:rsidRPr="005F5BEA">
        <w:fldChar w:fldCharType="end"/>
      </w:r>
      <w:r w:rsidRPr="005F5BEA">
        <w:t xml:space="preserve">), with further details on three European countries and the United States shown in </w:t>
      </w:r>
      <w:r w:rsidR="0064454E" w:rsidRPr="005F5BEA">
        <w:fldChar w:fldCharType="begin"/>
      </w:r>
      <w:r w:rsidR="0064454E" w:rsidRPr="005F5BEA">
        <w:instrText xml:space="preserve"> REF _Ref120543532 \h </w:instrText>
      </w:r>
      <w:r w:rsidR="005F5BEA">
        <w:instrText xml:space="preserve"> \* MERGEFORMAT </w:instrText>
      </w:r>
      <w:r w:rsidR="0064454E" w:rsidRPr="005F5BEA">
        <w:fldChar w:fldCharType="separate"/>
      </w:r>
      <w:r w:rsidR="00334548" w:rsidRPr="005F5BEA">
        <w:t xml:space="preserve">Table </w:t>
      </w:r>
      <w:r w:rsidR="00334548">
        <w:rPr>
          <w:noProof/>
        </w:rPr>
        <w:t>38</w:t>
      </w:r>
      <w:r w:rsidR="0064454E" w:rsidRPr="005F5BEA">
        <w:fldChar w:fldCharType="end"/>
      </w:r>
      <w:r w:rsidRPr="005F5BEA">
        <w:t xml:space="preserve">. </w:t>
      </w:r>
    </w:p>
    <w:p w14:paraId="49012C13" w14:textId="616814D8" w:rsidR="00C83B6E" w:rsidRPr="005F5BEA" w:rsidRDefault="00C83B6E" w:rsidP="00C83B6E">
      <w:r w:rsidRPr="005F5BEA">
        <w:t xml:space="preserve">Insufficient detail was found on </w:t>
      </w:r>
      <w:r w:rsidR="00EB7730" w:rsidRPr="005F5BEA">
        <w:t xml:space="preserve">the profession that </w:t>
      </w:r>
      <w:r w:rsidRPr="005F5BEA">
        <w:t>provide</w:t>
      </w:r>
      <w:r w:rsidR="00EB7730" w:rsidRPr="005F5BEA">
        <w:t>s</w:t>
      </w:r>
      <w:r w:rsidRPr="005F5BEA">
        <w:t xml:space="preserve"> the services, or </w:t>
      </w:r>
      <w:r w:rsidR="00EB7730" w:rsidRPr="005F5BEA">
        <w:t xml:space="preserve">who </w:t>
      </w:r>
      <w:proofErr w:type="gramStart"/>
      <w:r w:rsidR="00EB7730" w:rsidRPr="005F5BEA">
        <w:t xml:space="preserve">is </w:t>
      </w:r>
      <w:r w:rsidRPr="005F5BEA">
        <w:t>able to</w:t>
      </w:r>
      <w:proofErr w:type="gramEnd"/>
      <w:r w:rsidRPr="005F5BEA">
        <w:t xml:space="preserve"> access reimbursement</w:t>
      </w:r>
      <w:r w:rsidR="00EB7730" w:rsidRPr="005F5BEA">
        <w:t>.</w:t>
      </w:r>
      <w:r w:rsidRPr="005F5BEA">
        <w:t xml:space="preserve"> However, different types of reimbursement models are fee for service (as is available for in-person services in France, and available in Germany with a maximum of 5 per year); a subscription model (set fee for all services within a certain time-period; as per remote monitoring in France, and for both in-person and remote monitoring in the United States); or </w:t>
      </w:r>
      <w:r w:rsidR="00EB7730" w:rsidRPr="005F5BEA">
        <w:t>a combination of both</w:t>
      </w:r>
      <w:r w:rsidRPr="005F5BEA">
        <w:t xml:space="preserve"> (one fee for 1-2 services, and another fee for ≥3 services, as per the Netherlands). </w:t>
      </w:r>
    </w:p>
    <w:p w14:paraId="4D04B3C3" w14:textId="77777777" w:rsidR="00C83B6E" w:rsidRPr="005F5BEA" w:rsidRDefault="00C83B6E" w:rsidP="00C83B6E">
      <w:pPr>
        <w:rPr>
          <w:rFonts w:ascii="Segoe UI" w:hAnsi="Segoe UI" w:cs="Segoe UI"/>
          <w:color w:val="FFFFFF"/>
          <w:sz w:val="21"/>
          <w:szCs w:val="21"/>
          <w:shd w:val="clear" w:color="auto" w:fill="292929"/>
        </w:rPr>
      </w:pPr>
    </w:p>
    <w:p w14:paraId="48711808" w14:textId="5817D937" w:rsidR="00C83B6E" w:rsidRPr="005F5BEA" w:rsidRDefault="00C83B6E" w:rsidP="002B2C0B">
      <w:pPr>
        <w:pStyle w:val="TableHeading"/>
        <w:keepNext/>
      </w:pPr>
      <w:bookmarkStart w:id="58" w:name="_Ref120543527"/>
      <w:r w:rsidRPr="005F5BEA">
        <w:lastRenderedPageBreak/>
        <w:t xml:space="preserve">Table </w:t>
      </w:r>
      <w:r w:rsidRPr="005F5BEA">
        <w:fldChar w:fldCharType="begin"/>
      </w:r>
      <w:r w:rsidRPr="005F5BEA">
        <w:instrText>SEQ Table \* ARABIC</w:instrText>
      </w:r>
      <w:r w:rsidRPr="005F5BEA">
        <w:fldChar w:fldCharType="separate"/>
      </w:r>
      <w:r w:rsidR="00334548">
        <w:rPr>
          <w:noProof/>
        </w:rPr>
        <w:t>37</w:t>
      </w:r>
      <w:r w:rsidRPr="005F5BEA">
        <w:fldChar w:fldCharType="end"/>
      </w:r>
      <w:bookmarkEnd w:id="58"/>
      <w:r w:rsidRPr="005F5BEA">
        <w:tab/>
        <w:t>Reimbursement for in-person and remote monitoring in Europe</w:t>
      </w:r>
    </w:p>
    <w:tbl>
      <w:tblPr>
        <w:tblStyle w:val="MSAC"/>
        <w:tblW w:w="5000" w:type="pct"/>
        <w:tblLook w:val="01E0" w:firstRow="1" w:lastRow="1" w:firstColumn="1" w:lastColumn="1" w:noHBand="0" w:noVBand="0"/>
      </w:tblPr>
      <w:tblGrid>
        <w:gridCol w:w="1162"/>
        <w:gridCol w:w="2095"/>
        <w:gridCol w:w="2535"/>
        <w:gridCol w:w="1612"/>
        <w:gridCol w:w="1612"/>
      </w:tblGrid>
      <w:tr w:rsidR="00C83B6E" w:rsidRPr="005F5BEA" w14:paraId="0F5966D8" w14:textId="77777777" w:rsidTr="00DF3D49">
        <w:trPr>
          <w:cnfStyle w:val="100000000000" w:firstRow="1" w:lastRow="0" w:firstColumn="0" w:lastColumn="0" w:oddVBand="0" w:evenVBand="0" w:oddHBand="0" w:evenHBand="0" w:firstRowFirstColumn="0" w:firstRowLastColumn="0" w:lastRowFirstColumn="0" w:lastRowLastColumn="0"/>
          <w:trHeight w:val="459"/>
        </w:trPr>
        <w:tc>
          <w:tcPr>
            <w:tcW w:w="644" w:type="pct"/>
            <w:vAlign w:val="top"/>
          </w:tcPr>
          <w:p w14:paraId="35B3BCBB" w14:textId="77777777" w:rsidR="00C83B6E" w:rsidRPr="005F5BEA" w:rsidRDefault="00C83B6E" w:rsidP="00DF3D49">
            <w:pPr>
              <w:pStyle w:val="Tableheader"/>
              <w:rPr>
                <w:b/>
                <w:color w:val="auto"/>
              </w:rPr>
            </w:pPr>
            <w:r w:rsidRPr="005F5BEA">
              <w:rPr>
                <w:b/>
                <w:color w:val="auto"/>
              </w:rPr>
              <w:t>Country</w:t>
            </w:r>
          </w:p>
        </w:tc>
        <w:tc>
          <w:tcPr>
            <w:tcW w:w="1161" w:type="pct"/>
            <w:vAlign w:val="top"/>
          </w:tcPr>
          <w:p w14:paraId="4B5C12E5" w14:textId="77777777" w:rsidR="00C83B6E" w:rsidRPr="005F5BEA" w:rsidRDefault="00C83B6E" w:rsidP="00DF3D49">
            <w:pPr>
              <w:pStyle w:val="Tableheader"/>
              <w:rPr>
                <w:b/>
                <w:color w:val="auto"/>
              </w:rPr>
            </w:pPr>
            <w:r w:rsidRPr="005F5BEA">
              <w:rPr>
                <w:b/>
                <w:color w:val="auto"/>
              </w:rPr>
              <w:t>Reimbursement tariff for in-person device check</w:t>
            </w:r>
          </w:p>
        </w:tc>
        <w:tc>
          <w:tcPr>
            <w:tcW w:w="1406" w:type="pct"/>
            <w:vAlign w:val="top"/>
          </w:tcPr>
          <w:p w14:paraId="264DC78A" w14:textId="77777777" w:rsidR="00C83B6E" w:rsidRPr="005F5BEA" w:rsidRDefault="00C83B6E" w:rsidP="00DF3D49">
            <w:pPr>
              <w:pStyle w:val="Tableheader"/>
              <w:rPr>
                <w:b/>
                <w:color w:val="auto"/>
              </w:rPr>
            </w:pPr>
            <w:r w:rsidRPr="005F5BEA">
              <w:rPr>
                <w:b/>
                <w:color w:val="auto"/>
              </w:rPr>
              <w:t>Reimbursement tariff for remote monitoring</w:t>
            </w:r>
          </w:p>
        </w:tc>
        <w:tc>
          <w:tcPr>
            <w:tcW w:w="894" w:type="pct"/>
          </w:tcPr>
          <w:p w14:paraId="10ECC5A3" w14:textId="77777777" w:rsidR="00C83B6E" w:rsidRPr="005F5BEA" w:rsidRDefault="00C83B6E" w:rsidP="00DF3D49">
            <w:pPr>
              <w:pStyle w:val="Tableheader"/>
              <w:rPr>
                <w:b/>
                <w:color w:val="auto"/>
              </w:rPr>
            </w:pPr>
            <w:r w:rsidRPr="005F5BEA">
              <w:rPr>
                <w:b/>
                <w:color w:val="auto"/>
              </w:rPr>
              <w:t>Reimbursement specific for hardware and service remote monitoring</w:t>
            </w:r>
          </w:p>
        </w:tc>
        <w:tc>
          <w:tcPr>
            <w:tcW w:w="894" w:type="pct"/>
            <w:vAlign w:val="top"/>
          </w:tcPr>
          <w:p w14:paraId="6666C326" w14:textId="77777777" w:rsidR="00C83B6E" w:rsidRPr="005F5BEA" w:rsidRDefault="00C83B6E" w:rsidP="00DF3D49">
            <w:pPr>
              <w:pStyle w:val="Tableheader"/>
              <w:rPr>
                <w:b/>
                <w:color w:val="auto"/>
              </w:rPr>
            </w:pPr>
            <w:r w:rsidRPr="005F5BEA">
              <w:rPr>
                <w:b/>
                <w:color w:val="auto"/>
              </w:rPr>
              <w:t>Reimbursement tariff for HF disease management</w:t>
            </w:r>
          </w:p>
        </w:tc>
      </w:tr>
      <w:tr w:rsidR="00C83B6E" w:rsidRPr="005F5BEA" w14:paraId="77431335" w14:textId="77777777" w:rsidTr="00DF3D49">
        <w:trPr>
          <w:trHeight w:val="363"/>
        </w:trPr>
        <w:tc>
          <w:tcPr>
            <w:tcW w:w="644" w:type="pct"/>
          </w:tcPr>
          <w:p w14:paraId="73CB1E5E" w14:textId="77777777" w:rsidR="00C83B6E" w:rsidRPr="005F5BEA" w:rsidRDefault="00C83B6E" w:rsidP="00DF3D49">
            <w:pPr>
              <w:pStyle w:val="TableText"/>
              <w:keepNext/>
            </w:pPr>
            <w:r w:rsidRPr="005F5BEA">
              <w:t>Austria</w:t>
            </w:r>
          </w:p>
        </w:tc>
        <w:tc>
          <w:tcPr>
            <w:tcW w:w="1161" w:type="pct"/>
            <w:vAlign w:val="top"/>
          </w:tcPr>
          <w:p w14:paraId="5258FB4D" w14:textId="77777777" w:rsidR="00C83B6E" w:rsidRPr="005F5BEA" w:rsidRDefault="00C83B6E" w:rsidP="00DF3D49">
            <w:pPr>
              <w:pStyle w:val="TableText"/>
              <w:keepNext/>
            </w:pPr>
            <w:r w:rsidRPr="005F5BEA">
              <w:t>Yes</w:t>
            </w:r>
          </w:p>
        </w:tc>
        <w:tc>
          <w:tcPr>
            <w:tcW w:w="1406" w:type="pct"/>
            <w:vAlign w:val="top"/>
          </w:tcPr>
          <w:p w14:paraId="3AAD9C41" w14:textId="77777777" w:rsidR="00C83B6E" w:rsidRPr="005F5BEA" w:rsidRDefault="00C83B6E" w:rsidP="00DF3D49">
            <w:pPr>
              <w:pStyle w:val="TableText"/>
              <w:keepNext/>
            </w:pPr>
            <w:r w:rsidRPr="005F5BEA">
              <w:t>No</w:t>
            </w:r>
          </w:p>
        </w:tc>
        <w:tc>
          <w:tcPr>
            <w:tcW w:w="894" w:type="pct"/>
          </w:tcPr>
          <w:p w14:paraId="315036F1" w14:textId="77777777" w:rsidR="00C83B6E" w:rsidRPr="005F5BEA" w:rsidRDefault="00C83B6E" w:rsidP="00DF3D49">
            <w:pPr>
              <w:pStyle w:val="TableText"/>
              <w:keepNext/>
            </w:pPr>
            <w:r w:rsidRPr="005F5BEA">
              <w:t>No</w:t>
            </w:r>
          </w:p>
        </w:tc>
        <w:tc>
          <w:tcPr>
            <w:tcW w:w="894" w:type="pct"/>
            <w:vAlign w:val="top"/>
          </w:tcPr>
          <w:p w14:paraId="6D588068" w14:textId="77777777" w:rsidR="00C83B6E" w:rsidRPr="005F5BEA" w:rsidRDefault="00C83B6E" w:rsidP="00DF3D49">
            <w:pPr>
              <w:pStyle w:val="TableText"/>
              <w:keepNext/>
            </w:pPr>
            <w:r w:rsidRPr="005F5BEA">
              <w:t>Yes, from 2022</w:t>
            </w:r>
          </w:p>
        </w:tc>
      </w:tr>
      <w:tr w:rsidR="00C83B6E" w:rsidRPr="005F5BEA" w14:paraId="5C968552" w14:textId="77777777" w:rsidTr="00DF3D49">
        <w:trPr>
          <w:trHeight w:val="285"/>
        </w:trPr>
        <w:tc>
          <w:tcPr>
            <w:tcW w:w="644" w:type="pct"/>
          </w:tcPr>
          <w:p w14:paraId="6344DB27" w14:textId="77777777" w:rsidR="00C83B6E" w:rsidRPr="005F5BEA" w:rsidRDefault="00C83B6E" w:rsidP="00DF3D49">
            <w:pPr>
              <w:pStyle w:val="TableText"/>
              <w:keepNext/>
            </w:pPr>
            <w:r w:rsidRPr="005F5BEA">
              <w:t>Belgium</w:t>
            </w:r>
          </w:p>
        </w:tc>
        <w:tc>
          <w:tcPr>
            <w:tcW w:w="1161" w:type="pct"/>
            <w:vAlign w:val="top"/>
          </w:tcPr>
          <w:p w14:paraId="63984D98" w14:textId="77777777" w:rsidR="00C83B6E" w:rsidRPr="005F5BEA" w:rsidRDefault="00C83B6E" w:rsidP="00DF3D49">
            <w:pPr>
              <w:pStyle w:val="TableText"/>
              <w:keepNext/>
            </w:pPr>
            <w:r w:rsidRPr="005F5BEA">
              <w:t>Yes</w:t>
            </w:r>
          </w:p>
        </w:tc>
        <w:tc>
          <w:tcPr>
            <w:tcW w:w="1406" w:type="pct"/>
            <w:vAlign w:val="top"/>
          </w:tcPr>
          <w:p w14:paraId="64E5A5AB" w14:textId="77777777" w:rsidR="00C83B6E" w:rsidRPr="005F5BEA" w:rsidRDefault="00C83B6E" w:rsidP="00DF3D49">
            <w:pPr>
              <w:pStyle w:val="TableText"/>
              <w:keepNext/>
            </w:pPr>
            <w:r w:rsidRPr="005F5BEA">
              <w:t xml:space="preserve">No </w:t>
            </w:r>
          </w:p>
        </w:tc>
        <w:tc>
          <w:tcPr>
            <w:tcW w:w="894" w:type="pct"/>
          </w:tcPr>
          <w:p w14:paraId="59118F13" w14:textId="77777777" w:rsidR="00C83B6E" w:rsidRPr="005F5BEA" w:rsidRDefault="00C83B6E" w:rsidP="00DF3D49">
            <w:pPr>
              <w:pStyle w:val="TableText"/>
              <w:keepNext/>
            </w:pPr>
            <w:r w:rsidRPr="005F5BEA">
              <w:t>No</w:t>
            </w:r>
          </w:p>
        </w:tc>
        <w:tc>
          <w:tcPr>
            <w:tcW w:w="894" w:type="pct"/>
            <w:vAlign w:val="top"/>
          </w:tcPr>
          <w:p w14:paraId="11AAB2B5" w14:textId="77777777" w:rsidR="00C83B6E" w:rsidRPr="005F5BEA" w:rsidRDefault="00C83B6E" w:rsidP="00DF3D49">
            <w:pPr>
              <w:pStyle w:val="TableText"/>
              <w:keepNext/>
            </w:pPr>
            <w:r w:rsidRPr="005F5BEA">
              <w:t>No</w:t>
            </w:r>
          </w:p>
        </w:tc>
      </w:tr>
      <w:tr w:rsidR="00C83B6E" w:rsidRPr="005F5BEA" w14:paraId="7CAD43AF" w14:textId="77777777" w:rsidTr="00DF3D49">
        <w:trPr>
          <w:trHeight w:val="240"/>
        </w:trPr>
        <w:tc>
          <w:tcPr>
            <w:tcW w:w="644" w:type="pct"/>
          </w:tcPr>
          <w:p w14:paraId="15858424" w14:textId="77777777" w:rsidR="00C83B6E" w:rsidRPr="005F5BEA" w:rsidRDefault="00C83B6E" w:rsidP="00DF3D49">
            <w:pPr>
              <w:pStyle w:val="TableText"/>
              <w:keepNext/>
            </w:pPr>
            <w:r w:rsidRPr="005F5BEA">
              <w:t>Bulgaria</w:t>
            </w:r>
          </w:p>
        </w:tc>
        <w:tc>
          <w:tcPr>
            <w:tcW w:w="1161" w:type="pct"/>
            <w:vAlign w:val="top"/>
          </w:tcPr>
          <w:p w14:paraId="3E2B1B64" w14:textId="77777777" w:rsidR="00C83B6E" w:rsidRPr="005F5BEA" w:rsidRDefault="00C83B6E" w:rsidP="00DF3D49">
            <w:pPr>
              <w:pStyle w:val="TableText"/>
              <w:keepNext/>
            </w:pPr>
            <w:r w:rsidRPr="005F5BEA">
              <w:t>No</w:t>
            </w:r>
          </w:p>
        </w:tc>
        <w:tc>
          <w:tcPr>
            <w:tcW w:w="1406" w:type="pct"/>
            <w:vAlign w:val="top"/>
          </w:tcPr>
          <w:p w14:paraId="16C69BA7" w14:textId="77777777" w:rsidR="00C83B6E" w:rsidRPr="005F5BEA" w:rsidRDefault="00C83B6E" w:rsidP="00DF3D49">
            <w:pPr>
              <w:pStyle w:val="TableText"/>
              <w:keepNext/>
            </w:pPr>
            <w:r w:rsidRPr="005F5BEA">
              <w:t>No</w:t>
            </w:r>
          </w:p>
        </w:tc>
        <w:tc>
          <w:tcPr>
            <w:tcW w:w="894" w:type="pct"/>
          </w:tcPr>
          <w:p w14:paraId="5C4E24B7" w14:textId="77777777" w:rsidR="00C83B6E" w:rsidRPr="005F5BEA" w:rsidRDefault="00C83B6E" w:rsidP="00DF3D49">
            <w:pPr>
              <w:pStyle w:val="TableText"/>
              <w:keepNext/>
            </w:pPr>
            <w:r w:rsidRPr="005F5BEA">
              <w:t>No</w:t>
            </w:r>
          </w:p>
        </w:tc>
        <w:tc>
          <w:tcPr>
            <w:tcW w:w="894" w:type="pct"/>
            <w:vAlign w:val="top"/>
          </w:tcPr>
          <w:p w14:paraId="3CE37286" w14:textId="77777777" w:rsidR="00C83B6E" w:rsidRPr="005F5BEA" w:rsidRDefault="00C83B6E" w:rsidP="00DF3D49">
            <w:pPr>
              <w:pStyle w:val="TableText"/>
              <w:keepNext/>
            </w:pPr>
            <w:r w:rsidRPr="005F5BEA">
              <w:t>No</w:t>
            </w:r>
          </w:p>
        </w:tc>
      </w:tr>
      <w:tr w:rsidR="00C83B6E" w:rsidRPr="005F5BEA" w14:paraId="013D124D" w14:textId="77777777" w:rsidTr="00DF3D49">
        <w:trPr>
          <w:trHeight w:val="240"/>
        </w:trPr>
        <w:tc>
          <w:tcPr>
            <w:tcW w:w="644" w:type="pct"/>
          </w:tcPr>
          <w:p w14:paraId="1E0A9BF1" w14:textId="77777777" w:rsidR="00C83B6E" w:rsidRPr="005F5BEA" w:rsidRDefault="00C83B6E" w:rsidP="00DF3D49">
            <w:pPr>
              <w:pStyle w:val="TableText"/>
              <w:keepNext/>
            </w:pPr>
            <w:r w:rsidRPr="005F5BEA">
              <w:t>Czech Republic</w:t>
            </w:r>
          </w:p>
        </w:tc>
        <w:tc>
          <w:tcPr>
            <w:tcW w:w="1161" w:type="pct"/>
            <w:vAlign w:val="top"/>
          </w:tcPr>
          <w:p w14:paraId="180D40B3" w14:textId="77777777" w:rsidR="00C83B6E" w:rsidRPr="005F5BEA" w:rsidRDefault="00C83B6E" w:rsidP="00DF3D49">
            <w:pPr>
              <w:pStyle w:val="TableText"/>
              <w:keepNext/>
            </w:pPr>
            <w:r w:rsidRPr="005F5BEA">
              <w:t>Yes</w:t>
            </w:r>
          </w:p>
        </w:tc>
        <w:tc>
          <w:tcPr>
            <w:tcW w:w="1406" w:type="pct"/>
            <w:vAlign w:val="top"/>
          </w:tcPr>
          <w:p w14:paraId="4F77C5D4" w14:textId="77777777" w:rsidR="00C83B6E" w:rsidRPr="005F5BEA" w:rsidRDefault="00C83B6E" w:rsidP="00DF3D49">
            <w:pPr>
              <w:pStyle w:val="TableText"/>
              <w:keepNext/>
            </w:pPr>
            <w:r w:rsidRPr="005F5BEA">
              <w:t>Yes</w:t>
            </w:r>
          </w:p>
        </w:tc>
        <w:tc>
          <w:tcPr>
            <w:tcW w:w="894" w:type="pct"/>
            <w:vAlign w:val="top"/>
          </w:tcPr>
          <w:p w14:paraId="40ED35B3" w14:textId="77777777" w:rsidR="00C83B6E" w:rsidRPr="005F5BEA" w:rsidRDefault="00C83B6E" w:rsidP="00DF3D49">
            <w:pPr>
              <w:pStyle w:val="TableText"/>
              <w:keepNext/>
            </w:pPr>
            <w:r w:rsidRPr="005F5BEA">
              <w:t>Yes</w:t>
            </w:r>
          </w:p>
        </w:tc>
        <w:tc>
          <w:tcPr>
            <w:tcW w:w="894" w:type="pct"/>
            <w:vAlign w:val="top"/>
          </w:tcPr>
          <w:p w14:paraId="6731EC24" w14:textId="77777777" w:rsidR="00C83B6E" w:rsidRPr="005F5BEA" w:rsidRDefault="00C83B6E" w:rsidP="00DF3D49">
            <w:pPr>
              <w:pStyle w:val="TableText"/>
              <w:keepNext/>
            </w:pPr>
            <w:r w:rsidRPr="005F5BEA">
              <w:t>No</w:t>
            </w:r>
          </w:p>
        </w:tc>
      </w:tr>
      <w:tr w:rsidR="00C83B6E" w:rsidRPr="005F5BEA" w14:paraId="324B3072" w14:textId="77777777" w:rsidTr="00DF3D49">
        <w:trPr>
          <w:trHeight w:val="315"/>
        </w:trPr>
        <w:tc>
          <w:tcPr>
            <w:tcW w:w="644" w:type="pct"/>
          </w:tcPr>
          <w:p w14:paraId="1EF3B2B2" w14:textId="77777777" w:rsidR="00C83B6E" w:rsidRPr="005F5BEA" w:rsidRDefault="00C83B6E" w:rsidP="00DF3D49">
            <w:pPr>
              <w:pStyle w:val="TableText"/>
              <w:keepNext/>
            </w:pPr>
            <w:r w:rsidRPr="005F5BEA">
              <w:t>Denmark</w:t>
            </w:r>
          </w:p>
        </w:tc>
        <w:tc>
          <w:tcPr>
            <w:tcW w:w="1161" w:type="pct"/>
            <w:vAlign w:val="top"/>
          </w:tcPr>
          <w:p w14:paraId="061B1C47" w14:textId="77777777" w:rsidR="00C83B6E" w:rsidRPr="005F5BEA" w:rsidRDefault="00C83B6E" w:rsidP="00DF3D49">
            <w:pPr>
              <w:pStyle w:val="TableText"/>
              <w:keepNext/>
            </w:pPr>
            <w:r w:rsidRPr="005F5BEA">
              <w:t>Yes</w:t>
            </w:r>
          </w:p>
        </w:tc>
        <w:tc>
          <w:tcPr>
            <w:tcW w:w="1406" w:type="pct"/>
            <w:vAlign w:val="top"/>
          </w:tcPr>
          <w:p w14:paraId="591884F4" w14:textId="77777777" w:rsidR="00C83B6E" w:rsidRPr="005F5BEA" w:rsidRDefault="00C83B6E" w:rsidP="00DF3D49">
            <w:pPr>
              <w:pStyle w:val="TableText"/>
              <w:keepNext/>
            </w:pPr>
            <w:r w:rsidRPr="005F5BEA">
              <w:t>Yes</w:t>
            </w:r>
          </w:p>
        </w:tc>
        <w:tc>
          <w:tcPr>
            <w:tcW w:w="894" w:type="pct"/>
            <w:vAlign w:val="top"/>
          </w:tcPr>
          <w:p w14:paraId="1CB16CD5" w14:textId="77777777" w:rsidR="00C83B6E" w:rsidRPr="005F5BEA" w:rsidRDefault="00C83B6E" w:rsidP="00DF3D49">
            <w:pPr>
              <w:pStyle w:val="TableText"/>
              <w:keepNext/>
            </w:pPr>
            <w:r w:rsidRPr="005F5BEA">
              <w:t>Yes</w:t>
            </w:r>
          </w:p>
        </w:tc>
        <w:tc>
          <w:tcPr>
            <w:tcW w:w="894" w:type="pct"/>
            <w:vAlign w:val="top"/>
          </w:tcPr>
          <w:p w14:paraId="5DA8DDA0" w14:textId="77777777" w:rsidR="00C83B6E" w:rsidRPr="005F5BEA" w:rsidRDefault="00C83B6E" w:rsidP="00DF3D49">
            <w:pPr>
              <w:pStyle w:val="TableText"/>
              <w:keepNext/>
            </w:pPr>
            <w:r w:rsidRPr="005F5BEA">
              <w:t>No</w:t>
            </w:r>
          </w:p>
        </w:tc>
      </w:tr>
      <w:tr w:rsidR="00C83B6E" w:rsidRPr="005F5BEA" w14:paraId="7E17B486" w14:textId="77777777" w:rsidTr="00DF3D49">
        <w:trPr>
          <w:trHeight w:val="345"/>
        </w:trPr>
        <w:tc>
          <w:tcPr>
            <w:tcW w:w="644" w:type="pct"/>
          </w:tcPr>
          <w:p w14:paraId="098E5FC8" w14:textId="77777777" w:rsidR="00C83B6E" w:rsidRPr="005F5BEA" w:rsidRDefault="00C83B6E" w:rsidP="00DF3D49">
            <w:pPr>
              <w:pStyle w:val="TableText"/>
              <w:keepNext/>
            </w:pPr>
            <w:r w:rsidRPr="005F5BEA">
              <w:t>Finland</w:t>
            </w:r>
          </w:p>
        </w:tc>
        <w:tc>
          <w:tcPr>
            <w:tcW w:w="1161" w:type="pct"/>
            <w:vAlign w:val="top"/>
          </w:tcPr>
          <w:p w14:paraId="35FD3161" w14:textId="77777777" w:rsidR="00C83B6E" w:rsidRPr="005F5BEA" w:rsidRDefault="00C83B6E" w:rsidP="00DF3D49">
            <w:pPr>
              <w:pStyle w:val="TableText"/>
              <w:keepNext/>
            </w:pPr>
            <w:r w:rsidRPr="005F5BEA">
              <w:t>Yes</w:t>
            </w:r>
          </w:p>
        </w:tc>
        <w:tc>
          <w:tcPr>
            <w:tcW w:w="1406" w:type="pct"/>
            <w:vAlign w:val="top"/>
          </w:tcPr>
          <w:p w14:paraId="4D5C3925" w14:textId="77777777" w:rsidR="00C83B6E" w:rsidRPr="005F5BEA" w:rsidRDefault="00C83B6E" w:rsidP="00DF3D49">
            <w:pPr>
              <w:pStyle w:val="TableText"/>
              <w:keepNext/>
            </w:pPr>
            <w:r w:rsidRPr="005F5BEA">
              <w:t>Yes</w:t>
            </w:r>
          </w:p>
        </w:tc>
        <w:tc>
          <w:tcPr>
            <w:tcW w:w="894" w:type="pct"/>
          </w:tcPr>
          <w:p w14:paraId="66091149" w14:textId="77777777" w:rsidR="00C83B6E" w:rsidRPr="005F5BEA" w:rsidRDefault="00C83B6E" w:rsidP="00DF3D49">
            <w:pPr>
              <w:pStyle w:val="TableText"/>
              <w:keepNext/>
            </w:pPr>
            <w:r w:rsidRPr="005F5BEA">
              <w:t>Yes</w:t>
            </w:r>
          </w:p>
        </w:tc>
        <w:tc>
          <w:tcPr>
            <w:tcW w:w="894" w:type="pct"/>
            <w:vAlign w:val="top"/>
          </w:tcPr>
          <w:p w14:paraId="04E91D5A" w14:textId="77777777" w:rsidR="00C83B6E" w:rsidRPr="005F5BEA" w:rsidRDefault="00C83B6E" w:rsidP="00DF3D49">
            <w:pPr>
              <w:pStyle w:val="TableText"/>
              <w:keepNext/>
            </w:pPr>
            <w:r w:rsidRPr="005F5BEA">
              <w:t>No</w:t>
            </w:r>
          </w:p>
        </w:tc>
      </w:tr>
      <w:tr w:rsidR="00C83B6E" w:rsidRPr="005F5BEA" w14:paraId="3AB9A42B" w14:textId="77777777" w:rsidTr="00DF3D49">
        <w:trPr>
          <w:trHeight w:val="270"/>
        </w:trPr>
        <w:tc>
          <w:tcPr>
            <w:tcW w:w="644" w:type="pct"/>
          </w:tcPr>
          <w:p w14:paraId="6E7566AC" w14:textId="77777777" w:rsidR="00C83B6E" w:rsidRPr="005F5BEA" w:rsidRDefault="00C83B6E" w:rsidP="00DF3D49">
            <w:pPr>
              <w:pStyle w:val="TableText"/>
              <w:keepNext/>
            </w:pPr>
            <w:r w:rsidRPr="005F5BEA">
              <w:t>France</w:t>
            </w:r>
          </w:p>
        </w:tc>
        <w:tc>
          <w:tcPr>
            <w:tcW w:w="1161" w:type="pct"/>
            <w:vAlign w:val="top"/>
          </w:tcPr>
          <w:p w14:paraId="28F0C734" w14:textId="77777777" w:rsidR="00C83B6E" w:rsidRPr="005F5BEA" w:rsidRDefault="00C83B6E" w:rsidP="00DF3D49">
            <w:pPr>
              <w:pStyle w:val="TableText"/>
              <w:keepNext/>
            </w:pPr>
            <w:r w:rsidRPr="005F5BEA">
              <w:t>Yes</w:t>
            </w:r>
          </w:p>
        </w:tc>
        <w:tc>
          <w:tcPr>
            <w:tcW w:w="1406" w:type="pct"/>
            <w:vAlign w:val="top"/>
          </w:tcPr>
          <w:p w14:paraId="3816CCF7" w14:textId="77777777" w:rsidR="00C83B6E" w:rsidRPr="005F5BEA" w:rsidRDefault="00C83B6E" w:rsidP="00DF3D49">
            <w:pPr>
              <w:pStyle w:val="TableText"/>
              <w:keepNext/>
            </w:pPr>
            <w:r w:rsidRPr="005F5BEA">
              <w:t>Yes</w:t>
            </w:r>
          </w:p>
        </w:tc>
        <w:tc>
          <w:tcPr>
            <w:tcW w:w="894" w:type="pct"/>
          </w:tcPr>
          <w:p w14:paraId="5DC1E69C" w14:textId="77777777" w:rsidR="00C83B6E" w:rsidRPr="005F5BEA" w:rsidRDefault="00C83B6E" w:rsidP="00DF3D49">
            <w:pPr>
              <w:pStyle w:val="TableText"/>
              <w:keepNext/>
            </w:pPr>
            <w:proofErr w:type="gramStart"/>
            <w:r w:rsidRPr="005F5BEA">
              <w:t>Yes</w:t>
            </w:r>
            <w:proofErr w:type="gramEnd"/>
            <w:r w:rsidRPr="005F5BEA">
              <w:t xml:space="preserve"> for some health insurance</w:t>
            </w:r>
          </w:p>
        </w:tc>
        <w:tc>
          <w:tcPr>
            <w:tcW w:w="894" w:type="pct"/>
            <w:vAlign w:val="top"/>
          </w:tcPr>
          <w:p w14:paraId="72B8E86D" w14:textId="77777777" w:rsidR="00C83B6E" w:rsidRPr="005F5BEA" w:rsidRDefault="00C83B6E" w:rsidP="00DF3D49">
            <w:pPr>
              <w:pStyle w:val="TableText"/>
              <w:keepNext/>
            </w:pPr>
            <w:r w:rsidRPr="005F5BEA">
              <w:t>No</w:t>
            </w:r>
          </w:p>
        </w:tc>
      </w:tr>
      <w:tr w:rsidR="00C83B6E" w:rsidRPr="005F5BEA" w14:paraId="74276ECC" w14:textId="77777777" w:rsidTr="00DF3D49">
        <w:trPr>
          <w:trHeight w:val="240"/>
        </w:trPr>
        <w:tc>
          <w:tcPr>
            <w:tcW w:w="644" w:type="pct"/>
          </w:tcPr>
          <w:p w14:paraId="7EDBE826" w14:textId="77777777" w:rsidR="00C83B6E" w:rsidRPr="005F5BEA" w:rsidRDefault="00C83B6E" w:rsidP="00DF3D49">
            <w:pPr>
              <w:pStyle w:val="TableText"/>
              <w:keepNext/>
            </w:pPr>
            <w:r w:rsidRPr="005F5BEA">
              <w:t>Hungary</w:t>
            </w:r>
          </w:p>
        </w:tc>
        <w:tc>
          <w:tcPr>
            <w:tcW w:w="1161" w:type="pct"/>
            <w:vAlign w:val="top"/>
          </w:tcPr>
          <w:p w14:paraId="5565F489" w14:textId="77777777" w:rsidR="00C83B6E" w:rsidRPr="005F5BEA" w:rsidRDefault="00C83B6E" w:rsidP="00DF3D49">
            <w:pPr>
              <w:pStyle w:val="TableText"/>
              <w:keepNext/>
            </w:pPr>
            <w:r w:rsidRPr="005F5BEA">
              <w:t>Yes</w:t>
            </w:r>
          </w:p>
        </w:tc>
        <w:tc>
          <w:tcPr>
            <w:tcW w:w="1406" w:type="pct"/>
            <w:vAlign w:val="top"/>
          </w:tcPr>
          <w:p w14:paraId="436319FD" w14:textId="77777777" w:rsidR="00C83B6E" w:rsidRPr="005F5BEA" w:rsidRDefault="00C83B6E" w:rsidP="00DF3D49">
            <w:pPr>
              <w:pStyle w:val="TableText"/>
              <w:keepNext/>
            </w:pPr>
            <w:r w:rsidRPr="005F5BEA">
              <w:t>Yes</w:t>
            </w:r>
          </w:p>
        </w:tc>
        <w:tc>
          <w:tcPr>
            <w:tcW w:w="894" w:type="pct"/>
          </w:tcPr>
          <w:p w14:paraId="4BE8E02B" w14:textId="77777777" w:rsidR="00C83B6E" w:rsidRPr="005F5BEA" w:rsidRDefault="00C83B6E" w:rsidP="00DF3D49">
            <w:pPr>
              <w:pStyle w:val="TableText"/>
              <w:keepNext/>
            </w:pPr>
            <w:r w:rsidRPr="005F5BEA">
              <w:t>No</w:t>
            </w:r>
          </w:p>
        </w:tc>
        <w:tc>
          <w:tcPr>
            <w:tcW w:w="894" w:type="pct"/>
            <w:vAlign w:val="top"/>
          </w:tcPr>
          <w:p w14:paraId="3FECA29E" w14:textId="77777777" w:rsidR="00C83B6E" w:rsidRPr="005F5BEA" w:rsidRDefault="00C83B6E" w:rsidP="00DF3D49">
            <w:pPr>
              <w:pStyle w:val="TableText"/>
              <w:keepNext/>
            </w:pPr>
            <w:r w:rsidRPr="005F5BEA">
              <w:t>No</w:t>
            </w:r>
          </w:p>
        </w:tc>
      </w:tr>
      <w:tr w:rsidR="00C83B6E" w:rsidRPr="005F5BEA" w14:paraId="2FAACA88" w14:textId="77777777" w:rsidTr="00DF3D49">
        <w:trPr>
          <w:trHeight w:val="165"/>
        </w:trPr>
        <w:tc>
          <w:tcPr>
            <w:tcW w:w="644" w:type="pct"/>
          </w:tcPr>
          <w:p w14:paraId="27D27B6D" w14:textId="77777777" w:rsidR="00C83B6E" w:rsidRPr="005F5BEA" w:rsidRDefault="00C83B6E" w:rsidP="00DF3D49">
            <w:pPr>
              <w:pStyle w:val="TableText"/>
              <w:keepNext/>
            </w:pPr>
            <w:r w:rsidRPr="005F5BEA">
              <w:t>Italy</w:t>
            </w:r>
          </w:p>
        </w:tc>
        <w:tc>
          <w:tcPr>
            <w:tcW w:w="1161" w:type="pct"/>
            <w:vAlign w:val="top"/>
          </w:tcPr>
          <w:p w14:paraId="50D5CD0D" w14:textId="77777777" w:rsidR="00C83B6E" w:rsidRPr="005F5BEA" w:rsidRDefault="00C83B6E" w:rsidP="00DF3D49">
            <w:pPr>
              <w:pStyle w:val="TableText"/>
              <w:keepNext/>
            </w:pPr>
            <w:r w:rsidRPr="005F5BEA">
              <w:t>Yes</w:t>
            </w:r>
          </w:p>
        </w:tc>
        <w:tc>
          <w:tcPr>
            <w:tcW w:w="1406" w:type="pct"/>
            <w:vAlign w:val="top"/>
          </w:tcPr>
          <w:p w14:paraId="35285E5D" w14:textId="77777777" w:rsidR="00C83B6E" w:rsidRPr="005F5BEA" w:rsidRDefault="00C83B6E" w:rsidP="00DF3D49">
            <w:pPr>
              <w:pStyle w:val="TableText"/>
              <w:keepNext/>
            </w:pPr>
            <w:r w:rsidRPr="005F5BEA">
              <w:t>Yes (in 10/20 regional health services)</w:t>
            </w:r>
          </w:p>
        </w:tc>
        <w:tc>
          <w:tcPr>
            <w:tcW w:w="894" w:type="pct"/>
          </w:tcPr>
          <w:p w14:paraId="68B8EC2D" w14:textId="77777777" w:rsidR="00C83B6E" w:rsidRPr="005F5BEA" w:rsidRDefault="00C83B6E" w:rsidP="00DF3D49">
            <w:pPr>
              <w:pStyle w:val="TableText"/>
              <w:keepNext/>
            </w:pPr>
            <w:r w:rsidRPr="005F5BEA">
              <w:t>No</w:t>
            </w:r>
          </w:p>
        </w:tc>
        <w:tc>
          <w:tcPr>
            <w:tcW w:w="894" w:type="pct"/>
            <w:vAlign w:val="top"/>
          </w:tcPr>
          <w:p w14:paraId="194964C0" w14:textId="77777777" w:rsidR="00C83B6E" w:rsidRPr="005F5BEA" w:rsidRDefault="00C83B6E" w:rsidP="00DF3D49">
            <w:pPr>
              <w:pStyle w:val="TableText"/>
              <w:keepNext/>
            </w:pPr>
            <w:r w:rsidRPr="005F5BEA">
              <w:t>No</w:t>
            </w:r>
          </w:p>
        </w:tc>
      </w:tr>
      <w:tr w:rsidR="00C83B6E" w:rsidRPr="005F5BEA" w14:paraId="22772D5A" w14:textId="77777777" w:rsidTr="00DF3D49">
        <w:tblPrEx>
          <w:tblLook w:val="04A0" w:firstRow="1" w:lastRow="0" w:firstColumn="1" w:lastColumn="0" w:noHBand="0" w:noVBand="1"/>
        </w:tblPrEx>
        <w:trPr>
          <w:trHeight w:val="240"/>
        </w:trPr>
        <w:tc>
          <w:tcPr>
            <w:tcW w:w="644" w:type="pct"/>
          </w:tcPr>
          <w:p w14:paraId="46288066" w14:textId="77777777" w:rsidR="00C83B6E" w:rsidRPr="005F5BEA" w:rsidRDefault="00C83B6E" w:rsidP="00DF3D49">
            <w:pPr>
              <w:pStyle w:val="TableText"/>
              <w:keepNext/>
            </w:pPr>
            <w:r w:rsidRPr="005F5BEA">
              <w:t>Norway</w:t>
            </w:r>
          </w:p>
        </w:tc>
        <w:tc>
          <w:tcPr>
            <w:tcW w:w="1161" w:type="pct"/>
          </w:tcPr>
          <w:p w14:paraId="1AD29D5A" w14:textId="77777777" w:rsidR="00C83B6E" w:rsidRPr="005F5BEA" w:rsidRDefault="00C83B6E" w:rsidP="00DF3D49">
            <w:pPr>
              <w:pStyle w:val="TableText"/>
              <w:keepNext/>
            </w:pPr>
            <w:r w:rsidRPr="005F5BEA">
              <w:t>Yes</w:t>
            </w:r>
          </w:p>
        </w:tc>
        <w:tc>
          <w:tcPr>
            <w:tcW w:w="1406" w:type="pct"/>
          </w:tcPr>
          <w:p w14:paraId="1CEB4670" w14:textId="77777777" w:rsidR="00C83B6E" w:rsidRPr="005F5BEA" w:rsidRDefault="00C83B6E" w:rsidP="00DF3D49">
            <w:pPr>
              <w:pStyle w:val="TableText"/>
              <w:keepNext/>
            </w:pPr>
            <w:r w:rsidRPr="005F5BEA">
              <w:t>Yes</w:t>
            </w:r>
          </w:p>
        </w:tc>
        <w:tc>
          <w:tcPr>
            <w:tcW w:w="894" w:type="pct"/>
          </w:tcPr>
          <w:p w14:paraId="08F9E7C5" w14:textId="77777777" w:rsidR="00C83B6E" w:rsidRPr="005F5BEA" w:rsidRDefault="00C83B6E" w:rsidP="00DF3D49">
            <w:pPr>
              <w:pStyle w:val="TableText"/>
              <w:keepNext/>
            </w:pPr>
            <w:r w:rsidRPr="005F5BEA">
              <w:t>No</w:t>
            </w:r>
          </w:p>
        </w:tc>
        <w:tc>
          <w:tcPr>
            <w:tcW w:w="894" w:type="pct"/>
          </w:tcPr>
          <w:p w14:paraId="763D2311" w14:textId="77777777" w:rsidR="00C83B6E" w:rsidRPr="005F5BEA" w:rsidRDefault="00C83B6E" w:rsidP="00DF3D49">
            <w:pPr>
              <w:pStyle w:val="TableText"/>
              <w:keepNext/>
            </w:pPr>
            <w:r w:rsidRPr="005F5BEA">
              <w:t>No</w:t>
            </w:r>
          </w:p>
        </w:tc>
      </w:tr>
      <w:tr w:rsidR="00C83B6E" w:rsidRPr="005F5BEA" w14:paraId="1A746C1C" w14:textId="77777777" w:rsidTr="00DF3D49">
        <w:tblPrEx>
          <w:tblLook w:val="04A0" w:firstRow="1" w:lastRow="0" w:firstColumn="1" w:lastColumn="0" w:noHBand="0" w:noVBand="1"/>
        </w:tblPrEx>
        <w:trPr>
          <w:trHeight w:val="315"/>
        </w:trPr>
        <w:tc>
          <w:tcPr>
            <w:tcW w:w="644" w:type="pct"/>
          </w:tcPr>
          <w:p w14:paraId="51139802" w14:textId="77777777" w:rsidR="00C83B6E" w:rsidRPr="005F5BEA" w:rsidRDefault="00C83B6E" w:rsidP="00DF3D49">
            <w:pPr>
              <w:pStyle w:val="TableText"/>
              <w:keepNext/>
            </w:pPr>
            <w:r w:rsidRPr="005F5BEA">
              <w:t>Poland</w:t>
            </w:r>
          </w:p>
        </w:tc>
        <w:tc>
          <w:tcPr>
            <w:tcW w:w="1161" w:type="pct"/>
          </w:tcPr>
          <w:p w14:paraId="77BB550C" w14:textId="77777777" w:rsidR="00C83B6E" w:rsidRPr="005F5BEA" w:rsidRDefault="00C83B6E" w:rsidP="00DF3D49">
            <w:pPr>
              <w:pStyle w:val="TableText"/>
              <w:keepNext/>
            </w:pPr>
            <w:r w:rsidRPr="005F5BEA">
              <w:t>No</w:t>
            </w:r>
          </w:p>
        </w:tc>
        <w:tc>
          <w:tcPr>
            <w:tcW w:w="1406" w:type="pct"/>
          </w:tcPr>
          <w:p w14:paraId="68BAA2C5" w14:textId="77777777" w:rsidR="00C83B6E" w:rsidRPr="005F5BEA" w:rsidRDefault="00C83B6E" w:rsidP="00DF3D49">
            <w:pPr>
              <w:pStyle w:val="TableText"/>
              <w:keepNext/>
            </w:pPr>
            <w:r w:rsidRPr="005F5BEA">
              <w:t>No</w:t>
            </w:r>
          </w:p>
        </w:tc>
        <w:tc>
          <w:tcPr>
            <w:tcW w:w="894" w:type="pct"/>
          </w:tcPr>
          <w:p w14:paraId="5B0351AE" w14:textId="77777777" w:rsidR="00C83B6E" w:rsidRPr="005F5BEA" w:rsidRDefault="00C83B6E" w:rsidP="00DF3D49">
            <w:pPr>
              <w:pStyle w:val="TableText"/>
              <w:keepNext/>
            </w:pPr>
            <w:r w:rsidRPr="005F5BEA">
              <w:t>No</w:t>
            </w:r>
          </w:p>
        </w:tc>
        <w:tc>
          <w:tcPr>
            <w:tcW w:w="894" w:type="pct"/>
          </w:tcPr>
          <w:p w14:paraId="2961728E" w14:textId="77777777" w:rsidR="00C83B6E" w:rsidRPr="005F5BEA" w:rsidRDefault="00C83B6E" w:rsidP="00DF3D49">
            <w:pPr>
              <w:pStyle w:val="TableText"/>
              <w:keepNext/>
            </w:pPr>
            <w:r w:rsidRPr="005F5BEA">
              <w:t>No</w:t>
            </w:r>
          </w:p>
        </w:tc>
      </w:tr>
      <w:tr w:rsidR="00C83B6E" w:rsidRPr="005F5BEA" w14:paraId="4988C588" w14:textId="77777777" w:rsidTr="00DF3D49">
        <w:tblPrEx>
          <w:tblLook w:val="04A0" w:firstRow="1" w:lastRow="0" w:firstColumn="1" w:lastColumn="0" w:noHBand="0" w:noVBand="1"/>
        </w:tblPrEx>
        <w:trPr>
          <w:trHeight w:val="345"/>
        </w:trPr>
        <w:tc>
          <w:tcPr>
            <w:tcW w:w="644" w:type="pct"/>
          </w:tcPr>
          <w:p w14:paraId="7F641C53" w14:textId="77777777" w:rsidR="00C83B6E" w:rsidRPr="005F5BEA" w:rsidRDefault="00C83B6E" w:rsidP="00DF3D49">
            <w:pPr>
              <w:pStyle w:val="TableText"/>
              <w:keepNext/>
            </w:pPr>
            <w:r w:rsidRPr="005F5BEA">
              <w:t>Portugal</w:t>
            </w:r>
          </w:p>
        </w:tc>
        <w:tc>
          <w:tcPr>
            <w:tcW w:w="1161" w:type="pct"/>
          </w:tcPr>
          <w:p w14:paraId="3E9F9829" w14:textId="77777777" w:rsidR="00C83B6E" w:rsidRPr="005F5BEA" w:rsidRDefault="00C83B6E" w:rsidP="00DF3D49">
            <w:pPr>
              <w:pStyle w:val="TableText"/>
              <w:keepNext/>
            </w:pPr>
            <w:r w:rsidRPr="005F5BEA">
              <w:t>Yes</w:t>
            </w:r>
          </w:p>
        </w:tc>
        <w:tc>
          <w:tcPr>
            <w:tcW w:w="1406" w:type="pct"/>
          </w:tcPr>
          <w:p w14:paraId="0B9D280D" w14:textId="77777777" w:rsidR="00C83B6E" w:rsidRPr="005F5BEA" w:rsidRDefault="00C83B6E" w:rsidP="00DF3D49">
            <w:pPr>
              <w:pStyle w:val="TableText"/>
              <w:keepNext/>
            </w:pPr>
            <w:r w:rsidRPr="005F5BEA">
              <w:t>Yes</w:t>
            </w:r>
          </w:p>
        </w:tc>
        <w:tc>
          <w:tcPr>
            <w:tcW w:w="894" w:type="pct"/>
          </w:tcPr>
          <w:p w14:paraId="27163552" w14:textId="77777777" w:rsidR="00C83B6E" w:rsidRPr="005F5BEA" w:rsidRDefault="00C83B6E" w:rsidP="00DF3D49">
            <w:pPr>
              <w:pStyle w:val="TableText"/>
              <w:keepNext/>
            </w:pPr>
            <w:r w:rsidRPr="005F5BEA">
              <w:t>No</w:t>
            </w:r>
          </w:p>
        </w:tc>
        <w:tc>
          <w:tcPr>
            <w:tcW w:w="894" w:type="pct"/>
          </w:tcPr>
          <w:p w14:paraId="1A083FEA" w14:textId="77777777" w:rsidR="00C83B6E" w:rsidRPr="005F5BEA" w:rsidRDefault="00C83B6E" w:rsidP="00DF3D49">
            <w:pPr>
              <w:pStyle w:val="TableText"/>
              <w:keepNext/>
            </w:pPr>
            <w:r w:rsidRPr="005F5BEA">
              <w:t>Yes</w:t>
            </w:r>
          </w:p>
        </w:tc>
      </w:tr>
      <w:tr w:rsidR="00C83B6E" w:rsidRPr="005F5BEA" w14:paraId="012D214C" w14:textId="77777777" w:rsidTr="00DF3D49">
        <w:tblPrEx>
          <w:tblLook w:val="04A0" w:firstRow="1" w:lastRow="0" w:firstColumn="1" w:lastColumn="0" w:noHBand="0" w:noVBand="1"/>
        </w:tblPrEx>
        <w:trPr>
          <w:trHeight w:val="270"/>
        </w:trPr>
        <w:tc>
          <w:tcPr>
            <w:tcW w:w="644" w:type="pct"/>
          </w:tcPr>
          <w:p w14:paraId="1F0EBDDD" w14:textId="77777777" w:rsidR="00C83B6E" w:rsidRPr="005F5BEA" w:rsidRDefault="00C83B6E" w:rsidP="00DF3D49">
            <w:pPr>
              <w:pStyle w:val="TableText"/>
              <w:keepNext/>
            </w:pPr>
            <w:r w:rsidRPr="005F5BEA">
              <w:t xml:space="preserve">Russia </w:t>
            </w:r>
          </w:p>
        </w:tc>
        <w:tc>
          <w:tcPr>
            <w:tcW w:w="1161" w:type="pct"/>
          </w:tcPr>
          <w:p w14:paraId="13967764" w14:textId="77777777" w:rsidR="00C83B6E" w:rsidRPr="005F5BEA" w:rsidRDefault="00C83B6E" w:rsidP="00DF3D49">
            <w:pPr>
              <w:pStyle w:val="TableText"/>
              <w:keepNext/>
            </w:pPr>
            <w:r w:rsidRPr="005F5BEA">
              <w:t>No</w:t>
            </w:r>
          </w:p>
        </w:tc>
        <w:tc>
          <w:tcPr>
            <w:tcW w:w="1406" w:type="pct"/>
          </w:tcPr>
          <w:p w14:paraId="0E6F0256" w14:textId="77777777" w:rsidR="00C83B6E" w:rsidRPr="005F5BEA" w:rsidRDefault="00C83B6E" w:rsidP="00DF3D49">
            <w:pPr>
              <w:pStyle w:val="TableText"/>
              <w:keepNext/>
            </w:pPr>
            <w:r w:rsidRPr="005F5BEA">
              <w:t>No</w:t>
            </w:r>
          </w:p>
        </w:tc>
        <w:tc>
          <w:tcPr>
            <w:tcW w:w="894" w:type="pct"/>
          </w:tcPr>
          <w:p w14:paraId="53B949E6" w14:textId="77777777" w:rsidR="00C83B6E" w:rsidRPr="005F5BEA" w:rsidRDefault="00C83B6E" w:rsidP="00DF3D49">
            <w:pPr>
              <w:pStyle w:val="TableText"/>
              <w:keepNext/>
            </w:pPr>
            <w:r w:rsidRPr="005F5BEA">
              <w:t>No</w:t>
            </w:r>
          </w:p>
        </w:tc>
        <w:tc>
          <w:tcPr>
            <w:tcW w:w="894" w:type="pct"/>
          </w:tcPr>
          <w:p w14:paraId="0654E04A" w14:textId="77777777" w:rsidR="00C83B6E" w:rsidRPr="005F5BEA" w:rsidRDefault="00C83B6E" w:rsidP="00DF3D49">
            <w:pPr>
              <w:pStyle w:val="TableText"/>
              <w:keepNext/>
            </w:pPr>
            <w:r w:rsidRPr="005F5BEA">
              <w:t>No</w:t>
            </w:r>
          </w:p>
        </w:tc>
      </w:tr>
      <w:tr w:rsidR="00C83B6E" w:rsidRPr="005F5BEA" w14:paraId="19400791" w14:textId="77777777" w:rsidTr="00DF3D49">
        <w:tblPrEx>
          <w:tblLook w:val="04A0" w:firstRow="1" w:lastRow="0" w:firstColumn="1" w:lastColumn="0" w:noHBand="0" w:noVBand="1"/>
        </w:tblPrEx>
        <w:trPr>
          <w:trHeight w:val="240"/>
        </w:trPr>
        <w:tc>
          <w:tcPr>
            <w:tcW w:w="644" w:type="pct"/>
          </w:tcPr>
          <w:p w14:paraId="3B630CBE" w14:textId="77777777" w:rsidR="00C83B6E" w:rsidRPr="005F5BEA" w:rsidRDefault="00C83B6E" w:rsidP="00DF3D49">
            <w:pPr>
              <w:pStyle w:val="TableText"/>
              <w:keepNext/>
            </w:pPr>
            <w:r w:rsidRPr="005F5BEA">
              <w:t>Slovakia</w:t>
            </w:r>
          </w:p>
        </w:tc>
        <w:tc>
          <w:tcPr>
            <w:tcW w:w="1161" w:type="pct"/>
          </w:tcPr>
          <w:p w14:paraId="61ECAE56" w14:textId="77777777" w:rsidR="00C83B6E" w:rsidRPr="005F5BEA" w:rsidRDefault="00C83B6E" w:rsidP="00DF3D49">
            <w:pPr>
              <w:pStyle w:val="TableText"/>
              <w:keepNext/>
            </w:pPr>
            <w:r w:rsidRPr="005F5BEA">
              <w:t>No</w:t>
            </w:r>
          </w:p>
        </w:tc>
        <w:tc>
          <w:tcPr>
            <w:tcW w:w="1406" w:type="pct"/>
          </w:tcPr>
          <w:p w14:paraId="4FE91253" w14:textId="77777777" w:rsidR="00C83B6E" w:rsidRPr="005F5BEA" w:rsidRDefault="00C83B6E" w:rsidP="00DF3D49">
            <w:pPr>
              <w:pStyle w:val="TableText"/>
              <w:keepNext/>
            </w:pPr>
            <w:r w:rsidRPr="005F5BEA">
              <w:t>No</w:t>
            </w:r>
          </w:p>
        </w:tc>
        <w:tc>
          <w:tcPr>
            <w:tcW w:w="894" w:type="pct"/>
          </w:tcPr>
          <w:p w14:paraId="3B70E85F" w14:textId="77777777" w:rsidR="00C83B6E" w:rsidRPr="005F5BEA" w:rsidRDefault="00C83B6E" w:rsidP="00DF3D49">
            <w:pPr>
              <w:pStyle w:val="TableText"/>
              <w:keepNext/>
            </w:pPr>
            <w:r w:rsidRPr="005F5BEA">
              <w:t>No</w:t>
            </w:r>
          </w:p>
        </w:tc>
        <w:tc>
          <w:tcPr>
            <w:tcW w:w="894" w:type="pct"/>
          </w:tcPr>
          <w:p w14:paraId="758F65C4" w14:textId="77777777" w:rsidR="00C83B6E" w:rsidRPr="005F5BEA" w:rsidRDefault="00C83B6E" w:rsidP="00DF3D49">
            <w:pPr>
              <w:pStyle w:val="TableText"/>
              <w:keepNext/>
            </w:pPr>
            <w:r w:rsidRPr="005F5BEA">
              <w:t>No</w:t>
            </w:r>
          </w:p>
        </w:tc>
      </w:tr>
      <w:tr w:rsidR="00C83B6E" w:rsidRPr="005F5BEA" w14:paraId="2346D329" w14:textId="77777777" w:rsidTr="00DF3D49">
        <w:tblPrEx>
          <w:tblLook w:val="04A0" w:firstRow="1" w:lastRow="0" w:firstColumn="1" w:lastColumn="0" w:noHBand="0" w:noVBand="1"/>
        </w:tblPrEx>
        <w:trPr>
          <w:trHeight w:val="165"/>
        </w:trPr>
        <w:tc>
          <w:tcPr>
            <w:tcW w:w="644" w:type="pct"/>
          </w:tcPr>
          <w:p w14:paraId="486F06CA" w14:textId="77777777" w:rsidR="00C83B6E" w:rsidRPr="005F5BEA" w:rsidRDefault="00C83B6E" w:rsidP="00DF3D49">
            <w:pPr>
              <w:pStyle w:val="TableText"/>
              <w:keepNext/>
            </w:pPr>
            <w:r w:rsidRPr="005F5BEA">
              <w:t>Spain</w:t>
            </w:r>
          </w:p>
        </w:tc>
        <w:tc>
          <w:tcPr>
            <w:tcW w:w="1161" w:type="pct"/>
          </w:tcPr>
          <w:p w14:paraId="6664474D" w14:textId="77777777" w:rsidR="00C83B6E" w:rsidRPr="005F5BEA" w:rsidRDefault="00C83B6E" w:rsidP="00DF3D49">
            <w:pPr>
              <w:pStyle w:val="TableText"/>
              <w:keepNext/>
            </w:pPr>
            <w:r w:rsidRPr="005F5BEA">
              <w:t>Funded, no tariff</w:t>
            </w:r>
          </w:p>
        </w:tc>
        <w:tc>
          <w:tcPr>
            <w:tcW w:w="1406" w:type="pct"/>
          </w:tcPr>
          <w:p w14:paraId="30103F99" w14:textId="77777777" w:rsidR="00C83B6E" w:rsidRPr="005F5BEA" w:rsidRDefault="00C83B6E" w:rsidP="00DF3D49">
            <w:pPr>
              <w:pStyle w:val="TableText"/>
              <w:keepNext/>
            </w:pPr>
            <w:r w:rsidRPr="005F5BEA">
              <w:t>Funded, no tariff</w:t>
            </w:r>
          </w:p>
        </w:tc>
        <w:tc>
          <w:tcPr>
            <w:tcW w:w="894" w:type="pct"/>
          </w:tcPr>
          <w:p w14:paraId="7A649643" w14:textId="77777777" w:rsidR="00C83B6E" w:rsidRPr="005F5BEA" w:rsidRDefault="00C83B6E" w:rsidP="00DF3D49">
            <w:pPr>
              <w:pStyle w:val="TableText"/>
              <w:keepNext/>
            </w:pPr>
            <w:r w:rsidRPr="005F5BEA">
              <w:t>N/A</w:t>
            </w:r>
          </w:p>
        </w:tc>
        <w:tc>
          <w:tcPr>
            <w:tcW w:w="894" w:type="pct"/>
          </w:tcPr>
          <w:p w14:paraId="7FE585B1" w14:textId="77777777" w:rsidR="00C83B6E" w:rsidRPr="005F5BEA" w:rsidRDefault="00C83B6E" w:rsidP="00DF3D49">
            <w:pPr>
              <w:pStyle w:val="TableText"/>
              <w:keepNext/>
            </w:pPr>
            <w:r w:rsidRPr="005F5BEA">
              <w:t>No</w:t>
            </w:r>
          </w:p>
        </w:tc>
      </w:tr>
      <w:tr w:rsidR="00C83B6E" w:rsidRPr="005F5BEA" w14:paraId="548E9DCA" w14:textId="77777777" w:rsidTr="00DF3D49">
        <w:tblPrEx>
          <w:tblLook w:val="04A0" w:firstRow="1" w:lastRow="0" w:firstColumn="1" w:lastColumn="0" w:noHBand="0" w:noVBand="1"/>
        </w:tblPrEx>
        <w:trPr>
          <w:trHeight w:val="165"/>
        </w:trPr>
        <w:tc>
          <w:tcPr>
            <w:tcW w:w="0" w:type="pct"/>
          </w:tcPr>
          <w:p w14:paraId="6F1F891C" w14:textId="77777777" w:rsidR="00C83B6E" w:rsidRPr="005F5BEA" w:rsidRDefault="00C83B6E" w:rsidP="00DF3D49">
            <w:pPr>
              <w:pStyle w:val="TableText"/>
              <w:keepNext/>
            </w:pPr>
            <w:r w:rsidRPr="005F5BEA">
              <w:t>Sweden</w:t>
            </w:r>
          </w:p>
        </w:tc>
        <w:tc>
          <w:tcPr>
            <w:tcW w:w="1161" w:type="pct"/>
          </w:tcPr>
          <w:p w14:paraId="27DBE05F" w14:textId="77777777" w:rsidR="00C83B6E" w:rsidRPr="005F5BEA" w:rsidRDefault="00C83B6E" w:rsidP="00DF3D49">
            <w:pPr>
              <w:pStyle w:val="TableText"/>
              <w:keepNext/>
            </w:pPr>
            <w:r w:rsidRPr="005F5BEA">
              <w:t>Yes</w:t>
            </w:r>
          </w:p>
        </w:tc>
        <w:tc>
          <w:tcPr>
            <w:tcW w:w="1406" w:type="pct"/>
          </w:tcPr>
          <w:p w14:paraId="393B7740" w14:textId="77777777" w:rsidR="00C83B6E" w:rsidRPr="005F5BEA" w:rsidRDefault="00C83B6E" w:rsidP="00DF3D49">
            <w:pPr>
              <w:pStyle w:val="TableText"/>
              <w:keepNext/>
            </w:pPr>
            <w:r w:rsidRPr="005F5BEA">
              <w:t>Yes</w:t>
            </w:r>
          </w:p>
        </w:tc>
        <w:tc>
          <w:tcPr>
            <w:tcW w:w="0" w:type="pct"/>
          </w:tcPr>
          <w:p w14:paraId="395AAAD1" w14:textId="77777777" w:rsidR="00C83B6E" w:rsidRPr="005F5BEA" w:rsidRDefault="00C83B6E" w:rsidP="00DF3D49">
            <w:pPr>
              <w:pStyle w:val="TableText"/>
              <w:keepNext/>
            </w:pPr>
            <w:r w:rsidRPr="005F5BEA">
              <w:t>No</w:t>
            </w:r>
          </w:p>
        </w:tc>
        <w:tc>
          <w:tcPr>
            <w:tcW w:w="0" w:type="pct"/>
          </w:tcPr>
          <w:p w14:paraId="6657E239" w14:textId="77777777" w:rsidR="00C83B6E" w:rsidRPr="005F5BEA" w:rsidRDefault="00C83B6E" w:rsidP="00DF3D49">
            <w:pPr>
              <w:pStyle w:val="TableText"/>
              <w:keepNext/>
            </w:pPr>
            <w:r w:rsidRPr="005F5BEA">
              <w:t>No</w:t>
            </w:r>
          </w:p>
        </w:tc>
      </w:tr>
      <w:tr w:rsidR="00C83B6E" w:rsidRPr="005F5BEA" w14:paraId="06B0C4BD" w14:textId="77777777" w:rsidTr="00DF3D49">
        <w:tblPrEx>
          <w:tblLook w:val="04A0" w:firstRow="1" w:lastRow="0" w:firstColumn="1" w:lastColumn="0" w:noHBand="0" w:noVBand="1"/>
        </w:tblPrEx>
        <w:trPr>
          <w:trHeight w:val="165"/>
        </w:trPr>
        <w:tc>
          <w:tcPr>
            <w:tcW w:w="0" w:type="pct"/>
          </w:tcPr>
          <w:p w14:paraId="7E483C99" w14:textId="77777777" w:rsidR="00C83B6E" w:rsidRPr="005F5BEA" w:rsidRDefault="00C83B6E" w:rsidP="00DF3D49">
            <w:pPr>
              <w:pStyle w:val="TableText"/>
              <w:keepNext/>
            </w:pPr>
            <w:r w:rsidRPr="005F5BEA">
              <w:t>Switzerland</w:t>
            </w:r>
          </w:p>
        </w:tc>
        <w:tc>
          <w:tcPr>
            <w:tcW w:w="1161" w:type="pct"/>
          </w:tcPr>
          <w:p w14:paraId="3449C134" w14:textId="77777777" w:rsidR="00C83B6E" w:rsidRPr="005F5BEA" w:rsidRDefault="00C83B6E" w:rsidP="00DF3D49">
            <w:pPr>
              <w:pStyle w:val="TableText"/>
              <w:keepNext/>
            </w:pPr>
            <w:r w:rsidRPr="005F5BEA">
              <w:t>Yes</w:t>
            </w:r>
          </w:p>
        </w:tc>
        <w:tc>
          <w:tcPr>
            <w:tcW w:w="1406" w:type="pct"/>
          </w:tcPr>
          <w:p w14:paraId="0C85B90B" w14:textId="77777777" w:rsidR="00C83B6E" w:rsidRPr="005F5BEA" w:rsidRDefault="00C83B6E" w:rsidP="00DF3D49">
            <w:pPr>
              <w:pStyle w:val="TableText"/>
              <w:keepNext/>
            </w:pPr>
            <w:r w:rsidRPr="005F5BEA">
              <w:t>Yes</w:t>
            </w:r>
          </w:p>
        </w:tc>
        <w:tc>
          <w:tcPr>
            <w:tcW w:w="0" w:type="pct"/>
          </w:tcPr>
          <w:p w14:paraId="0118839D" w14:textId="77777777" w:rsidR="00C83B6E" w:rsidRPr="005F5BEA" w:rsidRDefault="00C83B6E" w:rsidP="00DF3D49">
            <w:pPr>
              <w:pStyle w:val="TableText"/>
              <w:keepNext/>
            </w:pPr>
            <w:r w:rsidRPr="005F5BEA">
              <w:t>Yes</w:t>
            </w:r>
          </w:p>
        </w:tc>
        <w:tc>
          <w:tcPr>
            <w:tcW w:w="0" w:type="pct"/>
          </w:tcPr>
          <w:p w14:paraId="247DBC62" w14:textId="77777777" w:rsidR="00C83B6E" w:rsidRPr="005F5BEA" w:rsidRDefault="00C83B6E" w:rsidP="00DF3D49">
            <w:pPr>
              <w:pStyle w:val="TableText"/>
              <w:keepNext/>
            </w:pPr>
            <w:r w:rsidRPr="005F5BEA">
              <w:t>Yes</w:t>
            </w:r>
          </w:p>
        </w:tc>
      </w:tr>
      <w:tr w:rsidR="00C83B6E" w:rsidRPr="005F5BEA" w14:paraId="60D043DF" w14:textId="77777777" w:rsidTr="00DF3D49">
        <w:tblPrEx>
          <w:tblLook w:val="04A0" w:firstRow="1" w:lastRow="0" w:firstColumn="1" w:lastColumn="0" w:noHBand="0" w:noVBand="1"/>
        </w:tblPrEx>
        <w:trPr>
          <w:trHeight w:val="165"/>
        </w:trPr>
        <w:tc>
          <w:tcPr>
            <w:tcW w:w="0" w:type="pct"/>
          </w:tcPr>
          <w:p w14:paraId="46782A10" w14:textId="77777777" w:rsidR="00C83B6E" w:rsidRPr="005F5BEA" w:rsidRDefault="00C83B6E" w:rsidP="00DF3D49">
            <w:pPr>
              <w:pStyle w:val="TableText"/>
              <w:keepNext/>
            </w:pPr>
            <w:r w:rsidRPr="005F5BEA">
              <w:t>The Netherlands</w:t>
            </w:r>
          </w:p>
        </w:tc>
        <w:tc>
          <w:tcPr>
            <w:tcW w:w="1161" w:type="pct"/>
          </w:tcPr>
          <w:p w14:paraId="0AF28E21" w14:textId="77777777" w:rsidR="00C83B6E" w:rsidRPr="005F5BEA" w:rsidRDefault="00C83B6E" w:rsidP="00DF3D49">
            <w:pPr>
              <w:pStyle w:val="TableText"/>
              <w:keepNext/>
            </w:pPr>
            <w:r w:rsidRPr="005F5BEA">
              <w:t>Yes</w:t>
            </w:r>
          </w:p>
        </w:tc>
        <w:tc>
          <w:tcPr>
            <w:tcW w:w="1406" w:type="pct"/>
          </w:tcPr>
          <w:p w14:paraId="16434FC6" w14:textId="77777777" w:rsidR="00C83B6E" w:rsidRPr="005F5BEA" w:rsidRDefault="00C83B6E" w:rsidP="00DF3D49">
            <w:pPr>
              <w:pStyle w:val="TableText"/>
              <w:keepNext/>
            </w:pPr>
            <w:r w:rsidRPr="005F5BEA">
              <w:t>Yes</w:t>
            </w:r>
          </w:p>
        </w:tc>
        <w:tc>
          <w:tcPr>
            <w:tcW w:w="0" w:type="pct"/>
          </w:tcPr>
          <w:p w14:paraId="2F5812DB" w14:textId="77777777" w:rsidR="00C83B6E" w:rsidRPr="005F5BEA" w:rsidRDefault="00C83B6E" w:rsidP="00DF3D49">
            <w:pPr>
              <w:pStyle w:val="TableText"/>
              <w:keepNext/>
            </w:pPr>
            <w:r w:rsidRPr="005F5BEA">
              <w:t>No</w:t>
            </w:r>
          </w:p>
        </w:tc>
        <w:tc>
          <w:tcPr>
            <w:tcW w:w="0" w:type="pct"/>
          </w:tcPr>
          <w:p w14:paraId="60D830AD" w14:textId="77777777" w:rsidR="00C83B6E" w:rsidRPr="005F5BEA" w:rsidRDefault="00C83B6E" w:rsidP="00DF3D49">
            <w:pPr>
              <w:pStyle w:val="TableText"/>
              <w:keepNext/>
            </w:pPr>
            <w:r w:rsidRPr="005F5BEA">
              <w:t>Yes</w:t>
            </w:r>
          </w:p>
        </w:tc>
      </w:tr>
      <w:tr w:rsidR="00C83B6E" w:rsidRPr="005F5BEA" w14:paraId="144E5A7E" w14:textId="77777777" w:rsidTr="00DF3D49">
        <w:tblPrEx>
          <w:tblLook w:val="04A0" w:firstRow="1" w:lastRow="0" w:firstColumn="1" w:lastColumn="0" w:noHBand="0" w:noVBand="1"/>
        </w:tblPrEx>
        <w:trPr>
          <w:trHeight w:val="165"/>
        </w:trPr>
        <w:tc>
          <w:tcPr>
            <w:tcW w:w="0" w:type="pct"/>
          </w:tcPr>
          <w:p w14:paraId="30C8B8D9" w14:textId="77777777" w:rsidR="00C83B6E" w:rsidRPr="005F5BEA" w:rsidRDefault="00C83B6E" w:rsidP="00DF3D49">
            <w:pPr>
              <w:pStyle w:val="TableText"/>
              <w:keepNext/>
            </w:pPr>
            <w:r w:rsidRPr="005F5BEA">
              <w:t>UK</w:t>
            </w:r>
          </w:p>
        </w:tc>
        <w:tc>
          <w:tcPr>
            <w:tcW w:w="1161" w:type="pct"/>
          </w:tcPr>
          <w:p w14:paraId="1F6839D2" w14:textId="77777777" w:rsidR="00C83B6E" w:rsidRPr="005F5BEA" w:rsidRDefault="00C83B6E" w:rsidP="00DF3D49">
            <w:pPr>
              <w:pStyle w:val="TableText"/>
              <w:keepNext/>
            </w:pPr>
            <w:r w:rsidRPr="005F5BEA">
              <w:t>Yes</w:t>
            </w:r>
          </w:p>
        </w:tc>
        <w:tc>
          <w:tcPr>
            <w:tcW w:w="1406" w:type="pct"/>
          </w:tcPr>
          <w:p w14:paraId="7C7EF0B9" w14:textId="77777777" w:rsidR="00C83B6E" w:rsidRPr="005F5BEA" w:rsidRDefault="00C83B6E" w:rsidP="00DF3D49">
            <w:pPr>
              <w:pStyle w:val="TableText"/>
              <w:keepNext/>
            </w:pPr>
            <w:r w:rsidRPr="005F5BEA">
              <w:t>Not at a national level</w:t>
            </w:r>
          </w:p>
        </w:tc>
        <w:tc>
          <w:tcPr>
            <w:tcW w:w="0" w:type="pct"/>
          </w:tcPr>
          <w:p w14:paraId="2CE5D554" w14:textId="77777777" w:rsidR="00C83B6E" w:rsidRPr="005F5BEA" w:rsidRDefault="00C83B6E" w:rsidP="00DF3D49">
            <w:pPr>
              <w:pStyle w:val="TableText"/>
              <w:keepNext/>
            </w:pPr>
            <w:r w:rsidRPr="005F5BEA">
              <w:t>Ordered by NHS Trusts</w:t>
            </w:r>
          </w:p>
        </w:tc>
        <w:tc>
          <w:tcPr>
            <w:tcW w:w="0" w:type="pct"/>
          </w:tcPr>
          <w:p w14:paraId="0835D58E" w14:textId="77777777" w:rsidR="00C83B6E" w:rsidRPr="005F5BEA" w:rsidRDefault="00C83B6E" w:rsidP="00DF3D49">
            <w:pPr>
              <w:pStyle w:val="TableText"/>
              <w:keepNext/>
            </w:pPr>
            <w:r w:rsidRPr="005F5BEA">
              <w:t>No</w:t>
            </w:r>
          </w:p>
        </w:tc>
      </w:tr>
    </w:tbl>
    <w:p w14:paraId="78EC7F52" w14:textId="491705D7" w:rsidR="00C83B6E" w:rsidRPr="005F5BEA" w:rsidRDefault="00C83B6E" w:rsidP="002A189F">
      <w:pPr>
        <w:pStyle w:val="Tablenotes"/>
      </w:pPr>
      <w:r w:rsidRPr="005F5BEA">
        <w:t xml:space="preserve">Source: </w:t>
      </w:r>
      <w:proofErr w:type="spellStart"/>
      <w:r w:rsidRPr="005F5BEA">
        <w:t>Boriani</w:t>
      </w:r>
      <w:proofErr w:type="spellEnd"/>
      <w:r w:rsidRPr="005F5BEA">
        <w:t xml:space="preserve">, G, </w:t>
      </w:r>
      <w:proofErr w:type="spellStart"/>
      <w:r w:rsidRPr="005F5BEA">
        <w:t>Burri</w:t>
      </w:r>
      <w:proofErr w:type="spellEnd"/>
      <w:r w:rsidRPr="005F5BEA">
        <w:t xml:space="preserve">, H, </w:t>
      </w:r>
      <w:proofErr w:type="spellStart"/>
      <w:r w:rsidRPr="005F5BEA">
        <w:t>Svennberg</w:t>
      </w:r>
      <w:proofErr w:type="spellEnd"/>
      <w:r w:rsidRPr="005F5BEA">
        <w:t xml:space="preserve">, E, </w:t>
      </w:r>
      <w:proofErr w:type="spellStart"/>
      <w:r w:rsidRPr="005F5BEA">
        <w:t>Imberti</w:t>
      </w:r>
      <w:proofErr w:type="spellEnd"/>
      <w:r w:rsidRPr="005F5BEA">
        <w:t xml:space="preserve">, JF, Merino, JL &amp; </w:t>
      </w:r>
      <w:proofErr w:type="spellStart"/>
      <w:r w:rsidRPr="005F5BEA">
        <w:t>Leclercq</w:t>
      </w:r>
      <w:proofErr w:type="spellEnd"/>
      <w:r w:rsidRPr="005F5BEA">
        <w:t xml:space="preserve">, C 2022, 'Current status of reimbursement practices for remote monitoring of cardiac implantable electrical devices across Europe', </w:t>
      </w:r>
      <w:proofErr w:type="spellStart"/>
      <w:r w:rsidRPr="005F5BEA">
        <w:rPr>
          <w:i/>
          <w:iCs/>
        </w:rPr>
        <w:t>Europace</w:t>
      </w:r>
      <w:proofErr w:type="spellEnd"/>
      <w:r w:rsidRPr="005F5BEA">
        <w:t>, Jul 29.</w:t>
      </w:r>
    </w:p>
    <w:p w14:paraId="157BF5BC" w14:textId="321083ED" w:rsidR="00C83B6E" w:rsidRPr="005F5BEA" w:rsidRDefault="00C83B6E" w:rsidP="00683B7B">
      <w:pPr>
        <w:pStyle w:val="TableHeading"/>
        <w:keepNext/>
      </w:pPr>
      <w:bookmarkStart w:id="59" w:name="_Ref120543532"/>
      <w:r w:rsidRPr="005F5BEA">
        <w:lastRenderedPageBreak/>
        <w:t xml:space="preserve">Table </w:t>
      </w:r>
      <w:r w:rsidRPr="005F5BEA">
        <w:fldChar w:fldCharType="begin"/>
      </w:r>
      <w:r w:rsidRPr="005F5BEA">
        <w:instrText>SEQ Table \* ARABIC</w:instrText>
      </w:r>
      <w:r w:rsidRPr="005F5BEA">
        <w:fldChar w:fldCharType="separate"/>
      </w:r>
      <w:r w:rsidR="00334548">
        <w:rPr>
          <w:noProof/>
        </w:rPr>
        <w:t>38</w:t>
      </w:r>
      <w:r w:rsidRPr="005F5BEA">
        <w:fldChar w:fldCharType="end"/>
      </w:r>
      <w:bookmarkEnd w:id="59"/>
      <w:r w:rsidRPr="005F5BEA">
        <w:tab/>
        <w:t xml:space="preserve">Details of reimbursement models </w:t>
      </w:r>
    </w:p>
    <w:tbl>
      <w:tblPr>
        <w:tblStyle w:val="MSAC"/>
        <w:tblW w:w="5000" w:type="pct"/>
        <w:tblLook w:val="01E0" w:firstRow="1" w:lastRow="1" w:firstColumn="1" w:lastColumn="1" w:noHBand="0" w:noVBand="0"/>
      </w:tblPr>
      <w:tblGrid>
        <w:gridCol w:w="1159"/>
        <w:gridCol w:w="2238"/>
        <w:gridCol w:w="1985"/>
        <w:gridCol w:w="1670"/>
        <w:gridCol w:w="1964"/>
      </w:tblGrid>
      <w:tr w:rsidR="00C83B6E" w:rsidRPr="005F5BEA" w14:paraId="42F150BC" w14:textId="77777777" w:rsidTr="00683B7B">
        <w:trPr>
          <w:cnfStyle w:val="100000000000" w:firstRow="1" w:lastRow="0" w:firstColumn="0" w:lastColumn="0" w:oddVBand="0" w:evenVBand="0" w:oddHBand="0" w:evenHBand="0" w:firstRowFirstColumn="0" w:firstRowLastColumn="0" w:lastRowFirstColumn="0" w:lastRowLastColumn="0"/>
          <w:trHeight w:val="459"/>
        </w:trPr>
        <w:tc>
          <w:tcPr>
            <w:tcW w:w="643" w:type="pct"/>
            <w:vAlign w:val="top"/>
          </w:tcPr>
          <w:p w14:paraId="4F8EF3A7" w14:textId="77777777" w:rsidR="00C83B6E" w:rsidRPr="005F5BEA" w:rsidRDefault="00C83B6E" w:rsidP="00DF3D49">
            <w:pPr>
              <w:pStyle w:val="Tableheader"/>
              <w:rPr>
                <w:b/>
                <w:color w:val="auto"/>
              </w:rPr>
            </w:pPr>
            <w:r w:rsidRPr="005F5BEA">
              <w:rPr>
                <w:b/>
                <w:color w:val="auto"/>
              </w:rPr>
              <w:t>Component</w:t>
            </w:r>
          </w:p>
        </w:tc>
        <w:tc>
          <w:tcPr>
            <w:tcW w:w="1241" w:type="pct"/>
            <w:vAlign w:val="top"/>
          </w:tcPr>
          <w:p w14:paraId="3A263D03" w14:textId="77777777" w:rsidR="00C83B6E" w:rsidRPr="005F5BEA" w:rsidRDefault="00C83B6E" w:rsidP="00DF3D49">
            <w:pPr>
              <w:pStyle w:val="Tableheader"/>
              <w:rPr>
                <w:b/>
                <w:color w:val="auto"/>
                <w:vertAlign w:val="superscript"/>
              </w:rPr>
            </w:pPr>
            <w:proofErr w:type="spellStart"/>
            <w:r w:rsidRPr="005F5BEA">
              <w:rPr>
                <w:b/>
                <w:color w:val="auto"/>
              </w:rPr>
              <w:t>France</w:t>
            </w:r>
            <w:r w:rsidRPr="005F5BEA">
              <w:rPr>
                <w:b/>
                <w:color w:val="auto"/>
                <w:vertAlign w:val="superscript"/>
              </w:rPr>
              <w:t>a</w:t>
            </w:r>
            <w:proofErr w:type="spellEnd"/>
          </w:p>
        </w:tc>
        <w:tc>
          <w:tcPr>
            <w:tcW w:w="1101" w:type="pct"/>
            <w:vAlign w:val="top"/>
          </w:tcPr>
          <w:p w14:paraId="67FF72C8" w14:textId="77777777" w:rsidR="00C83B6E" w:rsidRPr="005F5BEA" w:rsidRDefault="00C83B6E" w:rsidP="00DF3D49">
            <w:pPr>
              <w:pStyle w:val="Tableheader"/>
              <w:rPr>
                <w:b/>
                <w:color w:val="auto"/>
                <w:vertAlign w:val="superscript"/>
              </w:rPr>
            </w:pPr>
            <w:r w:rsidRPr="005F5BEA">
              <w:rPr>
                <w:b/>
                <w:color w:val="auto"/>
              </w:rPr>
              <w:t xml:space="preserve">The </w:t>
            </w:r>
            <w:proofErr w:type="spellStart"/>
            <w:r w:rsidRPr="005F5BEA">
              <w:rPr>
                <w:b/>
                <w:color w:val="auto"/>
              </w:rPr>
              <w:t>Netherlands</w:t>
            </w:r>
            <w:r w:rsidRPr="005F5BEA">
              <w:rPr>
                <w:b/>
                <w:color w:val="auto"/>
                <w:vertAlign w:val="superscript"/>
              </w:rPr>
              <w:t>a</w:t>
            </w:r>
            <w:proofErr w:type="spellEnd"/>
          </w:p>
        </w:tc>
        <w:tc>
          <w:tcPr>
            <w:tcW w:w="926" w:type="pct"/>
            <w:vAlign w:val="top"/>
          </w:tcPr>
          <w:p w14:paraId="4DE34290" w14:textId="77777777" w:rsidR="00C83B6E" w:rsidRPr="005F5BEA" w:rsidRDefault="00C83B6E" w:rsidP="00DF3D49">
            <w:pPr>
              <w:pStyle w:val="Tableheader"/>
              <w:rPr>
                <w:b/>
                <w:color w:val="auto"/>
                <w:vertAlign w:val="superscript"/>
              </w:rPr>
            </w:pPr>
            <w:proofErr w:type="spellStart"/>
            <w:r w:rsidRPr="005F5BEA">
              <w:rPr>
                <w:b/>
                <w:color w:val="auto"/>
              </w:rPr>
              <w:t>Germany</w:t>
            </w:r>
            <w:r w:rsidRPr="005F5BEA">
              <w:rPr>
                <w:b/>
                <w:color w:val="auto"/>
                <w:vertAlign w:val="superscript"/>
              </w:rPr>
              <w:t>a</w:t>
            </w:r>
            <w:proofErr w:type="spellEnd"/>
          </w:p>
        </w:tc>
        <w:tc>
          <w:tcPr>
            <w:tcW w:w="1089" w:type="pct"/>
            <w:vAlign w:val="top"/>
          </w:tcPr>
          <w:p w14:paraId="227D7B56" w14:textId="77777777" w:rsidR="00C83B6E" w:rsidRPr="005F5BEA" w:rsidRDefault="00C83B6E" w:rsidP="00DF3D49">
            <w:pPr>
              <w:pStyle w:val="Tableheader"/>
              <w:rPr>
                <w:b/>
                <w:color w:val="auto"/>
                <w:vertAlign w:val="superscript"/>
              </w:rPr>
            </w:pPr>
            <w:r w:rsidRPr="005F5BEA">
              <w:rPr>
                <w:b/>
                <w:color w:val="auto"/>
              </w:rPr>
              <w:t xml:space="preserve">United </w:t>
            </w:r>
            <w:proofErr w:type="spellStart"/>
            <w:r w:rsidRPr="005F5BEA">
              <w:rPr>
                <w:b/>
                <w:color w:val="auto"/>
              </w:rPr>
              <w:t>States</w:t>
            </w:r>
            <w:r w:rsidRPr="005F5BEA">
              <w:rPr>
                <w:b/>
                <w:color w:val="auto"/>
                <w:vertAlign w:val="superscript"/>
              </w:rPr>
              <w:t>b</w:t>
            </w:r>
            <w:proofErr w:type="spellEnd"/>
          </w:p>
        </w:tc>
      </w:tr>
      <w:tr w:rsidR="00C83B6E" w:rsidRPr="005F5BEA" w14:paraId="149A3798" w14:textId="77777777" w:rsidTr="00683B7B">
        <w:trPr>
          <w:trHeight w:val="2583"/>
        </w:trPr>
        <w:tc>
          <w:tcPr>
            <w:tcW w:w="643" w:type="pct"/>
          </w:tcPr>
          <w:p w14:paraId="3EB30281" w14:textId="77777777" w:rsidR="00C83B6E" w:rsidRPr="005F5BEA" w:rsidRDefault="00C83B6E" w:rsidP="00DF3D49">
            <w:pPr>
              <w:pStyle w:val="TableText"/>
              <w:keepNext/>
            </w:pPr>
            <w:r w:rsidRPr="005F5BEA">
              <w:t>Service costs</w:t>
            </w:r>
          </w:p>
        </w:tc>
        <w:tc>
          <w:tcPr>
            <w:tcW w:w="1241" w:type="pct"/>
            <w:vAlign w:val="top"/>
          </w:tcPr>
          <w:p w14:paraId="7473F044" w14:textId="77777777" w:rsidR="00C83B6E" w:rsidRPr="005F5BEA" w:rsidRDefault="00C83B6E" w:rsidP="00DF3D49">
            <w:pPr>
              <w:pStyle w:val="TableText"/>
              <w:keepNext/>
              <w:rPr>
                <w:i/>
              </w:rPr>
            </w:pPr>
            <w:r w:rsidRPr="005F5BEA">
              <w:rPr>
                <w:i/>
              </w:rPr>
              <w:t>Remote:</w:t>
            </w:r>
          </w:p>
          <w:p w14:paraId="1ED56601" w14:textId="77777777" w:rsidR="00C83B6E" w:rsidRPr="005F5BEA" w:rsidRDefault="00C83B6E" w:rsidP="00DF3D49">
            <w:pPr>
              <w:pStyle w:val="TableText"/>
              <w:keepNext/>
            </w:pPr>
            <w:r w:rsidRPr="005F5BEA">
              <w:t xml:space="preserve">ICDs and PPMs: twice per year lump sum of €65 per patient (€130 per year) to cover remote data interrogation and management of </w:t>
            </w:r>
            <w:proofErr w:type="gramStart"/>
            <w:r w:rsidRPr="005F5BEA">
              <w:t>alerts</w:t>
            </w:r>
            <w:proofErr w:type="gramEnd"/>
            <w:r w:rsidRPr="005F5BEA">
              <w:t xml:space="preserve"> </w:t>
            </w:r>
          </w:p>
          <w:p w14:paraId="7BB6ED3B" w14:textId="77777777" w:rsidR="00C83B6E" w:rsidRPr="005F5BEA" w:rsidRDefault="00C83B6E" w:rsidP="00DF3D49">
            <w:pPr>
              <w:pStyle w:val="TableText"/>
              <w:keepNext/>
            </w:pPr>
            <w:r w:rsidRPr="005F5BEA">
              <w:t>ILR: not currently reimbursed</w:t>
            </w:r>
          </w:p>
          <w:p w14:paraId="33B7EB78" w14:textId="77777777" w:rsidR="00C83B6E" w:rsidRPr="005F5BEA" w:rsidRDefault="00C83B6E" w:rsidP="00DF3D49">
            <w:pPr>
              <w:pStyle w:val="TableText"/>
              <w:keepNext/>
              <w:rPr>
                <w:i/>
              </w:rPr>
            </w:pPr>
            <w:r w:rsidRPr="005F5BEA">
              <w:rPr>
                <w:i/>
              </w:rPr>
              <w:t xml:space="preserve">In-person: </w:t>
            </w:r>
          </w:p>
          <w:p w14:paraId="31D117F6" w14:textId="77777777" w:rsidR="00C83B6E" w:rsidRPr="005F5BEA" w:rsidRDefault="00C83B6E" w:rsidP="00DF3D49">
            <w:pPr>
              <w:pStyle w:val="TableText"/>
              <w:keepNext/>
            </w:pPr>
            <w:r w:rsidRPr="005F5BEA">
              <w:t>ICDs: €70.48 FFS</w:t>
            </w:r>
          </w:p>
          <w:p w14:paraId="3D910924" w14:textId="77777777" w:rsidR="00C83B6E" w:rsidRPr="005F5BEA" w:rsidRDefault="00C83B6E" w:rsidP="00DF3D49">
            <w:pPr>
              <w:pStyle w:val="TableText"/>
              <w:keepNext/>
            </w:pPr>
            <w:r w:rsidRPr="005F5BEA">
              <w:t>PPMs: €60.41 FFS</w:t>
            </w:r>
          </w:p>
        </w:tc>
        <w:tc>
          <w:tcPr>
            <w:tcW w:w="1101" w:type="pct"/>
            <w:vAlign w:val="top"/>
          </w:tcPr>
          <w:p w14:paraId="00187C94" w14:textId="77777777" w:rsidR="00C83B6E" w:rsidRPr="005F5BEA" w:rsidRDefault="00C83B6E" w:rsidP="00DF3D49">
            <w:pPr>
              <w:pStyle w:val="TableText"/>
              <w:keepNext/>
            </w:pPr>
            <w:r w:rsidRPr="005F5BEA">
              <w:t xml:space="preserve">Whole care episode covered by “Diagnose </w:t>
            </w:r>
            <w:proofErr w:type="spellStart"/>
            <w:r w:rsidRPr="005F5BEA">
              <w:t>Behandeling</w:t>
            </w:r>
            <w:proofErr w:type="spellEnd"/>
            <w:r w:rsidRPr="005F5BEA">
              <w:t xml:space="preserve"> </w:t>
            </w:r>
            <w:proofErr w:type="spellStart"/>
            <w:r w:rsidRPr="005F5BEA">
              <w:t>Combinatie</w:t>
            </w:r>
            <w:proofErr w:type="spellEnd"/>
            <w:r w:rsidRPr="005F5BEA">
              <w:t>”. Same tariffs applied whether in-person or remote.</w:t>
            </w:r>
          </w:p>
          <w:p w14:paraId="466FECB8" w14:textId="77777777" w:rsidR="00C83B6E" w:rsidRPr="005F5BEA" w:rsidRDefault="00C83B6E" w:rsidP="00DF3D49">
            <w:pPr>
              <w:pStyle w:val="TableText"/>
              <w:keepNext/>
            </w:pPr>
            <w:r w:rsidRPr="005F5BEA">
              <w:t>ICDs: mean 2019 price €175 if 1-2 (e)visits, and €365 if &gt;2 (e)visits</w:t>
            </w:r>
          </w:p>
          <w:p w14:paraId="4ED9161A" w14:textId="77777777" w:rsidR="00C83B6E" w:rsidRPr="005F5BEA" w:rsidRDefault="00C83B6E" w:rsidP="00DF3D49">
            <w:pPr>
              <w:pStyle w:val="TableText"/>
              <w:keepNext/>
            </w:pPr>
            <w:r w:rsidRPr="005F5BEA">
              <w:t>PPMs: mean 2019 price €170 if 1-2 (e)visits, and €300 if &gt;2 (e)visits</w:t>
            </w:r>
          </w:p>
          <w:p w14:paraId="7931C0F4" w14:textId="77777777" w:rsidR="00C83B6E" w:rsidRPr="005F5BEA" w:rsidRDefault="00C83B6E" w:rsidP="00DF3D49">
            <w:pPr>
              <w:pStyle w:val="TableText"/>
              <w:keepNext/>
            </w:pPr>
            <w:r w:rsidRPr="005F5BEA">
              <w:t>ILRs: mean 2019 price €190 if 1-2 (e)visits, and €390 if &gt;2 (e)visits for impulse and conduction disorders</w:t>
            </w:r>
          </w:p>
        </w:tc>
        <w:tc>
          <w:tcPr>
            <w:tcW w:w="926" w:type="pct"/>
            <w:vAlign w:val="top"/>
          </w:tcPr>
          <w:p w14:paraId="04C444DC" w14:textId="77777777" w:rsidR="00C83B6E" w:rsidRPr="005F5BEA" w:rsidRDefault="00C83B6E" w:rsidP="00DF3D49">
            <w:pPr>
              <w:pStyle w:val="TableText"/>
              <w:keepNext/>
            </w:pPr>
            <w:r w:rsidRPr="005F5BEA">
              <w:t>ICD, CRT-P, CRT-D: same fee for in-person and remote</w:t>
            </w:r>
          </w:p>
          <w:p w14:paraId="789254E8" w14:textId="77777777" w:rsidR="00C83B6E" w:rsidRPr="005F5BEA" w:rsidRDefault="00C83B6E" w:rsidP="00DF3D49">
            <w:pPr>
              <w:pStyle w:val="TableText"/>
              <w:keepNext/>
            </w:pPr>
            <w:r w:rsidRPr="005F5BEA">
              <w:t>ICD: €44.5 FFS (maximum 5x/year)</w:t>
            </w:r>
          </w:p>
          <w:p w14:paraId="20D02FD6" w14:textId="77777777" w:rsidR="00C83B6E" w:rsidRPr="005F5BEA" w:rsidRDefault="00C83B6E" w:rsidP="00DF3D49">
            <w:pPr>
              <w:pStyle w:val="TableText"/>
              <w:keepNext/>
            </w:pPr>
            <w:r w:rsidRPr="005F5BEA">
              <w:t>CRT-P, CRT-D: €54.73 FFS (maximum 5x/year)</w:t>
            </w:r>
          </w:p>
          <w:p w14:paraId="6DC7D96A" w14:textId="77777777" w:rsidR="00C83B6E" w:rsidRPr="005F5BEA" w:rsidRDefault="00C83B6E" w:rsidP="00DF3D49">
            <w:pPr>
              <w:pStyle w:val="TableText"/>
              <w:keepNext/>
            </w:pPr>
            <w:r w:rsidRPr="005F5BEA">
              <w:t xml:space="preserve">PPM (single and double chambers): RM not </w:t>
            </w:r>
            <w:proofErr w:type="gramStart"/>
            <w:r w:rsidRPr="005F5BEA">
              <w:t>reimbursed</w:t>
            </w:r>
            <w:proofErr w:type="gramEnd"/>
          </w:p>
          <w:p w14:paraId="26ECABF3" w14:textId="77777777" w:rsidR="00C83B6E" w:rsidRPr="005F5BEA" w:rsidRDefault="00C83B6E" w:rsidP="00DF3D49">
            <w:pPr>
              <w:pStyle w:val="TableText"/>
              <w:keepNext/>
            </w:pPr>
            <w:r w:rsidRPr="005F5BEA">
              <w:t>ILR: RM not reimbursed</w:t>
            </w:r>
          </w:p>
        </w:tc>
        <w:tc>
          <w:tcPr>
            <w:tcW w:w="1089" w:type="pct"/>
          </w:tcPr>
          <w:p w14:paraId="608D473E" w14:textId="77777777" w:rsidR="00C83B6E" w:rsidRPr="005F5BEA" w:rsidRDefault="00C83B6E" w:rsidP="00DF3D49">
            <w:pPr>
              <w:pStyle w:val="TableText"/>
              <w:keepNext/>
            </w:pPr>
            <w:r w:rsidRPr="005F5BEA">
              <w:t>For both in-person and RM:</w:t>
            </w:r>
          </w:p>
          <w:p w14:paraId="26F2F7AE" w14:textId="77777777" w:rsidR="00C83B6E" w:rsidRPr="005F5BEA" w:rsidRDefault="00C83B6E" w:rsidP="00DF3D49">
            <w:pPr>
              <w:pStyle w:val="TableText"/>
              <w:keepNext/>
              <w:rPr>
                <w:i/>
              </w:rPr>
            </w:pPr>
            <w:r w:rsidRPr="005F5BEA">
              <w:rPr>
                <w:i/>
              </w:rPr>
              <w:t>For interrogation:</w:t>
            </w:r>
          </w:p>
          <w:p w14:paraId="5214A61A" w14:textId="0DFE644F" w:rsidR="00C83B6E" w:rsidRPr="005F5BEA" w:rsidRDefault="00C83B6E" w:rsidP="00DF3D49">
            <w:pPr>
              <w:pStyle w:val="TableText"/>
              <w:keepNext/>
            </w:pPr>
            <w:r w:rsidRPr="005F5BEA">
              <w:t>PPMs, ICDs, CRT</w:t>
            </w:r>
            <w:r w:rsidR="005B1245" w:rsidRPr="005F5BEA">
              <w:t>D</w:t>
            </w:r>
            <w:r w:rsidRPr="005F5BEA">
              <w:t>s: services billable every 90 days</w:t>
            </w:r>
          </w:p>
          <w:p w14:paraId="7D350FC1" w14:textId="77777777" w:rsidR="00C83B6E" w:rsidRPr="005F5BEA" w:rsidRDefault="00C83B6E" w:rsidP="00DF3D49">
            <w:pPr>
              <w:pStyle w:val="TableText"/>
              <w:keepNext/>
            </w:pPr>
            <w:r w:rsidRPr="005F5BEA">
              <w:t>ILRs: services billable every 30 days</w:t>
            </w:r>
          </w:p>
          <w:p w14:paraId="77AA56EC" w14:textId="77777777" w:rsidR="00C83B6E" w:rsidRPr="005F5BEA" w:rsidRDefault="00C83B6E" w:rsidP="00DF3D49">
            <w:pPr>
              <w:pStyle w:val="TableText"/>
              <w:keepNext/>
              <w:rPr>
                <w:i/>
              </w:rPr>
            </w:pPr>
            <w:r w:rsidRPr="005F5BEA">
              <w:rPr>
                <w:i/>
              </w:rPr>
              <w:t xml:space="preserve">For programming: </w:t>
            </w:r>
          </w:p>
          <w:p w14:paraId="5CD586A8" w14:textId="77777777" w:rsidR="00C83B6E" w:rsidRPr="005F5BEA" w:rsidRDefault="00C83B6E" w:rsidP="00DF3D49">
            <w:pPr>
              <w:pStyle w:val="TableText"/>
              <w:keepNext/>
            </w:pPr>
            <w:r w:rsidRPr="005F5BEA">
              <w:t xml:space="preserve">Can bill in addition in same </w:t>
            </w:r>
            <w:proofErr w:type="gramStart"/>
            <w:r w:rsidRPr="005F5BEA">
              <w:t>period</w:t>
            </w:r>
            <w:proofErr w:type="gramEnd"/>
          </w:p>
          <w:p w14:paraId="069BBCAB" w14:textId="77777777" w:rsidR="00C83B6E" w:rsidRPr="005F5BEA" w:rsidRDefault="00C83B6E" w:rsidP="00DF3D49">
            <w:pPr>
              <w:pStyle w:val="TableText"/>
              <w:keepNext/>
            </w:pPr>
          </w:p>
          <w:p w14:paraId="1FA1933C" w14:textId="6C174A26" w:rsidR="00C83B6E" w:rsidRPr="005F5BEA" w:rsidRDefault="00C83B6E" w:rsidP="00DF3D49">
            <w:pPr>
              <w:pStyle w:val="TableText"/>
              <w:keepNext/>
            </w:pPr>
            <w:r w:rsidRPr="005F5BEA">
              <w:t xml:space="preserve">If </w:t>
            </w:r>
            <w:r w:rsidR="00B62C82" w:rsidRPr="005F5BEA">
              <w:t>IECT</w:t>
            </w:r>
            <w:r w:rsidRPr="005F5BEA">
              <w:t xml:space="preserve"> involved in performing technical service, physician may not bill for the service, and may only bill for services performed by physician</w:t>
            </w:r>
          </w:p>
        </w:tc>
      </w:tr>
      <w:tr w:rsidR="00C83B6E" w:rsidRPr="005F5BEA" w14:paraId="3C794912" w14:textId="77777777" w:rsidTr="00683B7B">
        <w:trPr>
          <w:trHeight w:val="1827"/>
        </w:trPr>
        <w:tc>
          <w:tcPr>
            <w:tcW w:w="643" w:type="pct"/>
          </w:tcPr>
          <w:p w14:paraId="7B53910A" w14:textId="77777777" w:rsidR="00C83B6E" w:rsidRPr="005F5BEA" w:rsidRDefault="00C83B6E" w:rsidP="00DF3D49">
            <w:pPr>
              <w:pStyle w:val="TableText"/>
              <w:keepNext/>
            </w:pPr>
            <w:r w:rsidRPr="005F5BEA">
              <w:t>System costs</w:t>
            </w:r>
          </w:p>
        </w:tc>
        <w:tc>
          <w:tcPr>
            <w:tcW w:w="1241" w:type="pct"/>
            <w:vAlign w:val="top"/>
          </w:tcPr>
          <w:p w14:paraId="4FF03022" w14:textId="77777777" w:rsidR="00C83B6E" w:rsidRPr="005F5BEA" w:rsidRDefault="00C83B6E" w:rsidP="00DF3D49">
            <w:pPr>
              <w:pStyle w:val="TableText"/>
              <w:keepNext/>
            </w:pPr>
            <w:r w:rsidRPr="005F5BEA">
              <w:t xml:space="preserve">ICD: RM system included in list of reimbursed products separate from implant. </w:t>
            </w:r>
          </w:p>
          <w:p w14:paraId="4C7359CC" w14:textId="77777777" w:rsidR="00C83B6E" w:rsidRPr="005F5BEA" w:rsidRDefault="00C83B6E" w:rsidP="00DF3D49">
            <w:pPr>
              <w:pStyle w:val="TableText"/>
              <w:keepNext/>
            </w:pPr>
            <w:r w:rsidRPr="005F5BEA">
              <w:t>€864 for RM system of single or double chambers</w:t>
            </w:r>
          </w:p>
          <w:p w14:paraId="0048D1F6" w14:textId="77777777" w:rsidR="00C83B6E" w:rsidRPr="005F5BEA" w:rsidRDefault="00C83B6E" w:rsidP="00DF3D49">
            <w:pPr>
              <w:pStyle w:val="TableText"/>
              <w:keepNext/>
            </w:pPr>
            <w:r w:rsidRPr="005F5BEA">
              <w:t>€972 for RM systems of triple chambers</w:t>
            </w:r>
          </w:p>
          <w:p w14:paraId="04AB7E99" w14:textId="77777777" w:rsidR="00C83B6E" w:rsidRPr="005F5BEA" w:rsidRDefault="00C83B6E" w:rsidP="00DF3D49">
            <w:pPr>
              <w:pStyle w:val="TableText"/>
              <w:keepNext/>
            </w:pPr>
            <w:r w:rsidRPr="005F5BEA">
              <w:t xml:space="preserve">PPM: No separate tariff but higher tariffs for some implants with a RM system. </w:t>
            </w:r>
          </w:p>
          <w:p w14:paraId="422457D9" w14:textId="77777777" w:rsidR="00C83B6E" w:rsidRPr="005F5BEA" w:rsidRDefault="00C83B6E" w:rsidP="00DF3D49">
            <w:pPr>
              <w:pStyle w:val="TableText"/>
              <w:keepNext/>
            </w:pPr>
            <w:r w:rsidRPr="005F5BEA">
              <w:t xml:space="preserve">Additional €500 for rate-adaptive single or double chambers PPMs if &gt;50% of patients are under </w:t>
            </w:r>
            <w:proofErr w:type="gramStart"/>
            <w:r w:rsidRPr="005F5BEA">
              <w:t>RM</w:t>
            </w:r>
            <w:proofErr w:type="gramEnd"/>
          </w:p>
          <w:p w14:paraId="074B04C0" w14:textId="77777777" w:rsidR="00C83B6E" w:rsidRPr="005F5BEA" w:rsidRDefault="00C83B6E" w:rsidP="00DF3D49">
            <w:pPr>
              <w:pStyle w:val="TableText"/>
              <w:keepNext/>
            </w:pPr>
            <w:r w:rsidRPr="005F5BEA">
              <w:t xml:space="preserve">Additional €700 for triple chamber and resynchronisation PPMs if &gt;50% of patients are under </w:t>
            </w:r>
            <w:proofErr w:type="gramStart"/>
            <w:r w:rsidRPr="005F5BEA">
              <w:t>RM</w:t>
            </w:r>
            <w:proofErr w:type="gramEnd"/>
          </w:p>
          <w:p w14:paraId="6401F012" w14:textId="77777777" w:rsidR="00C83B6E" w:rsidRPr="005F5BEA" w:rsidRDefault="00C83B6E" w:rsidP="00DF3D49">
            <w:pPr>
              <w:pStyle w:val="TableText"/>
              <w:keepNext/>
            </w:pPr>
            <w:r w:rsidRPr="005F5BEA">
              <w:t>ILRs: no separate tariff</w:t>
            </w:r>
          </w:p>
        </w:tc>
        <w:tc>
          <w:tcPr>
            <w:tcW w:w="1101" w:type="pct"/>
            <w:vAlign w:val="top"/>
          </w:tcPr>
          <w:p w14:paraId="3963D6D4" w14:textId="77777777" w:rsidR="00C83B6E" w:rsidRPr="005F5BEA" w:rsidRDefault="00C83B6E" w:rsidP="00DF3D49">
            <w:pPr>
              <w:pStyle w:val="TableText"/>
              <w:keepNext/>
            </w:pPr>
            <w:r w:rsidRPr="005F5BEA">
              <w:t>Covered by DBC system (no separate tariff)</w:t>
            </w:r>
          </w:p>
        </w:tc>
        <w:tc>
          <w:tcPr>
            <w:tcW w:w="926" w:type="pct"/>
            <w:vAlign w:val="top"/>
          </w:tcPr>
          <w:p w14:paraId="46355942" w14:textId="77777777" w:rsidR="00C83B6E" w:rsidRPr="005F5BEA" w:rsidRDefault="00C83B6E" w:rsidP="00DF3D49">
            <w:pPr>
              <w:pStyle w:val="TableText"/>
              <w:keepNext/>
            </w:pPr>
            <w:r w:rsidRPr="005F5BEA">
              <w:t>RM infrastructure and support services not usually reimbursed (only selective contracts with health insurance) but under discussion</w:t>
            </w:r>
          </w:p>
        </w:tc>
        <w:tc>
          <w:tcPr>
            <w:tcW w:w="1089" w:type="pct"/>
          </w:tcPr>
          <w:p w14:paraId="07AE1571" w14:textId="77777777" w:rsidR="00C83B6E" w:rsidRPr="005F5BEA" w:rsidRDefault="00C83B6E" w:rsidP="00DF3D49">
            <w:pPr>
              <w:pStyle w:val="TableText"/>
              <w:keepNext/>
            </w:pPr>
          </w:p>
        </w:tc>
      </w:tr>
    </w:tbl>
    <w:p w14:paraId="3CF8D8C8" w14:textId="77777777" w:rsidR="00C83B6E" w:rsidRPr="005F5BEA" w:rsidRDefault="00C83B6E" w:rsidP="00683B7B">
      <w:pPr>
        <w:pStyle w:val="Tablenotes"/>
        <w:spacing w:before="0" w:after="0"/>
        <w:rPr>
          <w:szCs w:val="18"/>
        </w:rPr>
      </w:pPr>
      <w:r w:rsidRPr="005F5BEA">
        <w:rPr>
          <w:szCs w:val="18"/>
        </w:rPr>
        <w:t xml:space="preserve">Source: </w:t>
      </w:r>
      <w:proofErr w:type="spellStart"/>
      <w:r w:rsidRPr="005F5BEA">
        <w:rPr>
          <w:szCs w:val="18"/>
          <w:vertAlign w:val="superscript"/>
        </w:rPr>
        <w:t>a</w:t>
      </w:r>
      <w:r w:rsidRPr="005F5BEA">
        <w:rPr>
          <w:szCs w:val="18"/>
        </w:rPr>
        <w:t>KCE</w:t>
      </w:r>
      <w:proofErr w:type="spellEnd"/>
      <w:r w:rsidRPr="005F5BEA">
        <w:rPr>
          <w:szCs w:val="18"/>
        </w:rPr>
        <w:t xml:space="preserve"> report 345: remote monitoring of patients with cardiovascular implantable electronic devices</w:t>
      </w:r>
    </w:p>
    <w:p w14:paraId="31A1343E" w14:textId="617319CE" w:rsidR="00C83B6E" w:rsidRPr="005F5BEA" w:rsidRDefault="00C83B6E" w:rsidP="005B1245">
      <w:pPr>
        <w:pStyle w:val="Tablenotes"/>
        <w:rPr>
          <w:szCs w:val="18"/>
        </w:rPr>
      </w:pPr>
      <w:r w:rsidRPr="005F5BEA">
        <w:rPr>
          <w:szCs w:val="18"/>
          <w:vertAlign w:val="superscript"/>
        </w:rPr>
        <w:t xml:space="preserve">b </w:t>
      </w:r>
      <w:hyperlink r:id="rId15" w:history="1">
        <w:r w:rsidRPr="005F5BEA">
          <w:rPr>
            <w:rStyle w:val="Hyperlink"/>
            <w:szCs w:val="18"/>
          </w:rPr>
          <w:t>Medtronic reimbursement guide</w:t>
        </w:r>
      </w:hyperlink>
    </w:p>
    <w:p w14:paraId="482583F9" w14:textId="5715BB28" w:rsidR="00BB51C6" w:rsidRPr="005F5BEA" w:rsidRDefault="00C83B6E" w:rsidP="002A189F">
      <w:pPr>
        <w:pStyle w:val="Tablenotes"/>
        <w:contextualSpacing w:val="0"/>
      </w:pPr>
      <w:r w:rsidRPr="005F5BEA">
        <w:t xml:space="preserve">DBC = Diagnose </w:t>
      </w:r>
      <w:proofErr w:type="spellStart"/>
      <w:r w:rsidRPr="005F5BEA">
        <w:t>Behandeling</w:t>
      </w:r>
      <w:proofErr w:type="spellEnd"/>
      <w:r w:rsidRPr="005F5BEA">
        <w:t xml:space="preserve"> </w:t>
      </w:r>
      <w:proofErr w:type="spellStart"/>
      <w:r w:rsidRPr="005F5BEA">
        <w:t>Combinatie</w:t>
      </w:r>
      <w:proofErr w:type="spellEnd"/>
      <w:r w:rsidRPr="005F5BEA">
        <w:t xml:space="preserve">; FFS = fee for service; RM = remote </w:t>
      </w:r>
      <w:proofErr w:type="spellStart"/>
      <w:r w:rsidRPr="005F5BEA">
        <w:t>monitorin</w:t>
      </w:r>
      <w:proofErr w:type="spellEnd"/>
    </w:p>
    <w:p w14:paraId="21E30CE5" w14:textId="1064A3E4" w:rsidR="00D41A81" w:rsidRPr="005F5BEA" w:rsidRDefault="00EE7BA5" w:rsidP="005926D9">
      <w:pPr>
        <w:pStyle w:val="Heading2"/>
      </w:pPr>
      <w:r w:rsidRPr="005F5BEA">
        <w:t>12</w:t>
      </w:r>
      <w:r w:rsidR="00912B97" w:rsidRPr="005F5BEA">
        <w:t>.</w:t>
      </w:r>
      <w:r w:rsidR="003B3DF7" w:rsidRPr="005F5BEA">
        <w:t xml:space="preserve"> </w:t>
      </w:r>
      <w:r w:rsidR="003B3DF7" w:rsidRPr="005F5BEA">
        <w:tab/>
      </w:r>
      <w:r w:rsidR="003B76CF" w:rsidRPr="005F5BEA">
        <w:t>Proposed model of care in private clinics/hospitals</w:t>
      </w:r>
    </w:p>
    <w:p w14:paraId="6007FBAB" w14:textId="7F9F0D3A" w:rsidR="006E679F" w:rsidRPr="005F5BEA" w:rsidRDefault="002019FE" w:rsidP="002019FE">
      <w:r w:rsidRPr="005F5BEA">
        <w:t xml:space="preserve">The current models of care in private clinics/hospitals (Models 2 and 3) rely to a greater or lesser extent on </w:t>
      </w:r>
      <w:r w:rsidR="00B62C82" w:rsidRPr="005F5BEA">
        <w:t>IECT</w:t>
      </w:r>
      <w:r w:rsidRPr="005F5BEA">
        <w:t xml:space="preserve">s for technical support where specialist knowledge of a CIED supplied by their company is required. </w:t>
      </w:r>
      <w:r w:rsidR="00AA2AFD" w:rsidRPr="005F5BEA">
        <w:t xml:space="preserve">The role of </w:t>
      </w:r>
      <w:r w:rsidR="00B62C82" w:rsidRPr="005F5BEA">
        <w:t>IECT</w:t>
      </w:r>
      <w:r w:rsidR="00AA2AFD" w:rsidRPr="005F5BEA">
        <w:t xml:space="preserve">s is acknowledged </w:t>
      </w:r>
      <w:r w:rsidR="006E679F" w:rsidRPr="005F5BEA">
        <w:t xml:space="preserve">in the CSANZ guidelines for CIED follow-up in Australia. </w:t>
      </w:r>
    </w:p>
    <w:p w14:paraId="2A59F397" w14:textId="1F15C6C1" w:rsidR="00D41A81" w:rsidRPr="005F5BEA" w:rsidRDefault="00B62C82" w:rsidP="002019FE">
      <w:r w:rsidRPr="005F5BEA">
        <w:lastRenderedPageBreak/>
        <w:t>IECT</w:t>
      </w:r>
      <w:r w:rsidR="002019FE" w:rsidRPr="005F5BEA">
        <w:t xml:space="preserve">s rarely provide any support for CIEDs supplied by other companies. </w:t>
      </w:r>
      <w:r w:rsidR="002F6897" w:rsidRPr="005F5BEA">
        <w:t xml:space="preserve">Use of only </w:t>
      </w:r>
      <w:r w:rsidRPr="005F5BEA">
        <w:t>IECT</w:t>
      </w:r>
      <w:r w:rsidR="002F6897" w:rsidRPr="005F5BEA">
        <w:t xml:space="preserve"> support in a clinic (Model 3) without an obligation to pay for services supplied by the </w:t>
      </w:r>
      <w:r w:rsidRPr="005F5BEA">
        <w:t>IECT</w:t>
      </w:r>
      <w:r w:rsidR="002F6897" w:rsidRPr="005F5BEA">
        <w:t xml:space="preserve"> rather than directly employing a cardiac technician may have benefits for the cardiologist as no investment in staff employment and training is required and costs</w:t>
      </w:r>
      <w:r w:rsidR="00EB7730" w:rsidRPr="005F5BEA">
        <w:t xml:space="preserve"> to the private clinic or cardiologist</w:t>
      </w:r>
      <w:r w:rsidR="002F6897" w:rsidRPr="005F5BEA">
        <w:t xml:space="preserve"> are lower. However, reliance on </w:t>
      </w:r>
      <w:r w:rsidRPr="005F5BEA">
        <w:t>IECT</w:t>
      </w:r>
      <w:r w:rsidR="002F6897" w:rsidRPr="005F5BEA">
        <w:t xml:space="preserve">s is associated with </w:t>
      </w:r>
      <w:r w:rsidR="00AA2AFD" w:rsidRPr="005F5BEA">
        <w:t xml:space="preserve">published concerns around potential conflicts of interest, </w:t>
      </w:r>
      <w:proofErr w:type="gramStart"/>
      <w:r w:rsidR="00AA2AFD" w:rsidRPr="005F5BEA">
        <w:t>confidentiality</w:t>
      </w:r>
      <w:proofErr w:type="gramEnd"/>
      <w:r w:rsidR="00AA2AFD" w:rsidRPr="005F5BEA">
        <w:t xml:space="preserve"> and ethical issues particularly as they interact directly with patients (under the supervision of a cardiologist/physician) as part of the clinic technical services team.</w:t>
      </w:r>
    </w:p>
    <w:p w14:paraId="424E4F2B" w14:textId="2E0083BC" w:rsidR="00AA2AFD" w:rsidRPr="005F5BEA" w:rsidRDefault="00AA2AFD" w:rsidP="002019FE">
      <w:r w:rsidRPr="005F5BEA">
        <w:t xml:space="preserve">The case for specific reimbursement of </w:t>
      </w:r>
      <w:r w:rsidR="00B62C82" w:rsidRPr="005F5BEA">
        <w:t>IECT</w:t>
      </w:r>
      <w:r w:rsidRPr="005F5BEA">
        <w:t xml:space="preserve">s providing CIED technical services rather than </w:t>
      </w:r>
      <w:r w:rsidR="00B93123" w:rsidRPr="005F5BEA">
        <w:t xml:space="preserve">for </w:t>
      </w:r>
      <w:r w:rsidRPr="005F5BEA">
        <w:t xml:space="preserve">all </w:t>
      </w:r>
      <w:r w:rsidR="00EB7730" w:rsidRPr="005F5BEA">
        <w:t xml:space="preserve">similarly qualified </w:t>
      </w:r>
      <w:r w:rsidRPr="005F5BEA">
        <w:t>cardiac technicians involved in CIED follow-up</w:t>
      </w:r>
      <w:r w:rsidR="00B93123" w:rsidRPr="005F5BEA">
        <w:t>, whether in the public or private sector,</w:t>
      </w:r>
      <w:r w:rsidRPr="005F5BEA">
        <w:t xml:space="preserve"> is unclear</w:t>
      </w:r>
      <w:r w:rsidR="00B93123" w:rsidRPr="005F5BEA">
        <w:t xml:space="preserve"> based on information in the ADAR</w:t>
      </w:r>
      <w:r w:rsidRPr="005F5BEA">
        <w:t xml:space="preserve">. </w:t>
      </w:r>
      <w:r w:rsidR="00B93123" w:rsidRPr="005F5BEA">
        <w:t xml:space="preserve"> </w:t>
      </w:r>
      <w:r w:rsidR="00B62C82" w:rsidRPr="005F5BEA">
        <w:t>IECT</w:t>
      </w:r>
      <w:r w:rsidR="00EB7730" w:rsidRPr="005F5BEA">
        <w:t xml:space="preserve">s may </w:t>
      </w:r>
      <w:r w:rsidR="006E679F" w:rsidRPr="005F5BEA">
        <w:t>advocate for their company and its products</w:t>
      </w:r>
      <w:r w:rsidR="00B93123" w:rsidRPr="005F5BEA">
        <w:t xml:space="preserve"> when attending a clinic or hospital providing customer support</w:t>
      </w:r>
      <w:r w:rsidRPr="005F5BEA">
        <w:t>. Their role has benefits to the company</w:t>
      </w:r>
      <w:r w:rsidR="006B09A0" w:rsidRPr="005F5BEA">
        <w:t>, such as:</w:t>
      </w:r>
      <w:r w:rsidR="006E679F" w:rsidRPr="005F5BEA">
        <w:t xml:space="preserve"> developing relationships with their customer-base (clinicians and hospitals/clinics)</w:t>
      </w:r>
      <w:r w:rsidR="006B09A0" w:rsidRPr="005F5BEA">
        <w:t>, and this may</w:t>
      </w:r>
      <w:r w:rsidR="006E679F" w:rsidRPr="005F5BEA">
        <w:t xml:space="preserve"> benefit </w:t>
      </w:r>
      <w:r w:rsidR="006B09A0" w:rsidRPr="005F5BEA">
        <w:t>or maintain company</w:t>
      </w:r>
      <w:r w:rsidR="006E679F" w:rsidRPr="005F5BEA">
        <w:t xml:space="preserve"> market share in Australia</w:t>
      </w:r>
      <w:r w:rsidR="006B09A0" w:rsidRPr="005F5BEA">
        <w:t>;</w:t>
      </w:r>
      <w:r w:rsidR="006E679F" w:rsidRPr="005F5BEA">
        <w:t xml:space="preserve"> </w:t>
      </w:r>
      <w:r w:rsidR="00B93123" w:rsidRPr="005F5BEA">
        <w:t xml:space="preserve">obtaining </w:t>
      </w:r>
      <w:r w:rsidR="006E679F" w:rsidRPr="005F5BEA">
        <w:t>feedback directly from product users (clinic staff and patients)</w:t>
      </w:r>
      <w:r w:rsidR="006B09A0" w:rsidRPr="005F5BEA">
        <w:t>;</w:t>
      </w:r>
      <w:r w:rsidR="006E679F" w:rsidRPr="005F5BEA">
        <w:t xml:space="preserve"> and</w:t>
      </w:r>
      <w:r w:rsidR="006B09A0" w:rsidRPr="005F5BEA">
        <w:t>,</w:t>
      </w:r>
      <w:r w:rsidR="006E679F" w:rsidRPr="005F5BEA">
        <w:t xml:space="preserve"> </w:t>
      </w:r>
      <w:r w:rsidR="00B93123" w:rsidRPr="005F5BEA">
        <w:t xml:space="preserve">having </w:t>
      </w:r>
      <w:r w:rsidR="006E679F" w:rsidRPr="005F5BEA">
        <w:t xml:space="preserve">direct access to patient data/information through follow-up checks or remote monitoring that may benefit ongoing CIED product development. Reliance on </w:t>
      </w:r>
      <w:r w:rsidR="00B62C82" w:rsidRPr="005F5BEA">
        <w:t>IECT</w:t>
      </w:r>
      <w:r w:rsidR="00B93123" w:rsidRPr="005F5BEA">
        <w:t xml:space="preserve"> specialist support</w:t>
      </w:r>
      <w:r w:rsidR="006E679F" w:rsidRPr="005F5BEA">
        <w:t xml:space="preserve"> </w:t>
      </w:r>
      <w:r w:rsidR="00B93123" w:rsidRPr="005F5BEA">
        <w:t>within a clinic/hospital has benefits but could</w:t>
      </w:r>
      <w:r w:rsidR="006E679F" w:rsidRPr="005F5BEA">
        <w:t xml:space="preserve"> negatively impact on upskilling and further training of clinic/hospital employed cardiac technicians.</w:t>
      </w:r>
      <w:r w:rsidR="00B23A81" w:rsidRPr="005F5BEA">
        <w:t xml:space="preserve"> </w:t>
      </w:r>
      <w:r w:rsidR="00422470" w:rsidRPr="005F5BEA">
        <w:t xml:space="preserve">While there are overheads and costs to industry of providing services via </w:t>
      </w:r>
      <w:r w:rsidR="00B62C82" w:rsidRPr="005F5BEA">
        <w:t>IECT</w:t>
      </w:r>
      <w:r w:rsidR="00422470" w:rsidRPr="005F5BEA">
        <w:t>s, there are obvious benefits highlighted above that are not discussed in the ADAR.</w:t>
      </w:r>
    </w:p>
    <w:p w14:paraId="3B2BB129" w14:textId="64CA9843" w:rsidR="00B23A81" w:rsidRPr="005F5BEA" w:rsidRDefault="00247A00" w:rsidP="002019FE">
      <w:r w:rsidRPr="005F5BEA">
        <w:t xml:space="preserve">Moving towards Model 2 where a clinic or hospital employs their own cardiac technicians reduces reliance on </w:t>
      </w:r>
      <w:r w:rsidR="00B62C82" w:rsidRPr="005F5BEA">
        <w:t>IECT</w:t>
      </w:r>
      <w:r w:rsidRPr="005F5BEA">
        <w:t xml:space="preserve">s </w:t>
      </w:r>
      <w:r w:rsidR="00B23A81" w:rsidRPr="005F5BEA">
        <w:t xml:space="preserve">for services that do not require specialist input </w:t>
      </w:r>
      <w:r w:rsidRPr="005F5BEA">
        <w:t>and increases flexibility for the cardiolog</w:t>
      </w:r>
      <w:r w:rsidR="0089265D" w:rsidRPr="005F5BEA">
        <w:t>ist</w:t>
      </w:r>
      <w:r w:rsidRPr="005F5BEA">
        <w:t xml:space="preserve"> and clinic staff when scheduling </w:t>
      </w:r>
      <w:r w:rsidR="00B23A81" w:rsidRPr="005F5BEA">
        <w:t xml:space="preserve">CIED </w:t>
      </w:r>
      <w:r w:rsidRPr="005F5BEA">
        <w:t xml:space="preserve">follow-up appointments. </w:t>
      </w:r>
      <w:r w:rsidR="00B23A81" w:rsidRPr="005F5BEA">
        <w:t>It may also increase the role of cardiac technicians employed in a private hospital setting in unscheduled services and support during CIED implantation. Investment in accredited training</w:t>
      </w:r>
      <w:r w:rsidR="0089265D" w:rsidRPr="005F5BEA">
        <w:t xml:space="preserve"> in combination with hands-on training at clinics/hospitals for graduates or healthcare staff wishing to become cardiac technicians</w:t>
      </w:r>
      <w:r w:rsidR="00B23A81" w:rsidRPr="005F5BEA">
        <w:t xml:space="preserve">, and development of specialist programs for upskilling of </w:t>
      </w:r>
      <w:r w:rsidR="00422470" w:rsidRPr="005F5BEA">
        <w:t xml:space="preserve">current </w:t>
      </w:r>
      <w:r w:rsidR="00B23A81" w:rsidRPr="005F5BEA">
        <w:t xml:space="preserve">cardiac technicians, </w:t>
      </w:r>
      <w:r w:rsidR="00EE077D" w:rsidRPr="005F5BEA">
        <w:t>could potentially</w:t>
      </w:r>
      <w:r w:rsidR="00B23A81" w:rsidRPr="005F5BEA">
        <w:t xml:space="preserve"> lead to an increase in </w:t>
      </w:r>
      <w:r w:rsidR="00422470" w:rsidRPr="005F5BEA">
        <w:t xml:space="preserve">the overall number of </w:t>
      </w:r>
      <w:r w:rsidR="00B23A81" w:rsidRPr="005F5BEA">
        <w:t xml:space="preserve">cardiac technicians </w:t>
      </w:r>
      <w:r w:rsidR="00422470" w:rsidRPr="005F5BEA">
        <w:t>in Australia</w:t>
      </w:r>
      <w:r w:rsidR="00EE077D" w:rsidRPr="005F5BEA">
        <w:t xml:space="preserve">, </w:t>
      </w:r>
      <w:r w:rsidR="00B23A81" w:rsidRPr="005F5BEA">
        <w:t>providing a skilled workforce</w:t>
      </w:r>
      <w:r w:rsidR="006B09A0" w:rsidRPr="005F5BEA">
        <w:t xml:space="preserve"> that</w:t>
      </w:r>
      <w:r w:rsidR="00B23A81" w:rsidRPr="005F5BEA">
        <w:t xml:space="preserve"> benefit</w:t>
      </w:r>
      <w:r w:rsidR="006B09A0" w:rsidRPr="005F5BEA">
        <w:t>s</w:t>
      </w:r>
      <w:r w:rsidR="00B23A81" w:rsidRPr="005F5BEA">
        <w:t xml:space="preserve"> both the public and private healthcare sectors. Industry could </w:t>
      </w:r>
      <w:r w:rsidR="00422470" w:rsidRPr="005F5BEA">
        <w:t xml:space="preserve">potentially </w:t>
      </w:r>
      <w:r w:rsidR="00B23A81" w:rsidRPr="005F5BEA">
        <w:t xml:space="preserve">have a role in </w:t>
      </w:r>
      <w:r w:rsidR="00422470" w:rsidRPr="005F5BEA">
        <w:t xml:space="preserve">both </w:t>
      </w:r>
      <w:r w:rsidR="00B23A81" w:rsidRPr="005F5BEA">
        <w:t xml:space="preserve">the development and delivery of </w:t>
      </w:r>
      <w:r w:rsidR="00422470" w:rsidRPr="005F5BEA">
        <w:t xml:space="preserve">accredited </w:t>
      </w:r>
      <w:r w:rsidR="00B23A81" w:rsidRPr="005F5BEA">
        <w:t xml:space="preserve">training. </w:t>
      </w:r>
      <w:r w:rsidR="00EE077D" w:rsidRPr="005F5BEA">
        <w:t>T</w:t>
      </w:r>
      <w:r w:rsidR="00B23A81" w:rsidRPr="005F5BEA">
        <w:t xml:space="preserve">he current lack of accredited training </w:t>
      </w:r>
      <w:r w:rsidR="00EE077D" w:rsidRPr="005F5BEA">
        <w:t xml:space="preserve">and trained cardiac technicians </w:t>
      </w:r>
      <w:r w:rsidR="006B09A0" w:rsidRPr="005F5BEA">
        <w:t>may be a barrier to the adoption of Model 2</w:t>
      </w:r>
      <w:r w:rsidR="00EE077D" w:rsidRPr="005F5BEA">
        <w:t xml:space="preserve"> in private clinics/hospitals</w:t>
      </w:r>
      <w:r w:rsidR="00B23A81" w:rsidRPr="005F5BEA">
        <w:t>.</w:t>
      </w:r>
    </w:p>
    <w:p w14:paraId="4BBE7897" w14:textId="4B4041CB" w:rsidR="0089265D" w:rsidRPr="005F5BEA" w:rsidRDefault="0089265D" w:rsidP="002019FE">
      <w:r w:rsidRPr="005F5BEA">
        <w:t xml:space="preserve">The ADAR discusses efficiencies that </w:t>
      </w:r>
      <w:r w:rsidR="006A42B6" w:rsidRPr="005F5BEA">
        <w:t>could potentially</w:t>
      </w:r>
      <w:r w:rsidRPr="005F5BEA">
        <w:t xml:space="preserve"> reduce costs associated with </w:t>
      </w:r>
      <w:r w:rsidR="00422470" w:rsidRPr="005F5BEA">
        <w:t xml:space="preserve">the provision of </w:t>
      </w:r>
      <w:r w:rsidRPr="005F5BEA">
        <w:t xml:space="preserve">CIED follow-up services. These efficiencies and potential approaches to reimbursement </w:t>
      </w:r>
      <w:r w:rsidR="006A42B6" w:rsidRPr="005F5BEA">
        <w:t xml:space="preserve">of technical services </w:t>
      </w:r>
      <w:r w:rsidRPr="005F5BEA">
        <w:t xml:space="preserve">are included below for each of the services provided by </w:t>
      </w:r>
      <w:r w:rsidR="00B62C82" w:rsidRPr="005F5BEA">
        <w:t>IECT</w:t>
      </w:r>
      <w:r w:rsidRPr="005F5BEA">
        <w:t>s and, in</w:t>
      </w:r>
      <w:r w:rsidR="00422470" w:rsidRPr="005F5BEA">
        <w:t xml:space="preserve"> </w:t>
      </w:r>
      <w:r w:rsidRPr="005F5BEA">
        <w:t>some cases, by clinic/hospital employed cardiac technicians.</w:t>
      </w:r>
      <w:r w:rsidR="00422470" w:rsidRPr="005F5BEA">
        <w:t xml:space="preserve"> </w:t>
      </w:r>
    </w:p>
    <w:p w14:paraId="24FF0017" w14:textId="77777777" w:rsidR="00422470" w:rsidRPr="005F5BEA" w:rsidRDefault="00422470" w:rsidP="00311959">
      <w:pPr>
        <w:pStyle w:val="Heading4"/>
      </w:pPr>
      <w:r w:rsidRPr="005F5BEA">
        <w:t>CIED implantation support and Day-1 post-implantation check</w:t>
      </w:r>
    </w:p>
    <w:p w14:paraId="65B34586" w14:textId="6A5E481A" w:rsidR="00422470" w:rsidRPr="005F5BEA" w:rsidRDefault="00417F56" w:rsidP="00422470">
      <w:pPr>
        <w:rPr>
          <w:iCs/>
        </w:rPr>
      </w:pPr>
      <w:r w:rsidRPr="005F5BEA">
        <w:rPr>
          <w:iCs/>
        </w:rPr>
        <w:t>As for other implanted devices, i</w:t>
      </w:r>
      <w:r w:rsidR="006B6BCF" w:rsidRPr="005F5BEA">
        <w:rPr>
          <w:iCs/>
        </w:rPr>
        <w:t xml:space="preserve">t would be reasonable to </w:t>
      </w:r>
      <w:r w:rsidR="00422470" w:rsidRPr="005F5BEA">
        <w:rPr>
          <w:iCs/>
        </w:rPr>
        <w:t xml:space="preserve">consider that reimbursement for </w:t>
      </w:r>
      <w:r w:rsidR="006A42B6" w:rsidRPr="005F5BEA">
        <w:rPr>
          <w:iCs/>
        </w:rPr>
        <w:t xml:space="preserve">CIED </w:t>
      </w:r>
      <w:r w:rsidR="00422470" w:rsidRPr="005F5BEA">
        <w:rPr>
          <w:iCs/>
        </w:rPr>
        <w:t xml:space="preserve">implantation technical support is included in the </w:t>
      </w:r>
      <w:r w:rsidR="006B09A0" w:rsidRPr="005F5BEA">
        <w:rPr>
          <w:iCs/>
        </w:rPr>
        <w:t>device cost</w:t>
      </w:r>
      <w:r w:rsidR="00422470" w:rsidRPr="005F5BEA">
        <w:rPr>
          <w:iCs/>
        </w:rPr>
        <w:t xml:space="preserve"> </w:t>
      </w:r>
      <w:r w:rsidRPr="005F5BEA">
        <w:rPr>
          <w:iCs/>
        </w:rPr>
        <w:t>for</w:t>
      </w:r>
      <w:r w:rsidR="00422470" w:rsidRPr="005F5BEA">
        <w:rPr>
          <w:iCs/>
        </w:rPr>
        <w:t xml:space="preserve"> CIEDs. </w:t>
      </w:r>
      <w:r w:rsidR="006B6BCF" w:rsidRPr="005F5BEA">
        <w:rPr>
          <w:iCs/>
        </w:rPr>
        <w:t>S</w:t>
      </w:r>
      <w:r w:rsidR="00422470" w:rsidRPr="005F5BEA">
        <w:rPr>
          <w:iCs/>
        </w:rPr>
        <w:t xml:space="preserve">ervices provided by </w:t>
      </w:r>
      <w:r w:rsidR="00B62C82" w:rsidRPr="005F5BEA">
        <w:rPr>
          <w:iCs/>
        </w:rPr>
        <w:t>IECT</w:t>
      </w:r>
      <w:r w:rsidR="00422470" w:rsidRPr="005F5BEA">
        <w:rPr>
          <w:iCs/>
        </w:rPr>
        <w:t>s may be considered as “customer support activities”, ensuring that the implanted CIED is working safely and effectively</w:t>
      </w:r>
      <w:r w:rsidR="006B09A0" w:rsidRPr="005F5BEA">
        <w:rPr>
          <w:iCs/>
        </w:rPr>
        <w:t>, and consistent with</w:t>
      </w:r>
      <w:r w:rsidR="00422470" w:rsidRPr="005F5BEA">
        <w:rPr>
          <w:iCs/>
        </w:rPr>
        <w:t xml:space="preserve"> the implanting cardiologist’s expectations. In many cases, CIED implantation is carried out as day surgery and the Day-1 check may be achieved through remote interrogation of the CIED rather than as an in-person consultation with the cardiologist and </w:t>
      </w:r>
      <w:r w:rsidR="00B62C82" w:rsidRPr="005F5BEA">
        <w:rPr>
          <w:iCs/>
        </w:rPr>
        <w:t>IECT</w:t>
      </w:r>
      <w:r w:rsidR="00422470" w:rsidRPr="005F5BEA">
        <w:rPr>
          <w:iCs/>
        </w:rPr>
        <w:t>.</w:t>
      </w:r>
    </w:p>
    <w:p w14:paraId="1A3856E0" w14:textId="77777777" w:rsidR="00E66DCC" w:rsidRPr="005F5BEA" w:rsidRDefault="00E66DCC" w:rsidP="00E66DCC">
      <w:pPr>
        <w:keepNext/>
        <w:keepLines/>
        <w:tabs>
          <w:tab w:val="left" w:pos="851"/>
        </w:tabs>
        <w:spacing w:before="360" w:after="200" w:line="240" w:lineRule="auto"/>
        <w:outlineLvl w:val="3"/>
        <w:rPr>
          <w:rFonts w:ascii="Franklin Gothic Medium" w:eastAsiaTheme="majorEastAsia" w:hAnsi="Franklin Gothic Medium" w:cstheme="majorBidi"/>
          <w:i/>
          <w:sz w:val="24"/>
          <w:szCs w:val="24"/>
        </w:rPr>
      </w:pPr>
      <w:r w:rsidRPr="005F5BEA">
        <w:rPr>
          <w:rFonts w:ascii="Franklin Gothic Medium" w:eastAsiaTheme="majorEastAsia" w:hAnsi="Franklin Gothic Medium" w:cstheme="majorBidi"/>
          <w:i/>
          <w:sz w:val="24"/>
          <w:szCs w:val="24"/>
        </w:rPr>
        <w:lastRenderedPageBreak/>
        <w:t xml:space="preserve">Scheduled in-person follow-up </w:t>
      </w:r>
      <w:proofErr w:type="gramStart"/>
      <w:r w:rsidRPr="005F5BEA">
        <w:rPr>
          <w:rFonts w:ascii="Franklin Gothic Medium" w:eastAsiaTheme="majorEastAsia" w:hAnsi="Franklin Gothic Medium" w:cstheme="majorBidi"/>
          <w:i/>
          <w:sz w:val="24"/>
          <w:szCs w:val="24"/>
        </w:rPr>
        <w:t>services</w:t>
      </w:r>
      <w:proofErr w:type="gramEnd"/>
    </w:p>
    <w:p w14:paraId="368BEBEB" w14:textId="58797083" w:rsidR="00E520D6" w:rsidRPr="005F5BEA" w:rsidRDefault="00422470" w:rsidP="00E520D6">
      <w:pPr>
        <w:rPr>
          <w:iCs/>
        </w:rPr>
      </w:pPr>
      <w:r w:rsidRPr="005F5BEA">
        <w:rPr>
          <w:iCs/>
        </w:rPr>
        <w:t xml:space="preserve">The </w:t>
      </w:r>
      <w:r w:rsidR="006A42B6" w:rsidRPr="005F5BEA">
        <w:rPr>
          <w:iCs/>
        </w:rPr>
        <w:t xml:space="preserve">degree of </w:t>
      </w:r>
      <w:r w:rsidR="00B62C82" w:rsidRPr="005F5BEA">
        <w:rPr>
          <w:iCs/>
        </w:rPr>
        <w:t>IECT</w:t>
      </w:r>
      <w:r w:rsidRPr="005F5BEA">
        <w:rPr>
          <w:iCs/>
        </w:rPr>
        <w:t xml:space="preserve"> </w:t>
      </w:r>
      <w:r w:rsidR="006A42B6" w:rsidRPr="005F5BEA">
        <w:rPr>
          <w:iCs/>
        </w:rPr>
        <w:t xml:space="preserve">involvement </w:t>
      </w:r>
      <w:r w:rsidRPr="005F5BEA">
        <w:rPr>
          <w:iCs/>
        </w:rPr>
        <w:t>in scheduled follow-ups may depend upon whether the clinic or hospital employs their own cardiac technicians</w:t>
      </w:r>
      <w:r w:rsidR="006A42B6" w:rsidRPr="005F5BEA">
        <w:rPr>
          <w:iCs/>
        </w:rPr>
        <w:t>, the training of the cardiologist</w:t>
      </w:r>
      <w:r w:rsidRPr="005F5BEA">
        <w:rPr>
          <w:iCs/>
        </w:rPr>
        <w:t xml:space="preserve"> and </w:t>
      </w:r>
      <w:r w:rsidR="008017D3" w:rsidRPr="005F5BEA">
        <w:rPr>
          <w:iCs/>
        </w:rPr>
        <w:t xml:space="preserve">whether the service </w:t>
      </w:r>
      <w:r w:rsidRPr="005F5BEA">
        <w:rPr>
          <w:iCs/>
        </w:rPr>
        <w:t xml:space="preserve">requires </w:t>
      </w:r>
      <w:r w:rsidR="00B62C82" w:rsidRPr="005F5BEA">
        <w:rPr>
          <w:iCs/>
        </w:rPr>
        <w:t>IECT</w:t>
      </w:r>
      <w:r w:rsidRPr="005F5BEA">
        <w:rPr>
          <w:iCs/>
        </w:rPr>
        <w:t xml:space="preserve"> specialist knowledge of the </w:t>
      </w:r>
      <w:proofErr w:type="gramStart"/>
      <w:r w:rsidRPr="005F5BEA">
        <w:rPr>
          <w:iCs/>
        </w:rPr>
        <w:t>particular CIED</w:t>
      </w:r>
      <w:proofErr w:type="gramEnd"/>
      <w:r w:rsidRPr="005F5BEA">
        <w:rPr>
          <w:iCs/>
        </w:rPr>
        <w:t xml:space="preserve"> to resolve a clinical or system issue. </w:t>
      </w:r>
      <w:r w:rsidR="00BE6B32" w:rsidRPr="005F5BEA">
        <w:rPr>
          <w:iCs/>
        </w:rPr>
        <w:t>For scheduled in-person follow-up</w:t>
      </w:r>
      <w:r w:rsidR="008017D3" w:rsidRPr="005F5BEA">
        <w:rPr>
          <w:iCs/>
        </w:rPr>
        <w:t>s</w:t>
      </w:r>
      <w:r w:rsidR="00BE6B32" w:rsidRPr="005F5BEA">
        <w:rPr>
          <w:iCs/>
        </w:rPr>
        <w:t xml:space="preserve">, </w:t>
      </w:r>
      <w:r w:rsidR="00B62C82" w:rsidRPr="005F5BEA">
        <w:rPr>
          <w:iCs/>
        </w:rPr>
        <w:t>IECT</w:t>
      </w:r>
      <w:r w:rsidR="00BE6B32" w:rsidRPr="005F5BEA">
        <w:rPr>
          <w:iCs/>
        </w:rPr>
        <w:t xml:space="preserve">s </w:t>
      </w:r>
      <w:r w:rsidR="006A42B6" w:rsidRPr="005F5BEA">
        <w:rPr>
          <w:iCs/>
        </w:rPr>
        <w:t xml:space="preserve">currently </w:t>
      </w:r>
      <w:r w:rsidR="00BE6B32" w:rsidRPr="005F5BEA">
        <w:rPr>
          <w:iCs/>
        </w:rPr>
        <w:t>only deliver 1 or 2 services</w:t>
      </w:r>
      <w:r w:rsidR="008017D3" w:rsidRPr="005F5BEA">
        <w:rPr>
          <w:iCs/>
        </w:rPr>
        <w:t xml:space="preserve"> per visit to</w:t>
      </w:r>
      <w:r w:rsidR="00BE6B32" w:rsidRPr="005F5BEA">
        <w:rPr>
          <w:iCs/>
        </w:rPr>
        <w:t xml:space="preserve"> a clinic located in metro</w:t>
      </w:r>
      <w:r w:rsidR="008017D3" w:rsidRPr="005F5BEA">
        <w:rPr>
          <w:iCs/>
        </w:rPr>
        <w:t>politan</w:t>
      </w:r>
      <w:r w:rsidR="00BE6B32" w:rsidRPr="005F5BEA">
        <w:rPr>
          <w:iCs/>
        </w:rPr>
        <w:t xml:space="preserve"> areas. The overheads and cost of transportation associated with the provision of a small number of services is high under these circumstances. A greater number of services are carried out at </w:t>
      </w:r>
      <w:r w:rsidR="00D33B2A" w:rsidRPr="005F5BEA">
        <w:rPr>
          <w:iCs/>
        </w:rPr>
        <w:t xml:space="preserve">each </w:t>
      </w:r>
      <w:r w:rsidR="00BE6B32" w:rsidRPr="005F5BEA">
        <w:rPr>
          <w:iCs/>
        </w:rPr>
        <w:t>regional and remote clinic which is more efficient.</w:t>
      </w:r>
      <w:r w:rsidR="00E520D6" w:rsidRPr="005F5BEA">
        <w:rPr>
          <w:iCs/>
        </w:rPr>
        <w:t xml:space="preserve"> The ADAR states that industry is responding to these acknowledged inefficiencies in service delivery by reducing a requirement for attendance to deliver some technical services. </w:t>
      </w:r>
    </w:p>
    <w:p w14:paraId="2B0711E1" w14:textId="3AACC9CB" w:rsidR="00E520D6" w:rsidRPr="005F5BEA" w:rsidRDefault="00E520D6" w:rsidP="00D33B2A">
      <w:pPr>
        <w:rPr>
          <w:iCs/>
        </w:rPr>
      </w:pPr>
      <w:r w:rsidRPr="005F5BEA">
        <w:rPr>
          <w:iCs/>
          <w:lang w:val="en-GB"/>
        </w:rPr>
        <w:t xml:space="preserve">A member of the reference group considered that the average number of scheduled checks per FTE </w:t>
      </w:r>
      <w:r w:rsidR="00B62C82" w:rsidRPr="005F5BEA">
        <w:rPr>
          <w:iCs/>
          <w:lang w:val="en-GB"/>
        </w:rPr>
        <w:t>IECT</w:t>
      </w:r>
      <w:r w:rsidRPr="005F5BEA">
        <w:rPr>
          <w:iCs/>
          <w:lang w:val="en-GB"/>
        </w:rPr>
        <w:t xml:space="preserve"> (9.3 per week) was a low workload for one FTE. </w:t>
      </w:r>
      <w:r w:rsidR="00E66DCC" w:rsidRPr="005F5BEA">
        <w:rPr>
          <w:iCs/>
        </w:rPr>
        <w:t>A</w:t>
      </w:r>
      <w:r w:rsidRPr="005F5BEA">
        <w:rPr>
          <w:iCs/>
        </w:rPr>
        <w:t>nother</w:t>
      </w:r>
      <w:bookmarkStart w:id="60" w:name="_Hlk124174922"/>
      <w:r w:rsidR="00947BC5" w:rsidRPr="005F5BEA">
        <w:rPr>
          <w:iCs/>
        </w:rPr>
        <w:t xml:space="preserve"> member of the reference group stated that in private CIED follow-up clinics, an employed cardiac technician will see 15-20 patients per half day for scheduled checks</w:t>
      </w:r>
      <w:bookmarkEnd w:id="60"/>
      <w:r w:rsidR="00947BC5" w:rsidRPr="005F5BEA">
        <w:rPr>
          <w:iCs/>
        </w:rPr>
        <w:t xml:space="preserve">. </w:t>
      </w:r>
    </w:p>
    <w:p w14:paraId="034BCE54" w14:textId="7B429DF1" w:rsidR="00BE6B32" w:rsidRPr="005F5BEA" w:rsidRDefault="00696B37" w:rsidP="00422470">
      <w:pPr>
        <w:rPr>
          <w:iCs/>
        </w:rPr>
      </w:pPr>
      <w:r w:rsidRPr="005F5BEA">
        <w:rPr>
          <w:iCs/>
        </w:rPr>
        <w:t xml:space="preserve">Funding could be provided </w:t>
      </w:r>
      <w:r w:rsidR="006A42B6" w:rsidRPr="005F5BEA">
        <w:rPr>
          <w:iCs/>
        </w:rPr>
        <w:t>on a fee per service basis to the clinic</w:t>
      </w:r>
      <w:r w:rsidRPr="005F5BEA">
        <w:rPr>
          <w:iCs/>
        </w:rPr>
        <w:t xml:space="preserve"> to provide </w:t>
      </w:r>
      <w:r w:rsidR="00BE6B32" w:rsidRPr="005F5BEA">
        <w:rPr>
          <w:iCs/>
        </w:rPr>
        <w:t xml:space="preserve">reimbursement for technical support </w:t>
      </w:r>
      <w:r w:rsidR="00996245" w:rsidRPr="005F5BEA">
        <w:rPr>
          <w:iCs/>
        </w:rPr>
        <w:t xml:space="preserve">to </w:t>
      </w:r>
      <w:r w:rsidR="00BE6B32" w:rsidRPr="005F5BEA">
        <w:rPr>
          <w:iCs/>
        </w:rPr>
        <w:t xml:space="preserve">either an </w:t>
      </w:r>
      <w:r w:rsidR="00B62C82" w:rsidRPr="005F5BEA">
        <w:rPr>
          <w:iCs/>
        </w:rPr>
        <w:t>IECT</w:t>
      </w:r>
      <w:r w:rsidR="00BE6B32" w:rsidRPr="005F5BEA">
        <w:rPr>
          <w:iCs/>
        </w:rPr>
        <w:t xml:space="preserve"> or </w:t>
      </w:r>
      <w:r w:rsidR="00996245" w:rsidRPr="005F5BEA">
        <w:rPr>
          <w:iCs/>
        </w:rPr>
        <w:t>non-industry</w:t>
      </w:r>
      <w:r w:rsidR="00BE6B32" w:rsidRPr="005F5BEA">
        <w:rPr>
          <w:iCs/>
        </w:rPr>
        <w:t xml:space="preserve"> cardiac technician</w:t>
      </w:r>
      <w:r w:rsidR="00996245" w:rsidRPr="005F5BEA">
        <w:rPr>
          <w:iCs/>
        </w:rPr>
        <w:t xml:space="preserve"> depending upon the service required</w:t>
      </w:r>
      <w:r w:rsidR="00BE6B32" w:rsidRPr="005F5BEA">
        <w:rPr>
          <w:iCs/>
        </w:rPr>
        <w:t>.</w:t>
      </w:r>
      <w:r w:rsidRPr="005F5BEA">
        <w:rPr>
          <w:iCs/>
        </w:rPr>
        <w:t xml:space="preserve"> T</w:t>
      </w:r>
      <w:r w:rsidR="00417F56" w:rsidRPr="005F5BEA">
        <w:rPr>
          <w:iCs/>
        </w:rPr>
        <w:t xml:space="preserve">he physician can already claim MBS reimbursement for </w:t>
      </w:r>
      <w:r w:rsidR="00BE6B32" w:rsidRPr="005F5BEA">
        <w:rPr>
          <w:iCs/>
        </w:rPr>
        <w:t>CIED follow-up patient</w:t>
      </w:r>
      <w:r w:rsidR="00417F56" w:rsidRPr="005F5BEA">
        <w:rPr>
          <w:iCs/>
        </w:rPr>
        <w:t xml:space="preserve"> consultations</w:t>
      </w:r>
      <w:r w:rsidRPr="005F5BEA">
        <w:rPr>
          <w:iCs/>
        </w:rPr>
        <w:t>, either scheduled or in response to remote monitoring alerts</w:t>
      </w:r>
      <w:r w:rsidR="00422470" w:rsidRPr="005F5BEA">
        <w:rPr>
          <w:iCs/>
        </w:rPr>
        <w:t xml:space="preserve">. </w:t>
      </w:r>
    </w:p>
    <w:p w14:paraId="47670088" w14:textId="77777777" w:rsidR="00E66DCC" w:rsidRPr="005F5BEA" w:rsidRDefault="00E66DCC" w:rsidP="00E66DCC">
      <w:pPr>
        <w:keepNext/>
        <w:keepLines/>
        <w:tabs>
          <w:tab w:val="left" w:pos="851"/>
        </w:tabs>
        <w:spacing w:before="360" w:after="200" w:line="240" w:lineRule="auto"/>
        <w:outlineLvl w:val="3"/>
        <w:rPr>
          <w:rFonts w:ascii="Franklin Gothic Medium" w:eastAsiaTheme="majorEastAsia" w:hAnsi="Franklin Gothic Medium" w:cstheme="majorBidi"/>
          <w:i/>
          <w:sz w:val="24"/>
          <w:szCs w:val="24"/>
        </w:rPr>
      </w:pPr>
      <w:r w:rsidRPr="005F5BEA">
        <w:rPr>
          <w:rFonts w:ascii="Franklin Gothic Medium" w:eastAsiaTheme="majorEastAsia" w:hAnsi="Franklin Gothic Medium" w:cstheme="majorBidi"/>
          <w:i/>
          <w:sz w:val="24"/>
          <w:szCs w:val="24"/>
        </w:rPr>
        <w:t>Unscheduled in-person cardiac technical support services</w:t>
      </w:r>
    </w:p>
    <w:p w14:paraId="10BF1195" w14:textId="45B22EC5" w:rsidR="00E520D6" w:rsidRPr="005F5BEA" w:rsidRDefault="00422470" w:rsidP="00422470">
      <w:pPr>
        <w:rPr>
          <w:iCs/>
        </w:rPr>
      </w:pPr>
      <w:r w:rsidRPr="005F5BEA">
        <w:rPr>
          <w:iCs/>
        </w:rPr>
        <w:t xml:space="preserve">Unscheduled services form a small proportion of overall CIED technical services. However, the burden of providing them is high in terms of availability of </w:t>
      </w:r>
      <w:r w:rsidR="00B62C82" w:rsidRPr="005F5BEA">
        <w:rPr>
          <w:iCs/>
        </w:rPr>
        <w:t>IECT</w:t>
      </w:r>
      <w:r w:rsidRPr="005F5BEA">
        <w:rPr>
          <w:iCs/>
        </w:rPr>
        <w:t xml:space="preserve"> or cardiac technicians at short notice and costs of in-person attendance 24 hours/7 days per week to carry out the required service. Because </w:t>
      </w:r>
      <w:r w:rsidR="00996245" w:rsidRPr="005F5BEA">
        <w:rPr>
          <w:iCs/>
        </w:rPr>
        <w:t>these are often arranged at short notice</w:t>
      </w:r>
      <w:r w:rsidRPr="005F5BEA">
        <w:rPr>
          <w:iCs/>
        </w:rPr>
        <w:t xml:space="preserve">, only one unscheduled technical service is likely to be required at a single location per trip. These services are therefore likely to be associated with higher </w:t>
      </w:r>
      <w:r w:rsidR="00D33B2A" w:rsidRPr="005F5BEA">
        <w:rPr>
          <w:iCs/>
        </w:rPr>
        <w:t xml:space="preserve">overheads and </w:t>
      </w:r>
      <w:r w:rsidRPr="005F5BEA">
        <w:rPr>
          <w:iCs/>
        </w:rPr>
        <w:t xml:space="preserve">costs (increased time, travel and salary costs) than routine scheduled services where multiple patients can be </w:t>
      </w:r>
      <w:proofErr w:type="gramStart"/>
      <w:r w:rsidRPr="005F5BEA">
        <w:rPr>
          <w:iCs/>
        </w:rPr>
        <w:t>seen</w:t>
      </w:r>
      <w:proofErr w:type="gramEnd"/>
      <w:r w:rsidRPr="005F5BEA">
        <w:rPr>
          <w:iCs/>
        </w:rPr>
        <w:t xml:space="preserve"> </w:t>
      </w:r>
      <w:r w:rsidR="00D33B2A" w:rsidRPr="005F5BEA">
        <w:rPr>
          <w:iCs/>
        </w:rPr>
        <w:t xml:space="preserve">and services carried out </w:t>
      </w:r>
      <w:r w:rsidRPr="005F5BEA">
        <w:rPr>
          <w:iCs/>
        </w:rPr>
        <w:t>at a single location.</w:t>
      </w:r>
    </w:p>
    <w:p w14:paraId="6C014B61" w14:textId="5FB91E18" w:rsidR="00422470" w:rsidRPr="005F5BEA" w:rsidRDefault="00422470" w:rsidP="00422470">
      <w:pPr>
        <w:rPr>
          <w:iCs/>
        </w:rPr>
      </w:pPr>
      <w:r w:rsidRPr="005F5BEA">
        <w:rPr>
          <w:iCs/>
        </w:rPr>
        <w:t xml:space="preserve">Reimbursement on a fee per service basis may be most appropriate </w:t>
      </w:r>
      <w:r w:rsidR="00D33B2A" w:rsidRPr="005F5BEA">
        <w:rPr>
          <w:iCs/>
        </w:rPr>
        <w:t xml:space="preserve">for unscheduled services </w:t>
      </w:r>
      <w:r w:rsidRPr="005F5BEA">
        <w:rPr>
          <w:iCs/>
        </w:rPr>
        <w:t>as the costs vary according to the service provided.</w:t>
      </w:r>
      <w:r w:rsidR="008017D3" w:rsidRPr="005F5BEA">
        <w:rPr>
          <w:iCs/>
        </w:rPr>
        <w:t xml:space="preserve"> A review of the proportion of unscheduled services that would require in-person </w:t>
      </w:r>
      <w:r w:rsidR="00B62C82" w:rsidRPr="005F5BEA">
        <w:rPr>
          <w:iCs/>
        </w:rPr>
        <w:t>IECT</w:t>
      </w:r>
      <w:r w:rsidR="008017D3" w:rsidRPr="005F5BEA">
        <w:rPr>
          <w:iCs/>
        </w:rPr>
        <w:t xml:space="preserve"> </w:t>
      </w:r>
      <w:r w:rsidR="00D84CD2" w:rsidRPr="005F5BEA">
        <w:rPr>
          <w:iCs/>
        </w:rPr>
        <w:t>assistance is required. Many unscheduled services occur in hospitals</w:t>
      </w:r>
      <w:r w:rsidR="00996245" w:rsidRPr="005F5BEA">
        <w:rPr>
          <w:iCs/>
        </w:rPr>
        <w:t xml:space="preserve"> </w:t>
      </w:r>
      <w:r w:rsidR="00D84CD2" w:rsidRPr="005F5BEA">
        <w:rPr>
          <w:iCs/>
        </w:rPr>
        <w:t>(that may employ cardiac technicians) or</w:t>
      </w:r>
      <w:r w:rsidR="00996245" w:rsidRPr="005F5BEA">
        <w:rPr>
          <w:iCs/>
        </w:rPr>
        <w:t>, with the development of new technology,</w:t>
      </w:r>
      <w:r w:rsidR="00D84CD2" w:rsidRPr="005F5BEA">
        <w:rPr>
          <w:iCs/>
        </w:rPr>
        <w:t xml:space="preserve"> could be performed remotely</w:t>
      </w:r>
      <w:r w:rsidR="00996245" w:rsidRPr="005F5BEA">
        <w:rPr>
          <w:iCs/>
        </w:rPr>
        <w:t xml:space="preserve"> in the future to reduce the need for in-person attendance.</w:t>
      </w:r>
    </w:p>
    <w:p w14:paraId="65DB6361" w14:textId="5BC47973" w:rsidR="00E520D6" w:rsidRPr="005F5BEA" w:rsidRDefault="00E520D6" w:rsidP="00E520D6">
      <w:pPr>
        <w:rPr>
          <w:iCs/>
        </w:rPr>
      </w:pPr>
      <w:r w:rsidRPr="005F5BEA">
        <w:rPr>
          <w:iCs/>
        </w:rPr>
        <w:t xml:space="preserve">Members of the reference group have highlighted that many of the unscheduled checks described by the applicant can now be streamlined using remote monitoring technology provided by industry. It is considered that this process is likely to increase, significantly reducing the need for </w:t>
      </w:r>
      <w:r w:rsidR="00B62C82" w:rsidRPr="005F5BEA">
        <w:rPr>
          <w:iCs/>
        </w:rPr>
        <w:t>IECT</w:t>
      </w:r>
      <w:r w:rsidRPr="005F5BEA">
        <w:rPr>
          <w:iCs/>
        </w:rPr>
        <w:t xml:space="preserve">s to attend some of these unscheduled requests in person. </w:t>
      </w:r>
    </w:p>
    <w:p w14:paraId="08B5BD5B" w14:textId="77777777" w:rsidR="00422470" w:rsidRPr="005F5BEA" w:rsidRDefault="00422470" w:rsidP="00311959">
      <w:pPr>
        <w:pStyle w:val="Heading4"/>
      </w:pPr>
      <w:r w:rsidRPr="005F5BEA">
        <w:t>Remote monitoring services</w:t>
      </w:r>
    </w:p>
    <w:p w14:paraId="63E1AEBB" w14:textId="3FC5053C" w:rsidR="00422470" w:rsidRPr="005F5BEA" w:rsidRDefault="00422470" w:rsidP="00D83B4C">
      <w:pPr>
        <w:rPr>
          <w:iCs/>
        </w:rPr>
      </w:pPr>
      <w:r w:rsidRPr="005F5BEA">
        <w:rPr>
          <w:iCs/>
        </w:rPr>
        <w:t xml:space="preserve">Remote monitoring of CIEDs is considered the new standard of care and CSANZ guidance is that it should be offered to patients wherever possible. </w:t>
      </w:r>
    </w:p>
    <w:p w14:paraId="4D2D432B" w14:textId="50D03E27" w:rsidR="0089265D" w:rsidRPr="005F5BEA" w:rsidRDefault="00B62C82">
      <w:pPr>
        <w:rPr>
          <w:iCs/>
        </w:rPr>
      </w:pPr>
      <w:r w:rsidRPr="005F5BEA">
        <w:rPr>
          <w:iCs/>
        </w:rPr>
        <w:t>IECT</w:t>
      </w:r>
      <w:r w:rsidR="00422470" w:rsidRPr="005F5BEA">
        <w:rPr>
          <w:iCs/>
        </w:rPr>
        <w:t xml:space="preserve">s or </w:t>
      </w:r>
      <w:r w:rsidR="004B6297" w:rsidRPr="005F5BEA">
        <w:rPr>
          <w:iCs/>
        </w:rPr>
        <w:t xml:space="preserve">non-industry employed </w:t>
      </w:r>
      <w:r w:rsidR="00422470" w:rsidRPr="005F5BEA">
        <w:rPr>
          <w:iCs/>
        </w:rPr>
        <w:t xml:space="preserve">cardiac technicians may be involved in reviewing and triaging remote transmissions to determine if a clinically actionable event has been identified. </w:t>
      </w:r>
      <w:r w:rsidRPr="005F5BEA">
        <w:rPr>
          <w:iCs/>
        </w:rPr>
        <w:t>IECT</w:t>
      </w:r>
      <w:r w:rsidR="000524D1" w:rsidRPr="005F5BEA">
        <w:rPr>
          <w:iCs/>
        </w:rPr>
        <w:t>s involved in reviewing of remote transmissions are based at remote monitoring centres (sometimes located overseas)</w:t>
      </w:r>
      <w:r w:rsidR="007D6199" w:rsidRPr="005F5BEA">
        <w:rPr>
          <w:iCs/>
        </w:rPr>
        <w:t xml:space="preserve"> rather than in a clinic or hospital. In some countries, such as in the </w:t>
      </w:r>
      <w:r w:rsidR="007D6199" w:rsidRPr="005F5BEA">
        <w:rPr>
          <w:iCs/>
        </w:rPr>
        <w:lastRenderedPageBreak/>
        <w:t>UK and US, reviewing transmissions from remote monitoring services has been contracted out to third-party providers.</w:t>
      </w:r>
    </w:p>
    <w:p w14:paraId="2ED6F9A6" w14:textId="7335C33B" w:rsidR="007006B2" w:rsidRPr="005F5BEA" w:rsidRDefault="007006B2" w:rsidP="007006B2">
      <w:pPr>
        <w:rPr>
          <w:iCs/>
        </w:rPr>
      </w:pPr>
      <w:r w:rsidRPr="005F5BEA">
        <w:rPr>
          <w:iCs/>
        </w:rPr>
        <w:t xml:space="preserve">CIED remote monitoring infrastructure (monitor/smartphone app and servers for data storage) is currently funded by the PL at the time of device implantation. A reference group member highlighted that </w:t>
      </w:r>
      <w:r w:rsidR="00B90D8F" w:rsidRPr="005F5BEA">
        <w:rPr>
          <w:iCs/>
        </w:rPr>
        <w:t xml:space="preserve">not all </w:t>
      </w:r>
      <w:r w:rsidRPr="005F5BEA">
        <w:rPr>
          <w:iCs/>
        </w:rPr>
        <w:t>individuals billed for the provision of remote monitoring</w:t>
      </w:r>
      <w:r w:rsidR="00B90D8F" w:rsidRPr="005F5BEA">
        <w:rPr>
          <w:iCs/>
        </w:rPr>
        <w:t xml:space="preserve"> infrastructure</w:t>
      </w:r>
      <w:r w:rsidR="00E55BDD" w:rsidRPr="005F5BEA">
        <w:rPr>
          <w:iCs/>
        </w:rPr>
        <w:t xml:space="preserve"> had their remote monitoring activated and enrolled in the remote monitoring service</w:t>
      </w:r>
      <w:r w:rsidRPr="005F5BEA">
        <w:rPr>
          <w:iCs/>
        </w:rPr>
        <w:t>.</w:t>
      </w:r>
    </w:p>
    <w:p w14:paraId="225B984F" w14:textId="0D4EED97" w:rsidR="004B6297" w:rsidRPr="005F5BEA" w:rsidRDefault="004B6297" w:rsidP="004B6297">
      <w:pPr>
        <w:rPr>
          <w:iCs/>
        </w:rPr>
      </w:pPr>
      <w:r w:rsidRPr="005F5BEA">
        <w:rPr>
          <w:iCs/>
        </w:rPr>
        <w:t xml:space="preserve">Funding for review of remote monitoring clinical or system alerts is currently provided by an item for each CIED type via the MBS. Additionally, some private clinics providing their own remote monitoring service are charging an annual fee to the patient for review of remote transmission and associated administrative tasks. Whether </w:t>
      </w:r>
      <w:r w:rsidR="00C20287" w:rsidRPr="005F5BEA">
        <w:rPr>
          <w:iCs/>
        </w:rPr>
        <w:t xml:space="preserve">the MBS item and </w:t>
      </w:r>
      <w:r w:rsidRPr="005F5BEA">
        <w:rPr>
          <w:iCs/>
        </w:rPr>
        <w:t>these fees are adequate to cover</w:t>
      </w:r>
      <w:r w:rsidR="00C20287" w:rsidRPr="005F5BEA">
        <w:rPr>
          <w:iCs/>
        </w:rPr>
        <w:t xml:space="preserve"> the</w:t>
      </w:r>
      <w:r w:rsidRPr="005F5BEA">
        <w:rPr>
          <w:iCs/>
        </w:rPr>
        <w:t xml:space="preserve"> cost of providing the service or represent an acceptable cost to the patient i</w:t>
      </w:r>
      <w:r w:rsidR="00BA03DB" w:rsidRPr="005F5BEA">
        <w:rPr>
          <w:iCs/>
        </w:rPr>
        <w:t>s</w:t>
      </w:r>
      <w:r w:rsidRPr="005F5BEA">
        <w:rPr>
          <w:iCs/>
        </w:rPr>
        <w:t xml:space="preserve"> currently </w:t>
      </w:r>
      <w:r w:rsidR="005A5C31" w:rsidRPr="005F5BEA">
        <w:rPr>
          <w:iCs/>
        </w:rPr>
        <w:t>unclear and was not informed by the ADAR.</w:t>
      </w:r>
    </w:p>
    <w:p w14:paraId="520503EA" w14:textId="6D40B0C7" w:rsidR="004B6297" w:rsidRPr="005F5BEA" w:rsidRDefault="005A5C31" w:rsidP="004B6297">
      <w:pPr>
        <w:rPr>
          <w:iCs/>
        </w:rPr>
      </w:pPr>
      <w:r w:rsidRPr="005F5BEA">
        <w:rPr>
          <w:iCs/>
        </w:rPr>
        <w:t>To assess the cost and value of remote monitoring services</w:t>
      </w:r>
      <w:r w:rsidR="004B6297" w:rsidRPr="005F5BEA">
        <w:rPr>
          <w:iCs/>
        </w:rPr>
        <w:t xml:space="preserve">, an accurate costing review of providing </w:t>
      </w:r>
      <w:r w:rsidRPr="005F5BEA">
        <w:rPr>
          <w:iCs/>
        </w:rPr>
        <w:t xml:space="preserve">these </w:t>
      </w:r>
      <w:r w:rsidR="004B6297" w:rsidRPr="005F5BEA">
        <w:rPr>
          <w:iCs/>
        </w:rPr>
        <w:t xml:space="preserve">services is required to inform an appropriate funding model, noting that the burden of </w:t>
      </w:r>
      <w:r w:rsidR="00C20287" w:rsidRPr="005F5BEA">
        <w:rPr>
          <w:iCs/>
        </w:rPr>
        <w:t xml:space="preserve">remote </w:t>
      </w:r>
      <w:r w:rsidR="004B6297" w:rsidRPr="005F5BEA">
        <w:rPr>
          <w:iCs/>
        </w:rPr>
        <w:t xml:space="preserve">monitoring likely differs across </w:t>
      </w:r>
      <w:r w:rsidRPr="005F5BEA">
        <w:rPr>
          <w:iCs/>
        </w:rPr>
        <w:t xml:space="preserve">different </w:t>
      </w:r>
      <w:r w:rsidR="004B6297" w:rsidRPr="005F5BEA">
        <w:rPr>
          <w:iCs/>
        </w:rPr>
        <w:t xml:space="preserve">CIED types. Alternative options for providing </w:t>
      </w:r>
      <w:r w:rsidR="00C20287" w:rsidRPr="005F5BEA">
        <w:rPr>
          <w:iCs/>
        </w:rPr>
        <w:t>these</w:t>
      </w:r>
      <w:r w:rsidR="004B6297" w:rsidRPr="005F5BEA">
        <w:rPr>
          <w:iCs/>
        </w:rPr>
        <w:t xml:space="preserve"> services may have vastly differing costs (from the use of individual technicians employed by private clinics that monitor a few hundred patients, to large third-party providers that monitor thousands of patients), and several options</w:t>
      </w:r>
      <w:r w:rsidR="00C20287" w:rsidRPr="005F5BEA">
        <w:rPr>
          <w:iCs/>
        </w:rPr>
        <w:t xml:space="preserve"> could</w:t>
      </w:r>
      <w:r w:rsidR="004B6297" w:rsidRPr="005F5BEA">
        <w:rPr>
          <w:iCs/>
        </w:rPr>
        <w:t xml:space="preserve"> be considered during the review.</w:t>
      </w:r>
    </w:p>
    <w:p w14:paraId="13F34C85" w14:textId="7FF016CD" w:rsidR="00592096" w:rsidRPr="005F5BEA" w:rsidRDefault="003B3DF7" w:rsidP="00683B7B">
      <w:pPr>
        <w:pStyle w:val="Heading2"/>
      </w:pPr>
      <w:r w:rsidRPr="005F5BEA">
        <w:t>13</w:t>
      </w:r>
      <w:r w:rsidR="00BA5544" w:rsidRPr="005F5BEA">
        <w:t>.</w:t>
      </w:r>
      <w:r w:rsidR="00BA5544" w:rsidRPr="005F5BEA">
        <w:tab/>
      </w:r>
      <w:r w:rsidR="009C6F77" w:rsidRPr="005F5BEA">
        <w:t xml:space="preserve">Discussion </w:t>
      </w:r>
    </w:p>
    <w:p w14:paraId="4161C1B2" w14:textId="5FED3768" w:rsidR="007A4A53" w:rsidRPr="005F5BEA" w:rsidRDefault="007A4A53" w:rsidP="007A4A53">
      <w:r w:rsidRPr="005F5BEA">
        <w:t xml:space="preserve">From the data supplied in the ADAR by the applicant, </w:t>
      </w:r>
      <w:r w:rsidR="00191315" w:rsidRPr="005F5BEA">
        <w:t xml:space="preserve">the commentary considered that </w:t>
      </w:r>
      <w:r w:rsidRPr="005F5BEA">
        <w:t xml:space="preserve">it was not possible to confidently estimate the number of active CIEDs in Australia. </w:t>
      </w:r>
      <w:r w:rsidR="00191315" w:rsidRPr="005F5BEA">
        <w:t xml:space="preserve">The commentary considered that it </w:t>
      </w:r>
      <w:r w:rsidRPr="005F5BEA">
        <w:t xml:space="preserve">was also unclear what proportion of technical services were provided by </w:t>
      </w:r>
      <w:r w:rsidR="00B62C82" w:rsidRPr="005F5BEA">
        <w:t>IECT</w:t>
      </w:r>
      <w:r w:rsidR="0010263F" w:rsidRPr="005F5BEA">
        <w:t xml:space="preserve"> or, alternatively, </w:t>
      </w:r>
      <w:r w:rsidRPr="005F5BEA">
        <w:t>cardiac technicians</w:t>
      </w:r>
      <w:r w:rsidR="0002541E" w:rsidRPr="005F5BEA">
        <w:t xml:space="preserve"> who are not industry-employed.</w:t>
      </w:r>
      <w:r w:rsidRPr="005F5BEA">
        <w:t xml:space="preserve"> As a result, an estimate of the cost </w:t>
      </w:r>
      <w:r w:rsidR="0010263F" w:rsidRPr="005F5BEA">
        <w:t xml:space="preserve">of technical support </w:t>
      </w:r>
      <w:r w:rsidRPr="005F5BEA">
        <w:t>per device lifetime could not be calculated</w:t>
      </w:r>
      <w:r w:rsidR="0002541E" w:rsidRPr="005F5BEA">
        <w:t>.</w:t>
      </w:r>
      <w:r w:rsidRPr="005F5BEA">
        <w:t xml:space="preserve"> </w:t>
      </w:r>
      <w:r w:rsidR="00191315" w:rsidRPr="005F5BEA">
        <w:t>The commentary considered that s</w:t>
      </w:r>
      <w:r w:rsidRPr="005F5BEA">
        <w:t xml:space="preserve">imilar limitations applied to estimates of annual costs per device and cost per </w:t>
      </w:r>
      <w:r w:rsidR="00C177A4" w:rsidRPr="005F5BEA">
        <w:t>patient</w:t>
      </w:r>
      <w:r w:rsidRPr="005F5BEA">
        <w:t xml:space="preserve">. </w:t>
      </w:r>
      <w:r w:rsidR="00191315" w:rsidRPr="005F5BEA">
        <w:t>The commentary considered that e</w:t>
      </w:r>
      <w:r w:rsidRPr="005F5BEA">
        <w:t>stablishing a</w:t>
      </w:r>
      <w:r w:rsidR="00BA03DB" w:rsidRPr="005F5BEA">
        <w:t xml:space="preserve"> national</w:t>
      </w:r>
      <w:r w:rsidRPr="005F5BEA">
        <w:t xml:space="preserve"> register of implanted CIED</w:t>
      </w:r>
      <w:r w:rsidR="009F531A" w:rsidRPr="005F5BEA">
        <w:t>s</w:t>
      </w:r>
      <w:r w:rsidRPr="005F5BEA">
        <w:t xml:space="preserve"> would be a valuable resource for assessing service provision for these devices.</w:t>
      </w:r>
    </w:p>
    <w:p w14:paraId="5E50A347" w14:textId="188AD690" w:rsidR="007A4A53" w:rsidRPr="005F5BEA" w:rsidRDefault="007A4A53" w:rsidP="007A4A53">
      <w:r w:rsidRPr="005F5BEA">
        <w:t xml:space="preserve">The ADAR estimated that 697,258 cardiac services could be provided by </w:t>
      </w:r>
      <w:r w:rsidR="00B62C82" w:rsidRPr="005F5BEA">
        <w:t>IECT</w:t>
      </w:r>
      <w:r w:rsidRPr="005F5BEA">
        <w:t xml:space="preserve">s in 2022, at an estimated cost of $73 million. </w:t>
      </w:r>
      <w:r w:rsidR="00E06D27" w:rsidRPr="005F5BEA">
        <w:t xml:space="preserve">The commentary noted </w:t>
      </w:r>
      <w:r w:rsidRPr="005F5BEA">
        <w:t xml:space="preserve">that costs for services associated with the implantation of CIEDs were also included in the total cost. Without implantation services (as they </w:t>
      </w:r>
      <w:r w:rsidR="0002541E" w:rsidRPr="005F5BEA">
        <w:t xml:space="preserve">may </w:t>
      </w:r>
      <w:r w:rsidRPr="005F5BEA">
        <w:t>reasonably be included in the price of the CIED), the overall costs would be reduced by</w:t>
      </w:r>
      <w:r w:rsidR="001525D8" w:rsidRPr="005F5BEA">
        <w:t xml:space="preserve"> 21.1% to $5</w:t>
      </w:r>
      <w:r w:rsidR="0051098E" w:rsidRPr="005F5BEA">
        <w:t>9.1</w:t>
      </w:r>
      <w:r w:rsidR="001525D8" w:rsidRPr="005F5BEA">
        <w:t xml:space="preserve"> million</w:t>
      </w:r>
      <w:r w:rsidRPr="005F5BEA">
        <w:t xml:space="preserve">. </w:t>
      </w:r>
    </w:p>
    <w:p w14:paraId="4A5A4A99" w14:textId="11C64831" w:rsidR="007275F2" w:rsidRPr="005F5BEA" w:rsidRDefault="007275F2" w:rsidP="007A4A53">
      <w:r w:rsidRPr="005F5BEA">
        <w:t xml:space="preserve">To inform the costing and design of alternative models of care (and funding), </w:t>
      </w:r>
      <w:r w:rsidR="00E06D27" w:rsidRPr="005F5BEA">
        <w:t xml:space="preserve">the commentary considered </w:t>
      </w:r>
      <w:r w:rsidRPr="005F5BEA">
        <w:t>a robust costing study of each of the services currently provided by cardiac technicians is required.</w:t>
      </w:r>
      <w:r w:rsidR="00E06D27" w:rsidRPr="005F5BEA">
        <w:t xml:space="preserve"> The commentary considered</w:t>
      </w:r>
      <w:r w:rsidRPr="005F5BEA">
        <w:t xml:space="preserve"> </w:t>
      </w:r>
      <w:r w:rsidR="00E06D27" w:rsidRPr="005F5BEA">
        <w:t>c</w:t>
      </w:r>
      <w:r w:rsidRPr="005F5BEA">
        <w:t xml:space="preserve">onsideration should be given to which costs should be included in the cost of the device, and those that could be reimbursed by fee for service or subscription methods. </w:t>
      </w:r>
      <w:r w:rsidR="00904528" w:rsidRPr="005F5BEA">
        <w:t xml:space="preserve">A member of the reference group indicated that uptake of remote monitoring for newly implanted devices is expected to approach 100%, but the speed with which this will be achieved will be influenced by economic levers exercised by Government. They stated that for cost modelling purposes, it would be reasonable to assume a </w:t>
      </w:r>
      <w:r w:rsidR="00491F40" w:rsidRPr="005F5BEA">
        <w:t>≥</w:t>
      </w:r>
      <w:r w:rsidR="00904528" w:rsidRPr="005F5BEA">
        <w:t xml:space="preserve">90% uptake of remote monitoring within 3-5 years. </w:t>
      </w:r>
      <w:r w:rsidRPr="005F5BEA">
        <w:t xml:space="preserve">An overall estimate of the financial impact of providing </w:t>
      </w:r>
      <w:r w:rsidR="00904528" w:rsidRPr="005F5BEA">
        <w:t xml:space="preserve">cardiac support </w:t>
      </w:r>
      <w:r w:rsidRPr="005F5BEA">
        <w:t>services in Australia is required.</w:t>
      </w:r>
    </w:p>
    <w:p w14:paraId="5B218E7C" w14:textId="2CAC93FE" w:rsidR="00DD34D8" w:rsidRPr="005F5BEA" w:rsidRDefault="00E06D27" w:rsidP="007A4A53">
      <w:r w:rsidRPr="005F5BEA">
        <w:t>The commentary considered a</w:t>
      </w:r>
      <w:r w:rsidR="007275F2" w:rsidRPr="005F5BEA">
        <w:t xml:space="preserve">lternative models of care </w:t>
      </w:r>
      <w:r w:rsidR="0010263F" w:rsidRPr="005F5BEA">
        <w:t xml:space="preserve">that are adequately reimbursed and encourage clinics/hospitals to employ their own cardiac technicians with increasingly limited support by </w:t>
      </w:r>
      <w:r w:rsidR="00B62C82" w:rsidRPr="005F5BEA">
        <w:t>IECT</w:t>
      </w:r>
      <w:r w:rsidR="0010263F" w:rsidRPr="005F5BEA">
        <w:t xml:space="preserve">s </w:t>
      </w:r>
      <w:r w:rsidR="007275F2" w:rsidRPr="005F5BEA">
        <w:t>may have additional benefits for societ</w:t>
      </w:r>
      <w:r w:rsidR="0010263F" w:rsidRPr="005F5BEA">
        <w:t xml:space="preserve">y, such as greater flexibility, </w:t>
      </w:r>
      <w:proofErr w:type="gramStart"/>
      <w:r w:rsidR="0010263F" w:rsidRPr="005F5BEA">
        <w:t>efficiency</w:t>
      </w:r>
      <w:proofErr w:type="gramEnd"/>
      <w:r w:rsidR="0010263F" w:rsidRPr="005F5BEA">
        <w:t xml:space="preserve"> </w:t>
      </w:r>
      <w:r w:rsidR="0010263F" w:rsidRPr="005F5BEA">
        <w:lastRenderedPageBreak/>
        <w:t xml:space="preserve">and effectiveness, </w:t>
      </w:r>
      <w:r w:rsidR="00EA6FCD" w:rsidRPr="005F5BEA">
        <w:t xml:space="preserve">plus a </w:t>
      </w:r>
      <w:r w:rsidR="0010263F" w:rsidRPr="005F5BEA">
        <w:t xml:space="preserve">reduction </w:t>
      </w:r>
      <w:r w:rsidR="00EA6FCD" w:rsidRPr="005F5BEA">
        <w:t xml:space="preserve">in potential </w:t>
      </w:r>
      <w:r w:rsidR="0010263F" w:rsidRPr="005F5BEA">
        <w:t>conflict of interest</w:t>
      </w:r>
      <w:r w:rsidR="00EA6FCD" w:rsidRPr="005F5BEA">
        <w:t xml:space="preserve"> associated with </w:t>
      </w:r>
      <w:r w:rsidR="00B62C82" w:rsidRPr="005F5BEA">
        <w:t>IECT</w:t>
      </w:r>
      <w:r w:rsidR="00EA6FCD" w:rsidRPr="005F5BEA">
        <w:t>s providing advice and services to clinicians</w:t>
      </w:r>
      <w:r w:rsidR="007275F2" w:rsidRPr="005F5BEA">
        <w:t>.</w:t>
      </w:r>
      <w:r w:rsidR="000779C8" w:rsidRPr="005F5BEA">
        <w:t xml:space="preserve"> A member of the reference group indicated that this could be a</w:t>
      </w:r>
      <w:r w:rsidR="00EF3F96">
        <w:t>n</w:t>
      </w:r>
      <w:r w:rsidR="000779C8" w:rsidRPr="005F5BEA">
        <w:t xml:space="preserve"> opportunity to move towards a more sustainable yet improved model of patient care for CIED follow-up in Australia.</w:t>
      </w:r>
      <w:r w:rsidR="007275F2" w:rsidRPr="005F5BEA">
        <w:t xml:space="preserve"> </w:t>
      </w:r>
      <w:r w:rsidR="000779C8" w:rsidRPr="005F5BEA">
        <w:t>They stated that concerns regarding the smaller public and private services require careful consideration and flexibility with introduction of change. Apart from a change in funding structures, remote monitoring and cardiac physiologists will be the key to implementation success.</w:t>
      </w:r>
      <w:r w:rsidR="00EA6FCD" w:rsidRPr="005F5BEA">
        <w:t xml:space="preserve"> </w:t>
      </w:r>
    </w:p>
    <w:p w14:paraId="27BF024D" w14:textId="228D826A" w:rsidR="00C04311" w:rsidRPr="005F5BEA" w:rsidRDefault="003A557E" w:rsidP="00BA5544">
      <w:pPr>
        <w:pStyle w:val="Heading2"/>
      </w:pPr>
      <w:r w:rsidRPr="005F5BEA">
        <w:t>1</w:t>
      </w:r>
      <w:r w:rsidR="00BA5544" w:rsidRPr="005F5BEA">
        <w:t>2</w:t>
      </w:r>
      <w:r w:rsidRPr="005F5BEA">
        <w:t xml:space="preserve">. Key issues from ESC to MSAC </w:t>
      </w:r>
    </w:p>
    <w:p w14:paraId="65C81D36" w14:textId="77777777" w:rsidR="00C04311" w:rsidRPr="005F5BEA" w:rsidRDefault="00C04311" w:rsidP="00C04311">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rPr>
          <w:rFonts w:eastAsia="Times New Roman" w:cs="Times New Roman"/>
          <w:color w:val="000000"/>
          <w:szCs w:val="20"/>
          <w:lang w:eastAsia="en-AU"/>
        </w:rPr>
      </w:pPr>
      <w:r w:rsidRPr="005F5BEA">
        <w:rPr>
          <w:rFonts w:eastAsia="Times New Roman" w:cs="Times New Roman"/>
          <w:b/>
          <w:bCs/>
          <w:color w:val="000000"/>
          <w:sz w:val="24"/>
          <w:szCs w:val="20"/>
          <w:lang w:eastAsia="en-AU"/>
        </w:rPr>
        <w:t>Main issues for MSAC consideration</w:t>
      </w:r>
    </w:p>
    <w:p w14:paraId="49158745" w14:textId="77777777" w:rsidR="00C04311" w:rsidRPr="005F5BEA" w:rsidRDefault="00C04311" w:rsidP="00C04311">
      <w:pPr>
        <w:pBdr>
          <w:top w:val="single" w:sz="4" w:space="4" w:color="000000"/>
          <w:left w:val="single" w:sz="4" w:space="4" w:color="000000"/>
          <w:bottom w:val="single" w:sz="4" w:space="4" w:color="000000"/>
          <w:right w:val="single" w:sz="4" w:space="4" w:color="000000"/>
        </w:pBdr>
        <w:tabs>
          <w:tab w:val="num" w:pos="357"/>
        </w:tabs>
        <w:spacing w:before="0" w:after="120" w:line="240" w:lineRule="auto"/>
        <w:ind w:left="357" w:hanging="357"/>
        <w:rPr>
          <w:rFonts w:eastAsia="Times New Roman" w:cs="Times New Roman"/>
          <w:color w:val="000000"/>
          <w:szCs w:val="20"/>
          <w:lang w:eastAsia="en-AU"/>
        </w:rPr>
      </w:pPr>
      <w:r w:rsidRPr="005F5BEA">
        <w:rPr>
          <w:rFonts w:eastAsia="Times New Roman" w:cs="Times New Roman"/>
          <w:color w:val="000000"/>
          <w:szCs w:val="20"/>
          <w:lang w:eastAsia="en-AU"/>
        </w:rPr>
        <w:t>The purpose of the application to estimate the reasonable cost of cardiac technical support services provided by industry-employed technicians for implanted Cardiac Implantable Electronic Devices (CIEDs). It is claimed by the applicant that the delivery of these services in the public sector is currently cross</w:t>
      </w:r>
      <w:r w:rsidRPr="005F5BEA">
        <w:rPr>
          <w:rFonts w:eastAsia="Times New Roman" w:cs="Times New Roman"/>
          <w:color w:val="000000"/>
          <w:szCs w:val="20"/>
          <w:lang w:eastAsia="en-AU"/>
        </w:rPr>
        <w:noBreakHyphen/>
        <w:t xml:space="preserve">subsidised via the Prostheses List (PL) benefits paid for CIEDs by private health insurers, which are higher than the prices paid for the same CIEDs in the public sector. ESC noted that the amount agreed for these cardiac technical support services will be quarantined from the scheduled reduction in PL benefits for CIEDs. ESC considered the clinical value and need for these services was not being queried in this application. </w:t>
      </w:r>
    </w:p>
    <w:p w14:paraId="59F3360F" w14:textId="77777777" w:rsidR="00C04311" w:rsidRPr="005F5BEA" w:rsidRDefault="00C04311" w:rsidP="00C04311">
      <w:pPr>
        <w:pBdr>
          <w:top w:val="single" w:sz="4" w:space="4" w:color="000000"/>
          <w:left w:val="single" w:sz="4" w:space="4" w:color="000000"/>
          <w:bottom w:val="single" w:sz="4" w:space="4" w:color="000000"/>
          <w:right w:val="single" w:sz="4" w:space="4" w:color="000000"/>
        </w:pBdr>
        <w:tabs>
          <w:tab w:val="num" w:pos="357"/>
        </w:tabs>
        <w:spacing w:before="0" w:after="120" w:line="240" w:lineRule="auto"/>
        <w:ind w:left="357" w:hanging="357"/>
        <w:rPr>
          <w:rFonts w:eastAsia="Times New Roman" w:cs="Times New Roman"/>
          <w:color w:val="000000"/>
          <w:lang w:eastAsia="en-AU"/>
        </w:rPr>
      </w:pPr>
      <w:r w:rsidRPr="005F5BEA">
        <w:rPr>
          <w:rFonts w:eastAsia="Times New Roman" w:cs="Times New Roman"/>
          <w:color w:val="000000" w:themeColor="text1"/>
          <w:lang w:eastAsia="en-AU"/>
        </w:rPr>
        <w:t>The applicant did not provide information on possible alternative models of care. The current model is inefficient (53% of industry-employed cardiac technicians visits are for a single patient) and problematic. The current model of care promotes the provision of CIED care by cardiologists without adequate experience in CIED patient management, by enabling reliance on industry-employed cardiac technicians for support. This model of care also results in a lack of transparency with industry arrangements and that reform in this space should clarify the role of industry as providers of the CIED who also provide device specific software and support as needed rather than being the primary provider of cardiac technical services. The funding arrangements for the current model are not transparent and appear to have driven higher prices for devices for privately insured patients. ESC advised that future reforms should aim to move away from the current model of care being the primary model of care used in Australia. ESC noted that current Medicare Benefits Schedule (MBS) reimbursement for remote monitoring of CIEDs may be insufficient. Consideration could be given to increasing the rebate for remote monitoring under the supervision of cardiologists with CIED expertise, to incentivise the provision of remote monitoring, which is increasingly being used.</w:t>
      </w:r>
    </w:p>
    <w:p w14:paraId="626DCF0A" w14:textId="77777777" w:rsidR="00C04311" w:rsidRPr="005F5BEA" w:rsidRDefault="00C04311" w:rsidP="00C04311">
      <w:pPr>
        <w:pBdr>
          <w:top w:val="single" w:sz="4" w:space="4" w:color="000000"/>
          <w:left w:val="single" w:sz="4" w:space="4" w:color="000000"/>
          <w:bottom w:val="single" w:sz="4" w:space="4" w:color="000000"/>
          <w:right w:val="single" w:sz="4" w:space="4" w:color="000000"/>
        </w:pBdr>
        <w:tabs>
          <w:tab w:val="num" w:pos="357"/>
        </w:tabs>
        <w:spacing w:before="0" w:after="120" w:line="240" w:lineRule="auto"/>
        <w:ind w:left="357" w:hanging="357"/>
        <w:rPr>
          <w:rFonts w:eastAsia="Times New Roman" w:cs="Times New Roman"/>
          <w:color w:val="000000" w:themeColor="text1"/>
          <w:lang w:eastAsia="en-AU"/>
        </w:rPr>
      </w:pPr>
      <w:r w:rsidRPr="005F5BEA">
        <w:rPr>
          <w:rFonts w:eastAsia="Times New Roman" w:cs="Times New Roman"/>
          <w:color w:val="000000" w:themeColor="text1"/>
          <w:lang w:eastAsia="en-AU"/>
        </w:rPr>
        <w:t xml:space="preserve">ESC considered the cost of cardiac technical support services to be quarantined from PL benefit reductions should exclude peri-implantation services provided to the private sector, and other services provided to the public sector. ESC considered the reasonable cost of cardiac technical support services to be $44.4 million per year. </w:t>
      </w:r>
    </w:p>
    <w:p w14:paraId="29AC9A8F" w14:textId="77777777" w:rsidR="00C04311" w:rsidRPr="005F5BEA" w:rsidRDefault="00C04311" w:rsidP="00C04311">
      <w:pPr>
        <w:pBdr>
          <w:top w:val="single" w:sz="4" w:space="4" w:color="000000"/>
          <w:left w:val="single" w:sz="4" w:space="4" w:color="000000"/>
          <w:bottom w:val="single" w:sz="4" w:space="4" w:color="000000"/>
          <w:right w:val="single" w:sz="4" w:space="4" w:color="000000"/>
        </w:pBdr>
        <w:tabs>
          <w:tab w:val="num" w:pos="357"/>
        </w:tabs>
        <w:spacing w:before="0" w:after="120" w:line="240" w:lineRule="auto"/>
        <w:ind w:left="357" w:hanging="357"/>
        <w:rPr>
          <w:rFonts w:eastAsia="Times New Roman" w:cs="Times New Roman"/>
          <w:color w:val="000000"/>
          <w:szCs w:val="20"/>
          <w:lang w:eastAsia="en-AU"/>
        </w:rPr>
      </w:pPr>
      <w:r w:rsidRPr="005F5BEA">
        <w:rPr>
          <w:rFonts w:eastAsia="Times New Roman" w:cs="Times New Roman"/>
          <w:color w:val="000000"/>
          <w:szCs w:val="20"/>
          <w:lang w:eastAsia="en-AU"/>
        </w:rPr>
        <w:t xml:space="preserve">ESC noted that there are no reliable sources of the current number of patients with active CIEDs, and that the applicant did not provide data on the cardiac technical services per CIED type, as requested by The Department. </w:t>
      </w:r>
      <w:proofErr w:type="gramStart"/>
      <w:r w:rsidRPr="005F5BEA">
        <w:rPr>
          <w:rFonts w:eastAsia="Times New Roman" w:cs="Times New Roman"/>
          <w:color w:val="000000"/>
          <w:szCs w:val="20"/>
          <w:lang w:eastAsia="en-AU"/>
        </w:rPr>
        <w:t>Therefore</w:t>
      </w:r>
      <w:proofErr w:type="gramEnd"/>
      <w:r w:rsidRPr="005F5BEA">
        <w:rPr>
          <w:rFonts w:eastAsia="Times New Roman" w:cs="Times New Roman"/>
          <w:color w:val="000000"/>
          <w:szCs w:val="20"/>
          <w:lang w:eastAsia="en-AU"/>
        </w:rPr>
        <w:t xml:space="preserve"> it was not possible to estimate the cost of cardiac technical services on a per device or per patient basis.</w:t>
      </w:r>
    </w:p>
    <w:p w14:paraId="49B72D76" w14:textId="1C034C69" w:rsidR="00BC7281" w:rsidRPr="005F5BEA" w:rsidRDefault="00BC7281" w:rsidP="00923388">
      <w:pPr>
        <w:pStyle w:val="Heading3"/>
      </w:pPr>
      <w:r w:rsidRPr="005F5BEA">
        <w:t>ESC Discussion</w:t>
      </w:r>
    </w:p>
    <w:p w14:paraId="56F894F9" w14:textId="6A5493CE" w:rsidR="00C04311" w:rsidRPr="005F5BEA" w:rsidRDefault="00C04311" w:rsidP="00C04311">
      <w:r w:rsidRPr="005F5BEA">
        <w:t xml:space="preserve">The ESC noted the Department of Health and Aged Care (Department) received an application from the </w:t>
      </w:r>
      <w:r w:rsidRPr="005F5BEA">
        <w:rPr>
          <w:iCs/>
        </w:rPr>
        <w:t>Medical Technology Association of Australia</w:t>
      </w:r>
      <w:r w:rsidRPr="005F5BEA">
        <w:t xml:space="preserve"> Cardiac Forum (MTAA CF) as part of the ongoing Prostheses List (PL) reform process. ESC noted the MTAA CF members include Medtronic, Abbott, </w:t>
      </w:r>
      <w:proofErr w:type="spellStart"/>
      <w:r w:rsidRPr="005F5BEA">
        <w:t>Biotronik</w:t>
      </w:r>
      <w:proofErr w:type="spellEnd"/>
      <w:r w:rsidRPr="005F5BEA">
        <w:t xml:space="preserve">, </w:t>
      </w:r>
      <w:proofErr w:type="spellStart"/>
      <w:r w:rsidRPr="005F5BEA">
        <w:t>MicroPort</w:t>
      </w:r>
      <w:proofErr w:type="spellEnd"/>
      <w:r w:rsidRPr="005F5BEA">
        <w:t xml:space="preserve"> CRM and Boston Scientific, who are suppliers of cardiac </w:t>
      </w:r>
      <w:r w:rsidRPr="005F5BEA">
        <w:lastRenderedPageBreak/>
        <w:t>implantable electronic devices (CIEDs) in Australia and the providers of cardiac technical support services via industry-employed cardiac technicians.</w:t>
      </w:r>
    </w:p>
    <w:p w14:paraId="1978059A" w14:textId="77777777" w:rsidR="00C04311" w:rsidRPr="005F5BEA" w:rsidRDefault="00C04311" w:rsidP="00C04311">
      <w:r w:rsidRPr="005F5BEA">
        <w:t xml:space="preserve">ESC noted the purpose of the application is to determine the reasonable cost of the cardiac technical services provided by industry-employed cardiac technicians. These services are provided by the technician on behalf of the cardiologist. The applicant states that these services are currently </w:t>
      </w:r>
      <w:proofErr w:type="gramStart"/>
      <w:r w:rsidRPr="005F5BEA">
        <w:t>cross-subsidised</w:t>
      </w:r>
      <w:proofErr w:type="gramEnd"/>
      <w:r w:rsidRPr="005F5BEA">
        <w:t xml:space="preserve"> via the higher Prostheses List (PL) benefits paid for Cardiac Implantable Electronic Devices (CIEDs) by private health insurers. In the context of this application, CIEDs included pacemakers (PPMs), implanted cardioverter defibrillators (ICDs), implantable loop recorders (ILRs) and cardiac resynchronisation therapy devices (CRTDs). </w:t>
      </w:r>
    </w:p>
    <w:p w14:paraId="2C7BA310" w14:textId="77777777" w:rsidR="00C04311" w:rsidRPr="005F5BEA" w:rsidRDefault="00C04311" w:rsidP="00C04311">
      <w:pPr>
        <w:rPr>
          <w:iCs/>
          <w:lang w:val="en-US"/>
        </w:rPr>
      </w:pPr>
      <w:r w:rsidRPr="005F5BEA">
        <w:t xml:space="preserve">The PL sets out prostheses that private health insurers must pay benefits for (for privately insured patients with appropriate cover) and the PL benefit amount. ESC noted the Department </w:t>
      </w:r>
      <w:r w:rsidRPr="005F5BEA">
        <w:rPr>
          <w:iCs/>
          <w:lang w:val="en-US"/>
        </w:rPr>
        <w:t>is undertaking PL reform activity to reduce the complexity of the PL, reduce differences in private and public sector prices for medical devices, and streamline assessment pathways for access to new medical devices. The pricing reforms include</w:t>
      </w:r>
      <w:r w:rsidRPr="005F5BEA">
        <w:t xml:space="preserve"> </w:t>
      </w:r>
      <w:r w:rsidRPr="005F5BEA">
        <w:rPr>
          <w:iCs/>
          <w:lang w:val="en-US"/>
        </w:rPr>
        <w:t>better aligning the cost of prostheses to the public system and comparable to those in international markets. This will be achieved through scheduled reductions to the PL benefits, based on the ‘gap’ between the weighted average public sector price (WAP) and the PL benefit amount (“the gap”), as follows:</w:t>
      </w:r>
    </w:p>
    <w:p w14:paraId="1E2B668B" w14:textId="77777777" w:rsidR="00C04311" w:rsidRPr="005F5BEA" w:rsidRDefault="00C04311" w:rsidP="00AB5B20">
      <w:pPr>
        <w:numPr>
          <w:ilvl w:val="0"/>
          <w:numId w:val="13"/>
        </w:numPr>
        <w:rPr>
          <w:iCs/>
          <w:lang w:val="en-US"/>
        </w:rPr>
      </w:pPr>
      <w:r w:rsidRPr="005F5BEA">
        <w:rPr>
          <w:iCs/>
          <w:lang w:val="en-US"/>
        </w:rPr>
        <w:t>1 July 2022 a 40% reduction of the gap</w:t>
      </w:r>
    </w:p>
    <w:p w14:paraId="0209B226" w14:textId="77777777" w:rsidR="00C04311" w:rsidRPr="005F5BEA" w:rsidRDefault="00C04311" w:rsidP="00AB5B20">
      <w:pPr>
        <w:numPr>
          <w:ilvl w:val="0"/>
          <w:numId w:val="13"/>
        </w:numPr>
        <w:rPr>
          <w:iCs/>
          <w:lang w:val="en-US"/>
        </w:rPr>
      </w:pPr>
      <w:r w:rsidRPr="005F5BEA">
        <w:rPr>
          <w:iCs/>
          <w:lang w:val="en-US"/>
        </w:rPr>
        <w:t>1 July 2023 a 20% reduction of the gap</w:t>
      </w:r>
    </w:p>
    <w:p w14:paraId="49041281" w14:textId="77777777" w:rsidR="00C04311" w:rsidRPr="005F5BEA" w:rsidRDefault="00C04311" w:rsidP="00AB5B20">
      <w:pPr>
        <w:numPr>
          <w:ilvl w:val="0"/>
          <w:numId w:val="13"/>
        </w:numPr>
        <w:rPr>
          <w:iCs/>
          <w:lang w:val="en-US"/>
        </w:rPr>
      </w:pPr>
      <w:r w:rsidRPr="005F5BEA">
        <w:rPr>
          <w:iCs/>
          <w:lang w:val="en-US"/>
        </w:rPr>
        <w:t xml:space="preserve">1 July 2024 a final 20% reduction of the gap </w:t>
      </w:r>
    </w:p>
    <w:p w14:paraId="3C46A945" w14:textId="77777777" w:rsidR="00C04311" w:rsidRPr="005F5BEA" w:rsidRDefault="00C04311" w:rsidP="00C04311">
      <w:pPr>
        <w:rPr>
          <w:iCs/>
          <w:lang w:val="en-US"/>
        </w:rPr>
      </w:pPr>
      <w:r w:rsidRPr="005F5BEA">
        <w:t xml:space="preserve">ESC noted the Department </w:t>
      </w:r>
      <w:r w:rsidRPr="005F5BEA">
        <w:rPr>
          <w:iCs/>
        </w:rPr>
        <w:t>deferred the scheduled 1 July 2022 PL benefit reductions for CIEDs for 12 months pending the outcome of the current MSAC application, in line with the March 2022 Memorandum of Understanding (MoU) between the Minister for Health</w:t>
      </w:r>
      <w:r w:rsidRPr="005F5BEA">
        <w:t xml:space="preserve"> </w:t>
      </w:r>
      <w:r w:rsidRPr="005F5BEA">
        <w:rPr>
          <w:iCs/>
        </w:rPr>
        <w:t xml:space="preserve">and Aged Care and the MTAA. This was due to concerns raised by the MTAA CF members that the </w:t>
      </w:r>
      <w:r w:rsidRPr="005F5BEA">
        <w:rPr>
          <w:iCs/>
          <w:lang w:val="en-US"/>
        </w:rPr>
        <w:t xml:space="preserve">reductions in PL benefits for CIEDs will reduce the ability of the MTAA CF members to provide CIED technical support services via industry-employed cardiac technicians on the basis that these services are currently funded through the PL benefits paid by health insurers for the devices. The MoU allows for MSAC deliberations on the cost of the cardiac technical support services.  </w:t>
      </w:r>
    </w:p>
    <w:p w14:paraId="7DD894B4" w14:textId="77777777" w:rsidR="00C04311" w:rsidRPr="005F5BEA" w:rsidRDefault="00C04311" w:rsidP="00C04311">
      <w:r w:rsidRPr="005F5BEA">
        <w:rPr>
          <w:iCs/>
          <w:lang w:val="en-US"/>
        </w:rPr>
        <w:t xml:space="preserve">ESC noted that the PL benefit typically relates to the price of devices, not the services associated with them. However, ESC </w:t>
      </w:r>
      <w:proofErr w:type="spellStart"/>
      <w:r w:rsidRPr="005F5BEA">
        <w:rPr>
          <w:iCs/>
          <w:lang w:val="en-US"/>
        </w:rPr>
        <w:t>recognised</w:t>
      </w:r>
      <w:proofErr w:type="spellEnd"/>
      <w:r w:rsidRPr="005F5BEA">
        <w:rPr>
          <w:iCs/>
          <w:lang w:val="en-US"/>
        </w:rPr>
        <w:t xml:space="preserve"> that, in the case of CIEDs, a component of the current PL benefits is attributable to the provision of cardiac technical support services by industry-employed cardiac technicians. ESC noted that following MSAC’s consideration of this application, the </w:t>
      </w:r>
      <w:r w:rsidRPr="005F5BEA">
        <w:t>reasonable cost of the cardiac technical services provided by industry-employed cardiac technicians will be quarantined from the scheduled reductions to the PL benefits. In practical terms, the PL benefits attributed to the provision of cardiac technical support services will be removed from the gap calculation between private and public sector prices, therefore reducing the gap on which the scheduled reductions will apply.</w:t>
      </w:r>
    </w:p>
    <w:p w14:paraId="78CDB905" w14:textId="77777777" w:rsidR="00C04311" w:rsidRPr="005F5BEA" w:rsidRDefault="00C04311" w:rsidP="00C04311">
      <w:pPr>
        <w:rPr>
          <w:lang w:val="en-US"/>
        </w:rPr>
      </w:pPr>
      <w:r w:rsidRPr="005F5BEA">
        <w:t xml:space="preserve">While ESC recognised the immediate need to provide advice to MSAC regarding the amount of the PL benefits that should be attributable to the devices compared to that reasonably attributable to the associated follow-up services, </w:t>
      </w:r>
      <w:r w:rsidRPr="005F5BEA">
        <w:rPr>
          <w:iCs/>
          <w:lang w:val="en-US"/>
        </w:rPr>
        <w:t>ESC also considered there is a significant need for wider reforms of how cardiac technical services are provided.  ESC considered a wider system-level review of models of care that do not rely on an industry-centric model of cardiac service provision should be the subject of future, longer term reforms.</w:t>
      </w:r>
    </w:p>
    <w:p w14:paraId="073FE9EF" w14:textId="417FA12E" w:rsidR="00C04311" w:rsidRPr="005F5BEA" w:rsidRDefault="00C04311" w:rsidP="00C04311">
      <w:pPr>
        <w:rPr>
          <w:iCs/>
        </w:rPr>
      </w:pPr>
      <w:r w:rsidRPr="005F5BEA">
        <w:t>ESC noted the ADAR referred to industry-employed cardiac technicians as “</w:t>
      </w:r>
      <w:r w:rsidRPr="005F5BEA">
        <w:rPr>
          <w:iCs/>
        </w:rPr>
        <w:t>Industry Employed Allied Health Professionals (</w:t>
      </w:r>
      <w:r w:rsidR="00B62C82" w:rsidRPr="005F5BEA">
        <w:rPr>
          <w:iCs/>
        </w:rPr>
        <w:t>IE</w:t>
      </w:r>
      <w:r w:rsidR="006A14B3" w:rsidRPr="005F5BEA">
        <w:rPr>
          <w:iCs/>
        </w:rPr>
        <w:t>AHP</w:t>
      </w:r>
      <w:r w:rsidRPr="005F5BEA">
        <w:rPr>
          <w:iCs/>
        </w:rPr>
        <w:t xml:space="preserve">s)”. ESC further noted that cardiac technicians are not currently recognised as allied health professionals through the Australian Health Practitioner Regulatory </w:t>
      </w:r>
      <w:r w:rsidRPr="005F5BEA">
        <w:rPr>
          <w:iCs/>
        </w:rPr>
        <w:lastRenderedPageBreak/>
        <w:t xml:space="preserve">Agency (AHPRA) or self-regulated through a relevant professional organisation. ESC considered for the purpose of this application the term </w:t>
      </w:r>
      <w:r w:rsidR="00B62C82" w:rsidRPr="005F5BEA">
        <w:rPr>
          <w:iCs/>
        </w:rPr>
        <w:t>IE</w:t>
      </w:r>
      <w:r w:rsidR="00C00199" w:rsidRPr="005F5BEA">
        <w:rPr>
          <w:iCs/>
        </w:rPr>
        <w:t>AHP</w:t>
      </w:r>
      <w:r w:rsidRPr="005F5BEA">
        <w:rPr>
          <w:iCs/>
        </w:rPr>
        <w:t>s should be replaced with industry-employed cardiac technicians</w:t>
      </w:r>
      <w:r w:rsidR="00C00199" w:rsidRPr="005F5BEA">
        <w:rPr>
          <w:iCs/>
        </w:rPr>
        <w:t xml:space="preserve"> (IECTs)</w:t>
      </w:r>
      <w:r w:rsidRPr="005F5BEA">
        <w:rPr>
          <w:iCs/>
        </w:rPr>
        <w:t xml:space="preserve">. </w:t>
      </w:r>
    </w:p>
    <w:p w14:paraId="39FE25B4" w14:textId="77777777" w:rsidR="00C04311" w:rsidRPr="005F5BEA" w:rsidRDefault="00C04311" w:rsidP="00C04311">
      <w:r w:rsidRPr="005F5BEA">
        <w:t xml:space="preserve">ESC noted MSAC had not considered applications related to the funding of cardiac support services provided by industry-employed cardiac technicians, however MSAC had previously considered applications in relation to remote monitoring of patients with implanted cardiac devices (MSAC Applications 1197, 1197.1) and ILRs (Application 1443). </w:t>
      </w:r>
    </w:p>
    <w:p w14:paraId="65F946DA" w14:textId="77777777" w:rsidR="00C04311" w:rsidRPr="005F5BEA" w:rsidRDefault="00C04311" w:rsidP="00C04311">
      <w:r w:rsidRPr="005F5BEA">
        <w:t xml:space="preserve">ESC noted that the 2021 MTAA-commissioned KPMG report on CIED service valuation estimated 220,172 Australians are living with a CIED. ESC was concerned that there is no way of verifying this number or determining the actual number of Australians living with functional CIEDs, highlighting the need for better data collection through a national CIED registry. </w:t>
      </w:r>
    </w:p>
    <w:p w14:paraId="271FF895" w14:textId="58DCDF5E" w:rsidR="00C04311" w:rsidRPr="005F5BEA" w:rsidRDefault="00C04311" w:rsidP="00C04311">
      <w:pPr>
        <w:rPr>
          <w:iCs/>
        </w:rPr>
      </w:pPr>
      <w:r w:rsidRPr="005F5BEA">
        <w:t>ESC noted the submission request made by the Department and the data subsequently provided by the MTAA CF in the ADAR (refer to</w:t>
      </w:r>
      <w:r w:rsidR="006D40C5" w:rsidRPr="006D40C5">
        <w:t xml:space="preserve"> </w:t>
      </w:r>
      <w:r w:rsidR="006D40C5" w:rsidRPr="005F5BEA">
        <w:fldChar w:fldCharType="begin"/>
      </w:r>
      <w:r w:rsidR="006D40C5" w:rsidRPr="005F5BEA">
        <w:instrText xml:space="preserve"> REF _Ref142304908 \h  \* MERGEFORMAT </w:instrText>
      </w:r>
      <w:r w:rsidR="006D40C5" w:rsidRPr="005F5BEA">
        <w:fldChar w:fldCharType="separate"/>
      </w:r>
      <w:r w:rsidR="00334548" w:rsidRPr="00334548">
        <w:t>Table 2</w:t>
      </w:r>
      <w:r w:rsidR="006D40C5" w:rsidRPr="005F5BEA">
        <w:fldChar w:fldCharType="end"/>
      </w:r>
      <w:r w:rsidRPr="005F5BEA">
        <w:t xml:space="preserve">). ESC noted that although this application arose due to industry’s concerns with the scheduled PL benefit reductions, ESC considered </w:t>
      </w:r>
      <w:r w:rsidRPr="005F5BEA">
        <w:rPr>
          <w:iCs/>
        </w:rPr>
        <w:t xml:space="preserve">the applicant did not provide sufficient data in their ADAR to answer the key questions posed in the submission request. Further, ESC considered the applicant had not provided an adequate rationale for not doing so. ESC noted that given the reductions to the PL benefits for CIEDs are scheduled to proceed in July 2023, its advice to MSAC will be based on the level of data provided by the applicant in the ADAR. That is, MSAC will advise the Department on the reasonable cost of cardiac support services at the aggregate level across all CIEDs and not on a per device or per patient basis. </w:t>
      </w:r>
    </w:p>
    <w:p w14:paraId="10902860" w14:textId="530F9DFA" w:rsidR="00C04311" w:rsidRPr="005F5BEA" w:rsidRDefault="00C04311" w:rsidP="00C04311">
      <w:r w:rsidRPr="005F5BEA">
        <w:t>ESC noted the current clinical management algorithm for follow-up of patients implanted with CIEDs (</w:t>
      </w:r>
      <w:r w:rsidRPr="005F5BEA">
        <w:fldChar w:fldCharType="begin"/>
      </w:r>
      <w:r w:rsidRPr="005F5BEA">
        <w:instrText xml:space="preserve"> REF _Ref119585983 \h </w:instrText>
      </w:r>
      <w:r w:rsidR="005F5BEA">
        <w:instrText xml:space="preserve"> \* MERGEFORMAT </w:instrText>
      </w:r>
      <w:r w:rsidRPr="005F5BEA">
        <w:fldChar w:fldCharType="separate"/>
      </w:r>
      <w:r w:rsidR="00334548" w:rsidRPr="005F5BEA">
        <w:t xml:space="preserve">Figure </w:t>
      </w:r>
      <w:r w:rsidR="00334548">
        <w:rPr>
          <w:noProof/>
        </w:rPr>
        <w:t>2</w:t>
      </w:r>
      <w:r w:rsidRPr="005F5BEA">
        <w:fldChar w:fldCharType="end"/>
      </w:r>
      <w:r w:rsidRPr="005F5BEA">
        <w:t>). ESC considered that efficiencies can be gained in the follow-up of patients with CIEDs by maximising the use of remote monitoring, which could be used to conduct day-1 checks, scheduled remote transition checks, as well as clinical cardiology reviews. ESC noted that in the next 3-5 years, 90% of people with CIEDs could be monitored remotely</w:t>
      </w:r>
      <w:r w:rsidRPr="005F5BEA">
        <w:rPr>
          <w:vertAlign w:val="superscript"/>
        </w:rPr>
        <w:footnoteReference w:id="30"/>
      </w:r>
      <w:r w:rsidRPr="005F5BEA">
        <w:t xml:space="preserve">. ESC agreed with the applicant’s pre-ESC response that there are several studies which have established the safety and effectiveness of remote monitoring of patients with CIEDs. ESC noted the clinical need for these services is established and the clinical value of these services was not being queried in the MSAC process. ESC also noted the Heart Rhythm Society has recommended that ILR patients with wireless transmission capabilities could be remotely monitored. </w:t>
      </w:r>
    </w:p>
    <w:p w14:paraId="05699FDA" w14:textId="77777777" w:rsidR="00C04311" w:rsidRPr="005F5BEA" w:rsidRDefault="00C04311" w:rsidP="00C04311">
      <w:r w:rsidRPr="005F5BEA">
        <w:t xml:space="preserve">ESC noted that a clinical expert reference group was consulted during the evaluation of the ADAR. ESC noted the reference group were supportive of initiatives to increase uptake of remote monitoring of CIEDs, noting that the experts expressed the view that the current MBS fees for remote monitoring are too low, presenting a potential barrier to uptake. ESC also noted the input provided by the reference group that in the private clinic setting (which employs its own cardiac technicians), approximately one full-time cardiac technician (1 FTE) </w:t>
      </w:r>
      <w:proofErr w:type="gramStart"/>
      <w:r w:rsidRPr="005F5BEA">
        <w:t>is able to</w:t>
      </w:r>
      <w:proofErr w:type="gramEnd"/>
      <w:r w:rsidRPr="005F5BEA">
        <w:t xml:space="preserve"> provide services for 400-500 patients. ESC also noted that remote programming of CIEDs is on the horizon, however this aspect of care is not expected to be part of routine practice for several years. </w:t>
      </w:r>
    </w:p>
    <w:p w14:paraId="402631C8" w14:textId="1CC95E75" w:rsidR="00C04311" w:rsidRPr="005F5BEA" w:rsidRDefault="00C04311" w:rsidP="006D40C5">
      <w:r w:rsidRPr="005F5BEA">
        <w:t xml:space="preserve">ESC noted the different categories of technical service associated with CIEDs and the settings in which </w:t>
      </w:r>
      <w:r w:rsidRPr="006D40C5">
        <w:t xml:space="preserve">they are provided </w:t>
      </w:r>
      <w:r w:rsidR="00334548">
        <w:t>(</w:t>
      </w:r>
      <w:r w:rsidR="00334548" w:rsidRPr="005F5BEA">
        <w:fldChar w:fldCharType="begin"/>
      </w:r>
      <w:r w:rsidR="00334548" w:rsidRPr="005F5BEA">
        <w:instrText xml:space="preserve"> REF _Ref135302241 \h </w:instrText>
      </w:r>
      <w:r w:rsidR="00334548">
        <w:instrText xml:space="preserve"> \* MERGEFORMAT </w:instrText>
      </w:r>
      <w:r w:rsidR="00334548" w:rsidRPr="005F5BEA">
        <w:fldChar w:fldCharType="separate"/>
      </w:r>
      <w:r w:rsidR="00334548" w:rsidRPr="005F5BEA">
        <w:t xml:space="preserve">Table </w:t>
      </w:r>
      <w:r w:rsidR="00334548">
        <w:rPr>
          <w:noProof/>
        </w:rPr>
        <w:t>3</w:t>
      </w:r>
      <w:r w:rsidR="00334548" w:rsidRPr="005F5BEA">
        <w:fldChar w:fldCharType="end"/>
      </w:r>
      <w:r w:rsidR="00334548">
        <w:t>)</w:t>
      </w:r>
      <w:r w:rsidRPr="006D40C5">
        <w:t>. ESC again</w:t>
      </w:r>
      <w:r w:rsidRPr="005F5BEA">
        <w:t xml:space="preserve"> highlighted the opportunity which exists for most services to be provided through remote monitoring. </w:t>
      </w:r>
    </w:p>
    <w:p w14:paraId="1450995B" w14:textId="77777777" w:rsidR="00C04311" w:rsidRPr="005F5BEA" w:rsidRDefault="00C04311" w:rsidP="00C04311">
      <w:r w:rsidRPr="005F5BEA">
        <w:t xml:space="preserve">In relation to the models of care associated with the provision of cardiac services in Australia, ESC noted the 3 main models outlined in the commentary were: </w:t>
      </w:r>
    </w:p>
    <w:p w14:paraId="7317E769" w14:textId="77777777" w:rsidR="00C04311" w:rsidRPr="005F5BEA" w:rsidRDefault="00C04311" w:rsidP="00AB5B20">
      <w:pPr>
        <w:numPr>
          <w:ilvl w:val="0"/>
          <w:numId w:val="14"/>
        </w:numPr>
      </w:pPr>
      <w:r w:rsidRPr="005F5BEA">
        <w:lastRenderedPageBreak/>
        <w:t xml:space="preserve">Services provided through public hospitals and outreach services that employ cardiac </w:t>
      </w:r>
      <w:proofErr w:type="gramStart"/>
      <w:r w:rsidRPr="005F5BEA">
        <w:t>technicians;</w:t>
      </w:r>
      <w:proofErr w:type="gramEnd"/>
      <w:r w:rsidRPr="005F5BEA">
        <w:t xml:space="preserve"> </w:t>
      </w:r>
    </w:p>
    <w:p w14:paraId="77159F8D" w14:textId="77777777" w:rsidR="00C04311" w:rsidRPr="005F5BEA" w:rsidRDefault="00C04311" w:rsidP="00AB5B20">
      <w:pPr>
        <w:numPr>
          <w:ilvl w:val="0"/>
          <w:numId w:val="14"/>
        </w:numPr>
      </w:pPr>
      <w:r w:rsidRPr="005F5BEA">
        <w:t>Services provided through private cardiologists who employ cardiac technicians; and</w:t>
      </w:r>
    </w:p>
    <w:p w14:paraId="1396E088" w14:textId="77777777" w:rsidR="00C04311" w:rsidRPr="005F5BEA" w:rsidRDefault="00C04311" w:rsidP="00AB5B20">
      <w:pPr>
        <w:numPr>
          <w:ilvl w:val="0"/>
          <w:numId w:val="14"/>
        </w:numPr>
      </w:pPr>
      <w:r w:rsidRPr="005F5BEA">
        <w:t xml:space="preserve">Services provided through private cardiologists relying only on industry-employed cardiac technician </w:t>
      </w:r>
      <w:proofErr w:type="gramStart"/>
      <w:r w:rsidRPr="005F5BEA">
        <w:t>support</w:t>
      </w:r>
      <w:proofErr w:type="gramEnd"/>
    </w:p>
    <w:p w14:paraId="1E308212" w14:textId="1FE31F35" w:rsidR="00C04311" w:rsidRPr="005F5BEA" w:rsidRDefault="00C04311" w:rsidP="00C04311">
      <w:r w:rsidRPr="005F5BEA">
        <w:t xml:space="preserve">ESC noted that the applicant did not provide information on alternative models of care. In the pre-ESC response (p2), the applicant expressed the view that this was out of scope of the current application given “the purpose of this application is to value cardiac technical support services provided by </w:t>
      </w:r>
      <w:r w:rsidR="00B62C82" w:rsidRPr="005F5BEA">
        <w:t>IECT</w:t>
      </w:r>
      <w:r w:rsidRPr="005F5BEA">
        <w:t xml:space="preserve">s with the main aim of finding a long-term funding mechanism for these services.” ESC did not agree, considering that alternative models of care should be examined as part of this application given the purpose of the application is to determine the </w:t>
      </w:r>
      <w:r w:rsidRPr="005F5BEA">
        <w:rPr>
          <w:i/>
          <w:iCs/>
        </w:rPr>
        <w:t>reasonable</w:t>
      </w:r>
      <w:r w:rsidRPr="005F5BEA">
        <w:t xml:space="preserve"> cost of cardiac support services. </w:t>
      </w:r>
    </w:p>
    <w:p w14:paraId="45FABD03" w14:textId="77777777" w:rsidR="00C04311" w:rsidRPr="005F5BEA" w:rsidRDefault="00C04311" w:rsidP="00C04311">
      <w:r w:rsidRPr="005F5BEA">
        <w:t xml:space="preserve">ESC advised that future reforms should aim to move away from the third model of care being the primary model of care used for private patients in Australia. ESC considered this model of care perpetuates dynamics that work against solutions to address fundamental problems that reduce quality of care provided to </w:t>
      </w:r>
      <w:proofErr w:type="gramStart"/>
      <w:r w:rsidRPr="005F5BEA">
        <w:t>patients, and</w:t>
      </w:r>
      <w:proofErr w:type="gramEnd"/>
      <w:r w:rsidRPr="005F5BEA">
        <w:t xml:space="preserve"> increases costs (</w:t>
      </w:r>
      <w:r w:rsidRPr="005F5BEA">
        <w:rPr>
          <w:rFonts w:eastAsia="Times New Roman" w:cs="Times New Roman"/>
          <w:color w:val="000000" w:themeColor="text1"/>
          <w:lang w:eastAsia="en-AU"/>
        </w:rPr>
        <w:t>53% of industry-employed cardiac technicians visits are for a single patient</w:t>
      </w:r>
      <w:r w:rsidRPr="005F5BEA">
        <w:t>). ESC was concerned that the current model of care promotes the provision of CIED care by cardiologists without adequate experience in CIED patient management, by enabling reliance on industry-employed cardiac technicians for total support. Further, ESC considered this model of care results in a lack of transparency with industry arrangements and that reform in this space should clarify the role of industry as providers of the CIED who also provide device specific software and support as needed rather than being the primary provider of cardiac technical services through a non-transparent funding arrangement. ESC noted the current Medical Research Future Fund research grant opportunity for the assessment of Digital Health Interventions that includes a stream for an implementation trial of remote monitoring of some CIEDs.</w:t>
      </w:r>
      <w:r w:rsidRPr="005F5BEA">
        <w:rPr>
          <w:rStyle w:val="FootnoteReference"/>
        </w:rPr>
        <w:footnoteReference w:id="31"/>
      </w:r>
    </w:p>
    <w:p w14:paraId="3F31F914" w14:textId="77777777" w:rsidR="00C04311" w:rsidRPr="005F5BEA" w:rsidRDefault="00C04311" w:rsidP="00C04311">
      <w:r w:rsidRPr="005F5BEA">
        <w:rPr>
          <w:iCs/>
        </w:rPr>
        <w:t>ESC recognised there are many stakeholders in this space with varied perspectives and interests. ESC highlighted the importance of keeping the patient interests at the forefront of these issues.</w:t>
      </w:r>
      <w:r w:rsidRPr="005F5BEA">
        <w:t xml:space="preserve"> ESC noted that industry and some consultation input received expressed strong concern that with inadequate reimbursement, industry’s ability to sustain provision of cardiac technical support services will be significantly compromised, potentially resulting in extra costs being passed on to patients.  </w:t>
      </w:r>
    </w:p>
    <w:p w14:paraId="7B2D37B3" w14:textId="77777777" w:rsidR="00C04311" w:rsidRPr="005F5BEA" w:rsidRDefault="00C04311" w:rsidP="00C04311">
      <w:r w:rsidRPr="005F5BEA">
        <w:t xml:space="preserve">From the consumers’ perspective, ESC noted that if private health insurance premiums remain the same, then out-of-pocket costs could increase to cover the cardiac technical services. This might result in patients avoiding device checks </w:t>
      </w:r>
      <w:proofErr w:type="gramStart"/>
      <w:r w:rsidRPr="005F5BEA">
        <w:t>in order to</w:t>
      </w:r>
      <w:proofErr w:type="gramEnd"/>
      <w:r w:rsidRPr="005F5BEA">
        <w:t xml:space="preserve"> avoid out-of-pocket costs. ESC considered greater transparency on how device manufacturers handle patient data from CIEDs was important to consumers. </w:t>
      </w:r>
    </w:p>
    <w:p w14:paraId="10BEBA27" w14:textId="77777777" w:rsidR="00C04311" w:rsidRPr="005F5BEA" w:rsidRDefault="00C04311" w:rsidP="00C04311">
      <w:pPr>
        <w:rPr>
          <w:iCs/>
        </w:rPr>
      </w:pPr>
      <w:r w:rsidRPr="005F5BEA">
        <w:rPr>
          <w:iCs/>
        </w:rPr>
        <w:t xml:space="preserve">ESC noted that the ADAR focuses on justifying the current PL benefits for CIEDs. The ADAR states the following with respect to services delivered by industry-employed cardiac technicians: </w:t>
      </w:r>
    </w:p>
    <w:p w14:paraId="7FF821D6" w14:textId="77777777" w:rsidR="00C04311" w:rsidRPr="005F5BEA" w:rsidRDefault="00C04311" w:rsidP="00AB5B20">
      <w:pPr>
        <w:numPr>
          <w:ilvl w:val="0"/>
          <w:numId w:val="15"/>
        </w:numPr>
        <w:rPr>
          <w:i/>
        </w:rPr>
      </w:pPr>
      <w:r w:rsidRPr="005F5BEA">
        <w:rPr>
          <w:i/>
        </w:rPr>
        <w:t xml:space="preserve">Provide up-to-date, highly specialised knowledge of specific devices. </w:t>
      </w:r>
    </w:p>
    <w:p w14:paraId="6D370D5E" w14:textId="77777777" w:rsidR="00C04311" w:rsidRPr="005F5BEA" w:rsidRDefault="00C04311" w:rsidP="00C04311">
      <w:pPr>
        <w:ind w:left="720"/>
        <w:rPr>
          <w:iCs/>
        </w:rPr>
      </w:pPr>
      <w:r w:rsidRPr="005F5BEA">
        <w:rPr>
          <w:iCs/>
        </w:rPr>
        <w:t xml:space="preserve">ESC considered the claim that industry-employed cardiac technicians provide up-to-date, highly specialised knowledge of specific devices is not disputed, however it would be reasonable to conclude that public sector employed cardiac technicians have broad </w:t>
      </w:r>
      <w:r w:rsidRPr="005F5BEA">
        <w:rPr>
          <w:iCs/>
        </w:rPr>
        <w:lastRenderedPageBreak/>
        <w:t>knowledge and therefore a broad knowledge of these devices should also be valued in addition to the in-depth specialised knowledge of individual devices possessed by industry- employed cardiac technicians who only service their own devices.</w:t>
      </w:r>
    </w:p>
    <w:p w14:paraId="7408CE73" w14:textId="77777777" w:rsidR="00C04311" w:rsidRPr="005F5BEA" w:rsidRDefault="00C04311" w:rsidP="00AB5B20">
      <w:pPr>
        <w:numPr>
          <w:ilvl w:val="0"/>
          <w:numId w:val="15"/>
        </w:numPr>
        <w:rPr>
          <w:i/>
        </w:rPr>
      </w:pPr>
      <w:r w:rsidRPr="005F5BEA">
        <w:rPr>
          <w:i/>
        </w:rPr>
        <w:t xml:space="preserve">Services are provided on-demand, and meet otherwise unmet need in regional and remote </w:t>
      </w:r>
      <w:proofErr w:type="gramStart"/>
      <w:r w:rsidRPr="005F5BEA">
        <w:rPr>
          <w:i/>
        </w:rPr>
        <w:t>areas</w:t>
      </w:r>
      <w:proofErr w:type="gramEnd"/>
      <w:r w:rsidRPr="005F5BEA">
        <w:rPr>
          <w:i/>
        </w:rPr>
        <w:t xml:space="preserve"> </w:t>
      </w:r>
    </w:p>
    <w:p w14:paraId="10E502FF" w14:textId="77777777" w:rsidR="00C04311" w:rsidRPr="005F5BEA" w:rsidRDefault="00C04311" w:rsidP="00C04311">
      <w:pPr>
        <w:ind w:left="720"/>
        <w:rPr>
          <w:iCs/>
        </w:rPr>
      </w:pPr>
      <w:r w:rsidRPr="005F5BEA">
        <w:rPr>
          <w:iCs/>
        </w:rPr>
        <w:t>ESC considered no data have been provided to support the statement that these services are provided on-demand and meet an otherwise unmet need in regional and remote areas.</w:t>
      </w:r>
    </w:p>
    <w:p w14:paraId="3CB0B5CC" w14:textId="77777777" w:rsidR="00C04311" w:rsidRPr="005F5BEA" w:rsidRDefault="00C04311" w:rsidP="00AB5B20">
      <w:pPr>
        <w:numPr>
          <w:ilvl w:val="0"/>
          <w:numId w:val="15"/>
        </w:numPr>
        <w:rPr>
          <w:i/>
        </w:rPr>
      </w:pPr>
      <w:r w:rsidRPr="005F5BEA">
        <w:rPr>
          <w:i/>
        </w:rPr>
        <w:t xml:space="preserve">Provide free training to cardiac technicians in the public </w:t>
      </w:r>
      <w:proofErr w:type="gramStart"/>
      <w:r w:rsidRPr="005F5BEA">
        <w:rPr>
          <w:i/>
        </w:rPr>
        <w:t>sector</w:t>
      </w:r>
      <w:proofErr w:type="gramEnd"/>
      <w:r w:rsidRPr="005F5BEA">
        <w:rPr>
          <w:i/>
        </w:rPr>
        <w:t xml:space="preserve"> </w:t>
      </w:r>
    </w:p>
    <w:p w14:paraId="623B1FAF" w14:textId="77777777" w:rsidR="00C04311" w:rsidRPr="005F5BEA" w:rsidRDefault="00C04311" w:rsidP="00C04311">
      <w:pPr>
        <w:ind w:left="720"/>
        <w:rPr>
          <w:iCs/>
        </w:rPr>
      </w:pPr>
      <w:r w:rsidRPr="005F5BEA">
        <w:rPr>
          <w:iCs/>
        </w:rPr>
        <w:t xml:space="preserve">ESC questioned whether this claim was accurate given cardiac technicians are often trained in the public sector and are subsequently employed by industry. It was also noted that the training provided by industry is </w:t>
      </w:r>
      <w:proofErr w:type="gramStart"/>
      <w:r w:rsidRPr="005F5BEA">
        <w:rPr>
          <w:iCs/>
        </w:rPr>
        <w:t>device-specific</w:t>
      </w:r>
      <w:proofErr w:type="gramEnd"/>
      <w:r w:rsidRPr="005F5BEA">
        <w:rPr>
          <w:iCs/>
        </w:rPr>
        <w:t>.</w:t>
      </w:r>
    </w:p>
    <w:p w14:paraId="113B6ED8" w14:textId="77777777" w:rsidR="00C04311" w:rsidRPr="005F5BEA" w:rsidRDefault="00C04311" w:rsidP="00AB5B20">
      <w:pPr>
        <w:numPr>
          <w:ilvl w:val="0"/>
          <w:numId w:val="15"/>
        </w:numPr>
        <w:rPr>
          <w:i/>
        </w:rPr>
      </w:pPr>
      <w:r w:rsidRPr="005F5BEA">
        <w:rPr>
          <w:i/>
        </w:rPr>
        <w:t xml:space="preserve">That existing MBS items for cardiac services go toward the clinician’s time only with no reimbursement for industry-employed cardiac </w:t>
      </w:r>
      <w:proofErr w:type="gramStart"/>
      <w:r w:rsidRPr="005F5BEA">
        <w:rPr>
          <w:i/>
        </w:rPr>
        <w:t>technicians</w:t>
      </w:r>
      <w:proofErr w:type="gramEnd"/>
      <w:r w:rsidRPr="005F5BEA">
        <w:rPr>
          <w:i/>
        </w:rPr>
        <w:t xml:space="preserve"> </w:t>
      </w:r>
    </w:p>
    <w:p w14:paraId="30180805" w14:textId="77777777" w:rsidR="00C04311" w:rsidRPr="005F5BEA" w:rsidRDefault="00C04311" w:rsidP="00C04311">
      <w:pPr>
        <w:ind w:left="720"/>
        <w:rPr>
          <w:iCs/>
        </w:rPr>
      </w:pPr>
      <w:r w:rsidRPr="005F5BEA">
        <w:rPr>
          <w:iCs/>
        </w:rPr>
        <w:t>ESC noted that notwithstanding the input received that the fees for the remote monitoring MBS items may be too low for the service provided, there is nothing precluding a cardiologist using MBS revenue to pay technicians for their time.</w:t>
      </w:r>
    </w:p>
    <w:p w14:paraId="24F88075" w14:textId="77777777" w:rsidR="00C04311" w:rsidRPr="005F5BEA" w:rsidRDefault="00C04311" w:rsidP="00AB5B20">
      <w:pPr>
        <w:numPr>
          <w:ilvl w:val="0"/>
          <w:numId w:val="15"/>
        </w:numPr>
        <w:rPr>
          <w:iCs/>
        </w:rPr>
      </w:pPr>
      <w:r w:rsidRPr="005F5BEA">
        <w:rPr>
          <w:i/>
        </w:rPr>
        <w:t xml:space="preserve">Provide ongoing device education and support directly to </w:t>
      </w:r>
      <w:proofErr w:type="gramStart"/>
      <w:r w:rsidRPr="005F5BEA">
        <w:rPr>
          <w:i/>
        </w:rPr>
        <w:t>patients</w:t>
      </w:r>
      <w:proofErr w:type="gramEnd"/>
      <w:r w:rsidRPr="005F5BEA">
        <w:rPr>
          <w:iCs/>
        </w:rPr>
        <w:t xml:space="preserve"> </w:t>
      </w:r>
    </w:p>
    <w:p w14:paraId="6C64DDC5" w14:textId="77777777" w:rsidR="00C04311" w:rsidRPr="005F5BEA" w:rsidRDefault="00C04311" w:rsidP="00C04311">
      <w:pPr>
        <w:ind w:left="720"/>
        <w:rPr>
          <w:iCs/>
        </w:rPr>
      </w:pPr>
      <w:r w:rsidRPr="005F5BEA">
        <w:rPr>
          <w:iCs/>
        </w:rPr>
        <w:t>ESC agreed with the Commentary that direct contact between industry representatives and patients is ethically problematic and is not a practice that should be supported or encouraged.</w:t>
      </w:r>
    </w:p>
    <w:p w14:paraId="749CC387" w14:textId="77777777" w:rsidR="00C04311" w:rsidRPr="005F5BEA" w:rsidRDefault="00C04311" w:rsidP="00AB5B20">
      <w:pPr>
        <w:numPr>
          <w:ilvl w:val="0"/>
          <w:numId w:val="15"/>
        </w:numPr>
        <w:rPr>
          <w:i/>
        </w:rPr>
      </w:pPr>
      <w:r w:rsidRPr="005F5BEA">
        <w:rPr>
          <w:i/>
        </w:rPr>
        <w:t xml:space="preserve">That PL benefits for devices include costs for services delivered to public and private patients, and hence PL benefits for CIEDS subsidise the lower price of devices in the public </w:t>
      </w:r>
      <w:proofErr w:type="gramStart"/>
      <w:r w:rsidRPr="005F5BEA">
        <w:rPr>
          <w:i/>
        </w:rPr>
        <w:t>sector</w:t>
      </w:r>
      <w:proofErr w:type="gramEnd"/>
      <w:r w:rsidRPr="005F5BEA">
        <w:rPr>
          <w:i/>
        </w:rPr>
        <w:t xml:space="preserve"> </w:t>
      </w:r>
    </w:p>
    <w:p w14:paraId="3D0600B6" w14:textId="77777777" w:rsidR="00C04311" w:rsidRPr="005F5BEA" w:rsidRDefault="00C04311" w:rsidP="00C04311">
      <w:pPr>
        <w:rPr>
          <w:iCs/>
        </w:rPr>
      </w:pPr>
      <w:r w:rsidRPr="005F5BEA">
        <w:rPr>
          <w:iCs/>
        </w:rPr>
        <w:t xml:space="preserve"> </w:t>
      </w:r>
      <w:r w:rsidRPr="005F5BEA">
        <w:rPr>
          <w:iCs/>
        </w:rPr>
        <w:tab/>
        <w:t xml:space="preserve">ESC noted that this is one of the key considerations of this application. </w:t>
      </w:r>
    </w:p>
    <w:p w14:paraId="2A562AE6" w14:textId="77777777" w:rsidR="00C04311" w:rsidRPr="005F5BEA" w:rsidRDefault="00C04311" w:rsidP="00C04311">
      <w:pPr>
        <w:rPr>
          <w:iCs/>
        </w:rPr>
      </w:pPr>
      <w:r w:rsidRPr="005F5BEA">
        <w:rPr>
          <w:iCs/>
        </w:rPr>
        <w:t xml:space="preserve">ESC noted that no evidence was presented in the ADAR to justify an incremental value of industry-employed cardiac technicians providing these services compared to non-industry employed cardiac technicians. ESC therefore considered there was no evidence to support that industry-employed cardiac technicians should be remunerated at a higher rate than non-industry employed cardiac technicians. </w:t>
      </w:r>
    </w:p>
    <w:p w14:paraId="46B878CB" w14:textId="77777777" w:rsidR="00C04311" w:rsidRPr="005F5BEA" w:rsidRDefault="00C04311" w:rsidP="00C04311">
      <w:r w:rsidRPr="005F5BEA">
        <w:t xml:space="preserve">ESC noted the ADAR presented the results of a prospective data collection exercise conducted over a 4-week, or 28-day period (15 August 2022-11 September 2022). The aim was to collect information on all cardiac technical support services provided by industry-employed cardiac technicians from the five MTAA CF members during this </w:t>
      </w:r>
      <w:proofErr w:type="gramStart"/>
      <w:r w:rsidRPr="005F5BEA">
        <w:t>time period</w:t>
      </w:r>
      <w:proofErr w:type="gramEnd"/>
      <w:r w:rsidRPr="005F5BEA">
        <w:t>.</w:t>
      </w:r>
    </w:p>
    <w:p w14:paraId="2DFEE946" w14:textId="77777777" w:rsidR="00C04311" w:rsidRPr="005F5BEA" w:rsidRDefault="00C04311" w:rsidP="00C04311">
      <w:r w:rsidRPr="005F5BEA">
        <w:rPr>
          <w:iCs/>
          <w:lang w:val="en-US"/>
        </w:rPr>
        <w:t xml:space="preserve">ESC noted the ADAR estimated that the cost of cardiac technical services provided by industry-employed cardiac technicians was $73 million per year. ESC noted that approximately $20 million was for services provided </w:t>
      </w:r>
      <w:r w:rsidRPr="005F5BEA">
        <w:rPr>
          <w:lang w:val="en-US"/>
        </w:rPr>
        <w:t>in the</w:t>
      </w:r>
      <w:r w:rsidRPr="005F5BEA">
        <w:rPr>
          <w:iCs/>
          <w:lang w:val="en-US"/>
        </w:rPr>
        <w:t xml:space="preserve"> public system. </w:t>
      </w:r>
      <w:r w:rsidRPr="005F5BEA">
        <w:t xml:space="preserve">ESC noted that the data presented in the ADAR showed that 17.6% of all in-person support services and 16.4% of device implantations (not mutually exclusive) were provided by industry-employed cardiac technicians occurred in a public hospital (1,886 of 10,711 services) during the 4-week data collection period. ESC considered that given the purpose of the PL is to set out minimum benefits for privately insured patients, PL benefits should not be used to cross-subsidise public sector activity and that these costs should be removed from the calculation of the reasonable cost of follow-up services. ESC considered that sections of the public sector may not have sufficient capacity to take over </w:t>
      </w:r>
      <w:r w:rsidRPr="005F5BEA">
        <w:lastRenderedPageBreak/>
        <w:t xml:space="preserve">aspects of this work and therefore also rely on the use of industry-employed cardiac technicians, however this creates non-transparent funding arrangements for these services in the public sector. </w:t>
      </w:r>
    </w:p>
    <w:p w14:paraId="274800FE" w14:textId="77777777" w:rsidR="00C04311" w:rsidRPr="005F5BEA" w:rsidRDefault="00C04311" w:rsidP="00C04311">
      <w:pPr>
        <w:rPr>
          <w:iCs/>
        </w:rPr>
      </w:pPr>
      <w:r w:rsidRPr="005F5BEA">
        <w:rPr>
          <w:iCs/>
        </w:rPr>
        <w:t xml:space="preserve">ESC considered it was also reasonable to remove the costs included in the ADAR associated with peri-implantation services, including Day 1 checks (approx. $9 million for 2022).  ESC acknowledged the applicant’s pre-ESC response that these peri-implantation services are required, however considered them to be a component of the device price, consistent with how implantation support services have been managed for other devices on the PL requiring similar support. </w:t>
      </w:r>
      <w:proofErr w:type="gramStart"/>
      <w:r w:rsidRPr="005F5BEA">
        <w:t>Therefore</w:t>
      </w:r>
      <w:proofErr w:type="gramEnd"/>
      <w:r w:rsidRPr="005F5BEA">
        <w:t xml:space="preserve"> by removing the costs included in the ADAR associated with public sector activity and peri-implantation services, ESC considered the reasonable aggregate cost for cardiac technical support services provided to privately insured patients that could be quarantined from PL benefit reductions should be $44.4 million, instead of the $73 million proposed in the ADAR. </w:t>
      </w:r>
    </w:p>
    <w:p w14:paraId="105ACC98" w14:textId="35A6810B" w:rsidR="00C04311" w:rsidRPr="005F5BEA" w:rsidRDefault="00C04311" w:rsidP="00C04311">
      <w:pPr>
        <w:pStyle w:val="TableHeading"/>
      </w:pPr>
      <w:bookmarkStart w:id="61" w:name="_Ref128646832"/>
      <w:r w:rsidRPr="005F5BEA">
        <w:t xml:space="preserve">Table </w:t>
      </w:r>
      <w:r w:rsidRPr="005F5BEA">
        <w:fldChar w:fldCharType="begin"/>
      </w:r>
      <w:r w:rsidRPr="005F5BEA">
        <w:instrText>SEQ Table \* ARABIC</w:instrText>
      </w:r>
      <w:r w:rsidRPr="005F5BEA">
        <w:fldChar w:fldCharType="separate"/>
      </w:r>
      <w:r w:rsidR="00334548">
        <w:rPr>
          <w:noProof/>
        </w:rPr>
        <w:t>39</w:t>
      </w:r>
      <w:r w:rsidRPr="005F5BEA">
        <w:fldChar w:fldCharType="end"/>
      </w:r>
      <w:bookmarkEnd w:id="61"/>
      <w:r w:rsidRPr="005F5BEA">
        <w:t xml:space="preserve">: ESC’s revised calculation of cardiac technical support services for 2022  </w:t>
      </w:r>
    </w:p>
    <w:tbl>
      <w:tblPr>
        <w:tblStyle w:val="TableGrid"/>
        <w:tblW w:w="5000" w:type="pct"/>
        <w:tblLook w:val="04A0" w:firstRow="1" w:lastRow="0" w:firstColumn="1" w:lastColumn="0" w:noHBand="0" w:noVBand="1"/>
      </w:tblPr>
      <w:tblGrid>
        <w:gridCol w:w="6232"/>
        <w:gridCol w:w="2784"/>
      </w:tblGrid>
      <w:tr w:rsidR="00C04311" w:rsidRPr="005F5BEA" w14:paraId="6D4E0646" w14:textId="77777777" w:rsidTr="00885172">
        <w:tc>
          <w:tcPr>
            <w:tcW w:w="3456" w:type="pct"/>
          </w:tcPr>
          <w:p w14:paraId="06679F2A" w14:textId="77777777" w:rsidR="00C04311" w:rsidRPr="005F5BEA" w:rsidRDefault="00C04311" w:rsidP="00885172">
            <w:pPr>
              <w:pStyle w:val="Tabletext0"/>
              <w:rPr>
                <w:b/>
                <w:bCs/>
              </w:rPr>
            </w:pPr>
            <w:r w:rsidRPr="005F5BEA">
              <w:rPr>
                <w:b/>
                <w:bCs/>
              </w:rPr>
              <w:t xml:space="preserve">Component </w:t>
            </w:r>
          </w:p>
        </w:tc>
        <w:tc>
          <w:tcPr>
            <w:tcW w:w="1544" w:type="pct"/>
            <w:vAlign w:val="center"/>
          </w:tcPr>
          <w:p w14:paraId="5051CDB9" w14:textId="77777777" w:rsidR="00C04311" w:rsidRPr="005F5BEA" w:rsidRDefault="00C04311" w:rsidP="00885172">
            <w:pPr>
              <w:pStyle w:val="Tabletext0"/>
              <w:jc w:val="right"/>
              <w:rPr>
                <w:b/>
                <w:bCs/>
              </w:rPr>
            </w:pPr>
            <w:r w:rsidRPr="005F5BEA">
              <w:rPr>
                <w:b/>
                <w:bCs/>
              </w:rPr>
              <w:t>Cost</w:t>
            </w:r>
          </w:p>
        </w:tc>
      </w:tr>
      <w:tr w:rsidR="00C04311" w:rsidRPr="005F5BEA" w14:paraId="720F9817" w14:textId="77777777" w:rsidTr="00885172">
        <w:tc>
          <w:tcPr>
            <w:tcW w:w="3456" w:type="pct"/>
          </w:tcPr>
          <w:p w14:paraId="6553A3FD" w14:textId="77777777" w:rsidR="00C04311" w:rsidRPr="005F5BEA" w:rsidRDefault="00C04311" w:rsidP="00885172">
            <w:pPr>
              <w:pStyle w:val="Tabletext0"/>
            </w:pPr>
            <w:r w:rsidRPr="005F5BEA">
              <w:t>Total cost of cardiac technical support services</w:t>
            </w:r>
            <w:r w:rsidRPr="005F5BEA">
              <w:rPr>
                <w:vertAlign w:val="superscript"/>
              </w:rPr>
              <w:t xml:space="preserve"> a</w:t>
            </w:r>
          </w:p>
        </w:tc>
        <w:tc>
          <w:tcPr>
            <w:tcW w:w="1544" w:type="pct"/>
          </w:tcPr>
          <w:p w14:paraId="54C704CA" w14:textId="77777777" w:rsidR="00C04311" w:rsidRPr="005F5BEA" w:rsidRDefault="00C04311" w:rsidP="00885172">
            <w:pPr>
              <w:pStyle w:val="Tabletext0"/>
              <w:jc w:val="right"/>
            </w:pPr>
            <w:r w:rsidRPr="005F5BEA">
              <w:t xml:space="preserve">$73,275,912 </w:t>
            </w:r>
          </w:p>
        </w:tc>
      </w:tr>
      <w:tr w:rsidR="00C04311" w:rsidRPr="005F5BEA" w14:paraId="15DDE0C4" w14:textId="77777777" w:rsidTr="00885172">
        <w:tc>
          <w:tcPr>
            <w:tcW w:w="3456" w:type="pct"/>
          </w:tcPr>
          <w:p w14:paraId="5B4A9AF9" w14:textId="77777777" w:rsidR="00C04311" w:rsidRPr="005F5BEA" w:rsidRDefault="00C04311" w:rsidP="00885172">
            <w:pPr>
              <w:pStyle w:val="Tabletext0"/>
            </w:pPr>
            <w:r w:rsidRPr="005F5BEA">
              <w:t>Services for public hospitals</w:t>
            </w:r>
          </w:p>
        </w:tc>
        <w:tc>
          <w:tcPr>
            <w:tcW w:w="1544" w:type="pct"/>
          </w:tcPr>
          <w:p w14:paraId="58281C98" w14:textId="77777777" w:rsidR="00C04311" w:rsidRPr="005F5BEA" w:rsidRDefault="00C04311" w:rsidP="00885172">
            <w:pPr>
              <w:pStyle w:val="Tabletext0"/>
              <w:jc w:val="right"/>
            </w:pPr>
            <w:r w:rsidRPr="005F5BEA">
              <w:t>$19,797,096</w:t>
            </w:r>
          </w:p>
        </w:tc>
      </w:tr>
      <w:tr w:rsidR="00C04311" w:rsidRPr="005F5BEA" w14:paraId="26795A39" w14:textId="77777777" w:rsidTr="00885172">
        <w:tc>
          <w:tcPr>
            <w:tcW w:w="3456" w:type="pct"/>
          </w:tcPr>
          <w:p w14:paraId="7C04881B" w14:textId="77777777" w:rsidR="00C04311" w:rsidRPr="005F5BEA" w:rsidRDefault="00C04311" w:rsidP="00885172">
            <w:pPr>
              <w:pStyle w:val="Tabletext0"/>
              <w:rPr>
                <w:vertAlign w:val="superscript"/>
              </w:rPr>
            </w:pPr>
            <w:r w:rsidRPr="005F5BEA">
              <w:t xml:space="preserve">Implantation and Day-1 services (private) </w:t>
            </w:r>
            <w:r w:rsidRPr="005F5BEA">
              <w:rPr>
                <w:vertAlign w:val="superscript"/>
              </w:rPr>
              <w:t>b</w:t>
            </w:r>
          </w:p>
        </w:tc>
        <w:tc>
          <w:tcPr>
            <w:tcW w:w="1544" w:type="pct"/>
          </w:tcPr>
          <w:p w14:paraId="54E669E5" w14:textId="77777777" w:rsidR="00C04311" w:rsidRPr="005F5BEA" w:rsidRDefault="00C04311" w:rsidP="00885172">
            <w:pPr>
              <w:pStyle w:val="Tabletext0"/>
              <w:jc w:val="right"/>
            </w:pPr>
            <w:r w:rsidRPr="005F5BEA">
              <w:t>$9,039,160</w:t>
            </w:r>
          </w:p>
        </w:tc>
      </w:tr>
      <w:tr w:rsidR="00C04311" w:rsidRPr="005F5BEA" w14:paraId="7434A754" w14:textId="77777777" w:rsidTr="00885172">
        <w:tc>
          <w:tcPr>
            <w:tcW w:w="3456" w:type="pct"/>
          </w:tcPr>
          <w:p w14:paraId="188702FE" w14:textId="77777777" w:rsidR="00C04311" w:rsidRPr="005F5BEA" w:rsidRDefault="00C04311" w:rsidP="00885172">
            <w:pPr>
              <w:pStyle w:val="Tabletext0"/>
            </w:pPr>
            <w:r w:rsidRPr="005F5BEA">
              <w:t xml:space="preserve">Revised cost (excluding public hospital and implantation associated services) </w:t>
            </w:r>
          </w:p>
        </w:tc>
        <w:tc>
          <w:tcPr>
            <w:tcW w:w="1544" w:type="pct"/>
          </w:tcPr>
          <w:p w14:paraId="0E8A8C4A" w14:textId="77777777" w:rsidR="00C04311" w:rsidRPr="005F5BEA" w:rsidRDefault="00C04311" w:rsidP="00885172">
            <w:pPr>
              <w:pStyle w:val="Tabletext0"/>
              <w:jc w:val="right"/>
              <w:rPr>
                <w:b/>
                <w:bCs/>
              </w:rPr>
            </w:pPr>
            <w:r w:rsidRPr="005F5BEA">
              <w:rPr>
                <w:b/>
                <w:bCs/>
              </w:rPr>
              <w:t>$44,439,655</w:t>
            </w:r>
          </w:p>
        </w:tc>
      </w:tr>
    </w:tbl>
    <w:p w14:paraId="2304476A" w14:textId="77777777" w:rsidR="00C04311" w:rsidRPr="005F5BEA" w:rsidRDefault="00C04311" w:rsidP="00C04311">
      <w:pPr>
        <w:pStyle w:val="Tablenotes"/>
        <w:rPr>
          <w:i/>
          <w:iCs/>
        </w:rPr>
      </w:pPr>
      <w:r w:rsidRPr="005F5BEA">
        <w:t xml:space="preserve">Source: Table 4-17, p95 of the commentary and calculated for the ESC report. </w:t>
      </w:r>
    </w:p>
    <w:p w14:paraId="763477C2" w14:textId="77777777" w:rsidR="00C04311" w:rsidRPr="005F5BEA" w:rsidRDefault="00C04311" w:rsidP="00C04311">
      <w:pPr>
        <w:pStyle w:val="Tablenotes"/>
      </w:pPr>
      <w:r w:rsidRPr="005F5BEA">
        <w:rPr>
          <w:vertAlign w:val="superscript"/>
        </w:rPr>
        <w:t>a</w:t>
      </w:r>
      <w:r w:rsidRPr="005F5BEA">
        <w:t xml:space="preserve"> Revised from $73,275,613 in the ADAR. </w:t>
      </w:r>
    </w:p>
    <w:p w14:paraId="55E34DE7" w14:textId="77777777" w:rsidR="00C04311" w:rsidRPr="005F5BEA" w:rsidRDefault="00C04311" w:rsidP="00C04311">
      <w:pPr>
        <w:pStyle w:val="Tablenotes"/>
      </w:pPr>
      <w:r w:rsidRPr="005F5BEA">
        <w:rPr>
          <w:vertAlign w:val="superscript"/>
        </w:rPr>
        <w:t>b</w:t>
      </w:r>
      <w:r w:rsidRPr="005F5BEA">
        <w:t xml:space="preserve"> Calculated from Attachment 5 of the ADAR. Included Labour and Travel costs for private sector. Training costs were calculated as the proportion of training costs for scheduled services x proportion of scheduled services that were implantation support or Day 1 post implantation </w:t>
      </w:r>
      <w:proofErr w:type="gramStart"/>
      <w:r w:rsidRPr="005F5BEA">
        <w:t>services</w:t>
      </w:r>
      <w:proofErr w:type="gramEnd"/>
    </w:p>
    <w:p w14:paraId="0C307DA6" w14:textId="29A6F5C8" w:rsidR="00C04311" w:rsidRPr="005F5BEA" w:rsidRDefault="00C04311" w:rsidP="00C04311">
      <w:pPr>
        <w:rPr>
          <w:iCs/>
        </w:rPr>
      </w:pPr>
      <w:r w:rsidRPr="005F5BEA">
        <w:rPr>
          <w:iCs/>
        </w:rPr>
        <w:t>ESC considered the estimates presented in the ADAR, and its revised cost for private patients to be overestimated as they are based on the costs of an inefficient system and appeared to include inflated costs (such as $2</w:t>
      </w:r>
      <w:r w:rsidR="00B62C82" w:rsidRPr="005F5BEA">
        <w:rPr>
          <w:iCs/>
        </w:rPr>
        <w:t>12,00</w:t>
      </w:r>
      <w:r w:rsidR="00B76855" w:rsidRPr="005F5BEA">
        <w:rPr>
          <w:iCs/>
        </w:rPr>
        <w:t>0</w:t>
      </w:r>
      <w:r w:rsidR="00B62C82" w:rsidRPr="005F5BEA">
        <w:rPr>
          <w:iCs/>
        </w:rPr>
        <w:t xml:space="preserve"> - $250,000</w:t>
      </w:r>
      <w:r w:rsidRPr="005F5BEA">
        <w:rPr>
          <w:iCs/>
        </w:rPr>
        <w:t xml:space="preserve"> onboarding costs). </w:t>
      </w:r>
    </w:p>
    <w:p w14:paraId="3B50FDE8" w14:textId="127B71D3" w:rsidR="00C04311" w:rsidRPr="005F5BEA" w:rsidRDefault="00C04311" w:rsidP="00C04311">
      <w:pPr>
        <w:rPr>
          <w:iCs/>
        </w:rPr>
      </w:pPr>
      <w:r w:rsidRPr="005F5BEA">
        <w:rPr>
          <w:iCs/>
        </w:rPr>
        <w:t xml:space="preserve">ESC considered </w:t>
      </w:r>
      <w:r w:rsidRPr="005F5BEA">
        <w:t>there</w:t>
      </w:r>
      <w:r w:rsidRPr="005F5BEA">
        <w:rPr>
          <w:iCs/>
        </w:rPr>
        <w:t xml:space="preserve"> are currently no incentives for cardiologists to move away from expecting on-demand service provision even for scheduled services (e.g. by scheduling patients for review on the same day) and in future there will likely be a reduction in the need for cardiac technicians to be present for unscheduled services, noting the increasing availability of remote monitoring and the already diminishing need for cardiac technicians to be present in radiation oncology and emergency department settings. ESC noted that the applicant provided revised costs of cardiac technical support services based on a further 4-week data collection. ESC noted the estimated cost of cardiac technical support services provided by industry-employed cardiac technicians rose from $73 million to $91.3 million </w:t>
      </w:r>
      <w:proofErr w:type="gramStart"/>
      <w:r w:rsidRPr="005F5BEA">
        <w:rPr>
          <w:iCs/>
        </w:rPr>
        <w:t>as a result of</w:t>
      </w:r>
      <w:proofErr w:type="gramEnd"/>
      <w:r w:rsidRPr="005F5BEA">
        <w:rPr>
          <w:iCs/>
        </w:rPr>
        <w:t xml:space="preserve"> this additional data collection. ESC considered the revised figures could not be adequately evaluated.</w:t>
      </w:r>
    </w:p>
    <w:p w14:paraId="2D297464" w14:textId="77777777" w:rsidR="00C04311" w:rsidRPr="005F5BEA" w:rsidRDefault="00C04311" w:rsidP="00C04311">
      <w:pPr>
        <w:rPr>
          <w:iCs/>
        </w:rPr>
      </w:pPr>
      <w:r w:rsidRPr="005F5BEA">
        <w:rPr>
          <w:iCs/>
        </w:rPr>
        <w:t xml:space="preserve">ESC noted the </w:t>
      </w:r>
      <w:r w:rsidRPr="005F5BEA">
        <w:t xml:space="preserve">PL benefits paid for </w:t>
      </w:r>
      <w:r w:rsidRPr="005F5BEA">
        <w:rPr>
          <w:iCs/>
        </w:rPr>
        <w:t>remote monitoring systems associated with CIEDs listed in Part C of the PL</w:t>
      </w:r>
      <w:r w:rsidRPr="005F5BEA">
        <w:t>,</w:t>
      </w:r>
      <w:r w:rsidRPr="005F5BEA">
        <w:rPr>
          <w:iCs/>
        </w:rPr>
        <w:t xml:space="preserve"> were not accounted for in the ADAR as an additional source of funding cardiac services provided. ESC noted the PL benefit amount for the remote monitoring systems is $1,450, paid at the time of implantation in addition to the PL benefit associated with the device. The benefit includes both the price of the transmitter and lifetime access to remote monitoring services. Given this benefit is provided in addition to the benefit </w:t>
      </w:r>
      <w:r w:rsidRPr="005F5BEA">
        <w:t xml:space="preserve">paid </w:t>
      </w:r>
      <w:r w:rsidRPr="005F5BEA">
        <w:rPr>
          <w:iCs/>
        </w:rPr>
        <w:t xml:space="preserve">for the device at the time of implantation and it is associated with the provision of remote monitoring services provided by industry, ESC queried whether it should be removed from the cost of cardiac services presented in the ADAR.  ESC requested the applicant addresses this issue in its pre-MSAC response. </w:t>
      </w:r>
    </w:p>
    <w:p w14:paraId="2A62E244" w14:textId="4F09C71E" w:rsidR="00C04311" w:rsidRPr="005F5BEA" w:rsidRDefault="00C04311" w:rsidP="00C04311">
      <w:pPr>
        <w:rPr>
          <w:iCs/>
          <w:lang w:val="en-US"/>
        </w:rPr>
      </w:pPr>
      <w:r w:rsidRPr="005F5BEA">
        <w:rPr>
          <w:iCs/>
          <w:lang w:val="en-US"/>
        </w:rPr>
        <w:t>ESC noted that in 202</w:t>
      </w:r>
      <w:r w:rsidR="00FA14A6">
        <w:rPr>
          <w:iCs/>
          <w:lang w:val="en-US"/>
        </w:rPr>
        <w:t>0</w:t>
      </w:r>
      <w:r w:rsidRPr="005F5BEA">
        <w:rPr>
          <w:iCs/>
          <w:lang w:val="en-US"/>
        </w:rPr>
        <w:t xml:space="preserve">-21 </w:t>
      </w:r>
      <w:r w:rsidRPr="005F5BEA">
        <w:t xml:space="preserve">(the most recent financial year with mostly complete </w:t>
      </w:r>
      <w:proofErr w:type="spellStart"/>
      <w:r w:rsidRPr="005F5BEA">
        <w:t>Casemix</w:t>
      </w:r>
      <w:proofErr w:type="spellEnd"/>
      <w:r w:rsidRPr="005F5BEA">
        <w:t xml:space="preserve"> data)</w:t>
      </w:r>
      <w:r w:rsidRPr="005F5BEA">
        <w:rPr>
          <w:iCs/>
          <w:lang w:val="en-US"/>
        </w:rPr>
        <w:t xml:space="preserve"> total CIED PL benefits were $199 million. Quarantining $44.4 million for the provision of cardiac </w:t>
      </w:r>
      <w:r w:rsidRPr="005F5BEA">
        <w:rPr>
          <w:iCs/>
          <w:lang w:val="en-US"/>
        </w:rPr>
        <w:lastRenderedPageBreak/>
        <w:t>technical support services would result in a ‘gap’</w:t>
      </w:r>
      <w:r w:rsidRPr="005F5BEA">
        <w:rPr>
          <w:lang w:val="en-US"/>
        </w:rPr>
        <w:t xml:space="preserve"> of $74.3 million to which the reductions would be applied (</w:t>
      </w:r>
      <w:r w:rsidR="00733BE3">
        <w:rPr>
          <w:lang w:val="en-US"/>
        </w:rPr>
        <w:fldChar w:fldCharType="begin"/>
      </w:r>
      <w:r w:rsidR="00733BE3">
        <w:rPr>
          <w:lang w:val="en-US"/>
        </w:rPr>
        <w:instrText xml:space="preserve"> REF _Ref157670054 \h </w:instrText>
      </w:r>
      <w:r w:rsidR="00733BE3">
        <w:rPr>
          <w:lang w:val="en-US"/>
        </w:rPr>
      </w:r>
      <w:r w:rsidR="00733BE3">
        <w:rPr>
          <w:lang w:val="en-US"/>
        </w:rPr>
        <w:fldChar w:fldCharType="separate"/>
      </w:r>
      <w:r w:rsidR="00334548" w:rsidRPr="005F5BEA">
        <w:t xml:space="preserve">Table </w:t>
      </w:r>
      <w:r w:rsidR="00334548">
        <w:rPr>
          <w:noProof/>
        </w:rPr>
        <w:t>40</w:t>
      </w:r>
      <w:r w:rsidR="00733BE3">
        <w:rPr>
          <w:lang w:val="en-US"/>
        </w:rPr>
        <w:fldChar w:fldCharType="end"/>
      </w:r>
      <w:r w:rsidRPr="005F5BEA">
        <w:rPr>
          <w:lang w:val="en-US"/>
        </w:rPr>
        <w:t>)</w:t>
      </w:r>
      <w:r w:rsidRPr="005F5BEA">
        <w:rPr>
          <w:iCs/>
          <w:lang w:val="en-US"/>
        </w:rPr>
        <w:t>.</w:t>
      </w:r>
    </w:p>
    <w:p w14:paraId="2E8F1E8D" w14:textId="01B87473" w:rsidR="00C04311" w:rsidRPr="005F5BEA" w:rsidRDefault="00C04311" w:rsidP="00C04311">
      <w:pPr>
        <w:pStyle w:val="TableHeading"/>
      </w:pPr>
      <w:bookmarkStart w:id="62" w:name="_Ref157670054"/>
      <w:bookmarkStart w:id="63" w:name="_Hlk157670190"/>
      <w:r w:rsidRPr="005F5BEA">
        <w:t xml:space="preserve">Table </w:t>
      </w:r>
      <w:r w:rsidRPr="005F5BEA">
        <w:fldChar w:fldCharType="begin"/>
      </w:r>
      <w:r w:rsidRPr="005F5BEA">
        <w:instrText>SEQ Table \* ARABIC</w:instrText>
      </w:r>
      <w:r w:rsidRPr="005F5BEA">
        <w:fldChar w:fldCharType="separate"/>
      </w:r>
      <w:r w:rsidR="00334548">
        <w:rPr>
          <w:noProof/>
        </w:rPr>
        <w:t>40</w:t>
      </w:r>
      <w:r w:rsidRPr="005F5BEA">
        <w:fldChar w:fldCharType="end"/>
      </w:r>
      <w:bookmarkEnd w:id="62"/>
      <w:r w:rsidRPr="005F5BEA">
        <w:t xml:space="preserve">: Calculations of the gap for CIEDs in 2020-21  </w:t>
      </w:r>
    </w:p>
    <w:tbl>
      <w:tblPr>
        <w:tblStyle w:val="TableGrid"/>
        <w:tblW w:w="5000" w:type="pct"/>
        <w:tblLook w:val="04A0" w:firstRow="1" w:lastRow="0" w:firstColumn="1" w:lastColumn="0" w:noHBand="0" w:noVBand="1"/>
      </w:tblPr>
      <w:tblGrid>
        <w:gridCol w:w="3115"/>
        <w:gridCol w:w="849"/>
        <w:gridCol w:w="1446"/>
        <w:gridCol w:w="1673"/>
        <w:gridCol w:w="1933"/>
      </w:tblGrid>
      <w:tr w:rsidR="00C04311" w:rsidRPr="005F5BEA" w14:paraId="203ECE97" w14:textId="77777777" w:rsidTr="008A2B4D">
        <w:tc>
          <w:tcPr>
            <w:tcW w:w="1727" w:type="pct"/>
          </w:tcPr>
          <w:p w14:paraId="4393C484" w14:textId="77777777" w:rsidR="00C04311" w:rsidRPr="005F5BEA" w:rsidRDefault="00C04311" w:rsidP="00885172">
            <w:pPr>
              <w:pStyle w:val="Tabletext0"/>
              <w:rPr>
                <w:b/>
                <w:bCs/>
              </w:rPr>
            </w:pPr>
            <w:r w:rsidRPr="005F5BEA">
              <w:rPr>
                <w:b/>
                <w:bCs/>
              </w:rPr>
              <w:t xml:space="preserve">CIED </w:t>
            </w:r>
          </w:p>
        </w:tc>
        <w:tc>
          <w:tcPr>
            <w:tcW w:w="471" w:type="pct"/>
            <w:vAlign w:val="center"/>
          </w:tcPr>
          <w:p w14:paraId="16E6C5C3" w14:textId="77777777" w:rsidR="00C04311" w:rsidRPr="005F5BEA" w:rsidRDefault="00C04311" w:rsidP="00885172">
            <w:pPr>
              <w:pStyle w:val="Tabletext0"/>
              <w:jc w:val="center"/>
              <w:rPr>
                <w:b/>
                <w:bCs/>
              </w:rPr>
            </w:pPr>
            <w:r w:rsidRPr="005F5BEA">
              <w:rPr>
                <w:b/>
                <w:bCs/>
              </w:rPr>
              <w:t>Total</w:t>
            </w:r>
          </w:p>
          <w:p w14:paraId="2E3D7A18" w14:textId="77777777" w:rsidR="00C04311" w:rsidRPr="005F5BEA" w:rsidRDefault="00C04311" w:rsidP="00885172">
            <w:pPr>
              <w:pStyle w:val="Tabletext0"/>
              <w:jc w:val="center"/>
              <w:rPr>
                <w:b/>
                <w:bCs/>
              </w:rPr>
            </w:pPr>
            <w:r w:rsidRPr="005F5BEA">
              <w:rPr>
                <w:b/>
                <w:bCs/>
              </w:rPr>
              <w:t>items</w:t>
            </w:r>
          </w:p>
        </w:tc>
        <w:tc>
          <w:tcPr>
            <w:tcW w:w="802" w:type="pct"/>
            <w:tcBorders>
              <w:bottom w:val="single" w:sz="4" w:space="0" w:color="auto"/>
            </w:tcBorders>
            <w:vAlign w:val="center"/>
          </w:tcPr>
          <w:p w14:paraId="0781C3AA" w14:textId="77777777" w:rsidR="00C04311" w:rsidRPr="005F5BEA" w:rsidRDefault="00C04311" w:rsidP="00885172">
            <w:pPr>
              <w:pStyle w:val="Tabletext0"/>
              <w:jc w:val="center"/>
              <w:rPr>
                <w:b/>
                <w:bCs/>
              </w:rPr>
            </w:pPr>
            <w:r w:rsidRPr="005F5BEA">
              <w:rPr>
                <w:b/>
                <w:bCs/>
              </w:rPr>
              <w:t>PL Benefits</w:t>
            </w:r>
          </w:p>
          <w:p w14:paraId="183BF52D" w14:textId="77777777" w:rsidR="00C04311" w:rsidRPr="005F5BEA" w:rsidRDefault="00C04311" w:rsidP="00885172">
            <w:pPr>
              <w:pStyle w:val="Tabletext0"/>
              <w:jc w:val="center"/>
              <w:rPr>
                <w:b/>
                <w:bCs/>
              </w:rPr>
            </w:pPr>
            <w:r w:rsidRPr="005F5BEA">
              <w:rPr>
                <w:b/>
                <w:bCs/>
              </w:rPr>
              <w:t>(</w:t>
            </w:r>
            <w:proofErr w:type="gramStart"/>
            <w:r w:rsidRPr="005F5BEA">
              <w:rPr>
                <w:b/>
                <w:bCs/>
              </w:rPr>
              <w:t>private</w:t>
            </w:r>
            <w:proofErr w:type="gramEnd"/>
            <w:r w:rsidRPr="005F5BEA">
              <w:rPr>
                <w:b/>
                <w:bCs/>
              </w:rPr>
              <w:t xml:space="preserve"> sector)</w:t>
            </w:r>
          </w:p>
        </w:tc>
        <w:tc>
          <w:tcPr>
            <w:tcW w:w="928" w:type="pct"/>
            <w:tcBorders>
              <w:bottom w:val="single" w:sz="4" w:space="0" w:color="auto"/>
            </w:tcBorders>
            <w:vAlign w:val="center"/>
          </w:tcPr>
          <w:p w14:paraId="4F397D76" w14:textId="77777777" w:rsidR="00C04311" w:rsidRPr="005F5BEA" w:rsidRDefault="00C04311" w:rsidP="00885172">
            <w:pPr>
              <w:pStyle w:val="Tabletext0"/>
              <w:jc w:val="center"/>
              <w:rPr>
                <w:b/>
                <w:bCs/>
              </w:rPr>
            </w:pPr>
            <w:r w:rsidRPr="005F5BEA">
              <w:rPr>
                <w:b/>
                <w:bCs/>
              </w:rPr>
              <w:t>Public weighted average price</w:t>
            </w:r>
            <w:r w:rsidRPr="005F5BEA">
              <w:rPr>
                <w:b/>
                <w:bCs/>
                <w:vertAlign w:val="superscript"/>
              </w:rPr>
              <w:t xml:space="preserve"> a</w:t>
            </w:r>
          </w:p>
        </w:tc>
        <w:tc>
          <w:tcPr>
            <w:tcW w:w="1072" w:type="pct"/>
            <w:tcBorders>
              <w:bottom w:val="single" w:sz="4" w:space="0" w:color="auto"/>
            </w:tcBorders>
            <w:vAlign w:val="center"/>
          </w:tcPr>
          <w:p w14:paraId="6B8F07F5" w14:textId="77777777" w:rsidR="00C04311" w:rsidRPr="005F5BEA" w:rsidRDefault="00C04311" w:rsidP="00885172">
            <w:pPr>
              <w:pStyle w:val="Tabletext0"/>
              <w:jc w:val="center"/>
              <w:rPr>
                <w:b/>
                <w:bCs/>
              </w:rPr>
            </w:pPr>
            <w:r w:rsidRPr="005F5BEA">
              <w:rPr>
                <w:b/>
                <w:bCs/>
              </w:rPr>
              <w:t>Gap</w:t>
            </w:r>
          </w:p>
          <w:p w14:paraId="69313804" w14:textId="77777777" w:rsidR="00C04311" w:rsidRPr="005F5BEA" w:rsidRDefault="00C04311" w:rsidP="00885172">
            <w:pPr>
              <w:pStyle w:val="Tabletext0"/>
              <w:jc w:val="center"/>
              <w:rPr>
                <w:b/>
                <w:bCs/>
              </w:rPr>
            </w:pPr>
            <w:r w:rsidRPr="005F5BEA">
              <w:rPr>
                <w:b/>
                <w:bCs/>
              </w:rPr>
              <w:t>(PL benefits – public)</w:t>
            </w:r>
          </w:p>
        </w:tc>
      </w:tr>
      <w:tr w:rsidR="00C04311" w:rsidRPr="005F5BEA" w14:paraId="60A9D984" w14:textId="77777777" w:rsidTr="008A2B4D">
        <w:tc>
          <w:tcPr>
            <w:tcW w:w="1727" w:type="pct"/>
          </w:tcPr>
          <w:p w14:paraId="2488483B" w14:textId="77777777" w:rsidR="00C04311" w:rsidRPr="005F5BEA" w:rsidRDefault="00C04311" w:rsidP="00885172">
            <w:pPr>
              <w:pStyle w:val="Tabletext0"/>
            </w:pPr>
            <w:r w:rsidRPr="005F5BEA">
              <w:t>ICDs</w:t>
            </w:r>
          </w:p>
        </w:tc>
        <w:tc>
          <w:tcPr>
            <w:tcW w:w="471" w:type="pct"/>
            <w:vAlign w:val="center"/>
          </w:tcPr>
          <w:p w14:paraId="1B47BCF4" w14:textId="77777777" w:rsidR="00C04311" w:rsidRPr="005F5BEA" w:rsidRDefault="00C04311" w:rsidP="00885172">
            <w:pPr>
              <w:pStyle w:val="Tabletext0"/>
              <w:jc w:val="center"/>
            </w:pPr>
            <w:r w:rsidRPr="005F5BEA">
              <w:t>1,436</w:t>
            </w:r>
          </w:p>
        </w:tc>
        <w:tc>
          <w:tcPr>
            <w:tcW w:w="802" w:type="pct"/>
            <w:tcBorders>
              <w:bottom w:val="single" w:sz="4" w:space="0" w:color="auto"/>
            </w:tcBorders>
            <w:shd w:val="solid" w:color="000000" w:fill="000000"/>
            <w:vAlign w:val="center"/>
          </w:tcPr>
          <w:p w14:paraId="2A2894FD" w14:textId="7EC85F20" w:rsidR="00C04311" w:rsidRPr="008A2B4D" w:rsidRDefault="008A2B4D" w:rsidP="00885172">
            <w:pPr>
              <w:pStyle w:val="Tabletext0"/>
              <w:jc w:val="center"/>
            </w:pPr>
            <w:r w:rsidRPr="008A2B4D">
              <w:rPr>
                <w:color w:val="000000"/>
                <w14:textFill>
                  <w14:solidFill>
                    <w14:srgbClr w14:val="000000">
                      <w14:alpha w14:val="100000"/>
                    </w14:srgbClr>
                  </w14:solidFill>
                </w14:textFill>
              </w:rPr>
              <w:t>|</w:t>
            </w:r>
          </w:p>
        </w:tc>
        <w:tc>
          <w:tcPr>
            <w:tcW w:w="928" w:type="pct"/>
            <w:tcBorders>
              <w:bottom w:val="single" w:sz="4" w:space="0" w:color="auto"/>
            </w:tcBorders>
            <w:shd w:val="solid" w:color="000000" w:fill="000000"/>
            <w:vAlign w:val="center"/>
          </w:tcPr>
          <w:p w14:paraId="71E87829" w14:textId="1011C15B" w:rsidR="00C04311" w:rsidRPr="008A2B4D" w:rsidRDefault="008A2B4D" w:rsidP="00885172">
            <w:pPr>
              <w:pStyle w:val="Tabletext0"/>
              <w:jc w:val="center"/>
            </w:pPr>
            <w:r w:rsidRPr="008A2B4D">
              <w:rPr>
                <w:color w:val="000000"/>
                <w14:textFill>
                  <w14:solidFill>
                    <w14:srgbClr w14:val="000000">
                      <w14:alpha w14:val="100000"/>
                    </w14:srgbClr>
                  </w14:solidFill>
                </w14:textFill>
              </w:rPr>
              <w:t>|</w:t>
            </w:r>
          </w:p>
        </w:tc>
        <w:tc>
          <w:tcPr>
            <w:tcW w:w="1072" w:type="pct"/>
            <w:tcBorders>
              <w:bottom w:val="single" w:sz="4" w:space="0" w:color="auto"/>
            </w:tcBorders>
            <w:shd w:val="solid" w:color="000000" w:fill="000000"/>
            <w:vAlign w:val="center"/>
          </w:tcPr>
          <w:p w14:paraId="7E56BD51" w14:textId="15ECE162" w:rsidR="00C04311" w:rsidRPr="008A2B4D" w:rsidRDefault="008A2B4D" w:rsidP="00885172">
            <w:pPr>
              <w:pStyle w:val="Tabletext0"/>
              <w:jc w:val="center"/>
            </w:pPr>
            <w:r w:rsidRPr="008A2B4D">
              <w:rPr>
                <w:color w:val="000000"/>
                <w14:textFill>
                  <w14:solidFill>
                    <w14:srgbClr w14:val="000000">
                      <w14:alpha w14:val="100000"/>
                    </w14:srgbClr>
                  </w14:solidFill>
                </w14:textFill>
              </w:rPr>
              <w:t>|</w:t>
            </w:r>
          </w:p>
        </w:tc>
      </w:tr>
      <w:tr w:rsidR="00C04311" w:rsidRPr="005F5BEA" w14:paraId="1D863BBD" w14:textId="77777777" w:rsidTr="008A2B4D">
        <w:tc>
          <w:tcPr>
            <w:tcW w:w="1727" w:type="pct"/>
          </w:tcPr>
          <w:p w14:paraId="6F0A77FD" w14:textId="77777777" w:rsidR="00C04311" w:rsidRPr="005F5BEA" w:rsidRDefault="00C04311" w:rsidP="00885172">
            <w:pPr>
              <w:pStyle w:val="Tabletext0"/>
            </w:pPr>
            <w:r w:rsidRPr="005F5BEA">
              <w:t>PPMs</w:t>
            </w:r>
          </w:p>
        </w:tc>
        <w:tc>
          <w:tcPr>
            <w:tcW w:w="471" w:type="pct"/>
            <w:vAlign w:val="center"/>
          </w:tcPr>
          <w:p w14:paraId="7FAA1958" w14:textId="77777777" w:rsidR="00C04311" w:rsidRPr="005F5BEA" w:rsidRDefault="00C04311" w:rsidP="00885172">
            <w:pPr>
              <w:pStyle w:val="Tabletext0"/>
              <w:jc w:val="center"/>
            </w:pPr>
            <w:r w:rsidRPr="005F5BEA">
              <w:t>12,058</w:t>
            </w:r>
          </w:p>
        </w:tc>
        <w:tc>
          <w:tcPr>
            <w:tcW w:w="802" w:type="pct"/>
            <w:tcBorders>
              <w:bottom w:val="single" w:sz="4" w:space="0" w:color="auto"/>
            </w:tcBorders>
            <w:shd w:val="solid" w:color="000000" w:fill="000000"/>
            <w:vAlign w:val="center"/>
          </w:tcPr>
          <w:p w14:paraId="3B9B4FA9" w14:textId="3B80BFE5" w:rsidR="00C04311" w:rsidRPr="008A2B4D" w:rsidRDefault="008A2B4D" w:rsidP="00885172">
            <w:pPr>
              <w:pStyle w:val="Tabletext0"/>
              <w:jc w:val="center"/>
            </w:pPr>
            <w:r w:rsidRPr="008A2B4D">
              <w:rPr>
                <w:color w:val="000000"/>
                <w14:textFill>
                  <w14:solidFill>
                    <w14:srgbClr w14:val="000000">
                      <w14:alpha w14:val="100000"/>
                    </w14:srgbClr>
                  </w14:solidFill>
                </w14:textFill>
              </w:rPr>
              <w:t>|</w:t>
            </w:r>
          </w:p>
        </w:tc>
        <w:tc>
          <w:tcPr>
            <w:tcW w:w="928" w:type="pct"/>
            <w:tcBorders>
              <w:bottom w:val="single" w:sz="4" w:space="0" w:color="auto"/>
            </w:tcBorders>
            <w:shd w:val="solid" w:color="000000" w:fill="000000"/>
            <w:vAlign w:val="center"/>
          </w:tcPr>
          <w:p w14:paraId="504BE8A0" w14:textId="15B76A22" w:rsidR="00C04311" w:rsidRPr="008A2B4D" w:rsidRDefault="008A2B4D" w:rsidP="00885172">
            <w:pPr>
              <w:pStyle w:val="Tabletext0"/>
              <w:jc w:val="center"/>
            </w:pPr>
            <w:r w:rsidRPr="008A2B4D">
              <w:rPr>
                <w:color w:val="000000"/>
                <w14:textFill>
                  <w14:solidFill>
                    <w14:srgbClr w14:val="000000">
                      <w14:alpha w14:val="100000"/>
                    </w14:srgbClr>
                  </w14:solidFill>
                </w14:textFill>
              </w:rPr>
              <w:t>|</w:t>
            </w:r>
          </w:p>
        </w:tc>
        <w:tc>
          <w:tcPr>
            <w:tcW w:w="1072" w:type="pct"/>
            <w:tcBorders>
              <w:bottom w:val="single" w:sz="4" w:space="0" w:color="auto"/>
            </w:tcBorders>
            <w:shd w:val="solid" w:color="000000" w:fill="000000"/>
            <w:vAlign w:val="center"/>
          </w:tcPr>
          <w:p w14:paraId="0B2820FD" w14:textId="3FA81535" w:rsidR="00C04311" w:rsidRPr="008A2B4D" w:rsidRDefault="008A2B4D" w:rsidP="00885172">
            <w:pPr>
              <w:pStyle w:val="Tabletext0"/>
              <w:jc w:val="center"/>
            </w:pPr>
            <w:r w:rsidRPr="008A2B4D">
              <w:rPr>
                <w:color w:val="000000"/>
                <w14:textFill>
                  <w14:solidFill>
                    <w14:srgbClr w14:val="000000">
                      <w14:alpha w14:val="100000"/>
                    </w14:srgbClr>
                  </w14:solidFill>
                </w14:textFill>
              </w:rPr>
              <w:t>|</w:t>
            </w:r>
          </w:p>
        </w:tc>
      </w:tr>
      <w:tr w:rsidR="00C04311" w:rsidRPr="005F5BEA" w14:paraId="5475F384" w14:textId="77777777" w:rsidTr="008A2B4D">
        <w:tc>
          <w:tcPr>
            <w:tcW w:w="1727" w:type="pct"/>
          </w:tcPr>
          <w:p w14:paraId="41AE937B" w14:textId="77777777" w:rsidR="00C04311" w:rsidRPr="005F5BEA" w:rsidRDefault="00C04311" w:rsidP="00885172">
            <w:pPr>
              <w:pStyle w:val="Tabletext0"/>
            </w:pPr>
            <w:r w:rsidRPr="005F5BEA">
              <w:t>CRTDs</w:t>
            </w:r>
          </w:p>
        </w:tc>
        <w:tc>
          <w:tcPr>
            <w:tcW w:w="471" w:type="pct"/>
            <w:vAlign w:val="center"/>
          </w:tcPr>
          <w:p w14:paraId="615CBD02" w14:textId="77777777" w:rsidR="00C04311" w:rsidRPr="005F5BEA" w:rsidRDefault="00C04311" w:rsidP="00885172">
            <w:pPr>
              <w:pStyle w:val="Tabletext0"/>
              <w:jc w:val="center"/>
            </w:pPr>
            <w:r w:rsidRPr="005F5BEA">
              <w:t>2,201</w:t>
            </w:r>
          </w:p>
        </w:tc>
        <w:tc>
          <w:tcPr>
            <w:tcW w:w="802" w:type="pct"/>
            <w:tcBorders>
              <w:bottom w:val="single" w:sz="4" w:space="0" w:color="auto"/>
            </w:tcBorders>
            <w:shd w:val="solid" w:color="000000" w:fill="000000"/>
            <w:vAlign w:val="center"/>
          </w:tcPr>
          <w:p w14:paraId="3DCBE213" w14:textId="6A3AE1D1" w:rsidR="00C04311" w:rsidRPr="008A2B4D" w:rsidRDefault="008A2B4D" w:rsidP="00885172">
            <w:pPr>
              <w:pStyle w:val="Tabletext0"/>
              <w:jc w:val="center"/>
            </w:pPr>
            <w:r w:rsidRPr="008A2B4D">
              <w:rPr>
                <w:color w:val="000000"/>
                <w14:textFill>
                  <w14:solidFill>
                    <w14:srgbClr w14:val="000000">
                      <w14:alpha w14:val="100000"/>
                    </w14:srgbClr>
                  </w14:solidFill>
                </w14:textFill>
              </w:rPr>
              <w:t>|</w:t>
            </w:r>
          </w:p>
        </w:tc>
        <w:tc>
          <w:tcPr>
            <w:tcW w:w="928" w:type="pct"/>
            <w:tcBorders>
              <w:bottom w:val="single" w:sz="4" w:space="0" w:color="auto"/>
            </w:tcBorders>
            <w:shd w:val="solid" w:color="000000" w:fill="000000"/>
            <w:vAlign w:val="center"/>
          </w:tcPr>
          <w:p w14:paraId="51ACBF67" w14:textId="18042D54" w:rsidR="00C04311" w:rsidRPr="008A2B4D" w:rsidRDefault="008A2B4D" w:rsidP="00885172">
            <w:pPr>
              <w:pStyle w:val="Tabletext0"/>
              <w:jc w:val="center"/>
            </w:pPr>
            <w:r w:rsidRPr="008A2B4D">
              <w:rPr>
                <w:color w:val="000000"/>
                <w14:textFill>
                  <w14:solidFill>
                    <w14:srgbClr w14:val="000000">
                      <w14:alpha w14:val="100000"/>
                    </w14:srgbClr>
                  </w14:solidFill>
                </w14:textFill>
              </w:rPr>
              <w:t>|</w:t>
            </w:r>
          </w:p>
        </w:tc>
        <w:tc>
          <w:tcPr>
            <w:tcW w:w="1072" w:type="pct"/>
            <w:tcBorders>
              <w:bottom w:val="single" w:sz="4" w:space="0" w:color="auto"/>
            </w:tcBorders>
            <w:shd w:val="solid" w:color="000000" w:fill="000000"/>
            <w:vAlign w:val="center"/>
          </w:tcPr>
          <w:p w14:paraId="6B37BDB7" w14:textId="399F0218" w:rsidR="00C04311" w:rsidRPr="008A2B4D" w:rsidRDefault="008A2B4D" w:rsidP="00885172">
            <w:pPr>
              <w:pStyle w:val="Tabletext0"/>
              <w:jc w:val="center"/>
            </w:pPr>
            <w:r w:rsidRPr="008A2B4D">
              <w:rPr>
                <w:color w:val="000000"/>
                <w14:textFill>
                  <w14:solidFill>
                    <w14:srgbClr w14:val="000000">
                      <w14:alpha w14:val="100000"/>
                    </w14:srgbClr>
                  </w14:solidFill>
                </w14:textFill>
              </w:rPr>
              <w:t>|</w:t>
            </w:r>
          </w:p>
        </w:tc>
      </w:tr>
      <w:tr w:rsidR="00C04311" w:rsidRPr="005F5BEA" w14:paraId="0E9ABCB4" w14:textId="77777777" w:rsidTr="008A2B4D">
        <w:tc>
          <w:tcPr>
            <w:tcW w:w="1727" w:type="pct"/>
          </w:tcPr>
          <w:p w14:paraId="4C0BE74B" w14:textId="77777777" w:rsidR="00C04311" w:rsidRPr="005F5BEA" w:rsidRDefault="00C04311" w:rsidP="00885172">
            <w:pPr>
              <w:pStyle w:val="Tabletext0"/>
            </w:pPr>
            <w:r w:rsidRPr="005F5BEA">
              <w:t>ILRs</w:t>
            </w:r>
          </w:p>
        </w:tc>
        <w:tc>
          <w:tcPr>
            <w:tcW w:w="471" w:type="pct"/>
            <w:vAlign w:val="center"/>
          </w:tcPr>
          <w:p w14:paraId="7FB50800" w14:textId="77777777" w:rsidR="00C04311" w:rsidRPr="005F5BEA" w:rsidRDefault="00C04311" w:rsidP="00885172">
            <w:pPr>
              <w:pStyle w:val="Tabletext0"/>
              <w:jc w:val="center"/>
            </w:pPr>
            <w:r w:rsidRPr="005F5BEA">
              <w:t>4,092</w:t>
            </w:r>
          </w:p>
        </w:tc>
        <w:tc>
          <w:tcPr>
            <w:tcW w:w="802" w:type="pct"/>
            <w:shd w:val="solid" w:color="000000" w:fill="000000"/>
            <w:vAlign w:val="center"/>
          </w:tcPr>
          <w:p w14:paraId="5F00ED72" w14:textId="234046BF" w:rsidR="00C04311" w:rsidRPr="008A2B4D" w:rsidRDefault="008A2B4D" w:rsidP="00885172">
            <w:pPr>
              <w:pStyle w:val="Tabletext0"/>
              <w:jc w:val="center"/>
            </w:pPr>
            <w:r w:rsidRPr="008A2B4D">
              <w:rPr>
                <w:color w:val="000000"/>
                <w14:textFill>
                  <w14:solidFill>
                    <w14:srgbClr w14:val="000000">
                      <w14:alpha w14:val="100000"/>
                    </w14:srgbClr>
                  </w14:solidFill>
                </w14:textFill>
              </w:rPr>
              <w:t>|</w:t>
            </w:r>
          </w:p>
        </w:tc>
        <w:tc>
          <w:tcPr>
            <w:tcW w:w="928" w:type="pct"/>
            <w:shd w:val="solid" w:color="000000" w:fill="000000"/>
            <w:vAlign w:val="center"/>
          </w:tcPr>
          <w:p w14:paraId="41A21B96" w14:textId="6FB1122D" w:rsidR="00C04311" w:rsidRPr="008A2B4D" w:rsidRDefault="008A2B4D" w:rsidP="00885172">
            <w:pPr>
              <w:pStyle w:val="Tabletext0"/>
              <w:jc w:val="center"/>
            </w:pPr>
            <w:r w:rsidRPr="008A2B4D">
              <w:rPr>
                <w:color w:val="000000"/>
                <w14:textFill>
                  <w14:solidFill>
                    <w14:srgbClr w14:val="000000">
                      <w14:alpha w14:val="100000"/>
                    </w14:srgbClr>
                  </w14:solidFill>
                </w14:textFill>
              </w:rPr>
              <w:t>|</w:t>
            </w:r>
          </w:p>
        </w:tc>
        <w:tc>
          <w:tcPr>
            <w:tcW w:w="1072" w:type="pct"/>
            <w:shd w:val="solid" w:color="000000" w:fill="000000"/>
            <w:vAlign w:val="center"/>
          </w:tcPr>
          <w:p w14:paraId="030915EC" w14:textId="43DCAE23" w:rsidR="00C04311" w:rsidRPr="008A2B4D" w:rsidRDefault="008A2B4D" w:rsidP="00885172">
            <w:pPr>
              <w:pStyle w:val="Tabletext0"/>
              <w:jc w:val="center"/>
            </w:pPr>
            <w:r w:rsidRPr="008A2B4D">
              <w:rPr>
                <w:color w:val="000000"/>
                <w14:textFill>
                  <w14:solidFill>
                    <w14:srgbClr w14:val="000000">
                      <w14:alpha w14:val="100000"/>
                    </w14:srgbClr>
                  </w14:solidFill>
                </w14:textFill>
              </w:rPr>
              <w:t>|</w:t>
            </w:r>
          </w:p>
        </w:tc>
      </w:tr>
      <w:tr w:rsidR="0097662A" w:rsidRPr="005F5BEA" w14:paraId="2A03AB6D" w14:textId="77777777" w:rsidTr="0097662A">
        <w:tc>
          <w:tcPr>
            <w:tcW w:w="1727" w:type="pct"/>
          </w:tcPr>
          <w:p w14:paraId="6146012F" w14:textId="77777777" w:rsidR="0097662A" w:rsidRPr="005F5BEA" w:rsidRDefault="0097662A" w:rsidP="0097662A">
            <w:pPr>
              <w:pStyle w:val="Tabletext0"/>
              <w:rPr>
                <w:b/>
                <w:bCs/>
              </w:rPr>
            </w:pPr>
            <w:r w:rsidRPr="005F5BEA">
              <w:rPr>
                <w:b/>
                <w:bCs/>
              </w:rPr>
              <w:t>Total</w:t>
            </w:r>
          </w:p>
        </w:tc>
        <w:tc>
          <w:tcPr>
            <w:tcW w:w="471" w:type="pct"/>
            <w:vAlign w:val="center"/>
          </w:tcPr>
          <w:p w14:paraId="55A856F8" w14:textId="77777777" w:rsidR="0097662A" w:rsidRPr="005F5BEA" w:rsidRDefault="0097662A" w:rsidP="0097662A">
            <w:pPr>
              <w:pStyle w:val="Tabletext0"/>
              <w:jc w:val="center"/>
              <w:rPr>
                <w:b/>
                <w:bCs/>
              </w:rPr>
            </w:pPr>
            <w:r w:rsidRPr="005F5BEA">
              <w:rPr>
                <w:b/>
                <w:bCs/>
              </w:rPr>
              <w:t>19,787</w:t>
            </w:r>
          </w:p>
        </w:tc>
        <w:tc>
          <w:tcPr>
            <w:tcW w:w="802" w:type="pct"/>
          </w:tcPr>
          <w:p w14:paraId="361D3B57" w14:textId="681D0C19" w:rsidR="0097662A" w:rsidRPr="0097662A" w:rsidRDefault="0097662A" w:rsidP="0097662A">
            <w:pPr>
              <w:pStyle w:val="Tabletext0"/>
              <w:jc w:val="center"/>
              <w:rPr>
                <w:b/>
                <w:bCs/>
              </w:rPr>
            </w:pPr>
            <w:r w:rsidRPr="0097662A">
              <w:rPr>
                <w:b/>
                <w:bCs/>
              </w:rPr>
              <w:t>$100 million to &lt; $200 million</w:t>
            </w:r>
          </w:p>
        </w:tc>
        <w:tc>
          <w:tcPr>
            <w:tcW w:w="928" w:type="pct"/>
          </w:tcPr>
          <w:p w14:paraId="1A7A4AE1" w14:textId="3D661477" w:rsidR="0097662A" w:rsidRPr="0097662A" w:rsidRDefault="0097662A" w:rsidP="0097662A">
            <w:pPr>
              <w:pStyle w:val="Tabletext0"/>
              <w:jc w:val="center"/>
              <w:rPr>
                <w:b/>
                <w:bCs/>
              </w:rPr>
            </w:pPr>
            <w:r w:rsidRPr="0097662A">
              <w:rPr>
                <w:b/>
                <w:bCs/>
              </w:rPr>
              <w:t>$80 million to &lt; $90 million</w:t>
            </w:r>
          </w:p>
        </w:tc>
        <w:tc>
          <w:tcPr>
            <w:tcW w:w="1072" w:type="pct"/>
          </w:tcPr>
          <w:p w14:paraId="60975E25" w14:textId="102BFCF7" w:rsidR="0097662A" w:rsidRPr="0097662A" w:rsidRDefault="0097662A" w:rsidP="0097662A">
            <w:pPr>
              <w:pStyle w:val="Tabletext0"/>
              <w:jc w:val="center"/>
              <w:rPr>
                <w:b/>
                <w:bCs/>
              </w:rPr>
            </w:pPr>
            <w:r w:rsidRPr="0097662A">
              <w:rPr>
                <w:b/>
                <w:bCs/>
              </w:rPr>
              <w:t>$100 million to &lt; $200 million</w:t>
            </w:r>
          </w:p>
        </w:tc>
      </w:tr>
      <w:tr w:rsidR="00C04311" w:rsidRPr="005F5BEA" w14:paraId="2584248A" w14:textId="77777777" w:rsidTr="00885172">
        <w:tc>
          <w:tcPr>
            <w:tcW w:w="1727" w:type="pct"/>
          </w:tcPr>
          <w:p w14:paraId="69D44358" w14:textId="77777777" w:rsidR="00C04311" w:rsidRPr="005F5BEA" w:rsidRDefault="00C04311" w:rsidP="00885172">
            <w:pPr>
              <w:pStyle w:val="Tabletext0"/>
              <w:rPr>
                <w:b/>
                <w:bCs/>
                <w:vertAlign w:val="superscript"/>
              </w:rPr>
            </w:pPr>
          </w:p>
        </w:tc>
        <w:tc>
          <w:tcPr>
            <w:tcW w:w="471" w:type="pct"/>
            <w:vAlign w:val="center"/>
          </w:tcPr>
          <w:p w14:paraId="0F288381" w14:textId="77777777" w:rsidR="00C04311" w:rsidRPr="005F5BEA" w:rsidRDefault="00C04311" w:rsidP="00885172">
            <w:pPr>
              <w:pStyle w:val="Tabletext0"/>
              <w:jc w:val="center"/>
              <w:rPr>
                <w:b/>
                <w:bCs/>
              </w:rPr>
            </w:pPr>
          </w:p>
        </w:tc>
        <w:tc>
          <w:tcPr>
            <w:tcW w:w="802" w:type="pct"/>
            <w:vAlign w:val="center"/>
          </w:tcPr>
          <w:p w14:paraId="20499AFF" w14:textId="77777777" w:rsidR="00C04311" w:rsidRPr="005F5BEA" w:rsidRDefault="00C04311" w:rsidP="00885172">
            <w:pPr>
              <w:pStyle w:val="Tabletext0"/>
              <w:jc w:val="center"/>
              <w:rPr>
                <w:b/>
                <w:bCs/>
              </w:rPr>
            </w:pPr>
          </w:p>
        </w:tc>
        <w:tc>
          <w:tcPr>
            <w:tcW w:w="928" w:type="pct"/>
            <w:vAlign w:val="center"/>
          </w:tcPr>
          <w:p w14:paraId="42CBE5C7" w14:textId="77777777" w:rsidR="00C04311" w:rsidRPr="005F5BEA" w:rsidRDefault="00C04311" w:rsidP="00885172">
            <w:pPr>
              <w:pStyle w:val="Tabletext0"/>
              <w:jc w:val="center"/>
              <w:rPr>
                <w:b/>
                <w:bCs/>
              </w:rPr>
            </w:pPr>
          </w:p>
        </w:tc>
        <w:tc>
          <w:tcPr>
            <w:tcW w:w="1072" w:type="pct"/>
            <w:vAlign w:val="center"/>
          </w:tcPr>
          <w:p w14:paraId="233AE587" w14:textId="77777777" w:rsidR="00C04311" w:rsidRPr="005F5BEA" w:rsidRDefault="00C04311" w:rsidP="00885172">
            <w:pPr>
              <w:pStyle w:val="Tabletext0"/>
              <w:jc w:val="center"/>
              <w:rPr>
                <w:b/>
                <w:bCs/>
              </w:rPr>
            </w:pPr>
          </w:p>
        </w:tc>
      </w:tr>
      <w:tr w:rsidR="00C04311" w:rsidRPr="005F5BEA" w14:paraId="41DD7695" w14:textId="77777777" w:rsidTr="00885172">
        <w:tc>
          <w:tcPr>
            <w:tcW w:w="1727" w:type="pct"/>
          </w:tcPr>
          <w:p w14:paraId="597A9A52" w14:textId="77777777" w:rsidR="00C04311" w:rsidRPr="005F5BEA" w:rsidRDefault="00C04311" w:rsidP="00885172">
            <w:pPr>
              <w:pStyle w:val="Tabletext0"/>
            </w:pPr>
            <w:r w:rsidRPr="005F5BEA">
              <w:t>Public sector costs (ADAR)</w:t>
            </w:r>
          </w:p>
        </w:tc>
        <w:tc>
          <w:tcPr>
            <w:tcW w:w="471" w:type="pct"/>
            <w:vAlign w:val="center"/>
          </w:tcPr>
          <w:p w14:paraId="4F7F33F9" w14:textId="77777777" w:rsidR="00C04311" w:rsidRPr="005F5BEA" w:rsidRDefault="00C04311" w:rsidP="00885172">
            <w:pPr>
              <w:pStyle w:val="Tabletext0"/>
              <w:jc w:val="center"/>
            </w:pPr>
            <w:r w:rsidRPr="005F5BEA">
              <w:t>-</w:t>
            </w:r>
          </w:p>
        </w:tc>
        <w:tc>
          <w:tcPr>
            <w:tcW w:w="802" w:type="pct"/>
            <w:vAlign w:val="center"/>
          </w:tcPr>
          <w:p w14:paraId="5DF9BEC8" w14:textId="77777777" w:rsidR="00C04311" w:rsidRPr="005F5BEA" w:rsidRDefault="00C04311" w:rsidP="00885172">
            <w:pPr>
              <w:pStyle w:val="Tabletext0"/>
              <w:jc w:val="center"/>
            </w:pPr>
            <w:r w:rsidRPr="005F5BEA">
              <w:t>$19,797,096</w:t>
            </w:r>
          </w:p>
        </w:tc>
        <w:tc>
          <w:tcPr>
            <w:tcW w:w="928" w:type="pct"/>
            <w:vAlign w:val="center"/>
          </w:tcPr>
          <w:p w14:paraId="5118EB00" w14:textId="77777777" w:rsidR="00C04311" w:rsidRPr="005F5BEA" w:rsidRDefault="00C04311" w:rsidP="00885172">
            <w:pPr>
              <w:pStyle w:val="Tabletext0"/>
              <w:jc w:val="center"/>
            </w:pPr>
            <w:r w:rsidRPr="005F5BEA">
              <w:t>-</w:t>
            </w:r>
          </w:p>
        </w:tc>
        <w:tc>
          <w:tcPr>
            <w:tcW w:w="1072" w:type="pct"/>
            <w:vAlign w:val="center"/>
          </w:tcPr>
          <w:p w14:paraId="43FC51DD" w14:textId="77777777" w:rsidR="00C04311" w:rsidRPr="005F5BEA" w:rsidRDefault="00C04311" w:rsidP="00885172">
            <w:pPr>
              <w:pStyle w:val="Tabletext0"/>
              <w:jc w:val="center"/>
            </w:pPr>
            <w:r w:rsidRPr="005F5BEA">
              <w:t>-</w:t>
            </w:r>
          </w:p>
        </w:tc>
      </w:tr>
      <w:tr w:rsidR="00C04311" w:rsidRPr="005F5BEA" w14:paraId="7A68161E" w14:textId="77777777" w:rsidTr="00885172">
        <w:tc>
          <w:tcPr>
            <w:tcW w:w="1727" w:type="pct"/>
          </w:tcPr>
          <w:p w14:paraId="681B1029" w14:textId="77777777" w:rsidR="00C04311" w:rsidRPr="005F5BEA" w:rsidRDefault="00C04311" w:rsidP="00885172">
            <w:pPr>
              <w:pStyle w:val="Tabletext0"/>
              <w:rPr>
                <w:vertAlign w:val="superscript"/>
              </w:rPr>
            </w:pPr>
            <w:r w:rsidRPr="005F5BEA">
              <w:t xml:space="preserve">Implementation and Day 1 services </w:t>
            </w:r>
            <w:r w:rsidRPr="005F5BEA">
              <w:rPr>
                <w:vertAlign w:val="superscript"/>
              </w:rPr>
              <w:t>b</w:t>
            </w:r>
          </w:p>
        </w:tc>
        <w:tc>
          <w:tcPr>
            <w:tcW w:w="471" w:type="pct"/>
            <w:vAlign w:val="center"/>
          </w:tcPr>
          <w:p w14:paraId="7147F385" w14:textId="77777777" w:rsidR="00C04311" w:rsidRPr="005F5BEA" w:rsidRDefault="00C04311" w:rsidP="00885172">
            <w:pPr>
              <w:pStyle w:val="Tabletext0"/>
              <w:jc w:val="center"/>
            </w:pPr>
            <w:r w:rsidRPr="005F5BEA">
              <w:t>-</w:t>
            </w:r>
          </w:p>
        </w:tc>
        <w:tc>
          <w:tcPr>
            <w:tcW w:w="802" w:type="pct"/>
            <w:vAlign w:val="center"/>
          </w:tcPr>
          <w:p w14:paraId="70563478" w14:textId="77777777" w:rsidR="00C04311" w:rsidRPr="005F5BEA" w:rsidRDefault="00C04311" w:rsidP="00885172">
            <w:pPr>
              <w:pStyle w:val="Tabletext0"/>
              <w:jc w:val="center"/>
            </w:pPr>
            <w:r w:rsidRPr="005F5BEA">
              <w:t>$9,039,160</w:t>
            </w:r>
          </w:p>
        </w:tc>
        <w:tc>
          <w:tcPr>
            <w:tcW w:w="928" w:type="pct"/>
            <w:vAlign w:val="center"/>
          </w:tcPr>
          <w:p w14:paraId="3627C2E0" w14:textId="77777777" w:rsidR="00C04311" w:rsidRPr="005F5BEA" w:rsidRDefault="00C04311" w:rsidP="00885172">
            <w:pPr>
              <w:pStyle w:val="Tabletext0"/>
              <w:jc w:val="center"/>
            </w:pPr>
            <w:r w:rsidRPr="005F5BEA">
              <w:t>-</w:t>
            </w:r>
          </w:p>
        </w:tc>
        <w:tc>
          <w:tcPr>
            <w:tcW w:w="1072" w:type="pct"/>
            <w:vAlign w:val="center"/>
          </w:tcPr>
          <w:p w14:paraId="2E6BD8C7" w14:textId="77777777" w:rsidR="00C04311" w:rsidRPr="005F5BEA" w:rsidRDefault="00C04311" w:rsidP="00885172">
            <w:pPr>
              <w:pStyle w:val="Tabletext0"/>
              <w:jc w:val="center"/>
            </w:pPr>
            <w:r w:rsidRPr="005F5BEA">
              <w:t>-</w:t>
            </w:r>
          </w:p>
        </w:tc>
      </w:tr>
      <w:tr w:rsidR="00C04311" w:rsidRPr="005F5BEA" w14:paraId="397CAA0D" w14:textId="77777777" w:rsidTr="00885172">
        <w:tc>
          <w:tcPr>
            <w:tcW w:w="1727" w:type="pct"/>
          </w:tcPr>
          <w:p w14:paraId="06257636" w14:textId="77777777" w:rsidR="00C04311" w:rsidRPr="005F5BEA" w:rsidRDefault="00C04311" w:rsidP="00885172">
            <w:pPr>
              <w:pStyle w:val="Tabletext0"/>
            </w:pPr>
            <w:r w:rsidRPr="005F5BEA">
              <w:t>Total excluding peri-implantation and public sector costs</w:t>
            </w:r>
          </w:p>
        </w:tc>
        <w:tc>
          <w:tcPr>
            <w:tcW w:w="471" w:type="pct"/>
            <w:vAlign w:val="center"/>
          </w:tcPr>
          <w:p w14:paraId="6634AC17" w14:textId="77777777" w:rsidR="00C04311" w:rsidRPr="005F5BEA" w:rsidRDefault="00C04311" w:rsidP="00885172">
            <w:pPr>
              <w:pStyle w:val="Tabletext0"/>
              <w:jc w:val="center"/>
            </w:pPr>
            <w:r w:rsidRPr="005F5BEA">
              <w:t>-</w:t>
            </w:r>
          </w:p>
        </w:tc>
        <w:tc>
          <w:tcPr>
            <w:tcW w:w="802" w:type="pct"/>
            <w:vAlign w:val="center"/>
          </w:tcPr>
          <w:p w14:paraId="0DBACA39" w14:textId="77777777" w:rsidR="00C04311" w:rsidRPr="005F5BEA" w:rsidRDefault="00C04311" w:rsidP="00885172">
            <w:pPr>
              <w:pStyle w:val="Tabletext0"/>
              <w:jc w:val="center"/>
            </w:pPr>
            <w:r w:rsidRPr="005F5BEA">
              <w:t>-</w:t>
            </w:r>
          </w:p>
        </w:tc>
        <w:tc>
          <w:tcPr>
            <w:tcW w:w="928" w:type="pct"/>
            <w:vAlign w:val="center"/>
          </w:tcPr>
          <w:p w14:paraId="51EC9458" w14:textId="77777777" w:rsidR="00C04311" w:rsidRPr="005F5BEA" w:rsidRDefault="00C04311" w:rsidP="00885172">
            <w:pPr>
              <w:pStyle w:val="Tabletext0"/>
              <w:jc w:val="center"/>
            </w:pPr>
            <w:r w:rsidRPr="005F5BEA">
              <w:t>-</w:t>
            </w:r>
          </w:p>
        </w:tc>
        <w:tc>
          <w:tcPr>
            <w:tcW w:w="1072" w:type="pct"/>
            <w:vAlign w:val="center"/>
          </w:tcPr>
          <w:p w14:paraId="7C03D12D" w14:textId="02943A25" w:rsidR="00C04311" w:rsidRPr="005F5BEA" w:rsidRDefault="0097662A" w:rsidP="00885172">
            <w:pPr>
              <w:pStyle w:val="Tabletext0"/>
              <w:jc w:val="center"/>
              <w:rPr>
                <w:vertAlign w:val="superscript"/>
              </w:rPr>
            </w:pPr>
            <w:r w:rsidRPr="0097662A">
              <w:t>$70 million to &lt; $80 million</w:t>
            </w:r>
            <w:r w:rsidRPr="0097662A" w:rsidDel="0097662A">
              <w:t xml:space="preserve"> </w:t>
            </w:r>
            <w:r w:rsidR="00C04311" w:rsidRPr="005F5BEA">
              <w:rPr>
                <w:vertAlign w:val="superscript"/>
              </w:rPr>
              <w:t>c</w:t>
            </w:r>
          </w:p>
        </w:tc>
      </w:tr>
    </w:tbl>
    <w:p w14:paraId="7E94948D" w14:textId="77777777" w:rsidR="00C04311" w:rsidRPr="005F5BEA" w:rsidRDefault="00C04311" w:rsidP="00C04311">
      <w:pPr>
        <w:pStyle w:val="Tablenotes"/>
        <w:rPr>
          <w:i/>
          <w:iCs/>
        </w:rPr>
      </w:pPr>
      <w:r w:rsidRPr="005F5BEA">
        <w:t xml:space="preserve">Source: Table 4-17, p95 of the commentary and calculated for the ESC report. </w:t>
      </w:r>
    </w:p>
    <w:p w14:paraId="2513F1A4" w14:textId="23DC74B2" w:rsidR="00C04311" w:rsidRPr="005F5BEA" w:rsidRDefault="00C04311" w:rsidP="00C04311">
      <w:pPr>
        <w:pStyle w:val="Tablenotes"/>
      </w:pPr>
      <w:proofErr w:type="spellStart"/>
      <w:r w:rsidRPr="005F5BEA">
        <w:rPr>
          <w:vertAlign w:val="superscript"/>
        </w:rPr>
        <w:t>a</w:t>
      </w:r>
      <w:proofErr w:type="spellEnd"/>
      <w:r w:rsidRPr="005F5BEA">
        <w:t xml:space="preserve"> </w:t>
      </w:r>
      <w:proofErr w:type="gramStart"/>
      <w:r w:rsidRPr="005F5BEA">
        <w:t>The</w:t>
      </w:r>
      <w:proofErr w:type="gramEnd"/>
      <w:r w:rsidRPr="005F5BEA">
        <w:t xml:space="preserve"> public weighted average price has been calculated by applying the Independent Health and Aged Care Pricing Authority Weighted Average Price to CIED items recorded in the 2020-21 </w:t>
      </w:r>
      <w:r w:rsidR="00D85AF9" w:rsidRPr="00D85AF9">
        <w:t xml:space="preserve">Hospital </w:t>
      </w:r>
      <w:proofErr w:type="spellStart"/>
      <w:r w:rsidR="00D85AF9" w:rsidRPr="00D85AF9">
        <w:t>Casemix</w:t>
      </w:r>
      <w:proofErr w:type="spellEnd"/>
      <w:r w:rsidR="00D85AF9" w:rsidRPr="00D85AF9">
        <w:t xml:space="preserve"> Protocol </w:t>
      </w:r>
      <w:r w:rsidRPr="005F5BEA">
        <w:t>data collection.</w:t>
      </w:r>
      <w:r w:rsidR="00AA5890" w:rsidRPr="00AA5890">
        <w:t xml:space="preserve"> The data presented was considered by ESC and MSAC and correct at the time of provision. </w:t>
      </w:r>
    </w:p>
    <w:p w14:paraId="0929E358" w14:textId="77777777" w:rsidR="00C04311" w:rsidRPr="005F5BEA" w:rsidRDefault="00C04311" w:rsidP="00C04311">
      <w:pPr>
        <w:pStyle w:val="Tablenotes"/>
      </w:pPr>
      <w:r w:rsidRPr="005F5BEA">
        <w:rPr>
          <w:vertAlign w:val="superscript"/>
        </w:rPr>
        <w:t>b</w:t>
      </w:r>
      <w:r w:rsidRPr="005F5BEA">
        <w:t xml:space="preserve"> Calculated from Attachment 5 of the ADAR. Included Labour and Travel costs for private sector. Training costs were calculated as the proportion of training costs for scheduled services x proportion of scheduled services that were implantation support or Day 1 post implantation </w:t>
      </w:r>
      <w:proofErr w:type="gramStart"/>
      <w:r w:rsidRPr="005F5BEA">
        <w:t>services</w:t>
      </w:r>
      <w:proofErr w:type="gramEnd"/>
    </w:p>
    <w:p w14:paraId="7D276AD5" w14:textId="601E65B8" w:rsidR="00C04311" w:rsidRPr="005F5BEA" w:rsidRDefault="00C04311" w:rsidP="00FE6CDD">
      <w:pPr>
        <w:pStyle w:val="Tablenotes"/>
      </w:pPr>
      <w:r w:rsidRPr="005F5BEA">
        <w:rPr>
          <w:vertAlign w:val="superscript"/>
        </w:rPr>
        <w:t>c</w:t>
      </w:r>
      <w:r w:rsidRPr="005F5BEA">
        <w:t xml:space="preserve"> Calculated as the ‘gap’ (</w:t>
      </w:r>
      <w:r w:rsidR="0097662A" w:rsidRPr="0097662A">
        <w:t>$100 million to &lt; $200 million</w:t>
      </w:r>
      <w:r w:rsidRPr="005F5BEA">
        <w:t xml:space="preserve">) minus the reasonable cost of technical support services ($44,439,655). </w:t>
      </w:r>
    </w:p>
    <w:p w14:paraId="286018A9" w14:textId="2E150CA5" w:rsidR="003A557E" w:rsidRPr="005F5BEA" w:rsidRDefault="003A557E" w:rsidP="00FE6CDD">
      <w:pPr>
        <w:pStyle w:val="Heading2"/>
      </w:pPr>
      <w:bookmarkStart w:id="64" w:name="_Hlk151456922"/>
      <w:bookmarkEnd w:id="63"/>
      <w:r w:rsidRPr="005F5BEA">
        <w:t>1</w:t>
      </w:r>
      <w:r w:rsidR="000D36C7" w:rsidRPr="005F5BEA">
        <w:t>3</w:t>
      </w:r>
      <w:r w:rsidRPr="005F5BEA">
        <w:t>.</w:t>
      </w:r>
      <w:r w:rsidR="00FE6CDD" w:rsidRPr="005F5BEA">
        <w:tab/>
      </w:r>
      <w:r w:rsidRPr="005F5BEA">
        <w:t>Applicant comments on MSAC’s Public Summary Document</w:t>
      </w:r>
    </w:p>
    <w:p w14:paraId="17312802" w14:textId="77777777" w:rsidR="009E44C0" w:rsidRPr="009E44C0" w:rsidRDefault="009E44C0" w:rsidP="009E44C0">
      <w:pPr>
        <w:spacing w:after="240" w:line="256" w:lineRule="auto"/>
        <w:rPr>
          <w:rFonts w:eastAsia="Calibri" w:cs="Arial"/>
          <w:szCs w:val="24"/>
        </w:rPr>
      </w:pPr>
      <w:bookmarkStart w:id="65" w:name="_Hlk150867233"/>
      <w:r w:rsidRPr="009E44C0">
        <w:rPr>
          <w:rFonts w:eastAsia="Calibri" w:cs="Arial"/>
          <w:szCs w:val="24"/>
        </w:rPr>
        <w:t xml:space="preserve">The MTAA Cardiac Forum (CF) welcomes that MSAC has recognised cardiac support services provided by IECTs to be clinically necessary and important for people with CIEDs. We support MSAC’s advice to conduct further work on determining the most effective service models, the most appropriate funding models, and where required the best way to transition to any new arrangements. Our goal is to ensure patients with CIEDs maintain the highest possible quality of life through access to high-quality, </w:t>
      </w:r>
      <w:proofErr w:type="gramStart"/>
      <w:r w:rsidRPr="009E44C0">
        <w:rPr>
          <w:rFonts w:eastAsia="Calibri" w:cs="Arial"/>
          <w:szCs w:val="24"/>
        </w:rPr>
        <w:t>universal</w:t>
      </w:r>
      <w:proofErr w:type="gramEnd"/>
      <w:r w:rsidRPr="009E44C0">
        <w:rPr>
          <w:rFonts w:eastAsia="Calibri" w:cs="Arial"/>
          <w:szCs w:val="24"/>
        </w:rPr>
        <w:t xml:space="preserve"> and on-demand services with no out-of-pocket costs. We will continue to engage with all relevant stakeholders in ongoing work to achieve this goal with the most efficient service delivery model.</w:t>
      </w:r>
    </w:p>
    <w:p w14:paraId="53D88A86" w14:textId="7B17DE43" w:rsidR="009E44C0" w:rsidRPr="009E44C0" w:rsidRDefault="009E44C0" w:rsidP="009E44C0">
      <w:pPr>
        <w:spacing w:after="240" w:line="256" w:lineRule="auto"/>
        <w:rPr>
          <w:rFonts w:eastAsia="Calibri" w:cs="Arial"/>
          <w:szCs w:val="24"/>
        </w:rPr>
      </w:pPr>
      <w:r w:rsidRPr="009E44C0">
        <w:rPr>
          <w:rFonts w:eastAsia="Calibri" w:cs="Arial"/>
          <w:szCs w:val="24"/>
        </w:rPr>
        <w:t>While the MTAA CF supports further work among stakeholders and the Department to reconcile cost estimates in the evaluation with the real-world costs of delivering IECT services in the public and private settings, they contest several key assumptions in the MSAC evaluation. MTAA CF conducted two rounds of robust data collection to gather actual utilisation data for total services and used real-world, plausible assumptions to estimate the total cost to the CF member companies of delivering IECT services in the public and private settings in Australia. In contrast, the MSAC have advised that flawed inputs be used that are not evidence-based to assess what they consider to be the “reasonable” cost or "value” of cardiac technical services provided by IECTs. Details of the contested assumptions are given below. The MTAA CF considers that this evaluation has not followed MSAC’s usual rigorous standards.</w:t>
      </w:r>
    </w:p>
    <w:p w14:paraId="3547208E" w14:textId="77777777" w:rsidR="009E44C0" w:rsidRPr="009E44C0" w:rsidRDefault="009E44C0" w:rsidP="00C63874">
      <w:pPr>
        <w:keepNext/>
        <w:keepLines/>
        <w:spacing w:after="240" w:line="257" w:lineRule="auto"/>
        <w:rPr>
          <w:rFonts w:eastAsia="Calibri" w:cs="Arial"/>
          <w:b/>
          <w:bCs/>
          <w:i/>
          <w:iCs/>
          <w:szCs w:val="24"/>
        </w:rPr>
      </w:pPr>
      <w:r w:rsidRPr="009E44C0">
        <w:rPr>
          <w:rFonts w:eastAsia="Calibri" w:cs="Arial"/>
          <w:b/>
          <w:bCs/>
          <w:i/>
          <w:iCs/>
          <w:szCs w:val="24"/>
        </w:rPr>
        <w:t>Excluding peri-implantation support from the cardiac services under evaluation does not reflect the reality of providing services for CIEDs in Australia.</w:t>
      </w:r>
    </w:p>
    <w:p w14:paraId="04B8B451" w14:textId="46E1D55E" w:rsidR="009E44C0" w:rsidRPr="009E44C0" w:rsidRDefault="009E44C0" w:rsidP="00C63874">
      <w:pPr>
        <w:keepNext/>
        <w:keepLines/>
        <w:spacing w:after="240" w:line="257" w:lineRule="auto"/>
        <w:rPr>
          <w:rFonts w:eastAsia="Calibri" w:cs="Arial"/>
          <w:szCs w:val="24"/>
        </w:rPr>
      </w:pPr>
      <w:r w:rsidRPr="009E44C0">
        <w:rPr>
          <w:rFonts w:eastAsia="Calibri" w:cs="Arial"/>
          <w:szCs w:val="24"/>
        </w:rPr>
        <w:lastRenderedPageBreak/>
        <w:t>MSAC has advised that peri-implantation services should be included in the device benefit, as opposed to grouping it together with the post-implantation follow-up services. The MTAA CF has significant concerns over this recommendation due to the following reasons:</w:t>
      </w:r>
    </w:p>
    <w:p w14:paraId="3CEA3AE7" w14:textId="60C34B37" w:rsidR="009E44C0" w:rsidRPr="009E44C0" w:rsidRDefault="009E44C0" w:rsidP="009E44C0">
      <w:pPr>
        <w:numPr>
          <w:ilvl w:val="0"/>
          <w:numId w:val="27"/>
        </w:numPr>
        <w:spacing w:before="0" w:after="240" w:line="256" w:lineRule="auto"/>
        <w:contextualSpacing/>
        <w:rPr>
          <w:rFonts w:eastAsia="Calibri" w:cs="Arial"/>
          <w:szCs w:val="24"/>
        </w:rPr>
      </w:pPr>
      <w:r w:rsidRPr="009E44C0">
        <w:rPr>
          <w:rFonts w:eastAsia="Calibri" w:cs="Arial"/>
          <w:szCs w:val="24"/>
        </w:rPr>
        <w:t xml:space="preserve">Implications for PL device benefit adjustment </w:t>
      </w:r>
    </w:p>
    <w:p w14:paraId="00E28198" w14:textId="77777777" w:rsidR="009E44C0" w:rsidRPr="009E44C0" w:rsidRDefault="009E44C0" w:rsidP="009E44C0">
      <w:pPr>
        <w:spacing w:after="240" w:line="256" w:lineRule="auto"/>
        <w:rPr>
          <w:rFonts w:eastAsia="Calibri" w:cs="Arial"/>
          <w:szCs w:val="24"/>
        </w:rPr>
      </w:pPr>
      <w:r w:rsidRPr="009E44C0">
        <w:rPr>
          <w:rFonts w:eastAsia="Calibri" w:cs="Arial"/>
          <w:szCs w:val="24"/>
        </w:rPr>
        <w:t xml:space="preserve">Under the current MoU, the private PL benefit for a device will be compared to the Weighted Average Public Price (WAPP) for this device type with the PL benefit reduced based on this gap between the public sector weighted average price and the PL benefit. This methodology was conceived on the assumption that the product (and any embedded services) was similar across both the public and private sectors. </w:t>
      </w:r>
    </w:p>
    <w:p w14:paraId="0C925740" w14:textId="77777777" w:rsidR="009E44C0" w:rsidRPr="009E44C0" w:rsidRDefault="009E44C0" w:rsidP="009E44C0">
      <w:pPr>
        <w:spacing w:after="240" w:line="256" w:lineRule="auto"/>
        <w:rPr>
          <w:rFonts w:eastAsia="Calibri" w:cs="Arial"/>
          <w:szCs w:val="24"/>
        </w:rPr>
      </w:pPr>
      <w:r w:rsidRPr="009E44C0">
        <w:rPr>
          <w:rFonts w:eastAsia="Calibri" w:cs="Arial"/>
          <w:szCs w:val="24"/>
        </w:rPr>
        <w:t xml:space="preserve">If peri-implantation services were to be included in the public sector average price, this would create a substantial distortion because these services are provided and paid for in completely different ways across the two sectors for CIEDs. In the public sector, the peri-implantation support is provided by cardiac physiologists employed by the public hospital system. The price paid, usually tender based, is therefore for the device only and excludes routine implantation support. In the private sector, however, the peri-implantation services are routinely provided by the device manufacturers funded through the current PL benefit. </w:t>
      </w:r>
    </w:p>
    <w:p w14:paraId="6529DA1C" w14:textId="77777777" w:rsidR="009E44C0" w:rsidRPr="009E44C0" w:rsidRDefault="009E44C0" w:rsidP="009E44C0">
      <w:pPr>
        <w:spacing w:after="240" w:line="256" w:lineRule="auto"/>
        <w:rPr>
          <w:rFonts w:eastAsia="Calibri" w:cs="Arial"/>
          <w:szCs w:val="24"/>
        </w:rPr>
      </w:pPr>
      <w:r w:rsidRPr="009E44C0">
        <w:rPr>
          <w:rFonts w:eastAsia="Calibri" w:cs="Arial"/>
          <w:szCs w:val="24"/>
        </w:rPr>
        <w:t>If as per MSACs advice the private peri-implantation service costs were to be included in the PL device benefit, the reference pricing and PL benefit adjustment methodology would now compare “device+ peri-implantation service” in the private sector with “device only” in the public sector. This should therefore be accounted for through either the inclusion of peri-implantation costs in the total costs of cardiac technical services or an adjustment in the PL benefit reduction methodology.</w:t>
      </w:r>
    </w:p>
    <w:p w14:paraId="11A161CB" w14:textId="348F12F0" w:rsidR="009E44C0" w:rsidRPr="009E44C0" w:rsidRDefault="009E44C0" w:rsidP="009E44C0">
      <w:pPr>
        <w:numPr>
          <w:ilvl w:val="0"/>
          <w:numId w:val="27"/>
        </w:numPr>
        <w:spacing w:before="0" w:after="240" w:line="256" w:lineRule="auto"/>
        <w:contextualSpacing/>
        <w:rPr>
          <w:rFonts w:eastAsia="Calibri" w:cs="Arial"/>
          <w:szCs w:val="24"/>
        </w:rPr>
      </w:pPr>
      <w:r w:rsidRPr="009E44C0">
        <w:t xml:space="preserve">Future CPI considerations for </w:t>
      </w:r>
      <w:r w:rsidRPr="009E44C0">
        <w:rPr>
          <w:rFonts w:eastAsia="Calibri" w:cs="Arial"/>
          <w:szCs w:val="24"/>
        </w:rPr>
        <w:t>high-cost peri-implantation service component</w:t>
      </w:r>
    </w:p>
    <w:p w14:paraId="3BCB66F5" w14:textId="0D1E70D7" w:rsidR="009E44C0" w:rsidRPr="009E44C0" w:rsidRDefault="009E44C0" w:rsidP="009E44C0">
      <w:pPr>
        <w:spacing w:after="240" w:line="256" w:lineRule="auto"/>
        <w:rPr>
          <w:rFonts w:eastAsia="Calibri" w:cs="Arial"/>
          <w:szCs w:val="24"/>
        </w:rPr>
      </w:pPr>
      <w:r w:rsidRPr="009E44C0">
        <w:rPr>
          <w:rFonts w:eastAsia="Calibri" w:cs="Arial"/>
        </w:rPr>
        <w:t xml:space="preserve">Private peri-implantation services are one of the higher cost components of the entire cardiac services offering. Highest accreditation level requirements on IECT staff, broad inventory requirements to cater for every patient and clinical scenario, short-notice availability, out of hours and weekend service provision all mean that this service component has a higher-than-average service unit cost. Like so many other service costs, these are generally locally funded and subject to annual CPI increases. </w:t>
      </w:r>
    </w:p>
    <w:p w14:paraId="0D75E2D1" w14:textId="77777777" w:rsidR="009E44C0" w:rsidRPr="009E44C0" w:rsidRDefault="009E44C0" w:rsidP="009E44C0">
      <w:pPr>
        <w:spacing w:after="240" w:line="256" w:lineRule="auto"/>
        <w:rPr>
          <w:rFonts w:eastAsia="Calibri" w:cs="Arial"/>
          <w:b/>
          <w:bCs/>
          <w:i/>
          <w:iCs/>
          <w:szCs w:val="24"/>
        </w:rPr>
      </w:pPr>
      <w:r w:rsidRPr="009E44C0">
        <w:rPr>
          <w:rFonts w:eastAsia="Calibri" w:cs="Arial"/>
          <w:b/>
          <w:bCs/>
          <w:i/>
          <w:iCs/>
          <w:szCs w:val="24"/>
        </w:rPr>
        <w:t>Reducing the wage rate of cardiac technician to $50 per hour is implausible, undervalues the experience of highly skilled workforce and does not consider the reality of private healthcare sector salary.</w:t>
      </w:r>
    </w:p>
    <w:p w14:paraId="7E8B332E" w14:textId="77777777" w:rsidR="009E44C0" w:rsidRPr="009E44C0" w:rsidRDefault="009E44C0" w:rsidP="009E44C0">
      <w:pPr>
        <w:spacing w:after="240" w:line="256" w:lineRule="auto"/>
        <w:rPr>
          <w:rFonts w:eastAsia="Calibri" w:cs="Arial"/>
        </w:rPr>
      </w:pPr>
      <w:r w:rsidRPr="009E44C0">
        <w:rPr>
          <w:rFonts w:eastAsia="Calibri" w:cs="Arial"/>
        </w:rPr>
        <w:t>IECTs work in a highly demanding role providing universal, on-demand services that have been recognised by the MSAC to be ‘necessary and clinically important’. The Australian IECT workforce is a highly trained, highly experienced group of workers paid a fair wage to perform this demanding role. They are often required to work non-office hours including weekends and public holidays. Accordingly, the base case costing model included an assumption of $85 per hour, which was verified through published sources. The majority of IECTs employed by the MTAA CF member companies currently have more than 10 years of experience in this field, further validating the $85 assumption. In contrast, MSAC has used an unsubstantiated estimate of $50 per hour as an appropriate average hourly rate, which would mean these skilled technicians are taking an effective 40% salary cut.</w:t>
      </w:r>
    </w:p>
    <w:p w14:paraId="3D3761F3" w14:textId="77777777" w:rsidR="009E44C0" w:rsidRPr="009E44C0" w:rsidRDefault="009E44C0" w:rsidP="009E44C0">
      <w:pPr>
        <w:spacing w:after="240" w:line="256" w:lineRule="auto"/>
        <w:rPr>
          <w:rFonts w:eastAsia="Calibri" w:cs="Arial"/>
          <w:b/>
          <w:bCs/>
          <w:i/>
          <w:iCs/>
          <w:szCs w:val="24"/>
        </w:rPr>
      </w:pPr>
      <w:r w:rsidRPr="009E44C0">
        <w:rPr>
          <w:rFonts w:eastAsia="Calibri" w:cs="Arial"/>
          <w:b/>
          <w:bCs/>
          <w:i/>
          <w:iCs/>
          <w:szCs w:val="24"/>
        </w:rPr>
        <w:t>Reducing onboarding costs to $30,000 per cardiac technician is inconsistent with real-world training required for IECTs to be able to work independently.</w:t>
      </w:r>
    </w:p>
    <w:p w14:paraId="10B57308" w14:textId="77777777" w:rsidR="009E44C0" w:rsidRPr="009E44C0" w:rsidRDefault="009E44C0" w:rsidP="009E44C0">
      <w:pPr>
        <w:spacing w:after="240" w:line="256" w:lineRule="auto"/>
        <w:rPr>
          <w:rFonts w:eastAsia="Calibri" w:cs="Arial"/>
          <w:szCs w:val="24"/>
        </w:rPr>
      </w:pPr>
      <w:r w:rsidRPr="009E44C0">
        <w:rPr>
          <w:rFonts w:eastAsia="Calibri" w:cs="Arial"/>
          <w:szCs w:val="24"/>
        </w:rPr>
        <w:lastRenderedPageBreak/>
        <w:t>The MSAC proposes the onboarding and training costs for new IECTS should be $30,000 per employee based on the unjustified salary rate of $50 per hour. The industry bears a significant cost burden to employ and train this workforce to a point where they no longer require any supervision when conducting technical services. This measure includes the cost of time to provide on-the-job training for a new IECT as well as time towards supervision until the IECT can conduct services independently.</w:t>
      </w:r>
    </w:p>
    <w:p w14:paraId="1C0AC5E3" w14:textId="77777777" w:rsidR="009E44C0" w:rsidRPr="009E44C0" w:rsidRDefault="009E44C0" w:rsidP="009E44C0">
      <w:pPr>
        <w:spacing w:after="240" w:line="256" w:lineRule="auto"/>
        <w:rPr>
          <w:rFonts w:eastAsia="Calibri" w:cs="Arial"/>
          <w:szCs w:val="24"/>
        </w:rPr>
      </w:pPr>
      <w:r w:rsidRPr="009E44C0">
        <w:rPr>
          <w:rFonts w:eastAsia="Calibri" w:cs="Arial"/>
          <w:szCs w:val="24"/>
        </w:rPr>
        <w:t>To become proficient across a range of device types to treat simple and complex cardiac arrythmias typically takes up to two years. Companies only sign off for an IECT to support implantation and follow-up services once the employee has demonstrated mastery of training modules related to the type of device and the various conditions the devices are designed to treat.</w:t>
      </w:r>
    </w:p>
    <w:p w14:paraId="653FF8B1" w14:textId="43C709BF" w:rsidR="009E44C0" w:rsidRPr="009E44C0" w:rsidRDefault="009E44C0" w:rsidP="009E44C0">
      <w:pPr>
        <w:spacing w:after="240" w:line="256" w:lineRule="auto"/>
        <w:rPr>
          <w:rFonts w:eastAsia="Calibri" w:cs="Arial"/>
          <w:szCs w:val="24"/>
        </w:rPr>
      </w:pPr>
      <w:r w:rsidRPr="009E44C0">
        <w:rPr>
          <w:rFonts w:eastAsia="Calibri" w:cs="Arial"/>
          <w:szCs w:val="24"/>
        </w:rPr>
        <w:t>To send an IECT into the field with only 6 months of training, as considered sufficient by MSAC, is potentially dangerous and could harm patient safety. MTAA CF, as employers of the IECTs, would not be comfortable eroding or reducing internal safety and training protocols about the proficiency of their patient-facing employees.</w:t>
      </w:r>
    </w:p>
    <w:bookmarkEnd w:id="64"/>
    <w:bookmarkEnd w:id="65"/>
    <w:p w14:paraId="1BAC096F" w14:textId="35FA74DE" w:rsidR="003A557E" w:rsidRPr="005F5BEA" w:rsidRDefault="003A557E" w:rsidP="00FE6CDD">
      <w:pPr>
        <w:pStyle w:val="Heading2"/>
      </w:pPr>
      <w:r w:rsidRPr="005F5BEA">
        <w:t>1</w:t>
      </w:r>
      <w:r w:rsidR="000D36C7" w:rsidRPr="005F5BEA">
        <w:t>4</w:t>
      </w:r>
      <w:r w:rsidRPr="005F5BEA">
        <w:t>.</w:t>
      </w:r>
      <w:r w:rsidR="00FE6CDD" w:rsidRPr="005F5BEA">
        <w:tab/>
      </w:r>
      <w:r w:rsidRPr="005F5BEA">
        <w:t>Further information on MSAC</w:t>
      </w:r>
    </w:p>
    <w:p w14:paraId="54A0E1D2" w14:textId="76449FBE" w:rsidR="003A557E" w:rsidRPr="00FE6CDD" w:rsidRDefault="003A557E" w:rsidP="007A4A53">
      <w:pPr>
        <w:rPr>
          <w:sz w:val="32"/>
          <w:szCs w:val="32"/>
        </w:rPr>
      </w:pPr>
      <w:r w:rsidRPr="005F5BEA">
        <w:rPr>
          <w:rStyle w:val="normaltextrun"/>
          <w:rFonts w:cs="Calibri"/>
          <w:color w:val="000000"/>
          <w:shd w:val="clear" w:color="auto" w:fill="FFFFFF"/>
        </w:rPr>
        <w:t xml:space="preserve">MSAC Terms of Reference and other information are available on the MSAC Website: </w:t>
      </w:r>
      <w:hyperlink r:id="rId16" w:history="1">
        <w:r w:rsidRPr="005F5BEA">
          <w:rPr>
            <w:rStyle w:val="Hyperlink"/>
            <w:rFonts w:cs="Calibri"/>
            <w:shd w:val="clear" w:color="auto" w:fill="FFFFFF"/>
          </w:rPr>
          <w:t>visit the MSAC website</w:t>
        </w:r>
      </w:hyperlink>
    </w:p>
    <w:sectPr w:rsidR="003A557E" w:rsidRPr="00FE6CDD">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AE58" w14:textId="77777777" w:rsidR="00A442AC" w:rsidRDefault="00A442AC">
      <w:pPr>
        <w:spacing w:before="0" w:after="0" w:line="240" w:lineRule="auto"/>
      </w:pPr>
      <w:r>
        <w:separator/>
      </w:r>
    </w:p>
  </w:endnote>
  <w:endnote w:type="continuationSeparator" w:id="0">
    <w:p w14:paraId="45E8F918" w14:textId="77777777" w:rsidR="00A442AC" w:rsidRDefault="00A442AC">
      <w:pPr>
        <w:spacing w:before="0" w:after="0" w:line="240" w:lineRule="auto"/>
      </w:pPr>
      <w:r>
        <w:continuationSeparator/>
      </w:r>
    </w:p>
  </w:endnote>
  <w:endnote w:type="continuationNotice" w:id="1">
    <w:p w14:paraId="0DC213DD" w14:textId="77777777" w:rsidR="00A442AC" w:rsidRDefault="00A442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ont1100">
    <w:altName w:val="Cambria"/>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046D" w14:textId="7A76E561" w:rsidR="00354B3D" w:rsidRDefault="00354B3D">
    <w:pPr>
      <w:pStyle w:val="Footer"/>
    </w:pPr>
    <w:r>
      <w:fldChar w:fldCharType="begin"/>
    </w:r>
    <w:r>
      <w:instrText xml:space="preserve"> PAGE   \* MERGEFORMAT </w:instrText>
    </w:r>
    <w:r>
      <w:fldChar w:fldCharType="separate"/>
    </w:r>
    <w:r>
      <w:rPr>
        <w:noProof/>
      </w:rPr>
      <w:t>8</w:t>
    </w:r>
    <w:r>
      <w:rPr>
        <w:noProof/>
      </w:rPr>
      <w:fldChar w:fldCharType="end"/>
    </w:r>
    <w:r>
      <w:rPr>
        <w:noProof/>
      </w:rPr>
      <w:tab/>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189B433A" w14:textId="6B0B9353" w:rsidR="00354B3D" w:rsidRDefault="00354B3D" w:rsidP="008460DC">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B0B8" w14:textId="77777777" w:rsidR="00C97E03" w:rsidRDefault="00C97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3E516" w14:textId="77777777" w:rsidR="00A442AC" w:rsidRDefault="00A442AC">
      <w:pPr>
        <w:spacing w:before="0" w:after="0" w:line="240" w:lineRule="auto"/>
      </w:pPr>
      <w:r>
        <w:separator/>
      </w:r>
    </w:p>
  </w:footnote>
  <w:footnote w:type="continuationSeparator" w:id="0">
    <w:p w14:paraId="1743405F" w14:textId="77777777" w:rsidR="00A442AC" w:rsidRDefault="00A442AC">
      <w:pPr>
        <w:spacing w:before="0" w:after="0" w:line="240" w:lineRule="auto"/>
      </w:pPr>
      <w:r>
        <w:continuationSeparator/>
      </w:r>
    </w:p>
  </w:footnote>
  <w:footnote w:type="continuationNotice" w:id="1">
    <w:p w14:paraId="20C46914" w14:textId="77777777" w:rsidR="00A442AC" w:rsidRDefault="00A442AC">
      <w:pPr>
        <w:spacing w:before="0" w:after="0" w:line="240" w:lineRule="auto"/>
      </w:pPr>
    </w:p>
  </w:footnote>
  <w:footnote w:id="2">
    <w:p w14:paraId="30FE9FDD" w14:textId="23D900E6" w:rsidR="004D3043" w:rsidRDefault="004D3043">
      <w:pPr>
        <w:pStyle w:val="FootnoteText"/>
      </w:pPr>
      <w:r>
        <w:rPr>
          <w:rStyle w:val="FootnoteReference"/>
        </w:rPr>
        <w:footnoteRef/>
      </w:r>
      <w:r>
        <w:t xml:space="preserve"> </w:t>
      </w:r>
      <w:r w:rsidRPr="006D0EB7">
        <w:t>KPMG report on Cardiac Implantable Electronic Device (CIED) service valuation</w:t>
      </w:r>
      <w:r>
        <w:t xml:space="preserve">. Available from: </w:t>
      </w:r>
      <w:hyperlink r:id="rId1" w:history="1">
        <w:r w:rsidRPr="007D3DA1">
          <w:rPr>
            <w:rStyle w:val="Hyperlink"/>
          </w:rPr>
          <w:t>https://www.mtaa.org.au/sites/default/files/uploaded-content/field_f_content_file/mtaa-submission_pl_reform.pdf</w:t>
        </w:r>
      </w:hyperlink>
    </w:p>
  </w:footnote>
  <w:footnote w:id="3">
    <w:p w14:paraId="7FB19DF6" w14:textId="2CFDE589" w:rsidR="009F61E8" w:rsidRDefault="009F61E8">
      <w:pPr>
        <w:pStyle w:val="FootnoteText"/>
      </w:pPr>
      <w:r w:rsidRPr="005B20C6">
        <w:rPr>
          <w:rStyle w:val="FootnoteReference"/>
        </w:rPr>
        <w:footnoteRef/>
      </w:r>
      <w:r w:rsidRPr="005B20C6">
        <w:t xml:space="preserve"> The effective hourly rate equated to $77.50, $96.88, and $108.50 per hour for metropolitan, regional, and remote areas respectively after applying on-demand, rural and remote loadings.</w:t>
      </w:r>
    </w:p>
  </w:footnote>
  <w:footnote w:id="4">
    <w:p w14:paraId="1200D41D" w14:textId="2639C0E5" w:rsidR="11AFB54D" w:rsidRDefault="11AFB54D" w:rsidP="11AFB54D">
      <w:pPr>
        <w:pStyle w:val="FootnoteText"/>
      </w:pPr>
      <w:r w:rsidRPr="0059021D">
        <w:rPr>
          <w:rStyle w:val="FootnoteReference"/>
        </w:rPr>
        <w:footnoteRef/>
      </w:r>
      <w:r w:rsidRPr="0059021D">
        <w:t xml:space="preserve"> $87,043,743/301 full time </w:t>
      </w:r>
      <w:r w:rsidR="00E9327C" w:rsidRPr="0059021D">
        <w:t xml:space="preserve">equivalent </w:t>
      </w:r>
      <w:r w:rsidRPr="0059021D">
        <w:t xml:space="preserve">IECTs </w:t>
      </w:r>
      <w:r w:rsidR="004013D8" w:rsidRPr="0059021D">
        <w:t xml:space="preserve">each </w:t>
      </w:r>
      <w:r w:rsidRPr="0059021D">
        <w:t>working</w:t>
      </w:r>
      <w:r w:rsidR="00D139F4" w:rsidRPr="0059021D">
        <w:t xml:space="preserve"> </w:t>
      </w:r>
      <w:r w:rsidR="004013D8" w:rsidRPr="0059021D">
        <w:t xml:space="preserve">1,645 hours per </w:t>
      </w:r>
      <w:proofErr w:type="gramStart"/>
      <w:r w:rsidR="004013D8" w:rsidRPr="0059021D">
        <w:t>year</w:t>
      </w:r>
      <w:proofErr w:type="gramEnd"/>
      <w:r w:rsidR="004013D8">
        <w:t xml:space="preserve"> </w:t>
      </w:r>
    </w:p>
  </w:footnote>
  <w:footnote w:id="5">
    <w:p w14:paraId="35DB92EB" w14:textId="77777777" w:rsidR="11AFB54D" w:rsidRDefault="11AFB54D" w:rsidP="11AFB54D">
      <w:pPr>
        <w:pStyle w:val="FootnoteText"/>
      </w:pPr>
      <w:r w:rsidRPr="11AFB54D">
        <w:rPr>
          <w:rStyle w:val="FootnoteReference"/>
        </w:rPr>
        <w:footnoteRef/>
      </w:r>
      <w:r>
        <w:t xml:space="preserve"> Agreement between the Government and the Medical Technology Association of Australia (October 2017). Available from: </w:t>
      </w:r>
      <w:hyperlink r:id="rId2">
        <w:r w:rsidRPr="11AFB54D">
          <w:rPr>
            <w:rStyle w:val="Hyperlink"/>
          </w:rPr>
          <w:t>https://www.health.gov.au/resources/publications/agreement-between-the-government-and-the-medical-technology-association-of-australia</w:t>
        </w:r>
      </w:hyperlink>
      <w:r>
        <w:t xml:space="preserve"> </w:t>
      </w:r>
    </w:p>
  </w:footnote>
  <w:footnote w:id="6">
    <w:p w14:paraId="0E4B003C" w14:textId="77777777" w:rsidR="00354B3D" w:rsidRDefault="00354B3D" w:rsidP="002700CA">
      <w:pPr>
        <w:pStyle w:val="FootnoteText"/>
      </w:pPr>
      <w:r>
        <w:rPr>
          <w:rStyle w:val="FootnoteReference"/>
        </w:rPr>
        <w:footnoteRef/>
      </w:r>
      <w:r>
        <w:t xml:space="preserve"> </w:t>
      </w:r>
      <w:r w:rsidRPr="00A15145">
        <w:t>Leitch J</w:t>
      </w:r>
      <w:r>
        <w:t xml:space="preserve"> </w:t>
      </w:r>
      <w:r w:rsidRPr="007B01EA">
        <w:rPr>
          <w:i/>
          <w:iCs/>
        </w:rPr>
        <w:t>et al.</w:t>
      </w:r>
      <w:r w:rsidRPr="00A15145">
        <w:t xml:space="preserve"> Cardiac Society of Australia and New Zealand (CSANZ) Position Statement on the Follow-Up of Cardiovascular Implantable Electronic Devices 2022. </w:t>
      </w:r>
      <w:r w:rsidRPr="00A15145">
        <w:rPr>
          <w:i/>
          <w:iCs/>
        </w:rPr>
        <w:t>Heart Lung Circ</w:t>
      </w:r>
      <w:r w:rsidRPr="00A15145">
        <w:t>. 2022;31(8):1054-1063.</w:t>
      </w:r>
    </w:p>
  </w:footnote>
  <w:footnote w:id="7">
    <w:p w14:paraId="57B9F2D8" w14:textId="487DB119" w:rsidR="00354B3D" w:rsidRDefault="00354B3D">
      <w:pPr>
        <w:pStyle w:val="FootnoteText"/>
      </w:pPr>
      <w:r>
        <w:rPr>
          <w:rStyle w:val="FootnoteReference"/>
        </w:rPr>
        <w:footnoteRef/>
      </w:r>
      <w:r>
        <w:t xml:space="preserve"> </w:t>
      </w:r>
      <w:r w:rsidRPr="00C5028C">
        <w:t>Xiong S</w:t>
      </w:r>
      <w:r>
        <w:t xml:space="preserve"> </w:t>
      </w:r>
      <w:r w:rsidRPr="001B577C">
        <w:rPr>
          <w:i/>
          <w:iCs/>
        </w:rPr>
        <w:t>et al</w:t>
      </w:r>
      <w:r w:rsidRPr="00C5028C">
        <w:t>. Realtime Remote Programming in Patients Carrying Cardiac Implantable Electronic Devices Requiring Emergent Reprogramming. </w:t>
      </w:r>
      <w:r w:rsidRPr="00C5028C">
        <w:rPr>
          <w:i/>
          <w:iCs/>
        </w:rPr>
        <w:t>Front Cardiovasc Med</w:t>
      </w:r>
      <w:r w:rsidRPr="00C5028C">
        <w:t xml:space="preserve">. </w:t>
      </w:r>
      <w:proofErr w:type="gramStart"/>
      <w:r w:rsidRPr="00C5028C">
        <w:t>2022;9:871425</w:t>
      </w:r>
      <w:proofErr w:type="gramEnd"/>
      <w:r w:rsidRPr="00C5028C">
        <w:t>.</w:t>
      </w:r>
    </w:p>
  </w:footnote>
  <w:footnote w:id="8">
    <w:p w14:paraId="513B6D65" w14:textId="38EB91B6" w:rsidR="00354B3D" w:rsidRDefault="00354B3D">
      <w:pPr>
        <w:pStyle w:val="FootnoteText"/>
      </w:pPr>
      <w:r>
        <w:rPr>
          <w:rStyle w:val="FootnoteReference"/>
        </w:rPr>
        <w:footnoteRef/>
      </w:r>
      <w:r>
        <w:t xml:space="preserve"> </w:t>
      </w:r>
      <w:proofErr w:type="spellStart"/>
      <w:r w:rsidRPr="00952C43">
        <w:t>Siddamsetti</w:t>
      </w:r>
      <w:proofErr w:type="spellEnd"/>
      <w:r w:rsidRPr="00952C43">
        <w:t xml:space="preserve"> S</w:t>
      </w:r>
      <w:r>
        <w:t xml:space="preserve"> </w:t>
      </w:r>
      <w:r w:rsidRPr="00712B88">
        <w:rPr>
          <w:i/>
          <w:iCs/>
        </w:rPr>
        <w:t>et al</w:t>
      </w:r>
      <w:r w:rsidRPr="00C5028C">
        <w:t xml:space="preserve">. </w:t>
      </w:r>
      <w:r w:rsidRPr="00952C43">
        <w:t>Remote programming of cardiac implantable electronic devices: A novel approach to program cardiac devices for magnetic resonance imaging. </w:t>
      </w:r>
      <w:r w:rsidRPr="00952C43">
        <w:rPr>
          <w:i/>
          <w:iCs/>
        </w:rPr>
        <w:t xml:space="preserve">J Cardiovasc </w:t>
      </w:r>
      <w:proofErr w:type="spellStart"/>
      <w:r w:rsidRPr="00952C43">
        <w:rPr>
          <w:i/>
          <w:iCs/>
        </w:rPr>
        <w:t>Electrophysiol</w:t>
      </w:r>
      <w:proofErr w:type="spellEnd"/>
      <w:r w:rsidRPr="00952C43">
        <w:t>. 2022;33(5):1005-1009.</w:t>
      </w:r>
    </w:p>
  </w:footnote>
  <w:footnote w:id="9">
    <w:p w14:paraId="57954429" w14:textId="77777777" w:rsidR="00354B3D" w:rsidRDefault="00354B3D" w:rsidP="0095480C">
      <w:pPr>
        <w:pStyle w:val="FootnoteText"/>
      </w:pPr>
      <w:r>
        <w:rPr>
          <w:rStyle w:val="FootnoteReference"/>
        </w:rPr>
        <w:footnoteRef/>
      </w:r>
      <w:r>
        <w:t xml:space="preserve"> Agreement between the Government and the Medical Technology Association of Australia (October 2017). Available from: </w:t>
      </w:r>
      <w:hyperlink r:id="rId3" w:history="1">
        <w:r w:rsidRPr="00D45250">
          <w:rPr>
            <w:rStyle w:val="Hyperlink"/>
          </w:rPr>
          <w:t>https://www.health.gov.au/resources/publications/agreement-between-the-government-and-the-medical-technology-association-of-australia</w:t>
        </w:r>
      </w:hyperlink>
      <w:r>
        <w:t xml:space="preserve"> </w:t>
      </w:r>
    </w:p>
  </w:footnote>
  <w:footnote w:id="10">
    <w:p w14:paraId="04C2E246" w14:textId="61070429" w:rsidR="00354B3D" w:rsidRDefault="00354B3D" w:rsidP="00E00AF0">
      <w:pPr>
        <w:pStyle w:val="FootnoteText"/>
      </w:pPr>
      <w:r>
        <w:rPr>
          <w:rStyle w:val="FootnoteReference"/>
        </w:rPr>
        <w:footnoteRef/>
      </w:r>
      <w:r>
        <w:t xml:space="preserve"> </w:t>
      </w:r>
      <w:r w:rsidR="006D0EB7" w:rsidRPr="006D0EB7">
        <w:t>KPMG report on Cardiac Implantable Electronic Device (CIED) service valuation</w:t>
      </w:r>
      <w:r w:rsidR="006D0EB7">
        <w:t xml:space="preserve">. Available from: </w:t>
      </w:r>
      <w:hyperlink r:id="rId4" w:history="1">
        <w:r w:rsidR="006D0EB7" w:rsidRPr="007D3DA1">
          <w:rPr>
            <w:rStyle w:val="Hyperlink"/>
          </w:rPr>
          <w:t>https://www.mtaa.org.au/sites/default/files/uploaded-content/field_f_content_file/mtaa-submission_pl_reform.pdf</w:t>
        </w:r>
      </w:hyperlink>
      <w:r w:rsidR="006D0EB7">
        <w:t xml:space="preserve"> </w:t>
      </w:r>
    </w:p>
  </w:footnote>
  <w:footnote w:id="11">
    <w:p w14:paraId="4F460326" w14:textId="65CBBFD9" w:rsidR="00354B3D" w:rsidRPr="00D647D4" w:rsidRDefault="00354B3D" w:rsidP="00863DB5">
      <w:pPr>
        <w:pStyle w:val="Tablenotes"/>
        <w:rPr>
          <w:lang w:val="en-US"/>
        </w:rPr>
      </w:pPr>
      <w:r>
        <w:rPr>
          <w:rStyle w:val="FootnoteReference"/>
        </w:rPr>
        <w:footnoteRef/>
      </w:r>
      <w:r>
        <w:t xml:space="preserve"> </w:t>
      </w:r>
      <w:r w:rsidRPr="00EB0D15">
        <w:rPr>
          <w:rStyle w:val="TabletextChar0"/>
        </w:rPr>
        <w:t xml:space="preserve">Mond HG, Crozier I, </w:t>
      </w:r>
      <w:proofErr w:type="spellStart"/>
      <w:r w:rsidRPr="00EB0D15">
        <w:rPr>
          <w:rStyle w:val="TabletextChar0"/>
        </w:rPr>
        <w:t>Sloman</w:t>
      </w:r>
      <w:proofErr w:type="spellEnd"/>
      <w:r w:rsidRPr="00EB0D15">
        <w:rPr>
          <w:rStyle w:val="TabletextChar0"/>
        </w:rPr>
        <w:t xml:space="preserve"> Retired JG. The Australian and New Zealand Cardiac Implantable Electronic Device Survey, Calendar Year 2021: 50-Year Anniversary. Heart Lung Circ. 2022 Nov </w:t>
      </w:r>
      <w:proofErr w:type="gramStart"/>
      <w:r w:rsidRPr="00EB0D15">
        <w:rPr>
          <w:rStyle w:val="TabletextChar0"/>
        </w:rPr>
        <w:t>10:S</w:t>
      </w:r>
      <w:proofErr w:type="gramEnd"/>
      <w:r w:rsidRPr="00EB0D15">
        <w:rPr>
          <w:rStyle w:val="TabletextChar0"/>
        </w:rPr>
        <w:t xml:space="preserve">1443-9506(22)01129-5. </w:t>
      </w:r>
      <w:proofErr w:type="spellStart"/>
      <w:r w:rsidRPr="00EB0D15">
        <w:rPr>
          <w:rStyle w:val="TabletextChar0"/>
        </w:rPr>
        <w:t>doi</w:t>
      </w:r>
      <w:proofErr w:type="spellEnd"/>
      <w:r w:rsidRPr="00EB0D15">
        <w:rPr>
          <w:rStyle w:val="TabletextChar0"/>
        </w:rPr>
        <w:t xml:space="preserve">: 10.1016/j.hlc.2022.09.016. </w:t>
      </w:r>
      <w:proofErr w:type="spellStart"/>
      <w:r w:rsidRPr="00EB0D15">
        <w:rPr>
          <w:rStyle w:val="TabletextChar0"/>
        </w:rPr>
        <w:t>Epub</w:t>
      </w:r>
      <w:proofErr w:type="spellEnd"/>
      <w:r w:rsidRPr="00EB0D15">
        <w:rPr>
          <w:rStyle w:val="TabletextChar0"/>
        </w:rPr>
        <w:t xml:space="preserve"> ahead of print. PMID: 36372717.</w:t>
      </w:r>
    </w:p>
  </w:footnote>
  <w:footnote w:id="12">
    <w:p w14:paraId="447B615F" w14:textId="0764E66A" w:rsidR="00354B3D" w:rsidRDefault="00354B3D" w:rsidP="00863DB5">
      <w:pPr>
        <w:pStyle w:val="Tablenotes"/>
      </w:pPr>
      <w:r>
        <w:rPr>
          <w:rStyle w:val="FootnoteReference"/>
        </w:rPr>
        <w:footnoteRef/>
      </w:r>
      <w:r>
        <w:t xml:space="preserve"> </w:t>
      </w:r>
      <w:r w:rsidRPr="00EB0D15">
        <w:rPr>
          <w:rStyle w:val="TabletextChar0"/>
        </w:rPr>
        <w:t>KPMG 2021, 'Cardiac Implantable Electronic Device (CIED) service evaluation (on behalf of the Medical Technology Association of Australia)'.</w:t>
      </w:r>
    </w:p>
  </w:footnote>
  <w:footnote w:id="13">
    <w:p w14:paraId="336D18AE" w14:textId="04ECEC28" w:rsidR="00354B3D" w:rsidRDefault="00354B3D" w:rsidP="00863DB5">
      <w:pPr>
        <w:pStyle w:val="Tablenotes"/>
      </w:pPr>
      <w:r>
        <w:rPr>
          <w:rStyle w:val="FootnoteReference"/>
        </w:rPr>
        <w:footnoteRef/>
      </w:r>
      <w:r>
        <w:t xml:space="preserve"> </w:t>
      </w:r>
      <w:r w:rsidRPr="00A908BA">
        <w:t>The Cardiac Society of Australia and New Zealand (CSANZ) 2017, Guidelines for advanced sub-specialty training in Cardiac Implantable Electronic Devices (CIEDs): selection, implantation and follow-up, &lt;</w:t>
      </w:r>
      <w:hyperlink r:id="rId5" w:history="1">
        <w:r w:rsidRPr="00A908BA">
          <w:rPr>
            <w:rStyle w:val="Hyperlink"/>
          </w:rPr>
          <w:t>https://www.csanz.edu.au/wp-content/uploads/2017/03/Sub-spec-Training-CIED_2017-March.pdf</w:t>
        </w:r>
      </w:hyperlink>
      <w:r w:rsidRPr="00A908BA">
        <w:t>&gt;.</w:t>
      </w:r>
    </w:p>
  </w:footnote>
  <w:footnote w:id="14">
    <w:p w14:paraId="3026E12B" w14:textId="3745563C" w:rsidR="00354B3D" w:rsidRDefault="00354B3D" w:rsidP="00863DB5">
      <w:pPr>
        <w:pStyle w:val="Tablenotes"/>
      </w:pPr>
      <w:r>
        <w:rPr>
          <w:rStyle w:val="FootnoteReference"/>
        </w:rPr>
        <w:footnoteRef/>
      </w:r>
      <w:r>
        <w:t xml:space="preserve"> </w:t>
      </w:r>
      <w:r w:rsidRPr="0066574A">
        <w:t xml:space="preserve">Leitch, J, </w:t>
      </w:r>
      <w:proofErr w:type="spellStart"/>
      <w:r w:rsidRPr="0066574A">
        <w:t>Asakai</w:t>
      </w:r>
      <w:proofErr w:type="spellEnd"/>
      <w:r w:rsidRPr="0066574A">
        <w:t xml:space="preserve">, H, Dawson, L, Medi, C, Norman, M, Stevenson, I, </w:t>
      </w:r>
      <w:proofErr w:type="spellStart"/>
      <w:r w:rsidRPr="0066574A">
        <w:t>Toal</w:t>
      </w:r>
      <w:proofErr w:type="spellEnd"/>
      <w:r w:rsidRPr="0066574A">
        <w:t>, E, Turnbull, S &amp; Young, G 2022, 'Cardiac Society of Australia and New Zealand (CSANZ) Position Statement on the Follow-Up of Cardiovascular Implantable Electronic Devices 2022', Heart Lung Circ, vol. 31, no. 8, 2022-8, pp. 1054-1063.</w:t>
      </w:r>
    </w:p>
  </w:footnote>
  <w:footnote w:id="15">
    <w:p w14:paraId="13426C91" w14:textId="31F554FA" w:rsidR="00354B3D" w:rsidRPr="00EC7DCA" w:rsidRDefault="00354B3D" w:rsidP="00863DB5">
      <w:pPr>
        <w:pStyle w:val="TableText"/>
        <w:rPr>
          <w:i/>
          <w:color w:val="4472C4" w:themeColor="accent1"/>
        </w:rPr>
      </w:pPr>
      <w:r w:rsidRPr="00EC7DCA">
        <w:rPr>
          <w:rStyle w:val="FootnoteReference"/>
          <w:rFonts w:ascii="Franklin Gothic Book" w:hAnsi="Franklin Gothic Book"/>
          <w:szCs w:val="20"/>
        </w:rPr>
        <w:footnoteRef/>
      </w:r>
      <w:r w:rsidRPr="00EC7DCA">
        <w:rPr>
          <w:rStyle w:val="FootnoteReference"/>
          <w:rFonts w:ascii="Franklin Gothic Book" w:hAnsi="Franklin Gothic Book"/>
          <w:szCs w:val="20"/>
        </w:rPr>
        <w:t xml:space="preserve"> </w:t>
      </w:r>
      <w:bookmarkStart w:id="10" w:name="_ENREF_27"/>
      <w:r w:rsidRPr="00EC7DCA">
        <w:t xml:space="preserve">Leitch, J, </w:t>
      </w:r>
      <w:proofErr w:type="spellStart"/>
      <w:r w:rsidRPr="00EC7DCA">
        <w:t>Asakai</w:t>
      </w:r>
      <w:proofErr w:type="spellEnd"/>
      <w:r w:rsidRPr="00EC7DCA">
        <w:t xml:space="preserve">, H, Dawson, L, Medi, C, Norman, M, Stevenson, I, </w:t>
      </w:r>
      <w:proofErr w:type="spellStart"/>
      <w:r w:rsidRPr="00EC7DCA">
        <w:t>Toal</w:t>
      </w:r>
      <w:proofErr w:type="spellEnd"/>
      <w:r w:rsidRPr="00EC7DCA">
        <w:t>, E, Turnbull, S &amp; Young, G 2022, 'Cardiac Society of Australia and New Zealand (CSANZ) Position Statement on the Follow-Up of Cardiovascular Implantable Electronic Devices 2022', Heart Lung Circ, vol. 31, no. 8, 2022-8, pp. 1054-1063.</w:t>
      </w:r>
      <w:bookmarkEnd w:id="10"/>
    </w:p>
  </w:footnote>
  <w:footnote w:id="16">
    <w:p w14:paraId="591EE45F" w14:textId="68F88D47" w:rsidR="00354B3D" w:rsidRDefault="00354B3D" w:rsidP="00C825E4">
      <w:pPr>
        <w:pStyle w:val="TableText"/>
      </w:pPr>
      <w:r>
        <w:rPr>
          <w:rStyle w:val="FootnoteReference"/>
        </w:rPr>
        <w:footnoteRef/>
      </w:r>
      <w:r>
        <w:t xml:space="preserve"> </w:t>
      </w:r>
      <w:proofErr w:type="spellStart"/>
      <w:r w:rsidRPr="007813CE">
        <w:t>Slotwiner</w:t>
      </w:r>
      <w:proofErr w:type="spellEnd"/>
      <w:r w:rsidRPr="007813CE">
        <w:t xml:space="preserve">, D, Varma, N, Akar, JG, Annas, G, Beardsall, M, Fogel, RI, </w:t>
      </w:r>
      <w:proofErr w:type="spellStart"/>
      <w:r w:rsidRPr="007813CE">
        <w:t>Galizio</w:t>
      </w:r>
      <w:proofErr w:type="spellEnd"/>
      <w:r w:rsidRPr="007813CE">
        <w:t xml:space="preserve">, NO, </w:t>
      </w:r>
      <w:proofErr w:type="spellStart"/>
      <w:r w:rsidRPr="007813CE">
        <w:t>Glotzer</w:t>
      </w:r>
      <w:proofErr w:type="spellEnd"/>
      <w:r w:rsidRPr="007813CE">
        <w:t xml:space="preserve">, TV, Leahy, RA, Love, CJ, McLean, RC, Mittal, S, </w:t>
      </w:r>
      <w:proofErr w:type="spellStart"/>
      <w:r w:rsidRPr="007813CE">
        <w:t>Morichelli</w:t>
      </w:r>
      <w:proofErr w:type="spellEnd"/>
      <w:r w:rsidRPr="007813CE">
        <w:t xml:space="preserve">, L, Patton, KK, Raitt, MH, Ricci, RP, Rickard, J, Schoenfeld, MH, Serwer, GA, Shea, J, </w:t>
      </w:r>
      <w:proofErr w:type="spellStart"/>
      <w:r w:rsidRPr="007813CE">
        <w:t>Varosy</w:t>
      </w:r>
      <w:proofErr w:type="spellEnd"/>
      <w:r w:rsidRPr="007813CE">
        <w:t xml:space="preserve">, P, Verma, A &amp; Yu, CM 2015, 'HRS Expert Consensus Statement on remote interrogation and monitoring for cardiovascular implantable electronic devices', </w:t>
      </w:r>
      <w:r w:rsidRPr="007813CE">
        <w:rPr>
          <w:i/>
          <w:iCs/>
        </w:rPr>
        <w:t>Heart Rhythm</w:t>
      </w:r>
      <w:r w:rsidRPr="007813CE">
        <w:t>, vol. 12, no. 7, 2015-7, pp. e69-100.</w:t>
      </w:r>
    </w:p>
  </w:footnote>
  <w:footnote w:id="17">
    <w:p w14:paraId="076562F0" w14:textId="26CC2EE4" w:rsidR="00354B3D" w:rsidRDefault="00354B3D" w:rsidP="00863DB5">
      <w:pPr>
        <w:pStyle w:val="Tablenotes"/>
      </w:pPr>
      <w:r>
        <w:rPr>
          <w:rStyle w:val="FootnoteReference"/>
        </w:rPr>
        <w:footnoteRef/>
      </w:r>
      <w:r>
        <w:t xml:space="preserve"> </w:t>
      </w:r>
      <w:r w:rsidRPr="00CB63B2">
        <w:t xml:space="preserve">Alotaibi, S, Hern, </w:t>
      </w:r>
      <w:proofErr w:type="spellStart"/>
      <w:r w:rsidRPr="00CB63B2">
        <w:t>ez</w:t>
      </w:r>
      <w:proofErr w:type="spellEnd"/>
      <w:r w:rsidRPr="00CB63B2">
        <w:t>-Montfort, J, Ali, OE, El-</w:t>
      </w:r>
      <w:proofErr w:type="spellStart"/>
      <w:r w:rsidRPr="00CB63B2">
        <w:t>Chilali</w:t>
      </w:r>
      <w:proofErr w:type="spellEnd"/>
      <w:r w:rsidRPr="00CB63B2">
        <w:t xml:space="preserve">, K &amp; Perez, BA 2020, 'Remote monitoring of implantable cardiac devices in heart failure patients: a systematic review and meta-analysis of randomized controlled trials', </w:t>
      </w:r>
      <w:r w:rsidRPr="00CB63B2">
        <w:rPr>
          <w:i/>
          <w:iCs/>
        </w:rPr>
        <w:t>Heart Fail Rev</w:t>
      </w:r>
      <w:r w:rsidRPr="00CB63B2">
        <w:t>, vol. 25, no. 3, 2020-5, pp. 469-479.</w:t>
      </w:r>
    </w:p>
  </w:footnote>
  <w:footnote w:id="18">
    <w:p w14:paraId="02C6D01F" w14:textId="0A7860D9" w:rsidR="00354B3D" w:rsidRDefault="00354B3D" w:rsidP="00863DB5">
      <w:pPr>
        <w:pStyle w:val="Tablenotes"/>
      </w:pPr>
      <w:r>
        <w:rPr>
          <w:rStyle w:val="FootnoteReference"/>
        </w:rPr>
        <w:footnoteRef/>
      </w:r>
      <w:r>
        <w:t xml:space="preserve"> </w:t>
      </w:r>
      <w:proofErr w:type="spellStart"/>
      <w:r w:rsidRPr="00CB63B2">
        <w:t>Hajduczok</w:t>
      </w:r>
      <w:proofErr w:type="spellEnd"/>
      <w:r w:rsidRPr="00CB63B2">
        <w:t xml:space="preserve">, AG, Muallem, SN, Nudy, MS, </w:t>
      </w:r>
      <w:proofErr w:type="spellStart"/>
      <w:r w:rsidRPr="00CB63B2">
        <w:t>DeWaters</w:t>
      </w:r>
      <w:proofErr w:type="spellEnd"/>
      <w:r w:rsidRPr="00CB63B2">
        <w:t xml:space="preserve">, AL &amp; Boehmer, JP 2022, 'Remote monitoring for heart failure using implantable devices: a systematic review, meta-analysis, and meta-regression of randomized controlled trials', </w:t>
      </w:r>
      <w:r w:rsidRPr="00CB63B2">
        <w:rPr>
          <w:i/>
          <w:iCs/>
        </w:rPr>
        <w:t>Heart Fail Rev</w:t>
      </w:r>
      <w:r w:rsidRPr="00CB63B2">
        <w:t>, vol. 27, no. 4, Jul, pp. 1281-1300.</w:t>
      </w:r>
    </w:p>
  </w:footnote>
  <w:footnote w:id="19">
    <w:p w14:paraId="674F7A56" w14:textId="77AB6B15" w:rsidR="00354B3D" w:rsidRDefault="00354B3D" w:rsidP="00863DB5">
      <w:pPr>
        <w:pStyle w:val="Tablenotes"/>
      </w:pPr>
      <w:r>
        <w:rPr>
          <w:rStyle w:val="FootnoteReference"/>
        </w:rPr>
        <w:footnoteRef/>
      </w:r>
      <w:r>
        <w:t xml:space="preserve"> </w:t>
      </w:r>
      <w:r w:rsidRPr="0059215B">
        <w:t xml:space="preserve">Parthiban, N, </w:t>
      </w:r>
      <w:proofErr w:type="spellStart"/>
      <w:r w:rsidRPr="0059215B">
        <w:t>Esterman</w:t>
      </w:r>
      <w:proofErr w:type="spellEnd"/>
      <w:r w:rsidRPr="0059215B">
        <w:t xml:space="preserve">, A, Mahajan, R, Twomey, DJ, Pathak, RK, Lau, DH, Roberts-Thomson, KC, Young, GD, Sanders, P &amp; Ganesan, AN 2015, 'Remote Monitoring of Implantable Cardioverter-Defibrillators: A Systematic Review and Meta-Analysis of Clinical Outcomes', </w:t>
      </w:r>
      <w:r w:rsidRPr="0059215B">
        <w:rPr>
          <w:i/>
          <w:iCs/>
        </w:rPr>
        <w:t xml:space="preserve">J Am Coll </w:t>
      </w:r>
      <w:proofErr w:type="spellStart"/>
      <w:r w:rsidRPr="0059215B">
        <w:rPr>
          <w:i/>
          <w:iCs/>
        </w:rPr>
        <w:t>Cardiol</w:t>
      </w:r>
      <w:proofErr w:type="spellEnd"/>
      <w:r w:rsidRPr="0059215B">
        <w:t>, vol. 65, no. 24, Jun 23, pp. 2591-2600.</w:t>
      </w:r>
    </w:p>
  </w:footnote>
  <w:footnote w:id="20">
    <w:p w14:paraId="44CBABBA" w14:textId="0C1C70A3" w:rsidR="00354B3D" w:rsidRDefault="00354B3D" w:rsidP="00863DB5">
      <w:pPr>
        <w:pStyle w:val="Tablenotes"/>
      </w:pPr>
      <w:r>
        <w:rPr>
          <w:rStyle w:val="FootnoteReference"/>
        </w:rPr>
        <w:footnoteRef/>
      </w:r>
      <w:r>
        <w:t xml:space="preserve"> </w:t>
      </w:r>
      <w:r w:rsidRPr="00C75621">
        <w:t xml:space="preserve">O'Shea, CJ, </w:t>
      </w:r>
      <w:proofErr w:type="spellStart"/>
      <w:r w:rsidRPr="00C75621">
        <w:t>Middeldorp</w:t>
      </w:r>
      <w:proofErr w:type="spellEnd"/>
      <w:r w:rsidRPr="00C75621">
        <w:t xml:space="preserve">, ME, Hendriks, JM, Brooks, AG, Lau, DH, </w:t>
      </w:r>
      <w:proofErr w:type="spellStart"/>
      <w:r w:rsidRPr="00C75621">
        <w:t>Emami</w:t>
      </w:r>
      <w:proofErr w:type="spellEnd"/>
      <w:r w:rsidRPr="00C75621">
        <w:t xml:space="preserve">, M, Mishima, R, </w:t>
      </w:r>
      <w:proofErr w:type="spellStart"/>
      <w:r w:rsidRPr="00C75621">
        <w:t>Thiyagarajah</w:t>
      </w:r>
      <w:proofErr w:type="spellEnd"/>
      <w:r w:rsidRPr="00C75621">
        <w:t xml:space="preserve">, A, </w:t>
      </w:r>
      <w:proofErr w:type="spellStart"/>
      <w:r w:rsidRPr="00C75621">
        <w:t>Feigofsky</w:t>
      </w:r>
      <w:proofErr w:type="spellEnd"/>
      <w:r w:rsidRPr="00C75621">
        <w:t xml:space="preserve">, S, </w:t>
      </w:r>
      <w:proofErr w:type="spellStart"/>
      <w:r w:rsidRPr="00C75621">
        <w:t>Gopinathannair</w:t>
      </w:r>
      <w:proofErr w:type="spellEnd"/>
      <w:r w:rsidRPr="00C75621">
        <w:t xml:space="preserve">, R, Varma, N, Campbell, K &amp; </w:t>
      </w:r>
      <w:proofErr w:type="spellStart"/>
      <w:r w:rsidRPr="00C75621">
        <w:t>ers</w:t>
      </w:r>
      <w:proofErr w:type="spellEnd"/>
      <w:r w:rsidRPr="00C75621">
        <w:t xml:space="preserve">, P 2021, 'Remote Monitoring Alert Burden: An Analysis of Transmission in &gt;26,000 Patients', </w:t>
      </w:r>
      <w:r w:rsidRPr="00C75621">
        <w:rPr>
          <w:i/>
          <w:iCs/>
        </w:rPr>
        <w:t xml:space="preserve">JACC Clin </w:t>
      </w:r>
      <w:proofErr w:type="spellStart"/>
      <w:r w:rsidRPr="00C75621">
        <w:rPr>
          <w:i/>
          <w:iCs/>
        </w:rPr>
        <w:t>Electrophysiol</w:t>
      </w:r>
      <w:proofErr w:type="spellEnd"/>
      <w:r w:rsidRPr="00C75621">
        <w:t>, vol. 7, no. 2, 2021-2, pp. 226-234.</w:t>
      </w:r>
    </w:p>
  </w:footnote>
  <w:footnote w:id="21">
    <w:p w14:paraId="31C1156D" w14:textId="53FF44A4" w:rsidR="00354B3D" w:rsidRDefault="00354B3D" w:rsidP="00863DB5">
      <w:pPr>
        <w:pStyle w:val="Tablenotes"/>
      </w:pPr>
      <w:r>
        <w:rPr>
          <w:rStyle w:val="FootnoteReference"/>
        </w:rPr>
        <w:footnoteRef/>
      </w:r>
      <w:r>
        <w:t xml:space="preserve"> </w:t>
      </w:r>
      <w:r w:rsidRPr="00C75621">
        <w:t xml:space="preserve">O'Shea, CJ, </w:t>
      </w:r>
      <w:proofErr w:type="spellStart"/>
      <w:r w:rsidRPr="00C75621">
        <w:t>Middeldorp</w:t>
      </w:r>
      <w:proofErr w:type="spellEnd"/>
      <w:r w:rsidRPr="00C75621">
        <w:t xml:space="preserve">, ME, Hendriks, JM, Brooks, AG, Harper, C, Thomas, G, Emami, M, Thiyagarajah, A, Feigofsky, S, Gopinathannair, R, Varma, N, Campbell, K, Lau, DH &amp; ers, P 2021, 'Remote Monitoring of Implantable Loop Recorders: False-Positive Alert Episode Burden', </w:t>
      </w:r>
      <w:r w:rsidRPr="00C75621">
        <w:rPr>
          <w:i/>
          <w:iCs/>
        </w:rPr>
        <w:t>Circ Arrhythm Electrophysiol</w:t>
      </w:r>
      <w:r w:rsidRPr="00C75621">
        <w:t>, vol. 14, no. 11, 2021-11, p. e009635.</w:t>
      </w:r>
    </w:p>
  </w:footnote>
  <w:footnote w:id="22">
    <w:p w14:paraId="08A1A0D2" w14:textId="6E1AE7B1" w:rsidR="00354B3D" w:rsidRPr="002B2C0B" w:rsidRDefault="00354B3D" w:rsidP="00863DB5">
      <w:pPr>
        <w:pStyle w:val="Tablenotes"/>
        <w:rPr>
          <w:lang w:val="en-US"/>
        </w:rPr>
      </w:pPr>
      <w:r>
        <w:rPr>
          <w:rStyle w:val="FootnoteReference"/>
        </w:rPr>
        <w:footnoteRef/>
      </w:r>
      <w:r>
        <w:t xml:space="preserve"> Mond HG, Crozier I, Sloman Retired JG. The Australian and New Zealand Cardiac Implantable Electronic Device Survey, Calendar Year 2021: 50-Year Anniversary. Heart Lung Circ. 2022 Nov </w:t>
      </w:r>
      <w:proofErr w:type="gramStart"/>
      <w:r>
        <w:t>10:S</w:t>
      </w:r>
      <w:proofErr w:type="gramEnd"/>
      <w:r>
        <w:t>1443-9506(22)01129-5. doi: 10.1016/j.hlc.2022.09.016. Epub ahead of print. PMID: 36372717.</w:t>
      </w:r>
    </w:p>
  </w:footnote>
  <w:footnote w:id="23">
    <w:p w14:paraId="2DD60205" w14:textId="77777777" w:rsidR="00354B3D" w:rsidRPr="00DC3A66" w:rsidRDefault="00354B3D" w:rsidP="00863DB5">
      <w:pPr>
        <w:pStyle w:val="Tablenotes"/>
        <w:rPr>
          <w:lang w:val="en-US"/>
        </w:rPr>
      </w:pPr>
      <w:r>
        <w:rPr>
          <w:rStyle w:val="FootnoteReference"/>
        </w:rPr>
        <w:footnoteRef/>
      </w:r>
      <w:r>
        <w:t xml:space="preserve"> Katz, D. &amp; Akiyama, T. 2007. Pacemaker longevity: the world's longest-lasting VVI pacemaker. </w:t>
      </w:r>
      <w:r>
        <w:rPr>
          <w:i/>
        </w:rPr>
        <w:t>Ann Noninvasive Electrocardiol,</w:t>
      </w:r>
      <w:r>
        <w:t xml:space="preserve"> 12</w:t>
      </w:r>
      <w:r>
        <w:rPr>
          <w:b/>
        </w:rPr>
        <w:t>,</w:t>
      </w:r>
      <w:r>
        <w:t xml:space="preserve"> 223-6</w:t>
      </w:r>
    </w:p>
  </w:footnote>
  <w:footnote w:id="24">
    <w:p w14:paraId="06B6D375" w14:textId="3FBDCB66" w:rsidR="00354B3D" w:rsidRPr="002B2C0B" w:rsidRDefault="00354B3D" w:rsidP="00863DB5">
      <w:pPr>
        <w:pStyle w:val="Tablenotes"/>
        <w:rPr>
          <w:lang w:val="en-US"/>
        </w:rPr>
      </w:pPr>
      <w:r>
        <w:rPr>
          <w:rStyle w:val="FootnoteReference"/>
        </w:rPr>
        <w:footnoteRef/>
      </w:r>
      <w:r>
        <w:t xml:space="preserve"> Manolis AS, Maounis T, Koulouris S, Vassilikos V. "Real life" longevity of implantable cardioverter-defibrillator devices. </w:t>
      </w:r>
      <w:r w:rsidRPr="002B2C0B">
        <w:rPr>
          <w:i/>
        </w:rPr>
        <w:t>Clin Cardiol.</w:t>
      </w:r>
      <w:r>
        <w:t xml:space="preserve"> 2017 Sep;40(9):759-764. </w:t>
      </w:r>
    </w:p>
  </w:footnote>
  <w:footnote w:id="25">
    <w:p w14:paraId="45AEC0B0" w14:textId="77777777" w:rsidR="00354B3D" w:rsidRPr="00DC3A66" w:rsidRDefault="00354B3D" w:rsidP="00863DB5">
      <w:pPr>
        <w:pStyle w:val="Tablenotes"/>
        <w:rPr>
          <w:lang w:val="en-US"/>
        </w:rPr>
      </w:pPr>
      <w:r>
        <w:rPr>
          <w:rStyle w:val="FootnoteReference"/>
        </w:rPr>
        <w:footnoteRef/>
      </w:r>
      <w:r>
        <w:t xml:space="preserve"> NICE. 2014. Implantable cardioverter defibrillators and cardiac resynchronisation therapy for arrhythmias and heart failure. Technology appraisal guidance [TA314]</w:t>
      </w:r>
    </w:p>
  </w:footnote>
  <w:footnote w:id="26">
    <w:p w14:paraId="5B39B5C1" w14:textId="4FA45DDE" w:rsidR="00354B3D" w:rsidRPr="00B93D79" w:rsidRDefault="00354B3D" w:rsidP="00863DB5">
      <w:pPr>
        <w:pStyle w:val="Tablenotes"/>
      </w:pPr>
      <w:r>
        <w:rPr>
          <w:rStyle w:val="FootnoteReference"/>
        </w:rPr>
        <w:footnoteRef/>
      </w:r>
      <w:r w:rsidRPr="003F6799">
        <w:t xml:space="preserve"> Hadwiger, M., Dagres, N., Hindricks, G., et al. 2022. </w:t>
      </w:r>
      <w:r>
        <w:t xml:space="preserve">Device runtime and costs of cardiac resynchronization therapy pacemakers - a health claims data analysis. </w:t>
      </w:r>
      <w:r w:rsidRPr="002B2C0B">
        <w:t>Ger Med Sci,</w:t>
      </w:r>
      <w:r>
        <w:t xml:space="preserve"> 20</w:t>
      </w:r>
      <w:r w:rsidRPr="002B2C0B">
        <w:t>,</w:t>
      </w:r>
      <w:r>
        <w:t xml:space="preserve"> Doc02</w:t>
      </w:r>
    </w:p>
  </w:footnote>
  <w:footnote w:id="27">
    <w:p w14:paraId="2E424198" w14:textId="3E964BFA" w:rsidR="00354B3D" w:rsidRPr="00B93D79" w:rsidRDefault="00354B3D" w:rsidP="00863DB5">
      <w:pPr>
        <w:pStyle w:val="Tablenotes"/>
      </w:pPr>
      <w:r w:rsidRPr="00863DB5">
        <w:rPr>
          <w:vertAlign w:val="superscript"/>
        </w:rPr>
        <w:footnoteRef/>
      </w:r>
      <w:r w:rsidRPr="002B2C0B">
        <w:rPr>
          <w:vertAlign w:val="superscript"/>
        </w:rPr>
        <w:t xml:space="preserve"> </w:t>
      </w:r>
      <w:r w:rsidRPr="00B93D79">
        <w:t xml:space="preserve">Bossard, M., Sticherling, C., Kühne, M., et al. 2014. Outcome of patients with cardiac resynchronisation defibrillator therapy and a follow-up of at least five years after implant. </w:t>
      </w:r>
      <w:r w:rsidRPr="002B2C0B">
        <w:t>Swiss Med Wkly,</w:t>
      </w:r>
      <w:r w:rsidRPr="00B93D79">
        <w:t xml:space="preserve"> 144</w:t>
      </w:r>
      <w:r w:rsidRPr="002B2C0B">
        <w:t>,</w:t>
      </w:r>
      <w:r w:rsidRPr="00B93D79">
        <w:t xml:space="preserve"> w13938.</w:t>
      </w:r>
    </w:p>
  </w:footnote>
  <w:footnote w:id="28">
    <w:p w14:paraId="0F5F3228" w14:textId="64A5901B" w:rsidR="00354B3D" w:rsidRPr="002B2C0B" w:rsidRDefault="00354B3D" w:rsidP="00863DB5">
      <w:pPr>
        <w:pStyle w:val="Tablenotes"/>
        <w:rPr>
          <w:lang w:val="en-US"/>
        </w:rPr>
      </w:pPr>
      <w:r>
        <w:rPr>
          <w:rStyle w:val="FootnoteReference"/>
        </w:rPr>
        <w:footnoteRef/>
      </w:r>
      <w:r w:rsidRPr="003F6799">
        <w:t xml:space="preserve"> Zanon, F., Martignani, C., Ammendola, E., et al. 2016. </w:t>
      </w:r>
      <w:r>
        <w:t xml:space="preserve">Device Longevity in a Contemporary Cohort of ICD/CRT-D Patients Undergoing Device Replacement. </w:t>
      </w:r>
      <w:r>
        <w:rPr>
          <w:i/>
        </w:rPr>
        <w:t>J Cardiovasc Electrophysiol,</w:t>
      </w:r>
      <w:r>
        <w:t xml:space="preserve"> 27</w:t>
      </w:r>
      <w:r>
        <w:rPr>
          <w:b/>
        </w:rPr>
        <w:t>,</w:t>
      </w:r>
      <w:r>
        <w:t xml:space="preserve"> 840-5</w:t>
      </w:r>
    </w:p>
  </w:footnote>
  <w:footnote w:id="29">
    <w:p w14:paraId="05ABAB26" w14:textId="745AE2C6" w:rsidR="00354B3D" w:rsidRDefault="00354B3D" w:rsidP="00863DB5">
      <w:pPr>
        <w:pStyle w:val="Tablenotes"/>
      </w:pPr>
      <w:r w:rsidRPr="002B2C0B">
        <w:rPr>
          <w:rStyle w:val="FootnoteReference"/>
        </w:rPr>
        <w:footnoteRef/>
      </w:r>
      <w:r w:rsidRPr="002B2C0B">
        <w:rPr>
          <w:rStyle w:val="FootnoteReference"/>
          <w:vertAlign w:val="baseline"/>
        </w:rPr>
        <w:t xml:space="preserve"> Mofrad, P. S. 2012. Implantable Loop Monitors. Circulation, 126, e472-e474.</w:t>
      </w:r>
    </w:p>
  </w:footnote>
  <w:footnote w:id="30">
    <w:p w14:paraId="45C8C390" w14:textId="77777777" w:rsidR="00354B3D" w:rsidRDefault="00354B3D" w:rsidP="00C04311">
      <w:pPr>
        <w:pStyle w:val="FootnoteText"/>
      </w:pPr>
      <w:r>
        <w:rPr>
          <w:rStyle w:val="FootnoteReference"/>
        </w:rPr>
        <w:footnoteRef/>
      </w:r>
      <w:r>
        <w:t xml:space="preserve"> </w:t>
      </w:r>
      <w:r w:rsidRPr="00FD7633">
        <w:t>Kelly, Shannon E., et al. "Virtual follow-up and care for patients with cardiac electronic implantable devices: protocol for a systematic review." </w:t>
      </w:r>
      <w:r w:rsidRPr="00FD7633">
        <w:rPr>
          <w:i/>
          <w:iCs/>
        </w:rPr>
        <w:t>Systematic Reviews</w:t>
      </w:r>
      <w:r w:rsidRPr="00FD7633">
        <w:t> 9 (2020): 1-10.</w:t>
      </w:r>
    </w:p>
  </w:footnote>
  <w:footnote w:id="31">
    <w:p w14:paraId="4203393D" w14:textId="77777777" w:rsidR="00354B3D" w:rsidRDefault="00354B3D" w:rsidP="00C04311">
      <w:pPr>
        <w:pStyle w:val="FootnoteText"/>
      </w:pPr>
      <w:r>
        <w:rPr>
          <w:rStyle w:val="FootnoteReference"/>
        </w:rPr>
        <w:footnoteRef/>
      </w:r>
      <w:r>
        <w:t xml:space="preserve"> </w:t>
      </w:r>
      <w:r w:rsidRPr="00F44B93">
        <w:t>Assessment of High-Cost Gene Treatments and Digital Health Interventions Grant Opportunity</w:t>
      </w:r>
      <w:r>
        <w:t xml:space="preserve">. Accessed from: </w:t>
      </w:r>
      <w:hyperlink r:id="rId6" w:history="1">
        <w:r w:rsidRPr="00824ECA">
          <w:rPr>
            <w:rStyle w:val="Hyperlink"/>
          </w:rPr>
          <w:t>https://www.grants.gov.au/Go/Show?GoUuid=5b899505-a6fe-4e38-b1ec-a607bf302229</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3891" w14:textId="77777777" w:rsidR="00C97E03" w:rsidRDefault="00C97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AD9F" w14:textId="77777777" w:rsidR="00C97E03" w:rsidRDefault="00C97E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05261" w14:textId="77777777" w:rsidR="00C97E03" w:rsidRDefault="00C97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6AE6"/>
    <w:multiLevelType w:val="hybridMultilevel"/>
    <w:tmpl w:val="5D225052"/>
    <w:lvl w:ilvl="0" w:tplc="B81EF1B8">
      <w:start w:val="1"/>
      <w:numFmt w:val="bullet"/>
      <w:lvlText w:val=""/>
      <w:lvlJc w:val="left"/>
      <w:pPr>
        <w:ind w:left="720" w:hanging="360"/>
      </w:pPr>
      <w:rPr>
        <w:rFonts w:ascii="Symbol" w:hAnsi="Symbol" w:hint="default"/>
      </w:rPr>
    </w:lvl>
    <w:lvl w:ilvl="1" w:tplc="C4F6B760">
      <w:start w:val="1"/>
      <w:numFmt w:val="bullet"/>
      <w:lvlText w:val="o"/>
      <w:lvlJc w:val="left"/>
      <w:pPr>
        <w:ind w:left="1440" w:hanging="360"/>
      </w:pPr>
      <w:rPr>
        <w:rFonts w:ascii="Courier New" w:hAnsi="Courier New" w:hint="default"/>
      </w:rPr>
    </w:lvl>
    <w:lvl w:ilvl="2" w:tplc="96909688">
      <w:start w:val="1"/>
      <w:numFmt w:val="bullet"/>
      <w:lvlText w:val=""/>
      <w:lvlJc w:val="left"/>
      <w:pPr>
        <w:ind w:left="2160" w:hanging="360"/>
      </w:pPr>
      <w:rPr>
        <w:rFonts w:ascii="Wingdings" w:hAnsi="Wingdings" w:hint="default"/>
      </w:rPr>
    </w:lvl>
    <w:lvl w:ilvl="3" w:tplc="5FD4C80C">
      <w:start w:val="1"/>
      <w:numFmt w:val="bullet"/>
      <w:lvlText w:val=""/>
      <w:lvlJc w:val="left"/>
      <w:pPr>
        <w:ind w:left="2880" w:hanging="360"/>
      </w:pPr>
      <w:rPr>
        <w:rFonts w:ascii="Symbol" w:hAnsi="Symbol" w:hint="default"/>
      </w:rPr>
    </w:lvl>
    <w:lvl w:ilvl="4" w:tplc="18422292">
      <w:start w:val="1"/>
      <w:numFmt w:val="bullet"/>
      <w:lvlText w:val="o"/>
      <w:lvlJc w:val="left"/>
      <w:pPr>
        <w:ind w:left="3600" w:hanging="360"/>
      </w:pPr>
      <w:rPr>
        <w:rFonts w:ascii="Courier New" w:hAnsi="Courier New" w:hint="default"/>
      </w:rPr>
    </w:lvl>
    <w:lvl w:ilvl="5" w:tplc="874E3920">
      <w:start w:val="1"/>
      <w:numFmt w:val="bullet"/>
      <w:lvlText w:val=""/>
      <w:lvlJc w:val="left"/>
      <w:pPr>
        <w:ind w:left="4320" w:hanging="360"/>
      </w:pPr>
      <w:rPr>
        <w:rFonts w:ascii="Wingdings" w:hAnsi="Wingdings" w:hint="default"/>
      </w:rPr>
    </w:lvl>
    <w:lvl w:ilvl="6" w:tplc="EE7464A2">
      <w:start w:val="1"/>
      <w:numFmt w:val="bullet"/>
      <w:lvlText w:val=""/>
      <w:lvlJc w:val="left"/>
      <w:pPr>
        <w:ind w:left="5040" w:hanging="360"/>
      </w:pPr>
      <w:rPr>
        <w:rFonts w:ascii="Symbol" w:hAnsi="Symbol" w:hint="default"/>
      </w:rPr>
    </w:lvl>
    <w:lvl w:ilvl="7" w:tplc="325EA578">
      <w:start w:val="1"/>
      <w:numFmt w:val="bullet"/>
      <w:lvlText w:val="o"/>
      <w:lvlJc w:val="left"/>
      <w:pPr>
        <w:ind w:left="5760" w:hanging="360"/>
      </w:pPr>
      <w:rPr>
        <w:rFonts w:ascii="Courier New" w:hAnsi="Courier New" w:hint="default"/>
      </w:rPr>
    </w:lvl>
    <w:lvl w:ilvl="8" w:tplc="650E2CA2">
      <w:start w:val="1"/>
      <w:numFmt w:val="bullet"/>
      <w:lvlText w:val=""/>
      <w:lvlJc w:val="left"/>
      <w:pPr>
        <w:ind w:left="6480" w:hanging="360"/>
      </w:pPr>
      <w:rPr>
        <w:rFonts w:ascii="Wingdings" w:hAnsi="Wingdings" w:hint="default"/>
      </w:rPr>
    </w:lvl>
  </w:abstractNum>
  <w:abstractNum w:abstractNumId="1" w15:restartNumberingAfterBreak="0">
    <w:nsid w:val="0342FABA"/>
    <w:multiLevelType w:val="hybridMultilevel"/>
    <w:tmpl w:val="21F2AC18"/>
    <w:lvl w:ilvl="0" w:tplc="A2D8A5D8">
      <w:start w:val="3"/>
      <w:numFmt w:val="decimal"/>
      <w:lvlText w:val="%1."/>
      <w:lvlJc w:val="left"/>
      <w:pPr>
        <w:ind w:left="720" w:hanging="360"/>
      </w:pPr>
    </w:lvl>
    <w:lvl w:ilvl="1" w:tplc="BBAAFD24">
      <w:start w:val="1"/>
      <w:numFmt w:val="lowerLetter"/>
      <w:lvlText w:val="%2."/>
      <w:lvlJc w:val="left"/>
      <w:pPr>
        <w:ind w:left="1440" w:hanging="360"/>
      </w:pPr>
    </w:lvl>
    <w:lvl w:ilvl="2" w:tplc="FD067EB6">
      <w:start w:val="1"/>
      <w:numFmt w:val="lowerRoman"/>
      <w:lvlText w:val="%3."/>
      <w:lvlJc w:val="right"/>
      <w:pPr>
        <w:ind w:left="2160" w:hanging="180"/>
      </w:pPr>
    </w:lvl>
    <w:lvl w:ilvl="3" w:tplc="807443D0">
      <w:start w:val="1"/>
      <w:numFmt w:val="decimal"/>
      <w:lvlText w:val="%4."/>
      <w:lvlJc w:val="left"/>
      <w:pPr>
        <w:ind w:left="2880" w:hanging="360"/>
      </w:pPr>
    </w:lvl>
    <w:lvl w:ilvl="4" w:tplc="D3D08F00">
      <w:start w:val="1"/>
      <w:numFmt w:val="lowerLetter"/>
      <w:lvlText w:val="%5."/>
      <w:lvlJc w:val="left"/>
      <w:pPr>
        <w:ind w:left="3600" w:hanging="360"/>
      </w:pPr>
    </w:lvl>
    <w:lvl w:ilvl="5" w:tplc="9CB8B9CA">
      <w:start w:val="1"/>
      <w:numFmt w:val="lowerRoman"/>
      <w:lvlText w:val="%6."/>
      <w:lvlJc w:val="right"/>
      <w:pPr>
        <w:ind w:left="4320" w:hanging="180"/>
      </w:pPr>
    </w:lvl>
    <w:lvl w:ilvl="6" w:tplc="281E692E">
      <w:start w:val="1"/>
      <w:numFmt w:val="decimal"/>
      <w:lvlText w:val="%7."/>
      <w:lvlJc w:val="left"/>
      <w:pPr>
        <w:ind w:left="5040" w:hanging="360"/>
      </w:pPr>
    </w:lvl>
    <w:lvl w:ilvl="7" w:tplc="75B88524">
      <w:start w:val="1"/>
      <w:numFmt w:val="lowerLetter"/>
      <w:lvlText w:val="%8."/>
      <w:lvlJc w:val="left"/>
      <w:pPr>
        <w:ind w:left="5760" w:hanging="360"/>
      </w:pPr>
    </w:lvl>
    <w:lvl w:ilvl="8" w:tplc="3242810E">
      <w:start w:val="1"/>
      <w:numFmt w:val="lowerRoman"/>
      <w:lvlText w:val="%9."/>
      <w:lvlJc w:val="right"/>
      <w:pPr>
        <w:ind w:left="6480" w:hanging="180"/>
      </w:pPr>
    </w:lvl>
  </w:abstractNum>
  <w:abstractNum w:abstractNumId="2" w15:restartNumberingAfterBreak="0">
    <w:nsid w:val="037B3660"/>
    <w:multiLevelType w:val="hybridMultilevel"/>
    <w:tmpl w:val="C6B0E7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54F45"/>
    <w:multiLevelType w:val="hybridMultilevel"/>
    <w:tmpl w:val="2632C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AB363B"/>
    <w:multiLevelType w:val="hybridMultilevel"/>
    <w:tmpl w:val="9B66443C"/>
    <w:lvl w:ilvl="0" w:tplc="FFFFFFFF">
      <w:start w:val="3"/>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8B59B2"/>
    <w:multiLevelType w:val="hybridMultilevel"/>
    <w:tmpl w:val="754A2A5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2A3F975F"/>
    <w:multiLevelType w:val="hybridMultilevel"/>
    <w:tmpl w:val="0AE69676"/>
    <w:lvl w:ilvl="0" w:tplc="A076710E">
      <w:start w:val="3"/>
      <w:numFmt w:val="decimal"/>
      <w:lvlText w:val="%1."/>
      <w:lvlJc w:val="left"/>
      <w:pPr>
        <w:ind w:left="720" w:hanging="360"/>
      </w:pPr>
    </w:lvl>
    <w:lvl w:ilvl="1" w:tplc="9F180B9C">
      <w:start w:val="1"/>
      <w:numFmt w:val="lowerLetter"/>
      <w:lvlText w:val="%2."/>
      <w:lvlJc w:val="left"/>
      <w:pPr>
        <w:ind w:left="1440" w:hanging="360"/>
      </w:pPr>
    </w:lvl>
    <w:lvl w:ilvl="2" w:tplc="A50E94CE">
      <w:start w:val="1"/>
      <w:numFmt w:val="lowerRoman"/>
      <w:lvlText w:val="%3."/>
      <w:lvlJc w:val="right"/>
      <w:pPr>
        <w:ind w:left="2160" w:hanging="180"/>
      </w:pPr>
    </w:lvl>
    <w:lvl w:ilvl="3" w:tplc="321E038C">
      <w:start w:val="1"/>
      <w:numFmt w:val="decimal"/>
      <w:lvlText w:val="%4."/>
      <w:lvlJc w:val="left"/>
      <w:pPr>
        <w:ind w:left="2880" w:hanging="360"/>
      </w:pPr>
    </w:lvl>
    <w:lvl w:ilvl="4" w:tplc="85A6ABFC">
      <w:start w:val="1"/>
      <w:numFmt w:val="lowerLetter"/>
      <w:lvlText w:val="%5."/>
      <w:lvlJc w:val="left"/>
      <w:pPr>
        <w:ind w:left="3600" w:hanging="360"/>
      </w:pPr>
    </w:lvl>
    <w:lvl w:ilvl="5" w:tplc="943E7EF6">
      <w:start w:val="1"/>
      <w:numFmt w:val="lowerRoman"/>
      <w:lvlText w:val="%6."/>
      <w:lvlJc w:val="right"/>
      <w:pPr>
        <w:ind w:left="4320" w:hanging="180"/>
      </w:pPr>
    </w:lvl>
    <w:lvl w:ilvl="6" w:tplc="4724972C">
      <w:start w:val="1"/>
      <w:numFmt w:val="decimal"/>
      <w:lvlText w:val="%7."/>
      <w:lvlJc w:val="left"/>
      <w:pPr>
        <w:ind w:left="5040" w:hanging="360"/>
      </w:pPr>
    </w:lvl>
    <w:lvl w:ilvl="7" w:tplc="FE800890">
      <w:start w:val="1"/>
      <w:numFmt w:val="lowerLetter"/>
      <w:lvlText w:val="%8."/>
      <w:lvlJc w:val="left"/>
      <w:pPr>
        <w:ind w:left="5760" w:hanging="360"/>
      </w:pPr>
    </w:lvl>
    <w:lvl w:ilvl="8" w:tplc="B79427D8">
      <w:start w:val="1"/>
      <w:numFmt w:val="lowerRoman"/>
      <w:lvlText w:val="%9."/>
      <w:lvlJc w:val="right"/>
      <w:pPr>
        <w:ind w:left="6480" w:hanging="180"/>
      </w:pPr>
    </w:lvl>
  </w:abstractNum>
  <w:abstractNum w:abstractNumId="7" w15:restartNumberingAfterBreak="0">
    <w:nsid w:val="3361030F"/>
    <w:multiLevelType w:val="hybridMultilevel"/>
    <w:tmpl w:val="94A650EE"/>
    <w:lvl w:ilvl="0" w:tplc="1B281CEE">
      <w:start w:val="1"/>
      <w:numFmt w:val="bullet"/>
      <w:lvlText w:val="·"/>
      <w:lvlJc w:val="left"/>
      <w:pPr>
        <w:ind w:left="720" w:hanging="360"/>
      </w:pPr>
      <w:rPr>
        <w:rFonts w:ascii="Symbol" w:hAnsi="Symbol" w:hint="default"/>
      </w:rPr>
    </w:lvl>
    <w:lvl w:ilvl="1" w:tplc="22FC93C0">
      <w:start w:val="1"/>
      <w:numFmt w:val="bullet"/>
      <w:lvlText w:val="o"/>
      <w:lvlJc w:val="left"/>
      <w:pPr>
        <w:ind w:left="1440" w:hanging="360"/>
      </w:pPr>
      <w:rPr>
        <w:rFonts w:ascii="Courier New" w:hAnsi="Courier New" w:hint="default"/>
      </w:rPr>
    </w:lvl>
    <w:lvl w:ilvl="2" w:tplc="97BA3452">
      <w:start w:val="1"/>
      <w:numFmt w:val="bullet"/>
      <w:lvlText w:val=""/>
      <w:lvlJc w:val="left"/>
      <w:pPr>
        <w:ind w:left="2160" w:hanging="360"/>
      </w:pPr>
      <w:rPr>
        <w:rFonts w:ascii="Wingdings" w:hAnsi="Wingdings" w:hint="default"/>
      </w:rPr>
    </w:lvl>
    <w:lvl w:ilvl="3" w:tplc="84DA46AC">
      <w:start w:val="1"/>
      <w:numFmt w:val="bullet"/>
      <w:lvlText w:val=""/>
      <w:lvlJc w:val="left"/>
      <w:pPr>
        <w:ind w:left="2880" w:hanging="360"/>
      </w:pPr>
      <w:rPr>
        <w:rFonts w:ascii="Symbol" w:hAnsi="Symbol" w:hint="default"/>
      </w:rPr>
    </w:lvl>
    <w:lvl w:ilvl="4" w:tplc="A14A3C26">
      <w:start w:val="1"/>
      <w:numFmt w:val="bullet"/>
      <w:lvlText w:val="o"/>
      <w:lvlJc w:val="left"/>
      <w:pPr>
        <w:ind w:left="3600" w:hanging="360"/>
      </w:pPr>
      <w:rPr>
        <w:rFonts w:ascii="Courier New" w:hAnsi="Courier New" w:hint="default"/>
      </w:rPr>
    </w:lvl>
    <w:lvl w:ilvl="5" w:tplc="00A8831A">
      <w:start w:val="1"/>
      <w:numFmt w:val="bullet"/>
      <w:lvlText w:val=""/>
      <w:lvlJc w:val="left"/>
      <w:pPr>
        <w:ind w:left="4320" w:hanging="360"/>
      </w:pPr>
      <w:rPr>
        <w:rFonts w:ascii="Wingdings" w:hAnsi="Wingdings" w:hint="default"/>
      </w:rPr>
    </w:lvl>
    <w:lvl w:ilvl="6" w:tplc="F3082DC6">
      <w:start w:val="1"/>
      <w:numFmt w:val="bullet"/>
      <w:lvlText w:val=""/>
      <w:lvlJc w:val="left"/>
      <w:pPr>
        <w:ind w:left="5040" w:hanging="360"/>
      </w:pPr>
      <w:rPr>
        <w:rFonts w:ascii="Symbol" w:hAnsi="Symbol" w:hint="default"/>
      </w:rPr>
    </w:lvl>
    <w:lvl w:ilvl="7" w:tplc="55D8BD7A">
      <w:start w:val="1"/>
      <w:numFmt w:val="bullet"/>
      <w:lvlText w:val="o"/>
      <w:lvlJc w:val="left"/>
      <w:pPr>
        <w:ind w:left="5760" w:hanging="360"/>
      </w:pPr>
      <w:rPr>
        <w:rFonts w:ascii="Courier New" w:hAnsi="Courier New" w:hint="default"/>
      </w:rPr>
    </w:lvl>
    <w:lvl w:ilvl="8" w:tplc="6AE0A26C">
      <w:start w:val="1"/>
      <w:numFmt w:val="bullet"/>
      <w:lvlText w:val=""/>
      <w:lvlJc w:val="left"/>
      <w:pPr>
        <w:ind w:left="6480" w:hanging="360"/>
      </w:pPr>
      <w:rPr>
        <w:rFonts w:ascii="Wingdings" w:hAnsi="Wingdings" w:hint="default"/>
      </w:rPr>
    </w:lvl>
  </w:abstractNum>
  <w:abstractNum w:abstractNumId="8" w15:restartNumberingAfterBreak="0">
    <w:nsid w:val="42207EF8"/>
    <w:multiLevelType w:val="hybridMultilevel"/>
    <w:tmpl w:val="38CA1D38"/>
    <w:lvl w:ilvl="0" w:tplc="812884AA">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42F0BA97"/>
    <w:multiLevelType w:val="hybridMultilevel"/>
    <w:tmpl w:val="EDFA2E88"/>
    <w:lvl w:ilvl="0" w:tplc="82FED36E">
      <w:start w:val="1"/>
      <w:numFmt w:val="bullet"/>
      <w:lvlText w:val="·"/>
      <w:lvlJc w:val="left"/>
      <w:pPr>
        <w:ind w:left="720" w:hanging="360"/>
      </w:pPr>
      <w:rPr>
        <w:rFonts w:ascii="Symbol" w:hAnsi="Symbol" w:hint="default"/>
      </w:rPr>
    </w:lvl>
    <w:lvl w:ilvl="1" w:tplc="98C6669E">
      <w:start w:val="1"/>
      <w:numFmt w:val="bullet"/>
      <w:lvlText w:val="o"/>
      <w:lvlJc w:val="left"/>
      <w:pPr>
        <w:ind w:left="1440" w:hanging="360"/>
      </w:pPr>
      <w:rPr>
        <w:rFonts w:ascii="Courier New" w:hAnsi="Courier New" w:hint="default"/>
      </w:rPr>
    </w:lvl>
    <w:lvl w:ilvl="2" w:tplc="5CC2F912">
      <w:start w:val="1"/>
      <w:numFmt w:val="bullet"/>
      <w:lvlText w:val=""/>
      <w:lvlJc w:val="left"/>
      <w:pPr>
        <w:ind w:left="2160" w:hanging="360"/>
      </w:pPr>
      <w:rPr>
        <w:rFonts w:ascii="Wingdings" w:hAnsi="Wingdings" w:hint="default"/>
      </w:rPr>
    </w:lvl>
    <w:lvl w:ilvl="3" w:tplc="DADCC91E">
      <w:start w:val="1"/>
      <w:numFmt w:val="bullet"/>
      <w:lvlText w:val=""/>
      <w:lvlJc w:val="left"/>
      <w:pPr>
        <w:ind w:left="2880" w:hanging="360"/>
      </w:pPr>
      <w:rPr>
        <w:rFonts w:ascii="Symbol" w:hAnsi="Symbol" w:hint="default"/>
      </w:rPr>
    </w:lvl>
    <w:lvl w:ilvl="4" w:tplc="2CC4D998">
      <w:start w:val="1"/>
      <w:numFmt w:val="bullet"/>
      <w:lvlText w:val="o"/>
      <w:lvlJc w:val="left"/>
      <w:pPr>
        <w:ind w:left="3600" w:hanging="360"/>
      </w:pPr>
      <w:rPr>
        <w:rFonts w:ascii="Courier New" w:hAnsi="Courier New" w:hint="default"/>
      </w:rPr>
    </w:lvl>
    <w:lvl w:ilvl="5" w:tplc="4E403B8A">
      <w:start w:val="1"/>
      <w:numFmt w:val="bullet"/>
      <w:lvlText w:val=""/>
      <w:lvlJc w:val="left"/>
      <w:pPr>
        <w:ind w:left="4320" w:hanging="360"/>
      </w:pPr>
      <w:rPr>
        <w:rFonts w:ascii="Wingdings" w:hAnsi="Wingdings" w:hint="default"/>
      </w:rPr>
    </w:lvl>
    <w:lvl w:ilvl="6" w:tplc="94D8B50A">
      <w:start w:val="1"/>
      <w:numFmt w:val="bullet"/>
      <w:lvlText w:val=""/>
      <w:lvlJc w:val="left"/>
      <w:pPr>
        <w:ind w:left="5040" w:hanging="360"/>
      </w:pPr>
      <w:rPr>
        <w:rFonts w:ascii="Symbol" w:hAnsi="Symbol" w:hint="default"/>
      </w:rPr>
    </w:lvl>
    <w:lvl w:ilvl="7" w:tplc="C35E96F6">
      <w:start w:val="1"/>
      <w:numFmt w:val="bullet"/>
      <w:lvlText w:val="o"/>
      <w:lvlJc w:val="left"/>
      <w:pPr>
        <w:ind w:left="5760" w:hanging="360"/>
      </w:pPr>
      <w:rPr>
        <w:rFonts w:ascii="Courier New" w:hAnsi="Courier New" w:hint="default"/>
      </w:rPr>
    </w:lvl>
    <w:lvl w:ilvl="8" w:tplc="D26C309A">
      <w:start w:val="1"/>
      <w:numFmt w:val="bullet"/>
      <w:lvlText w:val=""/>
      <w:lvlJc w:val="left"/>
      <w:pPr>
        <w:ind w:left="6480" w:hanging="360"/>
      </w:pPr>
      <w:rPr>
        <w:rFonts w:ascii="Wingdings" w:hAnsi="Wingdings" w:hint="default"/>
      </w:rPr>
    </w:lvl>
  </w:abstractNum>
  <w:abstractNum w:abstractNumId="10" w15:restartNumberingAfterBreak="0">
    <w:nsid w:val="449C570F"/>
    <w:multiLevelType w:val="hybridMultilevel"/>
    <w:tmpl w:val="463E1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74ED1AE"/>
    <w:multiLevelType w:val="hybridMultilevel"/>
    <w:tmpl w:val="316448A0"/>
    <w:lvl w:ilvl="0" w:tplc="7D06E9C4">
      <w:start w:val="1"/>
      <w:numFmt w:val="bullet"/>
      <w:lvlText w:val="·"/>
      <w:lvlJc w:val="left"/>
      <w:pPr>
        <w:ind w:left="720" w:hanging="360"/>
      </w:pPr>
      <w:rPr>
        <w:rFonts w:ascii="Symbol" w:hAnsi="Symbol" w:hint="default"/>
      </w:rPr>
    </w:lvl>
    <w:lvl w:ilvl="1" w:tplc="A6CED97A">
      <w:start w:val="1"/>
      <w:numFmt w:val="bullet"/>
      <w:lvlText w:val="o"/>
      <w:lvlJc w:val="left"/>
      <w:pPr>
        <w:ind w:left="1440" w:hanging="360"/>
      </w:pPr>
      <w:rPr>
        <w:rFonts w:ascii="Courier New" w:hAnsi="Courier New" w:hint="default"/>
      </w:rPr>
    </w:lvl>
    <w:lvl w:ilvl="2" w:tplc="CC22C066">
      <w:start w:val="1"/>
      <w:numFmt w:val="bullet"/>
      <w:lvlText w:val=""/>
      <w:lvlJc w:val="left"/>
      <w:pPr>
        <w:ind w:left="2160" w:hanging="360"/>
      </w:pPr>
      <w:rPr>
        <w:rFonts w:ascii="Wingdings" w:hAnsi="Wingdings" w:hint="default"/>
      </w:rPr>
    </w:lvl>
    <w:lvl w:ilvl="3" w:tplc="C1A0C08E">
      <w:start w:val="1"/>
      <w:numFmt w:val="bullet"/>
      <w:lvlText w:val=""/>
      <w:lvlJc w:val="left"/>
      <w:pPr>
        <w:ind w:left="2880" w:hanging="360"/>
      </w:pPr>
      <w:rPr>
        <w:rFonts w:ascii="Symbol" w:hAnsi="Symbol" w:hint="default"/>
      </w:rPr>
    </w:lvl>
    <w:lvl w:ilvl="4" w:tplc="8C10C150">
      <w:start w:val="1"/>
      <w:numFmt w:val="bullet"/>
      <w:lvlText w:val="o"/>
      <w:lvlJc w:val="left"/>
      <w:pPr>
        <w:ind w:left="3600" w:hanging="360"/>
      </w:pPr>
      <w:rPr>
        <w:rFonts w:ascii="Courier New" w:hAnsi="Courier New" w:hint="default"/>
      </w:rPr>
    </w:lvl>
    <w:lvl w:ilvl="5" w:tplc="CEDEA044">
      <w:start w:val="1"/>
      <w:numFmt w:val="bullet"/>
      <w:lvlText w:val=""/>
      <w:lvlJc w:val="left"/>
      <w:pPr>
        <w:ind w:left="4320" w:hanging="360"/>
      </w:pPr>
      <w:rPr>
        <w:rFonts w:ascii="Wingdings" w:hAnsi="Wingdings" w:hint="default"/>
      </w:rPr>
    </w:lvl>
    <w:lvl w:ilvl="6" w:tplc="E73C6CA0">
      <w:start w:val="1"/>
      <w:numFmt w:val="bullet"/>
      <w:lvlText w:val=""/>
      <w:lvlJc w:val="left"/>
      <w:pPr>
        <w:ind w:left="5040" w:hanging="360"/>
      </w:pPr>
      <w:rPr>
        <w:rFonts w:ascii="Symbol" w:hAnsi="Symbol" w:hint="default"/>
      </w:rPr>
    </w:lvl>
    <w:lvl w:ilvl="7" w:tplc="CE5AD3D8">
      <w:start w:val="1"/>
      <w:numFmt w:val="bullet"/>
      <w:lvlText w:val="o"/>
      <w:lvlJc w:val="left"/>
      <w:pPr>
        <w:ind w:left="5760" w:hanging="360"/>
      </w:pPr>
      <w:rPr>
        <w:rFonts w:ascii="Courier New" w:hAnsi="Courier New" w:hint="default"/>
      </w:rPr>
    </w:lvl>
    <w:lvl w:ilvl="8" w:tplc="A8C4E012">
      <w:start w:val="1"/>
      <w:numFmt w:val="bullet"/>
      <w:lvlText w:val=""/>
      <w:lvlJc w:val="left"/>
      <w:pPr>
        <w:ind w:left="6480" w:hanging="360"/>
      </w:pPr>
      <w:rPr>
        <w:rFonts w:ascii="Wingdings" w:hAnsi="Wingdings" w:hint="default"/>
      </w:rPr>
    </w:lvl>
  </w:abstractNum>
  <w:abstractNum w:abstractNumId="13" w15:restartNumberingAfterBreak="0">
    <w:nsid w:val="48122A18"/>
    <w:multiLevelType w:val="hybridMultilevel"/>
    <w:tmpl w:val="84B8187E"/>
    <w:lvl w:ilvl="0" w:tplc="224076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C76140"/>
    <w:multiLevelType w:val="hybridMultilevel"/>
    <w:tmpl w:val="98462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DE3690"/>
    <w:multiLevelType w:val="hybridMultilevel"/>
    <w:tmpl w:val="CF825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3E29C2"/>
    <w:multiLevelType w:val="hybridMultilevel"/>
    <w:tmpl w:val="63228A1A"/>
    <w:lvl w:ilvl="0" w:tplc="986E49C4">
      <w:start w:val="1"/>
      <w:numFmt w:val="bullet"/>
      <w:lvlText w:val="•"/>
      <w:lvlJc w:val="left"/>
      <w:pPr>
        <w:tabs>
          <w:tab w:val="num" w:pos="720"/>
        </w:tabs>
        <w:ind w:left="720" w:hanging="360"/>
      </w:pPr>
      <w:rPr>
        <w:rFonts w:ascii="Arial" w:hAnsi="Arial" w:hint="default"/>
      </w:rPr>
    </w:lvl>
    <w:lvl w:ilvl="1" w:tplc="46E8AEB8">
      <w:start w:val="1"/>
      <w:numFmt w:val="bullet"/>
      <w:lvlText w:val="•"/>
      <w:lvlJc w:val="left"/>
      <w:pPr>
        <w:tabs>
          <w:tab w:val="num" w:pos="1440"/>
        </w:tabs>
        <w:ind w:left="1440" w:hanging="360"/>
      </w:pPr>
      <w:rPr>
        <w:rFonts w:ascii="Arial" w:hAnsi="Arial" w:hint="default"/>
      </w:rPr>
    </w:lvl>
    <w:lvl w:ilvl="2" w:tplc="34841D46" w:tentative="1">
      <w:start w:val="1"/>
      <w:numFmt w:val="bullet"/>
      <w:lvlText w:val="•"/>
      <w:lvlJc w:val="left"/>
      <w:pPr>
        <w:tabs>
          <w:tab w:val="num" w:pos="2160"/>
        </w:tabs>
        <w:ind w:left="2160" w:hanging="360"/>
      </w:pPr>
      <w:rPr>
        <w:rFonts w:ascii="Arial" w:hAnsi="Arial" w:hint="default"/>
      </w:rPr>
    </w:lvl>
    <w:lvl w:ilvl="3" w:tplc="5028618A" w:tentative="1">
      <w:start w:val="1"/>
      <w:numFmt w:val="bullet"/>
      <w:lvlText w:val="•"/>
      <w:lvlJc w:val="left"/>
      <w:pPr>
        <w:tabs>
          <w:tab w:val="num" w:pos="2880"/>
        </w:tabs>
        <w:ind w:left="2880" w:hanging="360"/>
      </w:pPr>
      <w:rPr>
        <w:rFonts w:ascii="Arial" w:hAnsi="Arial" w:hint="default"/>
      </w:rPr>
    </w:lvl>
    <w:lvl w:ilvl="4" w:tplc="787A8700" w:tentative="1">
      <w:start w:val="1"/>
      <w:numFmt w:val="bullet"/>
      <w:lvlText w:val="•"/>
      <w:lvlJc w:val="left"/>
      <w:pPr>
        <w:tabs>
          <w:tab w:val="num" w:pos="3600"/>
        </w:tabs>
        <w:ind w:left="3600" w:hanging="360"/>
      </w:pPr>
      <w:rPr>
        <w:rFonts w:ascii="Arial" w:hAnsi="Arial" w:hint="default"/>
      </w:rPr>
    </w:lvl>
    <w:lvl w:ilvl="5" w:tplc="B55E65D8" w:tentative="1">
      <w:start w:val="1"/>
      <w:numFmt w:val="bullet"/>
      <w:lvlText w:val="•"/>
      <w:lvlJc w:val="left"/>
      <w:pPr>
        <w:tabs>
          <w:tab w:val="num" w:pos="4320"/>
        </w:tabs>
        <w:ind w:left="4320" w:hanging="360"/>
      </w:pPr>
      <w:rPr>
        <w:rFonts w:ascii="Arial" w:hAnsi="Arial" w:hint="default"/>
      </w:rPr>
    </w:lvl>
    <w:lvl w:ilvl="6" w:tplc="7DC44FC2" w:tentative="1">
      <w:start w:val="1"/>
      <w:numFmt w:val="bullet"/>
      <w:lvlText w:val="•"/>
      <w:lvlJc w:val="left"/>
      <w:pPr>
        <w:tabs>
          <w:tab w:val="num" w:pos="5040"/>
        </w:tabs>
        <w:ind w:left="5040" w:hanging="360"/>
      </w:pPr>
      <w:rPr>
        <w:rFonts w:ascii="Arial" w:hAnsi="Arial" w:hint="default"/>
      </w:rPr>
    </w:lvl>
    <w:lvl w:ilvl="7" w:tplc="3A9286A0" w:tentative="1">
      <w:start w:val="1"/>
      <w:numFmt w:val="bullet"/>
      <w:lvlText w:val="•"/>
      <w:lvlJc w:val="left"/>
      <w:pPr>
        <w:tabs>
          <w:tab w:val="num" w:pos="5760"/>
        </w:tabs>
        <w:ind w:left="5760" w:hanging="360"/>
      </w:pPr>
      <w:rPr>
        <w:rFonts w:ascii="Arial" w:hAnsi="Arial" w:hint="default"/>
      </w:rPr>
    </w:lvl>
    <w:lvl w:ilvl="8" w:tplc="12C092F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AAA63B5"/>
    <w:multiLevelType w:val="hybridMultilevel"/>
    <w:tmpl w:val="AB789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01705F"/>
    <w:multiLevelType w:val="hybridMultilevel"/>
    <w:tmpl w:val="737E3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17131B"/>
    <w:multiLevelType w:val="hybridMultilevel"/>
    <w:tmpl w:val="5EB4A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3B434D"/>
    <w:multiLevelType w:val="hybridMultilevel"/>
    <w:tmpl w:val="219A6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317D7C"/>
    <w:multiLevelType w:val="hybridMultilevel"/>
    <w:tmpl w:val="BFA84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952640"/>
    <w:multiLevelType w:val="hybridMultilevel"/>
    <w:tmpl w:val="6130C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4A1768"/>
    <w:multiLevelType w:val="hybridMultilevel"/>
    <w:tmpl w:val="A9B657B6"/>
    <w:lvl w:ilvl="0" w:tplc="4962C5DE">
      <w:start w:val="1"/>
      <w:numFmt w:val="bullet"/>
      <w:lvlText w:val=""/>
      <w:lvlJc w:val="left"/>
      <w:pPr>
        <w:ind w:left="720" w:hanging="360"/>
      </w:pPr>
      <w:rPr>
        <w:rFonts w:ascii="Symbol" w:hAnsi="Symbol" w:hint="default"/>
      </w:rPr>
    </w:lvl>
    <w:lvl w:ilvl="1" w:tplc="54549AB4">
      <w:start w:val="1"/>
      <w:numFmt w:val="bullet"/>
      <w:lvlText w:val="o"/>
      <w:lvlJc w:val="left"/>
      <w:pPr>
        <w:ind w:left="1440" w:hanging="360"/>
      </w:pPr>
      <w:rPr>
        <w:rFonts w:ascii="Courier New" w:hAnsi="Courier New" w:hint="default"/>
      </w:rPr>
    </w:lvl>
    <w:lvl w:ilvl="2" w:tplc="7D8617D0">
      <w:start w:val="1"/>
      <w:numFmt w:val="bullet"/>
      <w:lvlText w:val=""/>
      <w:lvlJc w:val="left"/>
      <w:pPr>
        <w:ind w:left="2160" w:hanging="360"/>
      </w:pPr>
      <w:rPr>
        <w:rFonts w:ascii="Wingdings" w:hAnsi="Wingdings" w:hint="default"/>
      </w:rPr>
    </w:lvl>
    <w:lvl w:ilvl="3" w:tplc="ED9615CA">
      <w:start w:val="1"/>
      <w:numFmt w:val="bullet"/>
      <w:lvlText w:val=""/>
      <w:lvlJc w:val="left"/>
      <w:pPr>
        <w:ind w:left="2880" w:hanging="360"/>
      </w:pPr>
      <w:rPr>
        <w:rFonts w:ascii="Symbol" w:hAnsi="Symbol" w:hint="default"/>
      </w:rPr>
    </w:lvl>
    <w:lvl w:ilvl="4" w:tplc="6698667C">
      <w:start w:val="1"/>
      <w:numFmt w:val="bullet"/>
      <w:lvlText w:val="o"/>
      <w:lvlJc w:val="left"/>
      <w:pPr>
        <w:ind w:left="3600" w:hanging="360"/>
      </w:pPr>
      <w:rPr>
        <w:rFonts w:ascii="Courier New" w:hAnsi="Courier New" w:hint="default"/>
      </w:rPr>
    </w:lvl>
    <w:lvl w:ilvl="5" w:tplc="144272B2">
      <w:start w:val="1"/>
      <w:numFmt w:val="bullet"/>
      <w:lvlText w:val=""/>
      <w:lvlJc w:val="left"/>
      <w:pPr>
        <w:ind w:left="4320" w:hanging="360"/>
      </w:pPr>
      <w:rPr>
        <w:rFonts w:ascii="Wingdings" w:hAnsi="Wingdings" w:hint="default"/>
      </w:rPr>
    </w:lvl>
    <w:lvl w:ilvl="6" w:tplc="9AE4B8DC">
      <w:start w:val="1"/>
      <w:numFmt w:val="bullet"/>
      <w:lvlText w:val=""/>
      <w:lvlJc w:val="left"/>
      <w:pPr>
        <w:ind w:left="5040" w:hanging="360"/>
      </w:pPr>
      <w:rPr>
        <w:rFonts w:ascii="Symbol" w:hAnsi="Symbol" w:hint="default"/>
      </w:rPr>
    </w:lvl>
    <w:lvl w:ilvl="7" w:tplc="488233F4">
      <w:start w:val="1"/>
      <w:numFmt w:val="bullet"/>
      <w:lvlText w:val="o"/>
      <w:lvlJc w:val="left"/>
      <w:pPr>
        <w:ind w:left="5760" w:hanging="360"/>
      </w:pPr>
      <w:rPr>
        <w:rFonts w:ascii="Courier New" w:hAnsi="Courier New" w:hint="default"/>
      </w:rPr>
    </w:lvl>
    <w:lvl w:ilvl="8" w:tplc="7C148664">
      <w:start w:val="1"/>
      <w:numFmt w:val="bullet"/>
      <w:lvlText w:val=""/>
      <w:lvlJc w:val="left"/>
      <w:pPr>
        <w:ind w:left="6480" w:hanging="360"/>
      </w:pPr>
      <w:rPr>
        <w:rFonts w:ascii="Wingdings" w:hAnsi="Wingdings" w:hint="default"/>
      </w:rPr>
    </w:lvl>
  </w:abstractNum>
  <w:abstractNum w:abstractNumId="24"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F00A92"/>
    <w:multiLevelType w:val="hybridMultilevel"/>
    <w:tmpl w:val="62000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3336D6"/>
    <w:multiLevelType w:val="hybridMultilevel"/>
    <w:tmpl w:val="F7C4A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1506601">
    <w:abstractNumId w:val="7"/>
  </w:num>
  <w:num w:numId="2" w16cid:durableId="1558667294">
    <w:abstractNumId w:val="12"/>
  </w:num>
  <w:num w:numId="3" w16cid:durableId="1549953551">
    <w:abstractNumId w:val="9"/>
  </w:num>
  <w:num w:numId="4" w16cid:durableId="1721247538">
    <w:abstractNumId w:val="6"/>
  </w:num>
  <w:num w:numId="5" w16cid:durableId="1692993886">
    <w:abstractNumId w:val="1"/>
  </w:num>
  <w:num w:numId="6" w16cid:durableId="1162814192">
    <w:abstractNumId w:val="23"/>
  </w:num>
  <w:num w:numId="7" w16cid:durableId="67962812">
    <w:abstractNumId w:val="0"/>
  </w:num>
  <w:num w:numId="8" w16cid:durableId="240876928">
    <w:abstractNumId w:val="2"/>
  </w:num>
  <w:num w:numId="9" w16cid:durableId="30689700">
    <w:abstractNumId w:val="14"/>
  </w:num>
  <w:num w:numId="10" w16cid:durableId="1122653924">
    <w:abstractNumId w:val="11"/>
  </w:num>
  <w:num w:numId="11" w16cid:durableId="1092430392">
    <w:abstractNumId w:val="15"/>
  </w:num>
  <w:num w:numId="12" w16cid:durableId="1050836735">
    <w:abstractNumId w:val="24"/>
  </w:num>
  <w:num w:numId="13" w16cid:durableId="439030298">
    <w:abstractNumId w:val="26"/>
  </w:num>
  <w:num w:numId="14" w16cid:durableId="292491186">
    <w:abstractNumId w:val="3"/>
  </w:num>
  <w:num w:numId="15" w16cid:durableId="285082469">
    <w:abstractNumId w:val="16"/>
  </w:num>
  <w:num w:numId="16" w16cid:durableId="137379490">
    <w:abstractNumId w:val="13"/>
  </w:num>
  <w:num w:numId="17" w16cid:durableId="1340543056">
    <w:abstractNumId w:val="22"/>
  </w:num>
  <w:num w:numId="18" w16cid:durableId="139537137">
    <w:abstractNumId w:val="20"/>
  </w:num>
  <w:num w:numId="19" w16cid:durableId="49230971">
    <w:abstractNumId w:val="4"/>
  </w:num>
  <w:num w:numId="20" w16cid:durableId="868951812">
    <w:abstractNumId w:val="21"/>
  </w:num>
  <w:num w:numId="21" w16cid:durableId="2142264539">
    <w:abstractNumId w:val="19"/>
  </w:num>
  <w:num w:numId="22" w16cid:durableId="1554123954">
    <w:abstractNumId w:val="5"/>
  </w:num>
  <w:num w:numId="23" w16cid:durableId="1957828265">
    <w:abstractNumId w:val="18"/>
  </w:num>
  <w:num w:numId="24" w16cid:durableId="762921676">
    <w:abstractNumId w:val="10"/>
  </w:num>
  <w:num w:numId="25" w16cid:durableId="2121365544">
    <w:abstractNumId w:val="25"/>
  </w:num>
  <w:num w:numId="26" w16cid:durableId="1400133454">
    <w:abstractNumId w:val="17"/>
  </w:num>
  <w:num w:numId="27" w16cid:durableId="20691800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lt;/Style&gt;&lt;LeftDelim&gt;{&lt;/LeftDelim&gt;&lt;RightDelim&gt;}&lt;/RightDelim&gt;&lt;FontName&gt;Franklin Gothic Medium&lt;/FontName&gt;&lt;FontSize&gt;16&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0apadz0q0zrpqedzt2v20fzx9aw0rtvsvx0&quot;&gt;Relevant references Cardiac services&lt;record-ids&gt;&lt;item&gt;8&lt;/item&gt;&lt;/record-ids&gt;&lt;/item&gt;&lt;/Libraries&gt;"/>
  </w:docVars>
  <w:rsids>
    <w:rsidRoot w:val="002D17CB"/>
    <w:rsid w:val="00000092"/>
    <w:rsid w:val="00001026"/>
    <w:rsid w:val="0000116D"/>
    <w:rsid w:val="00002FB0"/>
    <w:rsid w:val="00004610"/>
    <w:rsid w:val="00004982"/>
    <w:rsid w:val="00004DE2"/>
    <w:rsid w:val="000052AA"/>
    <w:rsid w:val="000052D3"/>
    <w:rsid w:val="000056C4"/>
    <w:rsid w:val="000058C8"/>
    <w:rsid w:val="000065D3"/>
    <w:rsid w:val="00007017"/>
    <w:rsid w:val="00011772"/>
    <w:rsid w:val="00011C0F"/>
    <w:rsid w:val="0001215D"/>
    <w:rsid w:val="00012484"/>
    <w:rsid w:val="00012D6F"/>
    <w:rsid w:val="00013087"/>
    <w:rsid w:val="000132D1"/>
    <w:rsid w:val="000135FF"/>
    <w:rsid w:val="00013681"/>
    <w:rsid w:val="000138C1"/>
    <w:rsid w:val="000146F4"/>
    <w:rsid w:val="00015434"/>
    <w:rsid w:val="00015583"/>
    <w:rsid w:val="000164B7"/>
    <w:rsid w:val="000168C3"/>
    <w:rsid w:val="00016D7F"/>
    <w:rsid w:val="00016D92"/>
    <w:rsid w:val="000207B0"/>
    <w:rsid w:val="000209E6"/>
    <w:rsid w:val="00021815"/>
    <w:rsid w:val="00021F9B"/>
    <w:rsid w:val="00022909"/>
    <w:rsid w:val="00024143"/>
    <w:rsid w:val="0002541E"/>
    <w:rsid w:val="00025A94"/>
    <w:rsid w:val="0002629F"/>
    <w:rsid w:val="000266CE"/>
    <w:rsid w:val="00026A51"/>
    <w:rsid w:val="00026D24"/>
    <w:rsid w:val="000270B3"/>
    <w:rsid w:val="000272BD"/>
    <w:rsid w:val="00027382"/>
    <w:rsid w:val="00030B4A"/>
    <w:rsid w:val="000316C2"/>
    <w:rsid w:val="000318FB"/>
    <w:rsid w:val="00031D55"/>
    <w:rsid w:val="00031DAE"/>
    <w:rsid w:val="00032E24"/>
    <w:rsid w:val="00034117"/>
    <w:rsid w:val="000349E9"/>
    <w:rsid w:val="000357EF"/>
    <w:rsid w:val="00035CC2"/>
    <w:rsid w:val="00035E4F"/>
    <w:rsid w:val="00036027"/>
    <w:rsid w:val="00036119"/>
    <w:rsid w:val="0003669F"/>
    <w:rsid w:val="00040657"/>
    <w:rsid w:val="00040FEB"/>
    <w:rsid w:val="0004255E"/>
    <w:rsid w:val="000438EF"/>
    <w:rsid w:val="00043A7F"/>
    <w:rsid w:val="00044066"/>
    <w:rsid w:val="00044A4B"/>
    <w:rsid w:val="00045141"/>
    <w:rsid w:val="00045269"/>
    <w:rsid w:val="00045479"/>
    <w:rsid w:val="000462AD"/>
    <w:rsid w:val="00047640"/>
    <w:rsid w:val="000476C4"/>
    <w:rsid w:val="000476D9"/>
    <w:rsid w:val="000505A9"/>
    <w:rsid w:val="00050CD0"/>
    <w:rsid w:val="000515DF"/>
    <w:rsid w:val="00051883"/>
    <w:rsid w:val="00052287"/>
    <w:rsid w:val="000524D1"/>
    <w:rsid w:val="00052DF2"/>
    <w:rsid w:val="00052ED7"/>
    <w:rsid w:val="0005449C"/>
    <w:rsid w:val="000546C5"/>
    <w:rsid w:val="00055584"/>
    <w:rsid w:val="000563B2"/>
    <w:rsid w:val="000564D1"/>
    <w:rsid w:val="00056650"/>
    <w:rsid w:val="00057304"/>
    <w:rsid w:val="00057989"/>
    <w:rsid w:val="00057C74"/>
    <w:rsid w:val="00060BFE"/>
    <w:rsid w:val="000611CA"/>
    <w:rsid w:val="000616BD"/>
    <w:rsid w:val="0006175B"/>
    <w:rsid w:val="00062560"/>
    <w:rsid w:val="00062576"/>
    <w:rsid w:val="00062770"/>
    <w:rsid w:val="00062985"/>
    <w:rsid w:val="00063913"/>
    <w:rsid w:val="00063FD9"/>
    <w:rsid w:val="00065005"/>
    <w:rsid w:val="00065F94"/>
    <w:rsid w:val="0006621D"/>
    <w:rsid w:val="0006719D"/>
    <w:rsid w:val="00067D5A"/>
    <w:rsid w:val="0007083C"/>
    <w:rsid w:val="00070F66"/>
    <w:rsid w:val="00072AFB"/>
    <w:rsid w:val="00074A3F"/>
    <w:rsid w:val="00074F77"/>
    <w:rsid w:val="00076525"/>
    <w:rsid w:val="00076B4B"/>
    <w:rsid w:val="00076CAF"/>
    <w:rsid w:val="000779C8"/>
    <w:rsid w:val="00077A66"/>
    <w:rsid w:val="00077AD4"/>
    <w:rsid w:val="00077FD6"/>
    <w:rsid w:val="000803AE"/>
    <w:rsid w:val="00080499"/>
    <w:rsid w:val="00081C56"/>
    <w:rsid w:val="00081F95"/>
    <w:rsid w:val="0008293E"/>
    <w:rsid w:val="00082A65"/>
    <w:rsid w:val="000844FF"/>
    <w:rsid w:val="0008482C"/>
    <w:rsid w:val="00084B3E"/>
    <w:rsid w:val="00085594"/>
    <w:rsid w:val="0008787C"/>
    <w:rsid w:val="0009028F"/>
    <w:rsid w:val="00090428"/>
    <w:rsid w:val="000913AB"/>
    <w:rsid w:val="000924AE"/>
    <w:rsid w:val="000924D9"/>
    <w:rsid w:val="000940C8"/>
    <w:rsid w:val="000959B1"/>
    <w:rsid w:val="00096239"/>
    <w:rsid w:val="000963C7"/>
    <w:rsid w:val="00097120"/>
    <w:rsid w:val="000971A8"/>
    <w:rsid w:val="000975C2"/>
    <w:rsid w:val="00097D90"/>
    <w:rsid w:val="00097EF6"/>
    <w:rsid w:val="000A0A4F"/>
    <w:rsid w:val="000A10AF"/>
    <w:rsid w:val="000A18D7"/>
    <w:rsid w:val="000A1978"/>
    <w:rsid w:val="000A19B9"/>
    <w:rsid w:val="000A1D9B"/>
    <w:rsid w:val="000A1E61"/>
    <w:rsid w:val="000A2BAD"/>
    <w:rsid w:val="000A2C2E"/>
    <w:rsid w:val="000A2DFC"/>
    <w:rsid w:val="000A2EF1"/>
    <w:rsid w:val="000A3905"/>
    <w:rsid w:val="000A4227"/>
    <w:rsid w:val="000A44B5"/>
    <w:rsid w:val="000A5A65"/>
    <w:rsid w:val="000A6C80"/>
    <w:rsid w:val="000A722E"/>
    <w:rsid w:val="000A7FD7"/>
    <w:rsid w:val="000B076E"/>
    <w:rsid w:val="000B2009"/>
    <w:rsid w:val="000B241A"/>
    <w:rsid w:val="000B35B3"/>
    <w:rsid w:val="000B365B"/>
    <w:rsid w:val="000B3B5C"/>
    <w:rsid w:val="000B3C77"/>
    <w:rsid w:val="000B432A"/>
    <w:rsid w:val="000B460E"/>
    <w:rsid w:val="000B488E"/>
    <w:rsid w:val="000B4BEE"/>
    <w:rsid w:val="000C0CC6"/>
    <w:rsid w:val="000C1D9B"/>
    <w:rsid w:val="000C231E"/>
    <w:rsid w:val="000C2740"/>
    <w:rsid w:val="000C291E"/>
    <w:rsid w:val="000C376A"/>
    <w:rsid w:val="000C4A3F"/>
    <w:rsid w:val="000C5224"/>
    <w:rsid w:val="000C5C38"/>
    <w:rsid w:val="000C618E"/>
    <w:rsid w:val="000C6508"/>
    <w:rsid w:val="000C66B1"/>
    <w:rsid w:val="000C698B"/>
    <w:rsid w:val="000C6B0C"/>
    <w:rsid w:val="000C7651"/>
    <w:rsid w:val="000D0E13"/>
    <w:rsid w:val="000D0F58"/>
    <w:rsid w:val="000D15D1"/>
    <w:rsid w:val="000D19D4"/>
    <w:rsid w:val="000D1FBB"/>
    <w:rsid w:val="000D2A55"/>
    <w:rsid w:val="000D2BD1"/>
    <w:rsid w:val="000D3146"/>
    <w:rsid w:val="000D36C7"/>
    <w:rsid w:val="000D381C"/>
    <w:rsid w:val="000D39EA"/>
    <w:rsid w:val="000D427A"/>
    <w:rsid w:val="000D43E9"/>
    <w:rsid w:val="000D45DD"/>
    <w:rsid w:val="000D4D9E"/>
    <w:rsid w:val="000D5155"/>
    <w:rsid w:val="000D6098"/>
    <w:rsid w:val="000D734B"/>
    <w:rsid w:val="000D7EFE"/>
    <w:rsid w:val="000E0CC9"/>
    <w:rsid w:val="000E1204"/>
    <w:rsid w:val="000E17CB"/>
    <w:rsid w:val="000E2029"/>
    <w:rsid w:val="000E3111"/>
    <w:rsid w:val="000E3847"/>
    <w:rsid w:val="000E3CD7"/>
    <w:rsid w:val="000E560D"/>
    <w:rsid w:val="000E607A"/>
    <w:rsid w:val="000E65E2"/>
    <w:rsid w:val="000E69F6"/>
    <w:rsid w:val="000F0377"/>
    <w:rsid w:val="000F0B1F"/>
    <w:rsid w:val="000F1ADC"/>
    <w:rsid w:val="000F2873"/>
    <w:rsid w:val="000F442D"/>
    <w:rsid w:val="000F4D77"/>
    <w:rsid w:val="000F60A5"/>
    <w:rsid w:val="000F6407"/>
    <w:rsid w:val="000F738B"/>
    <w:rsid w:val="001001E4"/>
    <w:rsid w:val="001001EF"/>
    <w:rsid w:val="00100917"/>
    <w:rsid w:val="0010263F"/>
    <w:rsid w:val="00103419"/>
    <w:rsid w:val="001047BB"/>
    <w:rsid w:val="00105154"/>
    <w:rsid w:val="00105224"/>
    <w:rsid w:val="001058A4"/>
    <w:rsid w:val="00106239"/>
    <w:rsid w:val="00106F0E"/>
    <w:rsid w:val="001071F7"/>
    <w:rsid w:val="00107A54"/>
    <w:rsid w:val="001105BF"/>
    <w:rsid w:val="001107D0"/>
    <w:rsid w:val="001125C6"/>
    <w:rsid w:val="00114042"/>
    <w:rsid w:val="00114E90"/>
    <w:rsid w:val="001174C8"/>
    <w:rsid w:val="00117D21"/>
    <w:rsid w:val="001204C8"/>
    <w:rsid w:val="00120E0B"/>
    <w:rsid w:val="001214D2"/>
    <w:rsid w:val="0012190A"/>
    <w:rsid w:val="00121DDB"/>
    <w:rsid w:val="00121F00"/>
    <w:rsid w:val="00121F1A"/>
    <w:rsid w:val="00121FDE"/>
    <w:rsid w:val="00122282"/>
    <w:rsid w:val="00122ED8"/>
    <w:rsid w:val="00123CEF"/>
    <w:rsid w:val="00123E71"/>
    <w:rsid w:val="00124054"/>
    <w:rsid w:val="001255FD"/>
    <w:rsid w:val="0012607B"/>
    <w:rsid w:val="00130045"/>
    <w:rsid w:val="00130AF5"/>
    <w:rsid w:val="00131D56"/>
    <w:rsid w:val="00132963"/>
    <w:rsid w:val="00133331"/>
    <w:rsid w:val="001339CB"/>
    <w:rsid w:val="00134C66"/>
    <w:rsid w:val="00134D83"/>
    <w:rsid w:val="00135147"/>
    <w:rsid w:val="00135D3D"/>
    <w:rsid w:val="001369FC"/>
    <w:rsid w:val="00136F3D"/>
    <w:rsid w:val="0013733D"/>
    <w:rsid w:val="001378BD"/>
    <w:rsid w:val="00137BD3"/>
    <w:rsid w:val="001400B7"/>
    <w:rsid w:val="001406CA"/>
    <w:rsid w:val="00140DA0"/>
    <w:rsid w:val="00141242"/>
    <w:rsid w:val="00142A2A"/>
    <w:rsid w:val="00142F8F"/>
    <w:rsid w:val="00143233"/>
    <w:rsid w:val="00143294"/>
    <w:rsid w:val="001435AA"/>
    <w:rsid w:val="00143C8E"/>
    <w:rsid w:val="001454B1"/>
    <w:rsid w:val="00145FC9"/>
    <w:rsid w:val="001468A5"/>
    <w:rsid w:val="00147067"/>
    <w:rsid w:val="001474B5"/>
    <w:rsid w:val="0014EA5B"/>
    <w:rsid w:val="00150078"/>
    <w:rsid w:val="001505C3"/>
    <w:rsid w:val="001515F7"/>
    <w:rsid w:val="00151FB6"/>
    <w:rsid w:val="00152200"/>
    <w:rsid w:val="001525D8"/>
    <w:rsid w:val="00153DED"/>
    <w:rsid w:val="00156768"/>
    <w:rsid w:val="00156F74"/>
    <w:rsid w:val="001576B8"/>
    <w:rsid w:val="00157C42"/>
    <w:rsid w:val="00157D8A"/>
    <w:rsid w:val="00160BD4"/>
    <w:rsid w:val="00160E3F"/>
    <w:rsid w:val="00161AA3"/>
    <w:rsid w:val="00162856"/>
    <w:rsid w:val="00162BA7"/>
    <w:rsid w:val="00164129"/>
    <w:rsid w:val="00164606"/>
    <w:rsid w:val="0016478C"/>
    <w:rsid w:val="00165B0C"/>
    <w:rsid w:val="0016668E"/>
    <w:rsid w:val="00166AE6"/>
    <w:rsid w:val="00167219"/>
    <w:rsid w:val="00167638"/>
    <w:rsid w:val="0016A218"/>
    <w:rsid w:val="00170837"/>
    <w:rsid w:val="001708B0"/>
    <w:rsid w:val="001709AA"/>
    <w:rsid w:val="00170F50"/>
    <w:rsid w:val="00171DB3"/>
    <w:rsid w:val="001727BB"/>
    <w:rsid w:val="00173669"/>
    <w:rsid w:val="00174532"/>
    <w:rsid w:val="0017477F"/>
    <w:rsid w:val="00174A9D"/>
    <w:rsid w:val="001754EE"/>
    <w:rsid w:val="00175C67"/>
    <w:rsid w:val="00175F8B"/>
    <w:rsid w:val="00176481"/>
    <w:rsid w:val="00177546"/>
    <w:rsid w:val="00181AA3"/>
    <w:rsid w:val="00181C9A"/>
    <w:rsid w:val="00181D37"/>
    <w:rsid w:val="00181DEE"/>
    <w:rsid w:val="001828F4"/>
    <w:rsid w:val="001829AB"/>
    <w:rsid w:val="00182AE1"/>
    <w:rsid w:val="0018318C"/>
    <w:rsid w:val="00183589"/>
    <w:rsid w:val="00183FF2"/>
    <w:rsid w:val="00185424"/>
    <w:rsid w:val="001854DB"/>
    <w:rsid w:val="00185786"/>
    <w:rsid w:val="0018675A"/>
    <w:rsid w:val="00186864"/>
    <w:rsid w:val="00186A45"/>
    <w:rsid w:val="00186EF1"/>
    <w:rsid w:val="0018707E"/>
    <w:rsid w:val="001871D1"/>
    <w:rsid w:val="00187970"/>
    <w:rsid w:val="00190CF3"/>
    <w:rsid w:val="00190E66"/>
    <w:rsid w:val="00191315"/>
    <w:rsid w:val="0019169F"/>
    <w:rsid w:val="00191B7B"/>
    <w:rsid w:val="00191BC1"/>
    <w:rsid w:val="00192948"/>
    <w:rsid w:val="00192C36"/>
    <w:rsid w:val="00192FB6"/>
    <w:rsid w:val="001932E3"/>
    <w:rsid w:val="00193DFB"/>
    <w:rsid w:val="00193FE9"/>
    <w:rsid w:val="00194C38"/>
    <w:rsid w:val="0019600E"/>
    <w:rsid w:val="00197DE8"/>
    <w:rsid w:val="001A1C16"/>
    <w:rsid w:val="001A2989"/>
    <w:rsid w:val="001A3F66"/>
    <w:rsid w:val="001A4A36"/>
    <w:rsid w:val="001A508C"/>
    <w:rsid w:val="001A6493"/>
    <w:rsid w:val="001A6781"/>
    <w:rsid w:val="001A6EB3"/>
    <w:rsid w:val="001B07C5"/>
    <w:rsid w:val="001B11FA"/>
    <w:rsid w:val="001B31C5"/>
    <w:rsid w:val="001B40C9"/>
    <w:rsid w:val="001B49C1"/>
    <w:rsid w:val="001B4FD2"/>
    <w:rsid w:val="001B5425"/>
    <w:rsid w:val="001B577C"/>
    <w:rsid w:val="001C01D4"/>
    <w:rsid w:val="001C13B3"/>
    <w:rsid w:val="001C1A0F"/>
    <w:rsid w:val="001C37A7"/>
    <w:rsid w:val="001C4979"/>
    <w:rsid w:val="001C4E96"/>
    <w:rsid w:val="001C5600"/>
    <w:rsid w:val="001C58FF"/>
    <w:rsid w:val="001C5F54"/>
    <w:rsid w:val="001C65C0"/>
    <w:rsid w:val="001C7BAB"/>
    <w:rsid w:val="001C7BD5"/>
    <w:rsid w:val="001D1526"/>
    <w:rsid w:val="001D1A3A"/>
    <w:rsid w:val="001D2C42"/>
    <w:rsid w:val="001D4BB2"/>
    <w:rsid w:val="001D5DA2"/>
    <w:rsid w:val="001D6C93"/>
    <w:rsid w:val="001E02C1"/>
    <w:rsid w:val="001E03DD"/>
    <w:rsid w:val="001E0C92"/>
    <w:rsid w:val="001E15B8"/>
    <w:rsid w:val="001E232F"/>
    <w:rsid w:val="001E257A"/>
    <w:rsid w:val="001E274C"/>
    <w:rsid w:val="001E3164"/>
    <w:rsid w:val="001E3483"/>
    <w:rsid w:val="001E35C5"/>
    <w:rsid w:val="001E4208"/>
    <w:rsid w:val="001E4EEB"/>
    <w:rsid w:val="001E4F6B"/>
    <w:rsid w:val="001E55AE"/>
    <w:rsid w:val="001E576F"/>
    <w:rsid w:val="001E60E0"/>
    <w:rsid w:val="001E7DE0"/>
    <w:rsid w:val="001E7FEB"/>
    <w:rsid w:val="001F039C"/>
    <w:rsid w:val="001F0DAF"/>
    <w:rsid w:val="001F1628"/>
    <w:rsid w:val="001F27F7"/>
    <w:rsid w:val="001F3947"/>
    <w:rsid w:val="001F3957"/>
    <w:rsid w:val="001F415A"/>
    <w:rsid w:val="001F61F8"/>
    <w:rsid w:val="001F67F9"/>
    <w:rsid w:val="001F7419"/>
    <w:rsid w:val="001F78BF"/>
    <w:rsid w:val="001F7EDA"/>
    <w:rsid w:val="00200CA6"/>
    <w:rsid w:val="00201433"/>
    <w:rsid w:val="00201794"/>
    <w:rsid w:val="0020180C"/>
    <w:rsid w:val="002019FE"/>
    <w:rsid w:val="00201A97"/>
    <w:rsid w:val="00201F64"/>
    <w:rsid w:val="00202939"/>
    <w:rsid w:val="00202B3C"/>
    <w:rsid w:val="0020334B"/>
    <w:rsid w:val="00203B41"/>
    <w:rsid w:val="00204CB5"/>
    <w:rsid w:val="00205594"/>
    <w:rsid w:val="00206425"/>
    <w:rsid w:val="00206942"/>
    <w:rsid w:val="00206C12"/>
    <w:rsid w:val="00206CD7"/>
    <w:rsid w:val="0020712F"/>
    <w:rsid w:val="002073EF"/>
    <w:rsid w:val="002104A4"/>
    <w:rsid w:val="00211296"/>
    <w:rsid w:val="0021282F"/>
    <w:rsid w:val="002133AD"/>
    <w:rsid w:val="0021347C"/>
    <w:rsid w:val="00213985"/>
    <w:rsid w:val="00214679"/>
    <w:rsid w:val="00214922"/>
    <w:rsid w:val="00215565"/>
    <w:rsid w:val="00215BF5"/>
    <w:rsid w:val="00215F9B"/>
    <w:rsid w:val="00216E16"/>
    <w:rsid w:val="00217294"/>
    <w:rsid w:val="00217CE6"/>
    <w:rsid w:val="00220060"/>
    <w:rsid w:val="002206E9"/>
    <w:rsid w:val="00221869"/>
    <w:rsid w:val="00221A72"/>
    <w:rsid w:val="002237CA"/>
    <w:rsid w:val="0022395B"/>
    <w:rsid w:val="00223AC5"/>
    <w:rsid w:val="002254A8"/>
    <w:rsid w:val="0022577D"/>
    <w:rsid w:val="00225999"/>
    <w:rsid w:val="00225A1B"/>
    <w:rsid w:val="002268F3"/>
    <w:rsid w:val="0022693C"/>
    <w:rsid w:val="00230CF1"/>
    <w:rsid w:val="00231072"/>
    <w:rsid w:val="00232364"/>
    <w:rsid w:val="00232AE0"/>
    <w:rsid w:val="002334F8"/>
    <w:rsid w:val="0023588E"/>
    <w:rsid w:val="002362FD"/>
    <w:rsid w:val="00236648"/>
    <w:rsid w:val="002375F7"/>
    <w:rsid w:val="00237A01"/>
    <w:rsid w:val="00240196"/>
    <w:rsid w:val="00240468"/>
    <w:rsid w:val="00241103"/>
    <w:rsid w:val="00241CF8"/>
    <w:rsid w:val="00242164"/>
    <w:rsid w:val="002424D0"/>
    <w:rsid w:val="0024252C"/>
    <w:rsid w:val="00242BDD"/>
    <w:rsid w:val="0024370D"/>
    <w:rsid w:val="002440C1"/>
    <w:rsid w:val="00244FB6"/>
    <w:rsid w:val="00245715"/>
    <w:rsid w:val="00246EFB"/>
    <w:rsid w:val="00247277"/>
    <w:rsid w:val="00247A00"/>
    <w:rsid w:val="00247F5F"/>
    <w:rsid w:val="002507C2"/>
    <w:rsid w:val="00250893"/>
    <w:rsid w:val="002513DA"/>
    <w:rsid w:val="0025243D"/>
    <w:rsid w:val="00252B47"/>
    <w:rsid w:val="00253BA2"/>
    <w:rsid w:val="00253F13"/>
    <w:rsid w:val="0025632A"/>
    <w:rsid w:val="002577A9"/>
    <w:rsid w:val="00260318"/>
    <w:rsid w:val="002611DB"/>
    <w:rsid w:val="0026161A"/>
    <w:rsid w:val="002623FC"/>
    <w:rsid w:val="00263D9B"/>
    <w:rsid w:val="002646D6"/>
    <w:rsid w:val="00264A78"/>
    <w:rsid w:val="00265BEC"/>
    <w:rsid w:val="00265CDD"/>
    <w:rsid w:val="00266F0B"/>
    <w:rsid w:val="0026758B"/>
    <w:rsid w:val="0026793C"/>
    <w:rsid w:val="00267EC3"/>
    <w:rsid w:val="002700CA"/>
    <w:rsid w:val="002711C4"/>
    <w:rsid w:val="00271228"/>
    <w:rsid w:val="0027168C"/>
    <w:rsid w:val="002722F9"/>
    <w:rsid w:val="00272E22"/>
    <w:rsid w:val="00273427"/>
    <w:rsid w:val="00273964"/>
    <w:rsid w:val="00273994"/>
    <w:rsid w:val="002739CD"/>
    <w:rsid w:val="00273C6C"/>
    <w:rsid w:val="00275433"/>
    <w:rsid w:val="0027543A"/>
    <w:rsid w:val="002757B9"/>
    <w:rsid w:val="002758D8"/>
    <w:rsid w:val="002768CF"/>
    <w:rsid w:val="00277027"/>
    <w:rsid w:val="0028057A"/>
    <w:rsid w:val="0028154C"/>
    <w:rsid w:val="00281573"/>
    <w:rsid w:val="002816F5"/>
    <w:rsid w:val="0028183B"/>
    <w:rsid w:val="00281956"/>
    <w:rsid w:val="00281FDC"/>
    <w:rsid w:val="0028311F"/>
    <w:rsid w:val="00286996"/>
    <w:rsid w:val="00286A5D"/>
    <w:rsid w:val="00286FFC"/>
    <w:rsid w:val="002870CF"/>
    <w:rsid w:val="00287CFF"/>
    <w:rsid w:val="00290ACE"/>
    <w:rsid w:val="00290D8E"/>
    <w:rsid w:val="00290E32"/>
    <w:rsid w:val="00291D34"/>
    <w:rsid w:val="0029288A"/>
    <w:rsid w:val="0029473C"/>
    <w:rsid w:val="002948D4"/>
    <w:rsid w:val="00294DA0"/>
    <w:rsid w:val="00295330"/>
    <w:rsid w:val="0029722E"/>
    <w:rsid w:val="0029725F"/>
    <w:rsid w:val="002972E8"/>
    <w:rsid w:val="00297CF4"/>
    <w:rsid w:val="002A015B"/>
    <w:rsid w:val="002A0C22"/>
    <w:rsid w:val="002A1839"/>
    <w:rsid w:val="002A189F"/>
    <w:rsid w:val="002A1B96"/>
    <w:rsid w:val="002A20C0"/>
    <w:rsid w:val="002A2298"/>
    <w:rsid w:val="002A326A"/>
    <w:rsid w:val="002A390A"/>
    <w:rsid w:val="002A3F9F"/>
    <w:rsid w:val="002A489A"/>
    <w:rsid w:val="002A64A5"/>
    <w:rsid w:val="002A66ED"/>
    <w:rsid w:val="002A7DAC"/>
    <w:rsid w:val="002B001F"/>
    <w:rsid w:val="002B03A6"/>
    <w:rsid w:val="002B040A"/>
    <w:rsid w:val="002B1B93"/>
    <w:rsid w:val="002B1BC5"/>
    <w:rsid w:val="002B23D7"/>
    <w:rsid w:val="002B2C0B"/>
    <w:rsid w:val="002B2FEA"/>
    <w:rsid w:val="002B338A"/>
    <w:rsid w:val="002B3C68"/>
    <w:rsid w:val="002B4A1D"/>
    <w:rsid w:val="002B5A33"/>
    <w:rsid w:val="002B5F38"/>
    <w:rsid w:val="002B781D"/>
    <w:rsid w:val="002B7D5E"/>
    <w:rsid w:val="002C1510"/>
    <w:rsid w:val="002C174D"/>
    <w:rsid w:val="002C37DD"/>
    <w:rsid w:val="002C428F"/>
    <w:rsid w:val="002C4D29"/>
    <w:rsid w:val="002C5096"/>
    <w:rsid w:val="002C5DD1"/>
    <w:rsid w:val="002C5F10"/>
    <w:rsid w:val="002C6216"/>
    <w:rsid w:val="002C71AA"/>
    <w:rsid w:val="002C7570"/>
    <w:rsid w:val="002C7A27"/>
    <w:rsid w:val="002C7D5E"/>
    <w:rsid w:val="002D04E8"/>
    <w:rsid w:val="002D09A6"/>
    <w:rsid w:val="002D0F73"/>
    <w:rsid w:val="002D158F"/>
    <w:rsid w:val="002D17CB"/>
    <w:rsid w:val="002D27A0"/>
    <w:rsid w:val="002D27E4"/>
    <w:rsid w:val="002D2964"/>
    <w:rsid w:val="002D2E19"/>
    <w:rsid w:val="002D37B2"/>
    <w:rsid w:val="002D391E"/>
    <w:rsid w:val="002D425A"/>
    <w:rsid w:val="002D46D3"/>
    <w:rsid w:val="002D4E08"/>
    <w:rsid w:val="002D5A76"/>
    <w:rsid w:val="002D6860"/>
    <w:rsid w:val="002D6997"/>
    <w:rsid w:val="002D7331"/>
    <w:rsid w:val="002E0538"/>
    <w:rsid w:val="002E1044"/>
    <w:rsid w:val="002E113C"/>
    <w:rsid w:val="002E1214"/>
    <w:rsid w:val="002E18C2"/>
    <w:rsid w:val="002E2BDB"/>
    <w:rsid w:val="002E31FE"/>
    <w:rsid w:val="002E42D1"/>
    <w:rsid w:val="002E4574"/>
    <w:rsid w:val="002E4DCA"/>
    <w:rsid w:val="002E5825"/>
    <w:rsid w:val="002E6F2B"/>
    <w:rsid w:val="002E6FF3"/>
    <w:rsid w:val="002E717D"/>
    <w:rsid w:val="002E7400"/>
    <w:rsid w:val="002E76F7"/>
    <w:rsid w:val="002E7731"/>
    <w:rsid w:val="002E7D44"/>
    <w:rsid w:val="002F11BD"/>
    <w:rsid w:val="002F12CC"/>
    <w:rsid w:val="002F1471"/>
    <w:rsid w:val="002F1AE3"/>
    <w:rsid w:val="002F2331"/>
    <w:rsid w:val="002F25B6"/>
    <w:rsid w:val="002F2F48"/>
    <w:rsid w:val="002F3489"/>
    <w:rsid w:val="002F3D74"/>
    <w:rsid w:val="002F422B"/>
    <w:rsid w:val="002F6897"/>
    <w:rsid w:val="002F6AC0"/>
    <w:rsid w:val="002F70F8"/>
    <w:rsid w:val="002F71E5"/>
    <w:rsid w:val="002F7554"/>
    <w:rsid w:val="002F7724"/>
    <w:rsid w:val="002F7F46"/>
    <w:rsid w:val="0030208A"/>
    <w:rsid w:val="00302333"/>
    <w:rsid w:val="00302E98"/>
    <w:rsid w:val="00304C70"/>
    <w:rsid w:val="00304D5C"/>
    <w:rsid w:val="00305783"/>
    <w:rsid w:val="00306C12"/>
    <w:rsid w:val="00307205"/>
    <w:rsid w:val="00311959"/>
    <w:rsid w:val="00311A39"/>
    <w:rsid w:val="00311E10"/>
    <w:rsid w:val="003124F2"/>
    <w:rsid w:val="0031287C"/>
    <w:rsid w:val="00312AAF"/>
    <w:rsid w:val="003137DB"/>
    <w:rsid w:val="0031443D"/>
    <w:rsid w:val="003148FA"/>
    <w:rsid w:val="00315424"/>
    <w:rsid w:val="00315538"/>
    <w:rsid w:val="00315707"/>
    <w:rsid w:val="00315FA1"/>
    <w:rsid w:val="00316030"/>
    <w:rsid w:val="00316E0E"/>
    <w:rsid w:val="003173B0"/>
    <w:rsid w:val="003178E8"/>
    <w:rsid w:val="00320AE3"/>
    <w:rsid w:val="00323C95"/>
    <w:rsid w:val="00325C61"/>
    <w:rsid w:val="003262C1"/>
    <w:rsid w:val="0032630F"/>
    <w:rsid w:val="00330191"/>
    <w:rsid w:val="00330A90"/>
    <w:rsid w:val="00331F6B"/>
    <w:rsid w:val="00332816"/>
    <w:rsid w:val="003329F1"/>
    <w:rsid w:val="00332BC1"/>
    <w:rsid w:val="00332EC3"/>
    <w:rsid w:val="00332EE0"/>
    <w:rsid w:val="00333463"/>
    <w:rsid w:val="003340C7"/>
    <w:rsid w:val="00334548"/>
    <w:rsid w:val="00335999"/>
    <w:rsid w:val="00336A41"/>
    <w:rsid w:val="00336D31"/>
    <w:rsid w:val="0033719F"/>
    <w:rsid w:val="0033796D"/>
    <w:rsid w:val="00337F55"/>
    <w:rsid w:val="00340316"/>
    <w:rsid w:val="00341707"/>
    <w:rsid w:val="00341791"/>
    <w:rsid w:val="003418AD"/>
    <w:rsid w:val="00341D9A"/>
    <w:rsid w:val="00342CD2"/>
    <w:rsid w:val="00344DB1"/>
    <w:rsid w:val="0034641E"/>
    <w:rsid w:val="0034671E"/>
    <w:rsid w:val="003469AA"/>
    <w:rsid w:val="00346EC0"/>
    <w:rsid w:val="003478B4"/>
    <w:rsid w:val="0035075A"/>
    <w:rsid w:val="00350D49"/>
    <w:rsid w:val="0035106C"/>
    <w:rsid w:val="0035127B"/>
    <w:rsid w:val="003512B3"/>
    <w:rsid w:val="0035176C"/>
    <w:rsid w:val="00351DA0"/>
    <w:rsid w:val="00354B3D"/>
    <w:rsid w:val="00355EDB"/>
    <w:rsid w:val="00355FC6"/>
    <w:rsid w:val="003561CF"/>
    <w:rsid w:val="0035784E"/>
    <w:rsid w:val="00360B2A"/>
    <w:rsid w:val="003612F6"/>
    <w:rsid w:val="003616CB"/>
    <w:rsid w:val="00361C55"/>
    <w:rsid w:val="00361DFA"/>
    <w:rsid w:val="0036281B"/>
    <w:rsid w:val="00362926"/>
    <w:rsid w:val="00363E54"/>
    <w:rsid w:val="00364113"/>
    <w:rsid w:val="00364538"/>
    <w:rsid w:val="0036483A"/>
    <w:rsid w:val="003656CC"/>
    <w:rsid w:val="003661F4"/>
    <w:rsid w:val="003671D0"/>
    <w:rsid w:val="00367252"/>
    <w:rsid w:val="003704F5"/>
    <w:rsid w:val="003709E8"/>
    <w:rsid w:val="00371576"/>
    <w:rsid w:val="00372726"/>
    <w:rsid w:val="00374717"/>
    <w:rsid w:val="00374BF7"/>
    <w:rsid w:val="00374FCC"/>
    <w:rsid w:val="003753D5"/>
    <w:rsid w:val="00376955"/>
    <w:rsid w:val="00376ADB"/>
    <w:rsid w:val="00376F7B"/>
    <w:rsid w:val="00380529"/>
    <w:rsid w:val="0038176B"/>
    <w:rsid w:val="00381AC2"/>
    <w:rsid w:val="0038204A"/>
    <w:rsid w:val="00382081"/>
    <w:rsid w:val="00382191"/>
    <w:rsid w:val="00382432"/>
    <w:rsid w:val="00383479"/>
    <w:rsid w:val="00383893"/>
    <w:rsid w:val="00383B7C"/>
    <w:rsid w:val="00383DA2"/>
    <w:rsid w:val="00384024"/>
    <w:rsid w:val="0038569E"/>
    <w:rsid w:val="003859BC"/>
    <w:rsid w:val="00385AAD"/>
    <w:rsid w:val="00386051"/>
    <w:rsid w:val="00386DA2"/>
    <w:rsid w:val="003902DA"/>
    <w:rsid w:val="003902FB"/>
    <w:rsid w:val="003917C8"/>
    <w:rsid w:val="003919AF"/>
    <w:rsid w:val="00392B33"/>
    <w:rsid w:val="00392D8B"/>
    <w:rsid w:val="003931D3"/>
    <w:rsid w:val="00393853"/>
    <w:rsid w:val="00393F06"/>
    <w:rsid w:val="003953E1"/>
    <w:rsid w:val="00395848"/>
    <w:rsid w:val="003960C4"/>
    <w:rsid w:val="00396936"/>
    <w:rsid w:val="00396AD0"/>
    <w:rsid w:val="003977D8"/>
    <w:rsid w:val="0039781A"/>
    <w:rsid w:val="00397DC5"/>
    <w:rsid w:val="003A0848"/>
    <w:rsid w:val="003A122F"/>
    <w:rsid w:val="003A1FF2"/>
    <w:rsid w:val="003A4F64"/>
    <w:rsid w:val="003A5283"/>
    <w:rsid w:val="003A557E"/>
    <w:rsid w:val="003A5B84"/>
    <w:rsid w:val="003A63EE"/>
    <w:rsid w:val="003A6D7F"/>
    <w:rsid w:val="003B0CCB"/>
    <w:rsid w:val="003B1CF0"/>
    <w:rsid w:val="003B3810"/>
    <w:rsid w:val="003B3D1E"/>
    <w:rsid w:val="003B3DF7"/>
    <w:rsid w:val="003B56B4"/>
    <w:rsid w:val="003B6648"/>
    <w:rsid w:val="003B6B5D"/>
    <w:rsid w:val="003B6BA3"/>
    <w:rsid w:val="003B7507"/>
    <w:rsid w:val="003B76CF"/>
    <w:rsid w:val="003B7704"/>
    <w:rsid w:val="003C006E"/>
    <w:rsid w:val="003C0EFB"/>
    <w:rsid w:val="003C146A"/>
    <w:rsid w:val="003C2EB9"/>
    <w:rsid w:val="003C38F4"/>
    <w:rsid w:val="003C4046"/>
    <w:rsid w:val="003C57BB"/>
    <w:rsid w:val="003C5AC0"/>
    <w:rsid w:val="003C5FDD"/>
    <w:rsid w:val="003C7187"/>
    <w:rsid w:val="003C7E0D"/>
    <w:rsid w:val="003D024D"/>
    <w:rsid w:val="003D04C0"/>
    <w:rsid w:val="003D099F"/>
    <w:rsid w:val="003D0C6F"/>
    <w:rsid w:val="003D3016"/>
    <w:rsid w:val="003D3335"/>
    <w:rsid w:val="003D3512"/>
    <w:rsid w:val="003D4D55"/>
    <w:rsid w:val="003D5875"/>
    <w:rsid w:val="003D5AA4"/>
    <w:rsid w:val="003D5B33"/>
    <w:rsid w:val="003D6904"/>
    <w:rsid w:val="003D6ABD"/>
    <w:rsid w:val="003D7026"/>
    <w:rsid w:val="003E00C7"/>
    <w:rsid w:val="003E1A5F"/>
    <w:rsid w:val="003E1C96"/>
    <w:rsid w:val="003E1FA7"/>
    <w:rsid w:val="003E2202"/>
    <w:rsid w:val="003E27DD"/>
    <w:rsid w:val="003E6571"/>
    <w:rsid w:val="003E6E17"/>
    <w:rsid w:val="003E7AC2"/>
    <w:rsid w:val="003F0285"/>
    <w:rsid w:val="003F0FAF"/>
    <w:rsid w:val="003F1348"/>
    <w:rsid w:val="003F1A83"/>
    <w:rsid w:val="003F237E"/>
    <w:rsid w:val="003F28A3"/>
    <w:rsid w:val="003F3C2F"/>
    <w:rsid w:val="003F411E"/>
    <w:rsid w:val="003F4361"/>
    <w:rsid w:val="003F4ABE"/>
    <w:rsid w:val="003F4C21"/>
    <w:rsid w:val="003F58DB"/>
    <w:rsid w:val="003F62FA"/>
    <w:rsid w:val="003F6799"/>
    <w:rsid w:val="0040038A"/>
    <w:rsid w:val="0040119C"/>
    <w:rsid w:val="004013D8"/>
    <w:rsid w:val="00401DC7"/>
    <w:rsid w:val="00403590"/>
    <w:rsid w:val="00403783"/>
    <w:rsid w:val="00404177"/>
    <w:rsid w:val="00404F92"/>
    <w:rsid w:val="0040543B"/>
    <w:rsid w:val="0040580E"/>
    <w:rsid w:val="004058C1"/>
    <w:rsid w:val="004064CB"/>
    <w:rsid w:val="00406584"/>
    <w:rsid w:val="004068E6"/>
    <w:rsid w:val="00407FBC"/>
    <w:rsid w:val="004101FB"/>
    <w:rsid w:val="004107B2"/>
    <w:rsid w:val="004108A1"/>
    <w:rsid w:val="00410D1B"/>
    <w:rsid w:val="00412F77"/>
    <w:rsid w:val="00413C68"/>
    <w:rsid w:val="0041582C"/>
    <w:rsid w:val="00417598"/>
    <w:rsid w:val="00417AAE"/>
    <w:rsid w:val="00417D07"/>
    <w:rsid w:val="00417E7E"/>
    <w:rsid w:val="00417F56"/>
    <w:rsid w:val="00421A47"/>
    <w:rsid w:val="00422470"/>
    <w:rsid w:val="00422E71"/>
    <w:rsid w:val="00423B74"/>
    <w:rsid w:val="00423C96"/>
    <w:rsid w:val="00423E59"/>
    <w:rsid w:val="00425C12"/>
    <w:rsid w:val="0042666E"/>
    <w:rsid w:val="00426ABC"/>
    <w:rsid w:val="00427152"/>
    <w:rsid w:val="0042745E"/>
    <w:rsid w:val="0042794D"/>
    <w:rsid w:val="00430859"/>
    <w:rsid w:val="00431568"/>
    <w:rsid w:val="00431DFF"/>
    <w:rsid w:val="0043202F"/>
    <w:rsid w:val="004321EA"/>
    <w:rsid w:val="0043307D"/>
    <w:rsid w:val="004336C7"/>
    <w:rsid w:val="0043467A"/>
    <w:rsid w:val="00434965"/>
    <w:rsid w:val="00435A29"/>
    <w:rsid w:val="00435D1B"/>
    <w:rsid w:val="00437B52"/>
    <w:rsid w:val="00437E5B"/>
    <w:rsid w:val="004409E0"/>
    <w:rsid w:val="00440A68"/>
    <w:rsid w:val="00440BEF"/>
    <w:rsid w:val="00441604"/>
    <w:rsid w:val="004425D6"/>
    <w:rsid w:val="00442614"/>
    <w:rsid w:val="00442B47"/>
    <w:rsid w:val="0044326E"/>
    <w:rsid w:val="00447FBF"/>
    <w:rsid w:val="004505D0"/>
    <w:rsid w:val="00450657"/>
    <w:rsid w:val="0045075E"/>
    <w:rsid w:val="004512BF"/>
    <w:rsid w:val="004532B9"/>
    <w:rsid w:val="00453450"/>
    <w:rsid w:val="00453F05"/>
    <w:rsid w:val="004540D4"/>
    <w:rsid w:val="00454B45"/>
    <w:rsid w:val="004551ED"/>
    <w:rsid w:val="0045619E"/>
    <w:rsid w:val="004565D5"/>
    <w:rsid w:val="00457101"/>
    <w:rsid w:val="00457470"/>
    <w:rsid w:val="00457612"/>
    <w:rsid w:val="00457C55"/>
    <w:rsid w:val="00457C5E"/>
    <w:rsid w:val="0046066B"/>
    <w:rsid w:val="00460731"/>
    <w:rsid w:val="0046094B"/>
    <w:rsid w:val="00460A39"/>
    <w:rsid w:val="00460C98"/>
    <w:rsid w:val="004619AD"/>
    <w:rsid w:val="00461C49"/>
    <w:rsid w:val="00461D0D"/>
    <w:rsid w:val="00462CBE"/>
    <w:rsid w:val="00462CEC"/>
    <w:rsid w:val="00463053"/>
    <w:rsid w:val="004645B2"/>
    <w:rsid w:val="0046497B"/>
    <w:rsid w:val="004649F1"/>
    <w:rsid w:val="00465875"/>
    <w:rsid w:val="00466003"/>
    <w:rsid w:val="004667F9"/>
    <w:rsid w:val="004671AA"/>
    <w:rsid w:val="004679FF"/>
    <w:rsid w:val="00467CA9"/>
    <w:rsid w:val="004701EB"/>
    <w:rsid w:val="004704C6"/>
    <w:rsid w:val="0047104F"/>
    <w:rsid w:val="00471103"/>
    <w:rsid w:val="00471B63"/>
    <w:rsid w:val="00473660"/>
    <w:rsid w:val="00473C8E"/>
    <w:rsid w:val="00473DC9"/>
    <w:rsid w:val="00474604"/>
    <w:rsid w:val="004754E0"/>
    <w:rsid w:val="00475CC0"/>
    <w:rsid w:val="00476A57"/>
    <w:rsid w:val="00476AA1"/>
    <w:rsid w:val="00476D90"/>
    <w:rsid w:val="00477669"/>
    <w:rsid w:val="0048131B"/>
    <w:rsid w:val="00481604"/>
    <w:rsid w:val="00482D15"/>
    <w:rsid w:val="0048397F"/>
    <w:rsid w:val="0048427C"/>
    <w:rsid w:val="00484AF2"/>
    <w:rsid w:val="00484B89"/>
    <w:rsid w:val="00485049"/>
    <w:rsid w:val="00485477"/>
    <w:rsid w:val="00485C95"/>
    <w:rsid w:val="004867D4"/>
    <w:rsid w:val="00490B1D"/>
    <w:rsid w:val="00490C85"/>
    <w:rsid w:val="00491626"/>
    <w:rsid w:val="00491B1A"/>
    <w:rsid w:val="00491B49"/>
    <w:rsid w:val="00491F40"/>
    <w:rsid w:val="004921BD"/>
    <w:rsid w:val="00492AC7"/>
    <w:rsid w:val="00493148"/>
    <w:rsid w:val="00493EDA"/>
    <w:rsid w:val="00494016"/>
    <w:rsid w:val="004942CF"/>
    <w:rsid w:val="004945F3"/>
    <w:rsid w:val="00494D5F"/>
    <w:rsid w:val="00494DE8"/>
    <w:rsid w:val="00495B29"/>
    <w:rsid w:val="004961F2"/>
    <w:rsid w:val="00496292"/>
    <w:rsid w:val="00496535"/>
    <w:rsid w:val="00496946"/>
    <w:rsid w:val="00496D5E"/>
    <w:rsid w:val="00497886"/>
    <w:rsid w:val="004978D4"/>
    <w:rsid w:val="00497D8F"/>
    <w:rsid w:val="004A004B"/>
    <w:rsid w:val="004A0A14"/>
    <w:rsid w:val="004A2E73"/>
    <w:rsid w:val="004A3B17"/>
    <w:rsid w:val="004A3C7A"/>
    <w:rsid w:val="004A52AB"/>
    <w:rsid w:val="004A5D78"/>
    <w:rsid w:val="004A6D18"/>
    <w:rsid w:val="004A6F63"/>
    <w:rsid w:val="004A71E9"/>
    <w:rsid w:val="004A72F3"/>
    <w:rsid w:val="004A7317"/>
    <w:rsid w:val="004B1599"/>
    <w:rsid w:val="004B1692"/>
    <w:rsid w:val="004B25CC"/>
    <w:rsid w:val="004B320D"/>
    <w:rsid w:val="004B356A"/>
    <w:rsid w:val="004B35AD"/>
    <w:rsid w:val="004B36BE"/>
    <w:rsid w:val="004B37C1"/>
    <w:rsid w:val="004B4308"/>
    <w:rsid w:val="004B4AE1"/>
    <w:rsid w:val="004B4C26"/>
    <w:rsid w:val="004B4FF8"/>
    <w:rsid w:val="004B5BC5"/>
    <w:rsid w:val="004B6297"/>
    <w:rsid w:val="004B6E40"/>
    <w:rsid w:val="004B6EC7"/>
    <w:rsid w:val="004B7370"/>
    <w:rsid w:val="004C0129"/>
    <w:rsid w:val="004C0730"/>
    <w:rsid w:val="004C0A73"/>
    <w:rsid w:val="004C1570"/>
    <w:rsid w:val="004C19E9"/>
    <w:rsid w:val="004C3013"/>
    <w:rsid w:val="004C3AD2"/>
    <w:rsid w:val="004C3C8A"/>
    <w:rsid w:val="004C3DC6"/>
    <w:rsid w:val="004C41D3"/>
    <w:rsid w:val="004C574E"/>
    <w:rsid w:val="004C5A8C"/>
    <w:rsid w:val="004C6F66"/>
    <w:rsid w:val="004C73C3"/>
    <w:rsid w:val="004C7F94"/>
    <w:rsid w:val="004D00AC"/>
    <w:rsid w:val="004D12CC"/>
    <w:rsid w:val="004D1925"/>
    <w:rsid w:val="004D2493"/>
    <w:rsid w:val="004D3043"/>
    <w:rsid w:val="004D3217"/>
    <w:rsid w:val="004D390F"/>
    <w:rsid w:val="004D4446"/>
    <w:rsid w:val="004D4B59"/>
    <w:rsid w:val="004D52C1"/>
    <w:rsid w:val="004D57BA"/>
    <w:rsid w:val="004D5982"/>
    <w:rsid w:val="004D5D42"/>
    <w:rsid w:val="004D63B0"/>
    <w:rsid w:val="004E0E5D"/>
    <w:rsid w:val="004E1821"/>
    <w:rsid w:val="004E2912"/>
    <w:rsid w:val="004E2F55"/>
    <w:rsid w:val="004E39F5"/>
    <w:rsid w:val="004E3D11"/>
    <w:rsid w:val="004E4295"/>
    <w:rsid w:val="004E4FCA"/>
    <w:rsid w:val="004E50A9"/>
    <w:rsid w:val="004E59A3"/>
    <w:rsid w:val="004E5E04"/>
    <w:rsid w:val="004E6501"/>
    <w:rsid w:val="004E6A90"/>
    <w:rsid w:val="004E73AE"/>
    <w:rsid w:val="004F01F9"/>
    <w:rsid w:val="004F0400"/>
    <w:rsid w:val="004F0857"/>
    <w:rsid w:val="004F1179"/>
    <w:rsid w:val="004F169F"/>
    <w:rsid w:val="004F18FD"/>
    <w:rsid w:val="004F1C1F"/>
    <w:rsid w:val="004F1DEB"/>
    <w:rsid w:val="004F3419"/>
    <w:rsid w:val="004F4400"/>
    <w:rsid w:val="004F45BA"/>
    <w:rsid w:val="004F6437"/>
    <w:rsid w:val="004F6631"/>
    <w:rsid w:val="004F68E8"/>
    <w:rsid w:val="004F779E"/>
    <w:rsid w:val="00501B4F"/>
    <w:rsid w:val="00502611"/>
    <w:rsid w:val="00503594"/>
    <w:rsid w:val="00503B34"/>
    <w:rsid w:val="00503BD7"/>
    <w:rsid w:val="00506CE8"/>
    <w:rsid w:val="00506DC3"/>
    <w:rsid w:val="00507766"/>
    <w:rsid w:val="005079FB"/>
    <w:rsid w:val="005105DA"/>
    <w:rsid w:val="005106FD"/>
    <w:rsid w:val="0051098E"/>
    <w:rsid w:val="0051099D"/>
    <w:rsid w:val="00510DC1"/>
    <w:rsid w:val="0051210C"/>
    <w:rsid w:val="00512215"/>
    <w:rsid w:val="0051246A"/>
    <w:rsid w:val="00513EDC"/>
    <w:rsid w:val="00513EEA"/>
    <w:rsid w:val="0051417C"/>
    <w:rsid w:val="00516098"/>
    <w:rsid w:val="00516410"/>
    <w:rsid w:val="0051751A"/>
    <w:rsid w:val="00520724"/>
    <w:rsid w:val="00520910"/>
    <w:rsid w:val="00520E6A"/>
    <w:rsid w:val="00522A95"/>
    <w:rsid w:val="00524335"/>
    <w:rsid w:val="00524A00"/>
    <w:rsid w:val="0052520F"/>
    <w:rsid w:val="00525B5E"/>
    <w:rsid w:val="0052621A"/>
    <w:rsid w:val="00527396"/>
    <w:rsid w:val="00530368"/>
    <w:rsid w:val="00530C28"/>
    <w:rsid w:val="00530E37"/>
    <w:rsid w:val="00531001"/>
    <w:rsid w:val="00531317"/>
    <w:rsid w:val="00532BA7"/>
    <w:rsid w:val="0053318F"/>
    <w:rsid w:val="005331B4"/>
    <w:rsid w:val="005334EE"/>
    <w:rsid w:val="0053483B"/>
    <w:rsid w:val="0053522D"/>
    <w:rsid w:val="0053535C"/>
    <w:rsid w:val="00535A5D"/>
    <w:rsid w:val="00535D86"/>
    <w:rsid w:val="00536EDA"/>
    <w:rsid w:val="00537F94"/>
    <w:rsid w:val="005400B1"/>
    <w:rsid w:val="005405A8"/>
    <w:rsid w:val="005428F7"/>
    <w:rsid w:val="005432EF"/>
    <w:rsid w:val="00543CE9"/>
    <w:rsid w:val="00543DD9"/>
    <w:rsid w:val="00543DFB"/>
    <w:rsid w:val="00544790"/>
    <w:rsid w:val="00545237"/>
    <w:rsid w:val="00545817"/>
    <w:rsid w:val="00546202"/>
    <w:rsid w:val="00546329"/>
    <w:rsid w:val="00546A72"/>
    <w:rsid w:val="00546D77"/>
    <w:rsid w:val="00547394"/>
    <w:rsid w:val="0054757C"/>
    <w:rsid w:val="00547763"/>
    <w:rsid w:val="00547A80"/>
    <w:rsid w:val="00551B0E"/>
    <w:rsid w:val="0055385C"/>
    <w:rsid w:val="0055527C"/>
    <w:rsid w:val="00555868"/>
    <w:rsid w:val="00557EDC"/>
    <w:rsid w:val="00560716"/>
    <w:rsid w:val="005610D0"/>
    <w:rsid w:val="00561E25"/>
    <w:rsid w:val="00564DD2"/>
    <w:rsid w:val="00565105"/>
    <w:rsid w:val="005667AA"/>
    <w:rsid w:val="00566A8E"/>
    <w:rsid w:val="005676BB"/>
    <w:rsid w:val="00570571"/>
    <w:rsid w:val="00571B6E"/>
    <w:rsid w:val="005728FA"/>
    <w:rsid w:val="0057352E"/>
    <w:rsid w:val="00573CCE"/>
    <w:rsid w:val="005746DC"/>
    <w:rsid w:val="005756C9"/>
    <w:rsid w:val="00576969"/>
    <w:rsid w:val="00577047"/>
    <w:rsid w:val="00577D66"/>
    <w:rsid w:val="00580114"/>
    <w:rsid w:val="00580B76"/>
    <w:rsid w:val="00582A6E"/>
    <w:rsid w:val="00582E63"/>
    <w:rsid w:val="00583C98"/>
    <w:rsid w:val="005845FD"/>
    <w:rsid w:val="005848EF"/>
    <w:rsid w:val="00584AAF"/>
    <w:rsid w:val="00584E1A"/>
    <w:rsid w:val="0058500F"/>
    <w:rsid w:val="00585E94"/>
    <w:rsid w:val="00586829"/>
    <w:rsid w:val="00587E86"/>
    <w:rsid w:val="00587EC3"/>
    <w:rsid w:val="0059021D"/>
    <w:rsid w:val="005902D7"/>
    <w:rsid w:val="00591268"/>
    <w:rsid w:val="00592096"/>
    <w:rsid w:val="0059215B"/>
    <w:rsid w:val="005924C3"/>
    <w:rsid w:val="005926D9"/>
    <w:rsid w:val="00592FA4"/>
    <w:rsid w:val="00593CF5"/>
    <w:rsid w:val="00593E7D"/>
    <w:rsid w:val="00595B3C"/>
    <w:rsid w:val="00595CB6"/>
    <w:rsid w:val="00595E44"/>
    <w:rsid w:val="005A0AC5"/>
    <w:rsid w:val="005A0C2B"/>
    <w:rsid w:val="005A0FA0"/>
    <w:rsid w:val="005A1BCD"/>
    <w:rsid w:val="005A1F88"/>
    <w:rsid w:val="005A2AFC"/>
    <w:rsid w:val="005A2B33"/>
    <w:rsid w:val="005A310C"/>
    <w:rsid w:val="005A3DE8"/>
    <w:rsid w:val="005A3E33"/>
    <w:rsid w:val="005A3EA3"/>
    <w:rsid w:val="005A503C"/>
    <w:rsid w:val="005A5631"/>
    <w:rsid w:val="005A5C31"/>
    <w:rsid w:val="005A696C"/>
    <w:rsid w:val="005A70B5"/>
    <w:rsid w:val="005B0207"/>
    <w:rsid w:val="005B0DA4"/>
    <w:rsid w:val="005B1067"/>
    <w:rsid w:val="005B1245"/>
    <w:rsid w:val="005B1B38"/>
    <w:rsid w:val="005B209B"/>
    <w:rsid w:val="005B20C6"/>
    <w:rsid w:val="005B2DD2"/>
    <w:rsid w:val="005B3ECA"/>
    <w:rsid w:val="005B3F70"/>
    <w:rsid w:val="005B5A95"/>
    <w:rsid w:val="005B5BB1"/>
    <w:rsid w:val="005B6156"/>
    <w:rsid w:val="005B713C"/>
    <w:rsid w:val="005B775F"/>
    <w:rsid w:val="005B7C88"/>
    <w:rsid w:val="005B7EB4"/>
    <w:rsid w:val="005C06EF"/>
    <w:rsid w:val="005C18DE"/>
    <w:rsid w:val="005C1C06"/>
    <w:rsid w:val="005C1EAC"/>
    <w:rsid w:val="005C27D8"/>
    <w:rsid w:val="005C2965"/>
    <w:rsid w:val="005C4F1C"/>
    <w:rsid w:val="005C55D3"/>
    <w:rsid w:val="005C5F14"/>
    <w:rsid w:val="005C71F4"/>
    <w:rsid w:val="005C7A84"/>
    <w:rsid w:val="005C7D5C"/>
    <w:rsid w:val="005C7D86"/>
    <w:rsid w:val="005D0475"/>
    <w:rsid w:val="005D295B"/>
    <w:rsid w:val="005D3407"/>
    <w:rsid w:val="005D380E"/>
    <w:rsid w:val="005D434E"/>
    <w:rsid w:val="005D48B8"/>
    <w:rsid w:val="005D5FCB"/>
    <w:rsid w:val="005D60D1"/>
    <w:rsid w:val="005D662C"/>
    <w:rsid w:val="005D664F"/>
    <w:rsid w:val="005D6A44"/>
    <w:rsid w:val="005E1B1B"/>
    <w:rsid w:val="005E2597"/>
    <w:rsid w:val="005E4A71"/>
    <w:rsid w:val="005E4AA4"/>
    <w:rsid w:val="005E4BDD"/>
    <w:rsid w:val="005E4D59"/>
    <w:rsid w:val="005E5306"/>
    <w:rsid w:val="005E694C"/>
    <w:rsid w:val="005E6B80"/>
    <w:rsid w:val="005E6BCE"/>
    <w:rsid w:val="005E6FFA"/>
    <w:rsid w:val="005F1C45"/>
    <w:rsid w:val="005F2AF2"/>
    <w:rsid w:val="005F3A2D"/>
    <w:rsid w:val="005F3E00"/>
    <w:rsid w:val="005F3E70"/>
    <w:rsid w:val="005F45E6"/>
    <w:rsid w:val="005F5321"/>
    <w:rsid w:val="005F5BEA"/>
    <w:rsid w:val="005F5EFB"/>
    <w:rsid w:val="005F726F"/>
    <w:rsid w:val="005F75F0"/>
    <w:rsid w:val="00600393"/>
    <w:rsid w:val="00600889"/>
    <w:rsid w:val="00600ADF"/>
    <w:rsid w:val="00600B09"/>
    <w:rsid w:val="00600E86"/>
    <w:rsid w:val="00600F64"/>
    <w:rsid w:val="00601EC0"/>
    <w:rsid w:val="006045FE"/>
    <w:rsid w:val="00605818"/>
    <w:rsid w:val="00605D9E"/>
    <w:rsid w:val="00606130"/>
    <w:rsid w:val="00607034"/>
    <w:rsid w:val="006076C9"/>
    <w:rsid w:val="00607F23"/>
    <w:rsid w:val="0061054D"/>
    <w:rsid w:val="006109DB"/>
    <w:rsid w:val="00611089"/>
    <w:rsid w:val="00611FBB"/>
    <w:rsid w:val="00612044"/>
    <w:rsid w:val="00612836"/>
    <w:rsid w:val="00612E4B"/>
    <w:rsid w:val="00613285"/>
    <w:rsid w:val="006134C7"/>
    <w:rsid w:val="006136C4"/>
    <w:rsid w:val="00613CDF"/>
    <w:rsid w:val="006154E0"/>
    <w:rsid w:val="00615E94"/>
    <w:rsid w:val="00615F66"/>
    <w:rsid w:val="006161DC"/>
    <w:rsid w:val="00616B42"/>
    <w:rsid w:val="00620C1B"/>
    <w:rsid w:val="00620EDC"/>
    <w:rsid w:val="006211E8"/>
    <w:rsid w:val="00622AB1"/>
    <w:rsid w:val="0062361D"/>
    <w:rsid w:val="0062529D"/>
    <w:rsid w:val="00625968"/>
    <w:rsid w:val="00626237"/>
    <w:rsid w:val="0062660D"/>
    <w:rsid w:val="00626EC6"/>
    <w:rsid w:val="00626F88"/>
    <w:rsid w:val="00630004"/>
    <w:rsid w:val="0063001F"/>
    <w:rsid w:val="006308F9"/>
    <w:rsid w:val="00630DDB"/>
    <w:rsid w:val="006311E3"/>
    <w:rsid w:val="006320CC"/>
    <w:rsid w:val="006323DB"/>
    <w:rsid w:val="0063277B"/>
    <w:rsid w:val="00632855"/>
    <w:rsid w:val="006348EF"/>
    <w:rsid w:val="006350D1"/>
    <w:rsid w:val="00635DEB"/>
    <w:rsid w:val="00636378"/>
    <w:rsid w:val="0063640F"/>
    <w:rsid w:val="006367E0"/>
    <w:rsid w:val="00637579"/>
    <w:rsid w:val="00637A16"/>
    <w:rsid w:val="00637B17"/>
    <w:rsid w:val="0064021D"/>
    <w:rsid w:val="00641657"/>
    <w:rsid w:val="00641C18"/>
    <w:rsid w:val="00641C61"/>
    <w:rsid w:val="00642EE7"/>
    <w:rsid w:val="006437FD"/>
    <w:rsid w:val="0064454E"/>
    <w:rsid w:val="00644F1C"/>
    <w:rsid w:val="006452E2"/>
    <w:rsid w:val="00646333"/>
    <w:rsid w:val="00646506"/>
    <w:rsid w:val="00646636"/>
    <w:rsid w:val="0064679B"/>
    <w:rsid w:val="0064691B"/>
    <w:rsid w:val="00650979"/>
    <w:rsid w:val="00651184"/>
    <w:rsid w:val="00651FAD"/>
    <w:rsid w:val="00652B0C"/>
    <w:rsid w:val="00652DD9"/>
    <w:rsid w:val="00653DB8"/>
    <w:rsid w:val="0065420D"/>
    <w:rsid w:val="00655290"/>
    <w:rsid w:val="006568EB"/>
    <w:rsid w:val="00660417"/>
    <w:rsid w:val="006611A2"/>
    <w:rsid w:val="00661EC7"/>
    <w:rsid w:val="0066297F"/>
    <w:rsid w:val="00662BBA"/>
    <w:rsid w:val="00662F6A"/>
    <w:rsid w:val="00663BE7"/>
    <w:rsid w:val="00664654"/>
    <w:rsid w:val="00665389"/>
    <w:rsid w:val="0066574A"/>
    <w:rsid w:val="00666041"/>
    <w:rsid w:val="006660F0"/>
    <w:rsid w:val="00666E3B"/>
    <w:rsid w:val="00666FC2"/>
    <w:rsid w:val="00671509"/>
    <w:rsid w:val="006716B0"/>
    <w:rsid w:val="006717BF"/>
    <w:rsid w:val="00672B4B"/>
    <w:rsid w:val="00673724"/>
    <w:rsid w:val="0067430C"/>
    <w:rsid w:val="0067492E"/>
    <w:rsid w:val="00674F33"/>
    <w:rsid w:val="00674FFE"/>
    <w:rsid w:val="00675368"/>
    <w:rsid w:val="006754F3"/>
    <w:rsid w:val="00675C93"/>
    <w:rsid w:val="006761B5"/>
    <w:rsid w:val="00676DE9"/>
    <w:rsid w:val="006777CC"/>
    <w:rsid w:val="00677DA3"/>
    <w:rsid w:val="00680027"/>
    <w:rsid w:val="006802AB"/>
    <w:rsid w:val="0068087E"/>
    <w:rsid w:val="006810B9"/>
    <w:rsid w:val="0068161B"/>
    <w:rsid w:val="0068274A"/>
    <w:rsid w:val="006829B7"/>
    <w:rsid w:val="006829F5"/>
    <w:rsid w:val="006834DD"/>
    <w:rsid w:val="00683B7B"/>
    <w:rsid w:val="006843E9"/>
    <w:rsid w:val="00685669"/>
    <w:rsid w:val="00686B3F"/>
    <w:rsid w:val="00686E15"/>
    <w:rsid w:val="006878E4"/>
    <w:rsid w:val="0069055B"/>
    <w:rsid w:val="006908BD"/>
    <w:rsid w:val="00690CA0"/>
    <w:rsid w:val="006926CC"/>
    <w:rsid w:val="00692C27"/>
    <w:rsid w:val="00692CED"/>
    <w:rsid w:val="00693E92"/>
    <w:rsid w:val="00694947"/>
    <w:rsid w:val="00694A28"/>
    <w:rsid w:val="006961C5"/>
    <w:rsid w:val="00696911"/>
    <w:rsid w:val="0069695C"/>
    <w:rsid w:val="00696B37"/>
    <w:rsid w:val="00696D5A"/>
    <w:rsid w:val="00697794"/>
    <w:rsid w:val="006A0061"/>
    <w:rsid w:val="006A014A"/>
    <w:rsid w:val="006A0DE7"/>
    <w:rsid w:val="006A13C2"/>
    <w:rsid w:val="006A14B3"/>
    <w:rsid w:val="006A16D0"/>
    <w:rsid w:val="006A2C78"/>
    <w:rsid w:val="006A2EB6"/>
    <w:rsid w:val="006A3910"/>
    <w:rsid w:val="006A3E5D"/>
    <w:rsid w:val="006A42B6"/>
    <w:rsid w:val="006A47DF"/>
    <w:rsid w:val="006A520D"/>
    <w:rsid w:val="006A524C"/>
    <w:rsid w:val="006A5308"/>
    <w:rsid w:val="006A5DC2"/>
    <w:rsid w:val="006B0774"/>
    <w:rsid w:val="006B09A0"/>
    <w:rsid w:val="006B0B55"/>
    <w:rsid w:val="006B1827"/>
    <w:rsid w:val="006B30B7"/>
    <w:rsid w:val="006B31DF"/>
    <w:rsid w:val="006B519A"/>
    <w:rsid w:val="006B5225"/>
    <w:rsid w:val="006B60EA"/>
    <w:rsid w:val="006B674C"/>
    <w:rsid w:val="006B67B8"/>
    <w:rsid w:val="006B68D9"/>
    <w:rsid w:val="006B6B4B"/>
    <w:rsid w:val="006B6BCF"/>
    <w:rsid w:val="006B6D0B"/>
    <w:rsid w:val="006B6FB2"/>
    <w:rsid w:val="006C0B0C"/>
    <w:rsid w:val="006C15AB"/>
    <w:rsid w:val="006C2422"/>
    <w:rsid w:val="006C3784"/>
    <w:rsid w:val="006C3ED0"/>
    <w:rsid w:val="006C463B"/>
    <w:rsid w:val="006C49B6"/>
    <w:rsid w:val="006C4A2A"/>
    <w:rsid w:val="006C599D"/>
    <w:rsid w:val="006C6296"/>
    <w:rsid w:val="006C6508"/>
    <w:rsid w:val="006C7644"/>
    <w:rsid w:val="006C7655"/>
    <w:rsid w:val="006D0BB5"/>
    <w:rsid w:val="006D0EB7"/>
    <w:rsid w:val="006D22AB"/>
    <w:rsid w:val="006D3A52"/>
    <w:rsid w:val="006D40B3"/>
    <w:rsid w:val="006D40C5"/>
    <w:rsid w:val="006D64A7"/>
    <w:rsid w:val="006E00B3"/>
    <w:rsid w:val="006E0588"/>
    <w:rsid w:val="006E142A"/>
    <w:rsid w:val="006E19C2"/>
    <w:rsid w:val="006E20FD"/>
    <w:rsid w:val="006E24ED"/>
    <w:rsid w:val="006E2E85"/>
    <w:rsid w:val="006E3243"/>
    <w:rsid w:val="006E35BC"/>
    <w:rsid w:val="006E3F4B"/>
    <w:rsid w:val="006E4FBB"/>
    <w:rsid w:val="006E6109"/>
    <w:rsid w:val="006E679F"/>
    <w:rsid w:val="006E6DED"/>
    <w:rsid w:val="006E73AC"/>
    <w:rsid w:val="006F07EE"/>
    <w:rsid w:val="006F1CA7"/>
    <w:rsid w:val="006F21FD"/>
    <w:rsid w:val="006F2692"/>
    <w:rsid w:val="006F28EC"/>
    <w:rsid w:val="006F5216"/>
    <w:rsid w:val="006F5408"/>
    <w:rsid w:val="006F581D"/>
    <w:rsid w:val="006F63CB"/>
    <w:rsid w:val="006F7092"/>
    <w:rsid w:val="007006B2"/>
    <w:rsid w:val="007007F4"/>
    <w:rsid w:val="007008E7"/>
    <w:rsid w:val="00701870"/>
    <w:rsid w:val="00702F73"/>
    <w:rsid w:val="00703160"/>
    <w:rsid w:val="0070336D"/>
    <w:rsid w:val="00703864"/>
    <w:rsid w:val="007039C8"/>
    <w:rsid w:val="00704101"/>
    <w:rsid w:val="007041D2"/>
    <w:rsid w:val="00704DEB"/>
    <w:rsid w:val="007055C0"/>
    <w:rsid w:val="00705EC7"/>
    <w:rsid w:val="0070628E"/>
    <w:rsid w:val="0070634B"/>
    <w:rsid w:val="00707056"/>
    <w:rsid w:val="00707343"/>
    <w:rsid w:val="00707450"/>
    <w:rsid w:val="0071093C"/>
    <w:rsid w:val="00710AD0"/>
    <w:rsid w:val="007115DE"/>
    <w:rsid w:val="00711769"/>
    <w:rsid w:val="00712C40"/>
    <w:rsid w:val="00713D76"/>
    <w:rsid w:val="00714810"/>
    <w:rsid w:val="007151B0"/>
    <w:rsid w:val="0071533A"/>
    <w:rsid w:val="0071570F"/>
    <w:rsid w:val="00716830"/>
    <w:rsid w:val="00716F45"/>
    <w:rsid w:val="007216B1"/>
    <w:rsid w:val="007216D2"/>
    <w:rsid w:val="00721C0B"/>
    <w:rsid w:val="00721E73"/>
    <w:rsid w:val="00723157"/>
    <w:rsid w:val="007239B1"/>
    <w:rsid w:val="00724331"/>
    <w:rsid w:val="007243B7"/>
    <w:rsid w:val="00724C45"/>
    <w:rsid w:val="00724CCB"/>
    <w:rsid w:val="007258A0"/>
    <w:rsid w:val="00726381"/>
    <w:rsid w:val="00726ED0"/>
    <w:rsid w:val="00727248"/>
    <w:rsid w:val="00727577"/>
    <w:rsid w:val="007275F2"/>
    <w:rsid w:val="00730122"/>
    <w:rsid w:val="00730A92"/>
    <w:rsid w:val="0073181E"/>
    <w:rsid w:val="00731888"/>
    <w:rsid w:val="00731EE0"/>
    <w:rsid w:val="00731F01"/>
    <w:rsid w:val="00732EF8"/>
    <w:rsid w:val="00733B39"/>
    <w:rsid w:val="00733BE3"/>
    <w:rsid w:val="00734DFD"/>
    <w:rsid w:val="00734F52"/>
    <w:rsid w:val="007350ED"/>
    <w:rsid w:val="0073644F"/>
    <w:rsid w:val="00736985"/>
    <w:rsid w:val="00736C7C"/>
    <w:rsid w:val="00736D06"/>
    <w:rsid w:val="00736D18"/>
    <w:rsid w:val="00736D62"/>
    <w:rsid w:val="00737364"/>
    <w:rsid w:val="00737F00"/>
    <w:rsid w:val="0074060A"/>
    <w:rsid w:val="00740762"/>
    <w:rsid w:val="00740B58"/>
    <w:rsid w:val="00740C05"/>
    <w:rsid w:val="007410A5"/>
    <w:rsid w:val="00741D0E"/>
    <w:rsid w:val="00741E41"/>
    <w:rsid w:val="00741FA6"/>
    <w:rsid w:val="007428D0"/>
    <w:rsid w:val="0074324A"/>
    <w:rsid w:val="0074459D"/>
    <w:rsid w:val="007446D4"/>
    <w:rsid w:val="007448B5"/>
    <w:rsid w:val="00744C64"/>
    <w:rsid w:val="00745559"/>
    <w:rsid w:val="007458EC"/>
    <w:rsid w:val="0074676E"/>
    <w:rsid w:val="007473FE"/>
    <w:rsid w:val="007479A8"/>
    <w:rsid w:val="007503D6"/>
    <w:rsid w:val="00750479"/>
    <w:rsid w:val="00750B23"/>
    <w:rsid w:val="007511F3"/>
    <w:rsid w:val="0075155D"/>
    <w:rsid w:val="00751917"/>
    <w:rsid w:val="00751DEE"/>
    <w:rsid w:val="007520FD"/>
    <w:rsid w:val="00752915"/>
    <w:rsid w:val="007529C5"/>
    <w:rsid w:val="00753092"/>
    <w:rsid w:val="0075321D"/>
    <w:rsid w:val="007532C1"/>
    <w:rsid w:val="00753E5E"/>
    <w:rsid w:val="0075481C"/>
    <w:rsid w:val="00754B96"/>
    <w:rsid w:val="00755056"/>
    <w:rsid w:val="007555B8"/>
    <w:rsid w:val="00756165"/>
    <w:rsid w:val="00756853"/>
    <w:rsid w:val="00756F80"/>
    <w:rsid w:val="00757ABD"/>
    <w:rsid w:val="00757D42"/>
    <w:rsid w:val="00760481"/>
    <w:rsid w:val="007604EB"/>
    <w:rsid w:val="007617E5"/>
    <w:rsid w:val="00761FED"/>
    <w:rsid w:val="00762176"/>
    <w:rsid w:val="007637E2"/>
    <w:rsid w:val="007640E7"/>
    <w:rsid w:val="00764512"/>
    <w:rsid w:val="00764AB2"/>
    <w:rsid w:val="00764DE4"/>
    <w:rsid w:val="007659F5"/>
    <w:rsid w:val="00766D3E"/>
    <w:rsid w:val="00766E0C"/>
    <w:rsid w:val="00766F60"/>
    <w:rsid w:val="00767430"/>
    <w:rsid w:val="0076771A"/>
    <w:rsid w:val="00767B01"/>
    <w:rsid w:val="00770534"/>
    <w:rsid w:val="00770929"/>
    <w:rsid w:val="0077147A"/>
    <w:rsid w:val="007718F6"/>
    <w:rsid w:val="0077202B"/>
    <w:rsid w:val="007727D8"/>
    <w:rsid w:val="0077368F"/>
    <w:rsid w:val="007744EB"/>
    <w:rsid w:val="00774A51"/>
    <w:rsid w:val="00774D01"/>
    <w:rsid w:val="00774DA7"/>
    <w:rsid w:val="00774E4F"/>
    <w:rsid w:val="00775120"/>
    <w:rsid w:val="007757D2"/>
    <w:rsid w:val="00776AA5"/>
    <w:rsid w:val="00777C4E"/>
    <w:rsid w:val="00780623"/>
    <w:rsid w:val="007806E2"/>
    <w:rsid w:val="0078106E"/>
    <w:rsid w:val="00781360"/>
    <w:rsid w:val="007813AB"/>
    <w:rsid w:val="007813CE"/>
    <w:rsid w:val="00781565"/>
    <w:rsid w:val="007815CB"/>
    <w:rsid w:val="00781912"/>
    <w:rsid w:val="0078194C"/>
    <w:rsid w:val="00781FBC"/>
    <w:rsid w:val="0078213F"/>
    <w:rsid w:val="00782188"/>
    <w:rsid w:val="00782434"/>
    <w:rsid w:val="00782536"/>
    <w:rsid w:val="00785439"/>
    <w:rsid w:val="0078567E"/>
    <w:rsid w:val="0078618F"/>
    <w:rsid w:val="00790295"/>
    <w:rsid w:val="0079070D"/>
    <w:rsid w:val="00791547"/>
    <w:rsid w:val="0079160C"/>
    <w:rsid w:val="00791AC4"/>
    <w:rsid w:val="00792A6E"/>
    <w:rsid w:val="00792D45"/>
    <w:rsid w:val="00793879"/>
    <w:rsid w:val="00793A62"/>
    <w:rsid w:val="00794307"/>
    <w:rsid w:val="007944C0"/>
    <w:rsid w:val="00794DAA"/>
    <w:rsid w:val="00794DB4"/>
    <w:rsid w:val="00796092"/>
    <w:rsid w:val="0079632C"/>
    <w:rsid w:val="00796A8C"/>
    <w:rsid w:val="00796B7E"/>
    <w:rsid w:val="00797AB4"/>
    <w:rsid w:val="00797FB4"/>
    <w:rsid w:val="007A0073"/>
    <w:rsid w:val="007A0317"/>
    <w:rsid w:val="007A04AB"/>
    <w:rsid w:val="007A14BD"/>
    <w:rsid w:val="007A23B9"/>
    <w:rsid w:val="007A3701"/>
    <w:rsid w:val="007A3A24"/>
    <w:rsid w:val="007A3FFA"/>
    <w:rsid w:val="007A4A53"/>
    <w:rsid w:val="007A4C1C"/>
    <w:rsid w:val="007A52CE"/>
    <w:rsid w:val="007A67E2"/>
    <w:rsid w:val="007A6842"/>
    <w:rsid w:val="007A6C72"/>
    <w:rsid w:val="007A6C98"/>
    <w:rsid w:val="007B0DF4"/>
    <w:rsid w:val="007B0F94"/>
    <w:rsid w:val="007B10D3"/>
    <w:rsid w:val="007B12E1"/>
    <w:rsid w:val="007B1C20"/>
    <w:rsid w:val="007B1C7B"/>
    <w:rsid w:val="007B20E4"/>
    <w:rsid w:val="007B39AE"/>
    <w:rsid w:val="007B3F21"/>
    <w:rsid w:val="007B42E9"/>
    <w:rsid w:val="007B467B"/>
    <w:rsid w:val="007B563F"/>
    <w:rsid w:val="007B5D28"/>
    <w:rsid w:val="007B5F19"/>
    <w:rsid w:val="007B716B"/>
    <w:rsid w:val="007B741F"/>
    <w:rsid w:val="007B7608"/>
    <w:rsid w:val="007B7BE7"/>
    <w:rsid w:val="007C1D7E"/>
    <w:rsid w:val="007C20AD"/>
    <w:rsid w:val="007C3323"/>
    <w:rsid w:val="007C3906"/>
    <w:rsid w:val="007C3FA9"/>
    <w:rsid w:val="007C4F46"/>
    <w:rsid w:val="007C541B"/>
    <w:rsid w:val="007C5FEA"/>
    <w:rsid w:val="007C7A92"/>
    <w:rsid w:val="007C7E64"/>
    <w:rsid w:val="007D014F"/>
    <w:rsid w:val="007D0C36"/>
    <w:rsid w:val="007D19BE"/>
    <w:rsid w:val="007D38C9"/>
    <w:rsid w:val="007D3F3B"/>
    <w:rsid w:val="007D46D2"/>
    <w:rsid w:val="007D4D55"/>
    <w:rsid w:val="007D4FA9"/>
    <w:rsid w:val="007D531E"/>
    <w:rsid w:val="007D57EB"/>
    <w:rsid w:val="007D6199"/>
    <w:rsid w:val="007D6541"/>
    <w:rsid w:val="007D6616"/>
    <w:rsid w:val="007E071F"/>
    <w:rsid w:val="007E09FD"/>
    <w:rsid w:val="007E105D"/>
    <w:rsid w:val="007E10A3"/>
    <w:rsid w:val="007E1865"/>
    <w:rsid w:val="007E1DE9"/>
    <w:rsid w:val="007E2507"/>
    <w:rsid w:val="007E2D61"/>
    <w:rsid w:val="007E37B0"/>
    <w:rsid w:val="007E388A"/>
    <w:rsid w:val="007E52E1"/>
    <w:rsid w:val="007E5C3E"/>
    <w:rsid w:val="007E6CC4"/>
    <w:rsid w:val="007E79C6"/>
    <w:rsid w:val="007F0E30"/>
    <w:rsid w:val="007F1290"/>
    <w:rsid w:val="007F33EF"/>
    <w:rsid w:val="007F3BBC"/>
    <w:rsid w:val="007F3CBC"/>
    <w:rsid w:val="007F40E6"/>
    <w:rsid w:val="007F40FC"/>
    <w:rsid w:val="007F4304"/>
    <w:rsid w:val="007F4550"/>
    <w:rsid w:val="007F4F79"/>
    <w:rsid w:val="008002F0"/>
    <w:rsid w:val="00800898"/>
    <w:rsid w:val="00801765"/>
    <w:rsid w:val="008017D3"/>
    <w:rsid w:val="00801BF6"/>
    <w:rsid w:val="00801DDE"/>
    <w:rsid w:val="00802098"/>
    <w:rsid w:val="0080215B"/>
    <w:rsid w:val="00802763"/>
    <w:rsid w:val="00802A8E"/>
    <w:rsid w:val="00803617"/>
    <w:rsid w:val="008039AA"/>
    <w:rsid w:val="008049F1"/>
    <w:rsid w:val="0080513D"/>
    <w:rsid w:val="0080537A"/>
    <w:rsid w:val="00805ADA"/>
    <w:rsid w:val="00805DC7"/>
    <w:rsid w:val="008067B6"/>
    <w:rsid w:val="0080709F"/>
    <w:rsid w:val="008078E2"/>
    <w:rsid w:val="00812378"/>
    <w:rsid w:val="00812389"/>
    <w:rsid w:val="00812524"/>
    <w:rsid w:val="00812F95"/>
    <w:rsid w:val="00813993"/>
    <w:rsid w:val="00814043"/>
    <w:rsid w:val="00814AF9"/>
    <w:rsid w:val="00814BEB"/>
    <w:rsid w:val="00814D9A"/>
    <w:rsid w:val="008150C6"/>
    <w:rsid w:val="00817C2D"/>
    <w:rsid w:val="00817D21"/>
    <w:rsid w:val="008210A7"/>
    <w:rsid w:val="008213B2"/>
    <w:rsid w:val="008215F6"/>
    <w:rsid w:val="00822169"/>
    <w:rsid w:val="00822D5A"/>
    <w:rsid w:val="008230BB"/>
    <w:rsid w:val="008234A6"/>
    <w:rsid w:val="00823A9B"/>
    <w:rsid w:val="0082630C"/>
    <w:rsid w:val="00826E7E"/>
    <w:rsid w:val="00827B0D"/>
    <w:rsid w:val="008303B9"/>
    <w:rsid w:val="008314CE"/>
    <w:rsid w:val="00831A5F"/>
    <w:rsid w:val="00831D0D"/>
    <w:rsid w:val="0083278B"/>
    <w:rsid w:val="00832F82"/>
    <w:rsid w:val="00833009"/>
    <w:rsid w:val="00833877"/>
    <w:rsid w:val="0083507F"/>
    <w:rsid w:val="00835B34"/>
    <w:rsid w:val="0083742F"/>
    <w:rsid w:val="00837F76"/>
    <w:rsid w:val="0084024A"/>
    <w:rsid w:val="00840416"/>
    <w:rsid w:val="00841411"/>
    <w:rsid w:val="00841863"/>
    <w:rsid w:val="00841CD7"/>
    <w:rsid w:val="00842812"/>
    <w:rsid w:val="00843821"/>
    <w:rsid w:val="008446A6"/>
    <w:rsid w:val="00845BE9"/>
    <w:rsid w:val="008460DC"/>
    <w:rsid w:val="008463D5"/>
    <w:rsid w:val="0084694D"/>
    <w:rsid w:val="008479BE"/>
    <w:rsid w:val="00850EA5"/>
    <w:rsid w:val="008513A9"/>
    <w:rsid w:val="00852382"/>
    <w:rsid w:val="008528F8"/>
    <w:rsid w:val="00854DBC"/>
    <w:rsid w:val="0085541F"/>
    <w:rsid w:val="00855E59"/>
    <w:rsid w:val="008566C9"/>
    <w:rsid w:val="00856994"/>
    <w:rsid w:val="00860095"/>
    <w:rsid w:val="00860856"/>
    <w:rsid w:val="00860F05"/>
    <w:rsid w:val="00861879"/>
    <w:rsid w:val="00862558"/>
    <w:rsid w:val="008629DA"/>
    <w:rsid w:val="0086315B"/>
    <w:rsid w:val="008635F0"/>
    <w:rsid w:val="00863C2C"/>
    <w:rsid w:val="00863DA6"/>
    <w:rsid w:val="00863DB5"/>
    <w:rsid w:val="008641D9"/>
    <w:rsid w:val="008644A3"/>
    <w:rsid w:val="0086477B"/>
    <w:rsid w:val="00865042"/>
    <w:rsid w:val="008666B2"/>
    <w:rsid w:val="008667E2"/>
    <w:rsid w:val="0086D6B2"/>
    <w:rsid w:val="008706F4"/>
    <w:rsid w:val="008707D6"/>
    <w:rsid w:val="00870974"/>
    <w:rsid w:val="0087197B"/>
    <w:rsid w:val="008729E5"/>
    <w:rsid w:val="00872C4E"/>
    <w:rsid w:val="0087491A"/>
    <w:rsid w:val="00874DA8"/>
    <w:rsid w:val="00874FF0"/>
    <w:rsid w:val="008753B5"/>
    <w:rsid w:val="00875A82"/>
    <w:rsid w:val="00875F1F"/>
    <w:rsid w:val="008760A7"/>
    <w:rsid w:val="0087694F"/>
    <w:rsid w:val="00877784"/>
    <w:rsid w:val="008777D0"/>
    <w:rsid w:val="00880DBE"/>
    <w:rsid w:val="0088139F"/>
    <w:rsid w:val="00881729"/>
    <w:rsid w:val="00881EF5"/>
    <w:rsid w:val="008821CD"/>
    <w:rsid w:val="00882D15"/>
    <w:rsid w:val="0088307D"/>
    <w:rsid w:val="00883BF1"/>
    <w:rsid w:val="00885172"/>
    <w:rsid w:val="00885B85"/>
    <w:rsid w:val="00885BFD"/>
    <w:rsid w:val="00885F80"/>
    <w:rsid w:val="008861D5"/>
    <w:rsid w:val="00886D2B"/>
    <w:rsid w:val="008872F6"/>
    <w:rsid w:val="00887326"/>
    <w:rsid w:val="00887339"/>
    <w:rsid w:val="00887347"/>
    <w:rsid w:val="0088D799"/>
    <w:rsid w:val="00891151"/>
    <w:rsid w:val="00891F8F"/>
    <w:rsid w:val="0089265D"/>
    <w:rsid w:val="00892CE3"/>
    <w:rsid w:val="00894754"/>
    <w:rsid w:val="00894DB3"/>
    <w:rsid w:val="00895110"/>
    <w:rsid w:val="00896787"/>
    <w:rsid w:val="00896F5C"/>
    <w:rsid w:val="00897889"/>
    <w:rsid w:val="008A0975"/>
    <w:rsid w:val="008A102D"/>
    <w:rsid w:val="008A2B4D"/>
    <w:rsid w:val="008A2ECE"/>
    <w:rsid w:val="008A3118"/>
    <w:rsid w:val="008A317D"/>
    <w:rsid w:val="008A5214"/>
    <w:rsid w:val="008A53C4"/>
    <w:rsid w:val="008A58ED"/>
    <w:rsid w:val="008A62DC"/>
    <w:rsid w:val="008A62E6"/>
    <w:rsid w:val="008A6620"/>
    <w:rsid w:val="008A7760"/>
    <w:rsid w:val="008B0030"/>
    <w:rsid w:val="008B044F"/>
    <w:rsid w:val="008B114A"/>
    <w:rsid w:val="008B1374"/>
    <w:rsid w:val="008B23F9"/>
    <w:rsid w:val="008B296E"/>
    <w:rsid w:val="008B2A20"/>
    <w:rsid w:val="008B32D8"/>
    <w:rsid w:val="008B3AD5"/>
    <w:rsid w:val="008B42E9"/>
    <w:rsid w:val="008B443E"/>
    <w:rsid w:val="008B531A"/>
    <w:rsid w:val="008B531D"/>
    <w:rsid w:val="008B53DC"/>
    <w:rsid w:val="008B581C"/>
    <w:rsid w:val="008B5B78"/>
    <w:rsid w:val="008B63FC"/>
    <w:rsid w:val="008B67B5"/>
    <w:rsid w:val="008C04E5"/>
    <w:rsid w:val="008C069B"/>
    <w:rsid w:val="008C0B0B"/>
    <w:rsid w:val="008C0BEC"/>
    <w:rsid w:val="008C0C1B"/>
    <w:rsid w:val="008C13CD"/>
    <w:rsid w:val="008C1F7D"/>
    <w:rsid w:val="008C4558"/>
    <w:rsid w:val="008C46F1"/>
    <w:rsid w:val="008C60FF"/>
    <w:rsid w:val="008C69F1"/>
    <w:rsid w:val="008C6BFD"/>
    <w:rsid w:val="008C6C1E"/>
    <w:rsid w:val="008C6F15"/>
    <w:rsid w:val="008C7AF2"/>
    <w:rsid w:val="008C7E24"/>
    <w:rsid w:val="008C7EF8"/>
    <w:rsid w:val="008D0B83"/>
    <w:rsid w:val="008D1050"/>
    <w:rsid w:val="008D1271"/>
    <w:rsid w:val="008D32CD"/>
    <w:rsid w:val="008D3FF0"/>
    <w:rsid w:val="008D48C5"/>
    <w:rsid w:val="008D4C72"/>
    <w:rsid w:val="008D4DB8"/>
    <w:rsid w:val="008D4F9E"/>
    <w:rsid w:val="008E06F2"/>
    <w:rsid w:val="008E10BA"/>
    <w:rsid w:val="008E25C3"/>
    <w:rsid w:val="008E2EA5"/>
    <w:rsid w:val="008E30D7"/>
    <w:rsid w:val="008E5E54"/>
    <w:rsid w:val="008E74E8"/>
    <w:rsid w:val="008E7B5B"/>
    <w:rsid w:val="008EC903"/>
    <w:rsid w:val="008F021F"/>
    <w:rsid w:val="008F02E1"/>
    <w:rsid w:val="008F15DF"/>
    <w:rsid w:val="008F1AE7"/>
    <w:rsid w:val="008F1EB6"/>
    <w:rsid w:val="008F1FB7"/>
    <w:rsid w:val="008F2603"/>
    <w:rsid w:val="008F2D66"/>
    <w:rsid w:val="008F3991"/>
    <w:rsid w:val="008F3BE6"/>
    <w:rsid w:val="008F4C2D"/>
    <w:rsid w:val="008F4F6D"/>
    <w:rsid w:val="008F5775"/>
    <w:rsid w:val="008F67A0"/>
    <w:rsid w:val="008F7859"/>
    <w:rsid w:val="00901F54"/>
    <w:rsid w:val="0090211A"/>
    <w:rsid w:val="009041DE"/>
    <w:rsid w:val="00904360"/>
    <w:rsid w:val="00904528"/>
    <w:rsid w:val="00904F8C"/>
    <w:rsid w:val="00905711"/>
    <w:rsid w:val="0090654B"/>
    <w:rsid w:val="00906B27"/>
    <w:rsid w:val="00907C66"/>
    <w:rsid w:val="009119FA"/>
    <w:rsid w:val="00912272"/>
    <w:rsid w:val="00912321"/>
    <w:rsid w:val="009128F2"/>
    <w:rsid w:val="00912B97"/>
    <w:rsid w:val="009141BD"/>
    <w:rsid w:val="00914D3B"/>
    <w:rsid w:val="00915309"/>
    <w:rsid w:val="009166EA"/>
    <w:rsid w:val="00917348"/>
    <w:rsid w:val="00917477"/>
    <w:rsid w:val="00920AA4"/>
    <w:rsid w:val="00921194"/>
    <w:rsid w:val="00921904"/>
    <w:rsid w:val="00921C9C"/>
    <w:rsid w:val="00921DF2"/>
    <w:rsid w:val="00923388"/>
    <w:rsid w:val="009235FA"/>
    <w:rsid w:val="0092375F"/>
    <w:rsid w:val="00923A6C"/>
    <w:rsid w:val="009245A3"/>
    <w:rsid w:val="00924A87"/>
    <w:rsid w:val="00925065"/>
    <w:rsid w:val="009265FE"/>
    <w:rsid w:val="009272DB"/>
    <w:rsid w:val="00927E49"/>
    <w:rsid w:val="0093020B"/>
    <w:rsid w:val="00930735"/>
    <w:rsid w:val="009309FB"/>
    <w:rsid w:val="009315F1"/>
    <w:rsid w:val="00931F1F"/>
    <w:rsid w:val="00932BCF"/>
    <w:rsid w:val="009335C8"/>
    <w:rsid w:val="00933A21"/>
    <w:rsid w:val="009342D5"/>
    <w:rsid w:val="009358A8"/>
    <w:rsid w:val="00935A8C"/>
    <w:rsid w:val="00937784"/>
    <w:rsid w:val="009402A6"/>
    <w:rsid w:val="009404B8"/>
    <w:rsid w:val="009404D9"/>
    <w:rsid w:val="00940732"/>
    <w:rsid w:val="00940FE2"/>
    <w:rsid w:val="00941D2F"/>
    <w:rsid w:val="009420C9"/>
    <w:rsid w:val="0094235A"/>
    <w:rsid w:val="00943A5E"/>
    <w:rsid w:val="0094420C"/>
    <w:rsid w:val="0094489C"/>
    <w:rsid w:val="00944AC4"/>
    <w:rsid w:val="009455DB"/>
    <w:rsid w:val="0094570A"/>
    <w:rsid w:val="00946D8A"/>
    <w:rsid w:val="0094700B"/>
    <w:rsid w:val="009478A2"/>
    <w:rsid w:val="00947BC5"/>
    <w:rsid w:val="009505AD"/>
    <w:rsid w:val="00950B82"/>
    <w:rsid w:val="00951506"/>
    <w:rsid w:val="00952A14"/>
    <w:rsid w:val="00952C43"/>
    <w:rsid w:val="00953105"/>
    <w:rsid w:val="00953EEB"/>
    <w:rsid w:val="0095431C"/>
    <w:rsid w:val="00954444"/>
    <w:rsid w:val="0095480C"/>
    <w:rsid w:val="00954C84"/>
    <w:rsid w:val="00955790"/>
    <w:rsid w:val="00955963"/>
    <w:rsid w:val="009559F5"/>
    <w:rsid w:val="00955E37"/>
    <w:rsid w:val="00956E75"/>
    <w:rsid w:val="00957052"/>
    <w:rsid w:val="0095723C"/>
    <w:rsid w:val="0095747A"/>
    <w:rsid w:val="00957D88"/>
    <w:rsid w:val="00957E30"/>
    <w:rsid w:val="00957F9F"/>
    <w:rsid w:val="009602BA"/>
    <w:rsid w:val="00960FA1"/>
    <w:rsid w:val="00961838"/>
    <w:rsid w:val="00961849"/>
    <w:rsid w:val="00962E66"/>
    <w:rsid w:val="0096304F"/>
    <w:rsid w:val="00963CAF"/>
    <w:rsid w:val="009649C9"/>
    <w:rsid w:val="00964A52"/>
    <w:rsid w:val="00964ECE"/>
    <w:rsid w:val="00965620"/>
    <w:rsid w:val="00965F1A"/>
    <w:rsid w:val="009676DF"/>
    <w:rsid w:val="00967DC0"/>
    <w:rsid w:val="00970142"/>
    <w:rsid w:val="0097077A"/>
    <w:rsid w:val="00970D00"/>
    <w:rsid w:val="00971B23"/>
    <w:rsid w:val="00971E76"/>
    <w:rsid w:val="00972336"/>
    <w:rsid w:val="00973483"/>
    <w:rsid w:val="0097392C"/>
    <w:rsid w:val="0097431B"/>
    <w:rsid w:val="0097449C"/>
    <w:rsid w:val="0097485F"/>
    <w:rsid w:val="009752A9"/>
    <w:rsid w:val="0097662A"/>
    <w:rsid w:val="00976846"/>
    <w:rsid w:val="0097698B"/>
    <w:rsid w:val="00976B7C"/>
    <w:rsid w:val="00976CFF"/>
    <w:rsid w:val="009802D6"/>
    <w:rsid w:val="00980C8B"/>
    <w:rsid w:val="00980DF7"/>
    <w:rsid w:val="009815C5"/>
    <w:rsid w:val="009825E4"/>
    <w:rsid w:val="00983156"/>
    <w:rsid w:val="0098384D"/>
    <w:rsid w:val="00983935"/>
    <w:rsid w:val="00984071"/>
    <w:rsid w:val="0098498A"/>
    <w:rsid w:val="00984DD0"/>
    <w:rsid w:val="00986A8A"/>
    <w:rsid w:val="00991770"/>
    <w:rsid w:val="00991CA9"/>
    <w:rsid w:val="00991DBC"/>
    <w:rsid w:val="0099215A"/>
    <w:rsid w:val="00994C0C"/>
    <w:rsid w:val="009950E2"/>
    <w:rsid w:val="00996245"/>
    <w:rsid w:val="00996325"/>
    <w:rsid w:val="00996E11"/>
    <w:rsid w:val="00997249"/>
    <w:rsid w:val="00997568"/>
    <w:rsid w:val="009979ED"/>
    <w:rsid w:val="009A0BE3"/>
    <w:rsid w:val="009A0CF1"/>
    <w:rsid w:val="009A13A5"/>
    <w:rsid w:val="009A1A79"/>
    <w:rsid w:val="009A2028"/>
    <w:rsid w:val="009A278A"/>
    <w:rsid w:val="009A303F"/>
    <w:rsid w:val="009A4001"/>
    <w:rsid w:val="009A51ED"/>
    <w:rsid w:val="009A5F9A"/>
    <w:rsid w:val="009A7297"/>
    <w:rsid w:val="009A7C88"/>
    <w:rsid w:val="009A7EAD"/>
    <w:rsid w:val="009B1E49"/>
    <w:rsid w:val="009B2095"/>
    <w:rsid w:val="009B23B0"/>
    <w:rsid w:val="009B23C3"/>
    <w:rsid w:val="009B2920"/>
    <w:rsid w:val="009B34E9"/>
    <w:rsid w:val="009B3A5D"/>
    <w:rsid w:val="009B4D1E"/>
    <w:rsid w:val="009B5E1A"/>
    <w:rsid w:val="009B658E"/>
    <w:rsid w:val="009B67E1"/>
    <w:rsid w:val="009B696A"/>
    <w:rsid w:val="009B6E2F"/>
    <w:rsid w:val="009B7149"/>
    <w:rsid w:val="009B727F"/>
    <w:rsid w:val="009C0A69"/>
    <w:rsid w:val="009C0BB8"/>
    <w:rsid w:val="009C1289"/>
    <w:rsid w:val="009C1A37"/>
    <w:rsid w:val="009C1B57"/>
    <w:rsid w:val="009C1FD2"/>
    <w:rsid w:val="009C259D"/>
    <w:rsid w:val="009C3638"/>
    <w:rsid w:val="009C3768"/>
    <w:rsid w:val="009C39A5"/>
    <w:rsid w:val="009C3BC1"/>
    <w:rsid w:val="009C466F"/>
    <w:rsid w:val="009C4864"/>
    <w:rsid w:val="009C6373"/>
    <w:rsid w:val="009C6BE2"/>
    <w:rsid w:val="009C6D0B"/>
    <w:rsid w:val="009C6D11"/>
    <w:rsid w:val="009C6F77"/>
    <w:rsid w:val="009D10C3"/>
    <w:rsid w:val="009D13D1"/>
    <w:rsid w:val="009D1BC4"/>
    <w:rsid w:val="009D229C"/>
    <w:rsid w:val="009D2643"/>
    <w:rsid w:val="009D4434"/>
    <w:rsid w:val="009D4A15"/>
    <w:rsid w:val="009D4F34"/>
    <w:rsid w:val="009D5653"/>
    <w:rsid w:val="009D5729"/>
    <w:rsid w:val="009D653A"/>
    <w:rsid w:val="009D6A27"/>
    <w:rsid w:val="009D7BCD"/>
    <w:rsid w:val="009D8839"/>
    <w:rsid w:val="009E086A"/>
    <w:rsid w:val="009E0B73"/>
    <w:rsid w:val="009E0C1B"/>
    <w:rsid w:val="009E153D"/>
    <w:rsid w:val="009E1DFF"/>
    <w:rsid w:val="009E2073"/>
    <w:rsid w:val="009E225D"/>
    <w:rsid w:val="009E2CEB"/>
    <w:rsid w:val="009E4108"/>
    <w:rsid w:val="009E42D9"/>
    <w:rsid w:val="009E44C0"/>
    <w:rsid w:val="009E4A23"/>
    <w:rsid w:val="009E4B22"/>
    <w:rsid w:val="009E57A2"/>
    <w:rsid w:val="009E6DCE"/>
    <w:rsid w:val="009E6EDC"/>
    <w:rsid w:val="009E7A8B"/>
    <w:rsid w:val="009E8EAD"/>
    <w:rsid w:val="009F0CD7"/>
    <w:rsid w:val="009F165C"/>
    <w:rsid w:val="009F2019"/>
    <w:rsid w:val="009F222A"/>
    <w:rsid w:val="009F2ADC"/>
    <w:rsid w:val="009F48CC"/>
    <w:rsid w:val="009F531A"/>
    <w:rsid w:val="009F5744"/>
    <w:rsid w:val="009F5802"/>
    <w:rsid w:val="009F5989"/>
    <w:rsid w:val="009F61E8"/>
    <w:rsid w:val="009F66DB"/>
    <w:rsid w:val="009F6914"/>
    <w:rsid w:val="009F7514"/>
    <w:rsid w:val="009F78E1"/>
    <w:rsid w:val="009F79D1"/>
    <w:rsid w:val="009F79E6"/>
    <w:rsid w:val="009F7B3A"/>
    <w:rsid w:val="009F7DBD"/>
    <w:rsid w:val="009F7E58"/>
    <w:rsid w:val="00A001B7"/>
    <w:rsid w:val="00A002CB"/>
    <w:rsid w:val="00A006FA"/>
    <w:rsid w:val="00A0083F"/>
    <w:rsid w:val="00A01932"/>
    <w:rsid w:val="00A0244C"/>
    <w:rsid w:val="00A03A51"/>
    <w:rsid w:val="00A03D84"/>
    <w:rsid w:val="00A0459E"/>
    <w:rsid w:val="00A0555A"/>
    <w:rsid w:val="00A06201"/>
    <w:rsid w:val="00A06BBA"/>
    <w:rsid w:val="00A06DE7"/>
    <w:rsid w:val="00A0711E"/>
    <w:rsid w:val="00A103D9"/>
    <w:rsid w:val="00A11347"/>
    <w:rsid w:val="00A116F2"/>
    <w:rsid w:val="00A12216"/>
    <w:rsid w:val="00A12948"/>
    <w:rsid w:val="00A12CAB"/>
    <w:rsid w:val="00A13410"/>
    <w:rsid w:val="00A13932"/>
    <w:rsid w:val="00A140F2"/>
    <w:rsid w:val="00A147E3"/>
    <w:rsid w:val="00A14BC6"/>
    <w:rsid w:val="00A15145"/>
    <w:rsid w:val="00A158CE"/>
    <w:rsid w:val="00A15B64"/>
    <w:rsid w:val="00A16139"/>
    <w:rsid w:val="00A161BE"/>
    <w:rsid w:val="00A1667C"/>
    <w:rsid w:val="00A16A01"/>
    <w:rsid w:val="00A16DD7"/>
    <w:rsid w:val="00A17770"/>
    <w:rsid w:val="00A216D9"/>
    <w:rsid w:val="00A21E92"/>
    <w:rsid w:val="00A224F2"/>
    <w:rsid w:val="00A23DB7"/>
    <w:rsid w:val="00A25F07"/>
    <w:rsid w:val="00A26722"/>
    <w:rsid w:val="00A26869"/>
    <w:rsid w:val="00A2695B"/>
    <w:rsid w:val="00A26C4E"/>
    <w:rsid w:val="00A2704B"/>
    <w:rsid w:val="00A301D0"/>
    <w:rsid w:val="00A30465"/>
    <w:rsid w:val="00A308D6"/>
    <w:rsid w:val="00A30C52"/>
    <w:rsid w:val="00A31EAF"/>
    <w:rsid w:val="00A31F88"/>
    <w:rsid w:val="00A32B50"/>
    <w:rsid w:val="00A33166"/>
    <w:rsid w:val="00A33435"/>
    <w:rsid w:val="00A33ACE"/>
    <w:rsid w:val="00A33F9B"/>
    <w:rsid w:val="00A34EB1"/>
    <w:rsid w:val="00A3531C"/>
    <w:rsid w:val="00A35665"/>
    <w:rsid w:val="00A35F0B"/>
    <w:rsid w:val="00A365ED"/>
    <w:rsid w:val="00A36D69"/>
    <w:rsid w:val="00A36DA3"/>
    <w:rsid w:val="00A37C9A"/>
    <w:rsid w:val="00A40BF7"/>
    <w:rsid w:val="00A40C42"/>
    <w:rsid w:val="00A40E11"/>
    <w:rsid w:val="00A41CDC"/>
    <w:rsid w:val="00A427E8"/>
    <w:rsid w:val="00A42841"/>
    <w:rsid w:val="00A43158"/>
    <w:rsid w:val="00A43DCC"/>
    <w:rsid w:val="00A442AC"/>
    <w:rsid w:val="00A443D4"/>
    <w:rsid w:val="00A4451E"/>
    <w:rsid w:val="00A446CD"/>
    <w:rsid w:val="00A45778"/>
    <w:rsid w:val="00A45B2E"/>
    <w:rsid w:val="00A47B7C"/>
    <w:rsid w:val="00A47C9C"/>
    <w:rsid w:val="00A50D3E"/>
    <w:rsid w:val="00A50DDB"/>
    <w:rsid w:val="00A50F53"/>
    <w:rsid w:val="00A51723"/>
    <w:rsid w:val="00A53278"/>
    <w:rsid w:val="00A538DA"/>
    <w:rsid w:val="00A53D15"/>
    <w:rsid w:val="00A53FAB"/>
    <w:rsid w:val="00A54414"/>
    <w:rsid w:val="00A549D4"/>
    <w:rsid w:val="00A549FE"/>
    <w:rsid w:val="00A54A67"/>
    <w:rsid w:val="00A55CCA"/>
    <w:rsid w:val="00A56F52"/>
    <w:rsid w:val="00A60062"/>
    <w:rsid w:val="00A6123C"/>
    <w:rsid w:val="00A61278"/>
    <w:rsid w:val="00A614A1"/>
    <w:rsid w:val="00A61FB6"/>
    <w:rsid w:val="00A6245F"/>
    <w:rsid w:val="00A63422"/>
    <w:rsid w:val="00A64417"/>
    <w:rsid w:val="00A64F37"/>
    <w:rsid w:val="00A65C35"/>
    <w:rsid w:val="00A670E5"/>
    <w:rsid w:val="00A67B52"/>
    <w:rsid w:val="00A7080B"/>
    <w:rsid w:val="00A708D1"/>
    <w:rsid w:val="00A71087"/>
    <w:rsid w:val="00A71329"/>
    <w:rsid w:val="00A7308E"/>
    <w:rsid w:val="00A7346A"/>
    <w:rsid w:val="00A73FA2"/>
    <w:rsid w:val="00A74259"/>
    <w:rsid w:val="00A74C9C"/>
    <w:rsid w:val="00A75B4E"/>
    <w:rsid w:val="00A760D9"/>
    <w:rsid w:val="00A76E74"/>
    <w:rsid w:val="00A77036"/>
    <w:rsid w:val="00A804AF"/>
    <w:rsid w:val="00A80C6E"/>
    <w:rsid w:val="00A8185D"/>
    <w:rsid w:val="00A81B59"/>
    <w:rsid w:val="00A83106"/>
    <w:rsid w:val="00A8555F"/>
    <w:rsid w:val="00A86357"/>
    <w:rsid w:val="00A877C9"/>
    <w:rsid w:val="00A9030D"/>
    <w:rsid w:val="00A908BA"/>
    <w:rsid w:val="00A921BC"/>
    <w:rsid w:val="00A93A58"/>
    <w:rsid w:val="00A93DF5"/>
    <w:rsid w:val="00A9403C"/>
    <w:rsid w:val="00A9565D"/>
    <w:rsid w:val="00A9615A"/>
    <w:rsid w:val="00A97436"/>
    <w:rsid w:val="00A9DD47"/>
    <w:rsid w:val="00AA07E6"/>
    <w:rsid w:val="00AA0927"/>
    <w:rsid w:val="00AA0AE7"/>
    <w:rsid w:val="00AA0D3E"/>
    <w:rsid w:val="00AA15B0"/>
    <w:rsid w:val="00AA24C0"/>
    <w:rsid w:val="00AA2AFD"/>
    <w:rsid w:val="00AA359D"/>
    <w:rsid w:val="00AA5890"/>
    <w:rsid w:val="00AA6738"/>
    <w:rsid w:val="00AA67DC"/>
    <w:rsid w:val="00AA7B1E"/>
    <w:rsid w:val="00AA7C08"/>
    <w:rsid w:val="00AA7F6C"/>
    <w:rsid w:val="00AB0969"/>
    <w:rsid w:val="00AB119E"/>
    <w:rsid w:val="00AB1E19"/>
    <w:rsid w:val="00AB241D"/>
    <w:rsid w:val="00AB25DB"/>
    <w:rsid w:val="00AB2B9C"/>
    <w:rsid w:val="00AB2D17"/>
    <w:rsid w:val="00AB3209"/>
    <w:rsid w:val="00AB41B4"/>
    <w:rsid w:val="00AB4E73"/>
    <w:rsid w:val="00AB5B20"/>
    <w:rsid w:val="00AB5B45"/>
    <w:rsid w:val="00AB605A"/>
    <w:rsid w:val="00AB684A"/>
    <w:rsid w:val="00AB6BC3"/>
    <w:rsid w:val="00AB6C02"/>
    <w:rsid w:val="00AB75A5"/>
    <w:rsid w:val="00AB7C78"/>
    <w:rsid w:val="00AC0E68"/>
    <w:rsid w:val="00AC4190"/>
    <w:rsid w:val="00AC4500"/>
    <w:rsid w:val="00AC460A"/>
    <w:rsid w:val="00AC4767"/>
    <w:rsid w:val="00AC4F4E"/>
    <w:rsid w:val="00AC5489"/>
    <w:rsid w:val="00AC61D9"/>
    <w:rsid w:val="00AC7314"/>
    <w:rsid w:val="00AC7ED6"/>
    <w:rsid w:val="00AC7F7F"/>
    <w:rsid w:val="00AD05F9"/>
    <w:rsid w:val="00AD0992"/>
    <w:rsid w:val="00AD1371"/>
    <w:rsid w:val="00AD15A6"/>
    <w:rsid w:val="00AD1726"/>
    <w:rsid w:val="00AD1994"/>
    <w:rsid w:val="00AD28E6"/>
    <w:rsid w:val="00AD2CA2"/>
    <w:rsid w:val="00AD4AEC"/>
    <w:rsid w:val="00AD51C3"/>
    <w:rsid w:val="00AD536D"/>
    <w:rsid w:val="00AD5CF6"/>
    <w:rsid w:val="00AD5E4A"/>
    <w:rsid w:val="00AD63B0"/>
    <w:rsid w:val="00AD6733"/>
    <w:rsid w:val="00AD67CB"/>
    <w:rsid w:val="00AD6CEF"/>
    <w:rsid w:val="00AD7A07"/>
    <w:rsid w:val="00AE0575"/>
    <w:rsid w:val="00AE0934"/>
    <w:rsid w:val="00AE0F57"/>
    <w:rsid w:val="00AE1008"/>
    <w:rsid w:val="00AE107E"/>
    <w:rsid w:val="00AE12C4"/>
    <w:rsid w:val="00AE13B9"/>
    <w:rsid w:val="00AE1B20"/>
    <w:rsid w:val="00AE26B9"/>
    <w:rsid w:val="00AE3370"/>
    <w:rsid w:val="00AE34EF"/>
    <w:rsid w:val="00AE3997"/>
    <w:rsid w:val="00AE4456"/>
    <w:rsid w:val="00AE4962"/>
    <w:rsid w:val="00AE4FB4"/>
    <w:rsid w:val="00AE6018"/>
    <w:rsid w:val="00AE613D"/>
    <w:rsid w:val="00AE64CD"/>
    <w:rsid w:val="00AE65EC"/>
    <w:rsid w:val="00AE705F"/>
    <w:rsid w:val="00AE78DB"/>
    <w:rsid w:val="00AF1329"/>
    <w:rsid w:val="00AF1C58"/>
    <w:rsid w:val="00AF24A6"/>
    <w:rsid w:val="00AF2969"/>
    <w:rsid w:val="00AF2F86"/>
    <w:rsid w:val="00AF3554"/>
    <w:rsid w:val="00AF366D"/>
    <w:rsid w:val="00AF441B"/>
    <w:rsid w:val="00AF51FC"/>
    <w:rsid w:val="00AF56C0"/>
    <w:rsid w:val="00AF6321"/>
    <w:rsid w:val="00AF6736"/>
    <w:rsid w:val="00B0102B"/>
    <w:rsid w:val="00B010E0"/>
    <w:rsid w:val="00B02681"/>
    <w:rsid w:val="00B02ECF"/>
    <w:rsid w:val="00B030B2"/>
    <w:rsid w:val="00B03A6D"/>
    <w:rsid w:val="00B050CE"/>
    <w:rsid w:val="00B051C4"/>
    <w:rsid w:val="00B05E02"/>
    <w:rsid w:val="00B06BCE"/>
    <w:rsid w:val="00B0795F"/>
    <w:rsid w:val="00B07BA0"/>
    <w:rsid w:val="00B07E28"/>
    <w:rsid w:val="00B107C8"/>
    <w:rsid w:val="00B1152C"/>
    <w:rsid w:val="00B115CB"/>
    <w:rsid w:val="00B119CE"/>
    <w:rsid w:val="00B1268D"/>
    <w:rsid w:val="00B129CB"/>
    <w:rsid w:val="00B12B47"/>
    <w:rsid w:val="00B13E49"/>
    <w:rsid w:val="00B13ED2"/>
    <w:rsid w:val="00B13F12"/>
    <w:rsid w:val="00B14A53"/>
    <w:rsid w:val="00B16D15"/>
    <w:rsid w:val="00B16EF3"/>
    <w:rsid w:val="00B174C1"/>
    <w:rsid w:val="00B17ACD"/>
    <w:rsid w:val="00B2096F"/>
    <w:rsid w:val="00B23075"/>
    <w:rsid w:val="00B2309F"/>
    <w:rsid w:val="00B23A81"/>
    <w:rsid w:val="00B2405B"/>
    <w:rsid w:val="00B24316"/>
    <w:rsid w:val="00B2470B"/>
    <w:rsid w:val="00B2495B"/>
    <w:rsid w:val="00B25445"/>
    <w:rsid w:val="00B25BA3"/>
    <w:rsid w:val="00B260F4"/>
    <w:rsid w:val="00B26398"/>
    <w:rsid w:val="00B2667C"/>
    <w:rsid w:val="00B26839"/>
    <w:rsid w:val="00B30B87"/>
    <w:rsid w:val="00B30F54"/>
    <w:rsid w:val="00B31C66"/>
    <w:rsid w:val="00B32253"/>
    <w:rsid w:val="00B33DCC"/>
    <w:rsid w:val="00B34076"/>
    <w:rsid w:val="00B3563D"/>
    <w:rsid w:val="00B36769"/>
    <w:rsid w:val="00B37ABA"/>
    <w:rsid w:val="00B40030"/>
    <w:rsid w:val="00B40B18"/>
    <w:rsid w:val="00B40BEE"/>
    <w:rsid w:val="00B40D65"/>
    <w:rsid w:val="00B4129B"/>
    <w:rsid w:val="00B41434"/>
    <w:rsid w:val="00B42732"/>
    <w:rsid w:val="00B4288C"/>
    <w:rsid w:val="00B4457C"/>
    <w:rsid w:val="00B457CB"/>
    <w:rsid w:val="00B4590E"/>
    <w:rsid w:val="00B45F29"/>
    <w:rsid w:val="00B464A9"/>
    <w:rsid w:val="00B5082B"/>
    <w:rsid w:val="00B50CCF"/>
    <w:rsid w:val="00B51231"/>
    <w:rsid w:val="00B51B0F"/>
    <w:rsid w:val="00B53549"/>
    <w:rsid w:val="00B547CE"/>
    <w:rsid w:val="00B54B1A"/>
    <w:rsid w:val="00B54ED7"/>
    <w:rsid w:val="00B55677"/>
    <w:rsid w:val="00B556EB"/>
    <w:rsid w:val="00B55DC9"/>
    <w:rsid w:val="00B60E10"/>
    <w:rsid w:val="00B61341"/>
    <w:rsid w:val="00B6136B"/>
    <w:rsid w:val="00B61BBA"/>
    <w:rsid w:val="00B62669"/>
    <w:rsid w:val="00B62BFB"/>
    <w:rsid w:val="00B62C82"/>
    <w:rsid w:val="00B647EA"/>
    <w:rsid w:val="00B6558B"/>
    <w:rsid w:val="00B655B5"/>
    <w:rsid w:val="00B65735"/>
    <w:rsid w:val="00B65891"/>
    <w:rsid w:val="00B65B0A"/>
    <w:rsid w:val="00B66059"/>
    <w:rsid w:val="00B66541"/>
    <w:rsid w:val="00B6783A"/>
    <w:rsid w:val="00B67E23"/>
    <w:rsid w:val="00B70A4C"/>
    <w:rsid w:val="00B71117"/>
    <w:rsid w:val="00B72D82"/>
    <w:rsid w:val="00B73CD6"/>
    <w:rsid w:val="00B73EFB"/>
    <w:rsid w:val="00B743D2"/>
    <w:rsid w:val="00B7506E"/>
    <w:rsid w:val="00B7583B"/>
    <w:rsid w:val="00B75E1D"/>
    <w:rsid w:val="00B76356"/>
    <w:rsid w:val="00B7639D"/>
    <w:rsid w:val="00B76855"/>
    <w:rsid w:val="00B7698A"/>
    <w:rsid w:val="00B8038D"/>
    <w:rsid w:val="00B80656"/>
    <w:rsid w:val="00B8118B"/>
    <w:rsid w:val="00B8139F"/>
    <w:rsid w:val="00B83D08"/>
    <w:rsid w:val="00B85602"/>
    <w:rsid w:val="00B861E9"/>
    <w:rsid w:val="00B867E7"/>
    <w:rsid w:val="00B868C7"/>
    <w:rsid w:val="00B87630"/>
    <w:rsid w:val="00B90560"/>
    <w:rsid w:val="00B90D8F"/>
    <w:rsid w:val="00B911AC"/>
    <w:rsid w:val="00B91C70"/>
    <w:rsid w:val="00B91FB2"/>
    <w:rsid w:val="00B922C0"/>
    <w:rsid w:val="00B93123"/>
    <w:rsid w:val="00B938F1"/>
    <w:rsid w:val="00B93D79"/>
    <w:rsid w:val="00B93DA6"/>
    <w:rsid w:val="00B94517"/>
    <w:rsid w:val="00B94C9F"/>
    <w:rsid w:val="00B94CA7"/>
    <w:rsid w:val="00B956D7"/>
    <w:rsid w:val="00B9600F"/>
    <w:rsid w:val="00B9647A"/>
    <w:rsid w:val="00B9672A"/>
    <w:rsid w:val="00B97050"/>
    <w:rsid w:val="00BA03DB"/>
    <w:rsid w:val="00BA04E3"/>
    <w:rsid w:val="00BA1B1E"/>
    <w:rsid w:val="00BA257F"/>
    <w:rsid w:val="00BA296B"/>
    <w:rsid w:val="00BA2A8E"/>
    <w:rsid w:val="00BA2B94"/>
    <w:rsid w:val="00BA3050"/>
    <w:rsid w:val="00BA3B9B"/>
    <w:rsid w:val="00BA3BCA"/>
    <w:rsid w:val="00BA44CA"/>
    <w:rsid w:val="00BA4584"/>
    <w:rsid w:val="00BA4742"/>
    <w:rsid w:val="00BA5544"/>
    <w:rsid w:val="00BA56EB"/>
    <w:rsid w:val="00BA5EB8"/>
    <w:rsid w:val="00BA7726"/>
    <w:rsid w:val="00BA772D"/>
    <w:rsid w:val="00BB0017"/>
    <w:rsid w:val="00BB0AD5"/>
    <w:rsid w:val="00BB2831"/>
    <w:rsid w:val="00BB2ED6"/>
    <w:rsid w:val="00BB4A7E"/>
    <w:rsid w:val="00BB51C6"/>
    <w:rsid w:val="00BB5DD1"/>
    <w:rsid w:val="00BB5FD1"/>
    <w:rsid w:val="00BB6312"/>
    <w:rsid w:val="00BB6DED"/>
    <w:rsid w:val="00BB7140"/>
    <w:rsid w:val="00BB7AE8"/>
    <w:rsid w:val="00BC1641"/>
    <w:rsid w:val="00BC3E62"/>
    <w:rsid w:val="00BC3E91"/>
    <w:rsid w:val="00BC40F5"/>
    <w:rsid w:val="00BC49FA"/>
    <w:rsid w:val="00BC4CDF"/>
    <w:rsid w:val="00BC4E9A"/>
    <w:rsid w:val="00BC5331"/>
    <w:rsid w:val="00BC536C"/>
    <w:rsid w:val="00BC63AB"/>
    <w:rsid w:val="00BC66F7"/>
    <w:rsid w:val="00BC6C43"/>
    <w:rsid w:val="00BC6E73"/>
    <w:rsid w:val="00BC7281"/>
    <w:rsid w:val="00BC7749"/>
    <w:rsid w:val="00BD07CE"/>
    <w:rsid w:val="00BD224B"/>
    <w:rsid w:val="00BD245D"/>
    <w:rsid w:val="00BD2481"/>
    <w:rsid w:val="00BD2532"/>
    <w:rsid w:val="00BD2704"/>
    <w:rsid w:val="00BD2AEF"/>
    <w:rsid w:val="00BD44CB"/>
    <w:rsid w:val="00BD4871"/>
    <w:rsid w:val="00BD4937"/>
    <w:rsid w:val="00BD510B"/>
    <w:rsid w:val="00BD59D5"/>
    <w:rsid w:val="00BD5DB6"/>
    <w:rsid w:val="00BD6068"/>
    <w:rsid w:val="00BD6464"/>
    <w:rsid w:val="00BD70AB"/>
    <w:rsid w:val="00BD7C3D"/>
    <w:rsid w:val="00BD7FB2"/>
    <w:rsid w:val="00BE0FEE"/>
    <w:rsid w:val="00BE204F"/>
    <w:rsid w:val="00BE3851"/>
    <w:rsid w:val="00BE39D1"/>
    <w:rsid w:val="00BE50F8"/>
    <w:rsid w:val="00BE6834"/>
    <w:rsid w:val="00BE6835"/>
    <w:rsid w:val="00BE6B32"/>
    <w:rsid w:val="00BE6B6E"/>
    <w:rsid w:val="00BE7B08"/>
    <w:rsid w:val="00BF07D5"/>
    <w:rsid w:val="00BF0B00"/>
    <w:rsid w:val="00BF1B97"/>
    <w:rsid w:val="00BF1C14"/>
    <w:rsid w:val="00BF1C37"/>
    <w:rsid w:val="00BF1C5B"/>
    <w:rsid w:val="00BF248D"/>
    <w:rsid w:val="00BF26DD"/>
    <w:rsid w:val="00BF2983"/>
    <w:rsid w:val="00BF3093"/>
    <w:rsid w:val="00BF3BE2"/>
    <w:rsid w:val="00BF4572"/>
    <w:rsid w:val="00BF518F"/>
    <w:rsid w:val="00BF5564"/>
    <w:rsid w:val="00BF66E9"/>
    <w:rsid w:val="00BF759F"/>
    <w:rsid w:val="00C00199"/>
    <w:rsid w:val="00C0037A"/>
    <w:rsid w:val="00C04311"/>
    <w:rsid w:val="00C05CED"/>
    <w:rsid w:val="00C06A1D"/>
    <w:rsid w:val="00C06D81"/>
    <w:rsid w:val="00C07190"/>
    <w:rsid w:val="00C07F8F"/>
    <w:rsid w:val="00C108DC"/>
    <w:rsid w:val="00C10E23"/>
    <w:rsid w:val="00C112C1"/>
    <w:rsid w:val="00C11707"/>
    <w:rsid w:val="00C11E61"/>
    <w:rsid w:val="00C11F09"/>
    <w:rsid w:val="00C13E78"/>
    <w:rsid w:val="00C1450C"/>
    <w:rsid w:val="00C14E5C"/>
    <w:rsid w:val="00C1533A"/>
    <w:rsid w:val="00C15916"/>
    <w:rsid w:val="00C15C07"/>
    <w:rsid w:val="00C1667B"/>
    <w:rsid w:val="00C1743C"/>
    <w:rsid w:val="00C177A4"/>
    <w:rsid w:val="00C20287"/>
    <w:rsid w:val="00C20F75"/>
    <w:rsid w:val="00C21A37"/>
    <w:rsid w:val="00C220F5"/>
    <w:rsid w:val="00C22BE9"/>
    <w:rsid w:val="00C22F4D"/>
    <w:rsid w:val="00C236E3"/>
    <w:rsid w:val="00C23EF1"/>
    <w:rsid w:val="00C23FED"/>
    <w:rsid w:val="00C244F7"/>
    <w:rsid w:val="00C24CED"/>
    <w:rsid w:val="00C257F4"/>
    <w:rsid w:val="00C25833"/>
    <w:rsid w:val="00C26239"/>
    <w:rsid w:val="00C262A4"/>
    <w:rsid w:val="00C263C4"/>
    <w:rsid w:val="00C266EA"/>
    <w:rsid w:val="00C2771B"/>
    <w:rsid w:val="00C2C963"/>
    <w:rsid w:val="00C30146"/>
    <w:rsid w:val="00C316A8"/>
    <w:rsid w:val="00C318CF"/>
    <w:rsid w:val="00C32460"/>
    <w:rsid w:val="00C32A53"/>
    <w:rsid w:val="00C33453"/>
    <w:rsid w:val="00C34397"/>
    <w:rsid w:val="00C343AE"/>
    <w:rsid w:val="00C345CE"/>
    <w:rsid w:val="00C3470C"/>
    <w:rsid w:val="00C350E1"/>
    <w:rsid w:val="00C356B6"/>
    <w:rsid w:val="00C357A3"/>
    <w:rsid w:val="00C35CC8"/>
    <w:rsid w:val="00C37834"/>
    <w:rsid w:val="00C40737"/>
    <w:rsid w:val="00C4404A"/>
    <w:rsid w:val="00C44281"/>
    <w:rsid w:val="00C46597"/>
    <w:rsid w:val="00C47B08"/>
    <w:rsid w:val="00C4E9E3"/>
    <w:rsid w:val="00C5028C"/>
    <w:rsid w:val="00C5186A"/>
    <w:rsid w:val="00C52885"/>
    <w:rsid w:val="00C54A7E"/>
    <w:rsid w:val="00C55351"/>
    <w:rsid w:val="00C564A3"/>
    <w:rsid w:val="00C57214"/>
    <w:rsid w:val="00C600BD"/>
    <w:rsid w:val="00C60215"/>
    <w:rsid w:val="00C60BBB"/>
    <w:rsid w:val="00C6160A"/>
    <w:rsid w:val="00C62F67"/>
    <w:rsid w:val="00C63592"/>
    <w:rsid w:val="00C63874"/>
    <w:rsid w:val="00C65827"/>
    <w:rsid w:val="00C66214"/>
    <w:rsid w:val="00C66C93"/>
    <w:rsid w:val="00C67524"/>
    <w:rsid w:val="00C70681"/>
    <w:rsid w:val="00C70A7E"/>
    <w:rsid w:val="00C7278A"/>
    <w:rsid w:val="00C72B9E"/>
    <w:rsid w:val="00C737E2"/>
    <w:rsid w:val="00C73A1B"/>
    <w:rsid w:val="00C73DA0"/>
    <w:rsid w:val="00C741FA"/>
    <w:rsid w:val="00C744AC"/>
    <w:rsid w:val="00C74D1B"/>
    <w:rsid w:val="00C751F0"/>
    <w:rsid w:val="00C75621"/>
    <w:rsid w:val="00C75751"/>
    <w:rsid w:val="00C757DF"/>
    <w:rsid w:val="00C76286"/>
    <w:rsid w:val="00C81C37"/>
    <w:rsid w:val="00C825E4"/>
    <w:rsid w:val="00C82BE1"/>
    <w:rsid w:val="00C837DA"/>
    <w:rsid w:val="00C83A47"/>
    <w:rsid w:val="00C83B6E"/>
    <w:rsid w:val="00C83FBA"/>
    <w:rsid w:val="00C848C4"/>
    <w:rsid w:val="00C84E2D"/>
    <w:rsid w:val="00C85ABB"/>
    <w:rsid w:val="00C8610E"/>
    <w:rsid w:val="00C8619F"/>
    <w:rsid w:val="00C86BFA"/>
    <w:rsid w:val="00C86E4D"/>
    <w:rsid w:val="00C875FB"/>
    <w:rsid w:val="00C905CF"/>
    <w:rsid w:val="00C90F3C"/>
    <w:rsid w:val="00C91480"/>
    <w:rsid w:val="00C91FB7"/>
    <w:rsid w:val="00C92E82"/>
    <w:rsid w:val="00C9312B"/>
    <w:rsid w:val="00C93B7C"/>
    <w:rsid w:val="00C93EDF"/>
    <w:rsid w:val="00C94606"/>
    <w:rsid w:val="00C9478C"/>
    <w:rsid w:val="00C96A75"/>
    <w:rsid w:val="00C96D70"/>
    <w:rsid w:val="00C97AE7"/>
    <w:rsid w:val="00C97E03"/>
    <w:rsid w:val="00CA0DCD"/>
    <w:rsid w:val="00CA0FE1"/>
    <w:rsid w:val="00CA142C"/>
    <w:rsid w:val="00CA156D"/>
    <w:rsid w:val="00CA1A3A"/>
    <w:rsid w:val="00CA3442"/>
    <w:rsid w:val="00CA485D"/>
    <w:rsid w:val="00CA5544"/>
    <w:rsid w:val="00CA5556"/>
    <w:rsid w:val="00CA5C2A"/>
    <w:rsid w:val="00CA651B"/>
    <w:rsid w:val="00CA70C0"/>
    <w:rsid w:val="00CA759E"/>
    <w:rsid w:val="00CA7949"/>
    <w:rsid w:val="00CB083F"/>
    <w:rsid w:val="00CB12BA"/>
    <w:rsid w:val="00CB1858"/>
    <w:rsid w:val="00CB25A3"/>
    <w:rsid w:val="00CB28B2"/>
    <w:rsid w:val="00CB2CA4"/>
    <w:rsid w:val="00CB3C26"/>
    <w:rsid w:val="00CB4FDF"/>
    <w:rsid w:val="00CB63B2"/>
    <w:rsid w:val="00CB715B"/>
    <w:rsid w:val="00CB7B6C"/>
    <w:rsid w:val="00CC1D79"/>
    <w:rsid w:val="00CC3591"/>
    <w:rsid w:val="00CC3A29"/>
    <w:rsid w:val="00CC3EDE"/>
    <w:rsid w:val="00CC421E"/>
    <w:rsid w:val="00CC46E7"/>
    <w:rsid w:val="00CC4872"/>
    <w:rsid w:val="00CC4D5D"/>
    <w:rsid w:val="00CC5589"/>
    <w:rsid w:val="00CC57C0"/>
    <w:rsid w:val="00CC605F"/>
    <w:rsid w:val="00CC7423"/>
    <w:rsid w:val="00CC7A54"/>
    <w:rsid w:val="00CC7F68"/>
    <w:rsid w:val="00CD0493"/>
    <w:rsid w:val="00CD0683"/>
    <w:rsid w:val="00CD0ED9"/>
    <w:rsid w:val="00CD164C"/>
    <w:rsid w:val="00CD22C4"/>
    <w:rsid w:val="00CD2326"/>
    <w:rsid w:val="00CD26E2"/>
    <w:rsid w:val="00CD35D3"/>
    <w:rsid w:val="00CD3B23"/>
    <w:rsid w:val="00CD3CE0"/>
    <w:rsid w:val="00CD4B18"/>
    <w:rsid w:val="00CD5782"/>
    <w:rsid w:val="00CD6006"/>
    <w:rsid w:val="00CD60BE"/>
    <w:rsid w:val="00CD6964"/>
    <w:rsid w:val="00CD75FE"/>
    <w:rsid w:val="00CE1317"/>
    <w:rsid w:val="00CE1510"/>
    <w:rsid w:val="00CE2067"/>
    <w:rsid w:val="00CE303A"/>
    <w:rsid w:val="00CE3F66"/>
    <w:rsid w:val="00CE5093"/>
    <w:rsid w:val="00CE5101"/>
    <w:rsid w:val="00CE54AA"/>
    <w:rsid w:val="00CE5591"/>
    <w:rsid w:val="00CE6AF7"/>
    <w:rsid w:val="00CE7242"/>
    <w:rsid w:val="00CE796E"/>
    <w:rsid w:val="00CE7B22"/>
    <w:rsid w:val="00CE7DBD"/>
    <w:rsid w:val="00CF089C"/>
    <w:rsid w:val="00CF0ACB"/>
    <w:rsid w:val="00CF105C"/>
    <w:rsid w:val="00CF1AAB"/>
    <w:rsid w:val="00CF1E23"/>
    <w:rsid w:val="00CF227E"/>
    <w:rsid w:val="00CF2DF6"/>
    <w:rsid w:val="00CF3A39"/>
    <w:rsid w:val="00CF4472"/>
    <w:rsid w:val="00CF5570"/>
    <w:rsid w:val="00CF5E0C"/>
    <w:rsid w:val="00CF7050"/>
    <w:rsid w:val="00D00DD6"/>
    <w:rsid w:val="00D01592"/>
    <w:rsid w:val="00D01BD8"/>
    <w:rsid w:val="00D01CF5"/>
    <w:rsid w:val="00D02DF0"/>
    <w:rsid w:val="00D03C31"/>
    <w:rsid w:val="00D043CC"/>
    <w:rsid w:val="00D04427"/>
    <w:rsid w:val="00D048CF"/>
    <w:rsid w:val="00D048FF"/>
    <w:rsid w:val="00D054EC"/>
    <w:rsid w:val="00D05678"/>
    <w:rsid w:val="00D07202"/>
    <w:rsid w:val="00D0727D"/>
    <w:rsid w:val="00D07E94"/>
    <w:rsid w:val="00D101C0"/>
    <w:rsid w:val="00D115FB"/>
    <w:rsid w:val="00D11729"/>
    <w:rsid w:val="00D1205A"/>
    <w:rsid w:val="00D12B03"/>
    <w:rsid w:val="00D1305F"/>
    <w:rsid w:val="00D13727"/>
    <w:rsid w:val="00D139F4"/>
    <w:rsid w:val="00D143AE"/>
    <w:rsid w:val="00D150A4"/>
    <w:rsid w:val="00D1521B"/>
    <w:rsid w:val="00D168C3"/>
    <w:rsid w:val="00D21579"/>
    <w:rsid w:val="00D220F7"/>
    <w:rsid w:val="00D249C9"/>
    <w:rsid w:val="00D24DBE"/>
    <w:rsid w:val="00D25B2E"/>
    <w:rsid w:val="00D2681C"/>
    <w:rsid w:val="00D2682E"/>
    <w:rsid w:val="00D2739E"/>
    <w:rsid w:val="00D2773E"/>
    <w:rsid w:val="00D304BF"/>
    <w:rsid w:val="00D30624"/>
    <w:rsid w:val="00D31604"/>
    <w:rsid w:val="00D31C53"/>
    <w:rsid w:val="00D31EAD"/>
    <w:rsid w:val="00D323C2"/>
    <w:rsid w:val="00D32DE3"/>
    <w:rsid w:val="00D334E1"/>
    <w:rsid w:val="00D33547"/>
    <w:rsid w:val="00D33B2A"/>
    <w:rsid w:val="00D34A6E"/>
    <w:rsid w:val="00D34C71"/>
    <w:rsid w:val="00D34E81"/>
    <w:rsid w:val="00D34EE4"/>
    <w:rsid w:val="00D35F4C"/>
    <w:rsid w:val="00D362E4"/>
    <w:rsid w:val="00D37A58"/>
    <w:rsid w:val="00D37C0F"/>
    <w:rsid w:val="00D40863"/>
    <w:rsid w:val="00D41155"/>
    <w:rsid w:val="00D41185"/>
    <w:rsid w:val="00D4181C"/>
    <w:rsid w:val="00D41A81"/>
    <w:rsid w:val="00D43483"/>
    <w:rsid w:val="00D43933"/>
    <w:rsid w:val="00D43CDD"/>
    <w:rsid w:val="00D43F66"/>
    <w:rsid w:val="00D45497"/>
    <w:rsid w:val="00D45AEA"/>
    <w:rsid w:val="00D45B7F"/>
    <w:rsid w:val="00D45C48"/>
    <w:rsid w:val="00D46329"/>
    <w:rsid w:val="00D46A6C"/>
    <w:rsid w:val="00D50194"/>
    <w:rsid w:val="00D5068B"/>
    <w:rsid w:val="00D5071C"/>
    <w:rsid w:val="00D51568"/>
    <w:rsid w:val="00D516A6"/>
    <w:rsid w:val="00D51E85"/>
    <w:rsid w:val="00D52955"/>
    <w:rsid w:val="00D53678"/>
    <w:rsid w:val="00D5371E"/>
    <w:rsid w:val="00D543E0"/>
    <w:rsid w:val="00D552BB"/>
    <w:rsid w:val="00D55D11"/>
    <w:rsid w:val="00D56F84"/>
    <w:rsid w:val="00D576BF"/>
    <w:rsid w:val="00D57ABC"/>
    <w:rsid w:val="00D57AF6"/>
    <w:rsid w:val="00D616F2"/>
    <w:rsid w:val="00D61766"/>
    <w:rsid w:val="00D62330"/>
    <w:rsid w:val="00D6234F"/>
    <w:rsid w:val="00D62D50"/>
    <w:rsid w:val="00D6348B"/>
    <w:rsid w:val="00D63C38"/>
    <w:rsid w:val="00D647D4"/>
    <w:rsid w:val="00D658CF"/>
    <w:rsid w:val="00D65C77"/>
    <w:rsid w:val="00D66588"/>
    <w:rsid w:val="00D669C9"/>
    <w:rsid w:val="00D67643"/>
    <w:rsid w:val="00D67CF8"/>
    <w:rsid w:val="00D70929"/>
    <w:rsid w:val="00D70BD4"/>
    <w:rsid w:val="00D7177C"/>
    <w:rsid w:val="00D71C28"/>
    <w:rsid w:val="00D72FCD"/>
    <w:rsid w:val="00D73975"/>
    <w:rsid w:val="00D742B7"/>
    <w:rsid w:val="00D74C81"/>
    <w:rsid w:val="00D753E4"/>
    <w:rsid w:val="00D754A1"/>
    <w:rsid w:val="00D7636B"/>
    <w:rsid w:val="00D76D65"/>
    <w:rsid w:val="00D77366"/>
    <w:rsid w:val="00D77553"/>
    <w:rsid w:val="00D7759D"/>
    <w:rsid w:val="00D8191A"/>
    <w:rsid w:val="00D81AC4"/>
    <w:rsid w:val="00D81C55"/>
    <w:rsid w:val="00D81FAC"/>
    <w:rsid w:val="00D8205C"/>
    <w:rsid w:val="00D8269B"/>
    <w:rsid w:val="00D83524"/>
    <w:rsid w:val="00D83B4C"/>
    <w:rsid w:val="00D84CD2"/>
    <w:rsid w:val="00D852BD"/>
    <w:rsid w:val="00D85AF9"/>
    <w:rsid w:val="00D865D4"/>
    <w:rsid w:val="00D870BF"/>
    <w:rsid w:val="00D878AD"/>
    <w:rsid w:val="00D906D2"/>
    <w:rsid w:val="00D90DF2"/>
    <w:rsid w:val="00D90F84"/>
    <w:rsid w:val="00D9233F"/>
    <w:rsid w:val="00D953C2"/>
    <w:rsid w:val="00D95D40"/>
    <w:rsid w:val="00D96619"/>
    <w:rsid w:val="00D970CA"/>
    <w:rsid w:val="00D974F9"/>
    <w:rsid w:val="00D97878"/>
    <w:rsid w:val="00DA19E2"/>
    <w:rsid w:val="00DA1C47"/>
    <w:rsid w:val="00DA2011"/>
    <w:rsid w:val="00DA37A2"/>
    <w:rsid w:val="00DA3954"/>
    <w:rsid w:val="00DA43BC"/>
    <w:rsid w:val="00DA4AD6"/>
    <w:rsid w:val="00DA6DF6"/>
    <w:rsid w:val="00DA7764"/>
    <w:rsid w:val="00DB05C1"/>
    <w:rsid w:val="00DB0A54"/>
    <w:rsid w:val="00DB1F40"/>
    <w:rsid w:val="00DB22D0"/>
    <w:rsid w:val="00DB3391"/>
    <w:rsid w:val="00DB360F"/>
    <w:rsid w:val="00DB4651"/>
    <w:rsid w:val="00DB4844"/>
    <w:rsid w:val="00DB4E6D"/>
    <w:rsid w:val="00DB586E"/>
    <w:rsid w:val="00DB6B81"/>
    <w:rsid w:val="00DB6F13"/>
    <w:rsid w:val="00DB761E"/>
    <w:rsid w:val="00DC1523"/>
    <w:rsid w:val="00DC2A2D"/>
    <w:rsid w:val="00DC2AC1"/>
    <w:rsid w:val="00DC2F60"/>
    <w:rsid w:val="00DC369D"/>
    <w:rsid w:val="00DC3DD8"/>
    <w:rsid w:val="00DC419D"/>
    <w:rsid w:val="00DC4495"/>
    <w:rsid w:val="00DC5265"/>
    <w:rsid w:val="00DC52D1"/>
    <w:rsid w:val="00DC5FA1"/>
    <w:rsid w:val="00DC74C1"/>
    <w:rsid w:val="00DC75D8"/>
    <w:rsid w:val="00DC78F7"/>
    <w:rsid w:val="00DC7CEA"/>
    <w:rsid w:val="00DD0845"/>
    <w:rsid w:val="00DD0D9A"/>
    <w:rsid w:val="00DD0EE5"/>
    <w:rsid w:val="00DD16D8"/>
    <w:rsid w:val="00DD1F5E"/>
    <w:rsid w:val="00DD2C08"/>
    <w:rsid w:val="00DD34D8"/>
    <w:rsid w:val="00DD3886"/>
    <w:rsid w:val="00DD3D33"/>
    <w:rsid w:val="00DD494F"/>
    <w:rsid w:val="00DD5104"/>
    <w:rsid w:val="00DD6265"/>
    <w:rsid w:val="00DD630C"/>
    <w:rsid w:val="00DD6494"/>
    <w:rsid w:val="00DD7B47"/>
    <w:rsid w:val="00DD7CDE"/>
    <w:rsid w:val="00DD7FFB"/>
    <w:rsid w:val="00DE041A"/>
    <w:rsid w:val="00DE14FE"/>
    <w:rsid w:val="00DE1687"/>
    <w:rsid w:val="00DE1AAA"/>
    <w:rsid w:val="00DE24C6"/>
    <w:rsid w:val="00DE367E"/>
    <w:rsid w:val="00DE3890"/>
    <w:rsid w:val="00DE3E79"/>
    <w:rsid w:val="00DE4D73"/>
    <w:rsid w:val="00DE5139"/>
    <w:rsid w:val="00DE516A"/>
    <w:rsid w:val="00DE5652"/>
    <w:rsid w:val="00DE6A7B"/>
    <w:rsid w:val="00DE78B0"/>
    <w:rsid w:val="00DF0D7F"/>
    <w:rsid w:val="00DF2268"/>
    <w:rsid w:val="00DF2819"/>
    <w:rsid w:val="00DF2FE6"/>
    <w:rsid w:val="00DF3798"/>
    <w:rsid w:val="00DF37C4"/>
    <w:rsid w:val="00DF3D49"/>
    <w:rsid w:val="00DF4331"/>
    <w:rsid w:val="00DF4559"/>
    <w:rsid w:val="00DF4F03"/>
    <w:rsid w:val="00DF569A"/>
    <w:rsid w:val="00DF5CBE"/>
    <w:rsid w:val="00DF6324"/>
    <w:rsid w:val="00DF6426"/>
    <w:rsid w:val="00DF6950"/>
    <w:rsid w:val="00DF6BE6"/>
    <w:rsid w:val="00DF6C4A"/>
    <w:rsid w:val="00DF7941"/>
    <w:rsid w:val="00E003FD"/>
    <w:rsid w:val="00E00AF0"/>
    <w:rsid w:val="00E00F66"/>
    <w:rsid w:val="00E010A4"/>
    <w:rsid w:val="00E0149F"/>
    <w:rsid w:val="00E01654"/>
    <w:rsid w:val="00E017F2"/>
    <w:rsid w:val="00E02181"/>
    <w:rsid w:val="00E0261F"/>
    <w:rsid w:val="00E02BD4"/>
    <w:rsid w:val="00E02F83"/>
    <w:rsid w:val="00E036A4"/>
    <w:rsid w:val="00E039FE"/>
    <w:rsid w:val="00E03F7A"/>
    <w:rsid w:val="00E04E52"/>
    <w:rsid w:val="00E054CC"/>
    <w:rsid w:val="00E059B7"/>
    <w:rsid w:val="00E061C5"/>
    <w:rsid w:val="00E06D27"/>
    <w:rsid w:val="00E07657"/>
    <w:rsid w:val="00E104A6"/>
    <w:rsid w:val="00E1126B"/>
    <w:rsid w:val="00E112CA"/>
    <w:rsid w:val="00E12901"/>
    <w:rsid w:val="00E13AAA"/>
    <w:rsid w:val="00E14D93"/>
    <w:rsid w:val="00E14DEB"/>
    <w:rsid w:val="00E15D0A"/>
    <w:rsid w:val="00E163A3"/>
    <w:rsid w:val="00E16513"/>
    <w:rsid w:val="00E16901"/>
    <w:rsid w:val="00E169FB"/>
    <w:rsid w:val="00E16A7A"/>
    <w:rsid w:val="00E16B69"/>
    <w:rsid w:val="00E17F23"/>
    <w:rsid w:val="00E20144"/>
    <w:rsid w:val="00E203EE"/>
    <w:rsid w:val="00E208D9"/>
    <w:rsid w:val="00E22AF7"/>
    <w:rsid w:val="00E22C1B"/>
    <w:rsid w:val="00E22FA1"/>
    <w:rsid w:val="00E233BB"/>
    <w:rsid w:val="00E23726"/>
    <w:rsid w:val="00E2448A"/>
    <w:rsid w:val="00E25085"/>
    <w:rsid w:val="00E254DE"/>
    <w:rsid w:val="00E260D2"/>
    <w:rsid w:val="00E26808"/>
    <w:rsid w:val="00E27975"/>
    <w:rsid w:val="00E30700"/>
    <w:rsid w:val="00E30F72"/>
    <w:rsid w:val="00E310B4"/>
    <w:rsid w:val="00E312FA"/>
    <w:rsid w:val="00E333AE"/>
    <w:rsid w:val="00E33881"/>
    <w:rsid w:val="00E34633"/>
    <w:rsid w:val="00E356E7"/>
    <w:rsid w:val="00E35952"/>
    <w:rsid w:val="00E36C98"/>
    <w:rsid w:val="00E37688"/>
    <w:rsid w:val="00E4008A"/>
    <w:rsid w:val="00E41526"/>
    <w:rsid w:val="00E41E79"/>
    <w:rsid w:val="00E42217"/>
    <w:rsid w:val="00E42222"/>
    <w:rsid w:val="00E42498"/>
    <w:rsid w:val="00E437FA"/>
    <w:rsid w:val="00E4515F"/>
    <w:rsid w:val="00E4690C"/>
    <w:rsid w:val="00E46B39"/>
    <w:rsid w:val="00E46CAD"/>
    <w:rsid w:val="00E5169B"/>
    <w:rsid w:val="00E51991"/>
    <w:rsid w:val="00E51A92"/>
    <w:rsid w:val="00E51BA0"/>
    <w:rsid w:val="00E520D6"/>
    <w:rsid w:val="00E52D3E"/>
    <w:rsid w:val="00E534EC"/>
    <w:rsid w:val="00E53EEB"/>
    <w:rsid w:val="00E542E9"/>
    <w:rsid w:val="00E544B8"/>
    <w:rsid w:val="00E55BDD"/>
    <w:rsid w:val="00E5636F"/>
    <w:rsid w:val="00E567F4"/>
    <w:rsid w:val="00E57381"/>
    <w:rsid w:val="00E57C2B"/>
    <w:rsid w:val="00E60283"/>
    <w:rsid w:val="00E603E1"/>
    <w:rsid w:val="00E60553"/>
    <w:rsid w:val="00E609B3"/>
    <w:rsid w:val="00E614C5"/>
    <w:rsid w:val="00E61C55"/>
    <w:rsid w:val="00E6218B"/>
    <w:rsid w:val="00E62432"/>
    <w:rsid w:val="00E624AF"/>
    <w:rsid w:val="00E63100"/>
    <w:rsid w:val="00E6434F"/>
    <w:rsid w:val="00E64581"/>
    <w:rsid w:val="00E652A2"/>
    <w:rsid w:val="00E65D2F"/>
    <w:rsid w:val="00E65DF5"/>
    <w:rsid w:val="00E66849"/>
    <w:rsid w:val="00E66D0B"/>
    <w:rsid w:val="00E66DCC"/>
    <w:rsid w:val="00E674BD"/>
    <w:rsid w:val="00E70256"/>
    <w:rsid w:val="00E7043F"/>
    <w:rsid w:val="00E70944"/>
    <w:rsid w:val="00E71967"/>
    <w:rsid w:val="00E71C59"/>
    <w:rsid w:val="00E720CB"/>
    <w:rsid w:val="00E72423"/>
    <w:rsid w:val="00E7370C"/>
    <w:rsid w:val="00E73AAF"/>
    <w:rsid w:val="00E74533"/>
    <w:rsid w:val="00E748D7"/>
    <w:rsid w:val="00E75133"/>
    <w:rsid w:val="00E7663D"/>
    <w:rsid w:val="00E776EA"/>
    <w:rsid w:val="00E77901"/>
    <w:rsid w:val="00E80C95"/>
    <w:rsid w:val="00E80E5F"/>
    <w:rsid w:val="00E812CB"/>
    <w:rsid w:val="00E82279"/>
    <w:rsid w:val="00E82B1A"/>
    <w:rsid w:val="00E82CAB"/>
    <w:rsid w:val="00E8308F"/>
    <w:rsid w:val="00E83957"/>
    <w:rsid w:val="00E84214"/>
    <w:rsid w:val="00E84460"/>
    <w:rsid w:val="00E84681"/>
    <w:rsid w:val="00E84DF2"/>
    <w:rsid w:val="00E8538F"/>
    <w:rsid w:val="00E857DB"/>
    <w:rsid w:val="00E86FAA"/>
    <w:rsid w:val="00E86FED"/>
    <w:rsid w:val="00E87ECB"/>
    <w:rsid w:val="00E9120B"/>
    <w:rsid w:val="00E916A7"/>
    <w:rsid w:val="00E91A1D"/>
    <w:rsid w:val="00E92908"/>
    <w:rsid w:val="00E9327C"/>
    <w:rsid w:val="00E93528"/>
    <w:rsid w:val="00E9362D"/>
    <w:rsid w:val="00E94BA7"/>
    <w:rsid w:val="00E95DBC"/>
    <w:rsid w:val="00E95DE0"/>
    <w:rsid w:val="00E96117"/>
    <w:rsid w:val="00E9625B"/>
    <w:rsid w:val="00E9632A"/>
    <w:rsid w:val="00E96C71"/>
    <w:rsid w:val="00E9731B"/>
    <w:rsid w:val="00E9754F"/>
    <w:rsid w:val="00E978BF"/>
    <w:rsid w:val="00EA0B1A"/>
    <w:rsid w:val="00EA2FA5"/>
    <w:rsid w:val="00EA363C"/>
    <w:rsid w:val="00EA3799"/>
    <w:rsid w:val="00EA65EE"/>
    <w:rsid w:val="00EA6D24"/>
    <w:rsid w:val="00EA6FCD"/>
    <w:rsid w:val="00EA7A93"/>
    <w:rsid w:val="00EB0052"/>
    <w:rsid w:val="00EB06C0"/>
    <w:rsid w:val="00EB0884"/>
    <w:rsid w:val="00EB0D15"/>
    <w:rsid w:val="00EB15A7"/>
    <w:rsid w:val="00EB269A"/>
    <w:rsid w:val="00EB4758"/>
    <w:rsid w:val="00EB53C7"/>
    <w:rsid w:val="00EB5598"/>
    <w:rsid w:val="00EB5E13"/>
    <w:rsid w:val="00EB67B3"/>
    <w:rsid w:val="00EB6C3A"/>
    <w:rsid w:val="00EB7730"/>
    <w:rsid w:val="00EB7C48"/>
    <w:rsid w:val="00EC0024"/>
    <w:rsid w:val="00EC0DE4"/>
    <w:rsid w:val="00EC1D5B"/>
    <w:rsid w:val="00EC21EA"/>
    <w:rsid w:val="00EC2283"/>
    <w:rsid w:val="00EC27C7"/>
    <w:rsid w:val="00EC2FC1"/>
    <w:rsid w:val="00EC2FCA"/>
    <w:rsid w:val="00EC391A"/>
    <w:rsid w:val="00EC3922"/>
    <w:rsid w:val="00EC3CF5"/>
    <w:rsid w:val="00EC4558"/>
    <w:rsid w:val="00EC4E13"/>
    <w:rsid w:val="00EC4EE2"/>
    <w:rsid w:val="00EC5630"/>
    <w:rsid w:val="00EC577D"/>
    <w:rsid w:val="00EC5896"/>
    <w:rsid w:val="00EC743B"/>
    <w:rsid w:val="00EC7AF9"/>
    <w:rsid w:val="00EC7DCA"/>
    <w:rsid w:val="00EC7ED4"/>
    <w:rsid w:val="00ED1B56"/>
    <w:rsid w:val="00ED1DBE"/>
    <w:rsid w:val="00ED27EB"/>
    <w:rsid w:val="00ED3C1F"/>
    <w:rsid w:val="00ED3DFD"/>
    <w:rsid w:val="00ED3EC8"/>
    <w:rsid w:val="00ED3FE3"/>
    <w:rsid w:val="00ED477A"/>
    <w:rsid w:val="00ED4A69"/>
    <w:rsid w:val="00ED624E"/>
    <w:rsid w:val="00ED781F"/>
    <w:rsid w:val="00EE077D"/>
    <w:rsid w:val="00EE0CEE"/>
    <w:rsid w:val="00EE1D4B"/>
    <w:rsid w:val="00EE2A08"/>
    <w:rsid w:val="00EE2A8C"/>
    <w:rsid w:val="00EE37BD"/>
    <w:rsid w:val="00EE6A64"/>
    <w:rsid w:val="00EE6FE4"/>
    <w:rsid w:val="00EE70AB"/>
    <w:rsid w:val="00EE7BA5"/>
    <w:rsid w:val="00EF04C5"/>
    <w:rsid w:val="00EF13E1"/>
    <w:rsid w:val="00EF1743"/>
    <w:rsid w:val="00EF1AB5"/>
    <w:rsid w:val="00EF2DE4"/>
    <w:rsid w:val="00EF2F30"/>
    <w:rsid w:val="00EF3F96"/>
    <w:rsid w:val="00EF40A9"/>
    <w:rsid w:val="00EF5338"/>
    <w:rsid w:val="00EF53B9"/>
    <w:rsid w:val="00EF5B99"/>
    <w:rsid w:val="00EF7C34"/>
    <w:rsid w:val="00F002F6"/>
    <w:rsid w:val="00F00BD3"/>
    <w:rsid w:val="00F00C5D"/>
    <w:rsid w:val="00F01180"/>
    <w:rsid w:val="00F013B3"/>
    <w:rsid w:val="00F01DB1"/>
    <w:rsid w:val="00F024E5"/>
    <w:rsid w:val="00F027A2"/>
    <w:rsid w:val="00F02864"/>
    <w:rsid w:val="00F02A67"/>
    <w:rsid w:val="00F031DC"/>
    <w:rsid w:val="00F03493"/>
    <w:rsid w:val="00F035CF"/>
    <w:rsid w:val="00F037FE"/>
    <w:rsid w:val="00F03943"/>
    <w:rsid w:val="00F03A4D"/>
    <w:rsid w:val="00F03A65"/>
    <w:rsid w:val="00F03ABF"/>
    <w:rsid w:val="00F051AB"/>
    <w:rsid w:val="00F0581D"/>
    <w:rsid w:val="00F058B4"/>
    <w:rsid w:val="00F05C1B"/>
    <w:rsid w:val="00F0678A"/>
    <w:rsid w:val="00F06988"/>
    <w:rsid w:val="00F07A98"/>
    <w:rsid w:val="00F07B20"/>
    <w:rsid w:val="00F1021D"/>
    <w:rsid w:val="00F11F68"/>
    <w:rsid w:val="00F12A53"/>
    <w:rsid w:val="00F12E5B"/>
    <w:rsid w:val="00F132C5"/>
    <w:rsid w:val="00F14439"/>
    <w:rsid w:val="00F14A71"/>
    <w:rsid w:val="00F14ABE"/>
    <w:rsid w:val="00F168D0"/>
    <w:rsid w:val="00F16B88"/>
    <w:rsid w:val="00F16BA1"/>
    <w:rsid w:val="00F1767A"/>
    <w:rsid w:val="00F1F9CF"/>
    <w:rsid w:val="00F2026F"/>
    <w:rsid w:val="00F2061C"/>
    <w:rsid w:val="00F216D9"/>
    <w:rsid w:val="00F23C18"/>
    <w:rsid w:val="00F240FC"/>
    <w:rsid w:val="00F253BE"/>
    <w:rsid w:val="00F25625"/>
    <w:rsid w:val="00F25E6D"/>
    <w:rsid w:val="00F26554"/>
    <w:rsid w:val="00F26DD0"/>
    <w:rsid w:val="00F3014B"/>
    <w:rsid w:val="00F3091C"/>
    <w:rsid w:val="00F310C2"/>
    <w:rsid w:val="00F31629"/>
    <w:rsid w:val="00F32E5A"/>
    <w:rsid w:val="00F34519"/>
    <w:rsid w:val="00F349E6"/>
    <w:rsid w:val="00F34B87"/>
    <w:rsid w:val="00F35CA7"/>
    <w:rsid w:val="00F35DC5"/>
    <w:rsid w:val="00F37226"/>
    <w:rsid w:val="00F37E04"/>
    <w:rsid w:val="00F41B97"/>
    <w:rsid w:val="00F42E9F"/>
    <w:rsid w:val="00F43C88"/>
    <w:rsid w:val="00F444FA"/>
    <w:rsid w:val="00F44B93"/>
    <w:rsid w:val="00F44E94"/>
    <w:rsid w:val="00F455C2"/>
    <w:rsid w:val="00F45B70"/>
    <w:rsid w:val="00F46B0F"/>
    <w:rsid w:val="00F46CA3"/>
    <w:rsid w:val="00F4790A"/>
    <w:rsid w:val="00F50FDC"/>
    <w:rsid w:val="00F51D19"/>
    <w:rsid w:val="00F51D2B"/>
    <w:rsid w:val="00F51F55"/>
    <w:rsid w:val="00F525AF"/>
    <w:rsid w:val="00F52724"/>
    <w:rsid w:val="00F5345D"/>
    <w:rsid w:val="00F53C8B"/>
    <w:rsid w:val="00F54FD4"/>
    <w:rsid w:val="00F55EFD"/>
    <w:rsid w:val="00F574FF"/>
    <w:rsid w:val="00F57603"/>
    <w:rsid w:val="00F57C3D"/>
    <w:rsid w:val="00F57C94"/>
    <w:rsid w:val="00F57F70"/>
    <w:rsid w:val="00F6046E"/>
    <w:rsid w:val="00F60EE0"/>
    <w:rsid w:val="00F61791"/>
    <w:rsid w:val="00F620AA"/>
    <w:rsid w:val="00F6240B"/>
    <w:rsid w:val="00F639A0"/>
    <w:rsid w:val="00F6454C"/>
    <w:rsid w:val="00F64639"/>
    <w:rsid w:val="00F64790"/>
    <w:rsid w:val="00F64968"/>
    <w:rsid w:val="00F64987"/>
    <w:rsid w:val="00F64C25"/>
    <w:rsid w:val="00F64DE9"/>
    <w:rsid w:val="00F655C9"/>
    <w:rsid w:val="00F665D4"/>
    <w:rsid w:val="00F66D98"/>
    <w:rsid w:val="00F66F24"/>
    <w:rsid w:val="00F66FE1"/>
    <w:rsid w:val="00F67481"/>
    <w:rsid w:val="00F67C3A"/>
    <w:rsid w:val="00F706B0"/>
    <w:rsid w:val="00F708CD"/>
    <w:rsid w:val="00F747A0"/>
    <w:rsid w:val="00F75054"/>
    <w:rsid w:val="00F75D08"/>
    <w:rsid w:val="00F76C1D"/>
    <w:rsid w:val="00F76DF0"/>
    <w:rsid w:val="00F76F68"/>
    <w:rsid w:val="00F76FB0"/>
    <w:rsid w:val="00F7771D"/>
    <w:rsid w:val="00F77811"/>
    <w:rsid w:val="00F80007"/>
    <w:rsid w:val="00F80BB2"/>
    <w:rsid w:val="00F80EB4"/>
    <w:rsid w:val="00F82115"/>
    <w:rsid w:val="00F8252B"/>
    <w:rsid w:val="00F8303F"/>
    <w:rsid w:val="00F830F3"/>
    <w:rsid w:val="00F85C39"/>
    <w:rsid w:val="00F90068"/>
    <w:rsid w:val="00F9165B"/>
    <w:rsid w:val="00F91B5A"/>
    <w:rsid w:val="00F926CD"/>
    <w:rsid w:val="00F92A73"/>
    <w:rsid w:val="00F92CCD"/>
    <w:rsid w:val="00F94515"/>
    <w:rsid w:val="00F94623"/>
    <w:rsid w:val="00F94D4F"/>
    <w:rsid w:val="00F97107"/>
    <w:rsid w:val="00FA0B91"/>
    <w:rsid w:val="00FA11EA"/>
    <w:rsid w:val="00FA14A6"/>
    <w:rsid w:val="00FA1E71"/>
    <w:rsid w:val="00FA1FC8"/>
    <w:rsid w:val="00FA3644"/>
    <w:rsid w:val="00FA3CF5"/>
    <w:rsid w:val="00FA4C0E"/>
    <w:rsid w:val="00FA4CB7"/>
    <w:rsid w:val="00FA515F"/>
    <w:rsid w:val="00FA5265"/>
    <w:rsid w:val="00FA5D69"/>
    <w:rsid w:val="00FA74BE"/>
    <w:rsid w:val="00FA754B"/>
    <w:rsid w:val="00FA757D"/>
    <w:rsid w:val="00FA7A38"/>
    <w:rsid w:val="00FB03B0"/>
    <w:rsid w:val="00FB0E8A"/>
    <w:rsid w:val="00FB212E"/>
    <w:rsid w:val="00FB2F55"/>
    <w:rsid w:val="00FB4BDD"/>
    <w:rsid w:val="00FB5EA4"/>
    <w:rsid w:val="00FB5EF9"/>
    <w:rsid w:val="00FB6F8F"/>
    <w:rsid w:val="00FB72FE"/>
    <w:rsid w:val="00FB7772"/>
    <w:rsid w:val="00FB7D72"/>
    <w:rsid w:val="00FC3769"/>
    <w:rsid w:val="00FC40E4"/>
    <w:rsid w:val="00FC55DA"/>
    <w:rsid w:val="00FC5C2C"/>
    <w:rsid w:val="00FC6275"/>
    <w:rsid w:val="00FC74C4"/>
    <w:rsid w:val="00FCC0C9"/>
    <w:rsid w:val="00FD11B8"/>
    <w:rsid w:val="00FD2775"/>
    <w:rsid w:val="00FD4056"/>
    <w:rsid w:val="00FD4DC1"/>
    <w:rsid w:val="00FD5845"/>
    <w:rsid w:val="00FD5A89"/>
    <w:rsid w:val="00FD6024"/>
    <w:rsid w:val="00FD74B4"/>
    <w:rsid w:val="00FE00B4"/>
    <w:rsid w:val="00FE09E4"/>
    <w:rsid w:val="00FE4309"/>
    <w:rsid w:val="00FE4337"/>
    <w:rsid w:val="00FE4819"/>
    <w:rsid w:val="00FE4DA5"/>
    <w:rsid w:val="00FE4E2C"/>
    <w:rsid w:val="00FE54AC"/>
    <w:rsid w:val="00FE54CA"/>
    <w:rsid w:val="00FE675E"/>
    <w:rsid w:val="00FE685A"/>
    <w:rsid w:val="00FE6986"/>
    <w:rsid w:val="00FE6A7B"/>
    <w:rsid w:val="00FE6CDD"/>
    <w:rsid w:val="00FE7134"/>
    <w:rsid w:val="00FE74FF"/>
    <w:rsid w:val="00FF00DD"/>
    <w:rsid w:val="00FF04A1"/>
    <w:rsid w:val="00FF117D"/>
    <w:rsid w:val="00FF145C"/>
    <w:rsid w:val="00FF1FDE"/>
    <w:rsid w:val="00FF2842"/>
    <w:rsid w:val="00FF3244"/>
    <w:rsid w:val="00FF34DD"/>
    <w:rsid w:val="00FF406E"/>
    <w:rsid w:val="00FF4265"/>
    <w:rsid w:val="00FF4422"/>
    <w:rsid w:val="00FF4495"/>
    <w:rsid w:val="00FF4699"/>
    <w:rsid w:val="00FF48B5"/>
    <w:rsid w:val="00FF48DD"/>
    <w:rsid w:val="00FF6E8B"/>
    <w:rsid w:val="010079D3"/>
    <w:rsid w:val="01465F89"/>
    <w:rsid w:val="01540E6A"/>
    <w:rsid w:val="016F11A9"/>
    <w:rsid w:val="01B4608C"/>
    <w:rsid w:val="01C02415"/>
    <w:rsid w:val="01C6CE06"/>
    <w:rsid w:val="01C708C8"/>
    <w:rsid w:val="01D43FB1"/>
    <w:rsid w:val="01E9FA9E"/>
    <w:rsid w:val="01F891F5"/>
    <w:rsid w:val="020A7DA6"/>
    <w:rsid w:val="024E2A52"/>
    <w:rsid w:val="025AA7EE"/>
    <w:rsid w:val="0260393F"/>
    <w:rsid w:val="0263BA90"/>
    <w:rsid w:val="026D41F5"/>
    <w:rsid w:val="026D5324"/>
    <w:rsid w:val="02791E0F"/>
    <w:rsid w:val="02892092"/>
    <w:rsid w:val="029376F1"/>
    <w:rsid w:val="02A679BD"/>
    <w:rsid w:val="02AEAD07"/>
    <w:rsid w:val="02C00334"/>
    <w:rsid w:val="02C365BC"/>
    <w:rsid w:val="02D438DF"/>
    <w:rsid w:val="02DDA497"/>
    <w:rsid w:val="02EA8575"/>
    <w:rsid w:val="02FA2E57"/>
    <w:rsid w:val="03335510"/>
    <w:rsid w:val="034015D9"/>
    <w:rsid w:val="034811EE"/>
    <w:rsid w:val="035A64D7"/>
    <w:rsid w:val="036D4A22"/>
    <w:rsid w:val="038D6963"/>
    <w:rsid w:val="03ABB478"/>
    <w:rsid w:val="03BA34B6"/>
    <w:rsid w:val="03BABA17"/>
    <w:rsid w:val="03BB7AF1"/>
    <w:rsid w:val="03F55DF5"/>
    <w:rsid w:val="03F6784F"/>
    <w:rsid w:val="0406790E"/>
    <w:rsid w:val="0418F0FA"/>
    <w:rsid w:val="04334F02"/>
    <w:rsid w:val="04389282"/>
    <w:rsid w:val="045759C6"/>
    <w:rsid w:val="045A44DD"/>
    <w:rsid w:val="0461A644"/>
    <w:rsid w:val="04621DE1"/>
    <w:rsid w:val="046D12B7"/>
    <w:rsid w:val="04799306"/>
    <w:rsid w:val="047A2AB3"/>
    <w:rsid w:val="048C4C73"/>
    <w:rsid w:val="049473A5"/>
    <w:rsid w:val="0494C7C7"/>
    <w:rsid w:val="04956CFC"/>
    <w:rsid w:val="04C45824"/>
    <w:rsid w:val="04CE630B"/>
    <w:rsid w:val="04E1B4A1"/>
    <w:rsid w:val="04E4098C"/>
    <w:rsid w:val="04FDE88A"/>
    <w:rsid w:val="0519E7CC"/>
    <w:rsid w:val="0544E565"/>
    <w:rsid w:val="0562670D"/>
    <w:rsid w:val="05859704"/>
    <w:rsid w:val="0592A871"/>
    <w:rsid w:val="05BAE096"/>
    <w:rsid w:val="05CCEC75"/>
    <w:rsid w:val="05D7B3BE"/>
    <w:rsid w:val="062073B9"/>
    <w:rsid w:val="06310037"/>
    <w:rsid w:val="0682426A"/>
    <w:rsid w:val="068AC397"/>
    <w:rsid w:val="06914739"/>
    <w:rsid w:val="069147F0"/>
    <w:rsid w:val="0692E05D"/>
    <w:rsid w:val="0699C213"/>
    <w:rsid w:val="06AF53B4"/>
    <w:rsid w:val="06B801B4"/>
    <w:rsid w:val="06C3F020"/>
    <w:rsid w:val="06D5DFFC"/>
    <w:rsid w:val="06E2C19D"/>
    <w:rsid w:val="06EEADB2"/>
    <w:rsid w:val="072CA93A"/>
    <w:rsid w:val="0733DCF4"/>
    <w:rsid w:val="073E0E9B"/>
    <w:rsid w:val="07528B62"/>
    <w:rsid w:val="0754083B"/>
    <w:rsid w:val="07846DCE"/>
    <w:rsid w:val="07B65ED3"/>
    <w:rsid w:val="07DBB3C4"/>
    <w:rsid w:val="07FEDDB9"/>
    <w:rsid w:val="08235602"/>
    <w:rsid w:val="082805A1"/>
    <w:rsid w:val="082EEE74"/>
    <w:rsid w:val="084FD227"/>
    <w:rsid w:val="085080EA"/>
    <w:rsid w:val="0851CA65"/>
    <w:rsid w:val="085691DD"/>
    <w:rsid w:val="0886A60F"/>
    <w:rsid w:val="0888A913"/>
    <w:rsid w:val="08CDE894"/>
    <w:rsid w:val="08E598AC"/>
    <w:rsid w:val="08F65108"/>
    <w:rsid w:val="0917347B"/>
    <w:rsid w:val="093EE708"/>
    <w:rsid w:val="094AA649"/>
    <w:rsid w:val="0960AE35"/>
    <w:rsid w:val="096D7421"/>
    <w:rsid w:val="097878D2"/>
    <w:rsid w:val="0997C947"/>
    <w:rsid w:val="09BCD5E7"/>
    <w:rsid w:val="09BF7271"/>
    <w:rsid w:val="09C36349"/>
    <w:rsid w:val="09E7E53E"/>
    <w:rsid w:val="09EBA288"/>
    <w:rsid w:val="0A0AD80E"/>
    <w:rsid w:val="0A81690D"/>
    <w:rsid w:val="0AE15DB9"/>
    <w:rsid w:val="0AFC82A2"/>
    <w:rsid w:val="0B1EDA11"/>
    <w:rsid w:val="0B227A28"/>
    <w:rsid w:val="0B587811"/>
    <w:rsid w:val="0B5B42D2"/>
    <w:rsid w:val="0B61A3FA"/>
    <w:rsid w:val="0B752963"/>
    <w:rsid w:val="0B832EF1"/>
    <w:rsid w:val="0B91BCF8"/>
    <w:rsid w:val="0B95EBD0"/>
    <w:rsid w:val="0B9662B6"/>
    <w:rsid w:val="0BA526B8"/>
    <w:rsid w:val="0BACE887"/>
    <w:rsid w:val="0BCE477A"/>
    <w:rsid w:val="0BE4C5A2"/>
    <w:rsid w:val="0BE67847"/>
    <w:rsid w:val="0BE7FD62"/>
    <w:rsid w:val="0C03EFB5"/>
    <w:rsid w:val="0C3C99FC"/>
    <w:rsid w:val="0C68E733"/>
    <w:rsid w:val="0C691EAE"/>
    <w:rsid w:val="0C72BF34"/>
    <w:rsid w:val="0C81264D"/>
    <w:rsid w:val="0C9BB8AF"/>
    <w:rsid w:val="0CAA5FA1"/>
    <w:rsid w:val="0CB0D041"/>
    <w:rsid w:val="0CCADB42"/>
    <w:rsid w:val="0CE36B8C"/>
    <w:rsid w:val="0D18CB37"/>
    <w:rsid w:val="0D25EFF2"/>
    <w:rsid w:val="0D347CB9"/>
    <w:rsid w:val="0D3E052E"/>
    <w:rsid w:val="0D4E1AE6"/>
    <w:rsid w:val="0D688ED6"/>
    <w:rsid w:val="0D71CBD3"/>
    <w:rsid w:val="0D904DD5"/>
    <w:rsid w:val="0DAEDBCC"/>
    <w:rsid w:val="0DF44BB0"/>
    <w:rsid w:val="0E04BE6F"/>
    <w:rsid w:val="0E0A6AA5"/>
    <w:rsid w:val="0E12582B"/>
    <w:rsid w:val="0E17285A"/>
    <w:rsid w:val="0E44FA83"/>
    <w:rsid w:val="0E567AD3"/>
    <w:rsid w:val="0E7787EE"/>
    <w:rsid w:val="0E7ED22E"/>
    <w:rsid w:val="0E91EB68"/>
    <w:rsid w:val="0E9CE915"/>
    <w:rsid w:val="0EA446A4"/>
    <w:rsid w:val="0EB8AD5B"/>
    <w:rsid w:val="0EC10BE9"/>
    <w:rsid w:val="0EC8F7FB"/>
    <w:rsid w:val="0ED59EB5"/>
    <w:rsid w:val="0ED6B79A"/>
    <w:rsid w:val="0EE387CF"/>
    <w:rsid w:val="0EE48E72"/>
    <w:rsid w:val="0F149D3D"/>
    <w:rsid w:val="0F1AE35F"/>
    <w:rsid w:val="0F1E8299"/>
    <w:rsid w:val="0F5B1AE4"/>
    <w:rsid w:val="0F6EEE0E"/>
    <w:rsid w:val="0F9731AB"/>
    <w:rsid w:val="0F9F13E2"/>
    <w:rsid w:val="0FA6675C"/>
    <w:rsid w:val="0FA85962"/>
    <w:rsid w:val="0FABDD7B"/>
    <w:rsid w:val="0FAEC0EC"/>
    <w:rsid w:val="0FDFDB02"/>
    <w:rsid w:val="0FE4BC5B"/>
    <w:rsid w:val="100061DF"/>
    <w:rsid w:val="103A5A9C"/>
    <w:rsid w:val="105635FA"/>
    <w:rsid w:val="10851AB9"/>
    <w:rsid w:val="108BE3D5"/>
    <w:rsid w:val="10A80CE8"/>
    <w:rsid w:val="10C6C38D"/>
    <w:rsid w:val="10CAA6DB"/>
    <w:rsid w:val="10CBA6AB"/>
    <w:rsid w:val="10CCA85F"/>
    <w:rsid w:val="10D9D164"/>
    <w:rsid w:val="10F17433"/>
    <w:rsid w:val="10F2244B"/>
    <w:rsid w:val="11054F71"/>
    <w:rsid w:val="111520FC"/>
    <w:rsid w:val="112F1A42"/>
    <w:rsid w:val="1133C0D7"/>
    <w:rsid w:val="11442FFB"/>
    <w:rsid w:val="11546FEA"/>
    <w:rsid w:val="118BB48C"/>
    <w:rsid w:val="11AFB54D"/>
    <w:rsid w:val="11C2560C"/>
    <w:rsid w:val="11D91D43"/>
    <w:rsid w:val="11E51A2C"/>
    <w:rsid w:val="11E58649"/>
    <w:rsid w:val="11F6AFB8"/>
    <w:rsid w:val="1219293F"/>
    <w:rsid w:val="121ED322"/>
    <w:rsid w:val="12325C4E"/>
    <w:rsid w:val="123D6DF8"/>
    <w:rsid w:val="12528421"/>
    <w:rsid w:val="1253B081"/>
    <w:rsid w:val="12551A22"/>
    <w:rsid w:val="126572DB"/>
    <w:rsid w:val="1275DFF5"/>
    <w:rsid w:val="128E4DCE"/>
    <w:rsid w:val="129F43C5"/>
    <w:rsid w:val="12A786F7"/>
    <w:rsid w:val="12A985EF"/>
    <w:rsid w:val="12B52EAC"/>
    <w:rsid w:val="12B773DA"/>
    <w:rsid w:val="12C23821"/>
    <w:rsid w:val="13119087"/>
    <w:rsid w:val="133DF7B4"/>
    <w:rsid w:val="134EE451"/>
    <w:rsid w:val="13720F80"/>
    <w:rsid w:val="138FC957"/>
    <w:rsid w:val="1397B734"/>
    <w:rsid w:val="13E6E2D5"/>
    <w:rsid w:val="13EF80E2"/>
    <w:rsid w:val="13F028FD"/>
    <w:rsid w:val="142B3C51"/>
    <w:rsid w:val="1444E025"/>
    <w:rsid w:val="144EB05D"/>
    <w:rsid w:val="1456605B"/>
    <w:rsid w:val="14678BA1"/>
    <w:rsid w:val="146B0010"/>
    <w:rsid w:val="148B6060"/>
    <w:rsid w:val="14C43F2E"/>
    <w:rsid w:val="14DA907E"/>
    <w:rsid w:val="14DC51CB"/>
    <w:rsid w:val="14E6A15B"/>
    <w:rsid w:val="1506BF58"/>
    <w:rsid w:val="1519B8F2"/>
    <w:rsid w:val="151B1687"/>
    <w:rsid w:val="15427D2F"/>
    <w:rsid w:val="1578D343"/>
    <w:rsid w:val="1579B821"/>
    <w:rsid w:val="157B596C"/>
    <w:rsid w:val="157B8F07"/>
    <w:rsid w:val="158EDFA8"/>
    <w:rsid w:val="15A93911"/>
    <w:rsid w:val="15AD5B4C"/>
    <w:rsid w:val="15C3E209"/>
    <w:rsid w:val="15DB8F46"/>
    <w:rsid w:val="15EDF049"/>
    <w:rsid w:val="160AAC5F"/>
    <w:rsid w:val="164A4089"/>
    <w:rsid w:val="166B2CAA"/>
    <w:rsid w:val="16A17D31"/>
    <w:rsid w:val="16A3745F"/>
    <w:rsid w:val="16B6E6E8"/>
    <w:rsid w:val="16CC1DCE"/>
    <w:rsid w:val="16FC534E"/>
    <w:rsid w:val="1705C928"/>
    <w:rsid w:val="175BEA25"/>
    <w:rsid w:val="17825950"/>
    <w:rsid w:val="178A0958"/>
    <w:rsid w:val="178AB00F"/>
    <w:rsid w:val="179B9495"/>
    <w:rsid w:val="179F2C63"/>
    <w:rsid w:val="17AC816B"/>
    <w:rsid w:val="17B8B718"/>
    <w:rsid w:val="17C1ACC4"/>
    <w:rsid w:val="17EF4103"/>
    <w:rsid w:val="17F0B9CD"/>
    <w:rsid w:val="18039014"/>
    <w:rsid w:val="18077FA6"/>
    <w:rsid w:val="181F4332"/>
    <w:rsid w:val="1831642F"/>
    <w:rsid w:val="18458D43"/>
    <w:rsid w:val="1848FDF0"/>
    <w:rsid w:val="188937BE"/>
    <w:rsid w:val="188CF9C1"/>
    <w:rsid w:val="189F9448"/>
    <w:rsid w:val="18A55370"/>
    <w:rsid w:val="18A89D48"/>
    <w:rsid w:val="18ABA18D"/>
    <w:rsid w:val="18AFF88F"/>
    <w:rsid w:val="18C6806A"/>
    <w:rsid w:val="18D95BE4"/>
    <w:rsid w:val="1901F4A7"/>
    <w:rsid w:val="19146070"/>
    <w:rsid w:val="193A0872"/>
    <w:rsid w:val="19420E73"/>
    <w:rsid w:val="1947AD62"/>
    <w:rsid w:val="194F3BA8"/>
    <w:rsid w:val="19572214"/>
    <w:rsid w:val="198B7720"/>
    <w:rsid w:val="199A3623"/>
    <w:rsid w:val="19AB194E"/>
    <w:rsid w:val="19C72AE1"/>
    <w:rsid w:val="19CFA1EE"/>
    <w:rsid w:val="19E555B9"/>
    <w:rsid w:val="19EAF7C4"/>
    <w:rsid w:val="19EB864D"/>
    <w:rsid w:val="19F39A26"/>
    <w:rsid w:val="19F750EC"/>
    <w:rsid w:val="19F85309"/>
    <w:rsid w:val="1A2625E0"/>
    <w:rsid w:val="1A29E453"/>
    <w:rsid w:val="1A56BF3D"/>
    <w:rsid w:val="1A8430BE"/>
    <w:rsid w:val="1A84C457"/>
    <w:rsid w:val="1AB9A65B"/>
    <w:rsid w:val="1AC44C85"/>
    <w:rsid w:val="1ACF3546"/>
    <w:rsid w:val="1AED144D"/>
    <w:rsid w:val="1B0B3BAF"/>
    <w:rsid w:val="1B112E4F"/>
    <w:rsid w:val="1B19D990"/>
    <w:rsid w:val="1B24765B"/>
    <w:rsid w:val="1B47A890"/>
    <w:rsid w:val="1B5834FA"/>
    <w:rsid w:val="1B66343F"/>
    <w:rsid w:val="1B6E30B9"/>
    <w:rsid w:val="1B99D192"/>
    <w:rsid w:val="1BAF31C1"/>
    <w:rsid w:val="1BE03E0A"/>
    <w:rsid w:val="1BF75C21"/>
    <w:rsid w:val="1C058BDB"/>
    <w:rsid w:val="1C360759"/>
    <w:rsid w:val="1C43025D"/>
    <w:rsid w:val="1C4FF20A"/>
    <w:rsid w:val="1C541ABA"/>
    <w:rsid w:val="1C54E272"/>
    <w:rsid w:val="1C5576BC"/>
    <w:rsid w:val="1C6104DA"/>
    <w:rsid w:val="1C82D5C3"/>
    <w:rsid w:val="1C84631F"/>
    <w:rsid w:val="1CACFEB0"/>
    <w:rsid w:val="1CAF0D75"/>
    <w:rsid w:val="1CD26277"/>
    <w:rsid w:val="1CDCF812"/>
    <w:rsid w:val="1D0048E2"/>
    <w:rsid w:val="1D2A99DE"/>
    <w:rsid w:val="1D3FE6F4"/>
    <w:rsid w:val="1D526738"/>
    <w:rsid w:val="1D532A4D"/>
    <w:rsid w:val="1D572418"/>
    <w:rsid w:val="1D908CBF"/>
    <w:rsid w:val="1DE49BB0"/>
    <w:rsid w:val="1E0A6F7A"/>
    <w:rsid w:val="1E2C1EEF"/>
    <w:rsid w:val="1E5167A4"/>
    <w:rsid w:val="1E6E6505"/>
    <w:rsid w:val="1E7445C5"/>
    <w:rsid w:val="1EA212D5"/>
    <w:rsid w:val="1EAA76CF"/>
    <w:rsid w:val="1EF1E583"/>
    <w:rsid w:val="1F1EFD32"/>
    <w:rsid w:val="1F4EF233"/>
    <w:rsid w:val="1F6BEC0D"/>
    <w:rsid w:val="1F6DF03C"/>
    <w:rsid w:val="1F77D076"/>
    <w:rsid w:val="1F8A9ECE"/>
    <w:rsid w:val="1F917FAA"/>
    <w:rsid w:val="1F92174C"/>
    <w:rsid w:val="1FA77E11"/>
    <w:rsid w:val="1FA9DDBE"/>
    <w:rsid w:val="1FAC118C"/>
    <w:rsid w:val="1FB504C5"/>
    <w:rsid w:val="1FB6E33A"/>
    <w:rsid w:val="2003B439"/>
    <w:rsid w:val="2015FEA5"/>
    <w:rsid w:val="20248796"/>
    <w:rsid w:val="202858E8"/>
    <w:rsid w:val="2064AC25"/>
    <w:rsid w:val="20680736"/>
    <w:rsid w:val="20790531"/>
    <w:rsid w:val="208153AB"/>
    <w:rsid w:val="20EC75FE"/>
    <w:rsid w:val="211F7255"/>
    <w:rsid w:val="212B2DE0"/>
    <w:rsid w:val="215A8210"/>
    <w:rsid w:val="21601CB7"/>
    <w:rsid w:val="218B3B3E"/>
    <w:rsid w:val="21ACEE23"/>
    <w:rsid w:val="21B8ACF7"/>
    <w:rsid w:val="21C449E0"/>
    <w:rsid w:val="21D86B9D"/>
    <w:rsid w:val="21EC867E"/>
    <w:rsid w:val="21FF62CF"/>
    <w:rsid w:val="220CAFFE"/>
    <w:rsid w:val="2213B3FF"/>
    <w:rsid w:val="2219CE0C"/>
    <w:rsid w:val="2229A57D"/>
    <w:rsid w:val="222A953B"/>
    <w:rsid w:val="228CD29B"/>
    <w:rsid w:val="22BE9670"/>
    <w:rsid w:val="22EDA71D"/>
    <w:rsid w:val="22EEDF37"/>
    <w:rsid w:val="22F4C5B4"/>
    <w:rsid w:val="230479BA"/>
    <w:rsid w:val="23140DC3"/>
    <w:rsid w:val="23155BB2"/>
    <w:rsid w:val="232B4371"/>
    <w:rsid w:val="233921C8"/>
    <w:rsid w:val="234C867D"/>
    <w:rsid w:val="23797A00"/>
    <w:rsid w:val="238402C3"/>
    <w:rsid w:val="23AB9AFD"/>
    <w:rsid w:val="23C2CBEA"/>
    <w:rsid w:val="23D27893"/>
    <w:rsid w:val="23E6399B"/>
    <w:rsid w:val="23FA5D40"/>
    <w:rsid w:val="240D9232"/>
    <w:rsid w:val="241F42BC"/>
    <w:rsid w:val="24470222"/>
    <w:rsid w:val="245B4012"/>
    <w:rsid w:val="24703B74"/>
    <w:rsid w:val="2474BF4B"/>
    <w:rsid w:val="2474ECBE"/>
    <w:rsid w:val="24774E22"/>
    <w:rsid w:val="2489FB8D"/>
    <w:rsid w:val="24A63375"/>
    <w:rsid w:val="24B211E1"/>
    <w:rsid w:val="24B96F41"/>
    <w:rsid w:val="24BDD30C"/>
    <w:rsid w:val="24C55F63"/>
    <w:rsid w:val="24F15C53"/>
    <w:rsid w:val="25014D2D"/>
    <w:rsid w:val="25037219"/>
    <w:rsid w:val="2506B560"/>
    <w:rsid w:val="250AE8F6"/>
    <w:rsid w:val="25115459"/>
    <w:rsid w:val="25142AF2"/>
    <w:rsid w:val="251ACCA1"/>
    <w:rsid w:val="252A9F39"/>
    <w:rsid w:val="2532B61E"/>
    <w:rsid w:val="2542EDFA"/>
    <w:rsid w:val="2553D9B7"/>
    <w:rsid w:val="2580E721"/>
    <w:rsid w:val="258A812A"/>
    <w:rsid w:val="25A6F3A0"/>
    <w:rsid w:val="25D6807E"/>
    <w:rsid w:val="25F2E378"/>
    <w:rsid w:val="26044688"/>
    <w:rsid w:val="26149653"/>
    <w:rsid w:val="2626A1AB"/>
    <w:rsid w:val="262925CA"/>
    <w:rsid w:val="26516A8F"/>
    <w:rsid w:val="265E4581"/>
    <w:rsid w:val="265E641F"/>
    <w:rsid w:val="26A0AB21"/>
    <w:rsid w:val="26B1F6CA"/>
    <w:rsid w:val="26C64B0D"/>
    <w:rsid w:val="26C68568"/>
    <w:rsid w:val="26E03430"/>
    <w:rsid w:val="26F724A7"/>
    <w:rsid w:val="26FDC9F6"/>
    <w:rsid w:val="27066740"/>
    <w:rsid w:val="2718CCEA"/>
    <w:rsid w:val="271EAF29"/>
    <w:rsid w:val="271ED282"/>
    <w:rsid w:val="273386B8"/>
    <w:rsid w:val="27494D0C"/>
    <w:rsid w:val="2765874E"/>
    <w:rsid w:val="27A8A79F"/>
    <w:rsid w:val="27BC30B3"/>
    <w:rsid w:val="27BCF6C2"/>
    <w:rsid w:val="2802460C"/>
    <w:rsid w:val="280C1C7C"/>
    <w:rsid w:val="2817F17C"/>
    <w:rsid w:val="281B6E69"/>
    <w:rsid w:val="2822BED7"/>
    <w:rsid w:val="282389A8"/>
    <w:rsid w:val="2828FD15"/>
    <w:rsid w:val="2856EFA4"/>
    <w:rsid w:val="2858DF6D"/>
    <w:rsid w:val="2862AFE6"/>
    <w:rsid w:val="286A7A95"/>
    <w:rsid w:val="2895D366"/>
    <w:rsid w:val="289C8FB5"/>
    <w:rsid w:val="28D6B84F"/>
    <w:rsid w:val="28EE7FC4"/>
    <w:rsid w:val="28F1E202"/>
    <w:rsid w:val="28F5F060"/>
    <w:rsid w:val="28F9AC1F"/>
    <w:rsid w:val="28FF5095"/>
    <w:rsid w:val="2900AF8C"/>
    <w:rsid w:val="290FB531"/>
    <w:rsid w:val="29198F4D"/>
    <w:rsid w:val="293797A7"/>
    <w:rsid w:val="2938A76A"/>
    <w:rsid w:val="2945FE90"/>
    <w:rsid w:val="2989A997"/>
    <w:rsid w:val="29CA380F"/>
    <w:rsid w:val="29E4C57C"/>
    <w:rsid w:val="29EE7D37"/>
    <w:rsid w:val="29F8E94E"/>
    <w:rsid w:val="2A281FB8"/>
    <w:rsid w:val="2A34B46D"/>
    <w:rsid w:val="2A529712"/>
    <w:rsid w:val="2A59278E"/>
    <w:rsid w:val="2A92D475"/>
    <w:rsid w:val="2AAE45FE"/>
    <w:rsid w:val="2ACFCA25"/>
    <w:rsid w:val="2AD232F9"/>
    <w:rsid w:val="2AD86422"/>
    <w:rsid w:val="2AE2E367"/>
    <w:rsid w:val="2AE446B0"/>
    <w:rsid w:val="2B0FDA6F"/>
    <w:rsid w:val="2B2E62DB"/>
    <w:rsid w:val="2B352C09"/>
    <w:rsid w:val="2B52130C"/>
    <w:rsid w:val="2B530F2B"/>
    <w:rsid w:val="2B8567ED"/>
    <w:rsid w:val="2B8EDDC2"/>
    <w:rsid w:val="2BAA0DC2"/>
    <w:rsid w:val="2BAEB041"/>
    <w:rsid w:val="2BC38D18"/>
    <w:rsid w:val="2BCF8188"/>
    <w:rsid w:val="2BEAE630"/>
    <w:rsid w:val="2BED0C99"/>
    <w:rsid w:val="2BEFA60D"/>
    <w:rsid w:val="2C034A36"/>
    <w:rsid w:val="2C11C118"/>
    <w:rsid w:val="2C132270"/>
    <w:rsid w:val="2C3A0B0F"/>
    <w:rsid w:val="2C3AC300"/>
    <w:rsid w:val="2C3D5ED1"/>
    <w:rsid w:val="2C435A22"/>
    <w:rsid w:val="2C60CAB1"/>
    <w:rsid w:val="2C7E2BC0"/>
    <w:rsid w:val="2C800627"/>
    <w:rsid w:val="2C81FCD3"/>
    <w:rsid w:val="2C84323E"/>
    <w:rsid w:val="2CC806CF"/>
    <w:rsid w:val="2CDB1F3F"/>
    <w:rsid w:val="2CDC38AE"/>
    <w:rsid w:val="2D0489B4"/>
    <w:rsid w:val="2D3FFE3C"/>
    <w:rsid w:val="2D5F8FAB"/>
    <w:rsid w:val="2D61A492"/>
    <w:rsid w:val="2D6C04D8"/>
    <w:rsid w:val="2D6D717E"/>
    <w:rsid w:val="2D70AE8A"/>
    <w:rsid w:val="2D7A2E30"/>
    <w:rsid w:val="2D7D4835"/>
    <w:rsid w:val="2D7DC403"/>
    <w:rsid w:val="2D84233D"/>
    <w:rsid w:val="2DB9A3BD"/>
    <w:rsid w:val="2DE1971D"/>
    <w:rsid w:val="2E5570E8"/>
    <w:rsid w:val="2E6CCCCB"/>
    <w:rsid w:val="2E74768C"/>
    <w:rsid w:val="2E766DE4"/>
    <w:rsid w:val="2EA92167"/>
    <w:rsid w:val="2EB1AEF7"/>
    <w:rsid w:val="2EC48440"/>
    <w:rsid w:val="2EC56709"/>
    <w:rsid w:val="2ED472E8"/>
    <w:rsid w:val="2ED5D55E"/>
    <w:rsid w:val="2EE1AE84"/>
    <w:rsid w:val="2EEE6029"/>
    <w:rsid w:val="2EF63F60"/>
    <w:rsid w:val="2EFA2E30"/>
    <w:rsid w:val="2F0AE0AD"/>
    <w:rsid w:val="2F0D9AB7"/>
    <w:rsid w:val="2F3361C7"/>
    <w:rsid w:val="2F40E7B9"/>
    <w:rsid w:val="2F4376A5"/>
    <w:rsid w:val="2F57AB78"/>
    <w:rsid w:val="2F5E9906"/>
    <w:rsid w:val="2F641EB9"/>
    <w:rsid w:val="2F6F292D"/>
    <w:rsid w:val="2F7D677E"/>
    <w:rsid w:val="2F81B721"/>
    <w:rsid w:val="2F8EEA01"/>
    <w:rsid w:val="2F8F28BA"/>
    <w:rsid w:val="2F9805C3"/>
    <w:rsid w:val="2F99BB82"/>
    <w:rsid w:val="2FBB2743"/>
    <w:rsid w:val="2FFBD7A1"/>
    <w:rsid w:val="300BF9C6"/>
    <w:rsid w:val="3019B2FA"/>
    <w:rsid w:val="3026804E"/>
    <w:rsid w:val="3064C2A5"/>
    <w:rsid w:val="30735582"/>
    <w:rsid w:val="307760BC"/>
    <w:rsid w:val="307B1CE8"/>
    <w:rsid w:val="307C1301"/>
    <w:rsid w:val="309811FD"/>
    <w:rsid w:val="30AF3B8C"/>
    <w:rsid w:val="30B85258"/>
    <w:rsid w:val="30D0E3A9"/>
    <w:rsid w:val="30D573B4"/>
    <w:rsid w:val="30D73E52"/>
    <w:rsid w:val="311937DF"/>
    <w:rsid w:val="31376FB5"/>
    <w:rsid w:val="3137C12E"/>
    <w:rsid w:val="313A398C"/>
    <w:rsid w:val="315F0BA6"/>
    <w:rsid w:val="31620F21"/>
    <w:rsid w:val="317329BA"/>
    <w:rsid w:val="317644DC"/>
    <w:rsid w:val="319624D6"/>
    <w:rsid w:val="31A72FA2"/>
    <w:rsid w:val="31AECA73"/>
    <w:rsid w:val="31B13CDB"/>
    <w:rsid w:val="31C8B536"/>
    <w:rsid w:val="32024128"/>
    <w:rsid w:val="3222813A"/>
    <w:rsid w:val="326B58A7"/>
    <w:rsid w:val="3275A08A"/>
    <w:rsid w:val="328C8F1A"/>
    <w:rsid w:val="32A638B2"/>
    <w:rsid w:val="32B6B466"/>
    <w:rsid w:val="32C9C2CC"/>
    <w:rsid w:val="32CC0AF0"/>
    <w:rsid w:val="33020595"/>
    <w:rsid w:val="330ECBC3"/>
    <w:rsid w:val="33337863"/>
    <w:rsid w:val="334B0AC2"/>
    <w:rsid w:val="334CD31E"/>
    <w:rsid w:val="33552F9E"/>
    <w:rsid w:val="33705D49"/>
    <w:rsid w:val="3376EA73"/>
    <w:rsid w:val="337B6D27"/>
    <w:rsid w:val="33925608"/>
    <w:rsid w:val="3398D82C"/>
    <w:rsid w:val="3399954D"/>
    <w:rsid w:val="33B2BDAA"/>
    <w:rsid w:val="33C60F76"/>
    <w:rsid w:val="33D23CE0"/>
    <w:rsid w:val="33D3831B"/>
    <w:rsid w:val="33F7A11F"/>
    <w:rsid w:val="34045961"/>
    <w:rsid w:val="34351B0E"/>
    <w:rsid w:val="34453BB8"/>
    <w:rsid w:val="3450D8A1"/>
    <w:rsid w:val="345722F9"/>
    <w:rsid w:val="346DDEA2"/>
    <w:rsid w:val="346F52C8"/>
    <w:rsid w:val="3473A06E"/>
    <w:rsid w:val="34752467"/>
    <w:rsid w:val="3498DC74"/>
    <w:rsid w:val="34A7EFC0"/>
    <w:rsid w:val="34DFD078"/>
    <w:rsid w:val="34E0FE6D"/>
    <w:rsid w:val="34E72D9B"/>
    <w:rsid w:val="34E8E453"/>
    <w:rsid w:val="351B6BC9"/>
    <w:rsid w:val="353565AE"/>
    <w:rsid w:val="35371B03"/>
    <w:rsid w:val="353FD9B5"/>
    <w:rsid w:val="355F83EB"/>
    <w:rsid w:val="358300F6"/>
    <w:rsid w:val="35854015"/>
    <w:rsid w:val="358A5EFB"/>
    <w:rsid w:val="35B02D2B"/>
    <w:rsid w:val="35B34DCD"/>
    <w:rsid w:val="35C37937"/>
    <w:rsid w:val="35CB7D0E"/>
    <w:rsid w:val="35D3E9E8"/>
    <w:rsid w:val="3615A29B"/>
    <w:rsid w:val="3653F26C"/>
    <w:rsid w:val="36711582"/>
    <w:rsid w:val="36790308"/>
    <w:rsid w:val="367AC760"/>
    <w:rsid w:val="367F734D"/>
    <w:rsid w:val="3681FB5F"/>
    <w:rsid w:val="36902CA8"/>
    <w:rsid w:val="36A3987F"/>
    <w:rsid w:val="36B56D2C"/>
    <w:rsid w:val="36F2248F"/>
    <w:rsid w:val="36F89BD0"/>
    <w:rsid w:val="36FC5B00"/>
    <w:rsid w:val="36FEA791"/>
    <w:rsid w:val="371ED0A4"/>
    <w:rsid w:val="37433D2D"/>
    <w:rsid w:val="374DBF7C"/>
    <w:rsid w:val="375AF03B"/>
    <w:rsid w:val="377EC04F"/>
    <w:rsid w:val="37C3A17B"/>
    <w:rsid w:val="37DA4F50"/>
    <w:rsid w:val="38120EB4"/>
    <w:rsid w:val="3813AF11"/>
    <w:rsid w:val="3814A22C"/>
    <w:rsid w:val="381D449E"/>
    <w:rsid w:val="38434F67"/>
    <w:rsid w:val="384B35C0"/>
    <w:rsid w:val="3858726D"/>
    <w:rsid w:val="386C494F"/>
    <w:rsid w:val="3881E6A6"/>
    <w:rsid w:val="38AD9A8E"/>
    <w:rsid w:val="38B88B22"/>
    <w:rsid w:val="38B9DF59"/>
    <w:rsid w:val="38C2E2B8"/>
    <w:rsid w:val="38CEBDE2"/>
    <w:rsid w:val="38DDD9C3"/>
    <w:rsid w:val="38E6B0AA"/>
    <w:rsid w:val="38E98FDD"/>
    <w:rsid w:val="3919BB75"/>
    <w:rsid w:val="3923E6D7"/>
    <w:rsid w:val="39296407"/>
    <w:rsid w:val="39527017"/>
    <w:rsid w:val="39742BD0"/>
    <w:rsid w:val="39979238"/>
    <w:rsid w:val="399D8A31"/>
    <w:rsid w:val="39A25EFA"/>
    <w:rsid w:val="39BA85DE"/>
    <w:rsid w:val="39F61B46"/>
    <w:rsid w:val="39F62F21"/>
    <w:rsid w:val="3A075DFE"/>
    <w:rsid w:val="3A288197"/>
    <w:rsid w:val="3A28B691"/>
    <w:rsid w:val="3A3964E1"/>
    <w:rsid w:val="3A4CA47C"/>
    <w:rsid w:val="3A593C6B"/>
    <w:rsid w:val="3A5A09EE"/>
    <w:rsid w:val="3A6F32C0"/>
    <w:rsid w:val="3A704406"/>
    <w:rsid w:val="3A85068C"/>
    <w:rsid w:val="3A8CFE35"/>
    <w:rsid w:val="3AACCC08"/>
    <w:rsid w:val="3ACCFE95"/>
    <w:rsid w:val="3ADE51FB"/>
    <w:rsid w:val="3AF9A9BD"/>
    <w:rsid w:val="3AFFB4F7"/>
    <w:rsid w:val="3B00B475"/>
    <w:rsid w:val="3B21A8A0"/>
    <w:rsid w:val="3B22683F"/>
    <w:rsid w:val="3B27F0B8"/>
    <w:rsid w:val="3B336D01"/>
    <w:rsid w:val="3B566F1F"/>
    <w:rsid w:val="3B5BE9DC"/>
    <w:rsid w:val="3B6FD824"/>
    <w:rsid w:val="3B9D9FAC"/>
    <w:rsid w:val="3BB635D9"/>
    <w:rsid w:val="3BB6ACA1"/>
    <w:rsid w:val="3BB99875"/>
    <w:rsid w:val="3BBA1506"/>
    <w:rsid w:val="3BBB885D"/>
    <w:rsid w:val="3BD1A394"/>
    <w:rsid w:val="3BDD02FE"/>
    <w:rsid w:val="3BE6CA41"/>
    <w:rsid w:val="3BEA5441"/>
    <w:rsid w:val="3BEC1239"/>
    <w:rsid w:val="3BF63868"/>
    <w:rsid w:val="3BFF41F2"/>
    <w:rsid w:val="3C0CA8A0"/>
    <w:rsid w:val="3C10799D"/>
    <w:rsid w:val="3C1F57FB"/>
    <w:rsid w:val="3C2AFE5A"/>
    <w:rsid w:val="3C39265C"/>
    <w:rsid w:val="3C4CFDEA"/>
    <w:rsid w:val="3C889686"/>
    <w:rsid w:val="3CA1AE73"/>
    <w:rsid w:val="3CB76555"/>
    <w:rsid w:val="3CEDE7C6"/>
    <w:rsid w:val="3CF63EA3"/>
    <w:rsid w:val="3D11CD9B"/>
    <w:rsid w:val="3D2D8232"/>
    <w:rsid w:val="3D41349C"/>
    <w:rsid w:val="3D4304F2"/>
    <w:rsid w:val="3D55A76F"/>
    <w:rsid w:val="3D5E8A03"/>
    <w:rsid w:val="3D64466C"/>
    <w:rsid w:val="3D98C637"/>
    <w:rsid w:val="3E126FEF"/>
    <w:rsid w:val="3E131F09"/>
    <w:rsid w:val="3E51E460"/>
    <w:rsid w:val="3E626C6F"/>
    <w:rsid w:val="3E74CF06"/>
    <w:rsid w:val="3E79E756"/>
    <w:rsid w:val="3E7F632B"/>
    <w:rsid w:val="3E87AB5A"/>
    <w:rsid w:val="3E9F7C38"/>
    <w:rsid w:val="3ED1A89F"/>
    <w:rsid w:val="3EE3FA6F"/>
    <w:rsid w:val="3EFEE41C"/>
    <w:rsid w:val="3F019934"/>
    <w:rsid w:val="3F1432B7"/>
    <w:rsid w:val="3F24C998"/>
    <w:rsid w:val="3F2D2468"/>
    <w:rsid w:val="3F59EE86"/>
    <w:rsid w:val="3F68E3FE"/>
    <w:rsid w:val="3F724439"/>
    <w:rsid w:val="3F724903"/>
    <w:rsid w:val="3F7A722E"/>
    <w:rsid w:val="3F89A817"/>
    <w:rsid w:val="3F92BAD4"/>
    <w:rsid w:val="3F9B78CE"/>
    <w:rsid w:val="3FA29F89"/>
    <w:rsid w:val="3FB7D70E"/>
    <w:rsid w:val="3FBB6B96"/>
    <w:rsid w:val="3FD7EB92"/>
    <w:rsid w:val="3FFF8FE5"/>
    <w:rsid w:val="40015D5D"/>
    <w:rsid w:val="4006BCF1"/>
    <w:rsid w:val="4015B7F6"/>
    <w:rsid w:val="403C806B"/>
    <w:rsid w:val="406EC681"/>
    <w:rsid w:val="407A6231"/>
    <w:rsid w:val="408E6AE6"/>
    <w:rsid w:val="40908391"/>
    <w:rsid w:val="409B0C4E"/>
    <w:rsid w:val="40A07698"/>
    <w:rsid w:val="40B541BD"/>
    <w:rsid w:val="40D6CB96"/>
    <w:rsid w:val="40DC8001"/>
    <w:rsid w:val="40EE8B4A"/>
    <w:rsid w:val="410B6687"/>
    <w:rsid w:val="41374CAD"/>
    <w:rsid w:val="4148BA83"/>
    <w:rsid w:val="418462F8"/>
    <w:rsid w:val="41BA9157"/>
    <w:rsid w:val="41C1DF3D"/>
    <w:rsid w:val="41C27EDD"/>
    <w:rsid w:val="41D9B56A"/>
    <w:rsid w:val="41E61015"/>
    <w:rsid w:val="41FF576A"/>
    <w:rsid w:val="421BD63C"/>
    <w:rsid w:val="422E4205"/>
    <w:rsid w:val="42346AA3"/>
    <w:rsid w:val="424400B3"/>
    <w:rsid w:val="4249AB22"/>
    <w:rsid w:val="424F3423"/>
    <w:rsid w:val="425C6A5A"/>
    <w:rsid w:val="428FBCF5"/>
    <w:rsid w:val="42A34E07"/>
    <w:rsid w:val="42B6DA44"/>
    <w:rsid w:val="42BA659C"/>
    <w:rsid w:val="42CB726B"/>
    <w:rsid w:val="42D4F528"/>
    <w:rsid w:val="42ED74DC"/>
    <w:rsid w:val="42EF77D0"/>
    <w:rsid w:val="432230A0"/>
    <w:rsid w:val="433555FC"/>
    <w:rsid w:val="4340FB84"/>
    <w:rsid w:val="4373A072"/>
    <w:rsid w:val="4379A3A7"/>
    <w:rsid w:val="43AEFBF6"/>
    <w:rsid w:val="43C2AF8F"/>
    <w:rsid w:val="43D6F376"/>
    <w:rsid w:val="43DB7AD2"/>
    <w:rsid w:val="43FD2CA8"/>
    <w:rsid w:val="4402CF42"/>
    <w:rsid w:val="44074C9B"/>
    <w:rsid w:val="440C48E9"/>
    <w:rsid w:val="4480764F"/>
    <w:rsid w:val="4484AEF1"/>
    <w:rsid w:val="44AA824B"/>
    <w:rsid w:val="44B4C8F9"/>
    <w:rsid w:val="44DD7D64"/>
    <w:rsid w:val="44E5F532"/>
    <w:rsid w:val="44EBADEA"/>
    <w:rsid w:val="44FD3885"/>
    <w:rsid w:val="4544B4C2"/>
    <w:rsid w:val="4553583D"/>
    <w:rsid w:val="455A6587"/>
    <w:rsid w:val="45694565"/>
    <w:rsid w:val="457ED0EC"/>
    <w:rsid w:val="458C1D96"/>
    <w:rsid w:val="458DF4CE"/>
    <w:rsid w:val="45963BC8"/>
    <w:rsid w:val="4597A910"/>
    <w:rsid w:val="45A79A1F"/>
    <w:rsid w:val="45BF6974"/>
    <w:rsid w:val="45C6E045"/>
    <w:rsid w:val="45D72995"/>
    <w:rsid w:val="45E18A87"/>
    <w:rsid w:val="45E28A73"/>
    <w:rsid w:val="45F500E2"/>
    <w:rsid w:val="45F80E68"/>
    <w:rsid w:val="45FE36E1"/>
    <w:rsid w:val="46227B98"/>
    <w:rsid w:val="4637C1F3"/>
    <w:rsid w:val="465BF406"/>
    <w:rsid w:val="466BFAA8"/>
    <w:rsid w:val="46A303E1"/>
    <w:rsid w:val="46B402D4"/>
    <w:rsid w:val="46BC1C87"/>
    <w:rsid w:val="46F1BEFB"/>
    <w:rsid w:val="46F6487E"/>
    <w:rsid w:val="4717EF7A"/>
    <w:rsid w:val="47223A1E"/>
    <w:rsid w:val="4724240B"/>
    <w:rsid w:val="4728445D"/>
    <w:rsid w:val="472E9101"/>
    <w:rsid w:val="473EE47C"/>
    <w:rsid w:val="47456E3B"/>
    <w:rsid w:val="475E40C4"/>
    <w:rsid w:val="47A53485"/>
    <w:rsid w:val="47C4C289"/>
    <w:rsid w:val="47C670AB"/>
    <w:rsid w:val="47CEEBD3"/>
    <w:rsid w:val="47DA4908"/>
    <w:rsid w:val="47F2DF3E"/>
    <w:rsid w:val="480F3B70"/>
    <w:rsid w:val="481A68BB"/>
    <w:rsid w:val="488C877B"/>
    <w:rsid w:val="489BF446"/>
    <w:rsid w:val="48D0C4CF"/>
    <w:rsid w:val="490062AD"/>
    <w:rsid w:val="490F8CBD"/>
    <w:rsid w:val="491BEE6C"/>
    <w:rsid w:val="491D95CE"/>
    <w:rsid w:val="491FC514"/>
    <w:rsid w:val="494436AC"/>
    <w:rsid w:val="49C6217D"/>
    <w:rsid w:val="49DC853C"/>
    <w:rsid w:val="49F25986"/>
    <w:rsid w:val="4A1E3D7A"/>
    <w:rsid w:val="4A25A797"/>
    <w:rsid w:val="4A3953EA"/>
    <w:rsid w:val="4A527C47"/>
    <w:rsid w:val="4A63C934"/>
    <w:rsid w:val="4A677C3F"/>
    <w:rsid w:val="4A92FC9C"/>
    <w:rsid w:val="4AACB5C0"/>
    <w:rsid w:val="4AB6D1BD"/>
    <w:rsid w:val="4ADE2B75"/>
    <w:rsid w:val="4AE345B8"/>
    <w:rsid w:val="4AF93472"/>
    <w:rsid w:val="4B073E2E"/>
    <w:rsid w:val="4B45C2AA"/>
    <w:rsid w:val="4B5F4E20"/>
    <w:rsid w:val="4B6939F6"/>
    <w:rsid w:val="4B9ABDC6"/>
    <w:rsid w:val="4BB0E6C8"/>
    <w:rsid w:val="4BB0E7C8"/>
    <w:rsid w:val="4BC0DE44"/>
    <w:rsid w:val="4BC299C1"/>
    <w:rsid w:val="4BC3867B"/>
    <w:rsid w:val="4BD5244B"/>
    <w:rsid w:val="4C0D7407"/>
    <w:rsid w:val="4C203A30"/>
    <w:rsid w:val="4C466B19"/>
    <w:rsid w:val="4C557551"/>
    <w:rsid w:val="4C56AFF1"/>
    <w:rsid w:val="4C7B6BAD"/>
    <w:rsid w:val="4CDAED7E"/>
    <w:rsid w:val="4CE53FF9"/>
    <w:rsid w:val="4CEF220D"/>
    <w:rsid w:val="4CFE6856"/>
    <w:rsid w:val="4D0B4C1C"/>
    <w:rsid w:val="4D12A496"/>
    <w:rsid w:val="4D23791B"/>
    <w:rsid w:val="4D2FF0F3"/>
    <w:rsid w:val="4D30210D"/>
    <w:rsid w:val="4D5942D3"/>
    <w:rsid w:val="4D7D0E9D"/>
    <w:rsid w:val="4D9E7DEE"/>
    <w:rsid w:val="4DD6A3B4"/>
    <w:rsid w:val="4E0288CE"/>
    <w:rsid w:val="4E0CF239"/>
    <w:rsid w:val="4E130DCD"/>
    <w:rsid w:val="4E33F9EB"/>
    <w:rsid w:val="4E3AA875"/>
    <w:rsid w:val="4E66F618"/>
    <w:rsid w:val="4EC57CFE"/>
    <w:rsid w:val="4EDEA54D"/>
    <w:rsid w:val="4EE19B83"/>
    <w:rsid w:val="4F018AA9"/>
    <w:rsid w:val="4F10B5E5"/>
    <w:rsid w:val="4F344712"/>
    <w:rsid w:val="4F4FBA46"/>
    <w:rsid w:val="4F817F8D"/>
    <w:rsid w:val="4F9D1D08"/>
    <w:rsid w:val="4FB6B6DB"/>
    <w:rsid w:val="4FB81803"/>
    <w:rsid w:val="4FC4540C"/>
    <w:rsid w:val="4FE57190"/>
    <w:rsid w:val="5025C719"/>
    <w:rsid w:val="503C38A9"/>
    <w:rsid w:val="503CEB14"/>
    <w:rsid w:val="5044CC3D"/>
    <w:rsid w:val="505A67CD"/>
    <w:rsid w:val="505B19DD"/>
    <w:rsid w:val="5066816B"/>
    <w:rsid w:val="508B13D1"/>
    <w:rsid w:val="50A09DAC"/>
    <w:rsid w:val="50AD6249"/>
    <w:rsid w:val="50B5A8DB"/>
    <w:rsid w:val="50BB26CF"/>
    <w:rsid w:val="50CA904A"/>
    <w:rsid w:val="50D3D5B7"/>
    <w:rsid w:val="50D65F54"/>
    <w:rsid w:val="50DC53A1"/>
    <w:rsid w:val="50FD9691"/>
    <w:rsid w:val="512FDF93"/>
    <w:rsid w:val="5141D010"/>
    <w:rsid w:val="514B843D"/>
    <w:rsid w:val="514D6CF9"/>
    <w:rsid w:val="515BC8A3"/>
    <w:rsid w:val="5181FF12"/>
    <w:rsid w:val="518246B7"/>
    <w:rsid w:val="51876699"/>
    <w:rsid w:val="51983620"/>
    <w:rsid w:val="51AB867F"/>
    <w:rsid w:val="51BD58C7"/>
    <w:rsid w:val="51C4991C"/>
    <w:rsid w:val="51CB04FA"/>
    <w:rsid w:val="51D8A2A7"/>
    <w:rsid w:val="51DA7DD2"/>
    <w:rsid w:val="52106EE2"/>
    <w:rsid w:val="5211438D"/>
    <w:rsid w:val="52313CE5"/>
    <w:rsid w:val="52428B89"/>
    <w:rsid w:val="5246D41A"/>
    <w:rsid w:val="526F78FA"/>
    <w:rsid w:val="52999687"/>
    <w:rsid w:val="52A34B68"/>
    <w:rsid w:val="52A788D7"/>
    <w:rsid w:val="52B66F03"/>
    <w:rsid w:val="52E534E4"/>
    <w:rsid w:val="52E6A54D"/>
    <w:rsid w:val="52EDB05E"/>
    <w:rsid w:val="52F66829"/>
    <w:rsid w:val="531DCF73"/>
    <w:rsid w:val="53315553"/>
    <w:rsid w:val="53498B9F"/>
    <w:rsid w:val="5392BA9F"/>
    <w:rsid w:val="53932CFA"/>
    <w:rsid w:val="53DE5BEA"/>
    <w:rsid w:val="53EDAA27"/>
    <w:rsid w:val="540050E4"/>
    <w:rsid w:val="544A2C05"/>
    <w:rsid w:val="5453DCDB"/>
    <w:rsid w:val="545F547C"/>
    <w:rsid w:val="546CB268"/>
    <w:rsid w:val="548110E3"/>
    <w:rsid w:val="5487BEC2"/>
    <w:rsid w:val="54A41CF4"/>
    <w:rsid w:val="54B36BBE"/>
    <w:rsid w:val="54CAF988"/>
    <w:rsid w:val="54CD25B4"/>
    <w:rsid w:val="54D230B9"/>
    <w:rsid w:val="54D6B2F0"/>
    <w:rsid w:val="54E543FD"/>
    <w:rsid w:val="55052F2A"/>
    <w:rsid w:val="55115BB9"/>
    <w:rsid w:val="551AEE37"/>
    <w:rsid w:val="555228DE"/>
    <w:rsid w:val="5555BE80"/>
    <w:rsid w:val="55635089"/>
    <w:rsid w:val="558919FE"/>
    <w:rsid w:val="558924D4"/>
    <w:rsid w:val="558958B2"/>
    <w:rsid w:val="558A6039"/>
    <w:rsid w:val="5595667C"/>
    <w:rsid w:val="55A91607"/>
    <w:rsid w:val="55B6BCAE"/>
    <w:rsid w:val="55BBD43B"/>
    <w:rsid w:val="55C86ACB"/>
    <w:rsid w:val="55D94BE5"/>
    <w:rsid w:val="55DDF3B2"/>
    <w:rsid w:val="55E97F17"/>
    <w:rsid w:val="55FEE42D"/>
    <w:rsid w:val="567EEEC4"/>
    <w:rsid w:val="5699413B"/>
    <w:rsid w:val="56A09BEF"/>
    <w:rsid w:val="56A7D242"/>
    <w:rsid w:val="56A7DD1D"/>
    <w:rsid w:val="56BCCF85"/>
    <w:rsid w:val="56C40E53"/>
    <w:rsid w:val="56D248E7"/>
    <w:rsid w:val="56FC7B4C"/>
    <w:rsid w:val="5705CF9E"/>
    <w:rsid w:val="572F9C40"/>
    <w:rsid w:val="5761279B"/>
    <w:rsid w:val="5779F423"/>
    <w:rsid w:val="5780B762"/>
    <w:rsid w:val="578A8EF8"/>
    <w:rsid w:val="578FB199"/>
    <w:rsid w:val="57AD55C1"/>
    <w:rsid w:val="57ADAC1D"/>
    <w:rsid w:val="57D13360"/>
    <w:rsid w:val="57D6EA44"/>
    <w:rsid w:val="582B2E64"/>
    <w:rsid w:val="582C5E09"/>
    <w:rsid w:val="582FE026"/>
    <w:rsid w:val="58364A16"/>
    <w:rsid w:val="583EDB2B"/>
    <w:rsid w:val="585312DC"/>
    <w:rsid w:val="5889D76D"/>
    <w:rsid w:val="58BF7762"/>
    <w:rsid w:val="58DB2958"/>
    <w:rsid w:val="58F8D78E"/>
    <w:rsid w:val="590B3A8B"/>
    <w:rsid w:val="593BAF19"/>
    <w:rsid w:val="593C31C6"/>
    <w:rsid w:val="594262FF"/>
    <w:rsid w:val="594DF08F"/>
    <w:rsid w:val="59732B79"/>
    <w:rsid w:val="597EC230"/>
    <w:rsid w:val="598F7CCD"/>
    <w:rsid w:val="59A0E4FC"/>
    <w:rsid w:val="59B5C3EE"/>
    <w:rsid w:val="59B84D29"/>
    <w:rsid w:val="59C1832F"/>
    <w:rsid w:val="59C3C301"/>
    <w:rsid w:val="59C61617"/>
    <w:rsid w:val="59C8CD0C"/>
    <w:rsid w:val="59D19335"/>
    <w:rsid w:val="59F3AB3A"/>
    <w:rsid w:val="59F98384"/>
    <w:rsid w:val="5A095E6D"/>
    <w:rsid w:val="5A2DFE16"/>
    <w:rsid w:val="5A38453B"/>
    <w:rsid w:val="5A7DF6A4"/>
    <w:rsid w:val="5AC309E7"/>
    <w:rsid w:val="5AE9C0F0"/>
    <w:rsid w:val="5AEB6EF4"/>
    <w:rsid w:val="5AFCB99F"/>
    <w:rsid w:val="5B6C48CD"/>
    <w:rsid w:val="5B71F1AE"/>
    <w:rsid w:val="5B7B4E40"/>
    <w:rsid w:val="5B95C988"/>
    <w:rsid w:val="5BAEDF54"/>
    <w:rsid w:val="5BB350FA"/>
    <w:rsid w:val="5BBBDA60"/>
    <w:rsid w:val="5BBF163F"/>
    <w:rsid w:val="5BCDF5A1"/>
    <w:rsid w:val="5BE4C74D"/>
    <w:rsid w:val="5BEC3CC7"/>
    <w:rsid w:val="5BEECFCD"/>
    <w:rsid w:val="5C050F85"/>
    <w:rsid w:val="5C0CBDD9"/>
    <w:rsid w:val="5C307850"/>
    <w:rsid w:val="5C35316F"/>
    <w:rsid w:val="5C38859E"/>
    <w:rsid w:val="5C74404F"/>
    <w:rsid w:val="5C77F9ED"/>
    <w:rsid w:val="5C8C60FA"/>
    <w:rsid w:val="5CB71E6C"/>
    <w:rsid w:val="5CE88092"/>
    <w:rsid w:val="5CEAC6F2"/>
    <w:rsid w:val="5CEE551F"/>
    <w:rsid w:val="5CF55EA4"/>
    <w:rsid w:val="5CF923F1"/>
    <w:rsid w:val="5D4246B9"/>
    <w:rsid w:val="5D4646EF"/>
    <w:rsid w:val="5D50CB45"/>
    <w:rsid w:val="5D5E9836"/>
    <w:rsid w:val="5D72CCB6"/>
    <w:rsid w:val="5D73EF8C"/>
    <w:rsid w:val="5D812429"/>
    <w:rsid w:val="5D9ACEF3"/>
    <w:rsid w:val="5D9C80CB"/>
    <w:rsid w:val="5DB874AC"/>
    <w:rsid w:val="5DD4F86B"/>
    <w:rsid w:val="5DDE4AA7"/>
    <w:rsid w:val="5DE6A415"/>
    <w:rsid w:val="5DEB418F"/>
    <w:rsid w:val="5DF5EFE4"/>
    <w:rsid w:val="5E0787EC"/>
    <w:rsid w:val="5E226CB2"/>
    <w:rsid w:val="5E4E8A22"/>
    <w:rsid w:val="5E4E958A"/>
    <w:rsid w:val="5E61B30C"/>
    <w:rsid w:val="5E655775"/>
    <w:rsid w:val="5E6FBF5A"/>
    <w:rsid w:val="5E87FFA6"/>
    <w:rsid w:val="5E8D7A02"/>
    <w:rsid w:val="5E8FDB61"/>
    <w:rsid w:val="5E9BA759"/>
    <w:rsid w:val="5EC03F95"/>
    <w:rsid w:val="5EE21750"/>
    <w:rsid w:val="5EF29FC1"/>
    <w:rsid w:val="5F07C93E"/>
    <w:rsid w:val="5F253468"/>
    <w:rsid w:val="5F26708F"/>
    <w:rsid w:val="5F31427F"/>
    <w:rsid w:val="5F3A141C"/>
    <w:rsid w:val="5F3B1CB0"/>
    <w:rsid w:val="5F40BA5D"/>
    <w:rsid w:val="5F51112C"/>
    <w:rsid w:val="5F5A406E"/>
    <w:rsid w:val="5F63271C"/>
    <w:rsid w:val="5F6CA93D"/>
    <w:rsid w:val="5FB776F0"/>
    <w:rsid w:val="5FC023C4"/>
    <w:rsid w:val="5FC401BC"/>
    <w:rsid w:val="5FD3F73D"/>
    <w:rsid w:val="5FD62B38"/>
    <w:rsid w:val="5FE26CFD"/>
    <w:rsid w:val="5FF9ED00"/>
    <w:rsid w:val="60205328"/>
    <w:rsid w:val="602673BD"/>
    <w:rsid w:val="60309F90"/>
    <w:rsid w:val="605AFD2D"/>
    <w:rsid w:val="6066075D"/>
    <w:rsid w:val="606B67BE"/>
    <w:rsid w:val="606DA73A"/>
    <w:rsid w:val="6084A647"/>
    <w:rsid w:val="608C13F8"/>
    <w:rsid w:val="60A43690"/>
    <w:rsid w:val="60C4E115"/>
    <w:rsid w:val="60DB0321"/>
    <w:rsid w:val="61040086"/>
    <w:rsid w:val="613619A3"/>
    <w:rsid w:val="615FD21D"/>
    <w:rsid w:val="6174B6F6"/>
    <w:rsid w:val="617AE916"/>
    <w:rsid w:val="61A2613B"/>
    <w:rsid w:val="61C77C23"/>
    <w:rsid w:val="61EF8407"/>
    <w:rsid w:val="62147B5A"/>
    <w:rsid w:val="62248B04"/>
    <w:rsid w:val="623189FE"/>
    <w:rsid w:val="6245ECD2"/>
    <w:rsid w:val="624760AF"/>
    <w:rsid w:val="625D0F06"/>
    <w:rsid w:val="62678AF8"/>
    <w:rsid w:val="62760E96"/>
    <w:rsid w:val="62941FC9"/>
    <w:rsid w:val="62A96F7C"/>
    <w:rsid w:val="62DB14BC"/>
    <w:rsid w:val="62FFA536"/>
    <w:rsid w:val="6321FB45"/>
    <w:rsid w:val="632299A5"/>
    <w:rsid w:val="63278445"/>
    <w:rsid w:val="632EC5B6"/>
    <w:rsid w:val="632F7C70"/>
    <w:rsid w:val="63397E55"/>
    <w:rsid w:val="635BC083"/>
    <w:rsid w:val="637AB7FF"/>
    <w:rsid w:val="637D5BFA"/>
    <w:rsid w:val="63967989"/>
    <w:rsid w:val="639E87E2"/>
    <w:rsid w:val="63A0983D"/>
    <w:rsid w:val="63C9DA15"/>
    <w:rsid w:val="63E1817F"/>
    <w:rsid w:val="63E33110"/>
    <w:rsid w:val="63EC914C"/>
    <w:rsid w:val="6410EFD0"/>
    <w:rsid w:val="64130E2A"/>
    <w:rsid w:val="641847B3"/>
    <w:rsid w:val="643B8C8D"/>
    <w:rsid w:val="6459B67F"/>
    <w:rsid w:val="64603459"/>
    <w:rsid w:val="64A257F9"/>
    <w:rsid w:val="64A7F24B"/>
    <w:rsid w:val="64B942B7"/>
    <w:rsid w:val="64BAF677"/>
    <w:rsid w:val="64BDCBA6"/>
    <w:rsid w:val="64BE88C7"/>
    <w:rsid w:val="64BF51A8"/>
    <w:rsid w:val="64C73D81"/>
    <w:rsid w:val="64CA9617"/>
    <w:rsid w:val="64E5F488"/>
    <w:rsid w:val="64E951AC"/>
    <w:rsid w:val="64EA1CED"/>
    <w:rsid w:val="64F2A76B"/>
    <w:rsid w:val="650435D6"/>
    <w:rsid w:val="650FE65D"/>
    <w:rsid w:val="6533D3B4"/>
    <w:rsid w:val="656B0267"/>
    <w:rsid w:val="6575CC1B"/>
    <w:rsid w:val="658A5869"/>
    <w:rsid w:val="658E127A"/>
    <w:rsid w:val="659403F1"/>
    <w:rsid w:val="65B814E1"/>
    <w:rsid w:val="65CE8D24"/>
    <w:rsid w:val="65D75A96"/>
    <w:rsid w:val="662981EF"/>
    <w:rsid w:val="663C3102"/>
    <w:rsid w:val="66403B37"/>
    <w:rsid w:val="6644BCCF"/>
    <w:rsid w:val="66AA338F"/>
    <w:rsid w:val="66AB8C45"/>
    <w:rsid w:val="66E86CB1"/>
    <w:rsid w:val="66E8E231"/>
    <w:rsid w:val="66F35863"/>
    <w:rsid w:val="670F64FD"/>
    <w:rsid w:val="67266EBA"/>
    <w:rsid w:val="672FD452"/>
    <w:rsid w:val="6744B08B"/>
    <w:rsid w:val="67467576"/>
    <w:rsid w:val="6765A864"/>
    <w:rsid w:val="677AA0CD"/>
    <w:rsid w:val="678BA14D"/>
    <w:rsid w:val="679CD22A"/>
    <w:rsid w:val="67B1C3DA"/>
    <w:rsid w:val="67DC2FA4"/>
    <w:rsid w:val="67F08AC3"/>
    <w:rsid w:val="67F0E379"/>
    <w:rsid w:val="67F56C68"/>
    <w:rsid w:val="6823FD5E"/>
    <w:rsid w:val="684E2ADA"/>
    <w:rsid w:val="6861B09D"/>
    <w:rsid w:val="687D26EB"/>
    <w:rsid w:val="68867464"/>
    <w:rsid w:val="6897958A"/>
    <w:rsid w:val="6899FFDD"/>
    <w:rsid w:val="68A2DE8E"/>
    <w:rsid w:val="68A80B1F"/>
    <w:rsid w:val="68BC811E"/>
    <w:rsid w:val="68D1555F"/>
    <w:rsid w:val="68E1DC6C"/>
    <w:rsid w:val="69295B62"/>
    <w:rsid w:val="693702FF"/>
    <w:rsid w:val="694ADCA2"/>
    <w:rsid w:val="694AF7F0"/>
    <w:rsid w:val="69711A5A"/>
    <w:rsid w:val="69913CC9"/>
    <w:rsid w:val="69A7CC65"/>
    <w:rsid w:val="69E7B0B0"/>
    <w:rsid w:val="69F08531"/>
    <w:rsid w:val="6A11E2A7"/>
    <w:rsid w:val="6A2477F8"/>
    <w:rsid w:val="6A31E181"/>
    <w:rsid w:val="6A3EAEEF"/>
    <w:rsid w:val="6A633485"/>
    <w:rsid w:val="6A85BCDD"/>
    <w:rsid w:val="6A91A35C"/>
    <w:rsid w:val="6AB0E8B1"/>
    <w:rsid w:val="6ABB715C"/>
    <w:rsid w:val="6B4679D8"/>
    <w:rsid w:val="6B49AB9E"/>
    <w:rsid w:val="6B4D4981"/>
    <w:rsid w:val="6B5A7888"/>
    <w:rsid w:val="6B6E5E69"/>
    <w:rsid w:val="6B871CC4"/>
    <w:rsid w:val="6B8E2B09"/>
    <w:rsid w:val="6B92898F"/>
    <w:rsid w:val="6B95785A"/>
    <w:rsid w:val="6BA61FAA"/>
    <w:rsid w:val="6BB3E5B6"/>
    <w:rsid w:val="6BFB74C7"/>
    <w:rsid w:val="6C2D73BD"/>
    <w:rsid w:val="6C320AF4"/>
    <w:rsid w:val="6C440431"/>
    <w:rsid w:val="6C5051C2"/>
    <w:rsid w:val="6C70434D"/>
    <w:rsid w:val="6C707674"/>
    <w:rsid w:val="6C87AABA"/>
    <w:rsid w:val="6C984674"/>
    <w:rsid w:val="6CA84525"/>
    <w:rsid w:val="6CAFAB1B"/>
    <w:rsid w:val="6CC78889"/>
    <w:rsid w:val="6CCD2466"/>
    <w:rsid w:val="6CD18120"/>
    <w:rsid w:val="6CDD1938"/>
    <w:rsid w:val="6CE57BFF"/>
    <w:rsid w:val="6CF50497"/>
    <w:rsid w:val="6CF648E9"/>
    <w:rsid w:val="6CF7519E"/>
    <w:rsid w:val="6CF9244C"/>
    <w:rsid w:val="6CFB05C7"/>
    <w:rsid w:val="6D1BC829"/>
    <w:rsid w:val="6D200BAD"/>
    <w:rsid w:val="6D2A3585"/>
    <w:rsid w:val="6D4FB617"/>
    <w:rsid w:val="6D569ADF"/>
    <w:rsid w:val="6D824DD7"/>
    <w:rsid w:val="6D8409A7"/>
    <w:rsid w:val="6D91BEC8"/>
    <w:rsid w:val="6D97F68A"/>
    <w:rsid w:val="6D98570A"/>
    <w:rsid w:val="6D9CE088"/>
    <w:rsid w:val="6DA4C6D3"/>
    <w:rsid w:val="6DA94949"/>
    <w:rsid w:val="6DE82BBC"/>
    <w:rsid w:val="6E10CE73"/>
    <w:rsid w:val="6E43B3A8"/>
    <w:rsid w:val="6E59AF38"/>
    <w:rsid w:val="6E712041"/>
    <w:rsid w:val="6EAD159F"/>
    <w:rsid w:val="6EC80035"/>
    <w:rsid w:val="6EDC5069"/>
    <w:rsid w:val="6EF4DAAA"/>
    <w:rsid w:val="6F0028A0"/>
    <w:rsid w:val="6F9540CB"/>
    <w:rsid w:val="6FA943DF"/>
    <w:rsid w:val="6FC48A46"/>
    <w:rsid w:val="6FEEF17C"/>
    <w:rsid w:val="7011AACE"/>
    <w:rsid w:val="701F3ABB"/>
    <w:rsid w:val="702200DF"/>
    <w:rsid w:val="70220ACF"/>
    <w:rsid w:val="7047656A"/>
    <w:rsid w:val="704AA57A"/>
    <w:rsid w:val="7051C31D"/>
    <w:rsid w:val="7077608E"/>
    <w:rsid w:val="7087396A"/>
    <w:rsid w:val="7087C83F"/>
    <w:rsid w:val="7097B3C3"/>
    <w:rsid w:val="709F65A8"/>
    <w:rsid w:val="70C477D4"/>
    <w:rsid w:val="70CC18B2"/>
    <w:rsid w:val="70DECCBF"/>
    <w:rsid w:val="7105A1C0"/>
    <w:rsid w:val="71069928"/>
    <w:rsid w:val="7117C493"/>
    <w:rsid w:val="715743EB"/>
    <w:rsid w:val="7160BED0"/>
    <w:rsid w:val="71618E87"/>
    <w:rsid w:val="7174711D"/>
    <w:rsid w:val="719058E0"/>
    <w:rsid w:val="71A1B366"/>
    <w:rsid w:val="71A3EF97"/>
    <w:rsid w:val="71C0DAA8"/>
    <w:rsid w:val="71FB2922"/>
    <w:rsid w:val="72046B5A"/>
    <w:rsid w:val="7214DD39"/>
    <w:rsid w:val="7218629C"/>
    <w:rsid w:val="7255BEFA"/>
    <w:rsid w:val="725E1841"/>
    <w:rsid w:val="726DE236"/>
    <w:rsid w:val="72C780CC"/>
    <w:rsid w:val="72DF84D1"/>
    <w:rsid w:val="72F424CC"/>
    <w:rsid w:val="73155E95"/>
    <w:rsid w:val="73275FBD"/>
    <w:rsid w:val="732EE9B9"/>
    <w:rsid w:val="73495653"/>
    <w:rsid w:val="735CAB09"/>
    <w:rsid w:val="736FF995"/>
    <w:rsid w:val="737BB188"/>
    <w:rsid w:val="73907834"/>
    <w:rsid w:val="73B97240"/>
    <w:rsid w:val="73B9AC7B"/>
    <w:rsid w:val="73D84590"/>
    <w:rsid w:val="73E9F6BA"/>
    <w:rsid w:val="73FB27CC"/>
    <w:rsid w:val="73FBF3B4"/>
    <w:rsid w:val="740F63A7"/>
    <w:rsid w:val="7445E370"/>
    <w:rsid w:val="7449FA00"/>
    <w:rsid w:val="744A77B2"/>
    <w:rsid w:val="747729D4"/>
    <w:rsid w:val="74809C81"/>
    <w:rsid w:val="74A0C4D7"/>
    <w:rsid w:val="74A47730"/>
    <w:rsid w:val="74DC7B56"/>
    <w:rsid w:val="74FC1852"/>
    <w:rsid w:val="7510B8BB"/>
    <w:rsid w:val="75187490"/>
    <w:rsid w:val="754E555D"/>
    <w:rsid w:val="754F6923"/>
    <w:rsid w:val="7558C7A6"/>
    <w:rsid w:val="7562C9BE"/>
    <w:rsid w:val="75C6D6D5"/>
    <w:rsid w:val="75CA013C"/>
    <w:rsid w:val="75CB733F"/>
    <w:rsid w:val="75CF4AD4"/>
    <w:rsid w:val="75DE9104"/>
    <w:rsid w:val="75E04806"/>
    <w:rsid w:val="75F801AB"/>
    <w:rsid w:val="75FA9039"/>
    <w:rsid w:val="760E1C93"/>
    <w:rsid w:val="76172593"/>
    <w:rsid w:val="763D5AB0"/>
    <w:rsid w:val="767F14D5"/>
    <w:rsid w:val="76914263"/>
    <w:rsid w:val="7695F075"/>
    <w:rsid w:val="769D2AE7"/>
    <w:rsid w:val="76AA6AC0"/>
    <w:rsid w:val="76B39E99"/>
    <w:rsid w:val="76D4ABF0"/>
    <w:rsid w:val="7705F37B"/>
    <w:rsid w:val="771818A4"/>
    <w:rsid w:val="777AC124"/>
    <w:rsid w:val="777F362C"/>
    <w:rsid w:val="779E2DB3"/>
    <w:rsid w:val="77B681D7"/>
    <w:rsid w:val="77C26153"/>
    <w:rsid w:val="77CA47DE"/>
    <w:rsid w:val="77CFB9B3"/>
    <w:rsid w:val="77E6F4A1"/>
    <w:rsid w:val="77EB2D41"/>
    <w:rsid w:val="78113766"/>
    <w:rsid w:val="7824DBB5"/>
    <w:rsid w:val="78408C55"/>
    <w:rsid w:val="78413D37"/>
    <w:rsid w:val="7848597D"/>
    <w:rsid w:val="7862C09F"/>
    <w:rsid w:val="78798D81"/>
    <w:rsid w:val="78924B4F"/>
    <w:rsid w:val="7898AFD6"/>
    <w:rsid w:val="789A668E"/>
    <w:rsid w:val="78CD59C5"/>
    <w:rsid w:val="78DA26E3"/>
    <w:rsid w:val="78E62AC8"/>
    <w:rsid w:val="78EB085F"/>
    <w:rsid w:val="78F4B5C5"/>
    <w:rsid w:val="78FCDC65"/>
    <w:rsid w:val="79001046"/>
    <w:rsid w:val="792AB746"/>
    <w:rsid w:val="7933FA64"/>
    <w:rsid w:val="79393759"/>
    <w:rsid w:val="793C5829"/>
    <w:rsid w:val="7971DD3A"/>
    <w:rsid w:val="7971E3C6"/>
    <w:rsid w:val="79869217"/>
    <w:rsid w:val="799751A1"/>
    <w:rsid w:val="799DC20D"/>
    <w:rsid w:val="799E2B3D"/>
    <w:rsid w:val="79ACBF38"/>
    <w:rsid w:val="79BAC19A"/>
    <w:rsid w:val="79C5E233"/>
    <w:rsid w:val="79C8E325"/>
    <w:rsid w:val="79C97E52"/>
    <w:rsid w:val="79E8B1D2"/>
    <w:rsid w:val="79FAC7C2"/>
    <w:rsid w:val="7A1B7803"/>
    <w:rsid w:val="7A2D1F91"/>
    <w:rsid w:val="7A348037"/>
    <w:rsid w:val="7A3A9BC2"/>
    <w:rsid w:val="7A67F6BB"/>
    <w:rsid w:val="7A6E756A"/>
    <w:rsid w:val="7A6F9331"/>
    <w:rsid w:val="7A8791E0"/>
    <w:rsid w:val="7A91BABD"/>
    <w:rsid w:val="7A9B2386"/>
    <w:rsid w:val="7A9CA37A"/>
    <w:rsid w:val="7A9FAB52"/>
    <w:rsid w:val="7B1BA052"/>
    <w:rsid w:val="7B2311AE"/>
    <w:rsid w:val="7B3CA46F"/>
    <w:rsid w:val="7B4951EC"/>
    <w:rsid w:val="7B4E9491"/>
    <w:rsid w:val="7B6650DE"/>
    <w:rsid w:val="7B7DDBE3"/>
    <w:rsid w:val="7B7FFA3F"/>
    <w:rsid w:val="7B814C3F"/>
    <w:rsid w:val="7B8261BC"/>
    <w:rsid w:val="7B88B12A"/>
    <w:rsid w:val="7B89C70C"/>
    <w:rsid w:val="7B98C792"/>
    <w:rsid w:val="7BA8C7E2"/>
    <w:rsid w:val="7BAC1E80"/>
    <w:rsid w:val="7BB86BC1"/>
    <w:rsid w:val="7BBC284C"/>
    <w:rsid w:val="7BD77ABD"/>
    <w:rsid w:val="7BF31460"/>
    <w:rsid w:val="7C1A0B4F"/>
    <w:rsid w:val="7C30E496"/>
    <w:rsid w:val="7C347D27"/>
    <w:rsid w:val="7C37105B"/>
    <w:rsid w:val="7C55C378"/>
    <w:rsid w:val="7C7B2F9C"/>
    <w:rsid w:val="7C86E651"/>
    <w:rsid w:val="7C8F80FD"/>
    <w:rsid w:val="7CA74CB1"/>
    <w:rsid w:val="7CB787E6"/>
    <w:rsid w:val="7CCCDFDB"/>
    <w:rsid w:val="7CE0EF68"/>
    <w:rsid w:val="7CE9C43D"/>
    <w:rsid w:val="7D0A057B"/>
    <w:rsid w:val="7D2F5F1C"/>
    <w:rsid w:val="7D658DB5"/>
    <w:rsid w:val="7D723C84"/>
    <w:rsid w:val="7D756741"/>
    <w:rsid w:val="7D92AE39"/>
    <w:rsid w:val="7D9D7D95"/>
    <w:rsid w:val="7DB8DEB0"/>
    <w:rsid w:val="7E027D78"/>
    <w:rsid w:val="7E0A3373"/>
    <w:rsid w:val="7E1C3FE0"/>
    <w:rsid w:val="7E2B3A19"/>
    <w:rsid w:val="7E5CC3A6"/>
    <w:rsid w:val="7E639F47"/>
    <w:rsid w:val="7E670E11"/>
    <w:rsid w:val="7E6F813A"/>
    <w:rsid w:val="7E6FFD6E"/>
    <w:rsid w:val="7E73F4D3"/>
    <w:rsid w:val="7E7F27D4"/>
    <w:rsid w:val="7E810515"/>
    <w:rsid w:val="7E9F5DB0"/>
    <w:rsid w:val="7EA441CE"/>
    <w:rsid w:val="7EAE72DC"/>
    <w:rsid w:val="7EB0010F"/>
    <w:rsid w:val="7EB2A90B"/>
    <w:rsid w:val="7EBB9CBE"/>
    <w:rsid w:val="7EF3C90E"/>
    <w:rsid w:val="7EFA1D7C"/>
    <w:rsid w:val="7EFEB40D"/>
    <w:rsid w:val="7F004179"/>
    <w:rsid w:val="7F018CD3"/>
    <w:rsid w:val="7F0E0CE5"/>
    <w:rsid w:val="7F370DAF"/>
    <w:rsid w:val="7F5D87F8"/>
    <w:rsid w:val="7F6EB11D"/>
    <w:rsid w:val="7F7A0DE9"/>
    <w:rsid w:val="7FC0611D"/>
    <w:rsid w:val="7FC1BEB2"/>
    <w:rsid w:val="7FC90306"/>
    <w:rsid w:val="7FD195C6"/>
    <w:rsid w:val="7FD7E9AB"/>
    <w:rsid w:val="7FD8C8FB"/>
    <w:rsid w:val="7FDEDC66"/>
    <w:rsid w:val="7FF1E74B"/>
    <w:rsid w:val="7FF39D19"/>
    <w:rsid w:val="7FF894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B10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C61"/>
    <w:pPr>
      <w:spacing w:before="120"/>
    </w:pPr>
    <w:rPr>
      <w:rFonts w:ascii="Franklin Gothic Book" w:hAnsi="Franklin Gothic Book"/>
    </w:rPr>
  </w:style>
  <w:style w:type="paragraph" w:styleId="Heading1">
    <w:name w:val="heading 1"/>
    <w:basedOn w:val="Normal"/>
    <w:next w:val="Normal"/>
    <w:link w:val="Heading1Char"/>
    <w:uiPriority w:val="9"/>
    <w:qFormat/>
    <w:rsid w:val="0035176C"/>
    <w:pPr>
      <w:keepNext/>
      <w:keepLines/>
      <w:pBdr>
        <w:bottom w:val="single" w:sz="4" w:space="1" w:color="auto"/>
      </w:pBdr>
      <w:spacing w:before="600" w:after="480" w:line="240" w:lineRule="auto"/>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35176C"/>
    <w:pPr>
      <w:keepNext/>
      <w:keepLines/>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35176C"/>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35176C"/>
    <w:pPr>
      <w:outlineLvl w:val="3"/>
    </w:pPr>
    <w:rPr>
      <w:i/>
    </w:rPr>
  </w:style>
  <w:style w:type="paragraph" w:styleId="Heading5">
    <w:name w:val="heading 5"/>
    <w:basedOn w:val="Normal"/>
    <w:next w:val="Normal"/>
    <w:link w:val="Heading5Char"/>
    <w:uiPriority w:val="9"/>
    <w:unhideWhenUsed/>
    <w:qFormat/>
    <w:rsid w:val="006452E2"/>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176C"/>
    <w:rPr>
      <w:rFonts w:ascii="Franklin Gothic Medium" w:eastAsiaTheme="majorEastAsia" w:hAnsi="Franklin Gothic Medium" w:cstheme="majorBidi"/>
      <w:color w:val="000000" w:themeColor="text1"/>
      <w:sz w:val="32"/>
      <w:szCs w:val="26"/>
    </w:rPr>
  </w:style>
  <w:style w:type="paragraph" w:customStyle="1" w:styleId="ESHeading1">
    <w:name w:val="ES Heading1"/>
    <w:basedOn w:val="Heading2"/>
    <w:next w:val="Normal"/>
    <w:rsid w:val="0035176C"/>
    <w:pPr>
      <w:spacing w:before="240"/>
    </w:pPr>
  </w:style>
  <w:style w:type="paragraph" w:styleId="Footer">
    <w:name w:val="footer"/>
    <w:basedOn w:val="Normal"/>
    <w:link w:val="FooterChar"/>
    <w:uiPriority w:val="99"/>
    <w:unhideWhenUsed/>
    <w:rsid w:val="00351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76C"/>
    <w:rPr>
      <w:rFonts w:ascii="Franklin Gothic Book" w:hAnsi="Franklin Gothic Book"/>
    </w:rPr>
  </w:style>
  <w:style w:type="paragraph" w:styleId="Header">
    <w:name w:val="header"/>
    <w:basedOn w:val="Normal"/>
    <w:link w:val="HeaderChar"/>
    <w:uiPriority w:val="99"/>
    <w:unhideWhenUsed/>
    <w:rsid w:val="00351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76C"/>
    <w:rPr>
      <w:rFonts w:ascii="Franklin Gothic Book" w:hAnsi="Franklin Gothic Book"/>
    </w:rPr>
  </w:style>
  <w:style w:type="character" w:customStyle="1" w:styleId="Heading1Char">
    <w:name w:val="Heading 1 Char"/>
    <w:basedOn w:val="DefaultParagraphFont"/>
    <w:link w:val="Heading1"/>
    <w:uiPriority w:val="9"/>
    <w:rsid w:val="0035176C"/>
    <w:rPr>
      <w:rFonts w:ascii="Franklin Gothic Medium" w:eastAsiaTheme="majorEastAsia" w:hAnsi="Franklin Gothic Medium" w:cstheme="majorBidi"/>
      <w:sz w:val="44"/>
      <w:szCs w:val="32"/>
    </w:rPr>
  </w:style>
  <w:style w:type="character" w:customStyle="1" w:styleId="Heading3Char">
    <w:name w:val="Heading 3 Char"/>
    <w:basedOn w:val="DefaultParagraphFont"/>
    <w:link w:val="Heading3"/>
    <w:uiPriority w:val="9"/>
    <w:rsid w:val="0035176C"/>
    <w:rPr>
      <w:rFonts w:ascii="Franklin Gothic Medium" w:eastAsiaTheme="majorEastAsia" w:hAnsi="Franklin Gothic Medium" w:cstheme="majorBidi"/>
      <w:sz w:val="24"/>
      <w:szCs w:val="24"/>
    </w:rPr>
  </w:style>
  <w:style w:type="character" w:customStyle="1" w:styleId="Heading4Char">
    <w:name w:val="Heading 4 Char"/>
    <w:basedOn w:val="DefaultParagraphFont"/>
    <w:link w:val="Heading4"/>
    <w:uiPriority w:val="9"/>
    <w:rsid w:val="0035176C"/>
    <w:rPr>
      <w:rFonts w:ascii="Franklin Gothic Medium" w:eastAsiaTheme="majorEastAsia" w:hAnsi="Franklin Gothic Medium" w:cstheme="majorBidi"/>
      <w:i/>
      <w:sz w:val="24"/>
      <w:szCs w:val="24"/>
    </w:rPr>
  </w:style>
  <w:style w:type="paragraph" w:customStyle="1" w:styleId="MSACESParagraph">
    <w:name w:val="MSAC ES Paragraph"/>
    <w:link w:val="MSACESParagraphChar"/>
    <w:uiPriority w:val="1"/>
    <w:rsid w:val="0035176C"/>
    <w:pPr>
      <w:spacing w:after="240" w:line="240" w:lineRule="auto"/>
    </w:pPr>
    <w:rPr>
      <w:rFonts w:ascii="Times New Roman" w:hAnsi="Times New Roman" w:cs="Times New Roman"/>
      <w:sz w:val="24"/>
    </w:rPr>
  </w:style>
  <w:style w:type="character" w:customStyle="1" w:styleId="MSACESParagraphChar">
    <w:name w:val="MSAC ES Paragraph Char"/>
    <w:basedOn w:val="DefaultParagraphFont"/>
    <w:link w:val="MSACESParagraph"/>
    <w:uiPriority w:val="1"/>
    <w:locked/>
    <w:rsid w:val="0035176C"/>
    <w:rPr>
      <w:rFonts w:ascii="Times New Roman" w:hAnsi="Times New Roman" w:cs="Times New Roman"/>
      <w:sz w:val="24"/>
    </w:rPr>
  </w:style>
  <w:style w:type="paragraph" w:customStyle="1" w:styleId="References">
    <w:name w:val="References"/>
    <w:basedOn w:val="Normal"/>
    <w:rsid w:val="0035176C"/>
    <w:pPr>
      <w:keepLines/>
      <w:spacing w:after="240" w:line="312" w:lineRule="auto"/>
      <w:ind w:left="1440" w:hanging="720"/>
    </w:pPr>
    <w:rPr>
      <w:rFonts w:ascii="Calibri" w:eastAsia="Times New Roman" w:hAnsi="Calibri" w:cs="Tahoma"/>
      <w:lang w:eastAsia="en-AU"/>
    </w:rPr>
  </w:style>
  <w:style w:type="paragraph" w:customStyle="1" w:styleId="TableFooter">
    <w:name w:val="Table Footer"/>
    <w:basedOn w:val="Normal"/>
    <w:link w:val="TableFooterChar"/>
    <w:rsid w:val="0035176C"/>
    <w:pPr>
      <w:widowControl w:val="0"/>
      <w:snapToGrid w:val="0"/>
      <w:spacing w:after="240" w:line="240" w:lineRule="auto"/>
      <w:contextualSpacing/>
      <w:jc w:val="both"/>
    </w:pPr>
    <w:rPr>
      <w:rFonts w:ascii="Arial Narrow" w:eastAsia="Times New Roman" w:hAnsi="Arial Narrow" w:cs="Arial"/>
      <w:sz w:val="18"/>
      <w:szCs w:val="20"/>
    </w:rPr>
  </w:style>
  <w:style w:type="character" w:customStyle="1" w:styleId="TableFooterChar">
    <w:name w:val="Table Footer Char"/>
    <w:link w:val="TableFooter"/>
    <w:locked/>
    <w:rsid w:val="0035176C"/>
    <w:rPr>
      <w:rFonts w:ascii="Arial Narrow" w:eastAsia="Times New Roman" w:hAnsi="Arial Narrow" w:cs="Arial"/>
      <w:sz w:val="18"/>
      <w:szCs w:val="20"/>
    </w:rPr>
  </w:style>
  <w:style w:type="paragraph" w:customStyle="1" w:styleId="TableHeading">
    <w:name w:val="Table Heading"/>
    <w:basedOn w:val="Normal"/>
    <w:link w:val="TableHeadingChar"/>
    <w:qFormat/>
    <w:rsid w:val="0035176C"/>
    <w:pPr>
      <w:spacing w:after="60" w:line="240" w:lineRule="auto"/>
    </w:pPr>
    <w:rPr>
      <w:rFonts w:ascii="Arial Narrow" w:hAnsi="Arial Narrow"/>
      <w:b/>
      <w:sz w:val="20"/>
    </w:rPr>
  </w:style>
  <w:style w:type="paragraph" w:customStyle="1" w:styleId="Tablenotes">
    <w:name w:val="Table notes"/>
    <w:basedOn w:val="Normal"/>
    <w:link w:val="TablenotesChar"/>
    <w:qFormat/>
    <w:rsid w:val="0035176C"/>
    <w:pPr>
      <w:spacing w:after="240"/>
      <w:contextualSpacing/>
      <w:jc w:val="both"/>
    </w:pPr>
    <w:rPr>
      <w:rFonts w:ascii="Arial Narrow" w:hAnsi="Arial Narrow" w:cs="Arial"/>
      <w:sz w:val="18"/>
    </w:rPr>
  </w:style>
  <w:style w:type="character" w:customStyle="1" w:styleId="TablenotesChar">
    <w:name w:val="Table notes Char"/>
    <w:basedOn w:val="DefaultParagraphFont"/>
    <w:link w:val="Tablenotes"/>
    <w:rsid w:val="0035176C"/>
    <w:rPr>
      <w:rFonts w:ascii="Arial Narrow" w:hAnsi="Arial Narrow" w:cs="Arial"/>
      <w:sz w:val="18"/>
    </w:rPr>
  </w:style>
  <w:style w:type="paragraph" w:customStyle="1" w:styleId="TableText">
    <w:name w:val="Table Text"/>
    <w:basedOn w:val="Normal"/>
    <w:link w:val="TableTextChar"/>
    <w:qFormat/>
    <w:rsid w:val="0035176C"/>
    <w:pPr>
      <w:spacing w:before="40" w:after="40" w:line="240" w:lineRule="auto"/>
    </w:pPr>
    <w:rPr>
      <w:rFonts w:ascii="Arial Narrow" w:hAnsi="Arial Narrow"/>
      <w:sz w:val="20"/>
    </w:rPr>
  </w:style>
  <w:style w:type="character" w:customStyle="1" w:styleId="TableTextChar">
    <w:name w:val="Table Text Char"/>
    <w:basedOn w:val="DefaultParagraphFont"/>
    <w:link w:val="TableText"/>
    <w:rsid w:val="0035176C"/>
    <w:rPr>
      <w:rFonts w:ascii="Arial Narrow" w:hAnsi="Arial Narrow"/>
      <w:sz w:val="20"/>
    </w:rPr>
  </w:style>
  <w:style w:type="paragraph" w:customStyle="1" w:styleId="Tablenotes0">
    <w:name w:val="Tablenotes"/>
    <w:basedOn w:val="Normal"/>
    <w:link w:val="TablenotesChar0"/>
    <w:rsid w:val="0035176C"/>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0">
    <w:name w:val="Tablenotes Char"/>
    <w:basedOn w:val="DefaultParagraphFont"/>
    <w:link w:val="Tablenotes0"/>
    <w:rsid w:val="0035176C"/>
    <w:rPr>
      <w:rFonts w:ascii="Arial Narrow" w:eastAsia="Times New Roman" w:hAnsi="Arial Narrow" w:cs="Arial"/>
      <w:snapToGrid w:val="0"/>
      <w:sz w:val="18"/>
      <w:szCs w:val="20"/>
    </w:rPr>
  </w:style>
  <w:style w:type="paragraph" w:styleId="Date">
    <w:name w:val="Date"/>
    <w:basedOn w:val="Normal"/>
    <w:next w:val="Normal"/>
    <w:link w:val="DateChar"/>
    <w:rsid w:val="005106FD"/>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5106FD"/>
    <w:rPr>
      <w:rFonts w:ascii="Arial" w:eastAsia="Times New Roman" w:hAnsi="Arial" w:cs="Tahoma"/>
      <w:b/>
      <w:sz w:val="36"/>
      <w:lang w:eastAsia="en-AU"/>
    </w:rPr>
  </w:style>
  <w:style w:type="paragraph" w:customStyle="1" w:styleId="PublicationTitle">
    <w:name w:val="PublicationTitle"/>
    <w:basedOn w:val="Normal"/>
    <w:rsid w:val="005106FD"/>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5106FD"/>
    <w:pPr>
      <w:spacing w:before="1701"/>
      <w:ind w:left="4536"/>
    </w:pPr>
    <w:rPr>
      <w:rFonts w:ascii="Arial" w:eastAsia="Times New Roman" w:hAnsi="Arial" w:cs="Tahoma"/>
      <w:b/>
      <w:sz w:val="32"/>
      <w:lang w:eastAsia="en-AU"/>
    </w:rPr>
  </w:style>
  <w:style w:type="paragraph" w:customStyle="1" w:styleId="Instructionaltext">
    <w:name w:val="Instructional text"/>
    <w:basedOn w:val="Normal"/>
    <w:link w:val="InstructionaltextChar"/>
    <w:qFormat/>
    <w:rsid w:val="005106FD"/>
    <w:rPr>
      <w:color w:val="258221"/>
    </w:rPr>
  </w:style>
  <w:style w:type="character" w:customStyle="1" w:styleId="InstructionaltextChar">
    <w:name w:val="Instructional text Char"/>
    <w:basedOn w:val="DefaultParagraphFont"/>
    <w:link w:val="Instructionaltext"/>
    <w:rsid w:val="005106FD"/>
    <w:rPr>
      <w:rFonts w:ascii="Franklin Gothic Book" w:hAnsi="Franklin Gothic Book"/>
      <w:color w:val="258221"/>
    </w:rPr>
  </w:style>
  <w:style w:type="character" w:styleId="CommentReference">
    <w:name w:val="annotation reference"/>
    <w:aliases w:val="Table Title"/>
    <w:basedOn w:val="DefaultParagraphFont"/>
    <w:uiPriority w:val="99"/>
    <w:unhideWhenUsed/>
    <w:qFormat/>
    <w:rsid w:val="007637E2"/>
    <w:rPr>
      <w:sz w:val="16"/>
      <w:szCs w:val="16"/>
    </w:rPr>
  </w:style>
  <w:style w:type="paragraph" w:styleId="CommentText">
    <w:name w:val="annotation text"/>
    <w:basedOn w:val="Normal"/>
    <w:link w:val="CommentTextChar"/>
    <w:uiPriority w:val="99"/>
    <w:unhideWhenUsed/>
    <w:rsid w:val="007637E2"/>
    <w:pPr>
      <w:spacing w:line="240" w:lineRule="auto"/>
    </w:pPr>
    <w:rPr>
      <w:sz w:val="20"/>
      <w:szCs w:val="20"/>
    </w:rPr>
  </w:style>
  <w:style w:type="character" w:customStyle="1" w:styleId="CommentTextChar">
    <w:name w:val="Comment Text Char"/>
    <w:basedOn w:val="DefaultParagraphFont"/>
    <w:link w:val="CommentText"/>
    <w:uiPriority w:val="99"/>
    <w:rsid w:val="007637E2"/>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7637E2"/>
    <w:rPr>
      <w:b/>
      <w:bCs/>
    </w:rPr>
  </w:style>
  <w:style w:type="character" w:customStyle="1" w:styleId="CommentSubjectChar">
    <w:name w:val="Comment Subject Char"/>
    <w:basedOn w:val="CommentTextChar"/>
    <w:link w:val="CommentSubject"/>
    <w:uiPriority w:val="99"/>
    <w:semiHidden/>
    <w:rsid w:val="007637E2"/>
    <w:rPr>
      <w:rFonts w:ascii="Franklin Gothic Book" w:hAnsi="Franklin Gothic Book"/>
      <w:b/>
      <w:bCs/>
      <w:sz w:val="20"/>
      <w:szCs w:val="20"/>
    </w:rPr>
  </w:style>
  <w:style w:type="paragraph" w:styleId="BalloonText">
    <w:name w:val="Balloon Text"/>
    <w:basedOn w:val="Normal"/>
    <w:link w:val="BalloonTextChar"/>
    <w:uiPriority w:val="99"/>
    <w:semiHidden/>
    <w:unhideWhenUsed/>
    <w:rsid w:val="007637E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7E2"/>
    <w:rPr>
      <w:rFonts w:ascii="Segoe UI" w:hAnsi="Segoe UI" w:cs="Segoe UI"/>
      <w:sz w:val="18"/>
      <w:szCs w:val="18"/>
    </w:rPr>
  </w:style>
  <w:style w:type="paragraph" w:customStyle="1" w:styleId="H1nonum">
    <w:name w:val="H1 nonum"/>
    <w:basedOn w:val="Heading1"/>
    <w:qFormat/>
    <w:rsid w:val="00E87ECB"/>
    <w:pPr>
      <w:pageBreakBefore/>
      <w:spacing w:before="0"/>
    </w:pPr>
    <w:rPr>
      <w:rFonts w:asciiTheme="majorHAnsi" w:hAnsiTheme="majorHAnsi"/>
      <w:b/>
      <w:sz w:val="40"/>
    </w:rPr>
  </w:style>
  <w:style w:type="paragraph" w:customStyle="1" w:styleId="EndNoteBibliographyTitle">
    <w:name w:val="EndNote Bibliography Title"/>
    <w:basedOn w:val="Normal"/>
    <w:link w:val="EndNoteBibliographyTitleChar"/>
    <w:rsid w:val="0093020B"/>
    <w:pPr>
      <w:spacing w:after="0"/>
      <w:jc w:val="center"/>
    </w:pPr>
    <w:rPr>
      <w:rFonts w:ascii="Franklin Gothic Medium" w:hAnsi="Franklin Gothic Medium"/>
      <w:noProof/>
      <w:sz w:val="32"/>
      <w:lang w:val="en-US"/>
    </w:rPr>
  </w:style>
  <w:style w:type="character" w:customStyle="1" w:styleId="EndNoteBibliographyTitleChar">
    <w:name w:val="EndNote Bibliography Title Char"/>
    <w:basedOn w:val="DefaultParagraphFont"/>
    <w:link w:val="EndNoteBibliographyTitle"/>
    <w:rsid w:val="0093020B"/>
    <w:rPr>
      <w:rFonts w:ascii="Franklin Gothic Medium" w:hAnsi="Franklin Gothic Medium"/>
      <w:noProof/>
      <w:sz w:val="32"/>
      <w:lang w:val="en-US"/>
    </w:rPr>
  </w:style>
  <w:style w:type="paragraph" w:customStyle="1" w:styleId="EndNoteBibliography">
    <w:name w:val="EndNote Bibliography"/>
    <w:basedOn w:val="Normal"/>
    <w:link w:val="EndNoteBibliographyChar"/>
    <w:rsid w:val="0093020B"/>
    <w:pPr>
      <w:spacing w:line="240" w:lineRule="auto"/>
    </w:pPr>
    <w:rPr>
      <w:rFonts w:ascii="Franklin Gothic Medium" w:hAnsi="Franklin Gothic Medium"/>
      <w:noProof/>
      <w:sz w:val="32"/>
      <w:lang w:val="en-US"/>
    </w:rPr>
  </w:style>
  <w:style w:type="character" w:customStyle="1" w:styleId="EndNoteBibliographyChar">
    <w:name w:val="EndNote Bibliography Char"/>
    <w:basedOn w:val="DefaultParagraphFont"/>
    <w:link w:val="EndNoteBibliography"/>
    <w:rsid w:val="0093020B"/>
    <w:rPr>
      <w:rFonts w:ascii="Franklin Gothic Medium" w:hAnsi="Franklin Gothic Medium"/>
      <w:noProof/>
      <w:sz w:val="32"/>
      <w:lang w:val="en-US"/>
    </w:rPr>
  </w:style>
  <w:style w:type="table" w:styleId="TableGrid">
    <w:name w:val="Table Grid"/>
    <w:aliases w:val="Summary box,Table Gridbeth,RTI AMCP Table,new style,ASD Table,HTAtableplain,CMA Table Template,PBAC table,Lash Style Table,Dossier table,Section 3- footnotes,MSD Table Grid,HealthConsult"/>
    <w:basedOn w:val="TableNormal"/>
    <w:rsid w:val="003D0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Footer">
    <w:name w:val="Table/Figure Footer"/>
    <w:basedOn w:val="Normal"/>
    <w:link w:val="TableFigureFooterChar"/>
    <w:qFormat/>
    <w:rsid w:val="003D04C0"/>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3D04C0"/>
    <w:rPr>
      <w:rFonts w:ascii="Arial Narrow" w:eastAsia="Times New Roman" w:hAnsi="Arial Narrow" w:cs="Arial"/>
      <w:snapToGrid w:val="0"/>
      <w:sz w:val="18"/>
      <w:lang w:eastAsia="en-AU"/>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unhideWhenUsed/>
    <w:qFormat/>
    <w:rsid w:val="009F7B3A"/>
    <w:pPr>
      <w:spacing w:before="0" w:after="200" w:line="240" w:lineRule="auto"/>
    </w:pPr>
    <w:rPr>
      <w:i/>
      <w:iCs/>
      <w:color w:val="44546A" w:themeColor="text2"/>
      <w:sz w:val="18"/>
      <w:szCs w:val="18"/>
    </w:rPr>
  </w:style>
  <w:style w:type="table" w:customStyle="1" w:styleId="MSAC">
    <w:name w:val="MSAC"/>
    <w:basedOn w:val="TableNormal"/>
    <w:next w:val="TableGrid"/>
    <w:locked/>
    <w:rsid w:val="006E3F4B"/>
    <w:pPr>
      <w:widowControl w:val="0"/>
      <w:spacing w:before="20" w:after="2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20" w:beforeAutospacing="0" w:afterLines="0" w:after="20" w:afterAutospacing="0"/>
      </w:pPr>
      <w:rPr>
        <w:rFonts w:ascii="font1100" w:hAnsi="font1100"/>
        <w:b/>
        <w:sz w:val="20"/>
      </w:rPr>
      <w:tblPr/>
      <w:trPr>
        <w:tblHeader/>
      </w:trPr>
      <w:tcPr>
        <w:vAlign w:val="top"/>
      </w:tcPr>
    </w:tblStylePr>
  </w:style>
  <w:style w:type="paragraph" w:customStyle="1" w:styleId="Tableheader">
    <w:name w:val="Table header"/>
    <w:basedOn w:val="Normal"/>
    <w:qFormat/>
    <w:rsid w:val="002A64A5"/>
    <w:pPr>
      <w:widowControl w:val="0"/>
      <w:spacing w:before="20" w:after="0" w:line="240" w:lineRule="auto"/>
    </w:pPr>
    <w:rPr>
      <w:rFonts w:ascii="Arial Narrow" w:eastAsia="Times New Roman" w:hAnsi="Arial Narrow" w:cs="Times New Roman"/>
      <w:b/>
      <w:color w:val="FFFFFF" w:themeColor="background1"/>
      <w:sz w:val="20"/>
      <w:szCs w:val="20"/>
      <w:lang w:eastAsia="en-AU"/>
    </w:rPr>
  </w:style>
  <w:style w:type="paragraph" w:styleId="ListParagraph">
    <w:name w:val="List Paragraph"/>
    <w:basedOn w:val="Normal"/>
    <w:uiPriority w:val="34"/>
    <w:qFormat/>
    <w:rsid w:val="00A47C9C"/>
    <w:pPr>
      <w:ind w:left="720"/>
      <w:contextualSpacing/>
    </w:pPr>
  </w:style>
  <w:style w:type="paragraph" w:styleId="FootnoteText">
    <w:name w:val="footnote text"/>
    <w:basedOn w:val="Normal"/>
    <w:link w:val="FootnoteTextChar"/>
    <w:semiHidden/>
    <w:unhideWhenUsed/>
    <w:rsid w:val="00AA07E6"/>
    <w:pPr>
      <w:spacing w:before="0" w:after="0" w:line="240" w:lineRule="auto"/>
    </w:pPr>
    <w:rPr>
      <w:sz w:val="20"/>
      <w:szCs w:val="20"/>
    </w:rPr>
  </w:style>
  <w:style w:type="character" w:customStyle="1" w:styleId="FootnoteTextChar">
    <w:name w:val="Footnote Text Char"/>
    <w:basedOn w:val="DefaultParagraphFont"/>
    <w:link w:val="FootnoteText"/>
    <w:semiHidden/>
    <w:rsid w:val="00AA07E6"/>
    <w:rPr>
      <w:rFonts w:ascii="Franklin Gothic Book" w:hAnsi="Franklin Gothic Book"/>
      <w:sz w:val="20"/>
      <w:szCs w:val="20"/>
    </w:rPr>
  </w:style>
  <w:style w:type="character" w:styleId="FootnoteReference">
    <w:name w:val="footnote reference"/>
    <w:basedOn w:val="DefaultParagraphFont"/>
    <w:uiPriority w:val="99"/>
    <w:semiHidden/>
    <w:unhideWhenUsed/>
    <w:rsid w:val="00AA07E6"/>
    <w:rPr>
      <w:vertAlign w:val="superscript"/>
    </w:rPr>
  </w:style>
  <w:style w:type="paragraph" w:styleId="Subtitle">
    <w:name w:val="Subtitle"/>
    <w:basedOn w:val="Normal"/>
    <w:next w:val="Normal"/>
    <w:link w:val="SubtitleChar"/>
    <w:qFormat/>
    <w:rsid w:val="0077202B"/>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02B"/>
    <w:rPr>
      <w:rFonts w:ascii="Arial" w:eastAsia="Times New Roman" w:hAnsi="Arial" w:cs="Arial"/>
      <w:b/>
      <w:bCs/>
      <w:i/>
      <w:color w:val="000080"/>
      <w:sz w:val="28"/>
      <w:szCs w:val="28"/>
      <w:lang w:eastAsia="en-AU"/>
    </w:rPr>
  </w:style>
  <w:style w:type="paragraph" w:customStyle="1" w:styleId="Instructionaltext-bullet">
    <w:name w:val="Instructional text - bullet"/>
    <w:basedOn w:val="Instructionaltext"/>
    <w:qFormat/>
    <w:rsid w:val="0077202B"/>
    <w:pPr>
      <w:numPr>
        <w:numId w:val="10"/>
      </w:numPr>
      <w:spacing w:before="0" w:after="0"/>
      <w:ind w:left="714" w:hanging="357"/>
    </w:p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uiPriority w:val="99"/>
    <w:rsid w:val="00781FBC"/>
    <w:rPr>
      <w:rFonts w:ascii="Franklin Gothic Book" w:hAnsi="Franklin Gothic Book"/>
      <w:i/>
      <w:iCs/>
      <w:color w:val="44546A" w:themeColor="text2"/>
      <w:sz w:val="18"/>
      <w:szCs w:val="18"/>
    </w:rPr>
  </w:style>
  <w:style w:type="character" w:customStyle="1" w:styleId="TableHeadingChar">
    <w:name w:val="Table Heading Char"/>
    <w:basedOn w:val="DefaultParagraphFont"/>
    <w:link w:val="TableHeading"/>
    <w:locked/>
    <w:rsid w:val="00D81C55"/>
    <w:rPr>
      <w:rFonts w:ascii="Arial Narrow" w:hAnsi="Arial Narrow"/>
      <w:b/>
      <w:sz w:val="20"/>
    </w:rPr>
  </w:style>
  <w:style w:type="character" w:styleId="Hyperlink">
    <w:name w:val="Hyperlink"/>
    <w:basedOn w:val="DefaultParagraphFont"/>
    <w:uiPriority w:val="99"/>
    <w:unhideWhenUsed/>
    <w:rsid w:val="00C83B6E"/>
    <w:rPr>
      <w:color w:val="0563C1" w:themeColor="hyperlink"/>
      <w:u w:val="single"/>
    </w:rPr>
  </w:style>
  <w:style w:type="table" w:customStyle="1" w:styleId="MSAC1">
    <w:name w:val="MSAC1"/>
    <w:basedOn w:val="TableNormal"/>
    <w:next w:val="TableGrid"/>
    <w:locked/>
    <w:rsid w:val="00B868C7"/>
    <w:pPr>
      <w:widowControl w:val="0"/>
      <w:spacing w:before="20" w:after="2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20" w:beforeAutospacing="0" w:afterLines="0" w:after="20" w:afterAutospacing="0"/>
      </w:pPr>
      <w:rPr>
        <w:rFonts w:ascii="font1100" w:hAnsi="font1100"/>
        <w:b/>
        <w:sz w:val="20"/>
      </w:rPr>
      <w:tblPr/>
      <w:trPr>
        <w:tblHeader/>
      </w:trPr>
      <w:tcPr>
        <w:vAlign w:val="top"/>
      </w:tcPr>
    </w:tblStylePr>
  </w:style>
  <w:style w:type="table" w:customStyle="1" w:styleId="MSAC2">
    <w:name w:val="MSAC2"/>
    <w:basedOn w:val="TableNormal"/>
    <w:next w:val="TableGrid"/>
    <w:locked/>
    <w:rsid w:val="00097D90"/>
    <w:pPr>
      <w:widowControl w:val="0"/>
      <w:spacing w:before="20" w:after="2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20" w:beforeAutospacing="0" w:afterLines="0" w:after="20" w:afterAutospacing="0"/>
      </w:pPr>
      <w:rPr>
        <w:rFonts w:ascii="font1100" w:hAnsi="font1100"/>
        <w:b/>
        <w:sz w:val="20"/>
      </w:rPr>
      <w:tblPr/>
      <w:trPr>
        <w:tblHeader/>
      </w:trPr>
      <w:tcPr>
        <w:vAlign w:val="top"/>
      </w:tcPr>
    </w:tblStylePr>
  </w:style>
  <w:style w:type="character" w:styleId="UnresolvedMention">
    <w:name w:val="Unresolved Mention"/>
    <w:basedOn w:val="DefaultParagraphFont"/>
    <w:uiPriority w:val="99"/>
    <w:unhideWhenUsed/>
    <w:rsid w:val="00A908BA"/>
    <w:rPr>
      <w:color w:val="605E5C"/>
      <w:shd w:val="clear" w:color="auto" w:fill="E1DFDD"/>
    </w:rPr>
  </w:style>
  <w:style w:type="paragraph" w:styleId="Revision">
    <w:name w:val="Revision"/>
    <w:hidden/>
    <w:uiPriority w:val="99"/>
    <w:semiHidden/>
    <w:rsid w:val="00B66541"/>
    <w:pPr>
      <w:spacing w:after="0" w:line="240" w:lineRule="auto"/>
    </w:pPr>
    <w:rPr>
      <w:rFonts w:ascii="Franklin Gothic Book" w:hAnsi="Franklin Gothic Book"/>
    </w:rPr>
  </w:style>
  <w:style w:type="paragraph" w:customStyle="1" w:styleId="Tabletext0">
    <w:name w:val="Table text"/>
    <w:basedOn w:val="Normal"/>
    <w:link w:val="TabletextChar0"/>
    <w:uiPriority w:val="4"/>
    <w:qFormat/>
    <w:rsid w:val="0040580E"/>
    <w:pPr>
      <w:spacing w:before="20" w:after="20" w:line="240" w:lineRule="auto"/>
    </w:pPr>
    <w:rPr>
      <w:rFonts w:ascii="Arial Narrow" w:eastAsia="Calibri" w:hAnsi="Arial Narrow" w:cs="Times New Roman"/>
      <w:sz w:val="20"/>
    </w:rPr>
  </w:style>
  <w:style w:type="character" w:customStyle="1" w:styleId="TabletextChar0">
    <w:name w:val="Table text Char"/>
    <w:link w:val="Tabletext0"/>
    <w:uiPriority w:val="4"/>
    <w:rsid w:val="0040580E"/>
    <w:rPr>
      <w:rFonts w:ascii="Arial Narrow" w:eastAsia="Calibri" w:hAnsi="Arial Narrow" w:cs="Times New Roman"/>
      <w:sz w:val="20"/>
    </w:rPr>
  </w:style>
  <w:style w:type="character" w:styleId="FollowedHyperlink">
    <w:name w:val="FollowedHyperlink"/>
    <w:basedOn w:val="DefaultParagraphFont"/>
    <w:uiPriority w:val="99"/>
    <w:semiHidden/>
    <w:unhideWhenUsed/>
    <w:rsid w:val="00494D5F"/>
    <w:rPr>
      <w:color w:val="954F72" w:themeColor="followedHyperlink"/>
      <w:u w:val="single"/>
    </w:rPr>
  </w:style>
  <w:style w:type="paragraph" w:customStyle="1" w:styleId="paragraph">
    <w:name w:val="paragraph"/>
    <w:basedOn w:val="Normal"/>
    <w:rsid w:val="004F68E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F68E8"/>
  </w:style>
  <w:style w:type="character" w:customStyle="1" w:styleId="eop">
    <w:name w:val="eop"/>
    <w:basedOn w:val="DefaultParagraphFont"/>
    <w:rsid w:val="004F68E8"/>
  </w:style>
  <w:style w:type="character" w:customStyle="1" w:styleId="spellingerrorsuperscript">
    <w:name w:val="spellingerrorsuperscript"/>
    <w:basedOn w:val="DefaultParagraphFont"/>
    <w:rsid w:val="004F68E8"/>
  </w:style>
  <w:style w:type="paragraph" w:styleId="NormalWeb">
    <w:name w:val="Normal (Web)"/>
    <w:basedOn w:val="Normal"/>
    <w:uiPriority w:val="99"/>
    <w:semiHidden/>
    <w:unhideWhenUsed/>
    <w:rsid w:val="007033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BeforeDash">
    <w:name w:val="BulletBeforeDash"/>
    <w:basedOn w:val="Normal"/>
    <w:rsid w:val="007D6541"/>
    <w:pPr>
      <w:numPr>
        <w:numId w:val="12"/>
      </w:numPr>
      <w:spacing w:before="0" w:after="0" w:line="240" w:lineRule="auto"/>
    </w:pPr>
    <w:rPr>
      <w:rFonts w:eastAsia="Times New Roman" w:cs="Times New Roman"/>
      <w:color w:val="000000"/>
      <w:szCs w:val="20"/>
      <w:lang w:eastAsia="en-AU"/>
    </w:rPr>
  </w:style>
  <w:style w:type="paragraph" w:customStyle="1" w:styleId="Bullet">
    <w:name w:val="Bullet"/>
    <w:basedOn w:val="BulletBeforeDash"/>
    <w:qFormat/>
    <w:rsid w:val="007D6541"/>
    <w:pPr>
      <w:spacing w:after="120"/>
    </w:pPr>
  </w:style>
  <w:style w:type="paragraph" w:customStyle="1" w:styleId="BulletLast">
    <w:name w:val="BulletLast"/>
    <w:basedOn w:val="Bullet"/>
    <w:qFormat/>
    <w:rsid w:val="007D6541"/>
    <w:pPr>
      <w:spacing w:after="240"/>
    </w:pPr>
  </w:style>
  <w:style w:type="paragraph" w:customStyle="1" w:styleId="NormalBeforeBullet">
    <w:name w:val="NormalBeforeBullet"/>
    <w:basedOn w:val="Normal"/>
    <w:qFormat/>
    <w:rsid w:val="007D6541"/>
    <w:pPr>
      <w:keepNext/>
      <w:spacing w:before="0" w:after="120" w:line="240" w:lineRule="auto"/>
    </w:pPr>
    <w:rPr>
      <w:rFonts w:eastAsia="Times New Roman" w:cs="Times New Roman"/>
      <w:color w:val="000000"/>
      <w:szCs w:val="20"/>
      <w:lang w:eastAsia="en-AU"/>
    </w:rPr>
  </w:style>
  <w:style w:type="character" w:styleId="Strong">
    <w:name w:val="Strong"/>
    <w:basedOn w:val="DefaultParagraphFont"/>
    <w:uiPriority w:val="22"/>
    <w:qFormat/>
    <w:rsid w:val="007D6541"/>
    <w:rPr>
      <w:b/>
      <w:bCs/>
    </w:rPr>
  </w:style>
  <w:style w:type="character" w:styleId="Mention">
    <w:name w:val="Mention"/>
    <w:basedOn w:val="DefaultParagraphFont"/>
    <w:uiPriority w:val="99"/>
    <w:unhideWhenUsed/>
    <w:rsid w:val="009B727F"/>
    <w:rPr>
      <w:color w:val="2B579A"/>
      <w:shd w:val="clear" w:color="auto" w:fill="E1DFDD"/>
    </w:rPr>
  </w:style>
  <w:style w:type="paragraph" w:customStyle="1" w:styleId="Default">
    <w:name w:val="Default"/>
    <w:rsid w:val="00C83A47"/>
    <w:pPr>
      <w:autoSpaceDE w:val="0"/>
      <w:autoSpaceDN w:val="0"/>
      <w:adjustRightInd w:val="0"/>
      <w:spacing w:after="0" w:line="240" w:lineRule="auto"/>
    </w:pPr>
    <w:rPr>
      <w:rFonts w:ascii="Franklin Gothic Medium" w:hAnsi="Franklin Gothic Medium" w:cs="Franklin Gothic Medium"/>
      <w:color w:val="000000"/>
      <w:sz w:val="24"/>
      <w:szCs w:val="24"/>
    </w:rPr>
  </w:style>
  <w:style w:type="numbering" w:customStyle="1" w:styleId="NoList1">
    <w:name w:val="No List1"/>
    <w:next w:val="NoList"/>
    <w:uiPriority w:val="99"/>
    <w:semiHidden/>
    <w:unhideWhenUsed/>
    <w:rsid w:val="001454B1"/>
  </w:style>
  <w:style w:type="table" w:customStyle="1" w:styleId="TableGrid1">
    <w:name w:val="Table Grid1"/>
    <w:basedOn w:val="TableNormal"/>
    <w:next w:val="TableGrid"/>
    <w:uiPriority w:val="59"/>
    <w:rsid w:val="001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1">
    <w:name w:val="Table H1"/>
    <w:basedOn w:val="BodyText"/>
    <w:uiPriority w:val="4"/>
    <w:qFormat/>
    <w:rsid w:val="001454B1"/>
    <w:pPr>
      <w:keepNext/>
      <w:keepLines/>
      <w:spacing w:before="20" w:after="20" w:line="240" w:lineRule="auto"/>
    </w:pPr>
    <w:rPr>
      <w:rFonts w:ascii="Montserrat" w:eastAsia="Calibri" w:hAnsi="Montserrat" w:cs="Calibri"/>
      <w:b/>
      <w:sz w:val="16"/>
      <w:szCs w:val="16"/>
      <w:lang w:val="en-US"/>
    </w:rPr>
  </w:style>
  <w:style w:type="paragraph" w:customStyle="1" w:styleId="TableFigNotes">
    <w:name w:val="TableFigNotes"/>
    <w:basedOn w:val="Normal"/>
    <w:next w:val="BodyText"/>
    <w:link w:val="TableFigNotesChar"/>
    <w:uiPriority w:val="4"/>
    <w:qFormat/>
    <w:rsid w:val="001454B1"/>
    <w:pPr>
      <w:spacing w:before="60" w:after="120" w:line="276" w:lineRule="auto"/>
      <w:contextualSpacing/>
    </w:pPr>
    <w:rPr>
      <w:rFonts w:ascii="Montserrat" w:eastAsia="Calibri" w:hAnsi="Montserrat" w:cs="Calibri"/>
      <w:sz w:val="14"/>
      <w:szCs w:val="20"/>
    </w:rPr>
  </w:style>
  <w:style w:type="character" w:customStyle="1" w:styleId="TableFigNotesChar">
    <w:name w:val="TableFigNotes Char"/>
    <w:basedOn w:val="DefaultParagraphFont"/>
    <w:link w:val="TableFigNotes"/>
    <w:uiPriority w:val="4"/>
    <w:locked/>
    <w:rsid w:val="001454B1"/>
    <w:rPr>
      <w:rFonts w:ascii="Montserrat" w:eastAsia="Calibri" w:hAnsi="Montserrat" w:cs="Calibri"/>
      <w:sz w:val="14"/>
      <w:szCs w:val="20"/>
    </w:rPr>
  </w:style>
  <w:style w:type="paragraph" w:customStyle="1" w:styleId="BodyText1">
    <w:name w:val="Body Text1"/>
    <w:basedOn w:val="Normal"/>
    <w:next w:val="BodyText"/>
    <w:link w:val="BodyTextChar"/>
    <w:uiPriority w:val="99"/>
    <w:unhideWhenUsed/>
    <w:rsid w:val="001454B1"/>
    <w:pPr>
      <w:spacing w:before="0" w:after="120"/>
    </w:pPr>
    <w:rPr>
      <w:rFonts w:asciiTheme="minorHAnsi" w:hAnsiTheme="minorHAnsi"/>
    </w:rPr>
  </w:style>
  <w:style w:type="character" w:customStyle="1" w:styleId="BodyTextChar">
    <w:name w:val="Body Text Char"/>
    <w:basedOn w:val="DefaultParagraphFont"/>
    <w:link w:val="BodyText1"/>
    <w:uiPriority w:val="99"/>
    <w:rsid w:val="001454B1"/>
  </w:style>
  <w:style w:type="paragraph" w:customStyle="1" w:styleId="H3notoc">
    <w:name w:val="H3 no toc"/>
    <w:basedOn w:val="Heading3"/>
    <w:next w:val="BodyText"/>
    <w:link w:val="H3notocChar"/>
    <w:uiPriority w:val="1"/>
    <w:qFormat/>
    <w:rsid w:val="001454B1"/>
    <w:pPr>
      <w:keepLines w:val="0"/>
      <w:widowControl w:val="0"/>
      <w:tabs>
        <w:tab w:val="clear" w:pos="851"/>
      </w:tabs>
      <w:spacing w:before="120" w:after="120" w:line="288" w:lineRule="auto"/>
      <w:outlineLvl w:val="9"/>
    </w:pPr>
    <w:rPr>
      <w:rFonts w:ascii="Montserrat" w:eastAsia="Times New Roman" w:hAnsi="Montserrat" w:cs="Calibri"/>
      <w:bCs/>
      <w:color w:val="ED7D31"/>
      <w:sz w:val="20"/>
      <w:szCs w:val="20"/>
    </w:rPr>
  </w:style>
  <w:style w:type="character" w:customStyle="1" w:styleId="H3notocChar">
    <w:name w:val="H3 no toc Char"/>
    <w:basedOn w:val="Heading3Char"/>
    <w:link w:val="H3notoc"/>
    <w:uiPriority w:val="1"/>
    <w:rsid w:val="001454B1"/>
    <w:rPr>
      <w:rFonts w:ascii="Montserrat" w:eastAsia="Times New Roman" w:hAnsi="Montserrat" w:cs="Calibri"/>
      <w:bCs/>
      <w:color w:val="ED7D31"/>
      <w:sz w:val="20"/>
      <w:szCs w:val="20"/>
    </w:rPr>
  </w:style>
  <w:style w:type="paragraph" w:styleId="BodyText">
    <w:name w:val="Body Text"/>
    <w:basedOn w:val="Normal"/>
    <w:link w:val="BodyTextChar1"/>
    <w:uiPriority w:val="99"/>
    <w:semiHidden/>
    <w:unhideWhenUsed/>
    <w:rsid w:val="001454B1"/>
    <w:pPr>
      <w:spacing w:after="120"/>
    </w:pPr>
  </w:style>
  <w:style w:type="character" w:customStyle="1" w:styleId="BodyTextChar1">
    <w:name w:val="Body Text Char1"/>
    <w:basedOn w:val="DefaultParagraphFont"/>
    <w:link w:val="BodyText"/>
    <w:uiPriority w:val="99"/>
    <w:semiHidden/>
    <w:rsid w:val="001454B1"/>
    <w:rPr>
      <w:rFonts w:ascii="Franklin Gothic Book" w:hAnsi="Franklin Gothic Book"/>
    </w:rPr>
  </w:style>
  <w:style w:type="paragraph" w:styleId="Title">
    <w:name w:val="Title"/>
    <w:basedOn w:val="Normal"/>
    <w:next w:val="Normal"/>
    <w:link w:val="TitleChar"/>
    <w:uiPriority w:val="10"/>
    <w:qFormat/>
    <w:rsid w:val="004E4FC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FCA"/>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6452E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7612">
      <w:bodyDiv w:val="1"/>
      <w:marLeft w:val="0"/>
      <w:marRight w:val="0"/>
      <w:marTop w:val="0"/>
      <w:marBottom w:val="0"/>
      <w:divBdr>
        <w:top w:val="none" w:sz="0" w:space="0" w:color="auto"/>
        <w:left w:val="none" w:sz="0" w:space="0" w:color="auto"/>
        <w:bottom w:val="none" w:sz="0" w:space="0" w:color="auto"/>
        <w:right w:val="none" w:sz="0" w:space="0" w:color="auto"/>
      </w:divBdr>
    </w:div>
    <w:div w:id="330451201">
      <w:bodyDiv w:val="1"/>
      <w:marLeft w:val="0"/>
      <w:marRight w:val="0"/>
      <w:marTop w:val="0"/>
      <w:marBottom w:val="0"/>
      <w:divBdr>
        <w:top w:val="none" w:sz="0" w:space="0" w:color="auto"/>
        <w:left w:val="none" w:sz="0" w:space="0" w:color="auto"/>
        <w:bottom w:val="none" w:sz="0" w:space="0" w:color="auto"/>
        <w:right w:val="none" w:sz="0" w:space="0" w:color="auto"/>
      </w:divBdr>
    </w:div>
    <w:div w:id="358511940">
      <w:bodyDiv w:val="1"/>
      <w:marLeft w:val="0"/>
      <w:marRight w:val="0"/>
      <w:marTop w:val="0"/>
      <w:marBottom w:val="0"/>
      <w:divBdr>
        <w:top w:val="none" w:sz="0" w:space="0" w:color="auto"/>
        <w:left w:val="none" w:sz="0" w:space="0" w:color="auto"/>
        <w:bottom w:val="none" w:sz="0" w:space="0" w:color="auto"/>
        <w:right w:val="none" w:sz="0" w:space="0" w:color="auto"/>
      </w:divBdr>
    </w:div>
    <w:div w:id="394088667">
      <w:bodyDiv w:val="1"/>
      <w:marLeft w:val="0"/>
      <w:marRight w:val="0"/>
      <w:marTop w:val="0"/>
      <w:marBottom w:val="0"/>
      <w:divBdr>
        <w:top w:val="none" w:sz="0" w:space="0" w:color="auto"/>
        <w:left w:val="none" w:sz="0" w:space="0" w:color="auto"/>
        <w:bottom w:val="none" w:sz="0" w:space="0" w:color="auto"/>
        <w:right w:val="none" w:sz="0" w:space="0" w:color="auto"/>
      </w:divBdr>
    </w:div>
    <w:div w:id="562719280">
      <w:bodyDiv w:val="1"/>
      <w:marLeft w:val="0"/>
      <w:marRight w:val="0"/>
      <w:marTop w:val="0"/>
      <w:marBottom w:val="0"/>
      <w:divBdr>
        <w:top w:val="none" w:sz="0" w:space="0" w:color="auto"/>
        <w:left w:val="none" w:sz="0" w:space="0" w:color="auto"/>
        <w:bottom w:val="none" w:sz="0" w:space="0" w:color="auto"/>
        <w:right w:val="none" w:sz="0" w:space="0" w:color="auto"/>
      </w:divBdr>
    </w:div>
    <w:div w:id="596451971">
      <w:bodyDiv w:val="1"/>
      <w:marLeft w:val="0"/>
      <w:marRight w:val="0"/>
      <w:marTop w:val="0"/>
      <w:marBottom w:val="0"/>
      <w:divBdr>
        <w:top w:val="none" w:sz="0" w:space="0" w:color="auto"/>
        <w:left w:val="none" w:sz="0" w:space="0" w:color="auto"/>
        <w:bottom w:val="none" w:sz="0" w:space="0" w:color="auto"/>
        <w:right w:val="none" w:sz="0" w:space="0" w:color="auto"/>
      </w:divBdr>
    </w:div>
    <w:div w:id="995497276">
      <w:bodyDiv w:val="1"/>
      <w:marLeft w:val="0"/>
      <w:marRight w:val="0"/>
      <w:marTop w:val="0"/>
      <w:marBottom w:val="0"/>
      <w:divBdr>
        <w:top w:val="none" w:sz="0" w:space="0" w:color="auto"/>
        <w:left w:val="none" w:sz="0" w:space="0" w:color="auto"/>
        <w:bottom w:val="none" w:sz="0" w:space="0" w:color="auto"/>
        <w:right w:val="none" w:sz="0" w:space="0" w:color="auto"/>
      </w:divBdr>
    </w:div>
    <w:div w:id="1075392394">
      <w:bodyDiv w:val="1"/>
      <w:marLeft w:val="0"/>
      <w:marRight w:val="0"/>
      <w:marTop w:val="0"/>
      <w:marBottom w:val="0"/>
      <w:divBdr>
        <w:top w:val="none" w:sz="0" w:space="0" w:color="auto"/>
        <w:left w:val="none" w:sz="0" w:space="0" w:color="auto"/>
        <w:bottom w:val="none" w:sz="0" w:space="0" w:color="auto"/>
        <w:right w:val="none" w:sz="0" w:space="0" w:color="auto"/>
      </w:divBdr>
    </w:div>
    <w:div w:id="1190099251">
      <w:bodyDiv w:val="1"/>
      <w:marLeft w:val="0"/>
      <w:marRight w:val="0"/>
      <w:marTop w:val="0"/>
      <w:marBottom w:val="0"/>
      <w:divBdr>
        <w:top w:val="none" w:sz="0" w:space="0" w:color="auto"/>
        <w:left w:val="none" w:sz="0" w:space="0" w:color="auto"/>
        <w:bottom w:val="none" w:sz="0" w:space="0" w:color="auto"/>
        <w:right w:val="none" w:sz="0" w:space="0" w:color="auto"/>
      </w:divBdr>
    </w:div>
    <w:div w:id="1204951121">
      <w:bodyDiv w:val="1"/>
      <w:marLeft w:val="0"/>
      <w:marRight w:val="0"/>
      <w:marTop w:val="0"/>
      <w:marBottom w:val="0"/>
      <w:divBdr>
        <w:top w:val="none" w:sz="0" w:space="0" w:color="auto"/>
        <w:left w:val="none" w:sz="0" w:space="0" w:color="auto"/>
        <w:bottom w:val="none" w:sz="0" w:space="0" w:color="auto"/>
        <w:right w:val="none" w:sz="0" w:space="0" w:color="auto"/>
      </w:divBdr>
      <w:divsChild>
        <w:div w:id="2036154047">
          <w:marLeft w:val="0"/>
          <w:marRight w:val="0"/>
          <w:marTop w:val="0"/>
          <w:marBottom w:val="0"/>
          <w:divBdr>
            <w:top w:val="none" w:sz="0" w:space="0" w:color="auto"/>
            <w:left w:val="none" w:sz="0" w:space="0" w:color="auto"/>
            <w:bottom w:val="none" w:sz="0" w:space="0" w:color="auto"/>
            <w:right w:val="none" w:sz="0" w:space="0" w:color="auto"/>
          </w:divBdr>
        </w:div>
        <w:div w:id="991788381">
          <w:marLeft w:val="0"/>
          <w:marRight w:val="0"/>
          <w:marTop w:val="0"/>
          <w:marBottom w:val="0"/>
          <w:divBdr>
            <w:top w:val="none" w:sz="0" w:space="0" w:color="auto"/>
            <w:left w:val="none" w:sz="0" w:space="0" w:color="auto"/>
            <w:bottom w:val="none" w:sz="0" w:space="0" w:color="auto"/>
            <w:right w:val="none" w:sz="0" w:space="0" w:color="auto"/>
          </w:divBdr>
        </w:div>
        <w:div w:id="78910266">
          <w:marLeft w:val="0"/>
          <w:marRight w:val="0"/>
          <w:marTop w:val="0"/>
          <w:marBottom w:val="0"/>
          <w:divBdr>
            <w:top w:val="none" w:sz="0" w:space="0" w:color="auto"/>
            <w:left w:val="none" w:sz="0" w:space="0" w:color="auto"/>
            <w:bottom w:val="none" w:sz="0" w:space="0" w:color="auto"/>
            <w:right w:val="none" w:sz="0" w:space="0" w:color="auto"/>
          </w:divBdr>
        </w:div>
        <w:div w:id="555315714">
          <w:marLeft w:val="0"/>
          <w:marRight w:val="0"/>
          <w:marTop w:val="0"/>
          <w:marBottom w:val="0"/>
          <w:divBdr>
            <w:top w:val="none" w:sz="0" w:space="0" w:color="auto"/>
            <w:left w:val="none" w:sz="0" w:space="0" w:color="auto"/>
            <w:bottom w:val="none" w:sz="0" w:space="0" w:color="auto"/>
            <w:right w:val="none" w:sz="0" w:space="0" w:color="auto"/>
          </w:divBdr>
        </w:div>
        <w:div w:id="1707293001">
          <w:marLeft w:val="0"/>
          <w:marRight w:val="0"/>
          <w:marTop w:val="0"/>
          <w:marBottom w:val="0"/>
          <w:divBdr>
            <w:top w:val="none" w:sz="0" w:space="0" w:color="auto"/>
            <w:left w:val="none" w:sz="0" w:space="0" w:color="auto"/>
            <w:bottom w:val="none" w:sz="0" w:space="0" w:color="auto"/>
            <w:right w:val="none" w:sz="0" w:space="0" w:color="auto"/>
          </w:divBdr>
        </w:div>
      </w:divsChild>
    </w:div>
    <w:div w:id="1251935898">
      <w:bodyDiv w:val="1"/>
      <w:marLeft w:val="0"/>
      <w:marRight w:val="0"/>
      <w:marTop w:val="0"/>
      <w:marBottom w:val="0"/>
      <w:divBdr>
        <w:top w:val="none" w:sz="0" w:space="0" w:color="auto"/>
        <w:left w:val="none" w:sz="0" w:space="0" w:color="auto"/>
        <w:bottom w:val="none" w:sz="0" w:space="0" w:color="auto"/>
        <w:right w:val="none" w:sz="0" w:space="0" w:color="auto"/>
      </w:divBdr>
      <w:divsChild>
        <w:div w:id="23596885">
          <w:marLeft w:val="0"/>
          <w:marRight w:val="0"/>
          <w:marTop w:val="0"/>
          <w:marBottom w:val="0"/>
          <w:divBdr>
            <w:top w:val="none" w:sz="0" w:space="0" w:color="auto"/>
            <w:left w:val="none" w:sz="0" w:space="0" w:color="auto"/>
            <w:bottom w:val="none" w:sz="0" w:space="0" w:color="auto"/>
            <w:right w:val="none" w:sz="0" w:space="0" w:color="auto"/>
          </w:divBdr>
          <w:divsChild>
            <w:div w:id="147598582">
              <w:marLeft w:val="0"/>
              <w:marRight w:val="0"/>
              <w:marTop w:val="0"/>
              <w:marBottom w:val="0"/>
              <w:divBdr>
                <w:top w:val="none" w:sz="0" w:space="0" w:color="auto"/>
                <w:left w:val="none" w:sz="0" w:space="0" w:color="auto"/>
                <w:bottom w:val="none" w:sz="0" w:space="0" w:color="auto"/>
                <w:right w:val="none" w:sz="0" w:space="0" w:color="auto"/>
              </w:divBdr>
            </w:div>
          </w:divsChild>
        </w:div>
        <w:div w:id="35393117">
          <w:marLeft w:val="0"/>
          <w:marRight w:val="0"/>
          <w:marTop w:val="0"/>
          <w:marBottom w:val="0"/>
          <w:divBdr>
            <w:top w:val="none" w:sz="0" w:space="0" w:color="auto"/>
            <w:left w:val="none" w:sz="0" w:space="0" w:color="auto"/>
            <w:bottom w:val="none" w:sz="0" w:space="0" w:color="auto"/>
            <w:right w:val="none" w:sz="0" w:space="0" w:color="auto"/>
          </w:divBdr>
          <w:divsChild>
            <w:div w:id="592082929">
              <w:marLeft w:val="0"/>
              <w:marRight w:val="0"/>
              <w:marTop w:val="0"/>
              <w:marBottom w:val="0"/>
              <w:divBdr>
                <w:top w:val="none" w:sz="0" w:space="0" w:color="auto"/>
                <w:left w:val="none" w:sz="0" w:space="0" w:color="auto"/>
                <w:bottom w:val="none" w:sz="0" w:space="0" w:color="auto"/>
                <w:right w:val="none" w:sz="0" w:space="0" w:color="auto"/>
              </w:divBdr>
            </w:div>
          </w:divsChild>
        </w:div>
        <w:div w:id="46496225">
          <w:marLeft w:val="0"/>
          <w:marRight w:val="0"/>
          <w:marTop w:val="0"/>
          <w:marBottom w:val="0"/>
          <w:divBdr>
            <w:top w:val="none" w:sz="0" w:space="0" w:color="auto"/>
            <w:left w:val="none" w:sz="0" w:space="0" w:color="auto"/>
            <w:bottom w:val="none" w:sz="0" w:space="0" w:color="auto"/>
            <w:right w:val="none" w:sz="0" w:space="0" w:color="auto"/>
          </w:divBdr>
          <w:divsChild>
            <w:div w:id="1934850940">
              <w:marLeft w:val="0"/>
              <w:marRight w:val="0"/>
              <w:marTop w:val="0"/>
              <w:marBottom w:val="0"/>
              <w:divBdr>
                <w:top w:val="none" w:sz="0" w:space="0" w:color="auto"/>
                <w:left w:val="none" w:sz="0" w:space="0" w:color="auto"/>
                <w:bottom w:val="none" w:sz="0" w:space="0" w:color="auto"/>
                <w:right w:val="none" w:sz="0" w:space="0" w:color="auto"/>
              </w:divBdr>
            </w:div>
          </w:divsChild>
        </w:div>
        <w:div w:id="146633858">
          <w:marLeft w:val="0"/>
          <w:marRight w:val="0"/>
          <w:marTop w:val="0"/>
          <w:marBottom w:val="0"/>
          <w:divBdr>
            <w:top w:val="none" w:sz="0" w:space="0" w:color="auto"/>
            <w:left w:val="none" w:sz="0" w:space="0" w:color="auto"/>
            <w:bottom w:val="none" w:sz="0" w:space="0" w:color="auto"/>
            <w:right w:val="none" w:sz="0" w:space="0" w:color="auto"/>
          </w:divBdr>
          <w:divsChild>
            <w:div w:id="1470318467">
              <w:marLeft w:val="0"/>
              <w:marRight w:val="0"/>
              <w:marTop w:val="0"/>
              <w:marBottom w:val="0"/>
              <w:divBdr>
                <w:top w:val="none" w:sz="0" w:space="0" w:color="auto"/>
                <w:left w:val="none" w:sz="0" w:space="0" w:color="auto"/>
                <w:bottom w:val="none" w:sz="0" w:space="0" w:color="auto"/>
                <w:right w:val="none" w:sz="0" w:space="0" w:color="auto"/>
              </w:divBdr>
            </w:div>
          </w:divsChild>
        </w:div>
        <w:div w:id="150370056">
          <w:marLeft w:val="0"/>
          <w:marRight w:val="0"/>
          <w:marTop w:val="0"/>
          <w:marBottom w:val="0"/>
          <w:divBdr>
            <w:top w:val="none" w:sz="0" w:space="0" w:color="auto"/>
            <w:left w:val="none" w:sz="0" w:space="0" w:color="auto"/>
            <w:bottom w:val="none" w:sz="0" w:space="0" w:color="auto"/>
            <w:right w:val="none" w:sz="0" w:space="0" w:color="auto"/>
          </w:divBdr>
          <w:divsChild>
            <w:div w:id="998390134">
              <w:marLeft w:val="0"/>
              <w:marRight w:val="0"/>
              <w:marTop w:val="0"/>
              <w:marBottom w:val="0"/>
              <w:divBdr>
                <w:top w:val="none" w:sz="0" w:space="0" w:color="auto"/>
                <w:left w:val="none" w:sz="0" w:space="0" w:color="auto"/>
                <w:bottom w:val="none" w:sz="0" w:space="0" w:color="auto"/>
                <w:right w:val="none" w:sz="0" w:space="0" w:color="auto"/>
              </w:divBdr>
            </w:div>
          </w:divsChild>
        </w:div>
        <w:div w:id="214128647">
          <w:marLeft w:val="0"/>
          <w:marRight w:val="0"/>
          <w:marTop w:val="0"/>
          <w:marBottom w:val="0"/>
          <w:divBdr>
            <w:top w:val="none" w:sz="0" w:space="0" w:color="auto"/>
            <w:left w:val="none" w:sz="0" w:space="0" w:color="auto"/>
            <w:bottom w:val="none" w:sz="0" w:space="0" w:color="auto"/>
            <w:right w:val="none" w:sz="0" w:space="0" w:color="auto"/>
          </w:divBdr>
          <w:divsChild>
            <w:div w:id="1353729456">
              <w:marLeft w:val="0"/>
              <w:marRight w:val="0"/>
              <w:marTop w:val="0"/>
              <w:marBottom w:val="0"/>
              <w:divBdr>
                <w:top w:val="none" w:sz="0" w:space="0" w:color="auto"/>
                <w:left w:val="none" w:sz="0" w:space="0" w:color="auto"/>
                <w:bottom w:val="none" w:sz="0" w:space="0" w:color="auto"/>
                <w:right w:val="none" w:sz="0" w:space="0" w:color="auto"/>
              </w:divBdr>
            </w:div>
          </w:divsChild>
        </w:div>
        <w:div w:id="217863369">
          <w:marLeft w:val="0"/>
          <w:marRight w:val="0"/>
          <w:marTop w:val="0"/>
          <w:marBottom w:val="0"/>
          <w:divBdr>
            <w:top w:val="none" w:sz="0" w:space="0" w:color="auto"/>
            <w:left w:val="none" w:sz="0" w:space="0" w:color="auto"/>
            <w:bottom w:val="none" w:sz="0" w:space="0" w:color="auto"/>
            <w:right w:val="none" w:sz="0" w:space="0" w:color="auto"/>
          </w:divBdr>
          <w:divsChild>
            <w:div w:id="1362245993">
              <w:marLeft w:val="0"/>
              <w:marRight w:val="0"/>
              <w:marTop w:val="0"/>
              <w:marBottom w:val="0"/>
              <w:divBdr>
                <w:top w:val="none" w:sz="0" w:space="0" w:color="auto"/>
                <w:left w:val="none" w:sz="0" w:space="0" w:color="auto"/>
                <w:bottom w:val="none" w:sz="0" w:space="0" w:color="auto"/>
                <w:right w:val="none" w:sz="0" w:space="0" w:color="auto"/>
              </w:divBdr>
            </w:div>
          </w:divsChild>
        </w:div>
        <w:div w:id="222761011">
          <w:marLeft w:val="0"/>
          <w:marRight w:val="0"/>
          <w:marTop w:val="0"/>
          <w:marBottom w:val="0"/>
          <w:divBdr>
            <w:top w:val="none" w:sz="0" w:space="0" w:color="auto"/>
            <w:left w:val="none" w:sz="0" w:space="0" w:color="auto"/>
            <w:bottom w:val="none" w:sz="0" w:space="0" w:color="auto"/>
            <w:right w:val="none" w:sz="0" w:space="0" w:color="auto"/>
          </w:divBdr>
          <w:divsChild>
            <w:div w:id="578754515">
              <w:marLeft w:val="0"/>
              <w:marRight w:val="0"/>
              <w:marTop w:val="0"/>
              <w:marBottom w:val="0"/>
              <w:divBdr>
                <w:top w:val="none" w:sz="0" w:space="0" w:color="auto"/>
                <w:left w:val="none" w:sz="0" w:space="0" w:color="auto"/>
                <w:bottom w:val="none" w:sz="0" w:space="0" w:color="auto"/>
                <w:right w:val="none" w:sz="0" w:space="0" w:color="auto"/>
              </w:divBdr>
            </w:div>
          </w:divsChild>
        </w:div>
        <w:div w:id="230967133">
          <w:marLeft w:val="0"/>
          <w:marRight w:val="0"/>
          <w:marTop w:val="0"/>
          <w:marBottom w:val="0"/>
          <w:divBdr>
            <w:top w:val="none" w:sz="0" w:space="0" w:color="auto"/>
            <w:left w:val="none" w:sz="0" w:space="0" w:color="auto"/>
            <w:bottom w:val="none" w:sz="0" w:space="0" w:color="auto"/>
            <w:right w:val="none" w:sz="0" w:space="0" w:color="auto"/>
          </w:divBdr>
          <w:divsChild>
            <w:div w:id="533661533">
              <w:marLeft w:val="0"/>
              <w:marRight w:val="0"/>
              <w:marTop w:val="0"/>
              <w:marBottom w:val="0"/>
              <w:divBdr>
                <w:top w:val="none" w:sz="0" w:space="0" w:color="auto"/>
                <w:left w:val="none" w:sz="0" w:space="0" w:color="auto"/>
                <w:bottom w:val="none" w:sz="0" w:space="0" w:color="auto"/>
                <w:right w:val="none" w:sz="0" w:space="0" w:color="auto"/>
              </w:divBdr>
            </w:div>
          </w:divsChild>
        </w:div>
        <w:div w:id="271981631">
          <w:marLeft w:val="0"/>
          <w:marRight w:val="0"/>
          <w:marTop w:val="0"/>
          <w:marBottom w:val="0"/>
          <w:divBdr>
            <w:top w:val="none" w:sz="0" w:space="0" w:color="auto"/>
            <w:left w:val="none" w:sz="0" w:space="0" w:color="auto"/>
            <w:bottom w:val="none" w:sz="0" w:space="0" w:color="auto"/>
            <w:right w:val="none" w:sz="0" w:space="0" w:color="auto"/>
          </w:divBdr>
          <w:divsChild>
            <w:div w:id="1491022095">
              <w:marLeft w:val="0"/>
              <w:marRight w:val="0"/>
              <w:marTop w:val="0"/>
              <w:marBottom w:val="0"/>
              <w:divBdr>
                <w:top w:val="none" w:sz="0" w:space="0" w:color="auto"/>
                <w:left w:val="none" w:sz="0" w:space="0" w:color="auto"/>
                <w:bottom w:val="none" w:sz="0" w:space="0" w:color="auto"/>
                <w:right w:val="none" w:sz="0" w:space="0" w:color="auto"/>
              </w:divBdr>
            </w:div>
          </w:divsChild>
        </w:div>
        <w:div w:id="272905049">
          <w:marLeft w:val="0"/>
          <w:marRight w:val="0"/>
          <w:marTop w:val="0"/>
          <w:marBottom w:val="0"/>
          <w:divBdr>
            <w:top w:val="none" w:sz="0" w:space="0" w:color="auto"/>
            <w:left w:val="none" w:sz="0" w:space="0" w:color="auto"/>
            <w:bottom w:val="none" w:sz="0" w:space="0" w:color="auto"/>
            <w:right w:val="none" w:sz="0" w:space="0" w:color="auto"/>
          </w:divBdr>
          <w:divsChild>
            <w:div w:id="429012726">
              <w:marLeft w:val="0"/>
              <w:marRight w:val="0"/>
              <w:marTop w:val="0"/>
              <w:marBottom w:val="0"/>
              <w:divBdr>
                <w:top w:val="none" w:sz="0" w:space="0" w:color="auto"/>
                <w:left w:val="none" w:sz="0" w:space="0" w:color="auto"/>
                <w:bottom w:val="none" w:sz="0" w:space="0" w:color="auto"/>
                <w:right w:val="none" w:sz="0" w:space="0" w:color="auto"/>
              </w:divBdr>
            </w:div>
          </w:divsChild>
        </w:div>
        <w:div w:id="277219980">
          <w:marLeft w:val="0"/>
          <w:marRight w:val="0"/>
          <w:marTop w:val="0"/>
          <w:marBottom w:val="0"/>
          <w:divBdr>
            <w:top w:val="none" w:sz="0" w:space="0" w:color="auto"/>
            <w:left w:val="none" w:sz="0" w:space="0" w:color="auto"/>
            <w:bottom w:val="none" w:sz="0" w:space="0" w:color="auto"/>
            <w:right w:val="none" w:sz="0" w:space="0" w:color="auto"/>
          </w:divBdr>
          <w:divsChild>
            <w:div w:id="1760714462">
              <w:marLeft w:val="0"/>
              <w:marRight w:val="0"/>
              <w:marTop w:val="0"/>
              <w:marBottom w:val="0"/>
              <w:divBdr>
                <w:top w:val="none" w:sz="0" w:space="0" w:color="auto"/>
                <w:left w:val="none" w:sz="0" w:space="0" w:color="auto"/>
                <w:bottom w:val="none" w:sz="0" w:space="0" w:color="auto"/>
                <w:right w:val="none" w:sz="0" w:space="0" w:color="auto"/>
              </w:divBdr>
            </w:div>
          </w:divsChild>
        </w:div>
        <w:div w:id="298341689">
          <w:marLeft w:val="0"/>
          <w:marRight w:val="0"/>
          <w:marTop w:val="0"/>
          <w:marBottom w:val="0"/>
          <w:divBdr>
            <w:top w:val="none" w:sz="0" w:space="0" w:color="auto"/>
            <w:left w:val="none" w:sz="0" w:space="0" w:color="auto"/>
            <w:bottom w:val="none" w:sz="0" w:space="0" w:color="auto"/>
            <w:right w:val="none" w:sz="0" w:space="0" w:color="auto"/>
          </w:divBdr>
          <w:divsChild>
            <w:div w:id="231158641">
              <w:marLeft w:val="0"/>
              <w:marRight w:val="0"/>
              <w:marTop w:val="0"/>
              <w:marBottom w:val="0"/>
              <w:divBdr>
                <w:top w:val="none" w:sz="0" w:space="0" w:color="auto"/>
                <w:left w:val="none" w:sz="0" w:space="0" w:color="auto"/>
                <w:bottom w:val="none" w:sz="0" w:space="0" w:color="auto"/>
                <w:right w:val="none" w:sz="0" w:space="0" w:color="auto"/>
              </w:divBdr>
            </w:div>
          </w:divsChild>
        </w:div>
        <w:div w:id="333656155">
          <w:marLeft w:val="0"/>
          <w:marRight w:val="0"/>
          <w:marTop w:val="0"/>
          <w:marBottom w:val="0"/>
          <w:divBdr>
            <w:top w:val="none" w:sz="0" w:space="0" w:color="auto"/>
            <w:left w:val="none" w:sz="0" w:space="0" w:color="auto"/>
            <w:bottom w:val="none" w:sz="0" w:space="0" w:color="auto"/>
            <w:right w:val="none" w:sz="0" w:space="0" w:color="auto"/>
          </w:divBdr>
          <w:divsChild>
            <w:div w:id="1935287512">
              <w:marLeft w:val="0"/>
              <w:marRight w:val="0"/>
              <w:marTop w:val="0"/>
              <w:marBottom w:val="0"/>
              <w:divBdr>
                <w:top w:val="none" w:sz="0" w:space="0" w:color="auto"/>
                <w:left w:val="none" w:sz="0" w:space="0" w:color="auto"/>
                <w:bottom w:val="none" w:sz="0" w:space="0" w:color="auto"/>
                <w:right w:val="none" w:sz="0" w:space="0" w:color="auto"/>
              </w:divBdr>
            </w:div>
          </w:divsChild>
        </w:div>
        <w:div w:id="340864667">
          <w:marLeft w:val="0"/>
          <w:marRight w:val="0"/>
          <w:marTop w:val="0"/>
          <w:marBottom w:val="0"/>
          <w:divBdr>
            <w:top w:val="none" w:sz="0" w:space="0" w:color="auto"/>
            <w:left w:val="none" w:sz="0" w:space="0" w:color="auto"/>
            <w:bottom w:val="none" w:sz="0" w:space="0" w:color="auto"/>
            <w:right w:val="none" w:sz="0" w:space="0" w:color="auto"/>
          </w:divBdr>
          <w:divsChild>
            <w:div w:id="1300762519">
              <w:marLeft w:val="0"/>
              <w:marRight w:val="0"/>
              <w:marTop w:val="0"/>
              <w:marBottom w:val="0"/>
              <w:divBdr>
                <w:top w:val="none" w:sz="0" w:space="0" w:color="auto"/>
                <w:left w:val="none" w:sz="0" w:space="0" w:color="auto"/>
                <w:bottom w:val="none" w:sz="0" w:space="0" w:color="auto"/>
                <w:right w:val="none" w:sz="0" w:space="0" w:color="auto"/>
              </w:divBdr>
            </w:div>
          </w:divsChild>
        </w:div>
        <w:div w:id="352459181">
          <w:marLeft w:val="0"/>
          <w:marRight w:val="0"/>
          <w:marTop w:val="0"/>
          <w:marBottom w:val="0"/>
          <w:divBdr>
            <w:top w:val="none" w:sz="0" w:space="0" w:color="auto"/>
            <w:left w:val="none" w:sz="0" w:space="0" w:color="auto"/>
            <w:bottom w:val="none" w:sz="0" w:space="0" w:color="auto"/>
            <w:right w:val="none" w:sz="0" w:space="0" w:color="auto"/>
          </w:divBdr>
          <w:divsChild>
            <w:div w:id="757361562">
              <w:marLeft w:val="0"/>
              <w:marRight w:val="0"/>
              <w:marTop w:val="0"/>
              <w:marBottom w:val="0"/>
              <w:divBdr>
                <w:top w:val="none" w:sz="0" w:space="0" w:color="auto"/>
                <w:left w:val="none" w:sz="0" w:space="0" w:color="auto"/>
                <w:bottom w:val="none" w:sz="0" w:space="0" w:color="auto"/>
                <w:right w:val="none" w:sz="0" w:space="0" w:color="auto"/>
              </w:divBdr>
            </w:div>
          </w:divsChild>
        </w:div>
        <w:div w:id="359938766">
          <w:marLeft w:val="0"/>
          <w:marRight w:val="0"/>
          <w:marTop w:val="0"/>
          <w:marBottom w:val="0"/>
          <w:divBdr>
            <w:top w:val="none" w:sz="0" w:space="0" w:color="auto"/>
            <w:left w:val="none" w:sz="0" w:space="0" w:color="auto"/>
            <w:bottom w:val="none" w:sz="0" w:space="0" w:color="auto"/>
            <w:right w:val="none" w:sz="0" w:space="0" w:color="auto"/>
          </w:divBdr>
          <w:divsChild>
            <w:div w:id="1341158389">
              <w:marLeft w:val="0"/>
              <w:marRight w:val="0"/>
              <w:marTop w:val="0"/>
              <w:marBottom w:val="0"/>
              <w:divBdr>
                <w:top w:val="none" w:sz="0" w:space="0" w:color="auto"/>
                <w:left w:val="none" w:sz="0" w:space="0" w:color="auto"/>
                <w:bottom w:val="none" w:sz="0" w:space="0" w:color="auto"/>
                <w:right w:val="none" w:sz="0" w:space="0" w:color="auto"/>
              </w:divBdr>
            </w:div>
          </w:divsChild>
        </w:div>
        <w:div w:id="377510741">
          <w:marLeft w:val="0"/>
          <w:marRight w:val="0"/>
          <w:marTop w:val="0"/>
          <w:marBottom w:val="0"/>
          <w:divBdr>
            <w:top w:val="none" w:sz="0" w:space="0" w:color="auto"/>
            <w:left w:val="none" w:sz="0" w:space="0" w:color="auto"/>
            <w:bottom w:val="none" w:sz="0" w:space="0" w:color="auto"/>
            <w:right w:val="none" w:sz="0" w:space="0" w:color="auto"/>
          </w:divBdr>
          <w:divsChild>
            <w:div w:id="837690621">
              <w:marLeft w:val="0"/>
              <w:marRight w:val="0"/>
              <w:marTop w:val="0"/>
              <w:marBottom w:val="0"/>
              <w:divBdr>
                <w:top w:val="none" w:sz="0" w:space="0" w:color="auto"/>
                <w:left w:val="none" w:sz="0" w:space="0" w:color="auto"/>
                <w:bottom w:val="none" w:sz="0" w:space="0" w:color="auto"/>
                <w:right w:val="none" w:sz="0" w:space="0" w:color="auto"/>
              </w:divBdr>
            </w:div>
          </w:divsChild>
        </w:div>
        <w:div w:id="393505458">
          <w:marLeft w:val="0"/>
          <w:marRight w:val="0"/>
          <w:marTop w:val="0"/>
          <w:marBottom w:val="0"/>
          <w:divBdr>
            <w:top w:val="none" w:sz="0" w:space="0" w:color="auto"/>
            <w:left w:val="none" w:sz="0" w:space="0" w:color="auto"/>
            <w:bottom w:val="none" w:sz="0" w:space="0" w:color="auto"/>
            <w:right w:val="none" w:sz="0" w:space="0" w:color="auto"/>
          </w:divBdr>
          <w:divsChild>
            <w:div w:id="1157958330">
              <w:marLeft w:val="0"/>
              <w:marRight w:val="0"/>
              <w:marTop w:val="0"/>
              <w:marBottom w:val="0"/>
              <w:divBdr>
                <w:top w:val="none" w:sz="0" w:space="0" w:color="auto"/>
                <w:left w:val="none" w:sz="0" w:space="0" w:color="auto"/>
                <w:bottom w:val="none" w:sz="0" w:space="0" w:color="auto"/>
                <w:right w:val="none" w:sz="0" w:space="0" w:color="auto"/>
              </w:divBdr>
            </w:div>
          </w:divsChild>
        </w:div>
        <w:div w:id="410322864">
          <w:marLeft w:val="0"/>
          <w:marRight w:val="0"/>
          <w:marTop w:val="0"/>
          <w:marBottom w:val="0"/>
          <w:divBdr>
            <w:top w:val="none" w:sz="0" w:space="0" w:color="auto"/>
            <w:left w:val="none" w:sz="0" w:space="0" w:color="auto"/>
            <w:bottom w:val="none" w:sz="0" w:space="0" w:color="auto"/>
            <w:right w:val="none" w:sz="0" w:space="0" w:color="auto"/>
          </w:divBdr>
          <w:divsChild>
            <w:div w:id="299658081">
              <w:marLeft w:val="0"/>
              <w:marRight w:val="0"/>
              <w:marTop w:val="0"/>
              <w:marBottom w:val="0"/>
              <w:divBdr>
                <w:top w:val="none" w:sz="0" w:space="0" w:color="auto"/>
                <w:left w:val="none" w:sz="0" w:space="0" w:color="auto"/>
                <w:bottom w:val="none" w:sz="0" w:space="0" w:color="auto"/>
                <w:right w:val="none" w:sz="0" w:space="0" w:color="auto"/>
              </w:divBdr>
            </w:div>
          </w:divsChild>
        </w:div>
        <w:div w:id="412046233">
          <w:marLeft w:val="0"/>
          <w:marRight w:val="0"/>
          <w:marTop w:val="0"/>
          <w:marBottom w:val="0"/>
          <w:divBdr>
            <w:top w:val="none" w:sz="0" w:space="0" w:color="auto"/>
            <w:left w:val="none" w:sz="0" w:space="0" w:color="auto"/>
            <w:bottom w:val="none" w:sz="0" w:space="0" w:color="auto"/>
            <w:right w:val="none" w:sz="0" w:space="0" w:color="auto"/>
          </w:divBdr>
          <w:divsChild>
            <w:div w:id="954555756">
              <w:marLeft w:val="0"/>
              <w:marRight w:val="0"/>
              <w:marTop w:val="0"/>
              <w:marBottom w:val="0"/>
              <w:divBdr>
                <w:top w:val="none" w:sz="0" w:space="0" w:color="auto"/>
                <w:left w:val="none" w:sz="0" w:space="0" w:color="auto"/>
                <w:bottom w:val="none" w:sz="0" w:space="0" w:color="auto"/>
                <w:right w:val="none" w:sz="0" w:space="0" w:color="auto"/>
              </w:divBdr>
            </w:div>
          </w:divsChild>
        </w:div>
        <w:div w:id="424694650">
          <w:marLeft w:val="0"/>
          <w:marRight w:val="0"/>
          <w:marTop w:val="0"/>
          <w:marBottom w:val="0"/>
          <w:divBdr>
            <w:top w:val="none" w:sz="0" w:space="0" w:color="auto"/>
            <w:left w:val="none" w:sz="0" w:space="0" w:color="auto"/>
            <w:bottom w:val="none" w:sz="0" w:space="0" w:color="auto"/>
            <w:right w:val="none" w:sz="0" w:space="0" w:color="auto"/>
          </w:divBdr>
          <w:divsChild>
            <w:div w:id="1582301261">
              <w:marLeft w:val="0"/>
              <w:marRight w:val="0"/>
              <w:marTop w:val="0"/>
              <w:marBottom w:val="0"/>
              <w:divBdr>
                <w:top w:val="none" w:sz="0" w:space="0" w:color="auto"/>
                <w:left w:val="none" w:sz="0" w:space="0" w:color="auto"/>
                <w:bottom w:val="none" w:sz="0" w:space="0" w:color="auto"/>
                <w:right w:val="none" w:sz="0" w:space="0" w:color="auto"/>
              </w:divBdr>
            </w:div>
          </w:divsChild>
        </w:div>
        <w:div w:id="453837544">
          <w:marLeft w:val="0"/>
          <w:marRight w:val="0"/>
          <w:marTop w:val="0"/>
          <w:marBottom w:val="0"/>
          <w:divBdr>
            <w:top w:val="none" w:sz="0" w:space="0" w:color="auto"/>
            <w:left w:val="none" w:sz="0" w:space="0" w:color="auto"/>
            <w:bottom w:val="none" w:sz="0" w:space="0" w:color="auto"/>
            <w:right w:val="none" w:sz="0" w:space="0" w:color="auto"/>
          </w:divBdr>
          <w:divsChild>
            <w:div w:id="1008287112">
              <w:marLeft w:val="0"/>
              <w:marRight w:val="0"/>
              <w:marTop w:val="0"/>
              <w:marBottom w:val="0"/>
              <w:divBdr>
                <w:top w:val="none" w:sz="0" w:space="0" w:color="auto"/>
                <w:left w:val="none" w:sz="0" w:space="0" w:color="auto"/>
                <w:bottom w:val="none" w:sz="0" w:space="0" w:color="auto"/>
                <w:right w:val="none" w:sz="0" w:space="0" w:color="auto"/>
              </w:divBdr>
            </w:div>
          </w:divsChild>
        </w:div>
        <w:div w:id="491875734">
          <w:marLeft w:val="0"/>
          <w:marRight w:val="0"/>
          <w:marTop w:val="0"/>
          <w:marBottom w:val="0"/>
          <w:divBdr>
            <w:top w:val="none" w:sz="0" w:space="0" w:color="auto"/>
            <w:left w:val="none" w:sz="0" w:space="0" w:color="auto"/>
            <w:bottom w:val="none" w:sz="0" w:space="0" w:color="auto"/>
            <w:right w:val="none" w:sz="0" w:space="0" w:color="auto"/>
          </w:divBdr>
          <w:divsChild>
            <w:div w:id="2043440260">
              <w:marLeft w:val="0"/>
              <w:marRight w:val="0"/>
              <w:marTop w:val="0"/>
              <w:marBottom w:val="0"/>
              <w:divBdr>
                <w:top w:val="none" w:sz="0" w:space="0" w:color="auto"/>
                <w:left w:val="none" w:sz="0" w:space="0" w:color="auto"/>
                <w:bottom w:val="none" w:sz="0" w:space="0" w:color="auto"/>
                <w:right w:val="none" w:sz="0" w:space="0" w:color="auto"/>
              </w:divBdr>
            </w:div>
          </w:divsChild>
        </w:div>
        <w:div w:id="501697641">
          <w:marLeft w:val="0"/>
          <w:marRight w:val="0"/>
          <w:marTop w:val="0"/>
          <w:marBottom w:val="0"/>
          <w:divBdr>
            <w:top w:val="none" w:sz="0" w:space="0" w:color="auto"/>
            <w:left w:val="none" w:sz="0" w:space="0" w:color="auto"/>
            <w:bottom w:val="none" w:sz="0" w:space="0" w:color="auto"/>
            <w:right w:val="none" w:sz="0" w:space="0" w:color="auto"/>
          </w:divBdr>
          <w:divsChild>
            <w:div w:id="1113864003">
              <w:marLeft w:val="0"/>
              <w:marRight w:val="0"/>
              <w:marTop w:val="0"/>
              <w:marBottom w:val="0"/>
              <w:divBdr>
                <w:top w:val="none" w:sz="0" w:space="0" w:color="auto"/>
                <w:left w:val="none" w:sz="0" w:space="0" w:color="auto"/>
                <w:bottom w:val="none" w:sz="0" w:space="0" w:color="auto"/>
                <w:right w:val="none" w:sz="0" w:space="0" w:color="auto"/>
              </w:divBdr>
            </w:div>
          </w:divsChild>
        </w:div>
        <w:div w:id="502552057">
          <w:marLeft w:val="0"/>
          <w:marRight w:val="0"/>
          <w:marTop w:val="0"/>
          <w:marBottom w:val="0"/>
          <w:divBdr>
            <w:top w:val="none" w:sz="0" w:space="0" w:color="auto"/>
            <w:left w:val="none" w:sz="0" w:space="0" w:color="auto"/>
            <w:bottom w:val="none" w:sz="0" w:space="0" w:color="auto"/>
            <w:right w:val="none" w:sz="0" w:space="0" w:color="auto"/>
          </w:divBdr>
          <w:divsChild>
            <w:div w:id="1120030359">
              <w:marLeft w:val="0"/>
              <w:marRight w:val="0"/>
              <w:marTop w:val="0"/>
              <w:marBottom w:val="0"/>
              <w:divBdr>
                <w:top w:val="none" w:sz="0" w:space="0" w:color="auto"/>
                <w:left w:val="none" w:sz="0" w:space="0" w:color="auto"/>
                <w:bottom w:val="none" w:sz="0" w:space="0" w:color="auto"/>
                <w:right w:val="none" w:sz="0" w:space="0" w:color="auto"/>
              </w:divBdr>
            </w:div>
          </w:divsChild>
        </w:div>
        <w:div w:id="523327837">
          <w:marLeft w:val="0"/>
          <w:marRight w:val="0"/>
          <w:marTop w:val="0"/>
          <w:marBottom w:val="0"/>
          <w:divBdr>
            <w:top w:val="none" w:sz="0" w:space="0" w:color="auto"/>
            <w:left w:val="none" w:sz="0" w:space="0" w:color="auto"/>
            <w:bottom w:val="none" w:sz="0" w:space="0" w:color="auto"/>
            <w:right w:val="none" w:sz="0" w:space="0" w:color="auto"/>
          </w:divBdr>
          <w:divsChild>
            <w:div w:id="970861288">
              <w:marLeft w:val="0"/>
              <w:marRight w:val="0"/>
              <w:marTop w:val="0"/>
              <w:marBottom w:val="0"/>
              <w:divBdr>
                <w:top w:val="none" w:sz="0" w:space="0" w:color="auto"/>
                <w:left w:val="none" w:sz="0" w:space="0" w:color="auto"/>
                <w:bottom w:val="none" w:sz="0" w:space="0" w:color="auto"/>
                <w:right w:val="none" w:sz="0" w:space="0" w:color="auto"/>
              </w:divBdr>
            </w:div>
          </w:divsChild>
        </w:div>
        <w:div w:id="567153747">
          <w:marLeft w:val="0"/>
          <w:marRight w:val="0"/>
          <w:marTop w:val="0"/>
          <w:marBottom w:val="0"/>
          <w:divBdr>
            <w:top w:val="none" w:sz="0" w:space="0" w:color="auto"/>
            <w:left w:val="none" w:sz="0" w:space="0" w:color="auto"/>
            <w:bottom w:val="none" w:sz="0" w:space="0" w:color="auto"/>
            <w:right w:val="none" w:sz="0" w:space="0" w:color="auto"/>
          </w:divBdr>
          <w:divsChild>
            <w:div w:id="100151187">
              <w:marLeft w:val="0"/>
              <w:marRight w:val="0"/>
              <w:marTop w:val="0"/>
              <w:marBottom w:val="0"/>
              <w:divBdr>
                <w:top w:val="none" w:sz="0" w:space="0" w:color="auto"/>
                <w:left w:val="none" w:sz="0" w:space="0" w:color="auto"/>
                <w:bottom w:val="none" w:sz="0" w:space="0" w:color="auto"/>
                <w:right w:val="none" w:sz="0" w:space="0" w:color="auto"/>
              </w:divBdr>
            </w:div>
          </w:divsChild>
        </w:div>
        <w:div w:id="577250347">
          <w:marLeft w:val="0"/>
          <w:marRight w:val="0"/>
          <w:marTop w:val="0"/>
          <w:marBottom w:val="0"/>
          <w:divBdr>
            <w:top w:val="none" w:sz="0" w:space="0" w:color="auto"/>
            <w:left w:val="none" w:sz="0" w:space="0" w:color="auto"/>
            <w:bottom w:val="none" w:sz="0" w:space="0" w:color="auto"/>
            <w:right w:val="none" w:sz="0" w:space="0" w:color="auto"/>
          </w:divBdr>
          <w:divsChild>
            <w:div w:id="268894692">
              <w:marLeft w:val="0"/>
              <w:marRight w:val="0"/>
              <w:marTop w:val="0"/>
              <w:marBottom w:val="0"/>
              <w:divBdr>
                <w:top w:val="none" w:sz="0" w:space="0" w:color="auto"/>
                <w:left w:val="none" w:sz="0" w:space="0" w:color="auto"/>
                <w:bottom w:val="none" w:sz="0" w:space="0" w:color="auto"/>
                <w:right w:val="none" w:sz="0" w:space="0" w:color="auto"/>
              </w:divBdr>
            </w:div>
          </w:divsChild>
        </w:div>
        <w:div w:id="581991140">
          <w:marLeft w:val="0"/>
          <w:marRight w:val="0"/>
          <w:marTop w:val="0"/>
          <w:marBottom w:val="0"/>
          <w:divBdr>
            <w:top w:val="none" w:sz="0" w:space="0" w:color="auto"/>
            <w:left w:val="none" w:sz="0" w:space="0" w:color="auto"/>
            <w:bottom w:val="none" w:sz="0" w:space="0" w:color="auto"/>
            <w:right w:val="none" w:sz="0" w:space="0" w:color="auto"/>
          </w:divBdr>
          <w:divsChild>
            <w:div w:id="801457097">
              <w:marLeft w:val="0"/>
              <w:marRight w:val="0"/>
              <w:marTop w:val="0"/>
              <w:marBottom w:val="0"/>
              <w:divBdr>
                <w:top w:val="none" w:sz="0" w:space="0" w:color="auto"/>
                <w:left w:val="none" w:sz="0" w:space="0" w:color="auto"/>
                <w:bottom w:val="none" w:sz="0" w:space="0" w:color="auto"/>
                <w:right w:val="none" w:sz="0" w:space="0" w:color="auto"/>
              </w:divBdr>
            </w:div>
          </w:divsChild>
        </w:div>
        <w:div w:id="585111504">
          <w:marLeft w:val="0"/>
          <w:marRight w:val="0"/>
          <w:marTop w:val="0"/>
          <w:marBottom w:val="0"/>
          <w:divBdr>
            <w:top w:val="none" w:sz="0" w:space="0" w:color="auto"/>
            <w:left w:val="none" w:sz="0" w:space="0" w:color="auto"/>
            <w:bottom w:val="none" w:sz="0" w:space="0" w:color="auto"/>
            <w:right w:val="none" w:sz="0" w:space="0" w:color="auto"/>
          </w:divBdr>
          <w:divsChild>
            <w:div w:id="1375960757">
              <w:marLeft w:val="0"/>
              <w:marRight w:val="0"/>
              <w:marTop w:val="0"/>
              <w:marBottom w:val="0"/>
              <w:divBdr>
                <w:top w:val="none" w:sz="0" w:space="0" w:color="auto"/>
                <w:left w:val="none" w:sz="0" w:space="0" w:color="auto"/>
                <w:bottom w:val="none" w:sz="0" w:space="0" w:color="auto"/>
                <w:right w:val="none" w:sz="0" w:space="0" w:color="auto"/>
              </w:divBdr>
            </w:div>
          </w:divsChild>
        </w:div>
        <w:div w:id="588805581">
          <w:marLeft w:val="0"/>
          <w:marRight w:val="0"/>
          <w:marTop w:val="0"/>
          <w:marBottom w:val="0"/>
          <w:divBdr>
            <w:top w:val="none" w:sz="0" w:space="0" w:color="auto"/>
            <w:left w:val="none" w:sz="0" w:space="0" w:color="auto"/>
            <w:bottom w:val="none" w:sz="0" w:space="0" w:color="auto"/>
            <w:right w:val="none" w:sz="0" w:space="0" w:color="auto"/>
          </w:divBdr>
          <w:divsChild>
            <w:div w:id="2032417847">
              <w:marLeft w:val="0"/>
              <w:marRight w:val="0"/>
              <w:marTop w:val="0"/>
              <w:marBottom w:val="0"/>
              <w:divBdr>
                <w:top w:val="none" w:sz="0" w:space="0" w:color="auto"/>
                <w:left w:val="none" w:sz="0" w:space="0" w:color="auto"/>
                <w:bottom w:val="none" w:sz="0" w:space="0" w:color="auto"/>
                <w:right w:val="none" w:sz="0" w:space="0" w:color="auto"/>
              </w:divBdr>
            </w:div>
          </w:divsChild>
        </w:div>
        <w:div w:id="631404444">
          <w:marLeft w:val="0"/>
          <w:marRight w:val="0"/>
          <w:marTop w:val="0"/>
          <w:marBottom w:val="0"/>
          <w:divBdr>
            <w:top w:val="none" w:sz="0" w:space="0" w:color="auto"/>
            <w:left w:val="none" w:sz="0" w:space="0" w:color="auto"/>
            <w:bottom w:val="none" w:sz="0" w:space="0" w:color="auto"/>
            <w:right w:val="none" w:sz="0" w:space="0" w:color="auto"/>
          </w:divBdr>
          <w:divsChild>
            <w:div w:id="547498091">
              <w:marLeft w:val="0"/>
              <w:marRight w:val="0"/>
              <w:marTop w:val="0"/>
              <w:marBottom w:val="0"/>
              <w:divBdr>
                <w:top w:val="none" w:sz="0" w:space="0" w:color="auto"/>
                <w:left w:val="none" w:sz="0" w:space="0" w:color="auto"/>
                <w:bottom w:val="none" w:sz="0" w:space="0" w:color="auto"/>
                <w:right w:val="none" w:sz="0" w:space="0" w:color="auto"/>
              </w:divBdr>
            </w:div>
          </w:divsChild>
        </w:div>
        <w:div w:id="703211184">
          <w:marLeft w:val="0"/>
          <w:marRight w:val="0"/>
          <w:marTop w:val="0"/>
          <w:marBottom w:val="0"/>
          <w:divBdr>
            <w:top w:val="none" w:sz="0" w:space="0" w:color="auto"/>
            <w:left w:val="none" w:sz="0" w:space="0" w:color="auto"/>
            <w:bottom w:val="none" w:sz="0" w:space="0" w:color="auto"/>
            <w:right w:val="none" w:sz="0" w:space="0" w:color="auto"/>
          </w:divBdr>
          <w:divsChild>
            <w:div w:id="107702287">
              <w:marLeft w:val="0"/>
              <w:marRight w:val="0"/>
              <w:marTop w:val="0"/>
              <w:marBottom w:val="0"/>
              <w:divBdr>
                <w:top w:val="none" w:sz="0" w:space="0" w:color="auto"/>
                <w:left w:val="none" w:sz="0" w:space="0" w:color="auto"/>
                <w:bottom w:val="none" w:sz="0" w:space="0" w:color="auto"/>
                <w:right w:val="none" w:sz="0" w:space="0" w:color="auto"/>
              </w:divBdr>
            </w:div>
          </w:divsChild>
        </w:div>
        <w:div w:id="734402598">
          <w:marLeft w:val="0"/>
          <w:marRight w:val="0"/>
          <w:marTop w:val="0"/>
          <w:marBottom w:val="0"/>
          <w:divBdr>
            <w:top w:val="none" w:sz="0" w:space="0" w:color="auto"/>
            <w:left w:val="none" w:sz="0" w:space="0" w:color="auto"/>
            <w:bottom w:val="none" w:sz="0" w:space="0" w:color="auto"/>
            <w:right w:val="none" w:sz="0" w:space="0" w:color="auto"/>
          </w:divBdr>
          <w:divsChild>
            <w:div w:id="563224709">
              <w:marLeft w:val="0"/>
              <w:marRight w:val="0"/>
              <w:marTop w:val="0"/>
              <w:marBottom w:val="0"/>
              <w:divBdr>
                <w:top w:val="none" w:sz="0" w:space="0" w:color="auto"/>
                <w:left w:val="none" w:sz="0" w:space="0" w:color="auto"/>
                <w:bottom w:val="none" w:sz="0" w:space="0" w:color="auto"/>
                <w:right w:val="none" w:sz="0" w:space="0" w:color="auto"/>
              </w:divBdr>
            </w:div>
          </w:divsChild>
        </w:div>
        <w:div w:id="746728896">
          <w:marLeft w:val="0"/>
          <w:marRight w:val="0"/>
          <w:marTop w:val="0"/>
          <w:marBottom w:val="0"/>
          <w:divBdr>
            <w:top w:val="none" w:sz="0" w:space="0" w:color="auto"/>
            <w:left w:val="none" w:sz="0" w:space="0" w:color="auto"/>
            <w:bottom w:val="none" w:sz="0" w:space="0" w:color="auto"/>
            <w:right w:val="none" w:sz="0" w:space="0" w:color="auto"/>
          </w:divBdr>
          <w:divsChild>
            <w:div w:id="1665235771">
              <w:marLeft w:val="0"/>
              <w:marRight w:val="0"/>
              <w:marTop w:val="0"/>
              <w:marBottom w:val="0"/>
              <w:divBdr>
                <w:top w:val="none" w:sz="0" w:space="0" w:color="auto"/>
                <w:left w:val="none" w:sz="0" w:space="0" w:color="auto"/>
                <w:bottom w:val="none" w:sz="0" w:space="0" w:color="auto"/>
                <w:right w:val="none" w:sz="0" w:space="0" w:color="auto"/>
              </w:divBdr>
            </w:div>
          </w:divsChild>
        </w:div>
        <w:div w:id="769200353">
          <w:marLeft w:val="0"/>
          <w:marRight w:val="0"/>
          <w:marTop w:val="0"/>
          <w:marBottom w:val="0"/>
          <w:divBdr>
            <w:top w:val="none" w:sz="0" w:space="0" w:color="auto"/>
            <w:left w:val="none" w:sz="0" w:space="0" w:color="auto"/>
            <w:bottom w:val="none" w:sz="0" w:space="0" w:color="auto"/>
            <w:right w:val="none" w:sz="0" w:space="0" w:color="auto"/>
          </w:divBdr>
          <w:divsChild>
            <w:div w:id="74938234">
              <w:marLeft w:val="0"/>
              <w:marRight w:val="0"/>
              <w:marTop w:val="0"/>
              <w:marBottom w:val="0"/>
              <w:divBdr>
                <w:top w:val="none" w:sz="0" w:space="0" w:color="auto"/>
                <w:left w:val="none" w:sz="0" w:space="0" w:color="auto"/>
                <w:bottom w:val="none" w:sz="0" w:space="0" w:color="auto"/>
                <w:right w:val="none" w:sz="0" w:space="0" w:color="auto"/>
              </w:divBdr>
            </w:div>
          </w:divsChild>
        </w:div>
        <w:div w:id="797339758">
          <w:marLeft w:val="0"/>
          <w:marRight w:val="0"/>
          <w:marTop w:val="0"/>
          <w:marBottom w:val="0"/>
          <w:divBdr>
            <w:top w:val="none" w:sz="0" w:space="0" w:color="auto"/>
            <w:left w:val="none" w:sz="0" w:space="0" w:color="auto"/>
            <w:bottom w:val="none" w:sz="0" w:space="0" w:color="auto"/>
            <w:right w:val="none" w:sz="0" w:space="0" w:color="auto"/>
          </w:divBdr>
          <w:divsChild>
            <w:div w:id="1170490577">
              <w:marLeft w:val="0"/>
              <w:marRight w:val="0"/>
              <w:marTop w:val="0"/>
              <w:marBottom w:val="0"/>
              <w:divBdr>
                <w:top w:val="none" w:sz="0" w:space="0" w:color="auto"/>
                <w:left w:val="none" w:sz="0" w:space="0" w:color="auto"/>
                <w:bottom w:val="none" w:sz="0" w:space="0" w:color="auto"/>
                <w:right w:val="none" w:sz="0" w:space="0" w:color="auto"/>
              </w:divBdr>
            </w:div>
          </w:divsChild>
        </w:div>
        <w:div w:id="823206100">
          <w:marLeft w:val="0"/>
          <w:marRight w:val="0"/>
          <w:marTop w:val="0"/>
          <w:marBottom w:val="0"/>
          <w:divBdr>
            <w:top w:val="none" w:sz="0" w:space="0" w:color="auto"/>
            <w:left w:val="none" w:sz="0" w:space="0" w:color="auto"/>
            <w:bottom w:val="none" w:sz="0" w:space="0" w:color="auto"/>
            <w:right w:val="none" w:sz="0" w:space="0" w:color="auto"/>
          </w:divBdr>
          <w:divsChild>
            <w:div w:id="92240899">
              <w:marLeft w:val="0"/>
              <w:marRight w:val="0"/>
              <w:marTop w:val="0"/>
              <w:marBottom w:val="0"/>
              <w:divBdr>
                <w:top w:val="none" w:sz="0" w:space="0" w:color="auto"/>
                <w:left w:val="none" w:sz="0" w:space="0" w:color="auto"/>
                <w:bottom w:val="none" w:sz="0" w:space="0" w:color="auto"/>
                <w:right w:val="none" w:sz="0" w:space="0" w:color="auto"/>
              </w:divBdr>
            </w:div>
          </w:divsChild>
        </w:div>
        <w:div w:id="826285438">
          <w:marLeft w:val="0"/>
          <w:marRight w:val="0"/>
          <w:marTop w:val="0"/>
          <w:marBottom w:val="0"/>
          <w:divBdr>
            <w:top w:val="none" w:sz="0" w:space="0" w:color="auto"/>
            <w:left w:val="none" w:sz="0" w:space="0" w:color="auto"/>
            <w:bottom w:val="none" w:sz="0" w:space="0" w:color="auto"/>
            <w:right w:val="none" w:sz="0" w:space="0" w:color="auto"/>
          </w:divBdr>
          <w:divsChild>
            <w:div w:id="799225898">
              <w:marLeft w:val="0"/>
              <w:marRight w:val="0"/>
              <w:marTop w:val="0"/>
              <w:marBottom w:val="0"/>
              <w:divBdr>
                <w:top w:val="none" w:sz="0" w:space="0" w:color="auto"/>
                <w:left w:val="none" w:sz="0" w:space="0" w:color="auto"/>
                <w:bottom w:val="none" w:sz="0" w:space="0" w:color="auto"/>
                <w:right w:val="none" w:sz="0" w:space="0" w:color="auto"/>
              </w:divBdr>
            </w:div>
          </w:divsChild>
        </w:div>
        <w:div w:id="828061194">
          <w:marLeft w:val="0"/>
          <w:marRight w:val="0"/>
          <w:marTop w:val="0"/>
          <w:marBottom w:val="0"/>
          <w:divBdr>
            <w:top w:val="none" w:sz="0" w:space="0" w:color="auto"/>
            <w:left w:val="none" w:sz="0" w:space="0" w:color="auto"/>
            <w:bottom w:val="none" w:sz="0" w:space="0" w:color="auto"/>
            <w:right w:val="none" w:sz="0" w:space="0" w:color="auto"/>
          </w:divBdr>
          <w:divsChild>
            <w:div w:id="120997143">
              <w:marLeft w:val="0"/>
              <w:marRight w:val="0"/>
              <w:marTop w:val="0"/>
              <w:marBottom w:val="0"/>
              <w:divBdr>
                <w:top w:val="none" w:sz="0" w:space="0" w:color="auto"/>
                <w:left w:val="none" w:sz="0" w:space="0" w:color="auto"/>
                <w:bottom w:val="none" w:sz="0" w:space="0" w:color="auto"/>
                <w:right w:val="none" w:sz="0" w:space="0" w:color="auto"/>
              </w:divBdr>
            </w:div>
          </w:divsChild>
        </w:div>
        <w:div w:id="845558502">
          <w:marLeft w:val="0"/>
          <w:marRight w:val="0"/>
          <w:marTop w:val="0"/>
          <w:marBottom w:val="0"/>
          <w:divBdr>
            <w:top w:val="none" w:sz="0" w:space="0" w:color="auto"/>
            <w:left w:val="none" w:sz="0" w:space="0" w:color="auto"/>
            <w:bottom w:val="none" w:sz="0" w:space="0" w:color="auto"/>
            <w:right w:val="none" w:sz="0" w:space="0" w:color="auto"/>
          </w:divBdr>
          <w:divsChild>
            <w:div w:id="794568014">
              <w:marLeft w:val="0"/>
              <w:marRight w:val="0"/>
              <w:marTop w:val="0"/>
              <w:marBottom w:val="0"/>
              <w:divBdr>
                <w:top w:val="none" w:sz="0" w:space="0" w:color="auto"/>
                <w:left w:val="none" w:sz="0" w:space="0" w:color="auto"/>
                <w:bottom w:val="none" w:sz="0" w:space="0" w:color="auto"/>
                <w:right w:val="none" w:sz="0" w:space="0" w:color="auto"/>
              </w:divBdr>
            </w:div>
          </w:divsChild>
        </w:div>
        <w:div w:id="860558477">
          <w:marLeft w:val="0"/>
          <w:marRight w:val="0"/>
          <w:marTop w:val="0"/>
          <w:marBottom w:val="0"/>
          <w:divBdr>
            <w:top w:val="none" w:sz="0" w:space="0" w:color="auto"/>
            <w:left w:val="none" w:sz="0" w:space="0" w:color="auto"/>
            <w:bottom w:val="none" w:sz="0" w:space="0" w:color="auto"/>
            <w:right w:val="none" w:sz="0" w:space="0" w:color="auto"/>
          </w:divBdr>
          <w:divsChild>
            <w:div w:id="279438">
              <w:marLeft w:val="0"/>
              <w:marRight w:val="0"/>
              <w:marTop w:val="0"/>
              <w:marBottom w:val="0"/>
              <w:divBdr>
                <w:top w:val="none" w:sz="0" w:space="0" w:color="auto"/>
                <w:left w:val="none" w:sz="0" w:space="0" w:color="auto"/>
                <w:bottom w:val="none" w:sz="0" w:space="0" w:color="auto"/>
                <w:right w:val="none" w:sz="0" w:space="0" w:color="auto"/>
              </w:divBdr>
            </w:div>
          </w:divsChild>
        </w:div>
        <w:div w:id="872377179">
          <w:marLeft w:val="0"/>
          <w:marRight w:val="0"/>
          <w:marTop w:val="0"/>
          <w:marBottom w:val="0"/>
          <w:divBdr>
            <w:top w:val="none" w:sz="0" w:space="0" w:color="auto"/>
            <w:left w:val="none" w:sz="0" w:space="0" w:color="auto"/>
            <w:bottom w:val="none" w:sz="0" w:space="0" w:color="auto"/>
            <w:right w:val="none" w:sz="0" w:space="0" w:color="auto"/>
          </w:divBdr>
          <w:divsChild>
            <w:div w:id="375399771">
              <w:marLeft w:val="0"/>
              <w:marRight w:val="0"/>
              <w:marTop w:val="0"/>
              <w:marBottom w:val="0"/>
              <w:divBdr>
                <w:top w:val="none" w:sz="0" w:space="0" w:color="auto"/>
                <w:left w:val="none" w:sz="0" w:space="0" w:color="auto"/>
                <w:bottom w:val="none" w:sz="0" w:space="0" w:color="auto"/>
                <w:right w:val="none" w:sz="0" w:space="0" w:color="auto"/>
              </w:divBdr>
            </w:div>
          </w:divsChild>
        </w:div>
        <w:div w:id="962999401">
          <w:marLeft w:val="0"/>
          <w:marRight w:val="0"/>
          <w:marTop w:val="0"/>
          <w:marBottom w:val="0"/>
          <w:divBdr>
            <w:top w:val="none" w:sz="0" w:space="0" w:color="auto"/>
            <w:left w:val="none" w:sz="0" w:space="0" w:color="auto"/>
            <w:bottom w:val="none" w:sz="0" w:space="0" w:color="auto"/>
            <w:right w:val="none" w:sz="0" w:space="0" w:color="auto"/>
          </w:divBdr>
          <w:divsChild>
            <w:div w:id="1132332004">
              <w:marLeft w:val="0"/>
              <w:marRight w:val="0"/>
              <w:marTop w:val="0"/>
              <w:marBottom w:val="0"/>
              <w:divBdr>
                <w:top w:val="none" w:sz="0" w:space="0" w:color="auto"/>
                <w:left w:val="none" w:sz="0" w:space="0" w:color="auto"/>
                <w:bottom w:val="none" w:sz="0" w:space="0" w:color="auto"/>
                <w:right w:val="none" w:sz="0" w:space="0" w:color="auto"/>
              </w:divBdr>
            </w:div>
          </w:divsChild>
        </w:div>
        <w:div w:id="990986703">
          <w:marLeft w:val="0"/>
          <w:marRight w:val="0"/>
          <w:marTop w:val="0"/>
          <w:marBottom w:val="0"/>
          <w:divBdr>
            <w:top w:val="none" w:sz="0" w:space="0" w:color="auto"/>
            <w:left w:val="none" w:sz="0" w:space="0" w:color="auto"/>
            <w:bottom w:val="none" w:sz="0" w:space="0" w:color="auto"/>
            <w:right w:val="none" w:sz="0" w:space="0" w:color="auto"/>
          </w:divBdr>
          <w:divsChild>
            <w:div w:id="548300068">
              <w:marLeft w:val="0"/>
              <w:marRight w:val="0"/>
              <w:marTop w:val="0"/>
              <w:marBottom w:val="0"/>
              <w:divBdr>
                <w:top w:val="none" w:sz="0" w:space="0" w:color="auto"/>
                <w:left w:val="none" w:sz="0" w:space="0" w:color="auto"/>
                <w:bottom w:val="none" w:sz="0" w:space="0" w:color="auto"/>
                <w:right w:val="none" w:sz="0" w:space="0" w:color="auto"/>
              </w:divBdr>
            </w:div>
          </w:divsChild>
        </w:div>
        <w:div w:id="1003820239">
          <w:marLeft w:val="0"/>
          <w:marRight w:val="0"/>
          <w:marTop w:val="0"/>
          <w:marBottom w:val="0"/>
          <w:divBdr>
            <w:top w:val="none" w:sz="0" w:space="0" w:color="auto"/>
            <w:left w:val="none" w:sz="0" w:space="0" w:color="auto"/>
            <w:bottom w:val="none" w:sz="0" w:space="0" w:color="auto"/>
            <w:right w:val="none" w:sz="0" w:space="0" w:color="auto"/>
          </w:divBdr>
          <w:divsChild>
            <w:div w:id="1847330021">
              <w:marLeft w:val="0"/>
              <w:marRight w:val="0"/>
              <w:marTop w:val="0"/>
              <w:marBottom w:val="0"/>
              <w:divBdr>
                <w:top w:val="none" w:sz="0" w:space="0" w:color="auto"/>
                <w:left w:val="none" w:sz="0" w:space="0" w:color="auto"/>
                <w:bottom w:val="none" w:sz="0" w:space="0" w:color="auto"/>
                <w:right w:val="none" w:sz="0" w:space="0" w:color="auto"/>
              </w:divBdr>
            </w:div>
          </w:divsChild>
        </w:div>
        <w:div w:id="1028990559">
          <w:marLeft w:val="0"/>
          <w:marRight w:val="0"/>
          <w:marTop w:val="0"/>
          <w:marBottom w:val="0"/>
          <w:divBdr>
            <w:top w:val="none" w:sz="0" w:space="0" w:color="auto"/>
            <w:left w:val="none" w:sz="0" w:space="0" w:color="auto"/>
            <w:bottom w:val="none" w:sz="0" w:space="0" w:color="auto"/>
            <w:right w:val="none" w:sz="0" w:space="0" w:color="auto"/>
          </w:divBdr>
          <w:divsChild>
            <w:div w:id="1209487167">
              <w:marLeft w:val="0"/>
              <w:marRight w:val="0"/>
              <w:marTop w:val="0"/>
              <w:marBottom w:val="0"/>
              <w:divBdr>
                <w:top w:val="none" w:sz="0" w:space="0" w:color="auto"/>
                <w:left w:val="none" w:sz="0" w:space="0" w:color="auto"/>
                <w:bottom w:val="none" w:sz="0" w:space="0" w:color="auto"/>
                <w:right w:val="none" w:sz="0" w:space="0" w:color="auto"/>
              </w:divBdr>
            </w:div>
          </w:divsChild>
        </w:div>
        <w:div w:id="1133600519">
          <w:marLeft w:val="0"/>
          <w:marRight w:val="0"/>
          <w:marTop w:val="0"/>
          <w:marBottom w:val="0"/>
          <w:divBdr>
            <w:top w:val="none" w:sz="0" w:space="0" w:color="auto"/>
            <w:left w:val="none" w:sz="0" w:space="0" w:color="auto"/>
            <w:bottom w:val="none" w:sz="0" w:space="0" w:color="auto"/>
            <w:right w:val="none" w:sz="0" w:space="0" w:color="auto"/>
          </w:divBdr>
          <w:divsChild>
            <w:div w:id="2079327878">
              <w:marLeft w:val="0"/>
              <w:marRight w:val="0"/>
              <w:marTop w:val="0"/>
              <w:marBottom w:val="0"/>
              <w:divBdr>
                <w:top w:val="none" w:sz="0" w:space="0" w:color="auto"/>
                <w:left w:val="none" w:sz="0" w:space="0" w:color="auto"/>
                <w:bottom w:val="none" w:sz="0" w:space="0" w:color="auto"/>
                <w:right w:val="none" w:sz="0" w:space="0" w:color="auto"/>
              </w:divBdr>
            </w:div>
          </w:divsChild>
        </w:div>
        <w:div w:id="1164661147">
          <w:marLeft w:val="0"/>
          <w:marRight w:val="0"/>
          <w:marTop w:val="0"/>
          <w:marBottom w:val="0"/>
          <w:divBdr>
            <w:top w:val="none" w:sz="0" w:space="0" w:color="auto"/>
            <w:left w:val="none" w:sz="0" w:space="0" w:color="auto"/>
            <w:bottom w:val="none" w:sz="0" w:space="0" w:color="auto"/>
            <w:right w:val="none" w:sz="0" w:space="0" w:color="auto"/>
          </w:divBdr>
          <w:divsChild>
            <w:div w:id="732116284">
              <w:marLeft w:val="0"/>
              <w:marRight w:val="0"/>
              <w:marTop w:val="0"/>
              <w:marBottom w:val="0"/>
              <w:divBdr>
                <w:top w:val="none" w:sz="0" w:space="0" w:color="auto"/>
                <w:left w:val="none" w:sz="0" w:space="0" w:color="auto"/>
                <w:bottom w:val="none" w:sz="0" w:space="0" w:color="auto"/>
                <w:right w:val="none" w:sz="0" w:space="0" w:color="auto"/>
              </w:divBdr>
            </w:div>
          </w:divsChild>
        </w:div>
        <w:div w:id="1173185336">
          <w:marLeft w:val="0"/>
          <w:marRight w:val="0"/>
          <w:marTop w:val="0"/>
          <w:marBottom w:val="0"/>
          <w:divBdr>
            <w:top w:val="none" w:sz="0" w:space="0" w:color="auto"/>
            <w:left w:val="none" w:sz="0" w:space="0" w:color="auto"/>
            <w:bottom w:val="none" w:sz="0" w:space="0" w:color="auto"/>
            <w:right w:val="none" w:sz="0" w:space="0" w:color="auto"/>
          </w:divBdr>
          <w:divsChild>
            <w:div w:id="1618760348">
              <w:marLeft w:val="0"/>
              <w:marRight w:val="0"/>
              <w:marTop w:val="0"/>
              <w:marBottom w:val="0"/>
              <w:divBdr>
                <w:top w:val="none" w:sz="0" w:space="0" w:color="auto"/>
                <w:left w:val="none" w:sz="0" w:space="0" w:color="auto"/>
                <w:bottom w:val="none" w:sz="0" w:space="0" w:color="auto"/>
                <w:right w:val="none" w:sz="0" w:space="0" w:color="auto"/>
              </w:divBdr>
            </w:div>
          </w:divsChild>
        </w:div>
        <w:div w:id="1181505415">
          <w:marLeft w:val="0"/>
          <w:marRight w:val="0"/>
          <w:marTop w:val="0"/>
          <w:marBottom w:val="0"/>
          <w:divBdr>
            <w:top w:val="none" w:sz="0" w:space="0" w:color="auto"/>
            <w:left w:val="none" w:sz="0" w:space="0" w:color="auto"/>
            <w:bottom w:val="none" w:sz="0" w:space="0" w:color="auto"/>
            <w:right w:val="none" w:sz="0" w:space="0" w:color="auto"/>
          </w:divBdr>
          <w:divsChild>
            <w:div w:id="2092895878">
              <w:marLeft w:val="0"/>
              <w:marRight w:val="0"/>
              <w:marTop w:val="0"/>
              <w:marBottom w:val="0"/>
              <w:divBdr>
                <w:top w:val="none" w:sz="0" w:space="0" w:color="auto"/>
                <w:left w:val="none" w:sz="0" w:space="0" w:color="auto"/>
                <w:bottom w:val="none" w:sz="0" w:space="0" w:color="auto"/>
                <w:right w:val="none" w:sz="0" w:space="0" w:color="auto"/>
              </w:divBdr>
            </w:div>
          </w:divsChild>
        </w:div>
        <w:div w:id="1252275603">
          <w:marLeft w:val="0"/>
          <w:marRight w:val="0"/>
          <w:marTop w:val="0"/>
          <w:marBottom w:val="0"/>
          <w:divBdr>
            <w:top w:val="none" w:sz="0" w:space="0" w:color="auto"/>
            <w:left w:val="none" w:sz="0" w:space="0" w:color="auto"/>
            <w:bottom w:val="none" w:sz="0" w:space="0" w:color="auto"/>
            <w:right w:val="none" w:sz="0" w:space="0" w:color="auto"/>
          </w:divBdr>
          <w:divsChild>
            <w:div w:id="449203351">
              <w:marLeft w:val="0"/>
              <w:marRight w:val="0"/>
              <w:marTop w:val="0"/>
              <w:marBottom w:val="0"/>
              <w:divBdr>
                <w:top w:val="none" w:sz="0" w:space="0" w:color="auto"/>
                <w:left w:val="none" w:sz="0" w:space="0" w:color="auto"/>
                <w:bottom w:val="none" w:sz="0" w:space="0" w:color="auto"/>
                <w:right w:val="none" w:sz="0" w:space="0" w:color="auto"/>
              </w:divBdr>
            </w:div>
          </w:divsChild>
        </w:div>
        <w:div w:id="1263147341">
          <w:marLeft w:val="0"/>
          <w:marRight w:val="0"/>
          <w:marTop w:val="0"/>
          <w:marBottom w:val="0"/>
          <w:divBdr>
            <w:top w:val="none" w:sz="0" w:space="0" w:color="auto"/>
            <w:left w:val="none" w:sz="0" w:space="0" w:color="auto"/>
            <w:bottom w:val="none" w:sz="0" w:space="0" w:color="auto"/>
            <w:right w:val="none" w:sz="0" w:space="0" w:color="auto"/>
          </w:divBdr>
          <w:divsChild>
            <w:div w:id="1304241030">
              <w:marLeft w:val="0"/>
              <w:marRight w:val="0"/>
              <w:marTop w:val="0"/>
              <w:marBottom w:val="0"/>
              <w:divBdr>
                <w:top w:val="none" w:sz="0" w:space="0" w:color="auto"/>
                <w:left w:val="none" w:sz="0" w:space="0" w:color="auto"/>
                <w:bottom w:val="none" w:sz="0" w:space="0" w:color="auto"/>
                <w:right w:val="none" w:sz="0" w:space="0" w:color="auto"/>
              </w:divBdr>
            </w:div>
          </w:divsChild>
        </w:div>
        <w:div w:id="1290016256">
          <w:marLeft w:val="0"/>
          <w:marRight w:val="0"/>
          <w:marTop w:val="0"/>
          <w:marBottom w:val="0"/>
          <w:divBdr>
            <w:top w:val="none" w:sz="0" w:space="0" w:color="auto"/>
            <w:left w:val="none" w:sz="0" w:space="0" w:color="auto"/>
            <w:bottom w:val="none" w:sz="0" w:space="0" w:color="auto"/>
            <w:right w:val="none" w:sz="0" w:space="0" w:color="auto"/>
          </w:divBdr>
          <w:divsChild>
            <w:div w:id="1865247386">
              <w:marLeft w:val="0"/>
              <w:marRight w:val="0"/>
              <w:marTop w:val="0"/>
              <w:marBottom w:val="0"/>
              <w:divBdr>
                <w:top w:val="none" w:sz="0" w:space="0" w:color="auto"/>
                <w:left w:val="none" w:sz="0" w:space="0" w:color="auto"/>
                <w:bottom w:val="none" w:sz="0" w:space="0" w:color="auto"/>
                <w:right w:val="none" w:sz="0" w:space="0" w:color="auto"/>
              </w:divBdr>
            </w:div>
          </w:divsChild>
        </w:div>
        <w:div w:id="1299411000">
          <w:marLeft w:val="0"/>
          <w:marRight w:val="0"/>
          <w:marTop w:val="0"/>
          <w:marBottom w:val="0"/>
          <w:divBdr>
            <w:top w:val="none" w:sz="0" w:space="0" w:color="auto"/>
            <w:left w:val="none" w:sz="0" w:space="0" w:color="auto"/>
            <w:bottom w:val="none" w:sz="0" w:space="0" w:color="auto"/>
            <w:right w:val="none" w:sz="0" w:space="0" w:color="auto"/>
          </w:divBdr>
          <w:divsChild>
            <w:div w:id="596325582">
              <w:marLeft w:val="0"/>
              <w:marRight w:val="0"/>
              <w:marTop w:val="0"/>
              <w:marBottom w:val="0"/>
              <w:divBdr>
                <w:top w:val="none" w:sz="0" w:space="0" w:color="auto"/>
                <w:left w:val="none" w:sz="0" w:space="0" w:color="auto"/>
                <w:bottom w:val="none" w:sz="0" w:space="0" w:color="auto"/>
                <w:right w:val="none" w:sz="0" w:space="0" w:color="auto"/>
              </w:divBdr>
            </w:div>
          </w:divsChild>
        </w:div>
        <w:div w:id="1305425282">
          <w:marLeft w:val="0"/>
          <w:marRight w:val="0"/>
          <w:marTop w:val="0"/>
          <w:marBottom w:val="0"/>
          <w:divBdr>
            <w:top w:val="none" w:sz="0" w:space="0" w:color="auto"/>
            <w:left w:val="none" w:sz="0" w:space="0" w:color="auto"/>
            <w:bottom w:val="none" w:sz="0" w:space="0" w:color="auto"/>
            <w:right w:val="none" w:sz="0" w:space="0" w:color="auto"/>
          </w:divBdr>
          <w:divsChild>
            <w:div w:id="1179999591">
              <w:marLeft w:val="0"/>
              <w:marRight w:val="0"/>
              <w:marTop w:val="0"/>
              <w:marBottom w:val="0"/>
              <w:divBdr>
                <w:top w:val="none" w:sz="0" w:space="0" w:color="auto"/>
                <w:left w:val="none" w:sz="0" w:space="0" w:color="auto"/>
                <w:bottom w:val="none" w:sz="0" w:space="0" w:color="auto"/>
                <w:right w:val="none" w:sz="0" w:space="0" w:color="auto"/>
              </w:divBdr>
            </w:div>
          </w:divsChild>
        </w:div>
        <w:div w:id="1326473514">
          <w:marLeft w:val="0"/>
          <w:marRight w:val="0"/>
          <w:marTop w:val="0"/>
          <w:marBottom w:val="0"/>
          <w:divBdr>
            <w:top w:val="none" w:sz="0" w:space="0" w:color="auto"/>
            <w:left w:val="none" w:sz="0" w:space="0" w:color="auto"/>
            <w:bottom w:val="none" w:sz="0" w:space="0" w:color="auto"/>
            <w:right w:val="none" w:sz="0" w:space="0" w:color="auto"/>
          </w:divBdr>
          <w:divsChild>
            <w:div w:id="2143382524">
              <w:marLeft w:val="0"/>
              <w:marRight w:val="0"/>
              <w:marTop w:val="0"/>
              <w:marBottom w:val="0"/>
              <w:divBdr>
                <w:top w:val="none" w:sz="0" w:space="0" w:color="auto"/>
                <w:left w:val="none" w:sz="0" w:space="0" w:color="auto"/>
                <w:bottom w:val="none" w:sz="0" w:space="0" w:color="auto"/>
                <w:right w:val="none" w:sz="0" w:space="0" w:color="auto"/>
              </w:divBdr>
            </w:div>
          </w:divsChild>
        </w:div>
        <w:div w:id="1353605027">
          <w:marLeft w:val="0"/>
          <w:marRight w:val="0"/>
          <w:marTop w:val="0"/>
          <w:marBottom w:val="0"/>
          <w:divBdr>
            <w:top w:val="none" w:sz="0" w:space="0" w:color="auto"/>
            <w:left w:val="none" w:sz="0" w:space="0" w:color="auto"/>
            <w:bottom w:val="none" w:sz="0" w:space="0" w:color="auto"/>
            <w:right w:val="none" w:sz="0" w:space="0" w:color="auto"/>
          </w:divBdr>
          <w:divsChild>
            <w:div w:id="688874839">
              <w:marLeft w:val="0"/>
              <w:marRight w:val="0"/>
              <w:marTop w:val="0"/>
              <w:marBottom w:val="0"/>
              <w:divBdr>
                <w:top w:val="none" w:sz="0" w:space="0" w:color="auto"/>
                <w:left w:val="none" w:sz="0" w:space="0" w:color="auto"/>
                <w:bottom w:val="none" w:sz="0" w:space="0" w:color="auto"/>
                <w:right w:val="none" w:sz="0" w:space="0" w:color="auto"/>
              </w:divBdr>
            </w:div>
          </w:divsChild>
        </w:div>
        <w:div w:id="1358311223">
          <w:marLeft w:val="0"/>
          <w:marRight w:val="0"/>
          <w:marTop w:val="0"/>
          <w:marBottom w:val="0"/>
          <w:divBdr>
            <w:top w:val="none" w:sz="0" w:space="0" w:color="auto"/>
            <w:left w:val="none" w:sz="0" w:space="0" w:color="auto"/>
            <w:bottom w:val="none" w:sz="0" w:space="0" w:color="auto"/>
            <w:right w:val="none" w:sz="0" w:space="0" w:color="auto"/>
          </w:divBdr>
          <w:divsChild>
            <w:div w:id="1705596969">
              <w:marLeft w:val="0"/>
              <w:marRight w:val="0"/>
              <w:marTop w:val="0"/>
              <w:marBottom w:val="0"/>
              <w:divBdr>
                <w:top w:val="none" w:sz="0" w:space="0" w:color="auto"/>
                <w:left w:val="none" w:sz="0" w:space="0" w:color="auto"/>
                <w:bottom w:val="none" w:sz="0" w:space="0" w:color="auto"/>
                <w:right w:val="none" w:sz="0" w:space="0" w:color="auto"/>
              </w:divBdr>
            </w:div>
          </w:divsChild>
        </w:div>
        <w:div w:id="1370957722">
          <w:marLeft w:val="0"/>
          <w:marRight w:val="0"/>
          <w:marTop w:val="0"/>
          <w:marBottom w:val="0"/>
          <w:divBdr>
            <w:top w:val="none" w:sz="0" w:space="0" w:color="auto"/>
            <w:left w:val="none" w:sz="0" w:space="0" w:color="auto"/>
            <w:bottom w:val="none" w:sz="0" w:space="0" w:color="auto"/>
            <w:right w:val="none" w:sz="0" w:space="0" w:color="auto"/>
          </w:divBdr>
          <w:divsChild>
            <w:div w:id="409818550">
              <w:marLeft w:val="0"/>
              <w:marRight w:val="0"/>
              <w:marTop w:val="0"/>
              <w:marBottom w:val="0"/>
              <w:divBdr>
                <w:top w:val="none" w:sz="0" w:space="0" w:color="auto"/>
                <w:left w:val="none" w:sz="0" w:space="0" w:color="auto"/>
                <w:bottom w:val="none" w:sz="0" w:space="0" w:color="auto"/>
                <w:right w:val="none" w:sz="0" w:space="0" w:color="auto"/>
              </w:divBdr>
            </w:div>
          </w:divsChild>
        </w:div>
        <w:div w:id="1374647396">
          <w:marLeft w:val="0"/>
          <w:marRight w:val="0"/>
          <w:marTop w:val="0"/>
          <w:marBottom w:val="0"/>
          <w:divBdr>
            <w:top w:val="none" w:sz="0" w:space="0" w:color="auto"/>
            <w:left w:val="none" w:sz="0" w:space="0" w:color="auto"/>
            <w:bottom w:val="none" w:sz="0" w:space="0" w:color="auto"/>
            <w:right w:val="none" w:sz="0" w:space="0" w:color="auto"/>
          </w:divBdr>
          <w:divsChild>
            <w:div w:id="593171386">
              <w:marLeft w:val="0"/>
              <w:marRight w:val="0"/>
              <w:marTop w:val="0"/>
              <w:marBottom w:val="0"/>
              <w:divBdr>
                <w:top w:val="none" w:sz="0" w:space="0" w:color="auto"/>
                <w:left w:val="none" w:sz="0" w:space="0" w:color="auto"/>
                <w:bottom w:val="none" w:sz="0" w:space="0" w:color="auto"/>
                <w:right w:val="none" w:sz="0" w:space="0" w:color="auto"/>
              </w:divBdr>
            </w:div>
          </w:divsChild>
        </w:div>
        <w:div w:id="1384210693">
          <w:marLeft w:val="0"/>
          <w:marRight w:val="0"/>
          <w:marTop w:val="0"/>
          <w:marBottom w:val="0"/>
          <w:divBdr>
            <w:top w:val="none" w:sz="0" w:space="0" w:color="auto"/>
            <w:left w:val="none" w:sz="0" w:space="0" w:color="auto"/>
            <w:bottom w:val="none" w:sz="0" w:space="0" w:color="auto"/>
            <w:right w:val="none" w:sz="0" w:space="0" w:color="auto"/>
          </w:divBdr>
          <w:divsChild>
            <w:div w:id="1680155629">
              <w:marLeft w:val="0"/>
              <w:marRight w:val="0"/>
              <w:marTop w:val="0"/>
              <w:marBottom w:val="0"/>
              <w:divBdr>
                <w:top w:val="none" w:sz="0" w:space="0" w:color="auto"/>
                <w:left w:val="none" w:sz="0" w:space="0" w:color="auto"/>
                <w:bottom w:val="none" w:sz="0" w:space="0" w:color="auto"/>
                <w:right w:val="none" w:sz="0" w:space="0" w:color="auto"/>
              </w:divBdr>
            </w:div>
          </w:divsChild>
        </w:div>
        <w:div w:id="1393577621">
          <w:marLeft w:val="0"/>
          <w:marRight w:val="0"/>
          <w:marTop w:val="0"/>
          <w:marBottom w:val="0"/>
          <w:divBdr>
            <w:top w:val="none" w:sz="0" w:space="0" w:color="auto"/>
            <w:left w:val="none" w:sz="0" w:space="0" w:color="auto"/>
            <w:bottom w:val="none" w:sz="0" w:space="0" w:color="auto"/>
            <w:right w:val="none" w:sz="0" w:space="0" w:color="auto"/>
          </w:divBdr>
          <w:divsChild>
            <w:div w:id="468865859">
              <w:marLeft w:val="0"/>
              <w:marRight w:val="0"/>
              <w:marTop w:val="0"/>
              <w:marBottom w:val="0"/>
              <w:divBdr>
                <w:top w:val="none" w:sz="0" w:space="0" w:color="auto"/>
                <w:left w:val="none" w:sz="0" w:space="0" w:color="auto"/>
                <w:bottom w:val="none" w:sz="0" w:space="0" w:color="auto"/>
                <w:right w:val="none" w:sz="0" w:space="0" w:color="auto"/>
              </w:divBdr>
            </w:div>
          </w:divsChild>
        </w:div>
        <w:div w:id="1395663372">
          <w:marLeft w:val="0"/>
          <w:marRight w:val="0"/>
          <w:marTop w:val="0"/>
          <w:marBottom w:val="0"/>
          <w:divBdr>
            <w:top w:val="none" w:sz="0" w:space="0" w:color="auto"/>
            <w:left w:val="none" w:sz="0" w:space="0" w:color="auto"/>
            <w:bottom w:val="none" w:sz="0" w:space="0" w:color="auto"/>
            <w:right w:val="none" w:sz="0" w:space="0" w:color="auto"/>
          </w:divBdr>
          <w:divsChild>
            <w:div w:id="1598556510">
              <w:marLeft w:val="0"/>
              <w:marRight w:val="0"/>
              <w:marTop w:val="0"/>
              <w:marBottom w:val="0"/>
              <w:divBdr>
                <w:top w:val="none" w:sz="0" w:space="0" w:color="auto"/>
                <w:left w:val="none" w:sz="0" w:space="0" w:color="auto"/>
                <w:bottom w:val="none" w:sz="0" w:space="0" w:color="auto"/>
                <w:right w:val="none" w:sz="0" w:space="0" w:color="auto"/>
              </w:divBdr>
            </w:div>
          </w:divsChild>
        </w:div>
        <w:div w:id="1455901658">
          <w:marLeft w:val="0"/>
          <w:marRight w:val="0"/>
          <w:marTop w:val="0"/>
          <w:marBottom w:val="0"/>
          <w:divBdr>
            <w:top w:val="none" w:sz="0" w:space="0" w:color="auto"/>
            <w:left w:val="none" w:sz="0" w:space="0" w:color="auto"/>
            <w:bottom w:val="none" w:sz="0" w:space="0" w:color="auto"/>
            <w:right w:val="none" w:sz="0" w:space="0" w:color="auto"/>
          </w:divBdr>
          <w:divsChild>
            <w:div w:id="1219584122">
              <w:marLeft w:val="0"/>
              <w:marRight w:val="0"/>
              <w:marTop w:val="0"/>
              <w:marBottom w:val="0"/>
              <w:divBdr>
                <w:top w:val="none" w:sz="0" w:space="0" w:color="auto"/>
                <w:left w:val="none" w:sz="0" w:space="0" w:color="auto"/>
                <w:bottom w:val="none" w:sz="0" w:space="0" w:color="auto"/>
                <w:right w:val="none" w:sz="0" w:space="0" w:color="auto"/>
              </w:divBdr>
            </w:div>
          </w:divsChild>
        </w:div>
        <w:div w:id="1502893333">
          <w:marLeft w:val="0"/>
          <w:marRight w:val="0"/>
          <w:marTop w:val="0"/>
          <w:marBottom w:val="0"/>
          <w:divBdr>
            <w:top w:val="none" w:sz="0" w:space="0" w:color="auto"/>
            <w:left w:val="none" w:sz="0" w:space="0" w:color="auto"/>
            <w:bottom w:val="none" w:sz="0" w:space="0" w:color="auto"/>
            <w:right w:val="none" w:sz="0" w:space="0" w:color="auto"/>
          </w:divBdr>
          <w:divsChild>
            <w:div w:id="1232764906">
              <w:marLeft w:val="0"/>
              <w:marRight w:val="0"/>
              <w:marTop w:val="0"/>
              <w:marBottom w:val="0"/>
              <w:divBdr>
                <w:top w:val="none" w:sz="0" w:space="0" w:color="auto"/>
                <w:left w:val="none" w:sz="0" w:space="0" w:color="auto"/>
                <w:bottom w:val="none" w:sz="0" w:space="0" w:color="auto"/>
                <w:right w:val="none" w:sz="0" w:space="0" w:color="auto"/>
              </w:divBdr>
            </w:div>
          </w:divsChild>
        </w:div>
        <w:div w:id="1525170190">
          <w:marLeft w:val="0"/>
          <w:marRight w:val="0"/>
          <w:marTop w:val="0"/>
          <w:marBottom w:val="0"/>
          <w:divBdr>
            <w:top w:val="none" w:sz="0" w:space="0" w:color="auto"/>
            <w:left w:val="none" w:sz="0" w:space="0" w:color="auto"/>
            <w:bottom w:val="none" w:sz="0" w:space="0" w:color="auto"/>
            <w:right w:val="none" w:sz="0" w:space="0" w:color="auto"/>
          </w:divBdr>
          <w:divsChild>
            <w:div w:id="1814640556">
              <w:marLeft w:val="0"/>
              <w:marRight w:val="0"/>
              <w:marTop w:val="0"/>
              <w:marBottom w:val="0"/>
              <w:divBdr>
                <w:top w:val="none" w:sz="0" w:space="0" w:color="auto"/>
                <w:left w:val="none" w:sz="0" w:space="0" w:color="auto"/>
                <w:bottom w:val="none" w:sz="0" w:space="0" w:color="auto"/>
                <w:right w:val="none" w:sz="0" w:space="0" w:color="auto"/>
              </w:divBdr>
            </w:div>
          </w:divsChild>
        </w:div>
        <w:div w:id="1526745177">
          <w:marLeft w:val="0"/>
          <w:marRight w:val="0"/>
          <w:marTop w:val="0"/>
          <w:marBottom w:val="0"/>
          <w:divBdr>
            <w:top w:val="none" w:sz="0" w:space="0" w:color="auto"/>
            <w:left w:val="none" w:sz="0" w:space="0" w:color="auto"/>
            <w:bottom w:val="none" w:sz="0" w:space="0" w:color="auto"/>
            <w:right w:val="none" w:sz="0" w:space="0" w:color="auto"/>
          </w:divBdr>
          <w:divsChild>
            <w:div w:id="350842169">
              <w:marLeft w:val="0"/>
              <w:marRight w:val="0"/>
              <w:marTop w:val="0"/>
              <w:marBottom w:val="0"/>
              <w:divBdr>
                <w:top w:val="none" w:sz="0" w:space="0" w:color="auto"/>
                <w:left w:val="none" w:sz="0" w:space="0" w:color="auto"/>
                <w:bottom w:val="none" w:sz="0" w:space="0" w:color="auto"/>
                <w:right w:val="none" w:sz="0" w:space="0" w:color="auto"/>
              </w:divBdr>
            </w:div>
          </w:divsChild>
        </w:div>
        <w:div w:id="1564561827">
          <w:marLeft w:val="0"/>
          <w:marRight w:val="0"/>
          <w:marTop w:val="0"/>
          <w:marBottom w:val="0"/>
          <w:divBdr>
            <w:top w:val="none" w:sz="0" w:space="0" w:color="auto"/>
            <w:left w:val="none" w:sz="0" w:space="0" w:color="auto"/>
            <w:bottom w:val="none" w:sz="0" w:space="0" w:color="auto"/>
            <w:right w:val="none" w:sz="0" w:space="0" w:color="auto"/>
          </w:divBdr>
          <w:divsChild>
            <w:div w:id="1496187957">
              <w:marLeft w:val="0"/>
              <w:marRight w:val="0"/>
              <w:marTop w:val="0"/>
              <w:marBottom w:val="0"/>
              <w:divBdr>
                <w:top w:val="none" w:sz="0" w:space="0" w:color="auto"/>
                <w:left w:val="none" w:sz="0" w:space="0" w:color="auto"/>
                <w:bottom w:val="none" w:sz="0" w:space="0" w:color="auto"/>
                <w:right w:val="none" w:sz="0" w:space="0" w:color="auto"/>
              </w:divBdr>
            </w:div>
          </w:divsChild>
        </w:div>
        <w:div w:id="1572035836">
          <w:marLeft w:val="0"/>
          <w:marRight w:val="0"/>
          <w:marTop w:val="0"/>
          <w:marBottom w:val="0"/>
          <w:divBdr>
            <w:top w:val="none" w:sz="0" w:space="0" w:color="auto"/>
            <w:left w:val="none" w:sz="0" w:space="0" w:color="auto"/>
            <w:bottom w:val="none" w:sz="0" w:space="0" w:color="auto"/>
            <w:right w:val="none" w:sz="0" w:space="0" w:color="auto"/>
          </w:divBdr>
          <w:divsChild>
            <w:div w:id="986208098">
              <w:marLeft w:val="0"/>
              <w:marRight w:val="0"/>
              <w:marTop w:val="0"/>
              <w:marBottom w:val="0"/>
              <w:divBdr>
                <w:top w:val="none" w:sz="0" w:space="0" w:color="auto"/>
                <w:left w:val="none" w:sz="0" w:space="0" w:color="auto"/>
                <w:bottom w:val="none" w:sz="0" w:space="0" w:color="auto"/>
                <w:right w:val="none" w:sz="0" w:space="0" w:color="auto"/>
              </w:divBdr>
            </w:div>
          </w:divsChild>
        </w:div>
        <w:div w:id="1604338404">
          <w:marLeft w:val="0"/>
          <w:marRight w:val="0"/>
          <w:marTop w:val="0"/>
          <w:marBottom w:val="0"/>
          <w:divBdr>
            <w:top w:val="none" w:sz="0" w:space="0" w:color="auto"/>
            <w:left w:val="none" w:sz="0" w:space="0" w:color="auto"/>
            <w:bottom w:val="none" w:sz="0" w:space="0" w:color="auto"/>
            <w:right w:val="none" w:sz="0" w:space="0" w:color="auto"/>
          </w:divBdr>
          <w:divsChild>
            <w:div w:id="1251307604">
              <w:marLeft w:val="0"/>
              <w:marRight w:val="0"/>
              <w:marTop w:val="0"/>
              <w:marBottom w:val="0"/>
              <w:divBdr>
                <w:top w:val="none" w:sz="0" w:space="0" w:color="auto"/>
                <w:left w:val="none" w:sz="0" w:space="0" w:color="auto"/>
                <w:bottom w:val="none" w:sz="0" w:space="0" w:color="auto"/>
                <w:right w:val="none" w:sz="0" w:space="0" w:color="auto"/>
              </w:divBdr>
            </w:div>
          </w:divsChild>
        </w:div>
        <w:div w:id="1658532426">
          <w:marLeft w:val="0"/>
          <w:marRight w:val="0"/>
          <w:marTop w:val="0"/>
          <w:marBottom w:val="0"/>
          <w:divBdr>
            <w:top w:val="none" w:sz="0" w:space="0" w:color="auto"/>
            <w:left w:val="none" w:sz="0" w:space="0" w:color="auto"/>
            <w:bottom w:val="none" w:sz="0" w:space="0" w:color="auto"/>
            <w:right w:val="none" w:sz="0" w:space="0" w:color="auto"/>
          </w:divBdr>
          <w:divsChild>
            <w:div w:id="607929575">
              <w:marLeft w:val="0"/>
              <w:marRight w:val="0"/>
              <w:marTop w:val="0"/>
              <w:marBottom w:val="0"/>
              <w:divBdr>
                <w:top w:val="none" w:sz="0" w:space="0" w:color="auto"/>
                <w:left w:val="none" w:sz="0" w:space="0" w:color="auto"/>
                <w:bottom w:val="none" w:sz="0" w:space="0" w:color="auto"/>
                <w:right w:val="none" w:sz="0" w:space="0" w:color="auto"/>
              </w:divBdr>
            </w:div>
          </w:divsChild>
        </w:div>
        <w:div w:id="1708332583">
          <w:marLeft w:val="0"/>
          <w:marRight w:val="0"/>
          <w:marTop w:val="0"/>
          <w:marBottom w:val="0"/>
          <w:divBdr>
            <w:top w:val="none" w:sz="0" w:space="0" w:color="auto"/>
            <w:left w:val="none" w:sz="0" w:space="0" w:color="auto"/>
            <w:bottom w:val="none" w:sz="0" w:space="0" w:color="auto"/>
            <w:right w:val="none" w:sz="0" w:space="0" w:color="auto"/>
          </w:divBdr>
          <w:divsChild>
            <w:div w:id="735594333">
              <w:marLeft w:val="0"/>
              <w:marRight w:val="0"/>
              <w:marTop w:val="0"/>
              <w:marBottom w:val="0"/>
              <w:divBdr>
                <w:top w:val="none" w:sz="0" w:space="0" w:color="auto"/>
                <w:left w:val="none" w:sz="0" w:space="0" w:color="auto"/>
                <w:bottom w:val="none" w:sz="0" w:space="0" w:color="auto"/>
                <w:right w:val="none" w:sz="0" w:space="0" w:color="auto"/>
              </w:divBdr>
            </w:div>
          </w:divsChild>
        </w:div>
        <w:div w:id="1716545218">
          <w:marLeft w:val="0"/>
          <w:marRight w:val="0"/>
          <w:marTop w:val="0"/>
          <w:marBottom w:val="0"/>
          <w:divBdr>
            <w:top w:val="none" w:sz="0" w:space="0" w:color="auto"/>
            <w:left w:val="none" w:sz="0" w:space="0" w:color="auto"/>
            <w:bottom w:val="none" w:sz="0" w:space="0" w:color="auto"/>
            <w:right w:val="none" w:sz="0" w:space="0" w:color="auto"/>
          </w:divBdr>
          <w:divsChild>
            <w:div w:id="839465123">
              <w:marLeft w:val="0"/>
              <w:marRight w:val="0"/>
              <w:marTop w:val="0"/>
              <w:marBottom w:val="0"/>
              <w:divBdr>
                <w:top w:val="none" w:sz="0" w:space="0" w:color="auto"/>
                <w:left w:val="none" w:sz="0" w:space="0" w:color="auto"/>
                <w:bottom w:val="none" w:sz="0" w:space="0" w:color="auto"/>
                <w:right w:val="none" w:sz="0" w:space="0" w:color="auto"/>
              </w:divBdr>
            </w:div>
          </w:divsChild>
        </w:div>
        <w:div w:id="1719083344">
          <w:marLeft w:val="0"/>
          <w:marRight w:val="0"/>
          <w:marTop w:val="0"/>
          <w:marBottom w:val="0"/>
          <w:divBdr>
            <w:top w:val="none" w:sz="0" w:space="0" w:color="auto"/>
            <w:left w:val="none" w:sz="0" w:space="0" w:color="auto"/>
            <w:bottom w:val="none" w:sz="0" w:space="0" w:color="auto"/>
            <w:right w:val="none" w:sz="0" w:space="0" w:color="auto"/>
          </w:divBdr>
          <w:divsChild>
            <w:div w:id="1087186969">
              <w:marLeft w:val="0"/>
              <w:marRight w:val="0"/>
              <w:marTop w:val="0"/>
              <w:marBottom w:val="0"/>
              <w:divBdr>
                <w:top w:val="none" w:sz="0" w:space="0" w:color="auto"/>
                <w:left w:val="none" w:sz="0" w:space="0" w:color="auto"/>
                <w:bottom w:val="none" w:sz="0" w:space="0" w:color="auto"/>
                <w:right w:val="none" w:sz="0" w:space="0" w:color="auto"/>
              </w:divBdr>
            </w:div>
          </w:divsChild>
        </w:div>
        <w:div w:id="1721243578">
          <w:marLeft w:val="0"/>
          <w:marRight w:val="0"/>
          <w:marTop w:val="0"/>
          <w:marBottom w:val="0"/>
          <w:divBdr>
            <w:top w:val="none" w:sz="0" w:space="0" w:color="auto"/>
            <w:left w:val="none" w:sz="0" w:space="0" w:color="auto"/>
            <w:bottom w:val="none" w:sz="0" w:space="0" w:color="auto"/>
            <w:right w:val="none" w:sz="0" w:space="0" w:color="auto"/>
          </w:divBdr>
          <w:divsChild>
            <w:div w:id="601686659">
              <w:marLeft w:val="0"/>
              <w:marRight w:val="0"/>
              <w:marTop w:val="0"/>
              <w:marBottom w:val="0"/>
              <w:divBdr>
                <w:top w:val="none" w:sz="0" w:space="0" w:color="auto"/>
                <w:left w:val="none" w:sz="0" w:space="0" w:color="auto"/>
                <w:bottom w:val="none" w:sz="0" w:space="0" w:color="auto"/>
                <w:right w:val="none" w:sz="0" w:space="0" w:color="auto"/>
              </w:divBdr>
            </w:div>
          </w:divsChild>
        </w:div>
        <w:div w:id="1723408058">
          <w:marLeft w:val="0"/>
          <w:marRight w:val="0"/>
          <w:marTop w:val="0"/>
          <w:marBottom w:val="0"/>
          <w:divBdr>
            <w:top w:val="none" w:sz="0" w:space="0" w:color="auto"/>
            <w:left w:val="none" w:sz="0" w:space="0" w:color="auto"/>
            <w:bottom w:val="none" w:sz="0" w:space="0" w:color="auto"/>
            <w:right w:val="none" w:sz="0" w:space="0" w:color="auto"/>
          </w:divBdr>
          <w:divsChild>
            <w:div w:id="417481178">
              <w:marLeft w:val="0"/>
              <w:marRight w:val="0"/>
              <w:marTop w:val="0"/>
              <w:marBottom w:val="0"/>
              <w:divBdr>
                <w:top w:val="none" w:sz="0" w:space="0" w:color="auto"/>
                <w:left w:val="none" w:sz="0" w:space="0" w:color="auto"/>
                <w:bottom w:val="none" w:sz="0" w:space="0" w:color="auto"/>
                <w:right w:val="none" w:sz="0" w:space="0" w:color="auto"/>
              </w:divBdr>
            </w:div>
          </w:divsChild>
        </w:div>
        <w:div w:id="1737581084">
          <w:marLeft w:val="0"/>
          <w:marRight w:val="0"/>
          <w:marTop w:val="0"/>
          <w:marBottom w:val="0"/>
          <w:divBdr>
            <w:top w:val="none" w:sz="0" w:space="0" w:color="auto"/>
            <w:left w:val="none" w:sz="0" w:space="0" w:color="auto"/>
            <w:bottom w:val="none" w:sz="0" w:space="0" w:color="auto"/>
            <w:right w:val="none" w:sz="0" w:space="0" w:color="auto"/>
          </w:divBdr>
          <w:divsChild>
            <w:div w:id="594821260">
              <w:marLeft w:val="0"/>
              <w:marRight w:val="0"/>
              <w:marTop w:val="0"/>
              <w:marBottom w:val="0"/>
              <w:divBdr>
                <w:top w:val="none" w:sz="0" w:space="0" w:color="auto"/>
                <w:left w:val="none" w:sz="0" w:space="0" w:color="auto"/>
                <w:bottom w:val="none" w:sz="0" w:space="0" w:color="auto"/>
                <w:right w:val="none" w:sz="0" w:space="0" w:color="auto"/>
              </w:divBdr>
            </w:div>
          </w:divsChild>
        </w:div>
        <w:div w:id="1748383414">
          <w:marLeft w:val="0"/>
          <w:marRight w:val="0"/>
          <w:marTop w:val="0"/>
          <w:marBottom w:val="0"/>
          <w:divBdr>
            <w:top w:val="none" w:sz="0" w:space="0" w:color="auto"/>
            <w:left w:val="none" w:sz="0" w:space="0" w:color="auto"/>
            <w:bottom w:val="none" w:sz="0" w:space="0" w:color="auto"/>
            <w:right w:val="none" w:sz="0" w:space="0" w:color="auto"/>
          </w:divBdr>
          <w:divsChild>
            <w:div w:id="1513685655">
              <w:marLeft w:val="0"/>
              <w:marRight w:val="0"/>
              <w:marTop w:val="0"/>
              <w:marBottom w:val="0"/>
              <w:divBdr>
                <w:top w:val="none" w:sz="0" w:space="0" w:color="auto"/>
                <w:left w:val="none" w:sz="0" w:space="0" w:color="auto"/>
                <w:bottom w:val="none" w:sz="0" w:space="0" w:color="auto"/>
                <w:right w:val="none" w:sz="0" w:space="0" w:color="auto"/>
              </w:divBdr>
            </w:div>
          </w:divsChild>
        </w:div>
        <w:div w:id="1776750112">
          <w:marLeft w:val="0"/>
          <w:marRight w:val="0"/>
          <w:marTop w:val="0"/>
          <w:marBottom w:val="0"/>
          <w:divBdr>
            <w:top w:val="none" w:sz="0" w:space="0" w:color="auto"/>
            <w:left w:val="none" w:sz="0" w:space="0" w:color="auto"/>
            <w:bottom w:val="none" w:sz="0" w:space="0" w:color="auto"/>
            <w:right w:val="none" w:sz="0" w:space="0" w:color="auto"/>
          </w:divBdr>
          <w:divsChild>
            <w:div w:id="2173157">
              <w:marLeft w:val="0"/>
              <w:marRight w:val="0"/>
              <w:marTop w:val="0"/>
              <w:marBottom w:val="0"/>
              <w:divBdr>
                <w:top w:val="none" w:sz="0" w:space="0" w:color="auto"/>
                <w:left w:val="none" w:sz="0" w:space="0" w:color="auto"/>
                <w:bottom w:val="none" w:sz="0" w:space="0" w:color="auto"/>
                <w:right w:val="none" w:sz="0" w:space="0" w:color="auto"/>
              </w:divBdr>
            </w:div>
          </w:divsChild>
        </w:div>
        <w:div w:id="1790008481">
          <w:marLeft w:val="0"/>
          <w:marRight w:val="0"/>
          <w:marTop w:val="0"/>
          <w:marBottom w:val="0"/>
          <w:divBdr>
            <w:top w:val="none" w:sz="0" w:space="0" w:color="auto"/>
            <w:left w:val="none" w:sz="0" w:space="0" w:color="auto"/>
            <w:bottom w:val="none" w:sz="0" w:space="0" w:color="auto"/>
            <w:right w:val="none" w:sz="0" w:space="0" w:color="auto"/>
          </w:divBdr>
          <w:divsChild>
            <w:div w:id="698941900">
              <w:marLeft w:val="0"/>
              <w:marRight w:val="0"/>
              <w:marTop w:val="0"/>
              <w:marBottom w:val="0"/>
              <w:divBdr>
                <w:top w:val="none" w:sz="0" w:space="0" w:color="auto"/>
                <w:left w:val="none" w:sz="0" w:space="0" w:color="auto"/>
                <w:bottom w:val="none" w:sz="0" w:space="0" w:color="auto"/>
                <w:right w:val="none" w:sz="0" w:space="0" w:color="auto"/>
              </w:divBdr>
            </w:div>
          </w:divsChild>
        </w:div>
        <w:div w:id="1793473394">
          <w:marLeft w:val="0"/>
          <w:marRight w:val="0"/>
          <w:marTop w:val="0"/>
          <w:marBottom w:val="0"/>
          <w:divBdr>
            <w:top w:val="none" w:sz="0" w:space="0" w:color="auto"/>
            <w:left w:val="none" w:sz="0" w:space="0" w:color="auto"/>
            <w:bottom w:val="none" w:sz="0" w:space="0" w:color="auto"/>
            <w:right w:val="none" w:sz="0" w:space="0" w:color="auto"/>
          </w:divBdr>
          <w:divsChild>
            <w:div w:id="1788043123">
              <w:marLeft w:val="0"/>
              <w:marRight w:val="0"/>
              <w:marTop w:val="0"/>
              <w:marBottom w:val="0"/>
              <w:divBdr>
                <w:top w:val="none" w:sz="0" w:space="0" w:color="auto"/>
                <w:left w:val="none" w:sz="0" w:space="0" w:color="auto"/>
                <w:bottom w:val="none" w:sz="0" w:space="0" w:color="auto"/>
                <w:right w:val="none" w:sz="0" w:space="0" w:color="auto"/>
              </w:divBdr>
            </w:div>
          </w:divsChild>
        </w:div>
        <w:div w:id="1795825915">
          <w:marLeft w:val="0"/>
          <w:marRight w:val="0"/>
          <w:marTop w:val="0"/>
          <w:marBottom w:val="0"/>
          <w:divBdr>
            <w:top w:val="none" w:sz="0" w:space="0" w:color="auto"/>
            <w:left w:val="none" w:sz="0" w:space="0" w:color="auto"/>
            <w:bottom w:val="none" w:sz="0" w:space="0" w:color="auto"/>
            <w:right w:val="none" w:sz="0" w:space="0" w:color="auto"/>
          </w:divBdr>
          <w:divsChild>
            <w:div w:id="1839419687">
              <w:marLeft w:val="0"/>
              <w:marRight w:val="0"/>
              <w:marTop w:val="0"/>
              <w:marBottom w:val="0"/>
              <w:divBdr>
                <w:top w:val="none" w:sz="0" w:space="0" w:color="auto"/>
                <w:left w:val="none" w:sz="0" w:space="0" w:color="auto"/>
                <w:bottom w:val="none" w:sz="0" w:space="0" w:color="auto"/>
                <w:right w:val="none" w:sz="0" w:space="0" w:color="auto"/>
              </w:divBdr>
            </w:div>
          </w:divsChild>
        </w:div>
        <w:div w:id="1815022525">
          <w:marLeft w:val="0"/>
          <w:marRight w:val="0"/>
          <w:marTop w:val="0"/>
          <w:marBottom w:val="0"/>
          <w:divBdr>
            <w:top w:val="none" w:sz="0" w:space="0" w:color="auto"/>
            <w:left w:val="none" w:sz="0" w:space="0" w:color="auto"/>
            <w:bottom w:val="none" w:sz="0" w:space="0" w:color="auto"/>
            <w:right w:val="none" w:sz="0" w:space="0" w:color="auto"/>
          </w:divBdr>
          <w:divsChild>
            <w:div w:id="1855921010">
              <w:marLeft w:val="0"/>
              <w:marRight w:val="0"/>
              <w:marTop w:val="0"/>
              <w:marBottom w:val="0"/>
              <w:divBdr>
                <w:top w:val="none" w:sz="0" w:space="0" w:color="auto"/>
                <w:left w:val="none" w:sz="0" w:space="0" w:color="auto"/>
                <w:bottom w:val="none" w:sz="0" w:space="0" w:color="auto"/>
                <w:right w:val="none" w:sz="0" w:space="0" w:color="auto"/>
              </w:divBdr>
            </w:div>
          </w:divsChild>
        </w:div>
        <w:div w:id="1826970418">
          <w:marLeft w:val="0"/>
          <w:marRight w:val="0"/>
          <w:marTop w:val="0"/>
          <w:marBottom w:val="0"/>
          <w:divBdr>
            <w:top w:val="none" w:sz="0" w:space="0" w:color="auto"/>
            <w:left w:val="none" w:sz="0" w:space="0" w:color="auto"/>
            <w:bottom w:val="none" w:sz="0" w:space="0" w:color="auto"/>
            <w:right w:val="none" w:sz="0" w:space="0" w:color="auto"/>
          </w:divBdr>
          <w:divsChild>
            <w:div w:id="1392458786">
              <w:marLeft w:val="0"/>
              <w:marRight w:val="0"/>
              <w:marTop w:val="0"/>
              <w:marBottom w:val="0"/>
              <w:divBdr>
                <w:top w:val="none" w:sz="0" w:space="0" w:color="auto"/>
                <w:left w:val="none" w:sz="0" w:space="0" w:color="auto"/>
                <w:bottom w:val="none" w:sz="0" w:space="0" w:color="auto"/>
                <w:right w:val="none" w:sz="0" w:space="0" w:color="auto"/>
              </w:divBdr>
            </w:div>
          </w:divsChild>
        </w:div>
        <w:div w:id="1837259725">
          <w:marLeft w:val="0"/>
          <w:marRight w:val="0"/>
          <w:marTop w:val="0"/>
          <w:marBottom w:val="0"/>
          <w:divBdr>
            <w:top w:val="none" w:sz="0" w:space="0" w:color="auto"/>
            <w:left w:val="none" w:sz="0" w:space="0" w:color="auto"/>
            <w:bottom w:val="none" w:sz="0" w:space="0" w:color="auto"/>
            <w:right w:val="none" w:sz="0" w:space="0" w:color="auto"/>
          </w:divBdr>
          <w:divsChild>
            <w:div w:id="1968929119">
              <w:marLeft w:val="0"/>
              <w:marRight w:val="0"/>
              <w:marTop w:val="0"/>
              <w:marBottom w:val="0"/>
              <w:divBdr>
                <w:top w:val="none" w:sz="0" w:space="0" w:color="auto"/>
                <w:left w:val="none" w:sz="0" w:space="0" w:color="auto"/>
                <w:bottom w:val="none" w:sz="0" w:space="0" w:color="auto"/>
                <w:right w:val="none" w:sz="0" w:space="0" w:color="auto"/>
              </w:divBdr>
            </w:div>
          </w:divsChild>
        </w:div>
        <w:div w:id="1915778296">
          <w:marLeft w:val="0"/>
          <w:marRight w:val="0"/>
          <w:marTop w:val="0"/>
          <w:marBottom w:val="0"/>
          <w:divBdr>
            <w:top w:val="none" w:sz="0" w:space="0" w:color="auto"/>
            <w:left w:val="none" w:sz="0" w:space="0" w:color="auto"/>
            <w:bottom w:val="none" w:sz="0" w:space="0" w:color="auto"/>
            <w:right w:val="none" w:sz="0" w:space="0" w:color="auto"/>
          </w:divBdr>
          <w:divsChild>
            <w:div w:id="2140873406">
              <w:marLeft w:val="0"/>
              <w:marRight w:val="0"/>
              <w:marTop w:val="0"/>
              <w:marBottom w:val="0"/>
              <w:divBdr>
                <w:top w:val="none" w:sz="0" w:space="0" w:color="auto"/>
                <w:left w:val="none" w:sz="0" w:space="0" w:color="auto"/>
                <w:bottom w:val="none" w:sz="0" w:space="0" w:color="auto"/>
                <w:right w:val="none" w:sz="0" w:space="0" w:color="auto"/>
              </w:divBdr>
            </w:div>
          </w:divsChild>
        </w:div>
        <w:div w:id="1954438869">
          <w:marLeft w:val="0"/>
          <w:marRight w:val="0"/>
          <w:marTop w:val="0"/>
          <w:marBottom w:val="0"/>
          <w:divBdr>
            <w:top w:val="none" w:sz="0" w:space="0" w:color="auto"/>
            <w:left w:val="none" w:sz="0" w:space="0" w:color="auto"/>
            <w:bottom w:val="none" w:sz="0" w:space="0" w:color="auto"/>
            <w:right w:val="none" w:sz="0" w:space="0" w:color="auto"/>
          </w:divBdr>
          <w:divsChild>
            <w:div w:id="1311783479">
              <w:marLeft w:val="0"/>
              <w:marRight w:val="0"/>
              <w:marTop w:val="0"/>
              <w:marBottom w:val="0"/>
              <w:divBdr>
                <w:top w:val="none" w:sz="0" w:space="0" w:color="auto"/>
                <w:left w:val="none" w:sz="0" w:space="0" w:color="auto"/>
                <w:bottom w:val="none" w:sz="0" w:space="0" w:color="auto"/>
                <w:right w:val="none" w:sz="0" w:space="0" w:color="auto"/>
              </w:divBdr>
            </w:div>
          </w:divsChild>
        </w:div>
        <w:div w:id="1958102624">
          <w:marLeft w:val="0"/>
          <w:marRight w:val="0"/>
          <w:marTop w:val="0"/>
          <w:marBottom w:val="0"/>
          <w:divBdr>
            <w:top w:val="none" w:sz="0" w:space="0" w:color="auto"/>
            <w:left w:val="none" w:sz="0" w:space="0" w:color="auto"/>
            <w:bottom w:val="none" w:sz="0" w:space="0" w:color="auto"/>
            <w:right w:val="none" w:sz="0" w:space="0" w:color="auto"/>
          </w:divBdr>
          <w:divsChild>
            <w:div w:id="1574972509">
              <w:marLeft w:val="0"/>
              <w:marRight w:val="0"/>
              <w:marTop w:val="0"/>
              <w:marBottom w:val="0"/>
              <w:divBdr>
                <w:top w:val="none" w:sz="0" w:space="0" w:color="auto"/>
                <w:left w:val="none" w:sz="0" w:space="0" w:color="auto"/>
                <w:bottom w:val="none" w:sz="0" w:space="0" w:color="auto"/>
                <w:right w:val="none" w:sz="0" w:space="0" w:color="auto"/>
              </w:divBdr>
            </w:div>
          </w:divsChild>
        </w:div>
        <w:div w:id="1985499657">
          <w:marLeft w:val="0"/>
          <w:marRight w:val="0"/>
          <w:marTop w:val="0"/>
          <w:marBottom w:val="0"/>
          <w:divBdr>
            <w:top w:val="none" w:sz="0" w:space="0" w:color="auto"/>
            <w:left w:val="none" w:sz="0" w:space="0" w:color="auto"/>
            <w:bottom w:val="none" w:sz="0" w:space="0" w:color="auto"/>
            <w:right w:val="none" w:sz="0" w:space="0" w:color="auto"/>
          </w:divBdr>
          <w:divsChild>
            <w:div w:id="1239753637">
              <w:marLeft w:val="0"/>
              <w:marRight w:val="0"/>
              <w:marTop w:val="0"/>
              <w:marBottom w:val="0"/>
              <w:divBdr>
                <w:top w:val="none" w:sz="0" w:space="0" w:color="auto"/>
                <w:left w:val="none" w:sz="0" w:space="0" w:color="auto"/>
                <w:bottom w:val="none" w:sz="0" w:space="0" w:color="auto"/>
                <w:right w:val="none" w:sz="0" w:space="0" w:color="auto"/>
              </w:divBdr>
            </w:div>
          </w:divsChild>
        </w:div>
        <w:div w:id="1994138477">
          <w:marLeft w:val="0"/>
          <w:marRight w:val="0"/>
          <w:marTop w:val="0"/>
          <w:marBottom w:val="0"/>
          <w:divBdr>
            <w:top w:val="none" w:sz="0" w:space="0" w:color="auto"/>
            <w:left w:val="none" w:sz="0" w:space="0" w:color="auto"/>
            <w:bottom w:val="none" w:sz="0" w:space="0" w:color="auto"/>
            <w:right w:val="none" w:sz="0" w:space="0" w:color="auto"/>
          </w:divBdr>
          <w:divsChild>
            <w:div w:id="2109614012">
              <w:marLeft w:val="0"/>
              <w:marRight w:val="0"/>
              <w:marTop w:val="0"/>
              <w:marBottom w:val="0"/>
              <w:divBdr>
                <w:top w:val="none" w:sz="0" w:space="0" w:color="auto"/>
                <w:left w:val="none" w:sz="0" w:space="0" w:color="auto"/>
                <w:bottom w:val="none" w:sz="0" w:space="0" w:color="auto"/>
                <w:right w:val="none" w:sz="0" w:space="0" w:color="auto"/>
              </w:divBdr>
            </w:div>
          </w:divsChild>
        </w:div>
        <w:div w:id="1999577016">
          <w:marLeft w:val="0"/>
          <w:marRight w:val="0"/>
          <w:marTop w:val="0"/>
          <w:marBottom w:val="0"/>
          <w:divBdr>
            <w:top w:val="none" w:sz="0" w:space="0" w:color="auto"/>
            <w:left w:val="none" w:sz="0" w:space="0" w:color="auto"/>
            <w:bottom w:val="none" w:sz="0" w:space="0" w:color="auto"/>
            <w:right w:val="none" w:sz="0" w:space="0" w:color="auto"/>
          </w:divBdr>
          <w:divsChild>
            <w:div w:id="970329455">
              <w:marLeft w:val="0"/>
              <w:marRight w:val="0"/>
              <w:marTop w:val="0"/>
              <w:marBottom w:val="0"/>
              <w:divBdr>
                <w:top w:val="none" w:sz="0" w:space="0" w:color="auto"/>
                <w:left w:val="none" w:sz="0" w:space="0" w:color="auto"/>
                <w:bottom w:val="none" w:sz="0" w:space="0" w:color="auto"/>
                <w:right w:val="none" w:sz="0" w:space="0" w:color="auto"/>
              </w:divBdr>
            </w:div>
          </w:divsChild>
        </w:div>
        <w:div w:id="2016028886">
          <w:marLeft w:val="0"/>
          <w:marRight w:val="0"/>
          <w:marTop w:val="0"/>
          <w:marBottom w:val="0"/>
          <w:divBdr>
            <w:top w:val="none" w:sz="0" w:space="0" w:color="auto"/>
            <w:left w:val="none" w:sz="0" w:space="0" w:color="auto"/>
            <w:bottom w:val="none" w:sz="0" w:space="0" w:color="auto"/>
            <w:right w:val="none" w:sz="0" w:space="0" w:color="auto"/>
          </w:divBdr>
          <w:divsChild>
            <w:div w:id="602804385">
              <w:marLeft w:val="0"/>
              <w:marRight w:val="0"/>
              <w:marTop w:val="0"/>
              <w:marBottom w:val="0"/>
              <w:divBdr>
                <w:top w:val="none" w:sz="0" w:space="0" w:color="auto"/>
                <w:left w:val="none" w:sz="0" w:space="0" w:color="auto"/>
                <w:bottom w:val="none" w:sz="0" w:space="0" w:color="auto"/>
                <w:right w:val="none" w:sz="0" w:space="0" w:color="auto"/>
              </w:divBdr>
            </w:div>
          </w:divsChild>
        </w:div>
        <w:div w:id="2032337269">
          <w:marLeft w:val="0"/>
          <w:marRight w:val="0"/>
          <w:marTop w:val="0"/>
          <w:marBottom w:val="0"/>
          <w:divBdr>
            <w:top w:val="none" w:sz="0" w:space="0" w:color="auto"/>
            <w:left w:val="none" w:sz="0" w:space="0" w:color="auto"/>
            <w:bottom w:val="none" w:sz="0" w:space="0" w:color="auto"/>
            <w:right w:val="none" w:sz="0" w:space="0" w:color="auto"/>
          </w:divBdr>
          <w:divsChild>
            <w:div w:id="1473017904">
              <w:marLeft w:val="0"/>
              <w:marRight w:val="0"/>
              <w:marTop w:val="0"/>
              <w:marBottom w:val="0"/>
              <w:divBdr>
                <w:top w:val="none" w:sz="0" w:space="0" w:color="auto"/>
                <w:left w:val="none" w:sz="0" w:space="0" w:color="auto"/>
                <w:bottom w:val="none" w:sz="0" w:space="0" w:color="auto"/>
                <w:right w:val="none" w:sz="0" w:space="0" w:color="auto"/>
              </w:divBdr>
            </w:div>
          </w:divsChild>
        </w:div>
        <w:div w:id="2056929451">
          <w:marLeft w:val="0"/>
          <w:marRight w:val="0"/>
          <w:marTop w:val="0"/>
          <w:marBottom w:val="0"/>
          <w:divBdr>
            <w:top w:val="none" w:sz="0" w:space="0" w:color="auto"/>
            <w:left w:val="none" w:sz="0" w:space="0" w:color="auto"/>
            <w:bottom w:val="none" w:sz="0" w:space="0" w:color="auto"/>
            <w:right w:val="none" w:sz="0" w:space="0" w:color="auto"/>
          </w:divBdr>
          <w:divsChild>
            <w:div w:id="1112288152">
              <w:marLeft w:val="0"/>
              <w:marRight w:val="0"/>
              <w:marTop w:val="0"/>
              <w:marBottom w:val="0"/>
              <w:divBdr>
                <w:top w:val="none" w:sz="0" w:space="0" w:color="auto"/>
                <w:left w:val="none" w:sz="0" w:space="0" w:color="auto"/>
                <w:bottom w:val="none" w:sz="0" w:space="0" w:color="auto"/>
                <w:right w:val="none" w:sz="0" w:space="0" w:color="auto"/>
              </w:divBdr>
            </w:div>
          </w:divsChild>
        </w:div>
        <w:div w:id="2067491077">
          <w:marLeft w:val="0"/>
          <w:marRight w:val="0"/>
          <w:marTop w:val="0"/>
          <w:marBottom w:val="0"/>
          <w:divBdr>
            <w:top w:val="none" w:sz="0" w:space="0" w:color="auto"/>
            <w:left w:val="none" w:sz="0" w:space="0" w:color="auto"/>
            <w:bottom w:val="none" w:sz="0" w:space="0" w:color="auto"/>
            <w:right w:val="none" w:sz="0" w:space="0" w:color="auto"/>
          </w:divBdr>
          <w:divsChild>
            <w:div w:id="1203859760">
              <w:marLeft w:val="0"/>
              <w:marRight w:val="0"/>
              <w:marTop w:val="0"/>
              <w:marBottom w:val="0"/>
              <w:divBdr>
                <w:top w:val="none" w:sz="0" w:space="0" w:color="auto"/>
                <w:left w:val="none" w:sz="0" w:space="0" w:color="auto"/>
                <w:bottom w:val="none" w:sz="0" w:space="0" w:color="auto"/>
                <w:right w:val="none" w:sz="0" w:space="0" w:color="auto"/>
              </w:divBdr>
            </w:div>
          </w:divsChild>
        </w:div>
        <w:div w:id="2069835207">
          <w:marLeft w:val="0"/>
          <w:marRight w:val="0"/>
          <w:marTop w:val="0"/>
          <w:marBottom w:val="0"/>
          <w:divBdr>
            <w:top w:val="none" w:sz="0" w:space="0" w:color="auto"/>
            <w:left w:val="none" w:sz="0" w:space="0" w:color="auto"/>
            <w:bottom w:val="none" w:sz="0" w:space="0" w:color="auto"/>
            <w:right w:val="none" w:sz="0" w:space="0" w:color="auto"/>
          </w:divBdr>
          <w:divsChild>
            <w:div w:id="1803884022">
              <w:marLeft w:val="0"/>
              <w:marRight w:val="0"/>
              <w:marTop w:val="0"/>
              <w:marBottom w:val="0"/>
              <w:divBdr>
                <w:top w:val="none" w:sz="0" w:space="0" w:color="auto"/>
                <w:left w:val="none" w:sz="0" w:space="0" w:color="auto"/>
                <w:bottom w:val="none" w:sz="0" w:space="0" w:color="auto"/>
                <w:right w:val="none" w:sz="0" w:space="0" w:color="auto"/>
              </w:divBdr>
            </w:div>
          </w:divsChild>
        </w:div>
        <w:div w:id="2109041621">
          <w:marLeft w:val="0"/>
          <w:marRight w:val="0"/>
          <w:marTop w:val="0"/>
          <w:marBottom w:val="0"/>
          <w:divBdr>
            <w:top w:val="none" w:sz="0" w:space="0" w:color="auto"/>
            <w:left w:val="none" w:sz="0" w:space="0" w:color="auto"/>
            <w:bottom w:val="none" w:sz="0" w:space="0" w:color="auto"/>
            <w:right w:val="none" w:sz="0" w:space="0" w:color="auto"/>
          </w:divBdr>
          <w:divsChild>
            <w:div w:id="531578801">
              <w:marLeft w:val="0"/>
              <w:marRight w:val="0"/>
              <w:marTop w:val="0"/>
              <w:marBottom w:val="0"/>
              <w:divBdr>
                <w:top w:val="none" w:sz="0" w:space="0" w:color="auto"/>
                <w:left w:val="none" w:sz="0" w:space="0" w:color="auto"/>
                <w:bottom w:val="none" w:sz="0" w:space="0" w:color="auto"/>
                <w:right w:val="none" w:sz="0" w:space="0" w:color="auto"/>
              </w:divBdr>
            </w:div>
          </w:divsChild>
        </w:div>
        <w:div w:id="2127265067">
          <w:marLeft w:val="0"/>
          <w:marRight w:val="0"/>
          <w:marTop w:val="0"/>
          <w:marBottom w:val="0"/>
          <w:divBdr>
            <w:top w:val="none" w:sz="0" w:space="0" w:color="auto"/>
            <w:left w:val="none" w:sz="0" w:space="0" w:color="auto"/>
            <w:bottom w:val="none" w:sz="0" w:space="0" w:color="auto"/>
            <w:right w:val="none" w:sz="0" w:space="0" w:color="auto"/>
          </w:divBdr>
          <w:divsChild>
            <w:div w:id="18690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02781">
      <w:bodyDiv w:val="1"/>
      <w:marLeft w:val="0"/>
      <w:marRight w:val="0"/>
      <w:marTop w:val="0"/>
      <w:marBottom w:val="0"/>
      <w:divBdr>
        <w:top w:val="none" w:sz="0" w:space="0" w:color="auto"/>
        <w:left w:val="none" w:sz="0" w:space="0" w:color="auto"/>
        <w:bottom w:val="none" w:sz="0" w:space="0" w:color="auto"/>
        <w:right w:val="none" w:sz="0" w:space="0" w:color="auto"/>
      </w:divBdr>
    </w:div>
    <w:div w:id="1383095922">
      <w:bodyDiv w:val="1"/>
      <w:marLeft w:val="0"/>
      <w:marRight w:val="0"/>
      <w:marTop w:val="0"/>
      <w:marBottom w:val="0"/>
      <w:divBdr>
        <w:top w:val="none" w:sz="0" w:space="0" w:color="auto"/>
        <w:left w:val="none" w:sz="0" w:space="0" w:color="auto"/>
        <w:bottom w:val="none" w:sz="0" w:space="0" w:color="auto"/>
        <w:right w:val="none" w:sz="0" w:space="0" w:color="auto"/>
      </w:divBdr>
    </w:div>
    <w:div w:id="1414622512">
      <w:bodyDiv w:val="1"/>
      <w:marLeft w:val="0"/>
      <w:marRight w:val="0"/>
      <w:marTop w:val="0"/>
      <w:marBottom w:val="0"/>
      <w:divBdr>
        <w:top w:val="none" w:sz="0" w:space="0" w:color="auto"/>
        <w:left w:val="none" w:sz="0" w:space="0" w:color="auto"/>
        <w:bottom w:val="none" w:sz="0" w:space="0" w:color="auto"/>
        <w:right w:val="none" w:sz="0" w:space="0" w:color="auto"/>
      </w:divBdr>
    </w:div>
    <w:div w:id="1445465475">
      <w:bodyDiv w:val="1"/>
      <w:marLeft w:val="0"/>
      <w:marRight w:val="0"/>
      <w:marTop w:val="0"/>
      <w:marBottom w:val="0"/>
      <w:divBdr>
        <w:top w:val="none" w:sz="0" w:space="0" w:color="auto"/>
        <w:left w:val="none" w:sz="0" w:space="0" w:color="auto"/>
        <w:bottom w:val="none" w:sz="0" w:space="0" w:color="auto"/>
        <w:right w:val="none" w:sz="0" w:space="0" w:color="auto"/>
      </w:divBdr>
    </w:div>
    <w:div w:id="1452943453">
      <w:bodyDiv w:val="1"/>
      <w:marLeft w:val="0"/>
      <w:marRight w:val="0"/>
      <w:marTop w:val="0"/>
      <w:marBottom w:val="0"/>
      <w:divBdr>
        <w:top w:val="none" w:sz="0" w:space="0" w:color="auto"/>
        <w:left w:val="none" w:sz="0" w:space="0" w:color="auto"/>
        <w:bottom w:val="none" w:sz="0" w:space="0" w:color="auto"/>
        <w:right w:val="none" w:sz="0" w:space="0" w:color="auto"/>
      </w:divBdr>
    </w:div>
    <w:div w:id="1489974585">
      <w:bodyDiv w:val="1"/>
      <w:marLeft w:val="0"/>
      <w:marRight w:val="0"/>
      <w:marTop w:val="0"/>
      <w:marBottom w:val="0"/>
      <w:divBdr>
        <w:top w:val="none" w:sz="0" w:space="0" w:color="auto"/>
        <w:left w:val="none" w:sz="0" w:space="0" w:color="auto"/>
        <w:bottom w:val="none" w:sz="0" w:space="0" w:color="auto"/>
        <w:right w:val="none" w:sz="0" w:space="0" w:color="auto"/>
      </w:divBdr>
      <w:divsChild>
        <w:div w:id="3481351">
          <w:marLeft w:val="0"/>
          <w:marRight w:val="0"/>
          <w:marTop w:val="0"/>
          <w:marBottom w:val="0"/>
          <w:divBdr>
            <w:top w:val="none" w:sz="0" w:space="0" w:color="auto"/>
            <w:left w:val="none" w:sz="0" w:space="0" w:color="auto"/>
            <w:bottom w:val="none" w:sz="0" w:space="0" w:color="auto"/>
            <w:right w:val="none" w:sz="0" w:space="0" w:color="auto"/>
          </w:divBdr>
          <w:divsChild>
            <w:div w:id="1153522344">
              <w:marLeft w:val="0"/>
              <w:marRight w:val="0"/>
              <w:marTop w:val="0"/>
              <w:marBottom w:val="0"/>
              <w:divBdr>
                <w:top w:val="none" w:sz="0" w:space="0" w:color="auto"/>
                <w:left w:val="none" w:sz="0" w:space="0" w:color="auto"/>
                <w:bottom w:val="none" w:sz="0" w:space="0" w:color="auto"/>
                <w:right w:val="none" w:sz="0" w:space="0" w:color="auto"/>
              </w:divBdr>
            </w:div>
          </w:divsChild>
        </w:div>
        <w:div w:id="6566528">
          <w:marLeft w:val="0"/>
          <w:marRight w:val="0"/>
          <w:marTop w:val="0"/>
          <w:marBottom w:val="0"/>
          <w:divBdr>
            <w:top w:val="none" w:sz="0" w:space="0" w:color="auto"/>
            <w:left w:val="none" w:sz="0" w:space="0" w:color="auto"/>
            <w:bottom w:val="none" w:sz="0" w:space="0" w:color="auto"/>
            <w:right w:val="none" w:sz="0" w:space="0" w:color="auto"/>
          </w:divBdr>
          <w:divsChild>
            <w:div w:id="915280764">
              <w:marLeft w:val="0"/>
              <w:marRight w:val="0"/>
              <w:marTop w:val="0"/>
              <w:marBottom w:val="0"/>
              <w:divBdr>
                <w:top w:val="none" w:sz="0" w:space="0" w:color="auto"/>
                <w:left w:val="none" w:sz="0" w:space="0" w:color="auto"/>
                <w:bottom w:val="none" w:sz="0" w:space="0" w:color="auto"/>
                <w:right w:val="none" w:sz="0" w:space="0" w:color="auto"/>
              </w:divBdr>
            </w:div>
          </w:divsChild>
        </w:div>
        <w:div w:id="31617664">
          <w:marLeft w:val="0"/>
          <w:marRight w:val="0"/>
          <w:marTop w:val="0"/>
          <w:marBottom w:val="0"/>
          <w:divBdr>
            <w:top w:val="none" w:sz="0" w:space="0" w:color="auto"/>
            <w:left w:val="none" w:sz="0" w:space="0" w:color="auto"/>
            <w:bottom w:val="none" w:sz="0" w:space="0" w:color="auto"/>
            <w:right w:val="none" w:sz="0" w:space="0" w:color="auto"/>
          </w:divBdr>
          <w:divsChild>
            <w:div w:id="878593616">
              <w:marLeft w:val="0"/>
              <w:marRight w:val="0"/>
              <w:marTop w:val="0"/>
              <w:marBottom w:val="0"/>
              <w:divBdr>
                <w:top w:val="none" w:sz="0" w:space="0" w:color="auto"/>
                <w:left w:val="none" w:sz="0" w:space="0" w:color="auto"/>
                <w:bottom w:val="none" w:sz="0" w:space="0" w:color="auto"/>
                <w:right w:val="none" w:sz="0" w:space="0" w:color="auto"/>
              </w:divBdr>
            </w:div>
          </w:divsChild>
        </w:div>
        <w:div w:id="38748910">
          <w:marLeft w:val="0"/>
          <w:marRight w:val="0"/>
          <w:marTop w:val="0"/>
          <w:marBottom w:val="0"/>
          <w:divBdr>
            <w:top w:val="none" w:sz="0" w:space="0" w:color="auto"/>
            <w:left w:val="none" w:sz="0" w:space="0" w:color="auto"/>
            <w:bottom w:val="none" w:sz="0" w:space="0" w:color="auto"/>
            <w:right w:val="none" w:sz="0" w:space="0" w:color="auto"/>
          </w:divBdr>
          <w:divsChild>
            <w:div w:id="2133748690">
              <w:marLeft w:val="0"/>
              <w:marRight w:val="0"/>
              <w:marTop w:val="0"/>
              <w:marBottom w:val="0"/>
              <w:divBdr>
                <w:top w:val="none" w:sz="0" w:space="0" w:color="auto"/>
                <w:left w:val="none" w:sz="0" w:space="0" w:color="auto"/>
                <w:bottom w:val="none" w:sz="0" w:space="0" w:color="auto"/>
                <w:right w:val="none" w:sz="0" w:space="0" w:color="auto"/>
              </w:divBdr>
            </w:div>
          </w:divsChild>
        </w:div>
        <w:div w:id="62603722">
          <w:marLeft w:val="0"/>
          <w:marRight w:val="0"/>
          <w:marTop w:val="0"/>
          <w:marBottom w:val="0"/>
          <w:divBdr>
            <w:top w:val="none" w:sz="0" w:space="0" w:color="auto"/>
            <w:left w:val="none" w:sz="0" w:space="0" w:color="auto"/>
            <w:bottom w:val="none" w:sz="0" w:space="0" w:color="auto"/>
            <w:right w:val="none" w:sz="0" w:space="0" w:color="auto"/>
          </w:divBdr>
          <w:divsChild>
            <w:div w:id="1194882770">
              <w:marLeft w:val="0"/>
              <w:marRight w:val="0"/>
              <w:marTop w:val="0"/>
              <w:marBottom w:val="0"/>
              <w:divBdr>
                <w:top w:val="none" w:sz="0" w:space="0" w:color="auto"/>
                <w:left w:val="none" w:sz="0" w:space="0" w:color="auto"/>
                <w:bottom w:val="none" w:sz="0" w:space="0" w:color="auto"/>
                <w:right w:val="none" w:sz="0" w:space="0" w:color="auto"/>
              </w:divBdr>
            </w:div>
          </w:divsChild>
        </w:div>
        <w:div w:id="81223960">
          <w:marLeft w:val="0"/>
          <w:marRight w:val="0"/>
          <w:marTop w:val="0"/>
          <w:marBottom w:val="0"/>
          <w:divBdr>
            <w:top w:val="none" w:sz="0" w:space="0" w:color="auto"/>
            <w:left w:val="none" w:sz="0" w:space="0" w:color="auto"/>
            <w:bottom w:val="none" w:sz="0" w:space="0" w:color="auto"/>
            <w:right w:val="none" w:sz="0" w:space="0" w:color="auto"/>
          </w:divBdr>
          <w:divsChild>
            <w:div w:id="370495097">
              <w:marLeft w:val="0"/>
              <w:marRight w:val="0"/>
              <w:marTop w:val="0"/>
              <w:marBottom w:val="0"/>
              <w:divBdr>
                <w:top w:val="none" w:sz="0" w:space="0" w:color="auto"/>
                <w:left w:val="none" w:sz="0" w:space="0" w:color="auto"/>
                <w:bottom w:val="none" w:sz="0" w:space="0" w:color="auto"/>
                <w:right w:val="none" w:sz="0" w:space="0" w:color="auto"/>
              </w:divBdr>
            </w:div>
          </w:divsChild>
        </w:div>
        <w:div w:id="99643212">
          <w:marLeft w:val="0"/>
          <w:marRight w:val="0"/>
          <w:marTop w:val="0"/>
          <w:marBottom w:val="0"/>
          <w:divBdr>
            <w:top w:val="none" w:sz="0" w:space="0" w:color="auto"/>
            <w:left w:val="none" w:sz="0" w:space="0" w:color="auto"/>
            <w:bottom w:val="none" w:sz="0" w:space="0" w:color="auto"/>
            <w:right w:val="none" w:sz="0" w:space="0" w:color="auto"/>
          </w:divBdr>
          <w:divsChild>
            <w:div w:id="140855084">
              <w:marLeft w:val="0"/>
              <w:marRight w:val="0"/>
              <w:marTop w:val="0"/>
              <w:marBottom w:val="0"/>
              <w:divBdr>
                <w:top w:val="none" w:sz="0" w:space="0" w:color="auto"/>
                <w:left w:val="none" w:sz="0" w:space="0" w:color="auto"/>
                <w:bottom w:val="none" w:sz="0" w:space="0" w:color="auto"/>
                <w:right w:val="none" w:sz="0" w:space="0" w:color="auto"/>
              </w:divBdr>
            </w:div>
          </w:divsChild>
        </w:div>
        <w:div w:id="111750757">
          <w:marLeft w:val="0"/>
          <w:marRight w:val="0"/>
          <w:marTop w:val="0"/>
          <w:marBottom w:val="0"/>
          <w:divBdr>
            <w:top w:val="none" w:sz="0" w:space="0" w:color="auto"/>
            <w:left w:val="none" w:sz="0" w:space="0" w:color="auto"/>
            <w:bottom w:val="none" w:sz="0" w:space="0" w:color="auto"/>
            <w:right w:val="none" w:sz="0" w:space="0" w:color="auto"/>
          </w:divBdr>
          <w:divsChild>
            <w:div w:id="505483028">
              <w:marLeft w:val="0"/>
              <w:marRight w:val="0"/>
              <w:marTop w:val="0"/>
              <w:marBottom w:val="0"/>
              <w:divBdr>
                <w:top w:val="none" w:sz="0" w:space="0" w:color="auto"/>
                <w:left w:val="none" w:sz="0" w:space="0" w:color="auto"/>
                <w:bottom w:val="none" w:sz="0" w:space="0" w:color="auto"/>
                <w:right w:val="none" w:sz="0" w:space="0" w:color="auto"/>
              </w:divBdr>
            </w:div>
          </w:divsChild>
        </w:div>
        <w:div w:id="116947936">
          <w:marLeft w:val="0"/>
          <w:marRight w:val="0"/>
          <w:marTop w:val="0"/>
          <w:marBottom w:val="0"/>
          <w:divBdr>
            <w:top w:val="none" w:sz="0" w:space="0" w:color="auto"/>
            <w:left w:val="none" w:sz="0" w:space="0" w:color="auto"/>
            <w:bottom w:val="none" w:sz="0" w:space="0" w:color="auto"/>
            <w:right w:val="none" w:sz="0" w:space="0" w:color="auto"/>
          </w:divBdr>
          <w:divsChild>
            <w:div w:id="734358329">
              <w:marLeft w:val="0"/>
              <w:marRight w:val="0"/>
              <w:marTop w:val="0"/>
              <w:marBottom w:val="0"/>
              <w:divBdr>
                <w:top w:val="none" w:sz="0" w:space="0" w:color="auto"/>
                <w:left w:val="none" w:sz="0" w:space="0" w:color="auto"/>
                <w:bottom w:val="none" w:sz="0" w:space="0" w:color="auto"/>
                <w:right w:val="none" w:sz="0" w:space="0" w:color="auto"/>
              </w:divBdr>
            </w:div>
          </w:divsChild>
        </w:div>
        <w:div w:id="130904917">
          <w:marLeft w:val="0"/>
          <w:marRight w:val="0"/>
          <w:marTop w:val="0"/>
          <w:marBottom w:val="0"/>
          <w:divBdr>
            <w:top w:val="none" w:sz="0" w:space="0" w:color="auto"/>
            <w:left w:val="none" w:sz="0" w:space="0" w:color="auto"/>
            <w:bottom w:val="none" w:sz="0" w:space="0" w:color="auto"/>
            <w:right w:val="none" w:sz="0" w:space="0" w:color="auto"/>
          </w:divBdr>
          <w:divsChild>
            <w:div w:id="266693076">
              <w:marLeft w:val="0"/>
              <w:marRight w:val="0"/>
              <w:marTop w:val="0"/>
              <w:marBottom w:val="0"/>
              <w:divBdr>
                <w:top w:val="none" w:sz="0" w:space="0" w:color="auto"/>
                <w:left w:val="none" w:sz="0" w:space="0" w:color="auto"/>
                <w:bottom w:val="none" w:sz="0" w:space="0" w:color="auto"/>
                <w:right w:val="none" w:sz="0" w:space="0" w:color="auto"/>
              </w:divBdr>
            </w:div>
          </w:divsChild>
        </w:div>
        <w:div w:id="141626717">
          <w:marLeft w:val="0"/>
          <w:marRight w:val="0"/>
          <w:marTop w:val="0"/>
          <w:marBottom w:val="0"/>
          <w:divBdr>
            <w:top w:val="none" w:sz="0" w:space="0" w:color="auto"/>
            <w:left w:val="none" w:sz="0" w:space="0" w:color="auto"/>
            <w:bottom w:val="none" w:sz="0" w:space="0" w:color="auto"/>
            <w:right w:val="none" w:sz="0" w:space="0" w:color="auto"/>
          </w:divBdr>
          <w:divsChild>
            <w:div w:id="1530796251">
              <w:marLeft w:val="0"/>
              <w:marRight w:val="0"/>
              <w:marTop w:val="0"/>
              <w:marBottom w:val="0"/>
              <w:divBdr>
                <w:top w:val="none" w:sz="0" w:space="0" w:color="auto"/>
                <w:left w:val="none" w:sz="0" w:space="0" w:color="auto"/>
                <w:bottom w:val="none" w:sz="0" w:space="0" w:color="auto"/>
                <w:right w:val="none" w:sz="0" w:space="0" w:color="auto"/>
              </w:divBdr>
            </w:div>
          </w:divsChild>
        </w:div>
        <w:div w:id="176776281">
          <w:marLeft w:val="0"/>
          <w:marRight w:val="0"/>
          <w:marTop w:val="0"/>
          <w:marBottom w:val="0"/>
          <w:divBdr>
            <w:top w:val="none" w:sz="0" w:space="0" w:color="auto"/>
            <w:left w:val="none" w:sz="0" w:space="0" w:color="auto"/>
            <w:bottom w:val="none" w:sz="0" w:space="0" w:color="auto"/>
            <w:right w:val="none" w:sz="0" w:space="0" w:color="auto"/>
          </w:divBdr>
          <w:divsChild>
            <w:div w:id="1244796149">
              <w:marLeft w:val="0"/>
              <w:marRight w:val="0"/>
              <w:marTop w:val="0"/>
              <w:marBottom w:val="0"/>
              <w:divBdr>
                <w:top w:val="none" w:sz="0" w:space="0" w:color="auto"/>
                <w:left w:val="none" w:sz="0" w:space="0" w:color="auto"/>
                <w:bottom w:val="none" w:sz="0" w:space="0" w:color="auto"/>
                <w:right w:val="none" w:sz="0" w:space="0" w:color="auto"/>
              </w:divBdr>
            </w:div>
          </w:divsChild>
        </w:div>
        <w:div w:id="234052011">
          <w:marLeft w:val="0"/>
          <w:marRight w:val="0"/>
          <w:marTop w:val="0"/>
          <w:marBottom w:val="0"/>
          <w:divBdr>
            <w:top w:val="none" w:sz="0" w:space="0" w:color="auto"/>
            <w:left w:val="none" w:sz="0" w:space="0" w:color="auto"/>
            <w:bottom w:val="none" w:sz="0" w:space="0" w:color="auto"/>
            <w:right w:val="none" w:sz="0" w:space="0" w:color="auto"/>
          </w:divBdr>
          <w:divsChild>
            <w:div w:id="2109932755">
              <w:marLeft w:val="0"/>
              <w:marRight w:val="0"/>
              <w:marTop w:val="0"/>
              <w:marBottom w:val="0"/>
              <w:divBdr>
                <w:top w:val="none" w:sz="0" w:space="0" w:color="auto"/>
                <w:left w:val="none" w:sz="0" w:space="0" w:color="auto"/>
                <w:bottom w:val="none" w:sz="0" w:space="0" w:color="auto"/>
                <w:right w:val="none" w:sz="0" w:space="0" w:color="auto"/>
              </w:divBdr>
            </w:div>
          </w:divsChild>
        </w:div>
        <w:div w:id="248464320">
          <w:marLeft w:val="0"/>
          <w:marRight w:val="0"/>
          <w:marTop w:val="0"/>
          <w:marBottom w:val="0"/>
          <w:divBdr>
            <w:top w:val="none" w:sz="0" w:space="0" w:color="auto"/>
            <w:left w:val="none" w:sz="0" w:space="0" w:color="auto"/>
            <w:bottom w:val="none" w:sz="0" w:space="0" w:color="auto"/>
            <w:right w:val="none" w:sz="0" w:space="0" w:color="auto"/>
          </w:divBdr>
          <w:divsChild>
            <w:div w:id="938172620">
              <w:marLeft w:val="0"/>
              <w:marRight w:val="0"/>
              <w:marTop w:val="0"/>
              <w:marBottom w:val="0"/>
              <w:divBdr>
                <w:top w:val="none" w:sz="0" w:space="0" w:color="auto"/>
                <w:left w:val="none" w:sz="0" w:space="0" w:color="auto"/>
                <w:bottom w:val="none" w:sz="0" w:space="0" w:color="auto"/>
                <w:right w:val="none" w:sz="0" w:space="0" w:color="auto"/>
              </w:divBdr>
            </w:div>
          </w:divsChild>
        </w:div>
        <w:div w:id="254870303">
          <w:marLeft w:val="0"/>
          <w:marRight w:val="0"/>
          <w:marTop w:val="0"/>
          <w:marBottom w:val="0"/>
          <w:divBdr>
            <w:top w:val="none" w:sz="0" w:space="0" w:color="auto"/>
            <w:left w:val="none" w:sz="0" w:space="0" w:color="auto"/>
            <w:bottom w:val="none" w:sz="0" w:space="0" w:color="auto"/>
            <w:right w:val="none" w:sz="0" w:space="0" w:color="auto"/>
          </w:divBdr>
          <w:divsChild>
            <w:div w:id="373696145">
              <w:marLeft w:val="0"/>
              <w:marRight w:val="0"/>
              <w:marTop w:val="0"/>
              <w:marBottom w:val="0"/>
              <w:divBdr>
                <w:top w:val="none" w:sz="0" w:space="0" w:color="auto"/>
                <w:left w:val="none" w:sz="0" w:space="0" w:color="auto"/>
                <w:bottom w:val="none" w:sz="0" w:space="0" w:color="auto"/>
                <w:right w:val="none" w:sz="0" w:space="0" w:color="auto"/>
              </w:divBdr>
            </w:div>
          </w:divsChild>
        </w:div>
        <w:div w:id="256403117">
          <w:marLeft w:val="0"/>
          <w:marRight w:val="0"/>
          <w:marTop w:val="0"/>
          <w:marBottom w:val="0"/>
          <w:divBdr>
            <w:top w:val="none" w:sz="0" w:space="0" w:color="auto"/>
            <w:left w:val="none" w:sz="0" w:space="0" w:color="auto"/>
            <w:bottom w:val="none" w:sz="0" w:space="0" w:color="auto"/>
            <w:right w:val="none" w:sz="0" w:space="0" w:color="auto"/>
          </w:divBdr>
          <w:divsChild>
            <w:div w:id="886768510">
              <w:marLeft w:val="0"/>
              <w:marRight w:val="0"/>
              <w:marTop w:val="0"/>
              <w:marBottom w:val="0"/>
              <w:divBdr>
                <w:top w:val="none" w:sz="0" w:space="0" w:color="auto"/>
                <w:left w:val="none" w:sz="0" w:space="0" w:color="auto"/>
                <w:bottom w:val="none" w:sz="0" w:space="0" w:color="auto"/>
                <w:right w:val="none" w:sz="0" w:space="0" w:color="auto"/>
              </w:divBdr>
            </w:div>
          </w:divsChild>
        </w:div>
        <w:div w:id="291905867">
          <w:marLeft w:val="0"/>
          <w:marRight w:val="0"/>
          <w:marTop w:val="0"/>
          <w:marBottom w:val="0"/>
          <w:divBdr>
            <w:top w:val="none" w:sz="0" w:space="0" w:color="auto"/>
            <w:left w:val="none" w:sz="0" w:space="0" w:color="auto"/>
            <w:bottom w:val="none" w:sz="0" w:space="0" w:color="auto"/>
            <w:right w:val="none" w:sz="0" w:space="0" w:color="auto"/>
          </w:divBdr>
          <w:divsChild>
            <w:div w:id="612588698">
              <w:marLeft w:val="0"/>
              <w:marRight w:val="0"/>
              <w:marTop w:val="0"/>
              <w:marBottom w:val="0"/>
              <w:divBdr>
                <w:top w:val="none" w:sz="0" w:space="0" w:color="auto"/>
                <w:left w:val="none" w:sz="0" w:space="0" w:color="auto"/>
                <w:bottom w:val="none" w:sz="0" w:space="0" w:color="auto"/>
                <w:right w:val="none" w:sz="0" w:space="0" w:color="auto"/>
              </w:divBdr>
            </w:div>
          </w:divsChild>
        </w:div>
        <w:div w:id="306053194">
          <w:marLeft w:val="0"/>
          <w:marRight w:val="0"/>
          <w:marTop w:val="0"/>
          <w:marBottom w:val="0"/>
          <w:divBdr>
            <w:top w:val="none" w:sz="0" w:space="0" w:color="auto"/>
            <w:left w:val="none" w:sz="0" w:space="0" w:color="auto"/>
            <w:bottom w:val="none" w:sz="0" w:space="0" w:color="auto"/>
            <w:right w:val="none" w:sz="0" w:space="0" w:color="auto"/>
          </w:divBdr>
          <w:divsChild>
            <w:div w:id="2143495992">
              <w:marLeft w:val="0"/>
              <w:marRight w:val="0"/>
              <w:marTop w:val="0"/>
              <w:marBottom w:val="0"/>
              <w:divBdr>
                <w:top w:val="none" w:sz="0" w:space="0" w:color="auto"/>
                <w:left w:val="none" w:sz="0" w:space="0" w:color="auto"/>
                <w:bottom w:val="none" w:sz="0" w:space="0" w:color="auto"/>
                <w:right w:val="none" w:sz="0" w:space="0" w:color="auto"/>
              </w:divBdr>
            </w:div>
          </w:divsChild>
        </w:div>
        <w:div w:id="360135645">
          <w:marLeft w:val="0"/>
          <w:marRight w:val="0"/>
          <w:marTop w:val="0"/>
          <w:marBottom w:val="0"/>
          <w:divBdr>
            <w:top w:val="none" w:sz="0" w:space="0" w:color="auto"/>
            <w:left w:val="none" w:sz="0" w:space="0" w:color="auto"/>
            <w:bottom w:val="none" w:sz="0" w:space="0" w:color="auto"/>
            <w:right w:val="none" w:sz="0" w:space="0" w:color="auto"/>
          </w:divBdr>
          <w:divsChild>
            <w:div w:id="1276866582">
              <w:marLeft w:val="0"/>
              <w:marRight w:val="0"/>
              <w:marTop w:val="0"/>
              <w:marBottom w:val="0"/>
              <w:divBdr>
                <w:top w:val="none" w:sz="0" w:space="0" w:color="auto"/>
                <w:left w:val="none" w:sz="0" w:space="0" w:color="auto"/>
                <w:bottom w:val="none" w:sz="0" w:space="0" w:color="auto"/>
                <w:right w:val="none" w:sz="0" w:space="0" w:color="auto"/>
              </w:divBdr>
            </w:div>
          </w:divsChild>
        </w:div>
        <w:div w:id="378822108">
          <w:marLeft w:val="0"/>
          <w:marRight w:val="0"/>
          <w:marTop w:val="0"/>
          <w:marBottom w:val="0"/>
          <w:divBdr>
            <w:top w:val="none" w:sz="0" w:space="0" w:color="auto"/>
            <w:left w:val="none" w:sz="0" w:space="0" w:color="auto"/>
            <w:bottom w:val="none" w:sz="0" w:space="0" w:color="auto"/>
            <w:right w:val="none" w:sz="0" w:space="0" w:color="auto"/>
          </w:divBdr>
          <w:divsChild>
            <w:div w:id="428889885">
              <w:marLeft w:val="0"/>
              <w:marRight w:val="0"/>
              <w:marTop w:val="0"/>
              <w:marBottom w:val="0"/>
              <w:divBdr>
                <w:top w:val="none" w:sz="0" w:space="0" w:color="auto"/>
                <w:left w:val="none" w:sz="0" w:space="0" w:color="auto"/>
                <w:bottom w:val="none" w:sz="0" w:space="0" w:color="auto"/>
                <w:right w:val="none" w:sz="0" w:space="0" w:color="auto"/>
              </w:divBdr>
            </w:div>
          </w:divsChild>
        </w:div>
        <w:div w:id="379668222">
          <w:marLeft w:val="0"/>
          <w:marRight w:val="0"/>
          <w:marTop w:val="0"/>
          <w:marBottom w:val="0"/>
          <w:divBdr>
            <w:top w:val="none" w:sz="0" w:space="0" w:color="auto"/>
            <w:left w:val="none" w:sz="0" w:space="0" w:color="auto"/>
            <w:bottom w:val="none" w:sz="0" w:space="0" w:color="auto"/>
            <w:right w:val="none" w:sz="0" w:space="0" w:color="auto"/>
          </w:divBdr>
          <w:divsChild>
            <w:div w:id="632445865">
              <w:marLeft w:val="0"/>
              <w:marRight w:val="0"/>
              <w:marTop w:val="0"/>
              <w:marBottom w:val="0"/>
              <w:divBdr>
                <w:top w:val="none" w:sz="0" w:space="0" w:color="auto"/>
                <w:left w:val="none" w:sz="0" w:space="0" w:color="auto"/>
                <w:bottom w:val="none" w:sz="0" w:space="0" w:color="auto"/>
                <w:right w:val="none" w:sz="0" w:space="0" w:color="auto"/>
              </w:divBdr>
            </w:div>
          </w:divsChild>
        </w:div>
        <w:div w:id="417287903">
          <w:marLeft w:val="0"/>
          <w:marRight w:val="0"/>
          <w:marTop w:val="0"/>
          <w:marBottom w:val="0"/>
          <w:divBdr>
            <w:top w:val="none" w:sz="0" w:space="0" w:color="auto"/>
            <w:left w:val="none" w:sz="0" w:space="0" w:color="auto"/>
            <w:bottom w:val="none" w:sz="0" w:space="0" w:color="auto"/>
            <w:right w:val="none" w:sz="0" w:space="0" w:color="auto"/>
          </w:divBdr>
          <w:divsChild>
            <w:div w:id="1774856589">
              <w:marLeft w:val="0"/>
              <w:marRight w:val="0"/>
              <w:marTop w:val="0"/>
              <w:marBottom w:val="0"/>
              <w:divBdr>
                <w:top w:val="none" w:sz="0" w:space="0" w:color="auto"/>
                <w:left w:val="none" w:sz="0" w:space="0" w:color="auto"/>
                <w:bottom w:val="none" w:sz="0" w:space="0" w:color="auto"/>
                <w:right w:val="none" w:sz="0" w:space="0" w:color="auto"/>
              </w:divBdr>
            </w:div>
          </w:divsChild>
        </w:div>
        <w:div w:id="449133238">
          <w:marLeft w:val="0"/>
          <w:marRight w:val="0"/>
          <w:marTop w:val="0"/>
          <w:marBottom w:val="0"/>
          <w:divBdr>
            <w:top w:val="none" w:sz="0" w:space="0" w:color="auto"/>
            <w:left w:val="none" w:sz="0" w:space="0" w:color="auto"/>
            <w:bottom w:val="none" w:sz="0" w:space="0" w:color="auto"/>
            <w:right w:val="none" w:sz="0" w:space="0" w:color="auto"/>
          </w:divBdr>
          <w:divsChild>
            <w:div w:id="356974899">
              <w:marLeft w:val="0"/>
              <w:marRight w:val="0"/>
              <w:marTop w:val="0"/>
              <w:marBottom w:val="0"/>
              <w:divBdr>
                <w:top w:val="none" w:sz="0" w:space="0" w:color="auto"/>
                <w:left w:val="none" w:sz="0" w:space="0" w:color="auto"/>
                <w:bottom w:val="none" w:sz="0" w:space="0" w:color="auto"/>
                <w:right w:val="none" w:sz="0" w:space="0" w:color="auto"/>
              </w:divBdr>
            </w:div>
          </w:divsChild>
        </w:div>
        <w:div w:id="471681192">
          <w:marLeft w:val="0"/>
          <w:marRight w:val="0"/>
          <w:marTop w:val="0"/>
          <w:marBottom w:val="0"/>
          <w:divBdr>
            <w:top w:val="none" w:sz="0" w:space="0" w:color="auto"/>
            <w:left w:val="none" w:sz="0" w:space="0" w:color="auto"/>
            <w:bottom w:val="none" w:sz="0" w:space="0" w:color="auto"/>
            <w:right w:val="none" w:sz="0" w:space="0" w:color="auto"/>
          </w:divBdr>
          <w:divsChild>
            <w:div w:id="2119566600">
              <w:marLeft w:val="0"/>
              <w:marRight w:val="0"/>
              <w:marTop w:val="0"/>
              <w:marBottom w:val="0"/>
              <w:divBdr>
                <w:top w:val="none" w:sz="0" w:space="0" w:color="auto"/>
                <w:left w:val="none" w:sz="0" w:space="0" w:color="auto"/>
                <w:bottom w:val="none" w:sz="0" w:space="0" w:color="auto"/>
                <w:right w:val="none" w:sz="0" w:space="0" w:color="auto"/>
              </w:divBdr>
            </w:div>
          </w:divsChild>
        </w:div>
        <w:div w:id="481165647">
          <w:marLeft w:val="0"/>
          <w:marRight w:val="0"/>
          <w:marTop w:val="0"/>
          <w:marBottom w:val="0"/>
          <w:divBdr>
            <w:top w:val="none" w:sz="0" w:space="0" w:color="auto"/>
            <w:left w:val="none" w:sz="0" w:space="0" w:color="auto"/>
            <w:bottom w:val="none" w:sz="0" w:space="0" w:color="auto"/>
            <w:right w:val="none" w:sz="0" w:space="0" w:color="auto"/>
          </w:divBdr>
          <w:divsChild>
            <w:div w:id="389888692">
              <w:marLeft w:val="0"/>
              <w:marRight w:val="0"/>
              <w:marTop w:val="0"/>
              <w:marBottom w:val="0"/>
              <w:divBdr>
                <w:top w:val="none" w:sz="0" w:space="0" w:color="auto"/>
                <w:left w:val="none" w:sz="0" w:space="0" w:color="auto"/>
                <w:bottom w:val="none" w:sz="0" w:space="0" w:color="auto"/>
                <w:right w:val="none" w:sz="0" w:space="0" w:color="auto"/>
              </w:divBdr>
            </w:div>
          </w:divsChild>
        </w:div>
        <w:div w:id="568928510">
          <w:marLeft w:val="0"/>
          <w:marRight w:val="0"/>
          <w:marTop w:val="0"/>
          <w:marBottom w:val="0"/>
          <w:divBdr>
            <w:top w:val="none" w:sz="0" w:space="0" w:color="auto"/>
            <w:left w:val="none" w:sz="0" w:space="0" w:color="auto"/>
            <w:bottom w:val="none" w:sz="0" w:space="0" w:color="auto"/>
            <w:right w:val="none" w:sz="0" w:space="0" w:color="auto"/>
          </w:divBdr>
          <w:divsChild>
            <w:div w:id="1974863953">
              <w:marLeft w:val="0"/>
              <w:marRight w:val="0"/>
              <w:marTop w:val="0"/>
              <w:marBottom w:val="0"/>
              <w:divBdr>
                <w:top w:val="none" w:sz="0" w:space="0" w:color="auto"/>
                <w:left w:val="none" w:sz="0" w:space="0" w:color="auto"/>
                <w:bottom w:val="none" w:sz="0" w:space="0" w:color="auto"/>
                <w:right w:val="none" w:sz="0" w:space="0" w:color="auto"/>
              </w:divBdr>
            </w:div>
          </w:divsChild>
        </w:div>
        <w:div w:id="610868058">
          <w:marLeft w:val="0"/>
          <w:marRight w:val="0"/>
          <w:marTop w:val="0"/>
          <w:marBottom w:val="0"/>
          <w:divBdr>
            <w:top w:val="none" w:sz="0" w:space="0" w:color="auto"/>
            <w:left w:val="none" w:sz="0" w:space="0" w:color="auto"/>
            <w:bottom w:val="none" w:sz="0" w:space="0" w:color="auto"/>
            <w:right w:val="none" w:sz="0" w:space="0" w:color="auto"/>
          </w:divBdr>
          <w:divsChild>
            <w:div w:id="1792742359">
              <w:marLeft w:val="0"/>
              <w:marRight w:val="0"/>
              <w:marTop w:val="0"/>
              <w:marBottom w:val="0"/>
              <w:divBdr>
                <w:top w:val="none" w:sz="0" w:space="0" w:color="auto"/>
                <w:left w:val="none" w:sz="0" w:space="0" w:color="auto"/>
                <w:bottom w:val="none" w:sz="0" w:space="0" w:color="auto"/>
                <w:right w:val="none" w:sz="0" w:space="0" w:color="auto"/>
              </w:divBdr>
            </w:div>
          </w:divsChild>
        </w:div>
        <w:div w:id="669531004">
          <w:marLeft w:val="0"/>
          <w:marRight w:val="0"/>
          <w:marTop w:val="0"/>
          <w:marBottom w:val="0"/>
          <w:divBdr>
            <w:top w:val="none" w:sz="0" w:space="0" w:color="auto"/>
            <w:left w:val="none" w:sz="0" w:space="0" w:color="auto"/>
            <w:bottom w:val="none" w:sz="0" w:space="0" w:color="auto"/>
            <w:right w:val="none" w:sz="0" w:space="0" w:color="auto"/>
          </w:divBdr>
          <w:divsChild>
            <w:div w:id="454102939">
              <w:marLeft w:val="0"/>
              <w:marRight w:val="0"/>
              <w:marTop w:val="0"/>
              <w:marBottom w:val="0"/>
              <w:divBdr>
                <w:top w:val="none" w:sz="0" w:space="0" w:color="auto"/>
                <w:left w:val="none" w:sz="0" w:space="0" w:color="auto"/>
                <w:bottom w:val="none" w:sz="0" w:space="0" w:color="auto"/>
                <w:right w:val="none" w:sz="0" w:space="0" w:color="auto"/>
              </w:divBdr>
            </w:div>
          </w:divsChild>
        </w:div>
        <w:div w:id="748766648">
          <w:marLeft w:val="0"/>
          <w:marRight w:val="0"/>
          <w:marTop w:val="0"/>
          <w:marBottom w:val="0"/>
          <w:divBdr>
            <w:top w:val="none" w:sz="0" w:space="0" w:color="auto"/>
            <w:left w:val="none" w:sz="0" w:space="0" w:color="auto"/>
            <w:bottom w:val="none" w:sz="0" w:space="0" w:color="auto"/>
            <w:right w:val="none" w:sz="0" w:space="0" w:color="auto"/>
          </w:divBdr>
          <w:divsChild>
            <w:div w:id="1869952535">
              <w:marLeft w:val="0"/>
              <w:marRight w:val="0"/>
              <w:marTop w:val="0"/>
              <w:marBottom w:val="0"/>
              <w:divBdr>
                <w:top w:val="none" w:sz="0" w:space="0" w:color="auto"/>
                <w:left w:val="none" w:sz="0" w:space="0" w:color="auto"/>
                <w:bottom w:val="none" w:sz="0" w:space="0" w:color="auto"/>
                <w:right w:val="none" w:sz="0" w:space="0" w:color="auto"/>
              </w:divBdr>
            </w:div>
          </w:divsChild>
        </w:div>
        <w:div w:id="756361301">
          <w:marLeft w:val="0"/>
          <w:marRight w:val="0"/>
          <w:marTop w:val="0"/>
          <w:marBottom w:val="0"/>
          <w:divBdr>
            <w:top w:val="none" w:sz="0" w:space="0" w:color="auto"/>
            <w:left w:val="none" w:sz="0" w:space="0" w:color="auto"/>
            <w:bottom w:val="none" w:sz="0" w:space="0" w:color="auto"/>
            <w:right w:val="none" w:sz="0" w:space="0" w:color="auto"/>
          </w:divBdr>
          <w:divsChild>
            <w:div w:id="1825968724">
              <w:marLeft w:val="0"/>
              <w:marRight w:val="0"/>
              <w:marTop w:val="0"/>
              <w:marBottom w:val="0"/>
              <w:divBdr>
                <w:top w:val="none" w:sz="0" w:space="0" w:color="auto"/>
                <w:left w:val="none" w:sz="0" w:space="0" w:color="auto"/>
                <w:bottom w:val="none" w:sz="0" w:space="0" w:color="auto"/>
                <w:right w:val="none" w:sz="0" w:space="0" w:color="auto"/>
              </w:divBdr>
            </w:div>
          </w:divsChild>
        </w:div>
        <w:div w:id="756482944">
          <w:marLeft w:val="0"/>
          <w:marRight w:val="0"/>
          <w:marTop w:val="0"/>
          <w:marBottom w:val="0"/>
          <w:divBdr>
            <w:top w:val="none" w:sz="0" w:space="0" w:color="auto"/>
            <w:left w:val="none" w:sz="0" w:space="0" w:color="auto"/>
            <w:bottom w:val="none" w:sz="0" w:space="0" w:color="auto"/>
            <w:right w:val="none" w:sz="0" w:space="0" w:color="auto"/>
          </w:divBdr>
          <w:divsChild>
            <w:div w:id="1763793590">
              <w:marLeft w:val="0"/>
              <w:marRight w:val="0"/>
              <w:marTop w:val="0"/>
              <w:marBottom w:val="0"/>
              <w:divBdr>
                <w:top w:val="none" w:sz="0" w:space="0" w:color="auto"/>
                <w:left w:val="none" w:sz="0" w:space="0" w:color="auto"/>
                <w:bottom w:val="none" w:sz="0" w:space="0" w:color="auto"/>
                <w:right w:val="none" w:sz="0" w:space="0" w:color="auto"/>
              </w:divBdr>
            </w:div>
          </w:divsChild>
        </w:div>
        <w:div w:id="782573126">
          <w:marLeft w:val="0"/>
          <w:marRight w:val="0"/>
          <w:marTop w:val="0"/>
          <w:marBottom w:val="0"/>
          <w:divBdr>
            <w:top w:val="none" w:sz="0" w:space="0" w:color="auto"/>
            <w:left w:val="none" w:sz="0" w:space="0" w:color="auto"/>
            <w:bottom w:val="none" w:sz="0" w:space="0" w:color="auto"/>
            <w:right w:val="none" w:sz="0" w:space="0" w:color="auto"/>
          </w:divBdr>
          <w:divsChild>
            <w:div w:id="241725769">
              <w:marLeft w:val="0"/>
              <w:marRight w:val="0"/>
              <w:marTop w:val="0"/>
              <w:marBottom w:val="0"/>
              <w:divBdr>
                <w:top w:val="none" w:sz="0" w:space="0" w:color="auto"/>
                <w:left w:val="none" w:sz="0" w:space="0" w:color="auto"/>
                <w:bottom w:val="none" w:sz="0" w:space="0" w:color="auto"/>
                <w:right w:val="none" w:sz="0" w:space="0" w:color="auto"/>
              </w:divBdr>
            </w:div>
          </w:divsChild>
        </w:div>
        <w:div w:id="790519255">
          <w:marLeft w:val="0"/>
          <w:marRight w:val="0"/>
          <w:marTop w:val="0"/>
          <w:marBottom w:val="0"/>
          <w:divBdr>
            <w:top w:val="none" w:sz="0" w:space="0" w:color="auto"/>
            <w:left w:val="none" w:sz="0" w:space="0" w:color="auto"/>
            <w:bottom w:val="none" w:sz="0" w:space="0" w:color="auto"/>
            <w:right w:val="none" w:sz="0" w:space="0" w:color="auto"/>
          </w:divBdr>
          <w:divsChild>
            <w:div w:id="1251743443">
              <w:marLeft w:val="0"/>
              <w:marRight w:val="0"/>
              <w:marTop w:val="0"/>
              <w:marBottom w:val="0"/>
              <w:divBdr>
                <w:top w:val="none" w:sz="0" w:space="0" w:color="auto"/>
                <w:left w:val="none" w:sz="0" w:space="0" w:color="auto"/>
                <w:bottom w:val="none" w:sz="0" w:space="0" w:color="auto"/>
                <w:right w:val="none" w:sz="0" w:space="0" w:color="auto"/>
              </w:divBdr>
            </w:div>
          </w:divsChild>
        </w:div>
        <w:div w:id="799498769">
          <w:marLeft w:val="0"/>
          <w:marRight w:val="0"/>
          <w:marTop w:val="0"/>
          <w:marBottom w:val="0"/>
          <w:divBdr>
            <w:top w:val="none" w:sz="0" w:space="0" w:color="auto"/>
            <w:left w:val="none" w:sz="0" w:space="0" w:color="auto"/>
            <w:bottom w:val="none" w:sz="0" w:space="0" w:color="auto"/>
            <w:right w:val="none" w:sz="0" w:space="0" w:color="auto"/>
          </w:divBdr>
          <w:divsChild>
            <w:div w:id="294408396">
              <w:marLeft w:val="0"/>
              <w:marRight w:val="0"/>
              <w:marTop w:val="0"/>
              <w:marBottom w:val="0"/>
              <w:divBdr>
                <w:top w:val="none" w:sz="0" w:space="0" w:color="auto"/>
                <w:left w:val="none" w:sz="0" w:space="0" w:color="auto"/>
                <w:bottom w:val="none" w:sz="0" w:space="0" w:color="auto"/>
                <w:right w:val="none" w:sz="0" w:space="0" w:color="auto"/>
              </w:divBdr>
            </w:div>
          </w:divsChild>
        </w:div>
        <w:div w:id="808278594">
          <w:marLeft w:val="0"/>
          <w:marRight w:val="0"/>
          <w:marTop w:val="0"/>
          <w:marBottom w:val="0"/>
          <w:divBdr>
            <w:top w:val="none" w:sz="0" w:space="0" w:color="auto"/>
            <w:left w:val="none" w:sz="0" w:space="0" w:color="auto"/>
            <w:bottom w:val="none" w:sz="0" w:space="0" w:color="auto"/>
            <w:right w:val="none" w:sz="0" w:space="0" w:color="auto"/>
          </w:divBdr>
          <w:divsChild>
            <w:div w:id="1040013152">
              <w:marLeft w:val="0"/>
              <w:marRight w:val="0"/>
              <w:marTop w:val="0"/>
              <w:marBottom w:val="0"/>
              <w:divBdr>
                <w:top w:val="none" w:sz="0" w:space="0" w:color="auto"/>
                <w:left w:val="none" w:sz="0" w:space="0" w:color="auto"/>
                <w:bottom w:val="none" w:sz="0" w:space="0" w:color="auto"/>
                <w:right w:val="none" w:sz="0" w:space="0" w:color="auto"/>
              </w:divBdr>
            </w:div>
          </w:divsChild>
        </w:div>
        <w:div w:id="828786687">
          <w:marLeft w:val="0"/>
          <w:marRight w:val="0"/>
          <w:marTop w:val="0"/>
          <w:marBottom w:val="0"/>
          <w:divBdr>
            <w:top w:val="none" w:sz="0" w:space="0" w:color="auto"/>
            <w:left w:val="none" w:sz="0" w:space="0" w:color="auto"/>
            <w:bottom w:val="none" w:sz="0" w:space="0" w:color="auto"/>
            <w:right w:val="none" w:sz="0" w:space="0" w:color="auto"/>
          </w:divBdr>
          <w:divsChild>
            <w:div w:id="1370455887">
              <w:marLeft w:val="0"/>
              <w:marRight w:val="0"/>
              <w:marTop w:val="0"/>
              <w:marBottom w:val="0"/>
              <w:divBdr>
                <w:top w:val="none" w:sz="0" w:space="0" w:color="auto"/>
                <w:left w:val="none" w:sz="0" w:space="0" w:color="auto"/>
                <w:bottom w:val="none" w:sz="0" w:space="0" w:color="auto"/>
                <w:right w:val="none" w:sz="0" w:space="0" w:color="auto"/>
              </w:divBdr>
            </w:div>
          </w:divsChild>
        </w:div>
        <w:div w:id="843009143">
          <w:marLeft w:val="0"/>
          <w:marRight w:val="0"/>
          <w:marTop w:val="0"/>
          <w:marBottom w:val="0"/>
          <w:divBdr>
            <w:top w:val="none" w:sz="0" w:space="0" w:color="auto"/>
            <w:left w:val="none" w:sz="0" w:space="0" w:color="auto"/>
            <w:bottom w:val="none" w:sz="0" w:space="0" w:color="auto"/>
            <w:right w:val="none" w:sz="0" w:space="0" w:color="auto"/>
          </w:divBdr>
          <w:divsChild>
            <w:div w:id="595871767">
              <w:marLeft w:val="0"/>
              <w:marRight w:val="0"/>
              <w:marTop w:val="0"/>
              <w:marBottom w:val="0"/>
              <w:divBdr>
                <w:top w:val="none" w:sz="0" w:space="0" w:color="auto"/>
                <w:left w:val="none" w:sz="0" w:space="0" w:color="auto"/>
                <w:bottom w:val="none" w:sz="0" w:space="0" w:color="auto"/>
                <w:right w:val="none" w:sz="0" w:space="0" w:color="auto"/>
              </w:divBdr>
            </w:div>
          </w:divsChild>
        </w:div>
        <w:div w:id="846597938">
          <w:marLeft w:val="0"/>
          <w:marRight w:val="0"/>
          <w:marTop w:val="0"/>
          <w:marBottom w:val="0"/>
          <w:divBdr>
            <w:top w:val="none" w:sz="0" w:space="0" w:color="auto"/>
            <w:left w:val="none" w:sz="0" w:space="0" w:color="auto"/>
            <w:bottom w:val="none" w:sz="0" w:space="0" w:color="auto"/>
            <w:right w:val="none" w:sz="0" w:space="0" w:color="auto"/>
          </w:divBdr>
          <w:divsChild>
            <w:div w:id="123280477">
              <w:marLeft w:val="0"/>
              <w:marRight w:val="0"/>
              <w:marTop w:val="0"/>
              <w:marBottom w:val="0"/>
              <w:divBdr>
                <w:top w:val="none" w:sz="0" w:space="0" w:color="auto"/>
                <w:left w:val="none" w:sz="0" w:space="0" w:color="auto"/>
                <w:bottom w:val="none" w:sz="0" w:space="0" w:color="auto"/>
                <w:right w:val="none" w:sz="0" w:space="0" w:color="auto"/>
              </w:divBdr>
            </w:div>
          </w:divsChild>
        </w:div>
        <w:div w:id="926573758">
          <w:marLeft w:val="0"/>
          <w:marRight w:val="0"/>
          <w:marTop w:val="0"/>
          <w:marBottom w:val="0"/>
          <w:divBdr>
            <w:top w:val="none" w:sz="0" w:space="0" w:color="auto"/>
            <w:left w:val="none" w:sz="0" w:space="0" w:color="auto"/>
            <w:bottom w:val="none" w:sz="0" w:space="0" w:color="auto"/>
            <w:right w:val="none" w:sz="0" w:space="0" w:color="auto"/>
          </w:divBdr>
          <w:divsChild>
            <w:div w:id="1879778858">
              <w:marLeft w:val="0"/>
              <w:marRight w:val="0"/>
              <w:marTop w:val="0"/>
              <w:marBottom w:val="0"/>
              <w:divBdr>
                <w:top w:val="none" w:sz="0" w:space="0" w:color="auto"/>
                <w:left w:val="none" w:sz="0" w:space="0" w:color="auto"/>
                <w:bottom w:val="none" w:sz="0" w:space="0" w:color="auto"/>
                <w:right w:val="none" w:sz="0" w:space="0" w:color="auto"/>
              </w:divBdr>
            </w:div>
          </w:divsChild>
        </w:div>
        <w:div w:id="948464541">
          <w:marLeft w:val="0"/>
          <w:marRight w:val="0"/>
          <w:marTop w:val="0"/>
          <w:marBottom w:val="0"/>
          <w:divBdr>
            <w:top w:val="none" w:sz="0" w:space="0" w:color="auto"/>
            <w:left w:val="none" w:sz="0" w:space="0" w:color="auto"/>
            <w:bottom w:val="none" w:sz="0" w:space="0" w:color="auto"/>
            <w:right w:val="none" w:sz="0" w:space="0" w:color="auto"/>
          </w:divBdr>
          <w:divsChild>
            <w:div w:id="1311516182">
              <w:marLeft w:val="0"/>
              <w:marRight w:val="0"/>
              <w:marTop w:val="0"/>
              <w:marBottom w:val="0"/>
              <w:divBdr>
                <w:top w:val="none" w:sz="0" w:space="0" w:color="auto"/>
                <w:left w:val="none" w:sz="0" w:space="0" w:color="auto"/>
                <w:bottom w:val="none" w:sz="0" w:space="0" w:color="auto"/>
                <w:right w:val="none" w:sz="0" w:space="0" w:color="auto"/>
              </w:divBdr>
            </w:div>
          </w:divsChild>
        </w:div>
        <w:div w:id="963580637">
          <w:marLeft w:val="0"/>
          <w:marRight w:val="0"/>
          <w:marTop w:val="0"/>
          <w:marBottom w:val="0"/>
          <w:divBdr>
            <w:top w:val="none" w:sz="0" w:space="0" w:color="auto"/>
            <w:left w:val="none" w:sz="0" w:space="0" w:color="auto"/>
            <w:bottom w:val="none" w:sz="0" w:space="0" w:color="auto"/>
            <w:right w:val="none" w:sz="0" w:space="0" w:color="auto"/>
          </w:divBdr>
          <w:divsChild>
            <w:div w:id="1735809308">
              <w:marLeft w:val="0"/>
              <w:marRight w:val="0"/>
              <w:marTop w:val="0"/>
              <w:marBottom w:val="0"/>
              <w:divBdr>
                <w:top w:val="none" w:sz="0" w:space="0" w:color="auto"/>
                <w:left w:val="none" w:sz="0" w:space="0" w:color="auto"/>
                <w:bottom w:val="none" w:sz="0" w:space="0" w:color="auto"/>
                <w:right w:val="none" w:sz="0" w:space="0" w:color="auto"/>
              </w:divBdr>
            </w:div>
          </w:divsChild>
        </w:div>
        <w:div w:id="1013998464">
          <w:marLeft w:val="0"/>
          <w:marRight w:val="0"/>
          <w:marTop w:val="0"/>
          <w:marBottom w:val="0"/>
          <w:divBdr>
            <w:top w:val="none" w:sz="0" w:space="0" w:color="auto"/>
            <w:left w:val="none" w:sz="0" w:space="0" w:color="auto"/>
            <w:bottom w:val="none" w:sz="0" w:space="0" w:color="auto"/>
            <w:right w:val="none" w:sz="0" w:space="0" w:color="auto"/>
          </w:divBdr>
          <w:divsChild>
            <w:div w:id="1665668636">
              <w:marLeft w:val="0"/>
              <w:marRight w:val="0"/>
              <w:marTop w:val="0"/>
              <w:marBottom w:val="0"/>
              <w:divBdr>
                <w:top w:val="none" w:sz="0" w:space="0" w:color="auto"/>
                <w:left w:val="none" w:sz="0" w:space="0" w:color="auto"/>
                <w:bottom w:val="none" w:sz="0" w:space="0" w:color="auto"/>
                <w:right w:val="none" w:sz="0" w:space="0" w:color="auto"/>
              </w:divBdr>
            </w:div>
          </w:divsChild>
        </w:div>
        <w:div w:id="1030029923">
          <w:marLeft w:val="0"/>
          <w:marRight w:val="0"/>
          <w:marTop w:val="0"/>
          <w:marBottom w:val="0"/>
          <w:divBdr>
            <w:top w:val="none" w:sz="0" w:space="0" w:color="auto"/>
            <w:left w:val="none" w:sz="0" w:space="0" w:color="auto"/>
            <w:bottom w:val="none" w:sz="0" w:space="0" w:color="auto"/>
            <w:right w:val="none" w:sz="0" w:space="0" w:color="auto"/>
          </w:divBdr>
          <w:divsChild>
            <w:div w:id="1560825850">
              <w:marLeft w:val="0"/>
              <w:marRight w:val="0"/>
              <w:marTop w:val="0"/>
              <w:marBottom w:val="0"/>
              <w:divBdr>
                <w:top w:val="none" w:sz="0" w:space="0" w:color="auto"/>
                <w:left w:val="none" w:sz="0" w:space="0" w:color="auto"/>
                <w:bottom w:val="none" w:sz="0" w:space="0" w:color="auto"/>
                <w:right w:val="none" w:sz="0" w:space="0" w:color="auto"/>
              </w:divBdr>
            </w:div>
          </w:divsChild>
        </w:div>
        <w:div w:id="1036080567">
          <w:marLeft w:val="0"/>
          <w:marRight w:val="0"/>
          <w:marTop w:val="0"/>
          <w:marBottom w:val="0"/>
          <w:divBdr>
            <w:top w:val="none" w:sz="0" w:space="0" w:color="auto"/>
            <w:left w:val="none" w:sz="0" w:space="0" w:color="auto"/>
            <w:bottom w:val="none" w:sz="0" w:space="0" w:color="auto"/>
            <w:right w:val="none" w:sz="0" w:space="0" w:color="auto"/>
          </w:divBdr>
          <w:divsChild>
            <w:div w:id="908223066">
              <w:marLeft w:val="0"/>
              <w:marRight w:val="0"/>
              <w:marTop w:val="0"/>
              <w:marBottom w:val="0"/>
              <w:divBdr>
                <w:top w:val="none" w:sz="0" w:space="0" w:color="auto"/>
                <w:left w:val="none" w:sz="0" w:space="0" w:color="auto"/>
                <w:bottom w:val="none" w:sz="0" w:space="0" w:color="auto"/>
                <w:right w:val="none" w:sz="0" w:space="0" w:color="auto"/>
              </w:divBdr>
            </w:div>
          </w:divsChild>
        </w:div>
        <w:div w:id="1049186914">
          <w:marLeft w:val="0"/>
          <w:marRight w:val="0"/>
          <w:marTop w:val="0"/>
          <w:marBottom w:val="0"/>
          <w:divBdr>
            <w:top w:val="none" w:sz="0" w:space="0" w:color="auto"/>
            <w:left w:val="none" w:sz="0" w:space="0" w:color="auto"/>
            <w:bottom w:val="none" w:sz="0" w:space="0" w:color="auto"/>
            <w:right w:val="none" w:sz="0" w:space="0" w:color="auto"/>
          </w:divBdr>
          <w:divsChild>
            <w:div w:id="1744833001">
              <w:marLeft w:val="0"/>
              <w:marRight w:val="0"/>
              <w:marTop w:val="0"/>
              <w:marBottom w:val="0"/>
              <w:divBdr>
                <w:top w:val="none" w:sz="0" w:space="0" w:color="auto"/>
                <w:left w:val="none" w:sz="0" w:space="0" w:color="auto"/>
                <w:bottom w:val="none" w:sz="0" w:space="0" w:color="auto"/>
                <w:right w:val="none" w:sz="0" w:space="0" w:color="auto"/>
              </w:divBdr>
            </w:div>
          </w:divsChild>
        </w:div>
        <w:div w:id="1122072057">
          <w:marLeft w:val="0"/>
          <w:marRight w:val="0"/>
          <w:marTop w:val="0"/>
          <w:marBottom w:val="0"/>
          <w:divBdr>
            <w:top w:val="none" w:sz="0" w:space="0" w:color="auto"/>
            <w:left w:val="none" w:sz="0" w:space="0" w:color="auto"/>
            <w:bottom w:val="none" w:sz="0" w:space="0" w:color="auto"/>
            <w:right w:val="none" w:sz="0" w:space="0" w:color="auto"/>
          </w:divBdr>
          <w:divsChild>
            <w:div w:id="333655435">
              <w:marLeft w:val="0"/>
              <w:marRight w:val="0"/>
              <w:marTop w:val="0"/>
              <w:marBottom w:val="0"/>
              <w:divBdr>
                <w:top w:val="none" w:sz="0" w:space="0" w:color="auto"/>
                <w:left w:val="none" w:sz="0" w:space="0" w:color="auto"/>
                <w:bottom w:val="none" w:sz="0" w:space="0" w:color="auto"/>
                <w:right w:val="none" w:sz="0" w:space="0" w:color="auto"/>
              </w:divBdr>
            </w:div>
          </w:divsChild>
        </w:div>
        <w:div w:id="1187597496">
          <w:marLeft w:val="0"/>
          <w:marRight w:val="0"/>
          <w:marTop w:val="0"/>
          <w:marBottom w:val="0"/>
          <w:divBdr>
            <w:top w:val="none" w:sz="0" w:space="0" w:color="auto"/>
            <w:left w:val="none" w:sz="0" w:space="0" w:color="auto"/>
            <w:bottom w:val="none" w:sz="0" w:space="0" w:color="auto"/>
            <w:right w:val="none" w:sz="0" w:space="0" w:color="auto"/>
          </w:divBdr>
          <w:divsChild>
            <w:div w:id="2043094087">
              <w:marLeft w:val="0"/>
              <w:marRight w:val="0"/>
              <w:marTop w:val="0"/>
              <w:marBottom w:val="0"/>
              <w:divBdr>
                <w:top w:val="none" w:sz="0" w:space="0" w:color="auto"/>
                <w:left w:val="none" w:sz="0" w:space="0" w:color="auto"/>
                <w:bottom w:val="none" w:sz="0" w:space="0" w:color="auto"/>
                <w:right w:val="none" w:sz="0" w:space="0" w:color="auto"/>
              </w:divBdr>
            </w:div>
          </w:divsChild>
        </w:div>
        <w:div w:id="1191727659">
          <w:marLeft w:val="0"/>
          <w:marRight w:val="0"/>
          <w:marTop w:val="0"/>
          <w:marBottom w:val="0"/>
          <w:divBdr>
            <w:top w:val="none" w:sz="0" w:space="0" w:color="auto"/>
            <w:left w:val="none" w:sz="0" w:space="0" w:color="auto"/>
            <w:bottom w:val="none" w:sz="0" w:space="0" w:color="auto"/>
            <w:right w:val="none" w:sz="0" w:space="0" w:color="auto"/>
          </w:divBdr>
          <w:divsChild>
            <w:div w:id="1649507936">
              <w:marLeft w:val="0"/>
              <w:marRight w:val="0"/>
              <w:marTop w:val="0"/>
              <w:marBottom w:val="0"/>
              <w:divBdr>
                <w:top w:val="none" w:sz="0" w:space="0" w:color="auto"/>
                <w:left w:val="none" w:sz="0" w:space="0" w:color="auto"/>
                <w:bottom w:val="none" w:sz="0" w:space="0" w:color="auto"/>
                <w:right w:val="none" w:sz="0" w:space="0" w:color="auto"/>
              </w:divBdr>
            </w:div>
          </w:divsChild>
        </w:div>
        <w:div w:id="1198658038">
          <w:marLeft w:val="0"/>
          <w:marRight w:val="0"/>
          <w:marTop w:val="0"/>
          <w:marBottom w:val="0"/>
          <w:divBdr>
            <w:top w:val="none" w:sz="0" w:space="0" w:color="auto"/>
            <w:left w:val="none" w:sz="0" w:space="0" w:color="auto"/>
            <w:bottom w:val="none" w:sz="0" w:space="0" w:color="auto"/>
            <w:right w:val="none" w:sz="0" w:space="0" w:color="auto"/>
          </w:divBdr>
          <w:divsChild>
            <w:div w:id="665132976">
              <w:marLeft w:val="0"/>
              <w:marRight w:val="0"/>
              <w:marTop w:val="0"/>
              <w:marBottom w:val="0"/>
              <w:divBdr>
                <w:top w:val="none" w:sz="0" w:space="0" w:color="auto"/>
                <w:left w:val="none" w:sz="0" w:space="0" w:color="auto"/>
                <w:bottom w:val="none" w:sz="0" w:space="0" w:color="auto"/>
                <w:right w:val="none" w:sz="0" w:space="0" w:color="auto"/>
              </w:divBdr>
            </w:div>
          </w:divsChild>
        </w:div>
        <w:div w:id="1211109033">
          <w:marLeft w:val="0"/>
          <w:marRight w:val="0"/>
          <w:marTop w:val="0"/>
          <w:marBottom w:val="0"/>
          <w:divBdr>
            <w:top w:val="none" w:sz="0" w:space="0" w:color="auto"/>
            <w:left w:val="none" w:sz="0" w:space="0" w:color="auto"/>
            <w:bottom w:val="none" w:sz="0" w:space="0" w:color="auto"/>
            <w:right w:val="none" w:sz="0" w:space="0" w:color="auto"/>
          </w:divBdr>
          <w:divsChild>
            <w:div w:id="759256615">
              <w:marLeft w:val="0"/>
              <w:marRight w:val="0"/>
              <w:marTop w:val="0"/>
              <w:marBottom w:val="0"/>
              <w:divBdr>
                <w:top w:val="none" w:sz="0" w:space="0" w:color="auto"/>
                <w:left w:val="none" w:sz="0" w:space="0" w:color="auto"/>
                <w:bottom w:val="none" w:sz="0" w:space="0" w:color="auto"/>
                <w:right w:val="none" w:sz="0" w:space="0" w:color="auto"/>
              </w:divBdr>
            </w:div>
          </w:divsChild>
        </w:div>
        <w:div w:id="1218202699">
          <w:marLeft w:val="0"/>
          <w:marRight w:val="0"/>
          <w:marTop w:val="0"/>
          <w:marBottom w:val="0"/>
          <w:divBdr>
            <w:top w:val="none" w:sz="0" w:space="0" w:color="auto"/>
            <w:left w:val="none" w:sz="0" w:space="0" w:color="auto"/>
            <w:bottom w:val="none" w:sz="0" w:space="0" w:color="auto"/>
            <w:right w:val="none" w:sz="0" w:space="0" w:color="auto"/>
          </w:divBdr>
          <w:divsChild>
            <w:div w:id="942882829">
              <w:marLeft w:val="0"/>
              <w:marRight w:val="0"/>
              <w:marTop w:val="0"/>
              <w:marBottom w:val="0"/>
              <w:divBdr>
                <w:top w:val="none" w:sz="0" w:space="0" w:color="auto"/>
                <w:left w:val="none" w:sz="0" w:space="0" w:color="auto"/>
                <w:bottom w:val="none" w:sz="0" w:space="0" w:color="auto"/>
                <w:right w:val="none" w:sz="0" w:space="0" w:color="auto"/>
              </w:divBdr>
            </w:div>
          </w:divsChild>
        </w:div>
        <w:div w:id="1263337703">
          <w:marLeft w:val="0"/>
          <w:marRight w:val="0"/>
          <w:marTop w:val="0"/>
          <w:marBottom w:val="0"/>
          <w:divBdr>
            <w:top w:val="none" w:sz="0" w:space="0" w:color="auto"/>
            <w:left w:val="none" w:sz="0" w:space="0" w:color="auto"/>
            <w:bottom w:val="none" w:sz="0" w:space="0" w:color="auto"/>
            <w:right w:val="none" w:sz="0" w:space="0" w:color="auto"/>
          </w:divBdr>
          <w:divsChild>
            <w:div w:id="569535507">
              <w:marLeft w:val="0"/>
              <w:marRight w:val="0"/>
              <w:marTop w:val="0"/>
              <w:marBottom w:val="0"/>
              <w:divBdr>
                <w:top w:val="none" w:sz="0" w:space="0" w:color="auto"/>
                <w:left w:val="none" w:sz="0" w:space="0" w:color="auto"/>
                <w:bottom w:val="none" w:sz="0" w:space="0" w:color="auto"/>
                <w:right w:val="none" w:sz="0" w:space="0" w:color="auto"/>
              </w:divBdr>
            </w:div>
          </w:divsChild>
        </w:div>
        <w:div w:id="1300960338">
          <w:marLeft w:val="0"/>
          <w:marRight w:val="0"/>
          <w:marTop w:val="0"/>
          <w:marBottom w:val="0"/>
          <w:divBdr>
            <w:top w:val="none" w:sz="0" w:space="0" w:color="auto"/>
            <w:left w:val="none" w:sz="0" w:space="0" w:color="auto"/>
            <w:bottom w:val="none" w:sz="0" w:space="0" w:color="auto"/>
            <w:right w:val="none" w:sz="0" w:space="0" w:color="auto"/>
          </w:divBdr>
          <w:divsChild>
            <w:div w:id="1196191984">
              <w:marLeft w:val="0"/>
              <w:marRight w:val="0"/>
              <w:marTop w:val="0"/>
              <w:marBottom w:val="0"/>
              <w:divBdr>
                <w:top w:val="none" w:sz="0" w:space="0" w:color="auto"/>
                <w:left w:val="none" w:sz="0" w:space="0" w:color="auto"/>
                <w:bottom w:val="none" w:sz="0" w:space="0" w:color="auto"/>
                <w:right w:val="none" w:sz="0" w:space="0" w:color="auto"/>
              </w:divBdr>
            </w:div>
          </w:divsChild>
        </w:div>
        <w:div w:id="1355616230">
          <w:marLeft w:val="0"/>
          <w:marRight w:val="0"/>
          <w:marTop w:val="0"/>
          <w:marBottom w:val="0"/>
          <w:divBdr>
            <w:top w:val="none" w:sz="0" w:space="0" w:color="auto"/>
            <w:left w:val="none" w:sz="0" w:space="0" w:color="auto"/>
            <w:bottom w:val="none" w:sz="0" w:space="0" w:color="auto"/>
            <w:right w:val="none" w:sz="0" w:space="0" w:color="auto"/>
          </w:divBdr>
          <w:divsChild>
            <w:div w:id="247353418">
              <w:marLeft w:val="0"/>
              <w:marRight w:val="0"/>
              <w:marTop w:val="0"/>
              <w:marBottom w:val="0"/>
              <w:divBdr>
                <w:top w:val="none" w:sz="0" w:space="0" w:color="auto"/>
                <w:left w:val="none" w:sz="0" w:space="0" w:color="auto"/>
                <w:bottom w:val="none" w:sz="0" w:space="0" w:color="auto"/>
                <w:right w:val="none" w:sz="0" w:space="0" w:color="auto"/>
              </w:divBdr>
            </w:div>
          </w:divsChild>
        </w:div>
        <w:div w:id="1367215496">
          <w:marLeft w:val="0"/>
          <w:marRight w:val="0"/>
          <w:marTop w:val="0"/>
          <w:marBottom w:val="0"/>
          <w:divBdr>
            <w:top w:val="none" w:sz="0" w:space="0" w:color="auto"/>
            <w:left w:val="none" w:sz="0" w:space="0" w:color="auto"/>
            <w:bottom w:val="none" w:sz="0" w:space="0" w:color="auto"/>
            <w:right w:val="none" w:sz="0" w:space="0" w:color="auto"/>
          </w:divBdr>
          <w:divsChild>
            <w:div w:id="2082438975">
              <w:marLeft w:val="0"/>
              <w:marRight w:val="0"/>
              <w:marTop w:val="0"/>
              <w:marBottom w:val="0"/>
              <w:divBdr>
                <w:top w:val="none" w:sz="0" w:space="0" w:color="auto"/>
                <w:left w:val="none" w:sz="0" w:space="0" w:color="auto"/>
                <w:bottom w:val="none" w:sz="0" w:space="0" w:color="auto"/>
                <w:right w:val="none" w:sz="0" w:space="0" w:color="auto"/>
              </w:divBdr>
            </w:div>
          </w:divsChild>
        </w:div>
        <w:div w:id="1371538100">
          <w:marLeft w:val="0"/>
          <w:marRight w:val="0"/>
          <w:marTop w:val="0"/>
          <w:marBottom w:val="0"/>
          <w:divBdr>
            <w:top w:val="none" w:sz="0" w:space="0" w:color="auto"/>
            <w:left w:val="none" w:sz="0" w:space="0" w:color="auto"/>
            <w:bottom w:val="none" w:sz="0" w:space="0" w:color="auto"/>
            <w:right w:val="none" w:sz="0" w:space="0" w:color="auto"/>
          </w:divBdr>
          <w:divsChild>
            <w:div w:id="1311204825">
              <w:marLeft w:val="0"/>
              <w:marRight w:val="0"/>
              <w:marTop w:val="0"/>
              <w:marBottom w:val="0"/>
              <w:divBdr>
                <w:top w:val="none" w:sz="0" w:space="0" w:color="auto"/>
                <w:left w:val="none" w:sz="0" w:space="0" w:color="auto"/>
                <w:bottom w:val="none" w:sz="0" w:space="0" w:color="auto"/>
                <w:right w:val="none" w:sz="0" w:space="0" w:color="auto"/>
              </w:divBdr>
            </w:div>
          </w:divsChild>
        </w:div>
        <w:div w:id="1406101789">
          <w:marLeft w:val="0"/>
          <w:marRight w:val="0"/>
          <w:marTop w:val="0"/>
          <w:marBottom w:val="0"/>
          <w:divBdr>
            <w:top w:val="none" w:sz="0" w:space="0" w:color="auto"/>
            <w:left w:val="none" w:sz="0" w:space="0" w:color="auto"/>
            <w:bottom w:val="none" w:sz="0" w:space="0" w:color="auto"/>
            <w:right w:val="none" w:sz="0" w:space="0" w:color="auto"/>
          </w:divBdr>
          <w:divsChild>
            <w:div w:id="481703688">
              <w:marLeft w:val="0"/>
              <w:marRight w:val="0"/>
              <w:marTop w:val="0"/>
              <w:marBottom w:val="0"/>
              <w:divBdr>
                <w:top w:val="none" w:sz="0" w:space="0" w:color="auto"/>
                <w:left w:val="none" w:sz="0" w:space="0" w:color="auto"/>
                <w:bottom w:val="none" w:sz="0" w:space="0" w:color="auto"/>
                <w:right w:val="none" w:sz="0" w:space="0" w:color="auto"/>
              </w:divBdr>
            </w:div>
          </w:divsChild>
        </w:div>
        <w:div w:id="1431701243">
          <w:marLeft w:val="0"/>
          <w:marRight w:val="0"/>
          <w:marTop w:val="0"/>
          <w:marBottom w:val="0"/>
          <w:divBdr>
            <w:top w:val="none" w:sz="0" w:space="0" w:color="auto"/>
            <w:left w:val="none" w:sz="0" w:space="0" w:color="auto"/>
            <w:bottom w:val="none" w:sz="0" w:space="0" w:color="auto"/>
            <w:right w:val="none" w:sz="0" w:space="0" w:color="auto"/>
          </w:divBdr>
          <w:divsChild>
            <w:div w:id="801656523">
              <w:marLeft w:val="0"/>
              <w:marRight w:val="0"/>
              <w:marTop w:val="0"/>
              <w:marBottom w:val="0"/>
              <w:divBdr>
                <w:top w:val="none" w:sz="0" w:space="0" w:color="auto"/>
                <w:left w:val="none" w:sz="0" w:space="0" w:color="auto"/>
                <w:bottom w:val="none" w:sz="0" w:space="0" w:color="auto"/>
                <w:right w:val="none" w:sz="0" w:space="0" w:color="auto"/>
              </w:divBdr>
            </w:div>
          </w:divsChild>
        </w:div>
        <w:div w:id="1448574913">
          <w:marLeft w:val="0"/>
          <w:marRight w:val="0"/>
          <w:marTop w:val="0"/>
          <w:marBottom w:val="0"/>
          <w:divBdr>
            <w:top w:val="none" w:sz="0" w:space="0" w:color="auto"/>
            <w:left w:val="none" w:sz="0" w:space="0" w:color="auto"/>
            <w:bottom w:val="none" w:sz="0" w:space="0" w:color="auto"/>
            <w:right w:val="none" w:sz="0" w:space="0" w:color="auto"/>
          </w:divBdr>
          <w:divsChild>
            <w:div w:id="1125268420">
              <w:marLeft w:val="0"/>
              <w:marRight w:val="0"/>
              <w:marTop w:val="0"/>
              <w:marBottom w:val="0"/>
              <w:divBdr>
                <w:top w:val="none" w:sz="0" w:space="0" w:color="auto"/>
                <w:left w:val="none" w:sz="0" w:space="0" w:color="auto"/>
                <w:bottom w:val="none" w:sz="0" w:space="0" w:color="auto"/>
                <w:right w:val="none" w:sz="0" w:space="0" w:color="auto"/>
              </w:divBdr>
            </w:div>
          </w:divsChild>
        </w:div>
        <w:div w:id="1454667396">
          <w:marLeft w:val="0"/>
          <w:marRight w:val="0"/>
          <w:marTop w:val="0"/>
          <w:marBottom w:val="0"/>
          <w:divBdr>
            <w:top w:val="none" w:sz="0" w:space="0" w:color="auto"/>
            <w:left w:val="none" w:sz="0" w:space="0" w:color="auto"/>
            <w:bottom w:val="none" w:sz="0" w:space="0" w:color="auto"/>
            <w:right w:val="none" w:sz="0" w:space="0" w:color="auto"/>
          </w:divBdr>
          <w:divsChild>
            <w:div w:id="569384841">
              <w:marLeft w:val="0"/>
              <w:marRight w:val="0"/>
              <w:marTop w:val="0"/>
              <w:marBottom w:val="0"/>
              <w:divBdr>
                <w:top w:val="none" w:sz="0" w:space="0" w:color="auto"/>
                <w:left w:val="none" w:sz="0" w:space="0" w:color="auto"/>
                <w:bottom w:val="none" w:sz="0" w:space="0" w:color="auto"/>
                <w:right w:val="none" w:sz="0" w:space="0" w:color="auto"/>
              </w:divBdr>
            </w:div>
          </w:divsChild>
        </w:div>
        <w:div w:id="1464734808">
          <w:marLeft w:val="0"/>
          <w:marRight w:val="0"/>
          <w:marTop w:val="0"/>
          <w:marBottom w:val="0"/>
          <w:divBdr>
            <w:top w:val="none" w:sz="0" w:space="0" w:color="auto"/>
            <w:left w:val="none" w:sz="0" w:space="0" w:color="auto"/>
            <w:bottom w:val="none" w:sz="0" w:space="0" w:color="auto"/>
            <w:right w:val="none" w:sz="0" w:space="0" w:color="auto"/>
          </w:divBdr>
          <w:divsChild>
            <w:div w:id="876695079">
              <w:marLeft w:val="0"/>
              <w:marRight w:val="0"/>
              <w:marTop w:val="0"/>
              <w:marBottom w:val="0"/>
              <w:divBdr>
                <w:top w:val="none" w:sz="0" w:space="0" w:color="auto"/>
                <w:left w:val="none" w:sz="0" w:space="0" w:color="auto"/>
                <w:bottom w:val="none" w:sz="0" w:space="0" w:color="auto"/>
                <w:right w:val="none" w:sz="0" w:space="0" w:color="auto"/>
              </w:divBdr>
            </w:div>
          </w:divsChild>
        </w:div>
        <w:div w:id="1465394653">
          <w:marLeft w:val="0"/>
          <w:marRight w:val="0"/>
          <w:marTop w:val="0"/>
          <w:marBottom w:val="0"/>
          <w:divBdr>
            <w:top w:val="none" w:sz="0" w:space="0" w:color="auto"/>
            <w:left w:val="none" w:sz="0" w:space="0" w:color="auto"/>
            <w:bottom w:val="none" w:sz="0" w:space="0" w:color="auto"/>
            <w:right w:val="none" w:sz="0" w:space="0" w:color="auto"/>
          </w:divBdr>
          <w:divsChild>
            <w:div w:id="2102141126">
              <w:marLeft w:val="0"/>
              <w:marRight w:val="0"/>
              <w:marTop w:val="0"/>
              <w:marBottom w:val="0"/>
              <w:divBdr>
                <w:top w:val="none" w:sz="0" w:space="0" w:color="auto"/>
                <w:left w:val="none" w:sz="0" w:space="0" w:color="auto"/>
                <w:bottom w:val="none" w:sz="0" w:space="0" w:color="auto"/>
                <w:right w:val="none" w:sz="0" w:space="0" w:color="auto"/>
              </w:divBdr>
            </w:div>
          </w:divsChild>
        </w:div>
        <w:div w:id="1485388265">
          <w:marLeft w:val="0"/>
          <w:marRight w:val="0"/>
          <w:marTop w:val="0"/>
          <w:marBottom w:val="0"/>
          <w:divBdr>
            <w:top w:val="none" w:sz="0" w:space="0" w:color="auto"/>
            <w:left w:val="none" w:sz="0" w:space="0" w:color="auto"/>
            <w:bottom w:val="none" w:sz="0" w:space="0" w:color="auto"/>
            <w:right w:val="none" w:sz="0" w:space="0" w:color="auto"/>
          </w:divBdr>
          <w:divsChild>
            <w:div w:id="906038428">
              <w:marLeft w:val="0"/>
              <w:marRight w:val="0"/>
              <w:marTop w:val="0"/>
              <w:marBottom w:val="0"/>
              <w:divBdr>
                <w:top w:val="none" w:sz="0" w:space="0" w:color="auto"/>
                <w:left w:val="none" w:sz="0" w:space="0" w:color="auto"/>
                <w:bottom w:val="none" w:sz="0" w:space="0" w:color="auto"/>
                <w:right w:val="none" w:sz="0" w:space="0" w:color="auto"/>
              </w:divBdr>
            </w:div>
          </w:divsChild>
        </w:div>
        <w:div w:id="1490095534">
          <w:marLeft w:val="0"/>
          <w:marRight w:val="0"/>
          <w:marTop w:val="0"/>
          <w:marBottom w:val="0"/>
          <w:divBdr>
            <w:top w:val="none" w:sz="0" w:space="0" w:color="auto"/>
            <w:left w:val="none" w:sz="0" w:space="0" w:color="auto"/>
            <w:bottom w:val="none" w:sz="0" w:space="0" w:color="auto"/>
            <w:right w:val="none" w:sz="0" w:space="0" w:color="auto"/>
          </w:divBdr>
          <w:divsChild>
            <w:div w:id="743837749">
              <w:marLeft w:val="0"/>
              <w:marRight w:val="0"/>
              <w:marTop w:val="0"/>
              <w:marBottom w:val="0"/>
              <w:divBdr>
                <w:top w:val="none" w:sz="0" w:space="0" w:color="auto"/>
                <w:left w:val="none" w:sz="0" w:space="0" w:color="auto"/>
                <w:bottom w:val="none" w:sz="0" w:space="0" w:color="auto"/>
                <w:right w:val="none" w:sz="0" w:space="0" w:color="auto"/>
              </w:divBdr>
            </w:div>
          </w:divsChild>
        </w:div>
        <w:div w:id="1491828333">
          <w:marLeft w:val="0"/>
          <w:marRight w:val="0"/>
          <w:marTop w:val="0"/>
          <w:marBottom w:val="0"/>
          <w:divBdr>
            <w:top w:val="none" w:sz="0" w:space="0" w:color="auto"/>
            <w:left w:val="none" w:sz="0" w:space="0" w:color="auto"/>
            <w:bottom w:val="none" w:sz="0" w:space="0" w:color="auto"/>
            <w:right w:val="none" w:sz="0" w:space="0" w:color="auto"/>
          </w:divBdr>
          <w:divsChild>
            <w:div w:id="951206976">
              <w:marLeft w:val="0"/>
              <w:marRight w:val="0"/>
              <w:marTop w:val="0"/>
              <w:marBottom w:val="0"/>
              <w:divBdr>
                <w:top w:val="none" w:sz="0" w:space="0" w:color="auto"/>
                <w:left w:val="none" w:sz="0" w:space="0" w:color="auto"/>
                <w:bottom w:val="none" w:sz="0" w:space="0" w:color="auto"/>
                <w:right w:val="none" w:sz="0" w:space="0" w:color="auto"/>
              </w:divBdr>
            </w:div>
          </w:divsChild>
        </w:div>
        <w:div w:id="1523395436">
          <w:marLeft w:val="0"/>
          <w:marRight w:val="0"/>
          <w:marTop w:val="0"/>
          <w:marBottom w:val="0"/>
          <w:divBdr>
            <w:top w:val="none" w:sz="0" w:space="0" w:color="auto"/>
            <w:left w:val="none" w:sz="0" w:space="0" w:color="auto"/>
            <w:bottom w:val="none" w:sz="0" w:space="0" w:color="auto"/>
            <w:right w:val="none" w:sz="0" w:space="0" w:color="auto"/>
          </w:divBdr>
          <w:divsChild>
            <w:div w:id="79300851">
              <w:marLeft w:val="0"/>
              <w:marRight w:val="0"/>
              <w:marTop w:val="0"/>
              <w:marBottom w:val="0"/>
              <w:divBdr>
                <w:top w:val="none" w:sz="0" w:space="0" w:color="auto"/>
                <w:left w:val="none" w:sz="0" w:space="0" w:color="auto"/>
                <w:bottom w:val="none" w:sz="0" w:space="0" w:color="auto"/>
                <w:right w:val="none" w:sz="0" w:space="0" w:color="auto"/>
              </w:divBdr>
            </w:div>
          </w:divsChild>
        </w:div>
        <w:div w:id="1545436240">
          <w:marLeft w:val="0"/>
          <w:marRight w:val="0"/>
          <w:marTop w:val="0"/>
          <w:marBottom w:val="0"/>
          <w:divBdr>
            <w:top w:val="none" w:sz="0" w:space="0" w:color="auto"/>
            <w:left w:val="none" w:sz="0" w:space="0" w:color="auto"/>
            <w:bottom w:val="none" w:sz="0" w:space="0" w:color="auto"/>
            <w:right w:val="none" w:sz="0" w:space="0" w:color="auto"/>
          </w:divBdr>
          <w:divsChild>
            <w:div w:id="261423934">
              <w:marLeft w:val="0"/>
              <w:marRight w:val="0"/>
              <w:marTop w:val="0"/>
              <w:marBottom w:val="0"/>
              <w:divBdr>
                <w:top w:val="none" w:sz="0" w:space="0" w:color="auto"/>
                <w:left w:val="none" w:sz="0" w:space="0" w:color="auto"/>
                <w:bottom w:val="none" w:sz="0" w:space="0" w:color="auto"/>
                <w:right w:val="none" w:sz="0" w:space="0" w:color="auto"/>
              </w:divBdr>
            </w:div>
          </w:divsChild>
        </w:div>
        <w:div w:id="1551652919">
          <w:marLeft w:val="0"/>
          <w:marRight w:val="0"/>
          <w:marTop w:val="0"/>
          <w:marBottom w:val="0"/>
          <w:divBdr>
            <w:top w:val="none" w:sz="0" w:space="0" w:color="auto"/>
            <w:left w:val="none" w:sz="0" w:space="0" w:color="auto"/>
            <w:bottom w:val="none" w:sz="0" w:space="0" w:color="auto"/>
            <w:right w:val="none" w:sz="0" w:space="0" w:color="auto"/>
          </w:divBdr>
          <w:divsChild>
            <w:div w:id="270481057">
              <w:marLeft w:val="0"/>
              <w:marRight w:val="0"/>
              <w:marTop w:val="0"/>
              <w:marBottom w:val="0"/>
              <w:divBdr>
                <w:top w:val="none" w:sz="0" w:space="0" w:color="auto"/>
                <w:left w:val="none" w:sz="0" w:space="0" w:color="auto"/>
                <w:bottom w:val="none" w:sz="0" w:space="0" w:color="auto"/>
                <w:right w:val="none" w:sz="0" w:space="0" w:color="auto"/>
              </w:divBdr>
            </w:div>
          </w:divsChild>
        </w:div>
        <w:div w:id="1554655509">
          <w:marLeft w:val="0"/>
          <w:marRight w:val="0"/>
          <w:marTop w:val="0"/>
          <w:marBottom w:val="0"/>
          <w:divBdr>
            <w:top w:val="none" w:sz="0" w:space="0" w:color="auto"/>
            <w:left w:val="none" w:sz="0" w:space="0" w:color="auto"/>
            <w:bottom w:val="none" w:sz="0" w:space="0" w:color="auto"/>
            <w:right w:val="none" w:sz="0" w:space="0" w:color="auto"/>
          </w:divBdr>
          <w:divsChild>
            <w:div w:id="1135757026">
              <w:marLeft w:val="0"/>
              <w:marRight w:val="0"/>
              <w:marTop w:val="0"/>
              <w:marBottom w:val="0"/>
              <w:divBdr>
                <w:top w:val="none" w:sz="0" w:space="0" w:color="auto"/>
                <w:left w:val="none" w:sz="0" w:space="0" w:color="auto"/>
                <w:bottom w:val="none" w:sz="0" w:space="0" w:color="auto"/>
                <w:right w:val="none" w:sz="0" w:space="0" w:color="auto"/>
              </w:divBdr>
            </w:div>
          </w:divsChild>
        </w:div>
        <w:div w:id="1555774051">
          <w:marLeft w:val="0"/>
          <w:marRight w:val="0"/>
          <w:marTop w:val="0"/>
          <w:marBottom w:val="0"/>
          <w:divBdr>
            <w:top w:val="none" w:sz="0" w:space="0" w:color="auto"/>
            <w:left w:val="none" w:sz="0" w:space="0" w:color="auto"/>
            <w:bottom w:val="none" w:sz="0" w:space="0" w:color="auto"/>
            <w:right w:val="none" w:sz="0" w:space="0" w:color="auto"/>
          </w:divBdr>
          <w:divsChild>
            <w:div w:id="1569418613">
              <w:marLeft w:val="0"/>
              <w:marRight w:val="0"/>
              <w:marTop w:val="0"/>
              <w:marBottom w:val="0"/>
              <w:divBdr>
                <w:top w:val="none" w:sz="0" w:space="0" w:color="auto"/>
                <w:left w:val="none" w:sz="0" w:space="0" w:color="auto"/>
                <w:bottom w:val="none" w:sz="0" w:space="0" w:color="auto"/>
                <w:right w:val="none" w:sz="0" w:space="0" w:color="auto"/>
              </w:divBdr>
            </w:div>
          </w:divsChild>
        </w:div>
        <w:div w:id="1579552606">
          <w:marLeft w:val="0"/>
          <w:marRight w:val="0"/>
          <w:marTop w:val="0"/>
          <w:marBottom w:val="0"/>
          <w:divBdr>
            <w:top w:val="none" w:sz="0" w:space="0" w:color="auto"/>
            <w:left w:val="none" w:sz="0" w:space="0" w:color="auto"/>
            <w:bottom w:val="none" w:sz="0" w:space="0" w:color="auto"/>
            <w:right w:val="none" w:sz="0" w:space="0" w:color="auto"/>
          </w:divBdr>
          <w:divsChild>
            <w:div w:id="78917247">
              <w:marLeft w:val="0"/>
              <w:marRight w:val="0"/>
              <w:marTop w:val="0"/>
              <w:marBottom w:val="0"/>
              <w:divBdr>
                <w:top w:val="none" w:sz="0" w:space="0" w:color="auto"/>
                <w:left w:val="none" w:sz="0" w:space="0" w:color="auto"/>
                <w:bottom w:val="none" w:sz="0" w:space="0" w:color="auto"/>
                <w:right w:val="none" w:sz="0" w:space="0" w:color="auto"/>
              </w:divBdr>
            </w:div>
          </w:divsChild>
        </w:div>
        <w:div w:id="1654142203">
          <w:marLeft w:val="0"/>
          <w:marRight w:val="0"/>
          <w:marTop w:val="0"/>
          <w:marBottom w:val="0"/>
          <w:divBdr>
            <w:top w:val="none" w:sz="0" w:space="0" w:color="auto"/>
            <w:left w:val="none" w:sz="0" w:space="0" w:color="auto"/>
            <w:bottom w:val="none" w:sz="0" w:space="0" w:color="auto"/>
            <w:right w:val="none" w:sz="0" w:space="0" w:color="auto"/>
          </w:divBdr>
          <w:divsChild>
            <w:div w:id="355665579">
              <w:marLeft w:val="0"/>
              <w:marRight w:val="0"/>
              <w:marTop w:val="0"/>
              <w:marBottom w:val="0"/>
              <w:divBdr>
                <w:top w:val="none" w:sz="0" w:space="0" w:color="auto"/>
                <w:left w:val="none" w:sz="0" w:space="0" w:color="auto"/>
                <w:bottom w:val="none" w:sz="0" w:space="0" w:color="auto"/>
                <w:right w:val="none" w:sz="0" w:space="0" w:color="auto"/>
              </w:divBdr>
            </w:div>
          </w:divsChild>
        </w:div>
        <w:div w:id="1691761685">
          <w:marLeft w:val="0"/>
          <w:marRight w:val="0"/>
          <w:marTop w:val="0"/>
          <w:marBottom w:val="0"/>
          <w:divBdr>
            <w:top w:val="none" w:sz="0" w:space="0" w:color="auto"/>
            <w:left w:val="none" w:sz="0" w:space="0" w:color="auto"/>
            <w:bottom w:val="none" w:sz="0" w:space="0" w:color="auto"/>
            <w:right w:val="none" w:sz="0" w:space="0" w:color="auto"/>
          </w:divBdr>
          <w:divsChild>
            <w:div w:id="1854883424">
              <w:marLeft w:val="0"/>
              <w:marRight w:val="0"/>
              <w:marTop w:val="0"/>
              <w:marBottom w:val="0"/>
              <w:divBdr>
                <w:top w:val="none" w:sz="0" w:space="0" w:color="auto"/>
                <w:left w:val="none" w:sz="0" w:space="0" w:color="auto"/>
                <w:bottom w:val="none" w:sz="0" w:space="0" w:color="auto"/>
                <w:right w:val="none" w:sz="0" w:space="0" w:color="auto"/>
              </w:divBdr>
            </w:div>
          </w:divsChild>
        </w:div>
        <w:div w:id="1713574603">
          <w:marLeft w:val="0"/>
          <w:marRight w:val="0"/>
          <w:marTop w:val="0"/>
          <w:marBottom w:val="0"/>
          <w:divBdr>
            <w:top w:val="none" w:sz="0" w:space="0" w:color="auto"/>
            <w:left w:val="none" w:sz="0" w:space="0" w:color="auto"/>
            <w:bottom w:val="none" w:sz="0" w:space="0" w:color="auto"/>
            <w:right w:val="none" w:sz="0" w:space="0" w:color="auto"/>
          </w:divBdr>
          <w:divsChild>
            <w:div w:id="947540150">
              <w:marLeft w:val="0"/>
              <w:marRight w:val="0"/>
              <w:marTop w:val="0"/>
              <w:marBottom w:val="0"/>
              <w:divBdr>
                <w:top w:val="none" w:sz="0" w:space="0" w:color="auto"/>
                <w:left w:val="none" w:sz="0" w:space="0" w:color="auto"/>
                <w:bottom w:val="none" w:sz="0" w:space="0" w:color="auto"/>
                <w:right w:val="none" w:sz="0" w:space="0" w:color="auto"/>
              </w:divBdr>
            </w:div>
          </w:divsChild>
        </w:div>
        <w:div w:id="1725569244">
          <w:marLeft w:val="0"/>
          <w:marRight w:val="0"/>
          <w:marTop w:val="0"/>
          <w:marBottom w:val="0"/>
          <w:divBdr>
            <w:top w:val="none" w:sz="0" w:space="0" w:color="auto"/>
            <w:left w:val="none" w:sz="0" w:space="0" w:color="auto"/>
            <w:bottom w:val="none" w:sz="0" w:space="0" w:color="auto"/>
            <w:right w:val="none" w:sz="0" w:space="0" w:color="auto"/>
          </w:divBdr>
          <w:divsChild>
            <w:div w:id="2007977742">
              <w:marLeft w:val="0"/>
              <w:marRight w:val="0"/>
              <w:marTop w:val="0"/>
              <w:marBottom w:val="0"/>
              <w:divBdr>
                <w:top w:val="none" w:sz="0" w:space="0" w:color="auto"/>
                <w:left w:val="none" w:sz="0" w:space="0" w:color="auto"/>
                <w:bottom w:val="none" w:sz="0" w:space="0" w:color="auto"/>
                <w:right w:val="none" w:sz="0" w:space="0" w:color="auto"/>
              </w:divBdr>
            </w:div>
          </w:divsChild>
        </w:div>
        <w:div w:id="1731690158">
          <w:marLeft w:val="0"/>
          <w:marRight w:val="0"/>
          <w:marTop w:val="0"/>
          <w:marBottom w:val="0"/>
          <w:divBdr>
            <w:top w:val="none" w:sz="0" w:space="0" w:color="auto"/>
            <w:left w:val="none" w:sz="0" w:space="0" w:color="auto"/>
            <w:bottom w:val="none" w:sz="0" w:space="0" w:color="auto"/>
            <w:right w:val="none" w:sz="0" w:space="0" w:color="auto"/>
          </w:divBdr>
          <w:divsChild>
            <w:div w:id="1223784222">
              <w:marLeft w:val="0"/>
              <w:marRight w:val="0"/>
              <w:marTop w:val="0"/>
              <w:marBottom w:val="0"/>
              <w:divBdr>
                <w:top w:val="none" w:sz="0" w:space="0" w:color="auto"/>
                <w:left w:val="none" w:sz="0" w:space="0" w:color="auto"/>
                <w:bottom w:val="none" w:sz="0" w:space="0" w:color="auto"/>
                <w:right w:val="none" w:sz="0" w:space="0" w:color="auto"/>
              </w:divBdr>
            </w:div>
          </w:divsChild>
        </w:div>
        <w:div w:id="1741513629">
          <w:marLeft w:val="0"/>
          <w:marRight w:val="0"/>
          <w:marTop w:val="0"/>
          <w:marBottom w:val="0"/>
          <w:divBdr>
            <w:top w:val="none" w:sz="0" w:space="0" w:color="auto"/>
            <w:left w:val="none" w:sz="0" w:space="0" w:color="auto"/>
            <w:bottom w:val="none" w:sz="0" w:space="0" w:color="auto"/>
            <w:right w:val="none" w:sz="0" w:space="0" w:color="auto"/>
          </w:divBdr>
          <w:divsChild>
            <w:div w:id="321585562">
              <w:marLeft w:val="0"/>
              <w:marRight w:val="0"/>
              <w:marTop w:val="0"/>
              <w:marBottom w:val="0"/>
              <w:divBdr>
                <w:top w:val="none" w:sz="0" w:space="0" w:color="auto"/>
                <w:left w:val="none" w:sz="0" w:space="0" w:color="auto"/>
                <w:bottom w:val="none" w:sz="0" w:space="0" w:color="auto"/>
                <w:right w:val="none" w:sz="0" w:space="0" w:color="auto"/>
              </w:divBdr>
            </w:div>
          </w:divsChild>
        </w:div>
        <w:div w:id="1755056005">
          <w:marLeft w:val="0"/>
          <w:marRight w:val="0"/>
          <w:marTop w:val="0"/>
          <w:marBottom w:val="0"/>
          <w:divBdr>
            <w:top w:val="none" w:sz="0" w:space="0" w:color="auto"/>
            <w:left w:val="none" w:sz="0" w:space="0" w:color="auto"/>
            <w:bottom w:val="none" w:sz="0" w:space="0" w:color="auto"/>
            <w:right w:val="none" w:sz="0" w:space="0" w:color="auto"/>
          </w:divBdr>
          <w:divsChild>
            <w:div w:id="648939536">
              <w:marLeft w:val="0"/>
              <w:marRight w:val="0"/>
              <w:marTop w:val="0"/>
              <w:marBottom w:val="0"/>
              <w:divBdr>
                <w:top w:val="none" w:sz="0" w:space="0" w:color="auto"/>
                <w:left w:val="none" w:sz="0" w:space="0" w:color="auto"/>
                <w:bottom w:val="none" w:sz="0" w:space="0" w:color="auto"/>
                <w:right w:val="none" w:sz="0" w:space="0" w:color="auto"/>
              </w:divBdr>
            </w:div>
          </w:divsChild>
        </w:div>
        <w:div w:id="1792017737">
          <w:marLeft w:val="0"/>
          <w:marRight w:val="0"/>
          <w:marTop w:val="0"/>
          <w:marBottom w:val="0"/>
          <w:divBdr>
            <w:top w:val="none" w:sz="0" w:space="0" w:color="auto"/>
            <w:left w:val="none" w:sz="0" w:space="0" w:color="auto"/>
            <w:bottom w:val="none" w:sz="0" w:space="0" w:color="auto"/>
            <w:right w:val="none" w:sz="0" w:space="0" w:color="auto"/>
          </w:divBdr>
          <w:divsChild>
            <w:div w:id="914247658">
              <w:marLeft w:val="0"/>
              <w:marRight w:val="0"/>
              <w:marTop w:val="0"/>
              <w:marBottom w:val="0"/>
              <w:divBdr>
                <w:top w:val="none" w:sz="0" w:space="0" w:color="auto"/>
                <w:left w:val="none" w:sz="0" w:space="0" w:color="auto"/>
                <w:bottom w:val="none" w:sz="0" w:space="0" w:color="auto"/>
                <w:right w:val="none" w:sz="0" w:space="0" w:color="auto"/>
              </w:divBdr>
            </w:div>
          </w:divsChild>
        </w:div>
        <w:div w:id="1796293909">
          <w:marLeft w:val="0"/>
          <w:marRight w:val="0"/>
          <w:marTop w:val="0"/>
          <w:marBottom w:val="0"/>
          <w:divBdr>
            <w:top w:val="none" w:sz="0" w:space="0" w:color="auto"/>
            <w:left w:val="none" w:sz="0" w:space="0" w:color="auto"/>
            <w:bottom w:val="none" w:sz="0" w:space="0" w:color="auto"/>
            <w:right w:val="none" w:sz="0" w:space="0" w:color="auto"/>
          </w:divBdr>
          <w:divsChild>
            <w:div w:id="799035584">
              <w:marLeft w:val="0"/>
              <w:marRight w:val="0"/>
              <w:marTop w:val="0"/>
              <w:marBottom w:val="0"/>
              <w:divBdr>
                <w:top w:val="none" w:sz="0" w:space="0" w:color="auto"/>
                <w:left w:val="none" w:sz="0" w:space="0" w:color="auto"/>
                <w:bottom w:val="none" w:sz="0" w:space="0" w:color="auto"/>
                <w:right w:val="none" w:sz="0" w:space="0" w:color="auto"/>
              </w:divBdr>
            </w:div>
          </w:divsChild>
        </w:div>
        <w:div w:id="1873375447">
          <w:marLeft w:val="0"/>
          <w:marRight w:val="0"/>
          <w:marTop w:val="0"/>
          <w:marBottom w:val="0"/>
          <w:divBdr>
            <w:top w:val="none" w:sz="0" w:space="0" w:color="auto"/>
            <w:left w:val="none" w:sz="0" w:space="0" w:color="auto"/>
            <w:bottom w:val="none" w:sz="0" w:space="0" w:color="auto"/>
            <w:right w:val="none" w:sz="0" w:space="0" w:color="auto"/>
          </w:divBdr>
          <w:divsChild>
            <w:div w:id="2085565136">
              <w:marLeft w:val="0"/>
              <w:marRight w:val="0"/>
              <w:marTop w:val="0"/>
              <w:marBottom w:val="0"/>
              <w:divBdr>
                <w:top w:val="none" w:sz="0" w:space="0" w:color="auto"/>
                <w:left w:val="none" w:sz="0" w:space="0" w:color="auto"/>
                <w:bottom w:val="none" w:sz="0" w:space="0" w:color="auto"/>
                <w:right w:val="none" w:sz="0" w:space="0" w:color="auto"/>
              </w:divBdr>
            </w:div>
          </w:divsChild>
        </w:div>
        <w:div w:id="1885634469">
          <w:marLeft w:val="0"/>
          <w:marRight w:val="0"/>
          <w:marTop w:val="0"/>
          <w:marBottom w:val="0"/>
          <w:divBdr>
            <w:top w:val="none" w:sz="0" w:space="0" w:color="auto"/>
            <w:left w:val="none" w:sz="0" w:space="0" w:color="auto"/>
            <w:bottom w:val="none" w:sz="0" w:space="0" w:color="auto"/>
            <w:right w:val="none" w:sz="0" w:space="0" w:color="auto"/>
          </w:divBdr>
          <w:divsChild>
            <w:div w:id="2016150057">
              <w:marLeft w:val="0"/>
              <w:marRight w:val="0"/>
              <w:marTop w:val="0"/>
              <w:marBottom w:val="0"/>
              <w:divBdr>
                <w:top w:val="none" w:sz="0" w:space="0" w:color="auto"/>
                <w:left w:val="none" w:sz="0" w:space="0" w:color="auto"/>
                <w:bottom w:val="none" w:sz="0" w:space="0" w:color="auto"/>
                <w:right w:val="none" w:sz="0" w:space="0" w:color="auto"/>
              </w:divBdr>
            </w:div>
          </w:divsChild>
        </w:div>
        <w:div w:id="1886020184">
          <w:marLeft w:val="0"/>
          <w:marRight w:val="0"/>
          <w:marTop w:val="0"/>
          <w:marBottom w:val="0"/>
          <w:divBdr>
            <w:top w:val="none" w:sz="0" w:space="0" w:color="auto"/>
            <w:left w:val="none" w:sz="0" w:space="0" w:color="auto"/>
            <w:bottom w:val="none" w:sz="0" w:space="0" w:color="auto"/>
            <w:right w:val="none" w:sz="0" w:space="0" w:color="auto"/>
          </w:divBdr>
          <w:divsChild>
            <w:div w:id="1551765878">
              <w:marLeft w:val="0"/>
              <w:marRight w:val="0"/>
              <w:marTop w:val="0"/>
              <w:marBottom w:val="0"/>
              <w:divBdr>
                <w:top w:val="none" w:sz="0" w:space="0" w:color="auto"/>
                <w:left w:val="none" w:sz="0" w:space="0" w:color="auto"/>
                <w:bottom w:val="none" w:sz="0" w:space="0" w:color="auto"/>
                <w:right w:val="none" w:sz="0" w:space="0" w:color="auto"/>
              </w:divBdr>
            </w:div>
          </w:divsChild>
        </w:div>
        <w:div w:id="1896042815">
          <w:marLeft w:val="0"/>
          <w:marRight w:val="0"/>
          <w:marTop w:val="0"/>
          <w:marBottom w:val="0"/>
          <w:divBdr>
            <w:top w:val="none" w:sz="0" w:space="0" w:color="auto"/>
            <w:left w:val="none" w:sz="0" w:space="0" w:color="auto"/>
            <w:bottom w:val="none" w:sz="0" w:space="0" w:color="auto"/>
            <w:right w:val="none" w:sz="0" w:space="0" w:color="auto"/>
          </w:divBdr>
          <w:divsChild>
            <w:div w:id="2058426536">
              <w:marLeft w:val="0"/>
              <w:marRight w:val="0"/>
              <w:marTop w:val="0"/>
              <w:marBottom w:val="0"/>
              <w:divBdr>
                <w:top w:val="none" w:sz="0" w:space="0" w:color="auto"/>
                <w:left w:val="none" w:sz="0" w:space="0" w:color="auto"/>
                <w:bottom w:val="none" w:sz="0" w:space="0" w:color="auto"/>
                <w:right w:val="none" w:sz="0" w:space="0" w:color="auto"/>
              </w:divBdr>
            </w:div>
          </w:divsChild>
        </w:div>
        <w:div w:id="1924147416">
          <w:marLeft w:val="0"/>
          <w:marRight w:val="0"/>
          <w:marTop w:val="0"/>
          <w:marBottom w:val="0"/>
          <w:divBdr>
            <w:top w:val="none" w:sz="0" w:space="0" w:color="auto"/>
            <w:left w:val="none" w:sz="0" w:space="0" w:color="auto"/>
            <w:bottom w:val="none" w:sz="0" w:space="0" w:color="auto"/>
            <w:right w:val="none" w:sz="0" w:space="0" w:color="auto"/>
          </w:divBdr>
          <w:divsChild>
            <w:div w:id="1607271928">
              <w:marLeft w:val="0"/>
              <w:marRight w:val="0"/>
              <w:marTop w:val="0"/>
              <w:marBottom w:val="0"/>
              <w:divBdr>
                <w:top w:val="none" w:sz="0" w:space="0" w:color="auto"/>
                <w:left w:val="none" w:sz="0" w:space="0" w:color="auto"/>
                <w:bottom w:val="none" w:sz="0" w:space="0" w:color="auto"/>
                <w:right w:val="none" w:sz="0" w:space="0" w:color="auto"/>
              </w:divBdr>
            </w:div>
          </w:divsChild>
        </w:div>
        <w:div w:id="1955018030">
          <w:marLeft w:val="0"/>
          <w:marRight w:val="0"/>
          <w:marTop w:val="0"/>
          <w:marBottom w:val="0"/>
          <w:divBdr>
            <w:top w:val="none" w:sz="0" w:space="0" w:color="auto"/>
            <w:left w:val="none" w:sz="0" w:space="0" w:color="auto"/>
            <w:bottom w:val="none" w:sz="0" w:space="0" w:color="auto"/>
            <w:right w:val="none" w:sz="0" w:space="0" w:color="auto"/>
          </w:divBdr>
          <w:divsChild>
            <w:div w:id="647902828">
              <w:marLeft w:val="0"/>
              <w:marRight w:val="0"/>
              <w:marTop w:val="0"/>
              <w:marBottom w:val="0"/>
              <w:divBdr>
                <w:top w:val="none" w:sz="0" w:space="0" w:color="auto"/>
                <w:left w:val="none" w:sz="0" w:space="0" w:color="auto"/>
                <w:bottom w:val="none" w:sz="0" w:space="0" w:color="auto"/>
                <w:right w:val="none" w:sz="0" w:space="0" w:color="auto"/>
              </w:divBdr>
            </w:div>
          </w:divsChild>
        </w:div>
        <w:div w:id="1970890423">
          <w:marLeft w:val="0"/>
          <w:marRight w:val="0"/>
          <w:marTop w:val="0"/>
          <w:marBottom w:val="0"/>
          <w:divBdr>
            <w:top w:val="none" w:sz="0" w:space="0" w:color="auto"/>
            <w:left w:val="none" w:sz="0" w:space="0" w:color="auto"/>
            <w:bottom w:val="none" w:sz="0" w:space="0" w:color="auto"/>
            <w:right w:val="none" w:sz="0" w:space="0" w:color="auto"/>
          </w:divBdr>
          <w:divsChild>
            <w:div w:id="1364398438">
              <w:marLeft w:val="0"/>
              <w:marRight w:val="0"/>
              <w:marTop w:val="0"/>
              <w:marBottom w:val="0"/>
              <w:divBdr>
                <w:top w:val="none" w:sz="0" w:space="0" w:color="auto"/>
                <w:left w:val="none" w:sz="0" w:space="0" w:color="auto"/>
                <w:bottom w:val="none" w:sz="0" w:space="0" w:color="auto"/>
                <w:right w:val="none" w:sz="0" w:space="0" w:color="auto"/>
              </w:divBdr>
            </w:div>
          </w:divsChild>
        </w:div>
        <w:div w:id="2001497804">
          <w:marLeft w:val="0"/>
          <w:marRight w:val="0"/>
          <w:marTop w:val="0"/>
          <w:marBottom w:val="0"/>
          <w:divBdr>
            <w:top w:val="none" w:sz="0" w:space="0" w:color="auto"/>
            <w:left w:val="none" w:sz="0" w:space="0" w:color="auto"/>
            <w:bottom w:val="none" w:sz="0" w:space="0" w:color="auto"/>
            <w:right w:val="none" w:sz="0" w:space="0" w:color="auto"/>
          </w:divBdr>
          <w:divsChild>
            <w:div w:id="1905875677">
              <w:marLeft w:val="0"/>
              <w:marRight w:val="0"/>
              <w:marTop w:val="0"/>
              <w:marBottom w:val="0"/>
              <w:divBdr>
                <w:top w:val="none" w:sz="0" w:space="0" w:color="auto"/>
                <w:left w:val="none" w:sz="0" w:space="0" w:color="auto"/>
                <w:bottom w:val="none" w:sz="0" w:space="0" w:color="auto"/>
                <w:right w:val="none" w:sz="0" w:space="0" w:color="auto"/>
              </w:divBdr>
            </w:div>
          </w:divsChild>
        </w:div>
        <w:div w:id="2009095680">
          <w:marLeft w:val="0"/>
          <w:marRight w:val="0"/>
          <w:marTop w:val="0"/>
          <w:marBottom w:val="0"/>
          <w:divBdr>
            <w:top w:val="none" w:sz="0" w:space="0" w:color="auto"/>
            <w:left w:val="none" w:sz="0" w:space="0" w:color="auto"/>
            <w:bottom w:val="none" w:sz="0" w:space="0" w:color="auto"/>
            <w:right w:val="none" w:sz="0" w:space="0" w:color="auto"/>
          </w:divBdr>
          <w:divsChild>
            <w:div w:id="435251174">
              <w:marLeft w:val="0"/>
              <w:marRight w:val="0"/>
              <w:marTop w:val="0"/>
              <w:marBottom w:val="0"/>
              <w:divBdr>
                <w:top w:val="none" w:sz="0" w:space="0" w:color="auto"/>
                <w:left w:val="none" w:sz="0" w:space="0" w:color="auto"/>
                <w:bottom w:val="none" w:sz="0" w:space="0" w:color="auto"/>
                <w:right w:val="none" w:sz="0" w:space="0" w:color="auto"/>
              </w:divBdr>
            </w:div>
          </w:divsChild>
        </w:div>
        <w:div w:id="2011325197">
          <w:marLeft w:val="0"/>
          <w:marRight w:val="0"/>
          <w:marTop w:val="0"/>
          <w:marBottom w:val="0"/>
          <w:divBdr>
            <w:top w:val="none" w:sz="0" w:space="0" w:color="auto"/>
            <w:left w:val="none" w:sz="0" w:space="0" w:color="auto"/>
            <w:bottom w:val="none" w:sz="0" w:space="0" w:color="auto"/>
            <w:right w:val="none" w:sz="0" w:space="0" w:color="auto"/>
          </w:divBdr>
          <w:divsChild>
            <w:div w:id="2137023224">
              <w:marLeft w:val="0"/>
              <w:marRight w:val="0"/>
              <w:marTop w:val="0"/>
              <w:marBottom w:val="0"/>
              <w:divBdr>
                <w:top w:val="none" w:sz="0" w:space="0" w:color="auto"/>
                <w:left w:val="none" w:sz="0" w:space="0" w:color="auto"/>
                <w:bottom w:val="none" w:sz="0" w:space="0" w:color="auto"/>
                <w:right w:val="none" w:sz="0" w:space="0" w:color="auto"/>
              </w:divBdr>
            </w:div>
          </w:divsChild>
        </w:div>
        <w:div w:id="2028361984">
          <w:marLeft w:val="0"/>
          <w:marRight w:val="0"/>
          <w:marTop w:val="0"/>
          <w:marBottom w:val="0"/>
          <w:divBdr>
            <w:top w:val="none" w:sz="0" w:space="0" w:color="auto"/>
            <w:left w:val="none" w:sz="0" w:space="0" w:color="auto"/>
            <w:bottom w:val="none" w:sz="0" w:space="0" w:color="auto"/>
            <w:right w:val="none" w:sz="0" w:space="0" w:color="auto"/>
          </w:divBdr>
          <w:divsChild>
            <w:div w:id="1559511141">
              <w:marLeft w:val="0"/>
              <w:marRight w:val="0"/>
              <w:marTop w:val="0"/>
              <w:marBottom w:val="0"/>
              <w:divBdr>
                <w:top w:val="none" w:sz="0" w:space="0" w:color="auto"/>
                <w:left w:val="none" w:sz="0" w:space="0" w:color="auto"/>
                <w:bottom w:val="none" w:sz="0" w:space="0" w:color="auto"/>
                <w:right w:val="none" w:sz="0" w:space="0" w:color="auto"/>
              </w:divBdr>
            </w:div>
          </w:divsChild>
        </w:div>
        <w:div w:id="2030982948">
          <w:marLeft w:val="0"/>
          <w:marRight w:val="0"/>
          <w:marTop w:val="0"/>
          <w:marBottom w:val="0"/>
          <w:divBdr>
            <w:top w:val="none" w:sz="0" w:space="0" w:color="auto"/>
            <w:left w:val="none" w:sz="0" w:space="0" w:color="auto"/>
            <w:bottom w:val="none" w:sz="0" w:space="0" w:color="auto"/>
            <w:right w:val="none" w:sz="0" w:space="0" w:color="auto"/>
          </w:divBdr>
          <w:divsChild>
            <w:div w:id="841093061">
              <w:marLeft w:val="0"/>
              <w:marRight w:val="0"/>
              <w:marTop w:val="0"/>
              <w:marBottom w:val="0"/>
              <w:divBdr>
                <w:top w:val="none" w:sz="0" w:space="0" w:color="auto"/>
                <w:left w:val="none" w:sz="0" w:space="0" w:color="auto"/>
                <w:bottom w:val="none" w:sz="0" w:space="0" w:color="auto"/>
                <w:right w:val="none" w:sz="0" w:space="0" w:color="auto"/>
              </w:divBdr>
            </w:div>
          </w:divsChild>
        </w:div>
        <w:div w:id="2055081100">
          <w:marLeft w:val="0"/>
          <w:marRight w:val="0"/>
          <w:marTop w:val="0"/>
          <w:marBottom w:val="0"/>
          <w:divBdr>
            <w:top w:val="none" w:sz="0" w:space="0" w:color="auto"/>
            <w:left w:val="none" w:sz="0" w:space="0" w:color="auto"/>
            <w:bottom w:val="none" w:sz="0" w:space="0" w:color="auto"/>
            <w:right w:val="none" w:sz="0" w:space="0" w:color="auto"/>
          </w:divBdr>
          <w:divsChild>
            <w:div w:id="1195119163">
              <w:marLeft w:val="0"/>
              <w:marRight w:val="0"/>
              <w:marTop w:val="0"/>
              <w:marBottom w:val="0"/>
              <w:divBdr>
                <w:top w:val="none" w:sz="0" w:space="0" w:color="auto"/>
                <w:left w:val="none" w:sz="0" w:space="0" w:color="auto"/>
                <w:bottom w:val="none" w:sz="0" w:space="0" w:color="auto"/>
                <w:right w:val="none" w:sz="0" w:space="0" w:color="auto"/>
              </w:divBdr>
            </w:div>
          </w:divsChild>
        </w:div>
        <w:div w:id="2057704824">
          <w:marLeft w:val="0"/>
          <w:marRight w:val="0"/>
          <w:marTop w:val="0"/>
          <w:marBottom w:val="0"/>
          <w:divBdr>
            <w:top w:val="none" w:sz="0" w:space="0" w:color="auto"/>
            <w:left w:val="none" w:sz="0" w:space="0" w:color="auto"/>
            <w:bottom w:val="none" w:sz="0" w:space="0" w:color="auto"/>
            <w:right w:val="none" w:sz="0" w:space="0" w:color="auto"/>
          </w:divBdr>
          <w:divsChild>
            <w:div w:id="190195034">
              <w:marLeft w:val="0"/>
              <w:marRight w:val="0"/>
              <w:marTop w:val="0"/>
              <w:marBottom w:val="0"/>
              <w:divBdr>
                <w:top w:val="none" w:sz="0" w:space="0" w:color="auto"/>
                <w:left w:val="none" w:sz="0" w:space="0" w:color="auto"/>
                <w:bottom w:val="none" w:sz="0" w:space="0" w:color="auto"/>
                <w:right w:val="none" w:sz="0" w:space="0" w:color="auto"/>
              </w:divBdr>
            </w:div>
          </w:divsChild>
        </w:div>
        <w:div w:id="2087918605">
          <w:marLeft w:val="0"/>
          <w:marRight w:val="0"/>
          <w:marTop w:val="0"/>
          <w:marBottom w:val="0"/>
          <w:divBdr>
            <w:top w:val="none" w:sz="0" w:space="0" w:color="auto"/>
            <w:left w:val="none" w:sz="0" w:space="0" w:color="auto"/>
            <w:bottom w:val="none" w:sz="0" w:space="0" w:color="auto"/>
            <w:right w:val="none" w:sz="0" w:space="0" w:color="auto"/>
          </w:divBdr>
          <w:divsChild>
            <w:div w:id="1299064744">
              <w:marLeft w:val="0"/>
              <w:marRight w:val="0"/>
              <w:marTop w:val="0"/>
              <w:marBottom w:val="0"/>
              <w:divBdr>
                <w:top w:val="none" w:sz="0" w:space="0" w:color="auto"/>
                <w:left w:val="none" w:sz="0" w:space="0" w:color="auto"/>
                <w:bottom w:val="none" w:sz="0" w:space="0" w:color="auto"/>
                <w:right w:val="none" w:sz="0" w:space="0" w:color="auto"/>
              </w:divBdr>
            </w:div>
          </w:divsChild>
        </w:div>
        <w:div w:id="2089112355">
          <w:marLeft w:val="0"/>
          <w:marRight w:val="0"/>
          <w:marTop w:val="0"/>
          <w:marBottom w:val="0"/>
          <w:divBdr>
            <w:top w:val="none" w:sz="0" w:space="0" w:color="auto"/>
            <w:left w:val="none" w:sz="0" w:space="0" w:color="auto"/>
            <w:bottom w:val="none" w:sz="0" w:space="0" w:color="auto"/>
            <w:right w:val="none" w:sz="0" w:space="0" w:color="auto"/>
          </w:divBdr>
          <w:divsChild>
            <w:div w:id="1776556757">
              <w:marLeft w:val="0"/>
              <w:marRight w:val="0"/>
              <w:marTop w:val="0"/>
              <w:marBottom w:val="0"/>
              <w:divBdr>
                <w:top w:val="none" w:sz="0" w:space="0" w:color="auto"/>
                <w:left w:val="none" w:sz="0" w:space="0" w:color="auto"/>
                <w:bottom w:val="none" w:sz="0" w:space="0" w:color="auto"/>
                <w:right w:val="none" w:sz="0" w:space="0" w:color="auto"/>
              </w:divBdr>
            </w:div>
          </w:divsChild>
        </w:div>
        <w:div w:id="2110391534">
          <w:marLeft w:val="0"/>
          <w:marRight w:val="0"/>
          <w:marTop w:val="0"/>
          <w:marBottom w:val="0"/>
          <w:divBdr>
            <w:top w:val="none" w:sz="0" w:space="0" w:color="auto"/>
            <w:left w:val="none" w:sz="0" w:space="0" w:color="auto"/>
            <w:bottom w:val="none" w:sz="0" w:space="0" w:color="auto"/>
            <w:right w:val="none" w:sz="0" w:space="0" w:color="auto"/>
          </w:divBdr>
          <w:divsChild>
            <w:div w:id="101153387">
              <w:marLeft w:val="0"/>
              <w:marRight w:val="0"/>
              <w:marTop w:val="0"/>
              <w:marBottom w:val="0"/>
              <w:divBdr>
                <w:top w:val="none" w:sz="0" w:space="0" w:color="auto"/>
                <w:left w:val="none" w:sz="0" w:space="0" w:color="auto"/>
                <w:bottom w:val="none" w:sz="0" w:space="0" w:color="auto"/>
                <w:right w:val="none" w:sz="0" w:space="0" w:color="auto"/>
              </w:divBdr>
            </w:div>
          </w:divsChild>
        </w:div>
        <w:div w:id="2116827433">
          <w:marLeft w:val="0"/>
          <w:marRight w:val="0"/>
          <w:marTop w:val="0"/>
          <w:marBottom w:val="0"/>
          <w:divBdr>
            <w:top w:val="none" w:sz="0" w:space="0" w:color="auto"/>
            <w:left w:val="none" w:sz="0" w:space="0" w:color="auto"/>
            <w:bottom w:val="none" w:sz="0" w:space="0" w:color="auto"/>
            <w:right w:val="none" w:sz="0" w:space="0" w:color="auto"/>
          </w:divBdr>
          <w:divsChild>
            <w:div w:id="1649943614">
              <w:marLeft w:val="0"/>
              <w:marRight w:val="0"/>
              <w:marTop w:val="0"/>
              <w:marBottom w:val="0"/>
              <w:divBdr>
                <w:top w:val="none" w:sz="0" w:space="0" w:color="auto"/>
                <w:left w:val="none" w:sz="0" w:space="0" w:color="auto"/>
                <w:bottom w:val="none" w:sz="0" w:space="0" w:color="auto"/>
                <w:right w:val="none" w:sz="0" w:space="0" w:color="auto"/>
              </w:divBdr>
            </w:div>
          </w:divsChild>
        </w:div>
        <w:div w:id="2121990464">
          <w:marLeft w:val="0"/>
          <w:marRight w:val="0"/>
          <w:marTop w:val="0"/>
          <w:marBottom w:val="0"/>
          <w:divBdr>
            <w:top w:val="none" w:sz="0" w:space="0" w:color="auto"/>
            <w:left w:val="none" w:sz="0" w:space="0" w:color="auto"/>
            <w:bottom w:val="none" w:sz="0" w:space="0" w:color="auto"/>
            <w:right w:val="none" w:sz="0" w:space="0" w:color="auto"/>
          </w:divBdr>
          <w:divsChild>
            <w:div w:id="508565769">
              <w:marLeft w:val="0"/>
              <w:marRight w:val="0"/>
              <w:marTop w:val="0"/>
              <w:marBottom w:val="0"/>
              <w:divBdr>
                <w:top w:val="none" w:sz="0" w:space="0" w:color="auto"/>
                <w:left w:val="none" w:sz="0" w:space="0" w:color="auto"/>
                <w:bottom w:val="none" w:sz="0" w:space="0" w:color="auto"/>
                <w:right w:val="none" w:sz="0" w:space="0" w:color="auto"/>
              </w:divBdr>
            </w:div>
          </w:divsChild>
        </w:div>
        <w:div w:id="2136287249">
          <w:marLeft w:val="0"/>
          <w:marRight w:val="0"/>
          <w:marTop w:val="0"/>
          <w:marBottom w:val="0"/>
          <w:divBdr>
            <w:top w:val="none" w:sz="0" w:space="0" w:color="auto"/>
            <w:left w:val="none" w:sz="0" w:space="0" w:color="auto"/>
            <w:bottom w:val="none" w:sz="0" w:space="0" w:color="auto"/>
            <w:right w:val="none" w:sz="0" w:space="0" w:color="auto"/>
          </w:divBdr>
          <w:divsChild>
            <w:div w:id="6457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4797">
      <w:bodyDiv w:val="1"/>
      <w:marLeft w:val="0"/>
      <w:marRight w:val="0"/>
      <w:marTop w:val="0"/>
      <w:marBottom w:val="0"/>
      <w:divBdr>
        <w:top w:val="none" w:sz="0" w:space="0" w:color="auto"/>
        <w:left w:val="none" w:sz="0" w:space="0" w:color="auto"/>
        <w:bottom w:val="none" w:sz="0" w:space="0" w:color="auto"/>
        <w:right w:val="none" w:sz="0" w:space="0" w:color="auto"/>
      </w:divBdr>
    </w:div>
    <w:div w:id="1785463169">
      <w:bodyDiv w:val="1"/>
      <w:marLeft w:val="0"/>
      <w:marRight w:val="0"/>
      <w:marTop w:val="0"/>
      <w:marBottom w:val="0"/>
      <w:divBdr>
        <w:top w:val="none" w:sz="0" w:space="0" w:color="auto"/>
        <w:left w:val="none" w:sz="0" w:space="0" w:color="auto"/>
        <w:bottom w:val="none" w:sz="0" w:space="0" w:color="auto"/>
        <w:right w:val="none" w:sz="0" w:space="0" w:color="auto"/>
      </w:divBdr>
      <w:divsChild>
        <w:div w:id="793520621">
          <w:marLeft w:val="0"/>
          <w:marRight w:val="0"/>
          <w:marTop w:val="0"/>
          <w:marBottom w:val="0"/>
          <w:divBdr>
            <w:top w:val="none" w:sz="0" w:space="0" w:color="auto"/>
            <w:left w:val="none" w:sz="0" w:space="0" w:color="auto"/>
            <w:bottom w:val="none" w:sz="0" w:space="0" w:color="auto"/>
            <w:right w:val="none" w:sz="0" w:space="0" w:color="auto"/>
          </w:divBdr>
        </w:div>
        <w:div w:id="881749605">
          <w:marLeft w:val="0"/>
          <w:marRight w:val="0"/>
          <w:marTop w:val="0"/>
          <w:marBottom w:val="0"/>
          <w:divBdr>
            <w:top w:val="none" w:sz="0" w:space="0" w:color="auto"/>
            <w:left w:val="none" w:sz="0" w:space="0" w:color="auto"/>
            <w:bottom w:val="none" w:sz="0" w:space="0" w:color="auto"/>
            <w:right w:val="none" w:sz="0" w:space="0" w:color="auto"/>
          </w:divBdr>
        </w:div>
      </w:divsChild>
    </w:div>
    <w:div w:id="208564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1197-public"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health.gov.au/sites/default/files/documents/2022/03/memorandum-of-understanding-for-the-policy-parameters-of-the-prostheses-list-reform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sa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sites/default/files/documents/2022/03/memorandum-of-understanding-for-the-policy-parameters-of-the-prostheses-list-reforms.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edtronic.com/content/dam/medtronic-wide/public/united-states/customer-support-services/reimbursement/reimbursement-guide-cied.pdf?bypassIM=true" TargetMode="External"/><Relationship Id="rId23" Type="http://schemas.openxmlformats.org/officeDocument/2006/relationships/fontTable" Target="fontTable.xml"/><Relationship Id="rId10" Type="http://schemas.openxmlformats.org/officeDocument/2006/relationships/hyperlink" Target="http://www.msac.gov.au/internet/msac/publishing.nsf/Content/1443-publi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ac.gov.au/internet/msac/publishing.nsf/Content/1197.1-public" TargetMode="External"/><Relationship Id="rId14" Type="http://schemas.openxmlformats.org/officeDocument/2006/relationships/image" Target="media/image2.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au/resources/publications/agreement-between-the-government-and-the-medical-technology-association-of-australia" TargetMode="External"/><Relationship Id="rId2" Type="http://schemas.openxmlformats.org/officeDocument/2006/relationships/hyperlink" Target="https://www.health.gov.au/resources/publications/agreement-between-the-government-and-the-medical-technology-association-of-australia" TargetMode="External"/><Relationship Id="rId1" Type="http://schemas.openxmlformats.org/officeDocument/2006/relationships/hyperlink" Target="https://www.mtaa.org.au/sites/default/files/uploaded-content/field_f_content_file/mtaa-submission_pl_reform.pdf" TargetMode="External"/><Relationship Id="rId6" Type="http://schemas.openxmlformats.org/officeDocument/2006/relationships/hyperlink" Target="https://www.grants.gov.au/Go/Show?GoUuid=5b899505-a6fe-4e38-b1ec-a607bf302229" TargetMode="External"/><Relationship Id="rId5" Type="http://schemas.openxmlformats.org/officeDocument/2006/relationships/hyperlink" Target="https://www.csanz.edu.au/wp-content/uploads/2017/03/Sub-spec-Training-CIED_2017-March.pdf" TargetMode="External"/><Relationship Id="rId4" Type="http://schemas.openxmlformats.org/officeDocument/2006/relationships/hyperlink" Target="https://www.mtaa.org.au/sites/default/files/uploaded-content/field_f_content_file/mtaa-submission_pl_re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A1F88-4C1F-469F-A4B8-C4E4B1ED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32508</Words>
  <Characters>185296</Characters>
  <Application>Microsoft Office Word</Application>
  <DocSecurity>0</DocSecurity>
  <Lines>1544</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217370</CharactersWithSpaces>
  <SharedDoc>false</SharedDoc>
  <HLinks>
    <vt:vector size="84" baseType="variant">
      <vt:variant>
        <vt:i4>3997744</vt:i4>
      </vt:variant>
      <vt:variant>
        <vt:i4>276</vt:i4>
      </vt:variant>
      <vt:variant>
        <vt:i4>0</vt:i4>
      </vt:variant>
      <vt:variant>
        <vt:i4>5</vt:i4>
      </vt:variant>
      <vt:variant>
        <vt:lpwstr>http://www.msac.gov.au/</vt:lpwstr>
      </vt:variant>
      <vt:variant>
        <vt:lpwstr/>
      </vt:variant>
      <vt:variant>
        <vt:i4>4325451</vt:i4>
      </vt:variant>
      <vt:variant>
        <vt:i4>255</vt:i4>
      </vt:variant>
      <vt:variant>
        <vt:i4>0</vt:i4>
      </vt:variant>
      <vt:variant>
        <vt:i4>5</vt:i4>
      </vt:variant>
      <vt:variant>
        <vt:lpwstr>https://www.medtronic.com/content/dam/medtronic-wide/public/united-states/customer-support-services/reimbursement/reimbursement-guide-cied.pdf?bypassIM=true</vt:lpwstr>
      </vt:variant>
      <vt:variant>
        <vt:lpwstr/>
      </vt:variant>
      <vt:variant>
        <vt:i4>327746</vt:i4>
      </vt:variant>
      <vt:variant>
        <vt:i4>18</vt:i4>
      </vt:variant>
      <vt:variant>
        <vt:i4>0</vt:i4>
      </vt:variant>
      <vt:variant>
        <vt:i4>5</vt:i4>
      </vt:variant>
      <vt:variant>
        <vt:lpwstr>https://www.health.gov.au/sites/default/files/documents/2022/03/memorandum-of-understanding-for-the-policy-parameters-of-the-prostheses-list-reforms.pdf</vt:lpwstr>
      </vt:variant>
      <vt:variant>
        <vt:lpwstr/>
      </vt:variant>
      <vt:variant>
        <vt:i4>327746</vt:i4>
      </vt:variant>
      <vt:variant>
        <vt:i4>15</vt:i4>
      </vt:variant>
      <vt:variant>
        <vt:i4>0</vt:i4>
      </vt:variant>
      <vt:variant>
        <vt:i4>5</vt:i4>
      </vt:variant>
      <vt:variant>
        <vt:lpwstr>https://www.health.gov.au/sites/default/files/documents/2022/03/memorandum-of-understanding-for-the-policy-parameters-of-the-prostheses-list-reforms.pdf</vt:lpwstr>
      </vt:variant>
      <vt:variant>
        <vt:lpwstr/>
      </vt:variant>
      <vt:variant>
        <vt:i4>2162796</vt:i4>
      </vt:variant>
      <vt:variant>
        <vt:i4>9</vt:i4>
      </vt:variant>
      <vt:variant>
        <vt:i4>0</vt:i4>
      </vt:variant>
      <vt:variant>
        <vt:i4>5</vt:i4>
      </vt:variant>
      <vt:variant>
        <vt:lpwstr>http://www.msac.gov.au/internet/msac/publishing.nsf/Content/1443-public</vt:lpwstr>
      </vt:variant>
      <vt:variant>
        <vt:lpwstr/>
      </vt:variant>
      <vt:variant>
        <vt:i4>1114191</vt:i4>
      </vt:variant>
      <vt:variant>
        <vt:i4>6</vt:i4>
      </vt:variant>
      <vt:variant>
        <vt:i4>0</vt:i4>
      </vt:variant>
      <vt:variant>
        <vt:i4>5</vt:i4>
      </vt:variant>
      <vt:variant>
        <vt:lpwstr>http://www.msac.gov.au/internet/msac/publishing.nsf/Content/1197.1-public</vt:lpwstr>
      </vt:variant>
      <vt:variant>
        <vt:lpwstr/>
      </vt:variant>
      <vt:variant>
        <vt:i4>2097249</vt:i4>
      </vt:variant>
      <vt:variant>
        <vt:i4>3</vt:i4>
      </vt:variant>
      <vt:variant>
        <vt:i4>0</vt:i4>
      </vt:variant>
      <vt:variant>
        <vt:i4>5</vt:i4>
      </vt:variant>
      <vt:variant>
        <vt:lpwstr>http://www.msac.gov.au/internet/msac/publishing.nsf/Content/1197-public</vt:lpwstr>
      </vt:variant>
      <vt:variant>
        <vt:lpwstr/>
      </vt:variant>
      <vt:variant>
        <vt:i4>3997744</vt:i4>
      </vt:variant>
      <vt:variant>
        <vt:i4>0</vt:i4>
      </vt:variant>
      <vt:variant>
        <vt:i4>0</vt:i4>
      </vt:variant>
      <vt:variant>
        <vt:i4>5</vt:i4>
      </vt:variant>
      <vt:variant>
        <vt:lpwstr>http://www.msac.gov.au/</vt:lpwstr>
      </vt:variant>
      <vt:variant>
        <vt:lpwstr/>
      </vt:variant>
      <vt:variant>
        <vt:i4>4718682</vt:i4>
      </vt:variant>
      <vt:variant>
        <vt:i4>15</vt:i4>
      </vt:variant>
      <vt:variant>
        <vt:i4>0</vt:i4>
      </vt:variant>
      <vt:variant>
        <vt:i4>5</vt:i4>
      </vt:variant>
      <vt:variant>
        <vt:lpwstr>https://www.grants.gov.au/Go/Show?GoUuid=5b899505-a6fe-4e38-b1ec-a607bf302229</vt:lpwstr>
      </vt:variant>
      <vt:variant>
        <vt:lpwstr/>
      </vt:variant>
      <vt:variant>
        <vt:i4>1048696</vt:i4>
      </vt:variant>
      <vt:variant>
        <vt:i4>12</vt:i4>
      </vt:variant>
      <vt:variant>
        <vt:i4>0</vt:i4>
      </vt:variant>
      <vt:variant>
        <vt:i4>5</vt:i4>
      </vt:variant>
      <vt:variant>
        <vt:lpwstr>https://www.csanz.edu.au/wp-content/uploads/2017/03/Sub-spec-Training-CIED_2017-March.pdf</vt:lpwstr>
      </vt:variant>
      <vt:variant>
        <vt:lpwstr/>
      </vt:variant>
      <vt:variant>
        <vt:i4>589945</vt:i4>
      </vt:variant>
      <vt:variant>
        <vt:i4>9</vt:i4>
      </vt:variant>
      <vt:variant>
        <vt:i4>0</vt:i4>
      </vt:variant>
      <vt:variant>
        <vt:i4>5</vt:i4>
      </vt:variant>
      <vt:variant>
        <vt:lpwstr>https://www.mtaa.org.au/sites/default/files/uploaded-content/field_f_content_file/mtaa-submission_pl_reform.pdf</vt:lpwstr>
      </vt:variant>
      <vt:variant>
        <vt:lpwstr/>
      </vt:variant>
      <vt:variant>
        <vt:i4>1966163</vt:i4>
      </vt:variant>
      <vt:variant>
        <vt:i4>6</vt:i4>
      </vt:variant>
      <vt:variant>
        <vt:i4>0</vt:i4>
      </vt:variant>
      <vt:variant>
        <vt:i4>5</vt:i4>
      </vt:variant>
      <vt:variant>
        <vt:lpwstr>https://www.health.gov.au/resources/publications/agreement-between-the-government-and-the-medical-technology-association-of-australia</vt:lpwstr>
      </vt:variant>
      <vt:variant>
        <vt:lpwstr/>
      </vt:variant>
      <vt:variant>
        <vt:i4>1966163</vt:i4>
      </vt:variant>
      <vt:variant>
        <vt:i4>3</vt:i4>
      </vt:variant>
      <vt:variant>
        <vt:i4>0</vt:i4>
      </vt:variant>
      <vt:variant>
        <vt:i4>5</vt:i4>
      </vt:variant>
      <vt:variant>
        <vt:lpwstr>https://www.health.gov.au/resources/publications/agreement-between-the-government-and-the-medical-technology-association-of-australia</vt:lpwstr>
      </vt:variant>
      <vt:variant>
        <vt:lpwstr/>
      </vt:variant>
      <vt:variant>
        <vt:i4>589945</vt:i4>
      </vt:variant>
      <vt:variant>
        <vt:i4>0</vt:i4>
      </vt:variant>
      <vt:variant>
        <vt:i4>0</vt:i4>
      </vt:variant>
      <vt:variant>
        <vt:i4>5</vt:i4>
      </vt:variant>
      <vt:variant>
        <vt:lpwstr>https://www.mtaa.org.au/sites/default/files/uploaded-content/field_f_content_file/mtaa-submission_pl_reform.pdf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2024-04-02T01:41:00Z</dcterms:created>
  <dcterms:modified xsi:type="dcterms:W3CDTF">2024-04-03T04:35:00Z</dcterms:modified>
</cp:coreProperties>
</file>