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2015" w14:textId="3309FBAC" w:rsidR="00E44B80" w:rsidRPr="00F637B3" w:rsidRDefault="00E44B80" w:rsidP="00E44B80">
      <w:pPr>
        <w:jc w:val="center"/>
        <w:rPr>
          <w:b/>
          <w:szCs w:val="20"/>
        </w:rPr>
      </w:pPr>
      <w:r w:rsidRPr="00F637B3">
        <w:rPr>
          <w:b/>
          <w:noProof/>
          <w:szCs w:val="20"/>
          <w:lang w:eastAsia="en-AU"/>
        </w:rPr>
        <w:drawing>
          <wp:inline distT="0" distB="0" distL="0" distR="0" wp14:anchorId="32A5867C" wp14:editId="1325164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0807032" w14:textId="28EEBEA4" w:rsidR="0056015F" w:rsidRDefault="008B2610" w:rsidP="00E74125">
      <w:pPr>
        <w:pStyle w:val="Title"/>
        <w:spacing w:before="2600"/>
      </w:pPr>
      <w:r w:rsidRPr="001906CD">
        <w:t xml:space="preserve">Application </w:t>
      </w:r>
      <w:r w:rsidR="00E74125">
        <w:t>1657</w:t>
      </w:r>
    </w:p>
    <w:p w14:paraId="5A5CEEFA" w14:textId="6E922965" w:rsidR="0056015F" w:rsidRPr="0056015F" w:rsidRDefault="007A24A1" w:rsidP="00E74125">
      <w:pPr>
        <w:pStyle w:val="TitleBlue"/>
        <w:spacing w:before="840" w:after="840"/>
      </w:pPr>
      <w:r>
        <w:t xml:space="preserve">Rhenium-188 </w:t>
      </w:r>
      <w:r w:rsidR="007177EF">
        <w:t>b</w:t>
      </w:r>
      <w:r>
        <w:t xml:space="preserve">rachytherapy for </w:t>
      </w:r>
      <w:r w:rsidR="007177EF">
        <w:t>n</w:t>
      </w:r>
      <w:r>
        <w:t>on</w:t>
      </w:r>
      <w:r w:rsidR="007177EF">
        <w:t>-m</w:t>
      </w:r>
      <w:r>
        <w:t xml:space="preserve">elanoma </w:t>
      </w:r>
      <w:r w:rsidR="007177EF">
        <w:t>s</w:t>
      </w:r>
      <w:r>
        <w:t xml:space="preserve">kin </w:t>
      </w:r>
      <w:r w:rsidR="007177EF">
        <w:t>c</w:t>
      </w:r>
      <w:r>
        <w:t>ancer</w:t>
      </w:r>
    </w:p>
    <w:p w14:paraId="2F5C8A8B"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0C3BBE35"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6AFCA435"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793484DB" w14:textId="77777777" w:rsidR="009F5758" w:rsidRPr="00154B00" w:rsidRDefault="009F5758" w:rsidP="003F7CB9">
      <w:pPr>
        <w:spacing w:before="0" w:after="0"/>
      </w:pPr>
    </w:p>
    <w:p w14:paraId="6ED9AC48"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2FB3478F"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BCD071A"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5396353B"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484E888" w14:textId="3A219F0D" w:rsidR="00C171FB" w:rsidRDefault="00C171FB" w:rsidP="00C171FB">
      <w:pPr>
        <w:pBdr>
          <w:top w:val="single" w:sz="4" w:space="1" w:color="auto"/>
          <w:left w:val="single" w:sz="4" w:space="4" w:color="auto"/>
          <w:bottom w:val="single" w:sz="4" w:space="1" w:color="auto"/>
          <w:right w:val="single" w:sz="4" w:space="4" w:color="auto"/>
        </w:pBdr>
      </w:pPr>
      <w:r>
        <w:t>Corporation / partnership details (where relevant):</w:t>
      </w:r>
      <w:r w:rsidR="00642017">
        <w:t xml:space="preserve"> </w:t>
      </w:r>
      <w:proofErr w:type="spellStart"/>
      <w:r w:rsidR="00642017">
        <w:t>Oncobeta</w:t>
      </w:r>
      <w:proofErr w:type="spellEnd"/>
      <w:r w:rsidR="00642017">
        <w:t xml:space="preserve"> Therapeutics Australia</w:t>
      </w:r>
      <w:r w:rsidR="00831481">
        <w:t xml:space="preserve"> Pty Ltd</w:t>
      </w:r>
      <w:r>
        <w:t xml:space="preserve"> </w:t>
      </w:r>
    </w:p>
    <w:p w14:paraId="39D989EA" w14:textId="7A2F08E5"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proofErr w:type="spellStart"/>
      <w:r w:rsidR="00B30741">
        <w:t>OncoBeta</w:t>
      </w:r>
      <w:proofErr w:type="spellEnd"/>
      <w:r w:rsidR="00B30741">
        <w:t xml:space="preserve"> GmbH (Germany)</w:t>
      </w:r>
    </w:p>
    <w:p w14:paraId="698CAE0C" w14:textId="6E847C15"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B30741">
        <w:t>Not applicable</w:t>
      </w:r>
    </w:p>
    <w:p w14:paraId="54FDEC9B" w14:textId="1B7BDAC4"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proofErr w:type="spellStart"/>
      <w:r w:rsidR="00B30741" w:rsidRPr="00B30741">
        <w:t>OncoBeta</w:t>
      </w:r>
      <w:proofErr w:type="spellEnd"/>
      <w:r w:rsidR="00B30741" w:rsidRPr="00B30741">
        <w:t>®</w:t>
      </w:r>
    </w:p>
    <w:p w14:paraId="2C6AE5E1" w14:textId="77777777" w:rsidR="00C171FB" w:rsidRPr="00C171FB" w:rsidRDefault="00C171FB" w:rsidP="00C171FB"/>
    <w:p w14:paraId="1C01ADF9" w14:textId="514AB275" w:rsidR="00C171FB" w:rsidRPr="00C171FB" w:rsidRDefault="00C171FB" w:rsidP="00C171FB">
      <w:pPr>
        <w:rPr>
          <w:b/>
        </w:rPr>
      </w:pPr>
      <w:r>
        <w:rPr>
          <w:b/>
        </w:rPr>
        <w:t xml:space="preserve">Primary contact name: </w:t>
      </w:r>
      <w:r w:rsidR="00DF584A" w:rsidRPr="00B30741">
        <w:rPr>
          <w:b/>
          <w:bCs/>
        </w:rPr>
        <w:t>REDACTED</w:t>
      </w:r>
    </w:p>
    <w:p w14:paraId="077BFD01"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3AA5D725" w14:textId="4D3F6D36"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DF584A" w:rsidRPr="00B30741">
        <w:rPr>
          <w:b/>
          <w:bCs/>
        </w:rPr>
        <w:t>REDACTED</w:t>
      </w:r>
    </w:p>
    <w:p w14:paraId="073B80BC" w14:textId="5F97A2B8"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DF584A" w:rsidRPr="00B30741">
        <w:rPr>
          <w:b/>
          <w:bCs/>
        </w:rPr>
        <w:t>REDACTED</w:t>
      </w:r>
    </w:p>
    <w:p w14:paraId="10C65B0E" w14:textId="037B0326"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DF584A" w:rsidRPr="00B30741">
        <w:rPr>
          <w:b/>
          <w:bCs/>
        </w:rPr>
        <w:t>REDACTED</w:t>
      </w:r>
    </w:p>
    <w:p w14:paraId="249FE8C0" w14:textId="77777777" w:rsidR="00C171FB" w:rsidRDefault="00C171FB" w:rsidP="00C171FB">
      <w:pPr>
        <w:rPr>
          <w:b/>
        </w:rPr>
      </w:pPr>
    </w:p>
    <w:p w14:paraId="25B0DE3A" w14:textId="1342144D" w:rsidR="00C171FB" w:rsidRPr="00C171FB" w:rsidRDefault="00C171FB" w:rsidP="00C171FB">
      <w:pPr>
        <w:rPr>
          <w:b/>
        </w:rPr>
      </w:pPr>
      <w:r>
        <w:rPr>
          <w:b/>
        </w:rPr>
        <w:t xml:space="preserve">Alternative contact name: </w:t>
      </w:r>
      <w:r w:rsidR="00DF584A" w:rsidRPr="00B30741">
        <w:rPr>
          <w:b/>
          <w:bCs/>
        </w:rPr>
        <w:t>REDACTED</w:t>
      </w:r>
    </w:p>
    <w:p w14:paraId="0D4A0DB2"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6CFC2919" w14:textId="394FBDF0"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DF584A" w:rsidRPr="00B30741">
        <w:rPr>
          <w:b/>
          <w:bCs/>
        </w:rPr>
        <w:t>REDACTED</w:t>
      </w:r>
    </w:p>
    <w:p w14:paraId="20C19035" w14:textId="254932F8"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6A6C9E" w:rsidRPr="00B30741">
        <w:rPr>
          <w:b/>
          <w:bCs/>
        </w:rPr>
        <w:t>REDACTED</w:t>
      </w:r>
    </w:p>
    <w:p w14:paraId="3CC5F8ED" w14:textId="764F81AC"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6A6C9E" w:rsidRPr="00B30741">
        <w:rPr>
          <w:b/>
          <w:bCs/>
        </w:rPr>
        <w:t>REDACTED</w:t>
      </w:r>
    </w:p>
    <w:p w14:paraId="11EB745E" w14:textId="77777777" w:rsidR="00C171FB" w:rsidRPr="00C171FB" w:rsidRDefault="00C171FB" w:rsidP="00C171FB"/>
    <w:p w14:paraId="1CB2EB10" w14:textId="552BBB37" w:rsidR="00535F57" w:rsidRPr="00154B00" w:rsidRDefault="00535F57" w:rsidP="00535F57">
      <w:pPr>
        <w:pStyle w:val="Heading2"/>
      </w:pPr>
      <w:r>
        <w:t>(a) Are you a consultant acting on behalf of an Applicant?</w:t>
      </w:r>
    </w:p>
    <w:p w14:paraId="16F07B37" w14:textId="27B7EA67" w:rsidR="00535F57" w:rsidRDefault="00535F57" w:rsidP="00535F57">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Pr>
          <w:szCs w:val="20"/>
        </w:rPr>
        <w:t xml:space="preserve"> Yes</w:t>
      </w:r>
    </w:p>
    <w:p w14:paraId="22B39B83" w14:textId="77777777" w:rsidR="00535F57" w:rsidRPr="00753C44" w:rsidRDefault="00535F57" w:rsidP="00535F57">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50F66">
        <w:rPr>
          <w:szCs w:val="20"/>
        </w:rPr>
      </w:r>
      <w:r w:rsidR="00B50F66">
        <w:rPr>
          <w:szCs w:val="20"/>
        </w:rPr>
        <w:fldChar w:fldCharType="separate"/>
      </w:r>
      <w:r w:rsidRPr="00753C44">
        <w:rPr>
          <w:szCs w:val="20"/>
        </w:rPr>
        <w:fldChar w:fldCharType="end"/>
      </w:r>
      <w:r>
        <w:rPr>
          <w:szCs w:val="20"/>
        </w:rPr>
        <w:t xml:space="preserve"> No</w:t>
      </w:r>
      <w:r w:rsidRPr="00753C44">
        <w:rPr>
          <w:szCs w:val="20"/>
        </w:rPr>
        <w:t xml:space="preserve">  </w:t>
      </w:r>
    </w:p>
    <w:p w14:paraId="10DBEC94" w14:textId="41407745" w:rsidR="00534C5F" w:rsidRPr="00154B00" w:rsidRDefault="00494011" w:rsidP="004A0BF4">
      <w:pPr>
        <w:pStyle w:val="Heading2"/>
      </w:pPr>
      <w:r>
        <w:t xml:space="preserve">(a) </w:t>
      </w:r>
      <w:r w:rsidR="00534C5F">
        <w:t>Are you a lobbyist acting on behalf of an Applicant?</w:t>
      </w:r>
    </w:p>
    <w:p w14:paraId="600FA69B"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50F66">
        <w:rPr>
          <w:szCs w:val="20"/>
        </w:rPr>
      </w:r>
      <w:r w:rsidR="00B50F66">
        <w:rPr>
          <w:szCs w:val="20"/>
        </w:rPr>
        <w:fldChar w:fldCharType="separate"/>
      </w:r>
      <w:r w:rsidRPr="00753C44">
        <w:rPr>
          <w:szCs w:val="20"/>
        </w:rPr>
        <w:fldChar w:fldCharType="end"/>
      </w:r>
      <w:r>
        <w:rPr>
          <w:szCs w:val="20"/>
        </w:rPr>
        <w:t xml:space="preserve"> Yes</w:t>
      </w:r>
    </w:p>
    <w:p w14:paraId="53777507" w14:textId="50C6C08C" w:rsidR="00A6491A" w:rsidRPr="00753C44" w:rsidRDefault="00535F57"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A6491A">
        <w:rPr>
          <w:szCs w:val="20"/>
        </w:rPr>
        <w:t xml:space="preserve"> No</w:t>
      </w:r>
      <w:r w:rsidR="00A6491A" w:rsidRPr="00753C44">
        <w:rPr>
          <w:szCs w:val="20"/>
        </w:rPr>
        <w:t xml:space="preserve">  </w:t>
      </w:r>
    </w:p>
    <w:p w14:paraId="28D17CE3"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07B0E729"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50F66">
        <w:rPr>
          <w:szCs w:val="20"/>
        </w:rPr>
      </w:r>
      <w:r w:rsidR="00B50F66">
        <w:rPr>
          <w:szCs w:val="20"/>
        </w:rPr>
        <w:fldChar w:fldCharType="separate"/>
      </w:r>
      <w:r w:rsidRPr="00753C44">
        <w:rPr>
          <w:szCs w:val="20"/>
        </w:rPr>
        <w:fldChar w:fldCharType="end"/>
      </w:r>
      <w:r>
        <w:rPr>
          <w:szCs w:val="20"/>
        </w:rPr>
        <w:t xml:space="preserve"> Yes</w:t>
      </w:r>
    </w:p>
    <w:p w14:paraId="28A0C971"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50F66">
        <w:rPr>
          <w:szCs w:val="20"/>
        </w:rPr>
      </w:r>
      <w:r w:rsidR="00B50F66">
        <w:rPr>
          <w:szCs w:val="20"/>
        </w:rPr>
        <w:fldChar w:fldCharType="separate"/>
      </w:r>
      <w:r w:rsidRPr="00753C44">
        <w:rPr>
          <w:szCs w:val="20"/>
        </w:rPr>
        <w:fldChar w:fldCharType="end"/>
      </w:r>
      <w:r>
        <w:rPr>
          <w:szCs w:val="20"/>
        </w:rPr>
        <w:t xml:space="preserve"> No</w:t>
      </w:r>
      <w:r w:rsidRPr="00753C44">
        <w:rPr>
          <w:szCs w:val="20"/>
        </w:rPr>
        <w:t xml:space="preserve">  </w:t>
      </w:r>
    </w:p>
    <w:p w14:paraId="3B5CBAB5" w14:textId="77777777" w:rsidR="00E04FB3" w:rsidRDefault="00E04FB3" w:rsidP="005C333E">
      <w:pPr>
        <w:spacing w:before="0" w:after="0"/>
        <w:ind w:left="426"/>
        <w:rPr>
          <w:b/>
          <w:szCs w:val="20"/>
        </w:rPr>
      </w:pPr>
      <w:r w:rsidRPr="00154B00">
        <w:rPr>
          <w:b/>
          <w:szCs w:val="20"/>
        </w:rPr>
        <w:br w:type="page"/>
      </w:r>
    </w:p>
    <w:p w14:paraId="6F73969B" w14:textId="2FB64A91"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r w:rsidR="00B77F37">
        <w:t xml:space="preserve"> </w:t>
      </w:r>
    </w:p>
    <w:p w14:paraId="4065A4E1" w14:textId="3CA67C9F" w:rsidR="000B3CD0" w:rsidRDefault="000B3CD0" w:rsidP="00730C04">
      <w:pPr>
        <w:pStyle w:val="Heading2"/>
      </w:pPr>
      <w:r w:rsidRPr="00154B00">
        <w:t>Application title</w:t>
      </w:r>
      <w:r w:rsidR="00A8732C">
        <w:t xml:space="preserve"> </w:t>
      </w:r>
    </w:p>
    <w:p w14:paraId="5A07A85E" w14:textId="22FA3BAF" w:rsidR="00B30741" w:rsidRPr="00B30741" w:rsidRDefault="00B30741" w:rsidP="00B30741">
      <w:pPr>
        <w:ind w:left="360"/>
      </w:pPr>
      <w:r w:rsidRPr="00B30741">
        <w:t>Rhenium-188 brachytherapy for non-melanoma skin cancer</w:t>
      </w:r>
    </w:p>
    <w:p w14:paraId="5B9AA33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872DA50" w14:textId="29861C19" w:rsidR="00BD1886" w:rsidRPr="009056C5" w:rsidRDefault="00BD1886" w:rsidP="00B30741">
      <w:pPr>
        <w:ind w:left="360"/>
        <w:jc w:val="both"/>
      </w:pPr>
      <w:r w:rsidRPr="00BD1886">
        <w:t xml:space="preserve">Non-melanoma skin cancer (NMSC), </w:t>
      </w:r>
      <w:r w:rsidR="00ED46EC">
        <w:t>also known as k</w:t>
      </w:r>
      <w:r w:rsidR="00ED46EC" w:rsidRPr="00ED46EC">
        <w:t>eratinocyte</w:t>
      </w:r>
      <w:r w:rsidR="00ED46EC">
        <w:t xml:space="preserve"> cancer, </w:t>
      </w:r>
      <w:r w:rsidRPr="00BD1886">
        <w:t>includ</w:t>
      </w:r>
      <w:r w:rsidR="00ED46EC">
        <w:t xml:space="preserve">es </w:t>
      </w:r>
      <w:r w:rsidRPr="00BD1886">
        <w:t>basal cell carcinoma (BCC) squamous cell carcinoma (SCC)</w:t>
      </w:r>
      <w:r w:rsidR="00ED46EC">
        <w:t xml:space="preserve"> and various other less common lesions.</w:t>
      </w:r>
      <w:r w:rsidRPr="00BD1886">
        <w:t xml:space="preserve"> </w:t>
      </w:r>
      <w:r w:rsidR="00ED46EC">
        <w:t xml:space="preserve">NMSC </w:t>
      </w:r>
      <w:r w:rsidRPr="00BD1886">
        <w:t>is the most common form of cancer in Australia</w:t>
      </w:r>
      <w:r>
        <w:t>,</w:t>
      </w:r>
      <w:r w:rsidRPr="00BD1886">
        <w:t xml:space="preserve"> </w:t>
      </w:r>
      <w:r w:rsidR="00ED46EC">
        <w:t>with almost</w:t>
      </w:r>
      <w:r w:rsidRPr="00BD1886">
        <w:t xml:space="preserve"> one million </w:t>
      </w:r>
      <w:r w:rsidR="00ED46EC">
        <w:t xml:space="preserve">cases being </w:t>
      </w:r>
      <w:r w:rsidRPr="00BD1886">
        <w:t xml:space="preserve">diagnosed and treated </w:t>
      </w:r>
      <w:r w:rsidR="00ED46EC">
        <w:t xml:space="preserve">each year.  </w:t>
      </w:r>
      <w:r w:rsidRPr="00BD1886">
        <w:t>Although rarely fatal, treatment of NMSC represents a major cost burden to the health syste</w:t>
      </w:r>
      <w:r>
        <w:t xml:space="preserve">m, accounting for around 8% of total spending on cancer treatment and more than $700 million of expenditure through the MBS.  </w:t>
      </w:r>
      <w:r w:rsidR="0022736B" w:rsidRPr="0022736B">
        <w:t xml:space="preserve">The most common cause of </w:t>
      </w:r>
      <w:r w:rsidR="0022736B">
        <w:t>NMSC is sun</w:t>
      </w:r>
      <w:r w:rsidR="0022736B" w:rsidRPr="0022736B">
        <w:t xml:space="preserve"> exposure, while other predisposing factors include genetic skin conditions and immunosuppressive diseases or treatments.  </w:t>
      </w:r>
      <w:r w:rsidR="0022736B">
        <w:t xml:space="preserve">Although a range of definitive treatment options is currently available in Australia (and funded through the MBS) these are subject to various limitations of effectiveness, safety, </w:t>
      </w:r>
      <w:r w:rsidR="00BF5446">
        <w:t>tolerability,</w:t>
      </w:r>
      <w:r w:rsidR="0022736B">
        <w:t xml:space="preserve"> and acceptability. New, non-invasive, non-scarring treatment options that can be delivered quickly in an outpatient setting would represent a significant improvement in the standard of care.    </w:t>
      </w:r>
      <w:r w:rsidR="0022736B" w:rsidRPr="0022736B">
        <w:t xml:space="preserve">  </w:t>
      </w:r>
    </w:p>
    <w:p w14:paraId="752C8C2C"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2408456D" w14:textId="55806E38" w:rsidR="00B93674" w:rsidRPr="00CB12EC" w:rsidRDefault="00B93674" w:rsidP="00B30741">
      <w:pPr>
        <w:ind w:left="360"/>
        <w:jc w:val="both"/>
      </w:pPr>
      <w:r>
        <w:t>The proposed service is a novel form of brachytherapy for NMSC</w:t>
      </w:r>
      <w:r w:rsidR="00AC339D">
        <w:t>,</w:t>
      </w:r>
      <w:r>
        <w:t xml:space="preserve"> which uses the Beta emitter radioisotope Rhenium-188.  </w:t>
      </w:r>
      <w:r w:rsidR="00AC339D">
        <w:t xml:space="preserve">During treatment, the affected area of the skin is covered with the sterile </w:t>
      </w:r>
      <w:r w:rsidR="00EC40CD">
        <w:t>p</w:t>
      </w:r>
      <w:r w:rsidR="00AC339D">
        <w:t xml:space="preserve">rotective </w:t>
      </w:r>
      <w:r w:rsidR="00EC40CD">
        <w:t>f</w:t>
      </w:r>
      <w:r w:rsidR="00AC339D">
        <w:t>oil.</w:t>
      </w:r>
      <w:r w:rsidR="00EC40CD">
        <w:t xml:space="preserve"> The</w:t>
      </w:r>
      <w:r w:rsidR="00AC339D">
        <w:t xml:space="preserve"> Rhenium-188 is then</w:t>
      </w:r>
      <w:r w:rsidR="00EC40CD">
        <w:t xml:space="preserve"> </w:t>
      </w:r>
      <w:r w:rsidR="00AC339D">
        <w:t xml:space="preserve">applied in a matrix on the foil </w:t>
      </w:r>
      <w:r w:rsidR="00EC40CD">
        <w:t xml:space="preserve">using a special applicator device.  </w:t>
      </w:r>
      <w:r w:rsidR="00AC339D">
        <w:t>The irradiation time required to achieve the desired target</w:t>
      </w:r>
      <w:r w:rsidR="00EC40CD">
        <w:t xml:space="preserve"> </w:t>
      </w:r>
      <w:r w:rsidR="00AC339D">
        <w:t xml:space="preserve">dose at the defined penetration depth is calculated </w:t>
      </w:r>
      <w:r w:rsidR="00BF5446">
        <w:t>based on</w:t>
      </w:r>
      <w:r w:rsidR="00AC339D">
        <w:t xml:space="preserve"> the radioactivity of the</w:t>
      </w:r>
      <w:r w:rsidR="00EC40CD">
        <w:t xml:space="preserve"> </w:t>
      </w:r>
      <w:r w:rsidR="00AC339D">
        <w:t xml:space="preserve">substance being applied and the surface area to be treated. After the </w:t>
      </w:r>
      <w:r w:rsidR="00EC40CD">
        <w:t xml:space="preserve">calculated </w:t>
      </w:r>
      <w:r w:rsidR="00AC339D">
        <w:t xml:space="preserve">irradiation time, the matrix is removed by pulling the foil from the skin. </w:t>
      </w:r>
      <w:r>
        <w:t xml:space="preserve">The procedure </w:t>
      </w:r>
      <w:r w:rsidR="00EC40CD">
        <w:t>is</w:t>
      </w:r>
      <w:r w:rsidR="00AC339D">
        <w:t xml:space="preserve"> highly effective, while also </w:t>
      </w:r>
      <w:r>
        <w:t xml:space="preserve">non-invasive, </w:t>
      </w:r>
      <w:r w:rsidR="00BF5446">
        <w:t>painless,</w:t>
      </w:r>
      <w:r>
        <w:t xml:space="preserve"> and non-scarring</w:t>
      </w:r>
      <w:r w:rsidR="00AC339D">
        <w:t xml:space="preserve">.  It can be provided without anaesthesia, </w:t>
      </w:r>
      <w:r>
        <w:t xml:space="preserve">over a short period of time in an outpatient setting.  As such, the service offers multiple practical, </w:t>
      </w:r>
      <w:r w:rsidR="00BF5446">
        <w:t>economic,</w:t>
      </w:r>
      <w:r>
        <w:t xml:space="preserve"> and patient relevant benefits over existing management </w:t>
      </w:r>
      <w:r w:rsidR="00BF5446">
        <w:t>options,</w:t>
      </w:r>
      <w:r w:rsidR="00AC339D">
        <w:t xml:space="preserve"> especially surgical removal of larger lesions. </w:t>
      </w:r>
      <w:r w:rsidR="00332C3E">
        <w:t>It is significant that treatment with Rhenium</w:t>
      </w:r>
      <w:r w:rsidR="00A8251A">
        <w:t xml:space="preserve">-188 Brachytherapy will have a positive impact on the quality of life of patients being treated. The reduced scarring </w:t>
      </w:r>
      <w:r w:rsidR="00BB7806">
        <w:t xml:space="preserve">and healing time </w:t>
      </w:r>
      <w:r w:rsidR="00C94AA2">
        <w:t>mean</w:t>
      </w:r>
      <w:r w:rsidR="00BB7806">
        <w:t xml:space="preserve"> patients </w:t>
      </w:r>
      <w:r w:rsidR="00C94AA2">
        <w:t>can</w:t>
      </w:r>
      <w:r w:rsidR="00BB7806">
        <w:t xml:space="preserve"> return to life</w:t>
      </w:r>
      <w:r w:rsidR="00753C4C">
        <w:t xml:space="preserve"> sooner than would be expected for a surgical</w:t>
      </w:r>
      <w:r w:rsidR="00B623C6">
        <w:t xml:space="preserve"> treatment. </w:t>
      </w:r>
    </w:p>
    <w:p w14:paraId="2CE5178E"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BC56352" w14:textId="5F36ED12" w:rsidR="00753C44" w:rsidRDefault="00C9125E" w:rsidP="00B30741">
      <w:pPr>
        <w:spacing w:before="0" w:after="0"/>
        <w:ind w:left="360"/>
        <w:rPr>
          <w:szCs w:val="20"/>
        </w:rPr>
      </w:pPr>
      <w:r>
        <w:rPr>
          <w:szCs w:val="20"/>
        </w:rPr>
        <w:fldChar w:fldCharType="begin">
          <w:ffData>
            <w:name w:val="Check1"/>
            <w:enabled/>
            <w:calcOnExit w:val="0"/>
            <w:checkBox>
              <w:sizeAuto/>
              <w:default w:val="1"/>
            </w:checkBox>
          </w:ffData>
        </w:fldChar>
      </w:r>
      <w:bookmarkStart w:id="1" w:name="Check1"/>
      <w:r>
        <w:rPr>
          <w:szCs w:val="20"/>
        </w:rPr>
        <w:instrText xml:space="preserve"> FORMCHECKBOX </w:instrText>
      </w:r>
      <w:r w:rsidR="00B50F66">
        <w:rPr>
          <w:szCs w:val="20"/>
        </w:rPr>
      </w:r>
      <w:r w:rsidR="00B50F66">
        <w:rPr>
          <w:szCs w:val="20"/>
        </w:rPr>
        <w:fldChar w:fldCharType="separate"/>
      </w:r>
      <w:r>
        <w:rPr>
          <w:szCs w:val="20"/>
        </w:rPr>
        <w:fldChar w:fldCharType="end"/>
      </w:r>
      <w:bookmarkEnd w:id="1"/>
      <w:r w:rsidR="006B6390">
        <w:rPr>
          <w:szCs w:val="20"/>
        </w:rPr>
        <w:t xml:space="preserve"> Yes</w:t>
      </w:r>
    </w:p>
    <w:p w14:paraId="0E803E99" w14:textId="77777777" w:rsidR="00753C44" w:rsidRPr="00753C44" w:rsidRDefault="006B6390" w:rsidP="00B30741">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50F66">
        <w:rPr>
          <w:szCs w:val="20"/>
        </w:rPr>
      </w:r>
      <w:r w:rsidR="00B50F66">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8EE2628"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33ABDAD" w14:textId="77777777" w:rsidR="00753C44" w:rsidRDefault="006B6390" w:rsidP="00B30741">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50F66">
        <w:rPr>
          <w:szCs w:val="20"/>
        </w:rPr>
      </w:r>
      <w:r w:rsidR="00B50F66">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4F8B53F6" w14:textId="2A817D7D" w:rsidR="00753C44" w:rsidRPr="00753C44" w:rsidRDefault="00C9125E" w:rsidP="00B30741">
      <w:pPr>
        <w:spacing w:before="0" w:after="0"/>
        <w:ind w:left="360"/>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B50F66">
        <w:rPr>
          <w:szCs w:val="20"/>
        </w:rPr>
      </w:r>
      <w:r w:rsidR="00B50F66">
        <w:rPr>
          <w:szCs w:val="20"/>
        </w:rPr>
        <w:fldChar w:fldCharType="separate"/>
      </w:r>
      <w:r>
        <w:rPr>
          <w:szCs w:val="20"/>
        </w:rPr>
        <w:fldChar w:fldCharType="end"/>
      </w:r>
      <w:bookmarkEnd w:id="2"/>
      <w:r w:rsidR="006B6390">
        <w:rPr>
          <w:szCs w:val="20"/>
        </w:rPr>
        <w:t xml:space="preserve"> </w:t>
      </w:r>
      <w:r w:rsidR="00753C44" w:rsidRPr="00154B00">
        <w:rPr>
          <w:szCs w:val="20"/>
        </w:rPr>
        <w:t>New MBS item</w:t>
      </w:r>
      <w:r w:rsidR="00753C44">
        <w:rPr>
          <w:szCs w:val="20"/>
        </w:rPr>
        <w:t>(s)</w:t>
      </w:r>
    </w:p>
    <w:p w14:paraId="2F20F476"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E4F2285" w14:textId="0400D805" w:rsidR="003D795C" w:rsidRPr="00CB12EC" w:rsidRDefault="00B30741" w:rsidP="00B30741">
      <w:pPr>
        <w:ind w:left="284" w:firstLine="76"/>
      </w:pPr>
      <w:r>
        <w:t>N/A</w:t>
      </w:r>
    </w:p>
    <w:p w14:paraId="5CEBFF03"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870E1F6" w14:textId="77777777" w:rsidR="00B30741" w:rsidRPr="00CB12EC" w:rsidRDefault="00B30741" w:rsidP="00B30741">
      <w:pPr>
        <w:ind w:left="360"/>
      </w:pPr>
      <w:r>
        <w:t>N/A</w:t>
      </w:r>
    </w:p>
    <w:p w14:paraId="29667FE0" w14:textId="77777777" w:rsidR="00CA4795" w:rsidRDefault="00CA4795">
      <w:pPr>
        <w:spacing w:before="0" w:after="200" w:line="276" w:lineRule="auto"/>
      </w:pPr>
      <w:r>
        <w:br w:type="page"/>
      </w:r>
    </w:p>
    <w:p w14:paraId="084D443E"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73FBDF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50F66">
        <w:rPr>
          <w:b/>
          <w:szCs w:val="20"/>
        </w:rPr>
      </w:r>
      <w:r w:rsidR="00B50F66">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036866FC" w14:textId="00DC225B" w:rsidR="006B6390" w:rsidRPr="00AA2CFE" w:rsidRDefault="00C9125E"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B50F66">
        <w:rPr>
          <w:b/>
          <w:szCs w:val="20"/>
        </w:rPr>
      </w:r>
      <w:r w:rsidR="00B50F66">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57437D6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50F66">
        <w:rPr>
          <w:b/>
          <w:szCs w:val="20"/>
        </w:rPr>
      </w:r>
      <w:r w:rsidR="00B50F6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32DD60B"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50F66">
        <w:rPr>
          <w:b/>
          <w:szCs w:val="20"/>
        </w:rPr>
      </w:r>
      <w:r w:rsidR="00B50F6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20793BBD"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5F59008" w14:textId="77777777" w:rsidR="000A5B32" w:rsidRDefault="000A5B32" w:rsidP="00B3074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0F66">
        <w:rPr>
          <w:szCs w:val="20"/>
        </w:rPr>
      </w:r>
      <w:r w:rsidR="00B50F66">
        <w:rPr>
          <w:szCs w:val="20"/>
        </w:rPr>
        <w:fldChar w:fldCharType="separate"/>
      </w:r>
      <w:r w:rsidRPr="000A5B32">
        <w:rPr>
          <w:szCs w:val="20"/>
        </w:rPr>
        <w:fldChar w:fldCharType="end"/>
      </w:r>
      <w:r w:rsidRPr="000A5B32">
        <w:rPr>
          <w:szCs w:val="20"/>
        </w:rPr>
        <w:t xml:space="preserve"> Yes</w:t>
      </w:r>
    </w:p>
    <w:p w14:paraId="18A382F6" w14:textId="6798FBF3" w:rsidR="00626365" w:rsidRDefault="00C9125E" w:rsidP="00B3074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0A5B32" w:rsidRPr="000A5B32">
        <w:rPr>
          <w:szCs w:val="20"/>
        </w:rPr>
        <w:t xml:space="preserve"> No</w:t>
      </w:r>
    </w:p>
    <w:p w14:paraId="73069295" w14:textId="5E326140" w:rsidR="00535F57" w:rsidRDefault="00535F57" w:rsidP="00626365">
      <w:pPr>
        <w:spacing w:before="0" w:after="0"/>
        <w:ind w:left="284"/>
        <w:rPr>
          <w:szCs w:val="20"/>
        </w:rPr>
      </w:pPr>
    </w:p>
    <w:p w14:paraId="69480ABD"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48319CCF" w14:textId="7586E30C" w:rsidR="00ED46EC" w:rsidRPr="00ED46EC" w:rsidRDefault="00ED46EC" w:rsidP="00BF5446">
      <w:pPr>
        <w:ind w:left="284"/>
        <w:jc w:val="both"/>
      </w:pPr>
      <w:r>
        <w:t>However, i</w:t>
      </w:r>
      <w:r w:rsidRPr="00ED46EC">
        <w:t xml:space="preserve">t is anticipated that other public funding would be used in some institutions/instances for the purchase of capital equipment required </w:t>
      </w:r>
      <w:r>
        <w:t>to provide</w:t>
      </w:r>
      <w:r w:rsidRPr="00ED46EC">
        <w:t xml:space="preserve"> the service.   </w:t>
      </w:r>
    </w:p>
    <w:p w14:paraId="6940601D" w14:textId="77777777" w:rsidR="000B3CD0" w:rsidRDefault="000B3CD0" w:rsidP="00730C04">
      <w:pPr>
        <w:pStyle w:val="Heading2"/>
      </w:pPr>
      <w:r w:rsidRPr="00154B00">
        <w:t xml:space="preserve">What is the type of </w:t>
      </w:r>
      <w:proofErr w:type="gramStart"/>
      <w:r w:rsidRPr="00154B00">
        <w:t>service:</w:t>
      </w:r>
      <w:proofErr w:type="gramEnd"/>
    </w:p>
    <w:p w14:paraId="65B415AB" w14:textId="72368B7B" w:rsidR="00A6594E" w:rsidRDefault="00C9125E" w:rsidP="00B30741">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B50F66">
        <w:rPr>
          <w:b/>
          <w:szCs w:val="20"/>
        </w:rPr>
      </w:r>
      <w:r w:rsidR="00B50F66">
        <w:rPr>
          <w:b/>
          <w:szCs w:val="20"/>
        </w:rPr>
        <w:fldChar w:fldCharType="separate"/>
      </w:r>
      <w:r>
        <w:rPr>
          <w:b/>
          <w:szCs w:val="20"/>
        </w:rPr>
        <w:fldChar w:fldCharType="end"/>
      </w:r>
      <w:r w:rsidR="00A6594E" w:rsidRPr="0027105F">
        <w:rPr>
          <w:b/>
          <w:szCs w:val="20"/>
        </w:rPr>
        <w:t xml:space="preserve"> </w:t>
      </w:r>
      <w:r w:rsidR="00A6594E">
        <w:t>Therapeutic medical service</w:t>
      </w:r>
    </w:p>
    <w:p w14:paraId="48B038DB" w14:textId="77777777" w:rsidR="00A6594E" w:rsidRDefault="00A6594E" w:rsidP="00B30741">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0F66">
        <w:rPr>
          <w:b/>
          <w:szCs w:val="20"/>
        </w:rPr>
      </w:r>
      <w:r w:rsidR="00B50F66">
        <w:rPr>
          <w:b/>
          <w:szCs w:val="20"/>
        </w:rPr>
        <w:fldChar w:fldCharType="separate"/>
      </w:r>
      <w:r w:rsidRPr="0027105F">
        <w:rPr>
          <w:b/>
          <w:szCs w:val="20"/>
        </w:rPr>
        <w:fldChar w:fldCharType="end"/>
      </w:r>
      <w:r w:rsidRPr="0027105F">
        <w:rPr>
          <w:b/>
          <w:szCs w:val="20"/>
        </w:rPr>
        <w:t xml:space="preserve"> </w:t>
      </w:r>
      <w:r>
        <w:t>Investigative medical service</w:t>
      </w:r>
    </w:p>
    <w:p w14:paraId="2B820D71" w14:textId="77777777" w:rsidR="00A6594E" w:rsidRDefault="00A6594E" w:rsidP="00B30741">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0F66">
        <w:rPr>
          <w:b/>
          <w:szCs w:val="20"/>
        </w:rPr>
      </w:r>
      <w:r w:rsidR="00B50F66">
        <w:rPr>
          <w:b/>
          <w:szCs w:val="20"/>
        </w:rPr>
        <w:fldChar w:fldCharType="separate"/>
      </w:r>
      <w:r w:rsidRPr="0027105F">
        <w:rPr>
          <w:b/>
          <w:szCs w:val="20"/>
        </w:rPr>
        <w:fldChar w:fldCharType="end"/>
      </w:r>
      <w:r w:rsidRPr="0027105F">
        <w:rPr>
          <w:b/>
          <w:szCs w:val="20"/>
        </w:rPr>
        <w:t xml:space="preserve"> </w:t>
      </w:r>
      <w:r>
        <w:t>Single consultation medical service</w:t>
      </w:r>
    </w:p>
    <w:p w14:paraId="374A6066" w14:textId="77777777" w:rsidR="00A6594E" w:rsidRDefault="00A6594E" w:rsidP="00B30741">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0F66">
        <w:rPr>
          <w:b/>
          <w:szCs w:val="20"/>
        </w:rPr>
      </w:r>
      <w:r w:rsidR="00B50F66">
        <w:rPr>
          <w:b/>
          <w:szCs w:val="20"/>
        </w:rPr>
        <w:fldChar w:fldCharType="separate"/>
      </w:r>
      <w:r w:rsidRPr="0027105F">
        <w:rPr>
          <w:b/>
          <w:szCs w:val="20"/>
        </w:rPr>
        <w:fldChar w:fldCharType="end"/>
      </w:r>
      <w:r w:rsidRPr="0027105F">
        <w:rPr>
          <w:b/>
          <w:szCs w:val="20"/>
        </w:rPr>
        <w:t xml:space="preserve"> </w:t>
      </w:r>
      <w:r>
        <w:t>Global consultation medical service</w:t>
      </w:r>
    </w:p>
    <w:p w14:paraId="3B60F34F" w14:textId="77777777" w:rsidR="00A6594E" w:rsidRDefault="00A6594E" w:rsidP="00B30741">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0F66">
        <w:rPr>
          <w:b/>
          <w:szCs w:val="20"/>
        </w:rPr>
      </w:r>
      <w:r w:rsidR="00B50F66">
        <w:rPr>
          <w:b/>
          <w:szCs w:val="20"/>
        </w:rPr>
        <w:fldChar w:fldCharType="separate"/>
      </w:r>
      <w:r w:rsidRPr="0027105F">
        <w:rPr>
          <w:b/>
          <w:szCs w:val="20"/>
        </w:rPr>
        <w:fldChar w:fldCharType="end"/>
      </w:r>
      <w:r w:rsidRPr="0027105F">
        <w:rPr>
          <w:b/>
          <w:szCs w:val="20"/>
        </w:rPr>
        <w:t xml:space="preserve"> </w:t>
      </w:r>
      <w:r>
        <w:t>Allied health service</w:t>
      </w:r>
    </w:p>
    <w:p w14:paraId="1162F7C4" w14:textId="77777777" w:rsidR="00A6594E" w:rsidRDefault="00A6594E" w:rsidP="00B30741">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0F66">
        <w:rPr>
          <w:b/>
          <w:szCs w:val="20"/>
        </w:rPr>
      </w:r>
      <w:r w:rsidR="00B50F66">
        <w:rPr>
          <w:b/>
          <w:szCs w:val="20"/>
        </w:rPr>
        <w:fldChar w:fldCharType="separate"/>
      </w:r>
      <w:r w:rsidRPr="0027105F">
        <w:rPr>
          <w:b/>
          <w:szCs w:val="20"/>
        </w:rPr>
        <w:fldChar w:fldCharType="end"/>
      </w:r>
      <w:r w:rsidRPr="0027105F">
        <w:rPr>
          <w:b/>
          <w:szCs w:val="20"/>
        </w:rPr>
        <w:t xml:space="preserve"> </w:t>
      </w:r>
      <w:r>
        <w:t>Co-dependent technology</w:t>
      </w:r>
    </w:p>
    <w:p w14:paraId="1CC7DA6B" w14:textId="77777777" w:rsidR="00A6594E" w:rsidRPr="00A6594E" w:rsidRDefault="00A6594E" w:rsidP="00B30741">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0F66">
        <w:rPr>
          <w:b/>
          <w:szCs w:val="20"/>
        </w:rPr>
      </w:r>
      <w:r w:rsidR="00B50F66">
        <w:rPr>
          <w:b/>
          <w:szCs w:val="20"/>
        </w:rPr>
        <w:fldChar w:fldCharType="separate"/>
      </w:r>
      <w:r w:rsidRPr="0027105F">
        <w:rPr>
          <w:b/>
          <w:szCs w:val="20"/>
        </w:rPr>
        <w:fldChar w:fldCharType="end"/>
      </w:r>
      <w:r w:rsidRPr="0027105F">
        <w:rPr>
          <w:b/>
          <w:szCs w:val="20"/>
        </w:rPr>
        <w:t xml:space="preserve"> </w:t>
      </w:r>
      <w:r>
        <w:t>Hybrid health technology</w:t>
      </w:r>
    </w:p>
    <w:p w14:paraId="3A1307E6"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5711D5D9" w14:textId="77777777" w:rsidR="00B30741" w:rsidRPr="00CB12EC" w:rsidRDefault="00B30741" w:rsidP="00B30741">
      <w:pPr>
        <w:ind w:left="284" w:firstLine="76"/>
      </w:pPr>
      <w:r>
        <w:t>N/A</w:t>
      </w:r>
    </w:p>
    <w:p w14:paraId="6C35939B"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E6C887C"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0F66">
        <w:rPr>
          <w:b/>
          <w:szCs w:val="20"/>
        </w:rPr>
      </w:r>
      <w:r w:rsidR="00B50F66">
        <w:rPr>
          <w:b/>
          <w:szCs w:val="20"/>
        </w:rPr>
        <w:fldChar w:fldCharType="separate"/>
      </w:r>
      <w:r w:rsidRPr="0027105F">
        <w:rPr>
          <w:b/>
          <w:szCs w:val="20"/>
        </w:rPr>
        <w:fldChar w:fldCharType="end"/>
      </w:r>
      <w:r w:rsidRPr="0027105F">
        <w:rPr>
          <w:b/>
          <w:szCs w:val="20"/>
        </w:rPr>
        <w:t xml:space="preserve"> </w:t>
      </w:r>
      <w:r>
        <w:t>Pharmaceutical / Biological</w:t>
      </w:r>
    </w:p>
    <w:p w14:paraId="04BCDB89"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0F66">
        <w:rPr>
          <w:b/>
          <w:szCs w:val="20"/>
        </w:rPr>
      </w:r>
      <w:r w:rsidR="00B50F66">
        <w:rPr>
          <w:b/>
          <w:szCs w:val="20"/>
        </w:rPr>
        <w:fldChar w:fldCharType="separate"/>
      </w:r>
      <w:r w:rsidRPr="0027105F">
        <w:rPr>
          <w:b/>
          <w:szCs w:val="20"/>
        </w:rPr>
        <w:fldChar w:fldCharType="end"/>
      </w:r>
      <w:r w:rsidRPr="0027105F">
        <w:rPr>
          <w:b/>
          <w:szCs w:val="20"/>
        </w:rPr>
        <w:t xml:space="preserve"> </w:t>
      </w:r>
      <w:r>
        <w:t>Prosthesis or device</w:t>
      </w:r>
    </w:p>
    <w:p w14:paraId="5C3ECC1E" w14:textId="24562613" w:rsidR="00FE16C1" w:rsidRPr="00FE16C1" w:rsidRDefault="00C9125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50F66">
        <w:rPr>
          <w:b/>
          <w:szCs w:val="20"/>
        </w:rPr>
      </w:r>
      <w:r w:rsidR="00B50F66">
        <w:rPr>
          <w:b/>
          <w:szCs w:val="20"/>
        </w:rPr>
        <w:fldChar w:fldCharType="separate"/>
      </w:r>
      <w:r>
        <w:rPr>
          <w:b/>
          <w:szCs w:val="20"/>
        </w:rPr>
        <w:fldChar w:fldCharType="end"/>
      </w:r>
      <w:r w:rsidR="00FE16C1" w:rsidRPr="0027105F">
        <w:rPr>
          <w:b/>
          <w:szCs w:val="20"/>
        </w:rPr>
        <w:t xml:space="preserve"> </w:t>
      </w:r>
      <w:r w:rsidR="00FE16C1">
        <w:t>No</w:t>
      </w:r>
    </w:p>
    <w:p w14:paraId="70298153" w14:textId="41DE6529" w:rsidR="000E5439" w:rsidRPr="001E6958" w:rsidRDefault="000E5439" w:rsidP="00730C04">
      <w:pPr>
        <w:pStyle w:val="Heading2"/>
      </w:pPr>
      <w:r w:rsidRPr="001E6958">
        <w:t>If the proposed service has a pharmaceutical component to it, is it already covered under an existing Pharmaceutical Benefits Scheme (PBS) listing?</w:t>
      </w:r>
    </w:p>
    <w:p w14:paraId="6245D15A" w14:textId="77777777" w:rsidR="00B30741" w:rsidRPr="00CB12EC" w:rsidRDefault="00B30741" w:rsidP="00B30741">
      <w:pPr>
        <w:ind w:left="284" w:firstLine="76"/>
      </w:pPr>
      <w:r>
        <w:t>N/A</w:t>
      </w:r>
    </w:p>
    <w:p w14:paraId="0485B230" w14:textId="72982C43" w:rsidR="00B75965" w:rsidRDefault="00B75965" w:rsidP="00530204">
      <w:pPr>
        <w:pStyle w:val="Heading2"/>
      </w:pPr>
      <w:r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Pr="00154B00">
        <w:t>is it already included on the Prosthes</w:t>
      </w:r>
      <w:r w:rsidR="00BB003A">
        <w:t>e</w:t>
      </w:r>
      <w:r w:rsidRPr="00154B00">
        <w:t>s List?</w:t>
      </w:r>
    </w:p>
    <w:p w14:paraId="52E6E892" w14:textId="77777777" w:rsidR="00B30741" w:rsidRPr="00CB12EC" w:rsidRDefault="00B30741" w:rsidP="00B30741">
      <w:pPr>
        <w:ind w:left="284" w:firstLine="76"/>
      </w:pPr>
      <w:r>
        <w:t>N/A</w:t>
      </w:r>
    </w:p>
    <w:p w14:paraId="5A80861C" w14:textId="77777777" w:rsidR="00ED46EC" w:rsidRDefault="00ED46EC">
      <w:pPr>
        <w:spacing w:before="0" w:after="200" w:line="276" w:lineRule="auto"/>
        <w:rPr>
          <w:b/>
          <w:szCs w:val="20"/>
        </w:rPr>
      </w:pPr>
      <w:r>
        <w:br w:type="page"/>
      </w:r>
    </w:p>
    <w:p w14:paraId="57A79C29" w14:textId="52C13E51" w:rsidR="0084657B" w:rsidRPr="009939DC" w:rsidRDefault="00A9062D" w:rsidP="00530204">
      <w:pPr>
        <w:pStyle w:val="Heading2"/>
      </w:pPr>
      <w:r w:rsidRPr="009939DC">
        <w:lastRenderedPageBreak/>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7C42287B" w14:textId="7F7507F8" w:rsidR="003C10B7" w:rsidRPr="00B30741" w:rsidRDefault="009939DC" w:rsidP="00B30741">
      <w:pPr>
        <w:ind w:left="284"/>
        <w:rPr>
          <w:szCs w:val="20"/>
          <w:lang w:val="en-US"/>
        </w:rPr>
      </w:pPr>
      <w:r>
        <w:t>Single use consumables:</w:t>
      </w:r>
      <w:r w:rsidR="00AE367B">
        <w:t xml:space="preserve"> </w:t>
      </w:r>
      <w:r w:rsidR="008C4913">
        <w:rPr>
          <w:lang w:val="en-US"/>
        </w:rPr>
        <w:t>The main (and active) single use consumable is the Rhenium-188 compound; a</w:t>
      </w:r>
      <w:r w:rsidR="001F2B22">
        <w:rPr>
          <w:lang w:val="en-US"/>
        </w:rPr>
        <w:t xml:space="preserve"> paste</w:t>
      </w:r>
      <w:r w:rsidR="008C4913">
        <w:rPr>
          <w:lang w:val="en-US"/>
        </w:rPr>
        <w:t xml:space="preserve"> that contains radioactive particles in a viscous polymeric matrix.  This is supplied in a “</w:t>
      </w:r>
      <w:proofErr w:type="spellStart"/>
      <w:r w:rsidR="008C4913">
        <w:rPr>
          <w:lang w:val="en-US"/>
        </w:rPr>
        <w:t>Carpoule</w:t>
      </w:r>
      <w:proofErr w:type="spellEnd"/>
      <w:r w:rsidR="008C4913">
        <w:rPr>
          <w:lang w:val="en-US"/>
        </w:rPr>
        <w:t xml:space="preserve">”; a single use unit comprising a reservoir for the compound, and various other components necessary for its safe application.  The compound is applied on to a special protective foil that has been applied over the area needed to treat so that the radioactive compound never comes in direct contact with the skin. This enables an application to several lesions on several patients of up to a total area of 25cm2 per </w:t>
      </w:r>
      <w:proofErr w:type="spellStart"/>
      <w:r w:rsidR="008C4913">
        <w:rPr>
          <w:lang w:val="en-US"/>
        </w:rPr>
        <w:t>Carpoule</w:t>
      </w:r>
      <w:proofErr w:type="spellEnd"/>
      <w:r w:rsidR="008C4913">
        <w:rPr>
          <w:lang w:val="en-US"/>
        </w:rPr>
        <w:t xml:space="preserve">.  The special protective foil that is also supplied are 15 x 20 cm sheets and may be cut to fit the contours of the area to be treated optimally (including a security margin). The sheets may also be applied overlapping with additional sheets (in the case of larger lesions).  While all technically single use items, these can in practice be used to treat more than one patient during the same treatment session. </w:t>
      </w:r>
      <w:r w:rsidR="00AE71E7">
        <w:rPr>
          <w:lang w:val="en-US"/>
        </w:rPr>
        <w:t xml:space="preserve">Except for the foil, which is a generic item, these </w:t>
      </w:r>
      <w:r w:rsidR="008C4913" w:rsidRPr="00AE71E7">
        <w:rPr>
          <w:lang w:val="en-US"/>
        </w:rPr>
        <w:t xml:space="preserve">single-use consumables are all </w:t>
      </w:r>
      <w:proofErr w:type="spellStart"/>
      <w:r w:rsidR="008C4913" w:rsidRPr="00AE71E7">
        <w:rPr>
          <w:lang w:val="en-US"/>
        </w:rPr>
        <w:t>OncoBeta</w:t>
      </w:r>
      <w:proofErr w:type="spellEnd"/>
      <w:r w:rsidR="008C4913" w:rsidRPr="00AE71E7">
        <w:rPr>
          <w:lang w:val="en-US"/>
        </w:rPr>
        <w:t>® proprietary items.</w:t>
      </w:r>
      <w:r w:rsidR="008C4913">
        <w:rPr>
          <w:lang w:val="en-US"/>
        </w:rPr>
        <w:t xml:space="preserve">  </w:t>
      </w:r>
    </w:p>
    <w:p w14:paraId="660163A9" w14:textId="47BFBA9E" w:rsidR="0074246A" w:rsidRPr="00B30741" w:rsidRDefault="009939DC" w:rsidP="00B30741">
      <w:pPr>
        <w:ind w:left="284"/>
        <w:rPr>
          <w:lang w:val="en-US"/>
        </w:rPr>
      </w:pPr>
      <w:r>
        <w:t>Multi-use consumables:</w:t>
      </w:r>
      <w:r w:rsidRPr="009939DC">
        <w:t xml:space="preserve"> </w:t>
      </w:r>
      <w:r w:rsidR="008C4913">
        <w:rPr>
          <w:lang w:val="en-US"/>
        </w:rPr>
        <w:t xml:space="preserve">Multi-use consumables required to provide the service include separate transport and logistics units which are used to safely transport up to five </w:t>
      </w:r>
      <w:proofErr w:type="spellStart"/>
      <w:r w:rsidR="008C4913">
        <w:rPr>
          <w:lang w:val="en-US"/>
        </w:rPr>
        <w:t>Carpoules</w:t>
      </w:r>
      <w:proofErr w:type="spellEnd"/>
      <w:r w:rsidR="008C4913">
        <w:rPr>
          <w:lang w:val="en-US"/>
        </w:rPr>
        <w:t xml:space="preserve"> of the Rhenium-188 compound.  Suitable personal protective equipment must also be used, for both medical professionals and patients, including glasses/goggles, masks, aprons, </w:t>
      </w:r>
      <w:proofErr w:type="gramStart"/>
      <w:r w:rsidR="008C4913">
        <w:rPr>
          <w:lang w:val="en-US"/>
        </w:rPr>
        <w:t>gloves</w:t>
      </w:r>
      <w:proofErr w:type="gramEnd"/>
      <w:r w:rsidR="008C4913">
        <w:rPr>
          <w:lang w:val="en-US"/>
        </w:rPr>
        <w:t xml:space="preserve"> and mats, some of which will be </w:t>
      </w:r>
      <w:proofErr w:type="spellStart"/>
      <w:r w:rsidR="008C4913">
        <w:rPr>
          <w:lang w:val="en-US"/>
        </w:rPr>
        <w:t>singe</w:t>
      </w:r>
      <w:proofErr w:type="spellEnd"/>
      <w:r w:rsidR="008C4913">
        <w:rPr>
          <w:lang w:val="en-US"/>
        </w:rPr>
        <w:t xml:space="preserve">-use and some more multi-use in nature.  These additional consumables are all generic items.  </w:t>
      </w:r>
    </w:p>
    <w:p w14:paraId="37BA3134" w14:textId="77777777" w:rsidR="008C4913" w:rsidRDefault="0074246A" w:rsidP="00B30741">
      <w:pPr>
        <w:ind w:left="284"/>
        <w:rPr>
          <w:lang w:val="en-US"/>
        </w:rPr>
      </w:pPr>
      <w:r>
        <w:t xml:space="preserve">Capital equipment: </w:t>
      </w:r>
      <w:r w:rsidR="008C4913">
        <w:rPr>
          <w:lang w:val="en-US"/>
        </w:rPr>
        <w:t xml:space="preserve">In addition to the single- and multi-use consumables outlined above, the service requires a proprietary </w:t>
      </w:r>
      <w:proofErr w:type="spellStart"/>
      <w:r w:rsidR="008C4913">
        <w:rPr>
          <w:lang w:val="en-US"/>
        </w:rPr>
        <w:t>OncoBeta</w:t>
      </w:r>
      <w:proofErr w:type="spellEnd"/>
      <w:r w:rsidR="008C4913">
        <w:rPr>
          <w:lang w:val="en-US"/>
        </w:rPr>
        <w:t xml:space="preserve">® Base Station, Applicator and Measurement Station, and a suitable waste container for radioactive substances, of which the proprietary </w:t>
      </w:r>
      <w:proofErr w:type="spellStart"/>
      <w:r w:rsidR="008C4913">
        <w:rPr>
          <w:lang w:val="en-US"/>
        </w:rPr>
        <w:t>OncoBeta</w:t>
      </w:r>
      <w:proofErr w:type="spellEnd"/>
      <w:r w:rsidR="008C4913">
        <w:rPr>
          <w:lang w:val="en-US"/>
        </w:rPr>
        <w:t xml:space="preserve">® Waste Station is an example. </w:t>
      </w:r>
    </w:p>
    <w:p w14:paraId="7CFE7B78" w14:textId="77777777" w:rsidR="008C4913" w:rsidRDefault="008C4913" w:rsidP="008C4913">
      <w:pPr>
        <w:rPr>
          <w:lang w:val="en-US"/>
        </w:rPr>
      </w:pPr>
    </w:p>
    <w:p w14:paraId="3671EC84" w14:textId="49D393CB" w:rsidR="00F301F1" w:rsidRPr="00855944" w:rsidRDefault="00F301F1" w:rsidP="00BF5446">
      <w:pPr>
        <w:spacing w:before="0" w:after="0"/>
        <w:ind w:left="284"/>
        <w:jc w:val="both"/>
      </w:pPr>
      <w:r w:rsidRPr="00855944">
        <w:br w:type="page"/>
      </w:r>
    </w:p>
    <w:p w14:paraId="4B8B4717"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39330D9B"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517F18">
        <w:t xml:space="preserve">radioactive </w:t>
      </w:r>
      <w:proofErr w:type="gramStart"/>
      <w:r w:rsidR="001A1ADF" w:rsidRPr="00517F18">
        <w:t>tracer</w:t>
      </w:r>
      <w:proofErr w:type="gramEnd"/>
      <w:r w:rsidR="001A1ADF" w:rsidRPr="00517F18">
        <w:t xml:space="preserve"> or</w:t>
      </w:r>
      <w:r w:rsidR="001A1ADF" w:rsidRPr="00A6491A">
        <w:t xml:space="preserve">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769DBB63" w14:textId="1E31E7B5" w:rsidR="00A26343" w:rsidRPr="00A26343" w:rsidRDefault="00A26343" w:rsidP="00B30741">
      <w:pPr>
        <w:spacing w:before="0" w:after="0"/>
        <w:ind w:left="360"/>
        <w:rPr>
          <w:szCs w:val="20"/>
        </w:rPr>
      </w:pPr>
      <w:r w:rsidRPr="00A26343">
        <w:rPr>
          <w:szCs w:val="20"/>
        </w:rPr>
        <w:t>Type of therapeutic good</w:t>
      </w:r>
      <w:r>
        <w:rPr>
          <w:szCs w:val="20"/>
        </w:rPr>
        <w:t>:</w:t>
      </w:r>
      <w:r w:rsidR="00362E98">
        <w:rPr>
          <w:szCs w:val="20"/>
        </w:rPr>
        <w:t xml:space="preserve"> The service involves the use of a multi-component medical device, as described </w:t>
      </w:r>
      <w:r w:rsidR="00AF0944">
        <w:rPr>
          <w:szCs w:val="20"/>
        </w:rPr>
        <w:t>above</w:t>
      </w:r>
      <w:r w:rsidR="00362E98">
        <w:rPr>
          <w:szCs w:val="20"/>
        </w:rPr>
        <w:t xml:space="preserve">. Additional </w:t>
      </w:r>
      <w:r w:rsidR="00AF0944">
        <w:rPr>
          <w:szCs w:val="20"/>
        </w:rPr>
        <w:t xml:space="preserve">detailed </w:t>
      </w:r>
      <w:r w:rsidR="00362E98">
        <w:rPr>
          <w:szCs w:val="20"/>
        </w:rPr>
        <w:t>information on the device and its components can be provided upon request</w:t>
      </w:r>
      <w:r w:rsidR="00AF0944">
        <w:rPr>
          <w:szCs w:val="20"/>
        </w:rPr>
        <w:t xml:space="preserve">.  </w:t>
      </w:r>
    </w:p>
    <w:p w14:paraId="1C2ABB21" w14:textId="24AF5E85" w:rsidR="00A26343" w:rsidRPr="00A26343" w:rsidRDefault="00A26343" w:rsidP="00B30741">
      <w:pPr>
        <w:spacing w:before="0" w:after="0"/>
        <w:ind w:left="360"/>
        <w:rPr>
          <w:szCs w:val="20"/>
        </w:rPr>
      </w:pPr>
      <w:r w:rsidRPr="00A26343">
        <w:rPr>
          <w:szCs w:val="20"/>
        </w:rPr>
        <w:t>Manufacturer’s name</w:t>
      </w:r>
      <w:r>
        <w:rPr>
          <w:szCs w:val="20"/>
        </w:rPr>
        <w:t xml:space="preserve">: </w:t>
      </w:r>
      <w:proofErr w:type="spellStart"/>
      <w:r w:rsidR="00B30741">
        <w:t>OncoBeta</w:t>
      </w:r>
      <w:proofErr w:type="spellEnd"/>
      <w:r w:rsidR="00B30741">
        <w:t xml:space="preserve"> GmbH</w:t>
      </w:r>
    </w:p>
    <w:p w14:paraId="2E59A5B3" w14:textId="4A9B21F9" w:rsidR="00A26343" w:rsidRPr="00A26343" w:rsidRDefault="00A26343" w:rsidP="00B30741">
      <w:pPr>
        <w:spacing w:before="0" w:after="0"/>
        <w:ind w:left="360"/>
        <w:rPr>
          <w:szCs w:val="20"/>
        </w:rPr>
      </w:pPr>
      <w:r w:rsidRPr="00A26343">
        <w:rPr>
          <w:szCs w:val="20"/>
        </w:rPr>
        <w:t>Sponsor’s name</w:t>
      </w:r>
      <w:r>
        <w:rPr>
          <w:szCs w:val="20"/>
        </w:rPr>
        <w:t xml:space="preserve">: </w:t>
      </w:r>
      <w:proofErr w:type="spellStart"/>
      <w:r w:rsidR="00883678">
        <w:rPr>
          <w:szCs w:val="20"/>
        </w:rPr>
        <w:t>Onco</w:t>
      </w:r>
      <w:r w:rsidR="00CA4795">
        <w:rPr>
          <w:szCs w:val="20"/>
        </w:rPr>
        <w:t>B</w:t>
      </w:r>
      <w:r w:rsidR="00883678">
        <w:rPr>
          <w:szCs w:val="20"/>
        </w:rPr>
        <w:t>eta</w:t>
      </w:r>
      <w:proofErr w:type="spellEnd"/>
      <w:r w:rsidR="00883678">
        <w:rPr>
          <w:szCs w:val="20"/>
        </w:rPr>
        <w:t xml:space="preserve"> Therapeutics Australia Pty Ltd</w:t>
      </w:r>
    </w:p>
    <w:p w14:paraId="40368D28"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7D21C2A" w14:textId="2BAB5E45" w:rsidR="00615F42" w:rsidRPr="00615F42" w:rsidRDefault="00E32293" w:rsidP="00B3074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615F42" w:rsidRPr="000A5B32">
        <w:rPr>
          <w:szCs w:val="20"/>
        </w:rPr>
        <w:t xml:space="preserve"> </w:t>
      </w:r>
      <w:r w:rsidR="00615F42" w:rsidRPr="00615F42">
        <w:rPr>
          <w:szCs w:val="20"/>
        </w:rPr>
        <w:t>Class II</w:t>
      </w:r>
      <w:r w:rsidR="00CA4795">
        <w:rPr>
          <w:szCs w:val="20"/>
        </w:rPr>
        <w:t>b</w:t>
      </w:r>
    </w:p>
    <w:p w14:paraId="228F2890" w14:textId="77777777" w:rsidR="00615F42" w:rsidRPr="00615F42" w:rsidRDefault="00615F42" w:rsidP="00B3074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0F66">
        <w:rPr>
          <w:szCs w:val="20"/>
        </w:rPr>
      </w:r>
      <w:r w:rsidR="00B50F66">
        <w:rPr>
          <w:szCs w:val="20"/>
        </w:rPr>
        <w:fldChar w:fldCharType="separate"/>
      </w:r>
      <w:r w:rsidRPr="000A5B32">
        <w:rPr>
          <w:szCs w:val="20"/>
        </w:rPr>
        <w:fldChar w:fldCharType="end"/>
      </w:r>
      <w:r w:rsidRPr="000A5B32">
        <w:rPr>
          <w:szCs w:val="20"/>
        </w:rPr>
        <w:t xml:space="preserve"> </w:t>
      </w:r>
      <w:r w:rsidRPr="00615F42">
        <w:rPr>
          <w:szCs w:val="20"/>
        </w:rPr>
        <w:t>AIMD</w:t>
      </w:r>
    </w:p>
    <w:p w14:paraId="6913E3B8" w14:textId="77777777" w:rsidR="005E2CE3" w:rsidRPr="00154B00" w:rsidRDefault="00615F42" w:rsidP="00B3074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0F66">
        <w:rPr>
          <w:szCs w:val="20"/>
        </w:rPr>
      </w:r>
      <w:r w:rsidR="00B50F66">
        <w:rPr>
          <w:szCs w:val="20"/>
        </w:rPr>
        <w:fldChar w:fldCharType="separate"/>
      </w:r>
      <w:r w:rsidRPr="000A5B32">
        <w:rPr>
          <w:szCs w:val="20"/>
        </w:rPr>
        <w:fldChar w:fldCharType="end"/>
      </w:r>
      <w:r w:rsidRPr="000A5B32">
        <w:rPr>
          <w:szCs w:val="20"/>
        </w:rPr>
        <w:t xml:space="preserve"> </w:t>
      </w:r>
      <w:r w:rsidRPr="00615F42">
        <w:rPr>
          <w:szCs w:val="20"/>
        </w:rPr>
        <w:t>N/A</w:t>
      </w:r>
    </w:p>
    <w:p w14:paraId="3B13E7A8" w14:textId="10743A44"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5AADB65" w14:textId="2CAFA711" w:rsidR="00615F42" w:rsidRDefault="003E6F28"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615F42">
        <w:rPr>
          <w:szCs w:val="20"/>
        </w:rPr>
        <w:t xml:space="preserve"> Yes (</w:t>
      </w:r>
      <w:r w:rsidR="00615F42" w:rsidRPr="00154B00">
        <w:rPr>
          <w:szCs w:val="20"/>
        </w:rPr>
        <w:t>If yes, please provide supporting documentation</w:t>
      </w:r>
      <w:r w:rsidR="00615F42">
        <w:rPr>
          <w:szCs w:val="20"/>
        </w:rPr>
        <w:t xml:space="preserve"> as an attachment to this application form)</w:t>
      </w:r>
    </w:p>
    <w:p w14:paraId="06AF707C" w14:textId="4693DAE3" w:rsidR="003421AE" w:rsidRPr="00615F42" w:rsidRDefault="00E32293"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615F42">
        <w:rPr>
          <w:szCs w:val="20"/>
        </w:rPr>
        <w:t xml:space="preserve"> No</w:t>
      </w:r>
    </w:p>
    <w:p w14:paraId="137B00C5"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0D9301F" w14:textId="4A1C5A25" w:rsidR="0043654D" w:rsidRDefault="003E6F28"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43654D">
        <w:rPr>
          <w:szCs w:val="20"/>
        </w:rPr>
        <w:t xml:space="preserve"> Yes (if yes, please provide details below)</w:t>
      </w:r>
    </w:p>
    <w:p w14:paraId="252D3FE6" w14:textId="53F9154C" w:rsidR="003E6F28" w:rsidRDefault="003E6F28" w:rsidP="003E6F28">
      <w:pPr>
        <w:spacing w:before="0" w:after="0"/>
        <w:rPr>
          <w:szCs w:val="20"/>
        </w:rPr>
      </w:pPr>
    </w:p>
    <w:p w14:paraId="15B2EE09" w14:textId="551A5CCF" w:rsidR="003E6F28" w:rsidRDefault="003E6F28" w:rsidP="00B30741">
      <w:pPr>
        <w:spacing w:before="0" w:after="0"/>
        <w:ind w:left="284"/>
        <w:rPr>
          <w:szCs w:val="20"/>
        </w:rPr>
      </w:pPr>
      <w:r>
        <w:rPr>
          <w:szCs w:val="20"/>
        </w:rPr>
        <w:t>Rhenium-SCT was included on the ARTG on 9</w:t>
      </w:r>
      <w:r w:rsidRPr="003E6F28">
        <w:rPr>
          <w:szCs w:val="20"/>
          <w:vertAlign w:val="superscript"/>
        </w:rPr>
        <w:t>th</w:t>
      </w:r>
      <w:r>
        <w:rPr>
          <w:szCs w:val="20"/>
        </w:rPr>
        <w:t xml:space="preserve"> December 2020 (Entry 351390). </w:t>
      </w:r>
    </w:p>
    <w:p w14:paraId="32D0DD08" w14:textId="11BC58E5" w:rsidR="003E6F28" w:rsidRDefault="003E6F28" w:rsidP="00B30741">
      <w:pPr>
        <w:spacing w:before="0" w:after="0"/>
        <w:ind w:left="284"/>
        <w:rPr>
          <w:szCs w:val="20"/>
        </w:rPr>
      </w:pPr>
    </w:p>
    <w:p w14:paraId="01AB0CA2" w14:textId="4FFBCAFD" w:rsidR="003E6F28" w:rsidRDefault="003E6F28" w:rsidP="00B30741">
      <w:pPr>
        <w:spacing w:before="0" w:after="0"/>
        <w:ind w:left="284"/>
        <w:rPr>
          <w:szCs w:val="20"/>
        </w:rPr>
      </w:pPr>
      <w:r>
        <w:rPr>
          <w:szCs w:val="20"/>
        </w:rPr>
        <w:t xml:space="preserve">Intended purpose: </w:t>
      </w:r>
      <w:r w:rsidRPr="003E6F28">
        <w:rPr>
          <w:szCs w:val="20"/>
        </w:rPr>
        <w:t>The Rhenium Skin Cancer Therapy</w:t>
      </w:r>
      <w:r w:rsidR="001F2B22">
        <w:rPr>
          <w:szCs w:val="20"/>
        </w:rPr>
        <w:t xml:space="preserve"> </w:t>
      </w:r>
      <w:r w:rsidRPr="003E6F28">
        <w:rPr>
          <w:szCs w:val="20"/>
        </w:rPr>
        <w:t>(Rhenium-SCT) is intended to be used to treat skin cancer using the radioisotope Rhenium-188.</w:t>
      </w:r>
      <w:r>
        <w:rPr>
          <w:szCs w:val="20"/>
        </w:rPr>
        <w:t xml:space="preserve"> </w:t>
      </w:r>
      <w:r w:rsidRPr="003E6F28">
        <w:rPr>
          <w:szCs w:val="20"/>
        </w:rPr>
        <w:t>The main component of the Rh</w:t>
      </w:r>
      <w:r>
        <w:rPr>
          <w:szCs w:val="20"/>
        </w:rPr>
        <w:t>e</w:t>
      </w:r>
      <w:r w:rsidRPr="003E6F28">
        <w:rPr>
          <w:szCs w:val="20"/>
        </w:rPr>
        <w:t xml:space="preserve">nium-SCT is a radioactive </w:t>
      </w:r>
      <w:r w:rsidR="00EE2486">
        <w:rPr>
          <w:szCs w:val="20"/>
        </w:rPr>
        <w:t>paste</w:t>
      </w:r>
      <w:r w:rsidRPr="003E6F28">
        <w:rPr>
          <w:szCs w:val="20"/>
        </w:rPr>
        <w:t xml:space="preserve"> (Rhenium-188-Compoun</w:t>
      </w:r>
      <w:r>
        <w:rPr>
          <w:szCs w:val="20"/>
        </w:rPr>
        <w:t>d</w:t>
      </w:r>
      <w:r w:rsidRPr="003E6F28">
        <w:rPr>
          <w:szCs w:val="20"/>
        </w:rPr>
        <w:t xml:space="preserve">). </w:t>
      </w:r>
      <w:proofErr w:type="gramStart"/>
      <w:r w:rsidRPr="003E6F28">
        <w:rPr>
          <w:szCs w:val="20"/>
        </w:rPr>
        <w:t>In order to</w:t>
      </w:r>
      <w:proofErr w:type="gramEnd"/>
      <w:r w:rsidRPr="003E6F28">
        <w:rPr>
          <w:szCs w:val="20"/>
        </w:rPr>
        <w:t xml:space="preserve"> put the </w:t>
      </w:r>
      <w:r w:rsidR="00EE2486">
        <w:rPr>
          <w:szCs w:val="20"/>
        </w:rPr>
        <w:t>paste</w:t>
      </w:r>
      <w:r w:rsidRPr="003E6F28">
        <w:rPr>
          <w:szCs w:val="20"/>
        </w:rPr>
        <w:t xml:space="preserve"> close to</w:t>
      </w:r>
      <w:r>
        <w:rPr>
          <w:szCs w:val="20"/>
        </w:rPr>
        <w:t xml:space="preserve"> </w:t>
      </w:r>
      <w:r w:rsidRPr="003E6F28">
        <w:rPr>
          <w:szCs w:val="20"/>
        </w:rPr>
        <w:t>the tumo</w:t>
      </w:r>
      <w:r>
        <w:rPr>
          <w:szCs w:val="20"/>
        </w:rPr>
        <w:t>u</w:t>
      </w:r>
      <w:r w:rsidRPr="003E6F28">
        <w:rPr>
          <w:szCs w:val="20"/>
        </w:rPr>
        <w:t xml:space="preserve">r the </w:t>
      </w:r>
      <w:r w:rsidR="00EE2486">
        <w:rPr>
          <w:szCs w:val="20"/>
        </w:rPr>
        <w:t>paste</w:t>
      </w:r>
      <w:r w:rsidRPr="003E6F28">
        <w:rPr>
          <w:szCs w:val="20"/>
        </w:rPr>
        <w:t xml:space="preserve"> is applied over a protective foil over the tumo</w:t>
      </w:r>
      <w:r>
        <w:rPr>
          <w:szCs w:val="20"/>
        </w:rPr>
        <w:t>u</w:t>
      </w:r>
      <w:r w:rsidRPr="003E6F28">
        <w:rPr>
          <w:szCs w:val="20"/>
        </w:rPr>
        <w:t>r and thus only irradiates diseased tissue. The penetration</w:t>
      </w:r>
      <w:r>
        <w:rPr>
          <w:szCs w:val="20"/>
        </w:rPr>
        <w:t xml:space="preserve"> </w:t>
      </w:r>
      <w:r w:rsidRPr="003E6F28">
        <w:rPr>
          <w:szCs w:val="20"/>
        </w:rPr>
        <w:t>range of its beta-radiation is very shallow in the human tissue (2-3mm)</w:t>
      </w:r>
      <w:r>
        <w:rPr>
          <w:szCs w:val="20"/>
        </w:rPr>
        <w:t xml:space="preserve">.  </w:t>
      </w:r>
    </w:p>
    <w:p w14:paraId="79AC8461" w14:textId="6A5F865B" w:rsidR="003E6F28" w:rsidRDefault="003E6F28" w:rsidP="00B30741">
      <w:pPr>
        <w:spacing w:before="0" w:after="0"/>
        <w:ind w:left="284"/>
        <w:rPr>
          <w:szCs w:val="20"/>
        </w:rPr>
      </w:pPr>
    </w:p>
    <w:p w14:paraId="6DB23A7B" w14:textId="473134BF" w:rsidR="003E6F28" w:rsidRDefault="003E6F28" w:rsidP="00B30741">
      <w:pPr>
        <w:spacing w:before="0" w:after="0"/>
        <w:ind w:left="284"/>
        <w:rPr>
          <w:szCs w:val="20"/>
        </w:rPr>
      </w:pPr>
      <w:r>
        <w:rPr>
          <w:szCs w:val="20"/>
        </w:rPr>
        <w:t xml:space="preserve">Specific conditions: </w:t>
      </w:r>
      <w:r w:rsidRPr="003E6F28">
        <w:rPr>
          <w:szCs w:val="20"/>
        </w:rPr>
        <w:t>This medical device ARTG inclusion is limited to some medical device of the kind. These devices of the kind are medical devices identified by the</w:t>
      </w:r>
      <w:r>
        <w:rPr>
          <w:szCs w:val="20"/>
        </w:rPr>
        <w:t xml:space="preserve"> </w:t>
      </w:r>
      <w:r w:rsidRPr="003E6F28">
        <w:rPr>
          <w:szCs w:val="20"/>
        </w:rPr>
        <w:t>manufacturer as - Rhenium-188 paste for the treatment of skin cancer lesions and skin tumo</w:t>
      </w:r>
      <w:r>
        <w:rPr>
          <w:szCs w:val="20"/>
        </w:rPr>
        <w:t>u</w:t>
      </w:r>
      <w:r w:rsidRPr="003E6F28">
        <w:rPr>
          <w:szCs w:val="20"/>
        </w:rPr>
        <w:t xml:space="preserve">rs. </w:t>
      </w:r>
      <w:r>
        <w:rPr>
          <w:szCs w:val="20"/>
        </w:rPr>
        <w:t>O</w:t>
      </w:r>
      <w:r w:rsidRPr="003E6F28">
        <w:rPr>
          <w:szCs w:val="20"/>
        </w:rPr>
        <w:t>ther devices of the kind must not be supplied under this</w:t>
      </w:r>
      <w:r>
        <w:rPr>
          <w:szCs w:val="20"/>
        </w:rPr>
        <w:t xml:space="preserve"> </w:t>
      </w:r>
      <w:r w:rsidRPr="003E6F28">
        <w:rPr>
          <w:szCs w:val="20"/>
        </w:rPr>
        <w:t>ARTG entry in Australia until and unless evidence of the application of appropriate conformity assessment procedure to those devices is</w:t>
      </w:r>
      <w:r>
        <w:rPr>
          <w:szCs w:val="20"/>
        </w:rPr>
        <w:t xml:space="preserve"> p</w:t>
      </w:r>
      <w:r w:rsidRPr="003E6F28">
        <w:rPr>
          <w:szCs w:val="20"/>
        </w:rPr>
        <w:t>rovided and</w:t>
      </w:r>
      <w:r>
        <w:rPr>
          <w:szCs w:val="20"/>
        </w:rPr>
        <w:t xml:space="preserve"> </w:t>
      </w:r>
      <w:r w:rsidRPr="003E6F28">
        <w:rPr>
          <w:szCs w:val="20"/>
        </w:rPr>
        <w:t xml:space="preserve">accepted by the TGA. </w:t>
      </w:r>
    </w:p>
    <w:p w14:paraId="66150F4E" w14:textId="6206AF93" w:rsidR="00C0796F" w:rsidRPr="0043654D" w:rsidRDefault="00C0796F" w:rsidP="00530204">
      <w:pPr>
        <w:pStyle w:val="Heading2"/>
      </w:pPr>
      <w:r w:rsidRPr="0043654D">
        <w:t xml:space="preserve">If the therapeutic good has not been listed, </w:t>
      </w:r>
      <w:proofErr w:type="gramStart"/>
      <w:r w:rsidRPr="0043654D">
        <w:t>registered</w:t>
      </w:r>
      <w:proofErr w:type="gramEnd"/>
      <w:r w:rsidRPr="0043654D">
        <w:t xml:space="preserve"> or included in the ARTG, is the therapeutic good in the process of being considered for inclusion by the TGA?</w:t>
      </w:r>
    </w:p>
    <w:p w14:paraId="10AA5766" w14:textId="46EA3843" w:rsidR="0047581D" w:rsidRPr="00B30741" w:rsidRDefault="00B30741" w:rsidP="00B30741">
      <w:pPr>
        <w:ind w:left="284" w:firstLine="76"/>
      </w:pPr>
      <w:r>
        <w:t>N/A</w:t>
      </w:r>
    </w:p>
    <w:p w14:paraId="1A41D152"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proofErr w:type="gramStart"/>
      <w:r w:rsidR="00F83A9D" w:rsidRPr="000A110D">
        <w:t>registration</w:t>
      </w:r>
      <w:proofErr w:type="gramEnd"/>
      <w:r w:rsidR="00F83A9D" w:rsidRPr="000A110D">
        <w:t xml:space="preserve"> </w:t>
      </w:r>
      <w:r w:rsidR="00C0796F" w:rsidRPr="000A110D">
        <w:t xml:space="preserve">or </w:t>
      </w:r>
      <w:r w:rsidR="00F83A9D" w:rsidRPr="000A110D">
        <w:t>inclusion by the TGA, is an application to the TGA being prepared?</w:t>
      </w:r>
    </w:p>
    <w:p w14:paraId="09741F87" w14:textId="77777777" w:rsidR="00B30741" w:rsidRPr="00CB12EC" w:rsidRDefault="00B30741" w:rsidP="00B30741">
      <w:pPr>
        <w:ind w:left="284" w:firstLine="76"/>
      </w:pPr>
      <w:r>
        <w:t>N/A</w:t>
      </w:r>
    </w:p>
    <w:p w14:paraId="752D937F" w14:textId="77777777" w:rsidR="00DD308E" w:rsidRDefault="00DD308E">
      <w:pPr>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14:paraId="70805530"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0651127E"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368"/>
        <w:gridCol w:w="1496"/>
        <w:gridCol w:w="3742"/>
        <w:gridCol w:w="4156"/>
        <w:gridCol w:w="3261"/>
        <w:gridCol w:w="925"/>
      </w:tblGrid>
      <w:tr w:rsidR="00751EB8" w14:paraId="5E4CB72A" w14:textId="77777777" w:rsidTr="00284A5D">
        <w:trPr>
          <w:cantSplit/>
          <w:tblHeader/>
        </w:trPr>
        <w:tc>
          <w:tcPr>
            <w:tcW w:w="132" w:type="pct"/>
          </w:tcPr>
          <w:p w14:paraId="6F3F2F95" w14:textId="77777777" w:rsidR="00DD308E" w:rsidRDefault="00DD308E" w:rsidP="00855944">
            <w:pPr>
              <w:pStyle w:val="TableHEADER"/>
            </w:pPr>
          </w:p>
        </w:tc>
        <w:tc>
          <w:tcPr>
            <w:tcW w:w="555" w:type="pct"/>
          </w:tcPr>
          <w:p w14:paraId="66114FBA" w14:textId="6F7889BE" w:rsidR="00DD308E" w:rsidRDefault="00DD308E" w:rsidP="00855944">
            <w:pPr>
              <w:pStyle w:val="TableHEADER"/>
            </w:pPr>
            <w:r>
              <w:t xml:space="preserve">Type of study </w:t>
            </w:r>
          </w:p>
        </w:tc>
        <w:tc>
          <w:tcPr>
            <w:tcW w:w="1360" w:type="pct"/>
          </w:tcPr>
          <w:p w14:paraId="412C824A" w14:textId="6EC3FAC7" w:rsidR="00DD308E" w:rsidRDefault="00DD308E" w:rsidP="00855944">
            <w:pPr>
              <w:pStyle w:val="TableHEADER"/>
            </w:pPr>
            <w:r>
              <w:t>Title</w:t>
            </w:r>
            <w:r w:rsidR="00751EB8">
              <w:t xml:space="preserve"> / Identifier</w:t>
            </w:r>
          </w:p>
        </w:tc>
        <w:tc>
          <w:tcPr>
            <w:tcW w:w="1508" w:type="pct"/>
          </w:tcPr>
          <w:p w14:paraId="638F240D" w14:textId="7C72149A" w:rsidR="00DD308E" w:rsidRDefault="00DD308E" w:rsidP="00855944">
            <w:pPr>
              <w:pStyle w:val="TableHEADER"/>
            </w:pPr>
            <w:r>
              <w:t xml:space="preserve">Short description </w:t>
            </w:r>
          </w:p>
        </w:tc>
        <w:tc>
          <w:tcPr>
            <w:tcW w:w="1095" w:type="pct"/>
          </w:tcPr>
          <w:p w14:paraId="0566F865" w14:textId="090D36F1" w:rsidR="00DD308E" w:rsidRDefault="00DD308E" w:rsidP="00855944">
            <w:pPr>
              <w:pStyle w:val="TableHEADER"/>
            </w:pPr>
            <w:r w:rsidRPr="00E82F54">
              <w:t xml:space="preserve">Website link </w:t>
            </w:r>
          </w:p>
        </w:tc>
        <w:tc>
          <w:tcPr>
            <w:tcW w:w="350" w:type="pct"/>
          </w:tcPr>
          <w:p w14:paraId="5A53DCDC" w14:textId="7187C770" w:rsidR="00DD308E" w:rsidRDefault="00751EB8" w:rsidP="00855944">
            <w:pPr>
              <w:pStyle w:val="TableHEADER"/>
            </w:pPr>
            <w:r>
              <w:t>Year</w:t>
            </w:r>
          </w:p>
        </w:tc>
      </w:tr>
      <w:tr w:rsidR="00751EB8" w:rsidRPr="00B14CD3" w14:paraId="13E77A2C" w14:textId="77777777" w:rsidTr="00284A5D">
        <w:trPr>
          <w:cantSplit/>
          <w:trHeight w:val="682"/>
        </w:trPr>
        <w:tc>
          <w:tcPr>
            <w:tcW w:w="132" w:type="pct"/>
          </w:tcPr>
          <w:p w14:paraId="401BBEE5" w14:textId="77777777" w:rsidR="00DD308E" w:rsidRPr="00B14CD3" w:rsidRDefault="00DD308E" w:rsidP="00DD308E">
            <w:pPr>
              <w:rPr>
                <w:szCs w:val="20"/>
              </w:rPr>
            </w:pPr>
            <w:r w:rsidRPr="00B14CD3">
              <w:rPr>
                <w:szCs w:val="20"/>
              </w:rPr>
              <w:t>1.</w:t>
            </w:r>
          </w:p>
        </w:tc>
        <w:tc>
          <w:tcPr>
            <w:tcW w:w="555" w:type="pct"/>
          </w:tcPr>
          <w:p w14:paraId="03771B9B" w14:textId="69E9FBDA" w:rsidR="00DD308E" w:rsidRPr="00B14CD3" w:rsidRDefault="00751EB8" w:rsidP="00DD308E">
            <w:pPr>
              <w:rPr>
                <w:szCs w:val="20"/>
              </w:rPr>
            </w:pPr>
            <w:r w:rsidRPr="00B14CD3">
              <w:t>Retrospective cohort study</w:t>
            </w:r>
          </w:p>
        </w:tc>
        <w:tc>
          <w:tcPr>
            <w:tcW w:w="1360" w:type="pct"/>
          </w:tcPr>
          <w:p w14:paraId="0B6AB692" w14:textId="152FD1D1" w:rsidR="00DD308E" w:rsidRPr="00B14CD3" w:rsidRDefault="00751EB8" w:rsidP="00DD308E">
            <w:pPr>
              <w:rPr>
                <w:szCs w:val="20"/>
              </w:rPr>
            </w:pPr>
            <w:r w:rsidRPr="00B14CD3">
              <w:t xml:space="preserve">Cipriani et al, 2020: Personalized irradiation therapy for NMSC by rhenium-188 skin cancer therapy: a </w:t>
            </w:r>
            <w:proofErr w:type="gramStart"/>
            <w:r w:rsidRPr="00B14CD3">
              <w:t>long term</w:t>
            </w:r>
            <w:proofErr w:type="gramEnd"/>
            <w:r w:rsidRPr="00B14CD3">
              <w:t xml:space="preserve"> retrospective study</w:t>
            </w:r>
          </w:p>
        </w:tc>
        <w:tc>
          <w:tcPr>
            <w:tcW w:w="1508" w:type="pct"/>
          </w:tcPr>
          <w:p w14:paraId="17EAA76E" w14:textId="2DA4C68A" w:rsidR="00DD308E" w:rsidRPr="00B14CD3" w:rsidRDefault="00284A5D" w:rsidP="00DD308E">
            <w:pPr>
              <w:rPr>
                <w:szCs w:val="20"/>
              </w:rPr>
            </w:pPr>
            <w:r>
              <w:rPr>
                <w:szCs w:val="20"/>
              </w:rPr>
              <w:t xml:space="preserve">Enrolled </w:t>
            </w:r>
            <w:r w:rsidR="00B14CD3">
              <w:rPr>
                <w:szCs w:val="20"/>
              </w:rPr>
              <w:t xml:space="preserve">52 patients with 55 </w:t>
            </w:r>
            <w:r>
              <w:rPr>
                <w:szCs w:val="20"/>
              </w:rPr>
              <w:t xml:space="preserve">confirmed </w:t>
            </w:r>
            <w:r w:rsidR="00B14CD3">
              <w:rPr>
                <w:szCs w:val="20"/>
              </w:rPr>
              <w:t xml:space="preserve">NMSC </w:t>
            </w:r>
            <w:r w:rsidR="00B36DBE">
              <w:rPr>
                <w:szCs w:val="20"/>
              </w:rPr>
              <w:t xml:space="preserve">lesions </w:t>
            </w:r>
            <w:r>
              <w:rPr>
                <w:szCs w:val="20"/>
              </w:rPr>
              <w:t xml:space="preserve">and included </w:t>
            </w:r>
            <w:r w:rsidR="00B14CD3">
              <w:rPr>
                <w:szCs w:val="20"/>
              </w:rPr>
              <w:t>12 months follow up.  All lesions showed complete remission and no complications were reported</w:t>
            </w:r>
            <w:r w:rsidR="00B36DBE">
              <w:rPr>
                <w:szCs w:val="20"/>
              </w:rPr>
              <w:t xml:space="preserve">.  </w:t>
            </w:r>
          </w:p>
        </w:tc>
        <w:tc>
          <w:tcPr>
            <w:tcW w:w="1095" w:type="pct"/>
          </w:tcPr>
          <w:p w14:paraId="2025D6C4" w14:textId="5A7147E6" w:rsidR="00DD308E" w:rsidRPr="00B14CD3" w:rsidRDefault="00751EB8" w:rsidP="00DD308E">
            <w:pPr>
              <w:rPr>
                <w:szCs w:val="20"/>
              </w:rPr>
            </w:pPr>
            <w:r w:rsidRPr="00B14CD3">
              <w:rPr>
                <w:szCs w:val="20"/>
              </w:rPr>
              <w:t>pubmed.ncbi.nlm.nih.gov/32648530/</w:t>
            </w:r>
          </w:p>
        </w:tc>
        <w:tc>
          <w:tcPr>
            <w:tcW w:w="350" w:type="pct"/>
          </w:tcPr>
          <w:p w14:paraId="66ACF2B2" w14:textId="00F42261" w:rsidR="00DD308E" w:rsidRPr="00B14CD3" w:rsidRDefault="00751EB8" w:rsidP="00DD308E">
            <w:pPr>
              <w:rPr>
                <w:szCs w:val="20"/>
              </w:rPr>
            </w:pPr>
            <w:r w:rsidRPr="00B14CD3">
              <w:t>2020</w:t>
            </w:r>
          </w:p>
        </w:tc>
      </w:tr>
      <w:tr w:rsidR="00CF36B1" w:rsidRPr="00B14CD3" w14:paraId="45CD1008" w14:textId="77777777" w:rsidTr="00284A5D">
        <w:trPr>
          <w:cantSplit/>
          <w:trHeight w:val="916"/>
        </w:trPr>
        <w:tc>
          <w:tcPr>
            <w:tcW w:w="132" w:type="pct"/>
          </w:tcPr>
          <w:p w14:paraId="54455B1E" w14:textId="1647982A" w:rsidR="00CF36B1" w:rsidRPr="00B14CD3" w:rsidRDefault="00CF36B1" w:rsidP="00CF36B1">
            <w:pPr>
              <w:rPr>
                <w:szCs w:val="20"/>
              </w:rPr>
            </w:pPr>
            <w:r w:rsidRPr="00B14CD3">
              <w:rPr>
                <w:szCs w:val="20"/>
              </w:rPr>
              <w:t>2.</w:t>
            </w:r>
          </w:p>
        </w:tc>
        <w:tc>
          <w:tcPr>
            <w:tcW w:w="555" w:type="pct"/>
          </w:tcPr>
          <w:p w14:paraId="03C57D52" w14:textId="484AD90B" w:rsidR="00CF36B1" w:rsidRPr="00B14CD3" w:rsidRDefault="00284A5D" w:rsidP="00CF36B1">
            <w:r>
              <w:t xml:space="preserve">Prospective observational </w:t>
            </w:r>
            <w:r w:rsidR="00B36DBE">
              <w:t xml:space="preserve">cohort </w:t>
            </w:r>
            <w:r>
              <w:t>study</w:t>
            </w:r>
          </w:p>
        </w:tc>
        <w:tc>
          <w:tcPr>
            <w:tcW w:w="1360" w:type="pct"/>
          </w:tcPr>
          <w:p w14:paraId="4A656A16" w14:textId="29083E0A" w:rsidR="00CF36B1" w:rsidRPr="00B14CD3" w:rsidRDefault="00CF36B1" w:rsidP="00CF36B1">
            <w:proofErr w:type="spellStart"/>
            <w:r w:rsidRPr="00B14CD3">
              <w:t>Castellucci</w:t>
            </w:r>
            <w:proofErr w:type="spellEnd"/>
            <w:r w:rsidRPr="00B14CD3">
              <w:t xml:space="preserve"> et al, 202</w:t>
            </w:r>
            <w:r w:rsidR="00AE71E7">
              <w:t>1</w:t>
            </w:r>
            <w:r w:rsidRPr="00B14CD3">
              <w:t xml:space="preserve">: High dose brachytherapy with </w:t>
            </w:r>
            <w:proofErr w:type="spellStart"/>
            <w:r w:rsidRPr="00B14CD3">
              <w:t>non sealed</w:t>
            </w:r>
            <w:proofErr w:type="spellEnd"/>
            <w:r w:rsidRPr="00B14CD3">
              <w:t xml:space="preserve"> 188 Re (rhenium) resin in patients with non-melanoma skin cancers (NMSCs): single </w:t>
            </w:r>
            <w:proofErr w:type="spellStart"/>
            <w:r w:rsidRPr="00B14CD3">
              <w:t>center</w:t>
            </w:r>
            <w:proofErr w:type="spellEnd"/>
            <w:r w:rsidRPr="00B14CD3">
              <w:t xml:space="preserve"> preliminary results</w:t>
            </w:r>
          </w:p>
        </w:tc>
        <w:tc>
          <w:tcPr>
            <w:tcW w:w="1508" w:type="pct"/>
          </w:tcPr>
          <w:p w14:paraId="2FA3A9C8" w14:textId="3A1D0449" w:rsidR="00CF36B1" w:rsidRPr="00B14CD3" w:rsidRDefault="00284A5D" w:rsidP="00CF36B1">
            <w:r>
              <w:t xml:space="preserve">Enrolled 50 patients with 60 confirmed NMSC lesions and included </w:t>
            </w:r>
            <w:proofErr w:type="gramStart"/>
            <w:r>
              <w:t>24  months</w:t>
            </w:r>
            <w:proofErr w:type="gramEnd"/>
            <w:r>
              <w:t xml:space="preserve"> follow up. At 1 year all lesions were free from relapse and at 2 years a single relapse had occurred.  Reported side effects were early, </w:t>
            </w:r>
            <w:proofErr w:type="gramStart"/>
            <w:r>
              <w:t>mild</w:t>
            </w:r>
            <w:proofErr w:type="gramEnd"/>
            <w:r>
              <w:t xml:space="preserve"> and resolved.  </w:t>
            </w:r>
          </w:p>
        </w:tc>
        <w:tc>
          <w:tcPr>
            <w:tcW w:w="1095" w:type="pct"/>
          </w:tcPr>
          <w:p w14:paraId="34B524B0" w14:textId="2A7C85A4" w:rsidR="00CF36B1" w:rsidRPr="00B14CD3" w:rsidRDefault="00CF36B1" w:rsidP="00CF36B1">
            <w:r w:rsidRPr="00B14CD3">
              <w:t>pubmed.ncbi.nlm.nih.gov/33140131/</w:t>
            </w:r>
          </w:p>
        </w:tc>
        <w:tc>
          <w:tcPr>
            <w:tcW w:w="350" w:type="pct"/>
          </w:tcPr>
          <w:p w14:paraId="244D5545" w14:textId="1F0F1F0A" w:rsidR="00CF36B1" w:rsidRPr="00B14CD3" w:rsidRDefault="00CF36B1" w:rsidP="00CF36B1">
            <w:r w:rsidRPr="00B14CD3">
              <w:t>202</w:t>
            </w:r>
            <w:r w:rsidR="00AE71E7">
              <w:t>1</w:t>
            </w:r>
          </w:p>
        </w:tc>
      </w:tr>
      <w:tr w:rsidR="00CF36B1" w:rsidRPr="00B14CD3" w14:paraId="240A5A38" w14:textId="77777777" w:rsidTr="00284A5D">
        <w:trPr>
          <w:cantSplit/>
        </w:trPr>
        <w:tc>
          <w:tcPr>
            <w:tcW w:w="132" w:type="pct"/>
          </w:tcPr>
          <w:p w14:paraId="3246A5DA" w14:textId="53A54246" w:rsidR="00CF36B1" w:rsidRPr="00B14CD3" w:rsidRDefault="00CF36B1" w:rsidP="00CF36B1">
            <w:pPr>
              <w:rPr>
                <w:szCs w:val="20"/>
              </w:rPr>
            </w:pPr>
            <w:r w:rsidRPr="00B14CD3">
              <w:rPr>
                <w:szCs w:val="20"/>
              </w:rPr>
              <w:t>3.</w:t>
            </w:r>
          </w:p>
        </w:tc>
        <w:tc>
          <w:tcPr>
            <w:tcW w:w="555" w:type="pct"/>
          </w:tcPr>
          <w:p w14:paraId="5B557B0E" w14:textId="13D6C284" w:rsidR="00CF36B1" w:rsidRPr="00B14CD3" w:rsidRDefault="00284A5D" w:rsidP="00CF36B1">
            <w:pPr>
              <w:rPr>
                <w:szCs w:val="20"/>
              </w:rPr>
            </w:pPr>
            <w:r w:rsidRPr="00B14CD3">
              <w:t>Retrospective cohort study</w:t>
            </w:r>
          </w:p>
        </w:tc>
        <w:tc>
          <w:tcPr>
            <w:tcW w:w="1360" w:type="pct"/>
          </w:tcPr>
          <w:p w14:paraId="795EA046" w14:textId="66D3D3E5" w:rsidR="00CF36B1" w:rsidRPr="00B14CD3" w:rsidRDefault="00CF36B1" w:rsidP="00CF36B1">
            <w:pPr>
              <w:rPr>
                <w:szCs w:val="20"/>
              </w:rPr>
            </w:pPr>
            <w:proofErr w:type="spellStart"/>
            <w:r w:rsidRPr="00B14CD3">
              <w:t>Carrozzo</w:t>
            </w:r>
            <w:proofErr w:type="spellEnd"/>
            <w:r w:rsidRPr="00B14CD3">
              <w:t xml:space="preserve"> et al, 2014: Dermo Beta Brachytherapy with 188Re in extramammary Paget's disease</w:t>
            </w:r>
          </w:p>
        </w:tc>
        <w:tc>
          <w:tcPr>
            <w:tcW w:w="1508" w:type="pct"/>
          </w:tcPr>
          <w:p w14:paraId="3E37959D" w14:textId="0F243BF1" w:rsidR="00CF36B1" w:rsidRPr="00B14CD3" w:rsidRDefault="00284A5D" w:rsidP="00CF36B1">
            <w:pPr>
              <w:rPr>
                <w:szCs w:val="20"/>
              </w:rPr>
            </w:pPr>
            <w:r>
              <w:rPr>
                <w:szCs w:val="20"/>
              </w:rPr>
              <w:t xml:space="preserve">Enrolled 5 patients with EMPD and included 34 months of follow up.  All lesions were healed after 1 or 2 treatment sessions.  </w:t>
            </w:r>
            <w:r w:rsidR="00B36DBE">
              <w:t xml:space="preserve">Reported side effects were early, </w:t>
            </w:r>
            <w:proofErr w:type="gramStart"/>
            <w:r w:rsidR="00B36DBE">
              <w:t>mild</w:t>
            </w:r>
            <w:proofErr w:type="gramEnd"/>
            <w:r w:rsidR="00B36DBE">
              <w:t xml:space="preserve"> and quickly resolved.  </w:t>
            </w:r>
          </w:p>
        </w:tc>
        <w:tc>
          <w:tcPr>
            <w:tcW w:w="1095" w:type="pct"/>
          </w:tcPr>
          <w:p w14:paraId="75738F5C" w14:textId="14AE5007" w:rsidR="00CF36B1" w:rsidRPr="00B14CD3" w:rsidRDefault="00CF36B1" w:rsidP="00CF36B1">
            <w:pPr>
              <w:rPr>
                <w:szCs w:val="20"/>
              </w:rPr>
            </w:pPr>
            <w:r w:rsidRPr="00B14CD3">
              <w:t>pubmed.ncbi.nlm.nih.gov/24566572/</w:t>
            </w:r>
          </w:p>
        </w:tc>
        <w:tc>
          <w:tcPr>
            <w:tcW w:w="350" w:type="pct"/>
          </w:tcPr>
          <w:p w14:paraId="6D4FA8C4" w14:textId="132C00CD" w:rsidR="00CF36B1" w:rsidRPr="00B14CD3" w:rsidRDefault="00CF36B1" w:rsidP="00CF36B1">
            <w:pPr>
              <w:rPr>
                <w:szCs w:val="20"/>
              </w:rPr>
            </w:pPr>
            <w:r w:rsidRPr="00B14CD3">
              <w:t>2014</w:t>
            </w:r>
          </w:p>
        </w:tc>
      </w:tr>
      <w:tr w:rsidR="00CF36B1" w:rsidRPr="00B14CD3" w14:paraId="41019EA0" w14:textId="77777777" w:rsidTr="00284A5D">
        <w:trPr>
          <w:cantSplit/>
        </w:trPr>
        <w:tc>
          <w:tcPr>
            <w:tcW w:w="132" w:type="pct"/>
          </w:tcPr>
          <w:p w14:paraId="3C33E94A" w14:textId="05EC480E" w:rsidR="00CF36B1" w:rsidRPr="00B14CD3" w:rsidRDefault="00CF36B1" w:rsidP="00CF36B1">
            <w:pPr>
              <w:rPr>
                <w:szCs w:val="20"/>
              </w:rPr>
            </w:pPr>
            <w:r w:rsidRPr="00B14CD3">
              <w:rPr>
                <w:szCs w:val="20"/>
              </w:rPr>
              <w:t>4.</w:t>
            </w:r>
          </w:p>
        </w:tc>
        <w:tc>
          <w:tcPr>
            <w:tcW w:w="555" w:type="pct"/>
          </w:tcPr>
          <w:p w14:paraId="2E8998A5" w14:textId="232B60DE" w:rsidR="00CF36B1" w:rsidRPr="00B14CD3" w:rsidRDefault="00284A5D" w:rsidP="00CF36B1">
            <w:pPr>
              <w:rPr>
                <w:szCs w:val="20"/>
              </w:rPr>
            </w:pPr>
            <w:r>
              <w:t xml:space="preserve">Prospective observational </w:t>
            </w:r>
            <w:r w:rsidR="00B36DBE">
              <w:t xml:space="preserve">cohort </w:t>
            </w:r>
            <w:r>
              <w:t>study</w:t>
            </w:r>
          </w:p>
        </w:tc>
        <w:tc>
          <w:tcPr>
            <w:tcW w:w="1360" w:type="pct"/>
          </w:tcPr>
          <w:p w14:paraId="6FB1C6D5" w14:textId="58D24267" w:rsidR="00CF36B1" w:rsidRPr="00B14CD3" w:rsidRDefault="00CF36B1" w:rsidP="00CF36B1">
            <w:pPr>
              <w:rPr>
                <w:szCs w:val="20"/>
              </w:rPr>
            </w:pPr>
            <w:proofErr w:type="spellStart"/>
            <w:r w:rsidRPr="00B14CD3">
              <w:rPr>
                <w:szCs w:val="20"/>
              </w:rPr>
              <w:t>Carrozzo</w:t>
            </w:r>
            <w:proofErr w:type="spellEnd"/>
            <w:r w:rsidRPr="00B14CD3">
              <w:rPr>
                <w:szCs w:val="20"/>
              </w:rPr>
              <w:t xml:space="preserve"> et al, 2013: Dermo beta brachytherapy with 188-Re in squamous cell carcinoma of the penis: a new therapy</w:t>
            </w:r>
          </w:p>
        </w:tc>
        <w:tc>
          <w:tcPr>
            <w:tcW w:w="1508" w:type="pct"/>
          </w:tcPr>
          <w:p w14:paraId="1225D1DE" w14:textId="75E1C1C4" w:rsidR="00CF36B1" w:rsidRPr="00B14CD3" w:rsidRDefault="00B36DBE" w:rsidP="00CF36B1">
            <w:pPr>
              <w:rPr>
                <w:szCs w:val="20"/>
              </w:rPr>
            </w:pPr>
            <w:r>
              <w:rPr>
                <w:szCs w:val="20"/>
              </w:rPr>
              <w:t xml:space="preserve">Enrolled 15 patients with </w:t>
            </w:r>
            <w:r w:rsidRPr="00B36DBE">
              <w:rPr>
                <w:szCs w:val="20"/>
              </w:rPr>
              <w:t>SCCP</w:t>
            </w:r>
            <w:r>
              <w:rPr>
                <w:szCs w:val="20"/>
              </w:rPr>
              <w:t xml:space="preserve"> and included 51 months of follow up.  Two patients (13%) did not respond to therapy.  </w:t>
            </w:r>
          </w:p>
        </w:tc>
        <w:tc>
          <w:tcPr>
            <w:tcW w:w="1095" w:type="pct"/>
          </w:tcPr>
          <w:p w14:paraId="4FF0E81F" w14:textId="5311560C" w:rsidR="00CF36B1" w:rsidRPr="00B14CD3" w:rsidRDefault="00CF36B1" w:rsidP="00CF36B1">
            <w:pPr>
              <w:rPr>
                <w:szCs w:val="20"/>
              </w:rPr>
            </w:pPr>
            <w:r w:rsidRPr="00B14CD3">
              <w:rPr>
                <w:szCs w:val="20"/>
              </w:rPr>
              <w:t>pubmed.ncbi.nlm.nih.gov/23557628/</w:t>
            </w:r>
          </w:p>
        </w:tc>
        <w:tc>
          <w:tcPr>
            <w:tcW w:w="350" w:type="pct"/>
          </w:tcPr>
          <w:p w14:paraId="6805C91F" w14:textId="61F72D23" w:rsidR="00CF36B1" w:rsidRPr="00B14CD3" w:rsidRDefault="00CF36B1" w:rsidP="00CF36B1">
            <w:pPr>
              <w:rPr>
                <w:szCs w:val="20"/>
              </w:rPr>
            </w:pPr>
            <w:r w:rsidRPr="00B14CD3">
              <w:t>2013</w:t>
            </w:r>
          </w:p>
        </w:tc>
      </w:tr>
      <w:tr w:rsidR="00CF36B1" w:rsidRPr="00B14CD3" w14:paraId="0CB1B357" w14:textId="77777777" w:rsidTr="00284A5D">
        <w:trPr>
          <w:cantSplit/>
        </w:trPr>
        <w:tc>
          <w:tcPr>
            <w:tcW w:w="132" w:type="pct"/>
          </w:tcPr>
          <w:p w14:paraId="762F3D55" w14:textId="549505A5" w:rsidR="00CF36B1" w:rsidRPr="00B14CD3" w:rsidRDefault="00CF36B1" w:rsidP="00CF36B1">
            <w:pPr>
              <w:rPr>
                <w:szCs w:val="20"/>
              </w:rPr>
            </w:pPr>
            <w:r w:rsidRPr="00B14CD3">
              <w:rPr>
                <w:szCs w:val="20"/>
              </w:rPr>
              <w:t>5.</w:t>
            </w:r>
          </w:p>
        </w:tc>
        <w:tc>
          <w:tcPr>
            <w:tcW w:w="555" w:type="pct"/>
          </w:tcPr>
          <w:p w14:paraId="0D50E496" w14:textId="1BD8A1BC" w:rsidR="00CF36B1" w:rsidRPr="00B14CD3" w:rsidRDefault="00B14CD3" w:rsidP="00CF36B1">
            <w:pPr>
              <w:rPr>
                <w:szCs w:val="20"/>
              </w:rPr>
            </w:pPr>
            <w:r w:rsidRPr="00B14CD3">
              <w:rPr>
                <w:szCs w:val="20"/>
              </w:rPr>
              <w:t xml:space="preserve">Prospective observational </w:t>
            </w:r>
            <w:r w:rsidR="00B36DBE">
              <w:rPr>
                <w:szCs w:val="20"/>
              </w:rPr>
              <w:t xml:space="preserve">cohort </w:t>
            </w:r>
            <w:r w:rsidRPr="00B14CD3">
              <w:rPr>
                <w:szCs w:val="20"/>
              </w:rPr>
              <w:t>study</w:t>
            </w:r>
          </w:p>
        </w:tc>
        <w:tc>
          <w:tcPr>
            <w:tcW w:w="1360" w:type="pct"/>
          </w:tcPr>
          <w:p w14:paraId="735E07F6" w14:textId="3A89739E" w:rsidR="00CF36B1" w:rsidRPr="00B14CD3" w:rsidRDefault="00CF36B1" w:rsidP="00CF36B1">
            <w:pPr>
              <w:rPr>
                <w:szCs w:val="20"/>
              </w:rPr>
            </w:pPr>
            <w:proofErr w:type="spellStart"/>
            <w:r w:rsidRPr="00B14CD3">
              <w:t>Sedda</w:t>
            </w:r>
            <w:proofErr w:type="spellEnd"/>
            <w:r w:rsidRPr="00B14CD3">
              <w:t xml:space="preserve"> et al, 2008: Dermatological high-dose-rate brachytherapy for the treatment of basal and squamous cell carcinoma</w:t>
            </w:r>
          </w:p>
        </w:tc>
        <w:tc>
          <w:tcPr>
            <w:tcW w:w="1508" w:type="pct"/>
          </w:tcPr>
          <w:p w14:paraId="79644E6B" w14:textId="7D44637B" w:rsidR="00CF36B1" w:rsidRPr="00B14CD3" w:rsidRDefault="00B36DBE" w:rsidP="00CF36B1">
            <w:pPr>
              <w:rPr>
                <w:szCs w:val="20"/>
              </w:rPr>
            </w:pPr>
            <w:r>
              <w:rPr>
                <w:szCs w:val="20"/>
              </w:rPr>
              <w:t>Enrolled</w:t>
            </w:r>
            <w:r w:rsidR="00B14CD3">
              <w:rPr>
                <w:szCs w:val="20"/>
              </w:rPr>
              <w:t xml:space="preserve"> 53 patients with confirmed NMSC</w:t>
            </w:r>
            <w:r>
              <w:rPr>
                <w:szCs w:val="20"/>
              </w:rPr>
              <w:t xml:space="preserve"> and included 51 months of follow up.  All patients were in remission at 3 months and </w:t>
            </w:r>
            <w:r w:rsidR="004F2539">
              <w:rPr>
                <w:szCs w:val="20"/>
              </w:rPr>
              <w:t xml:space="preserve">no relapses or other side effects were observed.  </w:t>
            </w:r>
          </w:p>
        </w:tc>
        <w:tc>
          <w:tcPr>
            <w:tcW w:w="1095" w:type="pct"/>
          </w:tcPr>
          <w:p w14:paraId="18214800" w14:textId="0B713877" w:rsidR="00CF36B1" w:rsidRPr="00B14CD3" w:rsidRDefault="00CF36B1" w:rsidP="00CF36B1">
            <w:pPr>
              <w:rPr>
                <w:szCs w:val="20"/>
              </w:rPr>
            </w:pPr>
            <w:r w:rsidRPr="00B14CD3">
              <w:t>pubmed.ncbi.nlm.nih.gov/18681873/</w:t>
            </w:r>
          </w:p>
        </w:tc>
        <w:tc>
          <w:tcPr>
            <w:tcW w:w="350" w:type="pct"/>
          </w:tcPr>
          <w:p w14:paraId="4FD3D57B" w14:textId="50B8B037" w:rsidR="00CF36B1" w:rsidRPr="00B14CD3" w:rsidRDefault="00CF36B1" w:rsidP="00CF36B1">
            <w:pPr>
              <w:rPr>
                <w:szCs w:val="20"/>
              </w:rPr>
            </w:pPr>
            <w:r w:rsidRPr="00B14CD3">
              <w:t>2008</w:t>
            </w:r>
          </w:p>
        </w:tc>
      </w:tr>
      <w:tr w:rsidR="00D85B89" w:rsidRPr="00B14CD3" w14:paraId="5D253C87" w14:textId="77777777" w:rsidTr="00284A5D">
        <w:trPr>
          <w:cantSplit/>
        </w:trPr>
        <w:tc>
          <w:tcPr>
            <w:tcW w:w="132" w:type="pct"/>
          </w:tcPr>
          <w:p w14:paraId="1839DA6A" w14:textId="357D3102" w:rsidR="00D85B89" w:rsidRPr="00B14CD3" w:rsidRDefault="00CF36B1" w:rsidP="00D85B89">
            <w:pPr>
              <w:rPr>
                <w:szCs w:val="20"/>
              </w:rPr>
            </w:pPr>
            <w:r w:rsidRPr="00B14CD3">
              <w:rPr>
                <w:szCs w:val="20"/>
              </w:rPr>
              <w:t>6.</w:t>
            </w:r>
          </w:p>
        </w:tc>
        <w:tc>
          <w:tcPr>
            <w:tcW w:w="555" w:type="pct"/>
          </w:tcPr>
          <w:p w14:paraId="7E7CC4C2" w14:textId="315D4FDC" w:rsidR="00D85B89" w:rsidRPr="00B14CD3" w:rsidRDefault="00284A5D" w:rsidP="00D85B89">
            <w:pPr>
              <w:rPr>
                <w:szCs w:val="20"/>
              </w:rPr>
            </w:pPr>
            <w:r w:rsidRPr="00B14CD3">
              <w:t>Retrospective cohort study</w:t>
            </w:r>
          </w:p>
        </w:tc>
        <w:tc>
          <w:tcPr>
            <w:tcW w:w="1360" w:type="pct"/>
          </w:tcPr>
          <w:p w14:paraId="139545C8" w14:textId="6C33DEFF" w:rsidR="00D85B89" w:rsidRPr="00B14CD3" w:rsidRDefault="00CF36B1" w:rsidP="00D85B89">
            <w:pPr>
              <w:rPr>
                <w:szCs w:val="20"/>
              </w:rPr>
            </w:pPr>
            <w:r w:rsidRPr="00B14CD3">
              <w:t>Cipriani et al, 2017:  Personalized high-dose-rate brachytherapy with non-sealed Rhenium-188 in NMSC</w:t>
            </w:r>
          </w:p>
        </w:tc>
        <w:tc>
          <w:tcPr>
            <w:tcW w:w="1508" w:type="pct"/>
          </w:tcPr>
          <w:p w14:paraId="60A2D482" w14:textId="25AD9AA6" w:rsidR="00D85B89" w:rsidRPr="00B14CD3" w:rsidRDefault="004F2539" w:rsidP="00D85B89">
            <w:pPr>
              <w:rPr>
                <w:szCs w:val="20"/>
              </w:rPr>
            </w:pPr>
            <w:r>
              <w:rPr>
                <w:szCs w:val="20"/>
              </w:rPr>
              <w:t xml:space="preserve">Enrolled 43 patients with confirmed NMSC lesions and included 9.5 months follow up.  All patients achieved and maintained remission.   </w:t>
            </w:r>
          </w:p>
        </w:tc>
        <w:tc>
          <w:tcPr>
            <w:tcW w:w="1095" w:type="pct"/>
          </w:tcPr>
          <w:p w14:paraId="61BF6AAC" w14:textId="75433A44" w:rsidR="00D85B89" w:rsidRPr="00B14CD3" w:rsidRDefault="00CF36B1" w:rsidP="00D85B89">
            <w:pPr>
              <w:rPr>
                <w:szCs w:val="20"/>
              </w:rPr>
            </w:pPr>
            <w:r w:rsidRPr="00B14CD3">
              <w:t>www.cosmosscholars.com/special-issues-ijnmr/46-abstracts/ijnmr/737-abstract-</w:t>
            </w:r>
          </w:p>
        </w:tc>
        <w:tc>
          <w:tcPr>
            <w:tcW w:w="350" w:type="pct"/>
          </w:tcPr>
          <w:p w14:paraId="076C3476" w14:textId="5AB503B3" w:rsidR="00D85B89" w:rsidRPr="00B14CD3" w:rsidRDefault="00CF36B1" w:rsidP="00D85B89">
            <w:pPr>
              <w:rPr>
                <w:szCs w:val="20"/>
              </w:rPr>
            </w:pPr>
            <w:r w:rsidRPr="00B14CD3">
              <w:t>2017</w:t>
            </w:r>
          </w:p>
        </w:tc>
      </w:tr>
    </w:tbl>
    <w:p w14:paraId="4450B316" w14:textId="77777777" w:rsidR="004C49EF" w:rsidRDefault="004C49EF" w:rsidP="00530204">
      <w:pPr>
        <w:pStyle w:val="Heading2"/>
      </w:pPr>
      <w:r w:rsidRPr="00E82F54">
        <w:lastRenderedPageBreak/>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421"/>
        <w:gridCol w:w="1559"/>
        <w:gridCol w:w="2834"/>
        <w:gridCol w:w="4394"/>
        <w:gridCol w:w="3278"/>
        <w:gridCol w:w="1462"/>
      </w:tblGrid>
      <w:tr w:rsidR="004C49EF" w14:paraId="722BF81E" w14:textId="77777777" w:rsidTr="002D2FD5">
        <w:trPr>
          <w:cantSplit/>
          <w:tblHeader/>
        </w:trPr>
        <w:tc>
          <w:tcPr>
            <w:tcW w:w="151" w:type="pct"/>
          </w:tcPr>
          <w:p w14:paraId="66F32C61" w14:textId="77777777" w:rsidR="004C49EF" w:rsidRDefault="004C49EF" w:rsidP="00855944">
            <w:pPr>
              <w:pStyle w:val="TableHEADER"/>
            </w:pPr>
          </w:p>
        </w:tc>
        <w:tc>
          <w:tcPr>
            <w:tcW w:w="559" w:type="pct"/>
          </w:tcPr>
          <w:p w14:paraId="19FA79D4" w14:textId="03EB51DF" w:rsidR="004C49EF" w:rsidRDefault="004C49EF" w:rsidP="00855944">
            <w:pPr>
              <w:pStyle w:val="TableHEADER"/>
            </w:pPr>
            <w:r>
              <w:t xml:space="preserve">Type of study </w:t>
            </w:r>
          </w:p>
        </w:tc>
        <w:tc>
          <w:tcPr>
            <w:tcW w:w="1016" w:type="pct"/>
          </w:tcPr>
          <w:p w14:paraId="392085C5" w14:textId="69524C7F" w:rsidR="004C49EF" w:rsidRDefault="00517D22" w:rsidP="00855944">
            <w:pPr>
              <w:pStyle w:val="TableHEADER"/>
            </w:pPr>
            <w:r>
              <w:t xml:space="preserve">Title / </w:t>
            </w:r>
            <w:r w:rsidR="002D6762">
              <w:t>Location</w:t>
            </w:r>
          </w:p>
        </w:tc>
        <w:tc>
          <w:tcPr>
            <w:tcW w:w="1575" w:type="pct"/>
          </w:tcPr>
          <w:p w14:paraId="2FB8A28C" w14:textId="157D57E7" w:rsidR="004C49EF" w:rsidRDefault="00367C1B" w:rsidP="00855944">
            <w:pPr>
              <w:pStyle w:val="TableHEADER"/>
            </w:pPr>
            <w:r>
              <w:t xml:space="preserve">Short description </w:t>
            </w:r>
          </w:p>
        </w:tc>
        <w:tc>
          <w:tcPr>
            <w:tcW w:w="1175" w:type="pct"/>
          </w:tcPr>
          <w:p w14:paraId="59408F61" w14:textId="036359EC" w:rsidR="004C49EF" w:rsidRDefault="004C49EF" w:rsidP="00855944">
            <w:pPr>
              <w:pStyle w:val="TableHEADER"/>
            </w:pPr>
            <w:r w:rsidRPr="00E82F54">
              <w:t xml:space="preserve">Website link </w:t>
            </w:r>
          </w:p>
        </w:tc>
        <w:tc>
          <w:tcPr>
            <w:tcW w:w="524" w:type="pct"/>
          </w:tcPr>
          <w:p w14:paraId="1CC950C3" w14:textId="4DF7F700" w:rsidR="004C49EF" w:rsidRDefault="004C49EF" w:rsidP="00855944">
            <w:pPr>
              <w:pStyle w:val="TableHEADER"/>
            </w:pPr>
            <w:r w:rsidRPr="00E82F54">
              <w:t>Date</w:t>
            </w:r>
          </w:p>
        </w:tc>
      </w:tr>
      <w:tr w:rsidR="004C49EF" w:rsidRPr="002D6762" w14:paraId="48EA38C8" w14:textId="77777777" w:rsidTr="002D2FD5">
        <w:trPr>
          <w:cantSplit/>
        </w:trPr>
        <w:tc>
          <w:tcPr>
            <w:tcW w:w="151" w:type="pct"/>
          </w:tcPr>
          <w:p w14:paraId="5DA88C38" w14:textId="0BC9CA66" w:rsidR="004C49EF" w:rsidRPr="002D6762" w:rsidRDefault="00A716F6" w:rsidP="00526478">
            <w:pPr>
              <w:rPr>
                <w:szCs w:val="20"/>
              </w:rPr>
            </w:pPr>
            <w:r>
              <w:rPr>
                <w:szCs w:val="20"/>
              </w:rPr>
              <w:t>1</w:t>
            </w:r>
            <w:r w:rsidR="004C49EF" w:rsidRPr="002D6762">
              <w:rPr>
                <w:szCs w:val="20"/>
              </w:rPr>
              <w:t>.</w:t>
            </w:r>
          </w:p>
        </w:tc>
        <w:tc>
          <w:tcPr>
            <w:tcW w:w="559" w:type="pct"/>
          </w:tcPr>
          <w:p w14:paraId="26182C64" w14:textId="4B5F9681" w:rsidR="004C49EF" w:rsidRPr="002D6762" w:rsidRDefault="002D6762" w:rsidP="00526478">
            <w:pPr>
              <w:rPr>
                <w:szCs w:val="20"/>
              </w:rPr>
            </w:pPr>
            <w:r>
              <w:rPr>
                <w:szCs w:val="20"/>
              </w:rPr>
              <w:t>Retrospective</w:t>
            </w:r>
          </w:p>
        </w:tc>
        <w:tc>
          <w:tcPr>
            <w:tcW w:w="1016" w:type="pct"/>
          </w:tcPr>
          <w:p w14:paraId="086BCF53" w14:textId="4F1B91D8" w:rsidR="004C49EF" w:rsidRPr="002D6762" w:rsidRDefault="002D6762" w:rsidP="00526478">
            <w:pPr>
              <w:rPr>
                <w:szCs w:val="20"/>
              </w:rPr>
            </w:pPr>
            <w:proofErr w:type="spellStart"/>
            <w:r w:rsidRPr="002D6762">
              <w:rPr>
                <w:szCs w:val="20"/>
              </w:rPr>
              <w:t>Sathegke</w:t>
            </w:r>
            <w:proofErr w:type="spellEnd"/>
            <w:r>
              <w:rPr>
                <w:szCs w:val="20"/>
              </w:rPr>
              <w:t xml:space="preserve"> / South Africa</w:t>
            </w:r>
          </w:p>
        </w:tc>
        <w:tc>
          <w:tcPr>
            <w:tcW w:w="1575" w:type="pct"/>
          </w:tcPr>
          <w:p w14:paraId="2AFD5235" w14:textId="4683A863" w:rsidR="004C49EF" w:rsidRPr="002D6762" w:rsidRDefault="002D2FD5" w:rsidP="00526478">
            <w:pPr>
              <w:rPr>
                <w:szCs w:val="20"/>
              </w:rPr>
            </w:pPr>
            <w:r>
              <w:rPr>
                <w:szCs w:val="20"/>
              </w:rPr>
              <w:t>40 NMSC patients, local experience</w:t>
            </w:r>
          </w:p>
        </w:tc>
        <w:tc>
          <w:tcPr>
            <w:tcW w:w="1175" w:type="pct"/>
          </w:tcPr>
          <w:p w14:paraId="534797CA" w14:textId="0631D4DF" w:rsidR="004C49EF" w:rsidRPr="002D6762" w:rsidRDefault="002D2FD5" w:rsidP="00526478">
            <w:pPr>
              <w:rPr>
                <w:szCs w:val="20"/>
              </w:rPr>
            </w:pPr>
            <w:r>
              <w:rPr>
                <w:szCs w:val="20"/>
              </w:rPr>
              <w:t>NA</w:t>
            </w:r>
          </w:p>
        </w:tc>
        <w:tc>
          <w:tcPr>
            <w:tcW w:w="524" w:type="pct"/>
          </w:tcPr>
          <w:p w14:paraId="7C9706BB" w14:textId="17B92DA5" w:rsidR="004C49EF" w:rsidRPr="002D6762" w:rsidRDefault="002D6762" w:rsidP="00526478">
            <w:pPr>
              <w:rPr>
                <w:szCs w:val="20"/>
              </w:rPr>
            </w:pPr>
            <w:r w:rsidRPr="002D6762">
              <w:rPr>
                <w:szCs w:val="20"/>
              </w:rPr>
              <w:t>2021</w:t>
            </w:r>
          </w:p>
        </w:tc>
      </w:tr>
      <w:tr w:rsidR="002D6762" w:rsidRPr="002D6762" w14:paraId="141C8387" w14:textId="77777777" w:rsidTr="002D2FD5">
        <w:trPr>
          <w:cantSplit/>
        </w:trPr>
        <w:tc>
          <w:tcPr>
            <w:tcW w:w="151" w:type="pct"/>
          </w:tcPr>
          <w:p w14:paraId="740D6AD2" w14:textId="1058F5A5" w:rsidR="002D6762" w:rsidRPr="002D6762" w:rsidRDefault="00A716F6" w:rsidP="002D6762">
            <w:pPr>
              <w:rPr>
                <w:szCs w:val="20"/>
              </w:rPr>
            </w:pPr>
            <w:r>
              <w:rPr>
                <w:szCs w:val="20"/>
              </w:rPr>
              <w:t>2</w:t>
            </w:r>
            <w:r w:rsidR="002D6762" w:rsidRPr="002D6762">
              <w:rPr>
                <w:szCs w:val="20"/>
              </w:rPr>
              <w:t>.</w:t>
            </w:r>
          </w:p>
        </w:tc>
        <w:tc>
          <w:tcPr>
            <w:tcW w:w="559" w:type="pct"/>
          </w:tcPr>
          <w:p w14:paraId="41C7FD30" w14:textId="0B783007" w:rsidR="002D6762" w:rsidRPr="002D6762" w:rsidRDefault="002D6762" w:rsidP="002D6762">
            <w:pPr>
              <w:rPr>
                <w:szCs w:val="20"/>
              </w:rPr>
            </w:pPr>
            <w:r>
              <w:rPr>
                <w:szCs w:val="20"/>
              </w:rPr>
              <w:t>Prospective</w:t>
            </w:r>
          </w:p>
        </w:tc>
        <w:tc>
          <w:tcPr>
            <w:tcW w:w="1016" w:type="pct"/>
          </w:tcPr>
          <w:p w14:paraId="304900DE" w14:textId="3DDAAF8B" w:rsidR="002D6762" w:rsidRPr="002D6762" w:rsidRDefault="002D6762" w:rsidP="002D6762">
            <w:pPr>
              <w:rPr>
                <w:szCs w:val="20"/>
              </w:rPr>
            </w:pPr>
            <w:proofErr w:type="spellStart"/>
            <w:r w:rsidRPr="002D6762">
              <w:rPr>
                <w:szCs w:val="20"/>
              </w:rPr>
              <w:t>Sathegke</w:t>
            </w:r>
            <w:proofErr w:type="spellEnd"/>
            <w:r>
              <w:rPr>
                <w:szCs w:val="20"/>
              </w:rPr>
              <w:t xml:space="preserve"> / South Africa</w:t>
            </w:r>
          </w:p>
        </w:tc>
        <w:tc>
          <w:tcPr>
            <w:tcW w:w="1575" w:type="pct"/>
          </w:tcPr>
          <w:p w14:paraId="7BB303BC" w14:textId="516AA4E1" w:rsidR="002D6762" w:rsidRPr="002D6762" w:rsidRDefault="002D2FD5" w:rsidP="002D6762">
            <w:pPr>
              <w:rPr>
                <w:szCs w:val="20"/>
              </w:rPr>
            </w:pPr>
            <w:r>
              <w:rPr>
                <w:szCs w:val="20"/>
              </w:rPr>
              <w:t>20 NMSC patients, material costs</w:t>
            </w:r>
          </w:p>
        </w:tc>
        <w:tc>
          <w:tcPr>
            <w:tcW w:w="1175" w:type="pct"/>
          </w:tcPr>
          <w:p w14:paraId="1DA34141" w14:textId="260C062E" w:rsidR="002D6762" w:rsidRPr="002D6762" w:rsidRDefault="002D2FD5" w:rsidP="002D6762">
            <w:pPr>
              <w:rPr>
                <w:szCs w:val="20"/>
              </w:rPr>
            </w:pPr>
            <w:r>
              <w:rPr>
                <w:szCs w:val="20"/>
              </w:rPr>
              <w:t>NA</w:t>
            </w:r>
          </w:p>
        </w:tc>
        <w:tc>
          <w:tcPr>
            <w:tcW w:w="524" w:type="pct"/>
          </w:tcPr>
          <w:p w14:paraId="1B0B1B21" w14:textId="73E06613" w:rsidR="002D6762" w:rsidRPr="002D6762" w:rsidRDefault="002D6762" w:rsidP="002D6762">
            <w:pPr>
              <w:rPr>
                <w:szCs w:val="20"/>
              </w:rPr>
            </w:pPr>
            <w:r>
              <w:rPr>
                <w:szCs w:val="20"/>
              </w:rPr>
              <w:t>2021</w:t>
            </w:r>
          </w:p>
        </w:tc>
      </w:tr>
      <w:tr w:rsidR="002D6762" w:rsidRPr="002D6762" w14:paraId="14BD0793" w14:textId="77777777" w:rsidTr="002D2FD5">
        <w:trPr>
          <w:cantSplit/>
        </w:trPr>
        <w:tc>
          <w:tcPr>
            <w:tcW w:w="151" w:type="pct"/>
          </w:tcPr>
          <w:p w14:paraId="7F3BB7C6" w14:textId="56CD2BD0" w:rsidR="002D6762" w:rsidRPr="002D6762" w:rsidRDefault="00A716F6" w:rsidP="00526478">
            <w:pPr>
              <w:rPr>
                <w:szCs w:val="20"/>
              </w:rPr>
            </w:pPr>
            <w:r>
              <w:rPr>
                <w:szCs w:val="20"/>
              </w:rPr>
              <w:t>3</w:t>
            </w:r>
            <w:r w:rsidR="002D6762">
              <w:rPr>
                <w:szCs w:val="20"/>
              </w:rPr>
              <w:t>.</w:t>
            </w:r>
          </w:p>
        </w:tc>
        <w:tc>
          <w:tcPr>
            <w:tcW w:w="559" w:type="pct"/>
          </w:tcPr>
          <w:p w14:paraId="31062A0E" w14:textId="614EABB5" w:rsidR="002D6762" w:rsidRPr="002D6762" w:rsidRDefault="002D6762" w:rsidP="00526478">
            <w:pPr>
              <w:rPr>
                <w:szCs w:val="20"/>
              </w:rPr>
            </w:pPr>
            <w:r>
              <w:rPr>
                <w:szCs w:val="20"/>
              </w:rPr>
              <w:t>Retrospective</w:t>
            </w:r>
          </w:p>
        </w:tc>
        <w:tc>
          <w:tcPr>
            <w:tcW w:w="1016" w:type="pct"/>
          </w:tcPr>
          <w:p w14:paraId="54883021" w14:textId="3A6D9F7A" w:rsidR="002D6762" w:rsidRPr="002D6762" w:rsidRDefault="002D6762" w:rsidP="00526478">
            <w:pPr>
              <w:rPr>
                <w:szCs w:val="20"/>
              </w:rPr>
            </w:pPr>
            <w:proofErr w:type="spellStart"/>
            <w:r>
              <w:rPr>
                <w:szCs w:val="20"/>
              </w:rPr>
              <w:t>Cardaci</w:t>
            </w:r>
            <w:proofErr w:type="spellEnd"/>
            <w:r>
              <w:rPr>
                <w:szCs w:val="20"/>
              </w:rPr>
              <w:t xml:space="preserve"> / Australia</w:t>
            </w:r>
          </w:p>
        </w:tc>
        <w:tc>
          <w:tcPr>
            <w:tcW w:w="1575" w:type="pct"/>
          </w:tcPr>
          <w:p w14:paraId="07AB420D" w14:textId="55C7A33F" w:rsidR="002D6762" w:rsidRPr="002D6762" w:rsidRDefault="002D2FD5" w:rsidP="00526478">
            <w:pPr>
              <w:rPr>
                <w:szCs w:val="20"/>
              </w:rPr>
            </w:pPr>
            <w:r>
              <w:rPr>
                <w:szCs w:val="20"/>
              </w:rPr>
              <w:t>30 NMSC patients, local experience</w:t>
            </w:r>
          </w:p>
        </w:tc>
        <w:tc>
          <w:tcPr>
            <w:tcW w:w="1175" w:type="pct"/>
          </w:tcPr>
          <w:p w14:paraId="50119AF4" w14:textId="14FCC177" w:rsidR="002D6762" w:rsidRPr="002D6762" w:rsidRDefault="002D2FD5" w:rsidP="00526478">
            <w:pPr>
              <w:rPr>
                <w:szCs w:val="20"/>
              </w:rPr>
            </w:pPr>
            <w:r>
              <w:rPr>
                <w:szCs w:val="20"/>
              </w:rPr>
              <w:t>NA</w:t>
            </w:r>
          </w:p>
        </w:tc>
        <w:tc>
          <w:tcPr>
            <w:tcW w:w="524" w:type="pct"/>
          </w:tcPr>
          <w:p w14:paraId="4E725F40" w14:textId="75D56FF8" w:rsidR="002D6762" w:rsidRPr="002D6762" w:rsidRDefault="002D2FD5" w:rsidP="00526478">
            <w:pPr>
              <w:rPr>
                <w:szCs w:val="20"/>
              </w:rPr>
            </w:pPr>
            <w:r>
              <w:rPr>
                <w:szCs w:val="20"/>
              </w:rPr>
              <w:t>2021</w:t>
            </w:r>
          </w:p>
        </w:tc>
      </w:tr>
      <w:tr w:rsidR="002D6762" w:rsidRPr="002D6762" w14:paraId="0F680335" w14:textId="77777777" w:rsidTr="002D2FD5">
        <w:trPr>
          <w:cantSplit/>
        </w:trPr>
        <w:tc>
          <w:tcPr>
            <w:tcW w:w="151" w:type="pct"/>
          </w:tcPr>
          <w:p w14:paraId="41755631" w14:textId="3A70F547" w:rsidR="002D6762" w:rsidRPr="002D6762" w:rsidRDefault="00A716F6" w:rsidP="00526478">
            <w:pPr>
              <w:rPr>
                <w:szCs w:val="20"/>
              </w:rPr>
            </w:pPr>
            <w:r>
              <w:rPr>
                <w:szCs w:val="20"/>
              </w:rPr>
              <w:t>4</w:t>
            </w:r>
            <w:r w:rsidR="002D6762">
              <w:rPr>
                <w:szCs w:val="20"/>
              </w:rPr>
              <w:t>.</w:t>
            </w:r>
          </w:p>
        </w:tc>
        <w:tc>
          <w:tcPr>
            <w:tcW w:w="559" w:type="pct"/>
          </w:tcPr>
          <w:p w14:paraId="4D786287" w14:textId="23D26864" w:rsidR="002D6762" w:rsidRPr="002D6762" w:rsidRDefault="002D6762" w:rsidP="00526478">
            <w:pPr>
              <w:rPr>
                <w:szCs w:val="20"/>
              </w:rPr>
            </w:pPr>
            <w:r>
              <w:rPr>
                <w:szCs w:val="20"/>
              </w:rPr>
              <w:t>Prospective</w:t>
            </w:r>
          </w:p>
        </w:tc>
        <w:tc>
          <w:tcPr>
            <w:tcW w:w="1016" w:type="pct"/>
          </w:tcPr>
          <w:p w14:paraId="1E68AEE2" w14:textId="3D67C02A" w:rsidR="002D6762" w:rsidRPr="002D6762" w:rsidRDefault="002D6762" w:rsidP="00526478">
            <w:pPr>
              <w:rPr>
                <w:szCs w:val="20"/>
              </w:rPr>
            </w:pPr>
            <w:r>
              <w:rPr>
                <w:szCs w:val="20"/>
              </w:rPr>
              <w:t>Krause / Germany</w:t>
            </w:r>
          </w:p>
        </w:tc>
        <w:tc>
          <w:tcPr>
            <w:tcW w:w="1575" w:type="pct"/>
          </w:tcPr>
          <w:p w14:paraId="3109E5C6" w14:textId="04CB6C86" w:rsidR="002D6762" w:rsidRPr="002D6762" w:rsidRDefault="002D2FD5" w:rsidP="00526478">
            <w:pPr>
              <w:rPr>
                <w:szCs w:val="20"/>
              </w:rPr>
            </w:pPr>
            <w:r>
              <w:rPr>
                <w:szCs w:val="20"/>
              </w:rPr>
              <w:t>20 NMSC patients, clinical efficacy</w:t>
            </w:r>
          </w:p>
        </w:tc>
        <w:tc>
          <w:tcPr>
            <w:tcW w:w="1175" w:type="pct"/>
          </w:tcPr>
          <w:p w14:paraId="63C0B651" w14:textId="11518313" w:rsidR="002D6762" w:rsidRPr="002D6762" w:rsidRDefault="002D2FD5" w:rsidP="00526478">
            <w:pPr>
              <w:rPr>
                <w:szCs w:val="20"/>
              </w:rPr>
            </w:pPr>
            <w:r>
              <w:rPr>
                <w:szCs w:val="20"/>
              </w:rPr>
              <w:t>NA</w:t>
            </w:r>
          </w:p>
        </w:tc>
        <w:tc>
          <w:tcPr>
            <w:tcW w:w="524" w:type="pct"/>
          </w:tcPr>
          <w:p w14:paraId="731F3603" w14:textId="6AA44514" w:rsidR="002D6762" w:rsidRPr="002D6762" w:rsidRDefault="002D2FD5" w:rsidP="00526478">
            <w:pPr>
              <w:rPr>
                <w:szCs w:val="20"/>
              </w:rPr>
            </w:pPr>
            <w:r>
              <w:rPr>
                <w:szCs w:val="20"/>
              </w:rPr>
              <w:t>2022</w:t>
            </w:r>
          </w:p>
        </w:tc>
      </w:tr>
    </w:tbl>
    <w:p w14:paraId="7EED8C3C" w14:textId="77777777" w:rsidR="00816528" w:rsidRDefault="00816528">
      <w:pPr>
        <w:rPr>
          <w:b/>
          <w:sz w:val="32"/>
          <w:szCs w:val="32"/>
        </w:rPr>
      </w:pPr>
    </w:p>
    <w:p w14:paraId="7A29CDA2" w14:textId="24430DF3" w:rsidR="00816528" w:rsidRDefault="00816528" w:rsidP="00816528">
      <w:pPr>
        <w:spacing w:before="0" w:after="0"/>
        <w:rPr>
          <w:szCs w:val="20"/>
        </w:rPr>
      </w:pPr>
      <w:proofErr w:type="spellStart"/>
      <w:r>
        <w:rPr>
          <w:szCs w:val="20"/>
        </w:rPr>
        <w:t>OncoBeta</w:t>
      </w:r>
      <w:proofErr w:type="spellEnd"/>
      <w:r>
        <w:rPr>
          <w:szCs w:val="20"/>
        </w:rPr>
        <w:t xml:space="preserve"> is also </w:t>
      </w:r>
      <w:r w:rsidR="00AE71E7">
        <w:rPr>
          <w:szCs w:val="20"/>
        </w:rPr>
        <w:t>finalising arrangements for</w:t>
      </w:r>
      <w:r>
        <w:rPr>
          <w:szCs w:val="20"/>
        </w:rPr>
        <w:t xml:space="preserve"> a sponsor-initiated</w:t>
      </w:r>
      <w:r w:rsidR="00D159DD">
        <w:rPr>
          <w:szCs w:val="20"/>
        </w:rPr>
        <w:t>,</w:t>
      </w:r>
      <w:r>
        <w:rPr>
          <w:szCs w:val="20"/>
        </w:rPr>
        <w:t xml:space="preserve"> prospective, single-arm, open-label, multi-centre, multi-national (including Australia) </w:t>
      </w:r>
      <w:r w:rsidR="0039031B">
        <w:rPr>
          <w:szCs w:val="20"/>
        </w:rPr>
        <w:t>2-year</w:t>
      </w:r>
      <w:r w:rsidR="00D159DD">
        <w:rPr>
          <w:szCs w:val="20"/>
        </w:rPr>
        <w:t xml:space="preserve"> follow-up </w:t>
      </w:r>
      <w:r>
        <w:rPr>
          <w:szCs w:val="20"/>
        </w:rPr>
        <w:t>trial in approximately 1</w:t>
      </w:r>
      <w:r w:rsidR="001F2B22">
        <w:rPr>
          <w:szCs w:val="20"/>
        </w:rPr>
        <w:t>8</w:t>
      </w:r>
      <w:r>
        <w:rPr>
          <w:szCs w:val="20"/>
        </w:rPr>
        <w:t>0</w:t>
      </w:r>
      <w:r w:rsidR="0039031B">
        <w:rPr>
          <w:szCs w:val="20"/>
        </w:rPr>
        <w:t>+</w:t>
      </w:r>
      <w:r>
        <w:rPr>
          <w:szCs w:val="20"/>
        </w:rPr>
        <w:t xml:space="preserve"> </w:t>
      </w:r>
      <w:r w:rsidR="00D159DD">
        <w:rPr>
          <w:szCs w:val="20"/>
        </w:rPr>
        <w:t xml:space="preserve">adult </w:t>
      </w:r>
      <w:r>
        <w:rPr>
          <w:szCs w:val="20"/>
        </w:rPr>
        <w:t>patients</w:t>
      </w:r>
      <w:r w:rsidR="00D159DD">
        <w:rPr>
          <w:szCs w:val="20"/>
        </w:rPr>
        <w:t xml:space="preserve"> with histologically confirmed, Stage I or II BCC or SCC of any differentiation, with maximum depth of 3mm and diameter of 8cm</w:t>
      </w:r>
      <w:r w:rsidR="00D159DD" w:rsidRPr="00D159DD">
        <w:rPr>
          <w:szCs w:val="20"/>
          <w:vertAlign w:val="superscript"/>
        </w:rPr>
        <w:t>2</w:t>
      </w:r>
      <w:r>
        <w:rPr>
          <w:szCs w:val="20"/>
        </w:rPr>
        <w:t xml:space="preserve">.  </w:t>
      </w:r>
      <w:r w:rsidR="00AE71E7">
        <w:rPr>
          <w:szCs w:val="20"/>
        </w:rPr>
        <w:t>This study is expected to commence recruitment in the 2</w:t>
      </w:r>
      <w:r w:rsidR="00AE71E7" w:rsidRPr="00AE71E7">
        <w:rPr>
          <w:szCs w:val="20"/>
          <w:vertAlign w:val="superscript"/>
        </w:rPr>
        <w:t>nd</w:t>
      </w:r>
      <w:r w:rsidR="00AE71E7">
        <w:rPr>
          <w:szCs w:val="20"/>
        </w:rPr>
        <w:t xml:space="preserve"> half of 2021 and to have interim results available for a subset of patients in the 2</w:t>
      </w:r>
      <w:r w:rsidR="00AE71E7" w:rsidRPr="00AE71E7">
        <w:rPr>
          <w:szCs w:val="20"/>
          <w:vertAlign w:val="superscript"/>
        </w:rPr>
        <w:t>nd</w:t>
      </w:r>
      <w:r w:rsidR="00AE71E7">
        <w:rPr>
          <w:szCs w:val="20"/>
        </w:rPr>
        <w:t xml:space="preserve"> half of 2022.  </w:t>
      </w:r>
      <w:r w:rsidR="00D159DD">
        <w:rPr>
          <w:szCs w:val="20"/>
        </w:rPr>
        <w:t xml:space="preserve">A draft protocol for this study is attached to the application for reference.  </w:t>
      </w:r>
    </w:p>
    <w:p w14:paraId="72EDC319" w14:textId="77777777" w:rsidR="00AE71E7" w:rsidRDefault="00AE71E7" w:rsidP="00AE71E7">
      <w:pPr>
        <w:spacing w:before="0" w:after="0"/>
        <w:rPr>
          <w:szCs w:val="20"/>
        </w:rPr>
      </w:pPr>
    </w:p>
    <w:p w14:paraId="753A0204" w14:textId="292E5D94" w:rsidR="00AE71E7" w:rsidRPr="00154B00" w:rsidRDefault="00AE71E7" w:rsidP="00AE71E7">
      <w:pPr>
        <w:spacing w:before="0" w:after="0"/>
        <w:rPr>
          <w:szCs w:val="20"/>
        </w:rPr>
      </w:pPr>
      <w:proofErr w:type="spellStart"/>
      <w:r w:rsidRPr="00AE71E7">
        <w:rPr>
          <w:szCs w:val="20"/>
        </w:rPr>
        <w:t>Onco</w:t>
      </w:r>
      <w:r>
        <w:rPr>
          <w:szCs w:val="20"/>
        </w:rPr>
        <w:t>Beta</w:t>
      </w:r>
      <w:proofErr w:type="spellEnd"/>
      <w:r>
        <w:rPr>
          <w:szCs w:val="20"/>
        </w:rPr>
        <w:t xml:space="preserve"> is also establishing an international registry, which will include an</w:t>
      </w:r>
      <w:r w:rsidRPr="00AE71E7">
        <w:rPr>
          <w:szCs w:val="20"/>
        </w:rPr>
        <w:t xml:space="preserve"> </w:t>
      </w:r>
      <w:r>
        <w:rPr>
          <w:szCs w:val="20"/>
        </w:rPr>
        <w:t xml:space="preserve">Australian component, that will provide a </w:t>
      </w:r>
      <w:r w:rsidRPr="00AE71E7">
        <w:rPr>
          <w:szCs w:val="20"/>
        </w:rPr>
        <w:t xml:space="preserve">better understanding of </w:t>
      </w:r>
      <w:r>
        <w:rPr>
          <w:szCs w:val="20"/>
        </w:rPr>
        <w:t>NMSC</w:t>
      </w:r>
      <w:r w:rsidRPr="00AE71E7">
        <w:rPr>
          <w:szCs w:val="20"/>
        </w:rPr>
        <w:t xml:space="preserve"> epidemiology as well the utility of Rhenium-188 Brachytherapy</w:t>
      </w:r>
      <w:r>
        <w:rPr>
          <w:szCs w:val="20"/>
        </w:rPr>
        <w:t xml:space="preserve"> in its treatment</w:t>
      </w:r>
      <w:r w:rsidRPr="00AE71E7">
        <w:rPr>
          <w:szCs w:val="20"/>
        </w:rPr>
        <w:t>.</w:t>
      </w:r>
      <w:r w:rsidR="0039031B">
        <w:rPr>
          <w:szCs w:val="20"/>
        </w:rPr>
        <w:t xml:space="preserve"> The registry will also allow for long term reportable data and collection on patients with NMSC.</w:t>
      </w:r>
      <w:r w:rsidRPr="00AE71E7">
        <w:rPr>
          <w:szCs w:val="20"/>
        </w:rPr>
        <w:t xml:space="preserve"> It is </w:t>
      </w:r>
      <w:r>
        <w:rPr>
          <w:szCs w:val="20"/>
        </w:rPr>
        <w:t xml:space="preserve">also </w:t>
      </w:r>
      <w:r w:rsidRPr="00AE71E7">
        <w:rPr>
          <w:szCs w:val="20"/>
        </w:rPr>
        <w:t xml:space="preserve">planned that this Registry will commence in </w:t>
      </w:r>
      <w:r>
        <w:rPr>
          <w:szCs w:val="20"/>
        </w:rPr>
        <w:t>the 2</w:t>
      </w:r>
      <w:r w:rsidRPr="00AE71E7">
        <w:rPr>
          <w:szCs w:val="20"/>
          <w:vertAlign w:val="superscript"/>
        </w:rPr>
        <w:t>nd</w:t>
      </w:r>
      <w:r>
        <w:rPr>
          <w:szCs w:val="20"/>
        </w:rPr>
        <w:t xml:space="preserve"> half of </w:t>
      </w:r>
      <w:r w:rsidRPr="00AE71E7">
        <w:rPr>
          <w:szCs w:val="20"/>
        </w:rPr>
        <w:t>2021</w:t>
      </w:r>
      <w:r>
        <w:rPr>
          <w:szCs w:val="20"/>
        </w:rPr>
        <w:t xml:space="preserve">.  </w:t>
      </w:r>
    </w:p>
    <w:p w14:paraId="630FEE68" w14:textId="77777777" w:rsidR="00AE71E7" w:rsidRDefault="00AE71E7" w:rsidP="00816528">
      <w:pPr>
        <w:spacing w:before="0" w:after="0"/>
        <w:rPr>
          <w:szCs w:val="20"/>
        </w:rPr>
      </w:pPr>
    </w:p>
    <w:p w14:paraId="522AC569" w14:textId="3C861557" w:rsidR="00DD308E" w:rsidRDefault="00F301F1">
      <w:pPr>
        <w:rPr>
          <w:b/>
          <w:sz w:val="32"/>
          <w:szCs w:val="32"/>
        </w:rPr>
      </w:pPr>
      <w:r>
        <w:rPr>
          <w:b/>
          <w:sz w:val="32"/>
          <w:szCs w:val="32"/>
        </w:rPr>
        <w:br w:type="page"/>
      </w:r>
    </w:p>
    <w:p w14:paraId="25145E18" w14:textId="684C4CCA" w:rsidR="00CA4795" w:rsidRDefault="00CA4795">
      <w:pPr>
        <w:rPr>
          <w:b/>
          <w:sz w:val="32"/>
          <w:szCs w:val="32"/>
        </w:rPr>
        <w:sectPr w:rsidR="00CA4795" w:rsidSect="00DD308E">
          <w:pgSz w:w="16838" w:h="11906" w:orient="landscape"/>
          <w:pgMar w:top="1440" w:right="1440" w:bottom="1440" w:left="1440" w:header="708" w:footer="708" w:gutter="0"/>
          <w:cols w:space="708"/>
          <w:docGrid w:linePitch="360"/>
        </w:sectPr>
      </w:pPr>
    </w:p>
    <w:p w14:paraId="196A933E"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289F60CE"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5F7D83D3" w14:textId="6D37316E" w:rsidR="009F7C8D" w:rsidRDefault="009F7C8D" w:rsidP="00485132">
      <w:pPr>
        <w:spacing w:before="0" w:after="60"/>
        <w:ind w:left="425"/>
      </w:pPr>
      <w:r>
        <w:t>Australian and New Zealand Society of Nuclear Medicine</w:t>
      </w:r>
    </w:p>
    <w:p w14:paraId="79704BDC" w14:textId="3570CF66" w:rsidR="009F7C8D" w:rsidRDefault="009F7C8D" w:rsidP="00485132">
      <w:pPr>
        <w:spacing w:before="0" w:after="60"/>
        <w:ind w:left="425"/>
      </w:pPr>
      <w:r>
        <w:t>Australasian Association of Nuclear Medicine Specialists</w:t>
      </w:r>
    </w:p>
    <w:p w14:paraId="05712AE3" w14:textId="0893B168" w:rsidR="009F7C8D" w:rsidRDefault="009F7C8D" w:rsidP="00485132">
      <w:pPr>
        <w:spacing w:before="0" w:after="60"/>
        <w:ind w:left="425"/>
      </w:pPr>
      <w:r>
        <w:t>Royal Australian and New Zealand College of Radiologists</w:t>
      </w:r>
    </w:p>
    <w:p w14:paraId="250996C9" w14:textId="0CE2C7DC" w:rsidR="009F7C8D" w:rsidRDefault="009F7C8D" w:rsidP="00485132">
      <w:pPr>
        <w:spacing w:before="0" w:after="60"/>
        <w:ind w:left="425"/>
      </w:pPr>
      <w:r>
        <w:t>Australasian College of Dermatologists</w:t>
      </w:r>
    </w:p>
    <w:p w14:paraId="731A01EF" w14:textId="5FA0B0C1" w:rsidR="009F7C8D" w:rsidRDefault="009F7C8D" w:rsidP="00485132">
      <w:pPr>
        <w:spacing w:before="0" w:after="60"/>
        <w:ind w:left="425"/>
      </w:pPr>
      <w:r>
        <w:t>Australasian Society of Cosmetic Dermatologists</w:t>
      </w:r>
    </w:p>
    <w:p w14:paraId="34E41974" w14:textId="3DD0C357" w:rsidR="009F7C8D" w:rsidRDefault="009F7C8D" w:rsidP="00485132">
      <w:pPr>
        <w:spacing w:before="0" w:after="60"/>
        <w:ind w:left="425"/>
      </w:pPr>
      <w:r>
        <w:t>Australian Dermatology Nurses Association</w:t>
      </w:r>
    </w:p>
    <w:p w14:paraId="2424B000"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7A95102" w14:textId="77777777" w:rsidR="009F7C8D" w:rsidRDefault="009F7C8D" w:rsidP="00485132">
      <w:pPr>
        <w:spacing w:before="0" w:after="60"/>
        <w:ind w:left="425"/>
      </w:pPr>
      <w:r>
        <w:t>Australasian College of Dermatologists</w:t>
      </w:r>
    </w:p>
    <w:p w14:paraId="4595857B" w14:textId="77777777" w:rsidR="009F7C8D" w:rsidRDefault="009F7C8D" w:rsidP="00485132">
      <w:pPr>
        <w:spacing w:before="0" w:after="60"/>
        <w:ind w:left="425"/>
      </w:pPr>
      <w:r>
        <w:t>Australasian Society of Cosmetic Dermatologists</w:t>
      </w:r>
    </w:p>
    <w:p w14:paraId="142E8BAA" w14:textId="58B0B347" w:rsidR="009F7C8D" w:rsidRDefault="009F7C8D" w:rsidP="00485132">
      <w:pPr>
        <w:spacing w:before="0" w:after="60"/>
        <w:ind w:left="425"/>
      </w:pPr>
      <w:r>
        <w:t>Australian Dermatology Nurses Association</w:t>
      </w:r>
    </w:p>
    <w:p w14:paraId="0DDA7F51" w14:textId="1603887B" w:rsidR="009F7C8D" w:rsidRDefault="009F7C8D" w:rsidP="00485132">
      <w:pPr>
        <w:spacing w:before="0" w:after="60"/>
        <w:ind w:left="425"/>
      </w:pPr>
      <w:r>
        <w:t>Australasian Dermatopathology Society</w:t>
      </w:r>
    </w:p>
    <w:p w14:paraId="4DA8A897" w14:textId="6B71516E" w:rsidR="009F7C8D" w:rsidRDefault="009F7C8D" w:rsidP="00485132">
      <w:pPr>
        <w:spacing w:before="0" w:after="60"/>
        <w:ind w:left="425"/>
      </w:pPr>
      <w:r>
        <w:t>Australian Society of Plastic Surgeons</w:t>
      </w:r>
    </w:p>
    <w:p w14:paraId="18E9A709"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44F2F504" w14:textId="77B0471B" w:rsidR="00CC7679" w:rsidRDefault="00CC7679" w:rsidP="00CC7679">
      <w:pPr>
        <w:ind w:left="426"/>
      </w:pPr>
      <w:r>
        <w:t>The Cancer Council (Australia and States/Territories)</w:t>
      </w:r>
    </w:p>
    <w:p w14:paraId="31E9DC99"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73C0A2B6" w14:textId="4C84B5E3" w:rsidR="00EE6450" w:rsidRDefault="00CC7679" w:rsidP="00485132">
      <w:pPr>
        <w:spacing w:before="0" w:after="60"/>
        <w:ind w:left="425"/>
      </w:pPr>
      <w:r>
        <w:t>Elekta Pty Ltd</w:t>
      </w:r>
    </w:p>
    <w:p w14:paraId="1A429C9C" w14:textId="66669287" w:rsidR="00CC7679" w:rsidRDefault="00307B52" w:rsidP="00485132">
      <w:pPr>
        <w:spacing w:before="0" w:after="60"/>
        <w:ind w:left="425"/>
        <w:rPr>
          <w:szCs w:val="20"/>
        </w:rPr>
      </w:pPr>
      <w:r>
        <w:rPr>
          <w:szCs w:val="20"/>
        </w:rPr>
        <w:t>Varian Medical Systems Australasia Pty Ltd</w:t>
      </w:r>
    </w:p>
    <w:p w14:paraId="402F04BF" w14:textId="415FB1A2" w:rsidR="00E82F54" w:rsidRDefault="00E82F54" w:rsidP="00530204">
      <w:pPr>
        <w:pStyle w:val="Heading2"/>
      </w:pPr>
      <w:r w:rsidRPr="00154B00">
        <w:t>Nominate two experts who could be approached about the proposed medical service and the current clinical management of the service(s):</w:t>
      </w:r>
    </w:p>
    <w:p w14:paraId="0F2E70B1" w14:textId="0F53E57A" w:rsidR="0073616B" w:rsidRPr="00B30741" w:rsidRDefault="0073616B" w:rsidP="00B30741">
      <w:pPr>
        <w:ind w:firstLine="360"/>
        <w:rPr>
          <w:b/>
          <w:bCs/>
        </w:rPr>
      </w:pPr>
      <w:r w:rsidRPr="00B30741">
        <w:rPr>
          <w:b/>
          <w:bCs/>
        </w:rPr>
        <w:t>REDACTED</w:t>
      </w:r>
    </w:p>
    <w:p w14:paraId="2097302C" w14:textId="77777777" w:rsidR="0073616B" w:rsidRPr="0073616B" w:rsidRDefault="0073616B" w:rsidP="0073616B"/>
    <w:p w14:paraId="7AF7D916" w14:textId="77777777" w:rsidR="00494679" w:rsidRDefault="00494679">
      <w:pPr>
        <w:spacing w:before="0" w:after="200" w:line="276" w:lineRule="auto"/>
        <w:rPr>
          <w:bCs/>
          <w:color w:val="4F81BD" w:themeColor="accent1"/>
          <w:sz w:val="40"/>
          <w:szCs w:val="32"/>
        </w:rPr>
      </w:pPr>
      <w:r>
        <w:br w:type="page"/>
      </w:r>
    </w:p>
    <w:p w14:paraId="53DE8B69" w14:textId="4A174D28" w:rsidR="00E82F54" w:rsidRPr="00EA173C" w:rsidRDefault="00F93784" w:rsidP="0056015F">
      <w:pPr>
        <w:pStyle w:val="Heading1"/>
      </w:pPr>
      <w:r>
        <w:lastRenderedPageBreak/>
        <w:t>PAR</w:t>
      </w:r>
      <w:r w:rsidR="005C3AE7">
        <w:t>T 6</w:t>
      </w:r>
      <w:r>
        <w:t xml:space="preserve"> – POPULATION, </w:t>
      </w:r>
      <w:r w:rsidR="00CC5AB1">
        <w:t>INTERVENTION</w:t>
      </w:r>
      <w:r>
        <w:t>, COMPARATOR, OUTCOME (PICO)</w:t>
      </w:r>
    </w:p>
    <w:p w14:paraId="1B972FF6" w14:textId="77777777" w:rsidR="0021185D" w:rsidRPr="005C3AE7" w:rsidRDefault="005C3AE7" w:rsidP="00B30741">
      <w:pPr>
        <w:pStyle w:val="Subtitle"/>
        <w:ind w:left="0"/>
      </w:pPr>
      <w:r w:rsidRPr="005C3AE7">
        <w:t xml:space="preserve">PART 6a – </w:t>
      </w:r>
      <w:r w:rsidR="0021185D" w:rsidRPr="005C3AE7">
        <w:t>INFORMATION ABOUT THE PROPOSED POPULATION</w:t>
      </w:r>
    </w:p>
    <w:p w14:paraId="1217AAAA"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30FAFB60" w14:textId="507600BB" w:rsidR="002A6753" w:rsidRDefault="009C1E6F" w:rsidP="0033065A">
      <w:pPr>
        <w:ind w:left="426"/>
        <w:jc w:val="both"/>
      </w:pPr>
      <w:r w:rsidRPr="009C1E6F">
        <w:t>NMSC</w:t>
      </w:r>
      <w:r>
        <w:t xml:space="preserve"> comprises predominantly </w:t>
      </w:r>
      <w:r w:rsidR="0030319D">
        <w:t xml:space="preserve">BCC </w:t>
      </w:r>
      <w:r>
        <w:t xml:space="preserve">and SCC, although there are other rare subtypes including </w:t>
      </w:r>
      <w:r w:rsidRPr="009C1E6F">
        <w:t>Morbus Bowen</w:t>
      </w:r>
      <w:r w:rsidR="005B6735">
        <w:t xml:space="preserve">, </w:t>
      </w:r>
      <w:proofErr w:type="spellStart"/>
      <w:r w:rsidRPr="009C1E6F">
        <w:t>Queyrat</w:t>
      </w:r>
      <w:proofErr w:type="spellEnd"/>
      <w:r w:rsidRPr="009C1E6F">
        <w:t xml:space="preserve"> </w:t>
      </w:r>
      <w:proofErr w:type="spellStart"/>
      <w:r w:rsidRPr="009C1E6F">
        <w:t>Erythroplasie</w:t>
      </w:r>
      <w:proofErr w:type="spellEnd"/>
      <w:r w:rsidR="005B6735">
        <w:t xml:space="preserve"> and extramammary Paget’s disease (EMPD)</w:t>
      </w:r>
      <w:r>
        <w:t>.  NMSC i</w:t>
      </w:r>
      <w:r w:rsidRPr="009C1E6F">
        <w:t xml:space="preserve">s the most common </w:t>
      </w:r>
      <w:r>
        <w:t>form of cancer in humans and</w:t>
      </w:r>
      <w:r w:rsidRPr="009C1E6F">
        <w:t xml:space="preserve"> Australia has </w:t>
      </w:r>
      <w:r w:rsidR="00BA64EC">
        <w:t xml:space="preserve">one of the </w:t>
      </w:r>
      <w:r w:rsidRPr="009C1E6F">
        <w:t xml:space="preserve">highest incidence </w:t>
      </w:r>
      <w:r w:rsidR="00BA64EC">
        <w:t xml:space="preserve">rates in the world.  Despite (or possibly because of) this high incidence, the local epidemiology is not well characterised: unlike other cancers NMSC is not reportable or captured in national cancer </w:t>
      </w:r>
      <w:proofErr w:type="gramStart"/>
      <w:r w:rsidR="00BA64EC">
        <w:t>registries;</w:t>
      </w:r>
      <w:proofErr w:type="gramEnd"/>
      <w:r w:rsidR="00BA64EC">
        <w:t xml:space="preserve"> while incidence and prevalence studies are multiple and heterogeneous.  </w:t>
      </w:r>
      <w:r w:rsidR="0030319D">
        <w:t xml:space="preserve">Notwithstanding these limitations, available evidence </w:t>
      </w:r>
      <w:r w:rsidR="00BA64EC">
        <w:t>suggest</w:t>
      </w:r>
      <w:r w:rsidR="0030319D">
        <w:t>s</w:t>
      </w:r>
      <w:r w:rsidR="00BA64EC">
        <w:t xml:space="preserve"> </w:t>
      </w:r>
      <w:r w:rsidR="0030319D">
        <w:t>a national</w:t>
      </w:r>
      <w:r w:rsidR="00BA64EC">
        <w:t xml:space="preserve"> incidence of around 300,000 to 500,000 patients</w:t>
      </w:r>
      <w:r w:rsidR="0030319D">
        <w:t>,</w:t>
      </w:r>
      <w:r w:rsidR="00BA64EC">
        <w:t xml:space="preserve"> and between 500,000 and 1 million </w:t>
      </w:r>
      <w:r w:rsidR="0030319D">
        <w:t xml:space="preserve">NMSC </w:t>
      </w:r>
      <w:r w:rsidR="00BA64EC">
        <w:t>lesions</w:t>
      </w:r>
      <w:r w:rsidR="0030319D">
        <w:t>,</w:t>
      </w:r>
      <w:r w:rsidR="00BA64EC">
        <w:t xml:space="preserve"> </w:t>
      </w:r>
      <w:r w:rsidR="0030319D">
        <w:t xml:space="preserve">each year.  </w:t>
      </w:r>
      <w:r w:rsidR="00BA64EC">
        <w:t xml:space="preserve"> </w:t>
      </w:r>
    </w:p>
    <w:p w14:paraId="005CEC32" w14:textId="7CDAE8DA" w:rsidR="0030319D" w:rsidRDefault="0030319D" w:rsidP="0033065A">
      <w:pPr>
        <w:ind w:left="426"/>
        <w:jc w:val="both"/>
      </w:pPr>
      <w:r w:rsidRPr="0030319D">
        <w:t>The most common cause of NMSC is sun exposure, while other predisposing factors include genetic skin conditions and immunosuppressive diseases or treatments</w:t>
      </w:r>
      <w:r w:rsidR="00605C11">
        <w:t xml:space="preserve"> and other environmental exposures</w:t>
      </w:r>
      <w:r w:rsidRPr="0030319D">
        <w:t xml:space="preserve">. </w:t>
      </w:r>
      <w:r w:rsidR="00605C11">
        <w:t xml:space="preserve">Incidence increases with age but not </w:t>
      </w:r>
      <w:r w:rsidR="0033065A">
        <w:t>linearly and</w:t>
      </w:r>
      <w:r w:rsidR="00605C11">
        <w:t xml:space="preserve"> is higher in men than women up to approximately 50 year of age, and similar thereafter.  Around 50% of cases present </w:t>
      </w:r>
      <w:r w:rsidR="00605C11" w:rsidRPr="00605C11">
        <w:t>on the head or approximately</w:t>
      </w:r>
      <w:r w:rsidR="00605C11">
        <w:t>,</w:t>
      </w:r>
      <w:r w:rsidR="00605C11" w:rsidRPr="00605C11">
        <w:t xml:space="preserve"> 25% on the trunk and approximately 10% each on the upper and lower limbs.</w:t>
      </w:r>
      <w:r w:rsidR="00605C11">
        <w:t xml:space="preserve"> </w:t>
      </w:r>
      <w:r>
        <w:t xml:space="preserve">Although extremely common, NMSC is very rarely fatal, accounting for less than 1,000 deaths in Australia each year. This reflects the relatively slow and benign course of the disease, high rates of awareness, detection and diagnosis, and the availability of multiple, typically definitive, treatment options.  </w:t>
      </w:r>
    </w:p>
    <w:p w14:paraId="3E1CAE5C" w14:textId="008DB299" w:rsidR="00605C11" w:rsidRDefault="00605C11" w:rsidP="0033065A">
      <w:pPr>
        <w:ind w:left="426"/>
        <w:jc w:val="both"/>
      </w:pPr>
      <w:r>
        <w:t xml:space="preserve">Detailed, </w:t>
      </w:r>
      <w:proofErr w:type="gramStart"/>
      <w:r>
        <w:t>recent</w:t>
      </w:r>
      <w:proofErr w:type="gramEnd"/>
      <w:r>
        <w:t xml:space="preserve"> and </w:t>
      </w:r>
      <w:r w:rsidR="0033065A">
        <w:t>locally specific</w:t>
      </w:r>
      <w:r>
        <w:t xml:space="preserve"> guidelines are available, which provide an overview of the condition and its prevention, diagnosis and treatment in the Australian setting (Cancer Council Australia, 2019).  </w:t>
      </w:r>
    </w:p>
    <w:p w14:paraId="278A4D85"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2CD033DC" w14:textId="7AD5824B" w:rsidR="000846F0" w:rsidRDefault="00357C3C" w:rsidP="00E357B9">
      <w:pPr>
        <w:ind w:left="426"/>
      </w:pPr>
      <w:r>
        <w:t xml:space="preserve">The </w:t>
      </w:r>
      <w:r w:rsidR="00CD0989">
        <w:t xml:space="preserve">vast </w:t>
      </w:r>
      <w:r>
        <w:t xml:space="preserve">majority of NMSC in Australia is diagnosed and managed in a primary healthcare setting. The proposed service, by contrast, would be </w:t>
      </w:r>
      <w:r w:rsidR="00AC6772">
        <w:t xml:space="preserve">offered exclusively in </w:t>
      </w:r>
      <w:r w:rsidR="00CD0989">
        <w:t xml:space="preserve">highly specialised </w:t>
      </w:r>
      <w:r w:rsidR="000846F0">
        <w:t>(nuclear medicine) settings, upon referral by a specialist dermatologist</w:t>
      </w:r>
      <w:r w:rsidR="00CD0989">
        <w:t xml:space="preserve"> or plastic surgeon</w:t>
      </w:r>
      <w:r w:rsidR="00AC6772">
        <w:t xml:space="preserve">. </w:t>
      </w:r>
    </w:p>
    <w:p w14:paraId="0923284B" w14:textId="3250A2F2" w:rsidR="00B87EF6" w:rsidRPr="00154B00" w:rsidRDefault="000846F0" w:rsidP="00E357B9">
      <w:pPr>
        <w:ind w:left="426"/>
        <w:rPr>
          <w:szCs w:val="20"/>
        </w:rPr>
      </w:pPr>
      <w:r>
        <w:t xml:space="preserve">Moreover, it is proposed that eligibility would be limited to patients with </w:t>
      </w:r>
      <w:r w:rsidR="00B87EF6" w:rsidRPr="00B87EF6">
        <w:t>more difficult to treat lesions, for which malignancy has been confirmed,</w:t>
      </w:r>
      <w:r w:rsidR="00B87EF6">
        <w:t xml:space="preserve"> melanoma has been excluded, and suitability for treatment with Rhenium-188 clearly established.  Indicative criteria are provided in </w:t>
      </w:r>
      <w:r w:rsidR="00F76FCF">
        <w:t xml:space="preserve">a draft MBS item descriptor, in answer to Question 54.  </w:t>
      </w:r>
      <w:r w:rsidR="00B87EF6">
        <w:t xml:space="preserve"> </w:t>
      </w:r>
    </w:p>
    <w:p w14:paraId="6AB9889E" w14:textId="39397F2C"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an easy to follow flowchart dep</w:t>
      </w:r>
      <w:r w:rsidRPr="00154B00">
        <w:t>icting the current clinical manag</w:t>
      </w:r>
      <w:r w:rsidR="00197D29">
        <w:t>ement pathway up to this point):</w:t>
      </w:r>
    </w:p>
    <w:p w14:paraId="52EC6F20" w14:textId="7D1BB989" w:rsidR="00FA3822" w:rsidRPr="00AE71E7" w:rsidRDefault="001913B7" w:rsidP="001913B7">
      <w:pPr>
        <w:ind w:left="426"/>
      </w:pPr>
      <w:r>
        <w:t>Clinical management pathways for NMSC are defined by various factors, including number, size and location of suspicious lesions, clinical and histological assessment of risk, relevant comorbidities, and other individual patient characteristics.  All p</w:t>
      </w:r>
      <w:r w:rsidR="00F76FCF">
        <w:t xml:space="preserve">atients </w:t>
      </w:r>
      <w:r>
        <w:t xml:space="preserve">generally present first to a General Practitioner.  Those with high risk, </w:t>
      </w:r>
      <w:r w:rsidR="00F76FCF">
        <w:t>large</w:t>
      </w:r>
      <w:r>
        <w:t>, multiple</w:t>
      </w:r>
      <w:r w:rsidR="00F76FCF">
        <w:t xml:space="preserve"> and/or difficult to treat lesions</w:t>
      </w:r>
      <w:r>
        <w:t>, or comorbidities,</w:t>
      </w:r>
      <w:r w:rsidR="00F76FCF">
        <w:t xml:space="preserve"> would </w:t>
      </w:r>
      <w:r w:rsidR="009D417E">
        <w:t>typically</w:t>
      </w:r>
      <w:r w:rsidR="00F76FCF">
        <w:t xml:space="preserve"> </w:t>
      </w:r>
      <w:r>
        <w:t xml:space="preserve">be referred to a Dermatologist for further assessment and treatment. Multiple management options are available in this secondary care setting, including surgical excision (inpatient or outpatient) radiotherapy, brachytherapy and/or chemotherapy (where there is confirmation of metastatic disease).  In </w:t>
      </w:r>
      <w:r w:rsidR="00CD0989">
        <w:t>most</w:t>
      </w:r>
      <w:r>
        <w:t xml:space="preserve"> cases, patient care would be multidisciplinary, involving different specialties and/or institutions.  </w:t>
      </w:r>
      <w:r w:rsidR="00687206">
        <w:t xml:space="preserve">Rhenium-188 brachytherapy would </w:t>
      </w:r>
      <w:r w:rsidR="00CD0989">
        <w:t xml:space="preserve">represent a novel addition </w:t>
      </w:r>
      <w:r w:rsidR="00687206">
        <w:t xml:space="preserve">to the existing suite of options available in this setting, </w:t>
      </w:r>
      <w:r w:rsidR="00CD0989">
        <w:t>most suitable for a small subset of patients with difficult to treat lesions</w:t>
      </w:r>
      <w:r w:rsidR="00CD0989" w:rsidRPr="00AE71E7">
        <w:t xml:space="preserve">, uptake of which is expected to be limited by </w:t>
      </w:r>
      <w:r w:rsidR="00AE71E7">
        <w:t xml:space="preserve">local </w:t>
      </w:r>
      <w:r w:rsidR="00CD0989" w:rsidRPr="00AE71E7">
        <w:t xml:space="preserve">experience and </w:t>
      </w:r>
      <w:r w:rsidR="00AE71E7">
        <w:t xml:space="preserve">availability of necessary capital </w:t>
      </w:r>
      <w:r w:rsidR="00CD0989" w:rsidRPr="00AE71E7">
        <w:t>equipment.</w:t>
      </w:r>
      <w:r w:rsidR="00CD0989">
        <w:t xml:space="preserve">  </w:t>
      </w:r>
      <w:r>
        <w:t xml:space="preserve">A simplified flowchart is provided as an attachment to the application.   </w:t>
      </w:r>
      <w:r w:rsidR="00FA3822">
        <w:br w:type="page"/>
      </w:r>
    </w:p>
    <w:p w14:paraId="24DF9623" w14:textId="28940E11" w:rsidR="002A50FD" w:rsidRPr="00881F93" w:rsidRDefault="005C3AE7" w:rsidP="00B30741">
      <w:pPr>
        <w:pStyle w:val="Subtitle"/>
        <w:ind w:left="0"/>
      </w:pPr>
      <w:r>
        <w:lastRenderedPageBreak/>
        <w:t xml:space="preserve">PART 6b – </w:t>
      </w:r>
      <w:r w:rsidR="002A50FD" w:rsidRPr="00881F93">
        <w:t>INFORMATION ABOUT THE INTERVENTION</w:t>
      </w:r>
    </w:p>
    <w:p w14:paraId="308F91E9"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346F3CD2" w14:textId="37A52AE0" w:rsidR="008D1BEB" w:rsidRDefault="003177BB" w:rsidP="003177BB">
      <w:pPr>
        <w:ind w:left="426"/>
      </w:pPr>
      <w:r>
        <w:t>Histological confirmation of malignancy, exclusion of melanoma, determination of suitability for Rhenium-188 therapy and definition of the lesion borders would be performed by a dermatologist</w:t>
      </w:r>
      <w:r w:rsidR="00866051">
        <w:t xml:space="preserve"> or specialist plastic surgeon, who would work closely with a </w:t>
      </w:r>
      <w:r w:rsidR="00866051" w:rsidRPr="00407C70">
        <w:t xml:space="preserve">specialist </w:t>
      </w:r>
      <w:r w:rsidR="008D1BEB" w:rsidRPr="00407C70">
        <w:t xml:space="preserve">nuclear medicine physician </w:t>
      </w:r>
      <w:r w:rsidR="00AE71E7">
        <w:t xml:space="preserve">or radiation oncologist </w:t>
      </w:r>
      <w:r w:rsidR="00866051" w:rsidRPr="00407C70">
        <w:t>to</w:t>
      </w:r>
      <w:r w:rsidR="00866051">
        <w:t xml:space="preserve"> determine the </w:t>
      </w:r>
      <w:r w:rsidR="008D1BEB">
        <w:t xml:space="preserve">area to be treated and </w:t>
      </w:r>
      <w:r>
        <w:t>manage</w:t>
      </w:r>
      <w:r w:rsidR="008D1BEB">
        <w:t xml:space="preserve"> the procedure</w:t>
      </w:r>
      <w:r w:rsidR="00866051">
        <w:t xml:space="preserve"> and follow up</w:t>
      </w:r>
      <w:r w:rsidR="008D1BEB">
        <w:t xml:space="preserve">.  </w:t>
      </w:r>
    </w:p>
    <w:p w14:paraId="4CC742B9" w14:textId="0FF531C8" w:rsidR="008D1BEB" w:rsidRDefault="00866051" w:rsidP="008D1BEB">
      <w:pPr>
        <w:ind w:left="426"/>
      </w:pPr>
      <w:r>
        <w:t>For the procedure itself, in</w:t>
      </w:r>
      <w:r w:rsidR="008D1BEB">
        <w:t xml:space="preserve"> an appropriately equipped nuclear medicine facility, a technician or nurse would typically cover the region to be treated (and an appropriate surrounding area) with the special protective foil, measure the area of the lesion and, as necessary deploy radiation protection accessories to cover sensitive body parts.  At the commencement of each treatment session, the technician would also load </w:t>
      </w:r>
      <w:proofErr w:type="spellStart"/>
      <w:r w:rsidR="008D1BEB">
        <w:t>carpoule</w:t>
      </w:r>
      <w:proofErr w:type="spellEnd"/>
      <w:r w:rsidR="008D1BEB">
        <w:t xml:space="preserve"> containing the Rhenium-188 compound into the applicator and measure/record the value of the radioactivity using the measurement station.  </w:t>
      </w:r>
    </w:p>
    <w:p w14:paraId="44E1A4A9" w14:textId="0BAEE654" w:rsidR="008D1BEB" w:rsidRDefault="008D1BEB" w:rsidP="008D1BEB">
      <w:pPr>
        <w:ind w:left="426"/>
      </w:pPr>
      <w:r>
        <w:t xml:space="preserve">A </w:t>
      </w:r>
      <w:r w:rsidR="00866051">
        <w:t>n</w:t>
      </w:r>
      <w:r>
        <w:t xml:space="preserve">uclear </w:t>
      </w:r>
      <w:r w:rsidR="00866051">
        <w:t>m</w:t>
      </w:r>
      <w:r>
        <w:t xml:space="preserve">edicine physician or </w:t>
      </w:r>
      <w:r w:rsidR="00866051">
        <w:t xml:space="preserve">specialist </w:t>
      </w:r>
      <w:r>
        <w:t>radiation oncologist would then apply the compound over the protective foil following the borde</w:t>
      </w:r>
      <w:r w:rsidR="00FC450D">
        <w:t>r</w:t>
      </w:r>
      <w:r>
        <w:t xml:space="preserve">.  A timer </w:t>
      </w:r>
      <w:r w:rsidR="00AC6772">
        <w:t xml:space="preserve">would then be </w:t>
      </w:r>
      <w:r>
        <w:t xml:space="preserve">started, and the </w:t>
      </w:r>
      <w:r w:rsidR="00FC450D">
        <w:t>compound measured</w:t>
      </w:r>
      <w:r w:rsidR="00AC6772">
        <w:t>, wit</w:t>
      </w:r>
      <w:r w:rsidR="00FC450D">
        <w:t>h</w:t>
      </w:r>
      <w:r w:rsidR="00AC6772">
        <w:t xml:space="preserve"> the remaining activity recorded.  A</w:t>
      </w:r>
      <w:r>
        <w:t xml:space="preserve"> medical physicist would then calculate the time </w:t>
      </w:r>
      <w:r w:rsidR="00AC6772">
        <w:t>the compound</w:t>
      </w:r>
      <w:r>
        <w:t xml:space="preserve"> must remain on the protective foil to reach the dose at the target depth.</w:t>
      </w:r>
    </w:p>
    <w:p w14:paraId="467099A5" w14:textId="6D43F4AA" w:rsidR="008D1BEB" w:rsidRDefault="00AC6772" w:rsidP="00AC6772">
      <w:pPr>
        <w:ind w:left="426"/>
      </w:pPr>
      <w:r>
        <w:t>At the elapse of the calculated time,</w:t>
      </w:r>
      <w:r w:rsidR="008D1BEB">
        <w:t xml:space="preserve"> a technician </w:t>
      </w:r>
      <w:r>
        <w:t>would remove</w:t>
      </w:r>
      <w:r w:rsidR="008D1BEB">
        <w:t xml:space="preserve"> the protective foil including the applied</w:t>
      </w:r>
      <w:r>
        <w:t xml:space="preserve"> compound and dispose of it safely in an appropriate waste station.  </w:t>
      </w:r>
      <w:r w:rsidR="008D1BEB">
        <w:t xml:space="preserve">If radiation protection accessories were used, they </w:t>
      </w:r>
      <w:r>
        <w:t xml:space="preserve">would also be </w:t>
      </w:r>
      <w:r w:rsidR="008D1BEB">
        <w:t xml:space="preserve">removed, and the patient </w:t>
      </w:r>
      <w:r>
        <w:t>discharged</w:t>
      </w:r>
      <w:r w:rsidR="008D1BEB">
        <w:t>.</w:t>
      </w:r>
    </w:p>
    <w:p w14:paraId="591FFD4E" w14:textId="18038E24" w:rsidR="008D1BEB" w:rsidRDefault="008D1BEB" w:rsidP="00AC6772">
      <w:pPr>
        <w:ind w:left="426"/>
      </w:pPr>
      <w:r>
        <w:t xml:space="preserve">The </w:t>
      </w:r>
      <w:r w:rsidR="00866051">
        <w:t xml:space="preserve">referring </w:t>
      </w:r>
      <w:r>
        <w:t xml:space="preserve">dermatologist </w:t>
      </w:r>
      <w:r w:rsidR="00866051">
        <w:t xml:space="preserve">or plastic surgeon </w:t>
      </w:r>
      <w:r w:rsidR="00AC6772">
        <w:t>would</w:t>
      </w:r>
      <w:r>
        <w:t xml:space="preserve"> follow up the wound healing process with regular controls and later potential</w:t>
      </w:r>
      <w:r w:rsidR="00AC6772">
        <w:t xml:space="preserve"> </w:t>
      </w:r>
      <w:r>
        <w:t xml:space="preserve">remissions as </w:t>
      </w:r>
      <w:r w:rsidR="00AC6772">
        <w:t xml:space="preserve">per other methods of treatment for NMSC.  </w:t>
      </w:r>
    </w:p>
    <w:p w14:paraId="5D9CF325"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6928AFCD" w14:textId="658A446C" w:rsidR="002A6753" w:rsidRPr="00154B00" w:rsidRDefault="00B90FB1" w:rsidP="00E357B9">
      <w:pPr>
        <w:ind w:left="426"/>
        <w:rPr>
          <w:szCs w:val="20"/>
        </w:rPr>
      </w:pPr>
      <w:r>
        <w:t xml:space="preserve">Yes, the service includes a proprietary Rhenium-188 compound is only approved for use in conjunction with other proprietary equipment, as described in answer to Question 13.   </w:t>
      </w:r>
    </w:p>
    <w:p w14:paraId="58ED31C0"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E9A6A45" w14:textId="2B7C40D6" w:rsidR="00DF0C51" w:rsidRDefault="00B90FB1" w:rsidP="00E357B9">
      <w:pPr>
        <w:ind w:left="426"/>
        <w:rPr>
          <w:b/>
          <w:szCs w:val="20"/>
        </w:rPr>
      </w:pPr>
      <w:r>
        <w:t xml:space="preserve">Yes, the service represents a novel approach to treatment of NMSC.  </w:t>
      </w:r>
      <w:r w:rsidR="00866051">
        <w:t xml:space="preserve">Other forms of brachytherapy are sometimes used in </w:t>
      </w:r>
      <w:proofErr w:type="gramStart"/>
      <w:r w:rsidR="00866051">
        <w:t>NMSC,</w:t>
      </w:r>
      <w:proofErr w:type="gramEnd"/>
      <w:r w:rsidR="00866051">
        <w:t xml:space="preserve"> however these are not directly comparable to Rhenium-188 treatment.  </w:t>
      </w:r>
    </w:p>
    <w:p w14:paraId="24EB928A"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xml:space="preserve">, quantity, </w:t>
      </w:r>
      <w:proofErr w:type="gramStart"/>
      <w:r w:rsidR="00DF0C51">
        <w:t>duration</w:t>
      </w:r>
      <w:proofErr w:type="gramEnd"/>
      <w:r w:rsidR="00DF0C51">
        <w:t xml:space="preserve"> or frequency</w:t>
      </w:r>
      <w:r w:rsidR="00D30BDC">
        <w:t>)</w:t>
      </w:r>
      <w:r w:rsidR="00AE1188">
        <w:t>:</w:t>
      </w:r>
    </w:p>
    <w:p w14:paraId="08F99EFF" w14:textId="6301425B" w:rsidR="00866051" w:rsidRDefault="00B90FB1" w:rsidP="00E357B9">
      <w:pPr>
        <w:ind w:left="426"/>
      </w:pPr>
      <w:r>
        <w:t>The main limitation here will be availability and accessibility</w:t>
      </w:r>
      <w:r w:rsidR="00866051">
        <w:t xml:space="preserve"> of the service</w:t>
      </w:r>
      <w:r>
        <w:t xml:space="preserve">, given </w:t>
      </w:r>
      <w:r w:rsidR="00866051">
        <w:t>i</w:t>
      </w:r>
      <w:r w:rsidR="00407C70">
        <w:t>t</w:t>
      </w:r>
      <w:r w:rsidR="00866051">
        <w:t>s</w:t>
      </w:r>
      <w:r>
        <w:t xml:space="preserve"> relative novelty, requisite capital </w:t>
      </w:r>
      <w:r w:rsidRPr="008B01EF">
        <w:t>equipment, and lack of experience among Australian clinicians.</w:t>
      </w:r>
      <w:r>
        <w:t xml:space="preserve">  </w:t>
      </w:r>
      <w:r w:rsidR="00866051">
        <w:t xml:space="preserve">This is expected to be a very significant limitation during the first few years following MBS listing.  </w:t>
      </w:r>
    </w:p>
    <w:p w14:paraId="6D404129" w14:textId="5CE69373" w:rsidR="001F4C27" w:rsidRPr="00154B00" w:rsidRDefault="00866051" w:rsidP="001F4C27">
      <w:pPr>
        <w:ind w:left="426"/>
        <w:rPr>
          <w:szCs w:val="20"/>
        </w:rPr>
      </w:pPr>
      <w:r>
        <w:t xml:space="preserve">There are also some limitations based on </w:t>
      </w:r>
      <w:r w:rsidRPr="00083ACE">
        <w:t>radiation exposure for healthcare providers and patients</w:t>
      </w:r>
      <w:r w:rsidR="001F4C27" w:rsidRPr="00083ACE">
        <w:t>.</w:t>
      </w:r>
      <w:r w:rsidR="001F4C27">
        <w:t xml:space="preserve">  These are complex and dependent upon use of appropriate protective measures and equipment.  Detailed information regarding such limits will be provided in the proposed </w:t>
      </w:r>
      <w:proofErr w:type="gramStart"/>
      <w:r w:rsidR="001F4C27">
        <w:t>submission based</w:t>
      </w:r>
      <w:proofErr w:type="gramEnd"/>
      <w:r w:rsidR="001F4C27">
        <w:t xml:space="preserve"> assessment.  </w:t>
      </w:r>
    </w:p>
    <w:p w14:paraId="423E9C44"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6FDA29C" w14:textId="3E11185A" w:rsidR="00791C8D" w:rsidRPr="00154B00" w:rsidRDefault="000846F0" w:rsidP="00884E69">
      <w:pPr>
        <w:ind w:left="426"/>
        <w:rPr>
          <w:szCs w:val="20"/>
        </w:rPr>
      </w:pPr>
      <w:r>
        <w:t xml:space="preserve">Not applicable.  </w:t>
      </w:r>
    </w:p>
    <w:p w14:paraId="7B542691"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66587818" w14:textId="30AB5D3D" w:rsidR="00B17E26" w:rsidRPr="00154B00" w:rsidRDefault="000846F0" w:rsidP="00884E69">
      <w:pPr>
        <w:ind w:left="426"/>
        <w:rPr>
          <w:szCs w:val="20"/>
        </w:rPr>
      </w:pPr>
      <w:r>
        <w:t>Nuclear medicine physicians in collaboration with dermatologists</w:t>
      </w:r>
      <w:r w:rsidR="001F4C27">
        <w:t>, radiologists and/or plastic surgeons</w:t>
      </w:r>
      <w:r>
        <w:t xml:space="preserve">.  </w:t>
      </w:r>
    </w:p>
    <w:p w14:paraId="6B040E74"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E50C28F" w14:textId="5086389B" w:rsidR="00E76359" w:rsidRDefault="000846F0" w:rsidP="001F4C27">
      <w:pPr>
        <w:ind w:left="426"/>
        <w:rPr>
          <w:b/>
          <w:szCs w:val="20"/>
        </w:rPr>
      </w:pPr>
      <w:r>
        <w:t xml:space="preserve">No, however elements of the procedure would usually be performed by a nurse or technician as described in answer to Question 28.  </w:t>
      </w:r>
    </w:p>
    <w:p w14:paraId="69CAEC9D" w14:textId="43B05244" w:rsidR="00EA0E25" w:rsidRPr="00154B00" w:rsidRDefault="00EA0E25" w:rsidP="00530204">
      <w:pPr>
        <w:pStyle w:val="Heading2"/>
      </w:pPr>
      <w:r w:rsidRPr="00154B00">
        <w:lastRenderedPageBreak/>
        <w:t xml:space="preserve">If applicable, </w:t>
      </w:r>
      <w:r w:rsidRPr="0073597B">
        <w:t>specify</w:t>
      </w:r>
      <w:r w:rsidRPr="00154B00">
        <w:t xml:space="preserve"> any proposed limitations on who might deliver the proposed medical service, or who </w:t>
      </w:r>
      <w:r w:rsidR="00AE1188">
        <w:t>might provide a referral for it:</w:t>
      </w:r>
    </w:p>
    <w:p w14:paraId="28E432AE" w14:textId="72B79CC7" w:rsidR="00EA0E25" w:rsidRPr="00154B00" w:rsidRDefault="000846F0" w:rsidP="00BC424B">
      <w:pPr>
        <w:ind w:left="426"/>
        <w:rPr>
          <w:szCs w:val="20"/>
        </w:rPr>
      </w:pPr>
      <w:r>
        <w:t xml:space="preserve">The service should only be provided by suitably qualified nuclear medicine physicians </w:t>
      </w:r>
      <w:r w:rsidR="00AE71E7">
        <w:t xml:space="preserve">or radiation oncologists working in accredited facilities with </w:t>
      </w:r>
      <w:r>
        <w:t xml:space="preserve">appropriate capital equipment and training in the procedure.  </w:t>
      </w:r>
      <w:r w:rsidRPr="00AE71E7">
        <w:t xml:space="preserve">Referral would </w:t>
      </w:r>
      <w:r w:rsidR="001F4C27" w:rsidRPr="00AE71E7">
        <w:t>be limited to specialist dermatologists or plastic surgeons.</w:t>
      </w:r>
      <w:r w:rsidR="001F4C27">
        <w:t xml:space="preserve">  </w:t>
      </w:r>
    </w:p>
    <w:p w14:paraId="55790969"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62166C1" w14:textId="25F27A6D" w:rsidR="009061A4" w:rsidRPr="00154B00" w:rsidRDefault="009061A4" w:rsidP="0073597B">
      <w:pPr>
        <w:ind w:left="426"/>
        <w:rPr>
          <w:szCs w:val="20"/>
        </w:rPr>
      </w:pPr>
      <w:r>
        <w:t xml:space="preserve">Training for </w:t>
      </w:r>
      <w:r w:rsidR="001F4C27">
        <w:t>n</w:t>
      </w:r>
      <w:r>
        <w:t xml:space="preserve">uclear </w:t>
      </w:r>
      <w:r w:rsidR="001F4C27">
        <w:t>m</w:t>
      </w:r>
      <w:r w:rsidR="008E6875">
        <w:t>edicine</w:t>
      </w:r>
      <w:r>
        <w:t xml:space="preserve"> department staff </w:t>
      </w:r>
      <w:r w:rsidR="00166433">
        <w:t xml:space="preserve">is conducted </w:t>
      </w:r>
      <w:r w:rsidR="006C2037">
        <w:t xml:space="preserve">in person </w:t>
      </w:r>
      <w:r w:rsidR="0052574B">
        <w:t xml:space="preserve">by </w:t>
      </w:r>
      <w:proofErr w:type="spellStart"/>
      <w:r w:rsidR="0052574B">
        <w:t>Onco</w:t>
      </w:r>
      <w:r w:rsidR="008816A3">
        <w:t>B</w:t>
      </w:r>
      <w:r w:rsidR="0052574B">
        <w:t>eta</w:t>
      </w:r>
      <w:proofErr w:type="spellEnd"/>
      <w:r w:rsidR="00425BAD">
        <w:t>. Training videos are also available</w:t>
      </w:r>
      <w:r w:rsidR="00B938D5">
        <w:t xml:space="preserve">, as well as </w:t>
      </w:r>
      <w:r w:rsidR="008816A3">
        <w:t xml:space="preserve">healthcare professional </w:t>
      </w:r>
      <w:r w:rsidR="00B938D5">
        <w:t xml:space="preserve">written information. </w:t>
      </w:r>
      <w:r w:rsidR="00214FA8">
        <w:t xml:space="preserve">A </w:t>
      </w:r>
      <w:r w:rsidR="00B938D5">
        <w:t xml:space="preserve">certificate of training completion is </w:t>
      </w:r>
      <w:proofErr w:type="gramStart"/>
      <w:r w:rsidR="00B938D5">
        <w:t>provided, once</w:t>
      </w:r>
      <w:proofErr w:type="gramEnd"/>
      <w:r w:rsidR="00B938D5">
        <w:t xml:space="preserve"> training has been completed. </w:t>
      </w:r>
    </w:p>
    <w:p w14:paraId="658FF6FA"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5F02D1F3" w14:textId="4F7AB8F6" w:rsidR="000A478F" w:rsidRDefault="00D31DD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0A478F">
        <w:rPr>
          <w:szCs w:val="20"/>
        </w:rPr>
        <w:t xml:space="preserve"> </w:t>
      </w:r>
      <w:r w:rsidR="00AE71E7">
        <w:t>Accredited</w:t>
      </w:r>
      <w:r>
        <w:t xml:space="preserve"> nuclear medicine facilities in </w:t>
      </w:r>
      <w:r w:rsidR="00AE71E7">
        <w:t xml:space="preserve">specialist </w:t>
      </w:r>
      <w:r>
        <w:t>public and private hospitals (non-admitted patients)</w:t>
      </w:r>
    </w:p>
    <w:p w14:paraId="0F281C6A"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20DF3B9" w14:textId="0F0881B7" w:rsidR="00C46B26" w:rsidRDefault="00485132" w:rsidP="0073597B">
      <w:pPr>
        <w:ind w:left="426"/>
      </w:pPr>
      <w:r>
        <w:t xml:space="preserve">The proposed service incorporates a </w:t>
      </w:r>
      <w:r w:rsidR="00D31DDF">
        <w:t xml:space="preserve">complex and </w:t>
      </w:r>
      <w:r>
        <w:t xml:space="preserve">completely new </w:t>
      </w:r>
      <w:r w:rsidR="00C46B26">
        <w:t xml:space="preserve">health </w:t>
      </w:r>
      <w:r>
        <w:t xml:space="preserve">technology, that is initially expected to be provided only </w:t>
      </w:r>
      <w:r w:rsidR="00C46B26">
        <w:t>through</w:t>
      </w:r>
      <w:r>
        <w:t xml:space="preserve"> </w:t>
      </w:r>
      <w:r w:rsidR="00C46B26">
        <w:t xml:space="preserve">a limited number of </w:t>
      </w:r>
      <w:r>
        <w:t xml:space="preserve">specialist nuclear medicine facilities in major public/private hospitals, on </w:t>
      </w:r>
      <w:r w:rsidR="00D31DDF">
        <w:t>a</w:t>
      </w:r>
      <w:r w:rsidR="00C46B26">
        <w:t xml:space="preserve"> non-admitted/</w:t>
      </w:r>
      <w:r>
        <w:t xml:space="preserve">outpatient basis.  </w:t>
      </w:r>
    </w:p>
    <w:p w14:paraId="189DA094" w14:textId="77777777" w:rsidR="003E30FB" w:rsidRDefault="003E30FB" w:rsidP="00530204">
      <w:pPr>
        <w:pStyle w:val="Heading2"/>
      </w:pPr>
      <w:r>
        <w:t xml:space="preserve">Is the </w:t>
      </w:r>
      <w:r w:rsidRPr="001B29A1">
        <w:t>proposed</w:t>
      </w:r>
      <w:r>
        <w:t xml:space="preserve"> medical service intended to be entirely rendered in Australia?</w:t>
      </w:r>
    </w:p>
    <w:p w14:paraId="7225FDDE" w14:textId="7996E332" w:rsidR="000A478F" w:rsidRDefault="00F87AA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0A478F">
        <w:rPr>
          <w:szCs w:val="20"/>
        </w:rPr>
        <w:t xml:space="preserve"> Yes</w:t>
      </w:r>
    </w:p>
    <w:p w14:paraId="36891F04"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50F66">
        <w:rPr>
          <w:szCs w:val="20"/>
        </w:rPr>
      </w:r>
      <w:r w:rsidR="00B50F66">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1B96788F" w14:textId="6D1CC117" w:rsidR="000A478F" w:rsidRPr="00B30741" w:rsidRDefault="00AF0944" w:rsidP="00B30741">
      <w:pPr>
        <w:ind w:left="426"/>
      </w:pPr>
      <w:r w:rsidRPr="00AF0944">
        <w:t>All aspects of the service would be provided in Australia</w:t>
      </w:r>
      <w:r w:rsidRPr="006B6D29">
        <w:t>.  Most components of the requisite medical device would be imported</w:t>
      </w:r>
      <w:r w:rsidR="006B6D29" w:rsidRPr="006B6D29">
        <w:t>.  However</w:t>
      </w:r>
      <w:r w:rsidRPr="006B6D29">
        <w:t xml:space="preserve">, </w:t>
      </w:r>
      <w:r w:rsidR="00FD6F53" w:rsidRPr="006B6D29">
        <w:t xml:space="preserve">arrangements are </w:t>
      </w:r>
      <w:r w:rsidR="006B6D29">
        <w:t xml:space="preserve">currently </w:t>
      </w:r>
      <w:r w:rsidR="00FD6F53" w:rsidRPr="006B6D29">
        <w:t xml:space="preserve">being </w:t>
      </w:r>
      <w:r w:rsidR="006B6D29" w:rsidRPr="006B6D29">
        <w:t xml:space="preserve">finalised </w:t>
      </w:r>
      <w:r w:rsidR="00FD6F53" w:rsidRPr="006B6D29">
        <w:t xml:space="preserve">with </w:t>
      </w:r>
      <w:r w:rsidRPr="006B6D29">
        <w:t xml:space="preserve">the Australian Nuclear Science and Technology Organisation (ANSTO) to manufacture and </w:t>
      </w:r>
      <w:r w:rsidR="00FD6F53" w:rsidRPr="006B6D29">
        <w:t>supply</w:t>
      </w:r>
      <w:r w:rsidRPr="006B6D29">
        <w:t xml:space="preserve"> the Rhenium-188 compound locally</w:t>
      </w:r>
      <w:r w:rsidR="006B6D29" w:rsidRPr="006B6D29">
        <w:t>, from late 2021</w:t>
      </w:r>
      <w:r w:rsidR="006B6D29">
        <w:t xml:space="preserve"> onwards</w:t>
      </w:r>
      <w:r w:rsidRPr="006B6D29">
        <w:t>.</w:t>
      </w:r>
      <w:r>
        <w:t xml:space="preserve">  </w:t>
      </w:r>
      <w:r w:rsidRPr="00AF0944">
        <w:t xml:space="preserve"> </w:t>
      </w:r>
    </w:p>
    <w:p w14:paraId="769BD299" w14:textId="77777777" w:rsidR="00E60529" w:rsidRPr="00881F93" w:rsidRDefault="005C3AE7" w:rsidP="00B30741">
      <w:pPr>
        <w:pStyle w:val="Subtitle"/>
        <w:ind w:left="0"/>
      </w:pPr>
      <w:r>
        <w:t xml:space="preserve">PART 6c – </w:t>
      </w:r>
      <w:r w:rsidR="00E60529" w:rsidRPr="00881F93">
        <w:t>INFORMATION ABOUT THE COMPARATOR</w:t>
      </w:r>
      <w:r w:rsidR="00A83EC6" w:rsidRPr="00881F93">
        <w:t>(S)</w:t>
      </w:r>
    </w:p>
    <w:p w14:paraId="52EB30D1"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273F90A" w14:textId="3BCA58AE" w:rsidR="00EA0F55" w:rsidRDefault="00EA0F55" w:rsidP="001B29A1">
      <w:pPr>
        <w:ind w:left="426"/>
      </w:pPr>
      <w:r>
        <w:t xml:space="preserve">Potential comparators for the proposed medical service, within the target MBS population, include: </w:t>
      </w:r>
    </w:p>
    <w:p w14:paraId="5232B58D" w14:textId="77777777" w:rsidR="00EA0F55" w:rsidRDefault="00EA0F55" w:rsidP="00EA0F55">
      <w:pPr>
        <w:pStyle w:val="ListParagraph"/>
        <w:numPr>
          <w:ilvl w:val="0"/>
          <w:numId w:val="38"/>
        </w:numPr>
      </w:pPr>
      <w:r>
        <w:t>Surgery</w:t>
      </w:r>
      <w:r w:rsidR="00B94BE0">
        <w:t xml:space="preserve">, encompassing conventional excision or Mohs technique, performed in a mix of inpatient and outpatient </w:t>
      </w:r>
      <w:r>
        <w:t xml:space="preserve">settings, under either general or local anaesthesia </w:t>
      </w:r>
      <w:r w:rsidR="009D417E">
        <w:t xml:space="preserve">(local anaesthesia) </w:t>
      </w:r>
      <w:r w:rsidR="00B94BE0">
        <w:t>settings</w:t>
      </w:r>
    </w:p>
    <w:p w14:paraId="7A6C9563" w14:textId="77777777" w:rsidR="00EA0F55" w:rsidRDefault="00EA0F55" w:rsidP="00EA0F55">
      <w:pPr>
        <w:pStyle w:val="ListParagraph"/>
        <w:numPr>
          <w:ilvl w:val="0"/>
          <w:numId w:val="38"/>
        </w:numPr>
      </w:pPr>
      <w:r>
        <w:t xml:space="preserve">External beam radiotherapy (EBRT), frequently delivered over </w:t>
      </w:r>
      <w:proofErr w:type="gramStart"/>
      <w:r>
        <w:t>a number of</w:t>
      </w:r>
      <w:proofErr w:type="gramEnd"/>
      <w:r>
        <w:t xml:space="preserve"> sessions, usually in an outpatient setting </w:t>
      </w:r>
    </w:p>
    <w:p w14:paraId="6F7DFA06" w14:textId="5BB3C26A" w:rsidR="00B94BE0" w:rsidRDefault="00EA0F55" w:rsidP="00EA0F55">
      <w:pPr>
        <w:pStyle w:val="ListParagraph"/>
        <w:numPr>
          <w:ilvl w:val="0"/>
          <w:numId w:val="38"/>
        </w:numPr>
      </w:pPr>
      <w:r>
        <w:t>Other modes of brachytherapy,</w:t>
      </w:r>
      <w:r w:rsidR="00C46B26">
        <w:t xml:space="preserve"> </w:t>
      </w:r>
      <w:r>
        <w:t xml:space="preserve">including superficial, </w:t>
      </w:r>
      <w:proofErr w:type="gramStart"/>
      <w:r>
        <w:t>interstitial</w:t>
      </w:r>
      <w:proofErr w:type="gramEnd"/>
      <w:r>
        <w:t xml:space="preserve"> and electronic approaches, also usually provided in an outpatient setting.  </w:t>
      </w:r>
      <w:r w:rsidR="00C46B26">
        <w:t xml:space="preserve"> </w:t>
      </w:r>
    </w:p>
    <w:p w14:paraId="23BC97DF" w14:textId="6798E8C7" w:rsidR="00E60529" w:rsidRDefault="00B94BE0" w:rsidP="001B29A1">
      <w:pPr>
        <w:ind w:left="426"/>
      </w:pPr>
      <w:r w:rsidRPr="006B6D29">
        <w:t xml:space="preserve">Surgery is by far the </w:t>
      </w:r>
      <w:proofErr w:type="gramStart"/>
      <w:r w:rsidRPr="006B6D29">
        <w:t>most commonly used</w:t>
      </w:r>
      <w:proofErr w:type="gramEnd"/>
      <w:r w:rsidRPr="006B6D29">
        <w:t xml:space="preserve"> treatment for NMSC in Australia</w:t>
      </w:r>
      <w:r w:rsidR="00EA0F55" w:rsidRPr="006B6D29">
        <w:t xml:space="preserve"> and would be substituted to </w:t>
      </w:r>
      <w:r w:rsidR="006B6D29" w:rsidRPr="006B6D29">
        <w:t>a limited</w:t>
      </w:r>
      <w:r w:rsidR="00EA0F55" w:rsidRPr="006B6D29">
        <w:t xml:space="preserve"> extent by Rhenium-188 brachytherapy.  </w:t>
      </w:r>
      <w:r w:rsidR="006B6D29" w:rsidRPr="006B6D29">
        <w:t>T</w:t>
      </w:r>
      <w:r w:rsidR="00EA0F55" w:rsidRPr="006B6D29">
        <w:t xml:space="preserve">argeted feedback </w:t>
      </w:r>
      <w:r w:rsidR="0097708E" w:rsidRPr="006B6D29">
        <w:t xml:space="preserve">elicited </w:t>
      </w:r>
      <w:r w:rsidR="00EA0F55" w:rsidRPr="006B6D29">
        <w:t xml:space="preserve">from local specialist colleges and societies has </w:t>
      </w:r>
      <w:r w:rsidR="006B6D29" w:rsidRPr="006B6D29">
        <w:t xml:space="preserve">also suggested that </w:t>
      </w:r>
      <w:r w:rsidR="00EA0F55" w:rsidRPr="006B6D29">
        <w:t xml:space="preserve">Rhenium-188 therapy </w:t>
      </w:r>
      <w:r w:rsidR="0097708E" w:rsidRPr="006B6D29">
        <w:t xml:space="preserve">would be </w:t>
      </w:r>
      <w:r w:rsidR="00EA0F55" w:rsidRPr="006B6D29">
        <w:t xml:space="preserve">considered in situations where surgery </w:t>
      </w:r>
      <w:r w:rsidR="0097708E" w:rsidRPr="006B6D29">
        <w:t>is contraindicated or inappropriate, in which case other radiotherapy approaches</w:t>
      </w:r>
      <w:r w:rsidR="006B6D29" w:rsidRPr="006B6D29">
        <w:t xml:space="preserve">, such as </w:t>
      </w:r>
      <w:r w:rsidR="0097708E" w:rsidRPr="006B6D29">
        <w:t>EBRT or brachytherapy</w:t>
      </w:r>
      <w:r w:rsidR="006B6D29" w:rsidRPr="006B6D29">
        <w:t>,</w:t>
      </w:r>
      <w:r w:rsidR="0097708E" w:rsidRPr="006B6D29">
        <w:t xml:space="preserve"> may represent a more relevant comparator.</w:t>
      </w:r>
      <w:r w:rsidR="0097708E">
        <w:t xml:space="preserve">  </w:t>
      </w:r>
      <w:r w:rsidR="00EA0F55">
        <w:t xml:space="preserve"> </w:t>
      </w:r>
    </w:p>
    <w:p w14:paraId="04500685" w14:textId="212C24FA" w:rsidR="00B94BE0" w:rsidRPr="006B6D29" w:rsidRDefault="0097708E" w:rsidP="001B29A1">
      <w:pPr>
        <w:ind w:left="426"/>
      </w:pPr>
      <w:r>
        <w:t xml:space="preserve">Multiple other treatment options are also used in NMSC, including </w:t>
      </w:r>
      <w:r w:rsidR="00B94BE0">
        <w:t xml:space="preserve">cryotherapy, electrodessication and curettage, photodynamic therapy, or topical creams and gels including active agents such as imiquimod, diclofenac, or 5-fluroracil.  </w:t>
      </w:r>
      <w:r>
        <w:t xml:space="preserve">However, these would not typically be considered </w:t>
      </w:r>
      <w:r w:rsidR="006B6D29">
        <w:t xml:space="preserve">appropriate </w:t>
      </w:r>
      <w:r>
        <w:t>in the context of the target population</w:t>
      </w:r>
      <w:r w:rsidR="006B6D29">
        <w:t xml:space="preserve"> with difficult to treat </w:t>
      </w:r>
      <w:r>
        <w:t xml:space="preserve">and </w:t>
      </w:r>
      <w:r w:rsidR="006B6D29">
        <w:t xml:space="preserve">specialised secondary treatment </w:t>
      </w:r>
      <w:r>
        <w:t xml:space="preserve">setting and are </w:t>
      </w:r>
      <w:r w:rsidR="006B6D29">
        <w:t xml:space="preserve">therefore </w:t>
      </w:r>
      <w:r w:rsidR="006B6D29" w:rsidRPr="006B6D29">
        <w:t>not considered</w:t>
      </w:r>
      <w:r w:rsidRPr="006B6D29">
        <w:t xml:space="preserve"> </w:t>
      </w:r>
      <w:r w:rsidR="006B6D29" w:rsidRPr="006B6D29">
        <w:t xml:space="preserve">to be </w:t>
      </w:r>
      <w:r w:rsidRPr="006B6D29">
        <w:t>relevant comparators</w:t>
      </w:r>
      <w:r>
        <w:t xml:space="preserve"> </w:t>
      </w:r>
      <w:r w:rsidR="006B6D29">
        <w:t>for the current application</w:t>
      </w:r>
      <w:r>
        <w:t xml:space="preserve">.  </w:t>
      </w:r>
    </w:p>
    <w:p w14:paraId="151B069A" w14:textId="77777777" w:rsidR="00757232" w:rsidRDefault="00AF5D1E" w:rsidP="00530204">
      <w:pPr>
        <w:pStyle w:val="Heading2"/>
      </w:pPr>
      <w:r w:rsidRPr="00154B00">
        <w:lastRenderedPageBreak/>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48D90B73" w14:textId="65DF776D" w:rsidR="006A1038" w:rsidRDefault="00F87AAA"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11CF9687" w14:textId="322AD895" w:rsidR="000159B9" w:rsidRDefault="009D417E" w:rsidP="001B29A1">
      <w:pPr>
        <w:ind w:left="426"/>
      </w:pPr>
      <w:r>
        <w:t xml:space="preserve">Conventional excision: </w:t>
      </w:r>
      <w:r w:rsidR="00B94BE0">
        <w:t>31356, 31358, 31359</w:t>
      </w:r>
      <w:r>
        <w:t xml:space="preserve">, </w:t>
      </w:r>
      <w:r w:rsidRPr="009D417E">
        <w:t>31361, 31363, 31365, 31367, 31369</w:t>
      </w:r>
      <w:r>
        <w:t xml:space="preserve"> (See Note TN.8.22).  </w:t>
      </w:r>
    </w:p>
    <w:p w14:paraId="30C3A419" w14:textId="63E95B34" w:rsidR="009D417E" w:rsidRDefault="009D417E" w:rsidP="001B29A1">
      <w:pPr>
        <w:ind w:left="426"/>
      </w:pPr>
      <w:r>
        <w:t>Mohs surgery: 31000, 31001, 31002, 31003, 31004, 31005 (See Note TN.8.151)</w:t>
      </w:r>
    </w:p>
    <w:p w14:paraId="52B10C6E" w14:textId="12748801" w:rsidR="00970901" w:rsidRDefault="0097708E" w:rsidP="00970901">
      <w:pPr>
        <w:tabs>
          <w:tab w:val="left" w:pos="6774"/>
        </w:tabs>
        <w:ind w:left="426"/>
        <w:rPr>
          <w:szCs w:val="20"/>
        </w:rPr>
      </w:pPr>
      <w:r>
        <w:rPr>
          <w:szCs w:val="20"/>
        </w:rPr>
        <w:t xml:space="preserve">Radiotherapy: </w:t>
      </w:r>
      <w:r w:rsidRPr="0097708E">
        <w:rPr>
          <w:szCs w:val="20"/>
        </w:rPr>
        <w:t>15006</w:t>
      </w:r>
      <w:r>
        <w:rPr>
          <w:szCs w:val="20"/>
        </w:rPr>
        <w:t xml:space="preserve">, </w:t>
      </w:r>
      <w:r w:rsidR="00970901">
        <w:rPr>
          <w:szCs w:val="20"/>
        </w:rPr>
        <w:t xml:space="preserve">15513, </w:t>
      </w:r>
      <w:r w:rsidRPr="0097708E">
        <w:rPr>
          <w:szCs w:val="20"/>
        </w:rPr>
        <w:t>15112, 15115, 15224</w:t>
      </w:r>
      <w:r w:rsidR="00970901">
        <w:rPr>
          <w:szCs w:val="20"/>
        </w:rPr>
        <w:t xml:space="preserve">, </w:t>
      </w:r>
      <w:r w:rsidRPr="0097708E">
        <w:rPr>
          <w:szCs w:val="20"/>
        </w:rPr>
        <w:t>15254</w:t>
      </w:r>
      <w:r w:rsidR="00970901">
        <w:rPr>
          <w:szCs w:val="20"/>
        </w:rPr>
        <w:t xml:space="preserve"> (See Note TN.2.3)</w:t>
      </w:r>
    </w:p>
    <w:p w14:paraId="0A5CC8F0" w14:textId="28B6C43D" w:rsidR="0097708E" w:rsidRPr="00154B00" w:rsidRDefault="00970901" w:rsidP="004C2615">
      <w:pPr>
        <w:tabs>
          <w:tab w:val="left" w:pos="6774"/>
        </w:tabs>
        <w:ind w:left="426"/>
        <w:rPr>
          <w:szCs w:val="20"/>
        </w:rPr>
      </w:pPr>
      <w:r>
        <w:rPr>
          <w:szCs w:val="20"/>
        </w:rPr>
        <w:t xml:space="preserve">Brachytherapy: </w:t>
      </w:r>
      <w:r w:rsidR="004C2615">
        <w:rPr>
          <w:szCs w:val="20"/>
        </w:rPr>
        <w:t xml:space="preserve">15536, 15539, 15800, </w:t>
      </w:r>
      <w:r>
        <w:rPr>
          <w:szCs w:val="20"/>
        </w:rPr>
        <w:t>15850</w:t>
      </w:r>
      <w:r w:rsidR="004C2615">
        <w:rPr>
          <w:szCs w:val="20"/>
        </w:rPr>
        <w:t xml:space="preserve"> (See Note TN.8.56)</w:t>
      </w:r>
      <w:r>
        <w:rPr>
          <w:szCs w:val="20"/>
        </w:rPr>
        <w:tab/>
      </w:r>
    </w:p>
    <w:p w14:paraId="63CE8252" w14:textId="461B2CC0"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an easy to follow flowchart 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46A765C" w14:textId="41D67F7B" w:rsidR="003433D1" w:rsidRDefault="00F41208" w:rsidP="001B29A1">
      <w:pPr>
        <w:ind w:left="426"/>
        <w:rPr>
          <w:b/>
          <w:szCs w:val="20"/>
        </w:rPr>
      </w:pPr>
      <w:r>
        <w:t>M</w:t>
      </w:r>
      <w:r w:rsidR="003177BB">
        <w:t xml:space="preserve">anagement </w:t>
      </w:r>
      <w:r w:rsidR="00C46B26">
        <w:t xml:space="preserve">of NMSC patients </w:t>
      </w:r>
      <w:r>
        <w:t xml:space="preserve">after treatment may </w:t>
      </w:r>
      <w:r w:rsidR="00C46B26">
        <w:t xml:space="preserve">include </w:t>
      </w:r>
      <w:r w:rsidR="003177BB">
        <w:t xml:space="preserve">further histopathologic assessment of the tumour sample, </w:t>
      </w:r>
      <w:r w:rsidR="00C46B26">
        <w:t>infection control</w:t>
      </w:r>
      <w:r w:rsidR="00687206">
        <w:t>, pain management,</w:t>
      </w:r>
      <w:r w:rsidR="00C46B26">
        <w:t xml:space="preserve"> </w:t>
      </w:r>
      <w:r>
        <w:t xml:space="preserve">infection control, </w:t>
      </w:r>
      <w:r w:rsidR="003177BB">
        <w:t>cosmetic repair of the lesion site</w:t>
      </w:r>
      <w:r>
        <w:t>,</w:t>
      </w:r>
      <w:r w:rsidR="00BD2DCA">
        <w:t xml:space="preserve"> </w:t>
      </w:r>
      <w:r w:rsidR="003177BB">
        <w:t xml:space="preserve">individually tailored follow-up to monitor healing and </w:t>
      </w:r>
      <w:r w:rsidR="0049188A">
        <w:t>remission, and appropriate re-treatment in the event of recurrence</w:t>
      </w:r>
      <w:r w:rsidR="003177BB">
        <w:t xml:space="preserve">. </w:t>
      </w:r>
    </w:p>
    <w:p w14:paraId="034B507D"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B5B6D33"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50F66">
        <w:rPr>
          <w:szCs w:val="20"/>
        </w:rPr>
      </w:r>
      <w:r w:rsidR="00B50F66">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7D793AA8" w14:textId="1A027420" w:rsidR="001B29A1" w:rsidRDefault="00F87AA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2ECC3CFD"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6C4C766C" w14:textId="7D95EE28" w:rsidR="003433D1" w:rsidRPr="001B29A1" w:rsidRDefault="007F7642" w:rsidP="001B29A1">
      <w:pPr>
        <w:ind w:left="426"/>
        <w:rPr>
          <w:szCs w:val="20"/>
        </w:rPr>
      </w:pPr>
      <w:r>
        <w:t xml:space="preserve">Substitution is expected to be </w:t>
      </w:r>
      <w:r w:rsidR="00F41208">
        <w:t xml:space="preserve">extremely cautious and </w:t>
      </w:r>
      <w:r>
        <w:t xml:space="preserve">gradual, reaching only around 1% NMSC </w:t>
      </w:r>
      <w:r w:rsidR="00F41208">
        <w:t xml:space="preserve">treatments </w:t>
      </w:r>
      <w:r>
        <w:t xml:space="preserve">within the first five years of listing on the MBS.  This gradual predicted uptake is due to a combination of the novelty of the procedure, limited current awareness and experience of it in Australian practice, training and capital equipment requirements, established clinical place, effectiveness and safety of the comparator service and the proposed </w:t>
      </w:r>
      <w:r w:rsidR="00F41208">
        <w:t xml:space="preserve">highly </w:t>
      </w:r>
      <w:r>
        <w:t xml:space="preserve">restricted MBS eligibility criteria. </w:t>
      </w:r>
    </w:p>
    <w:p w14:paraId="4C67F622"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 of</w:t>
      </w:r>
      <w:proofErr w:type="gramEnd"/>
      <w:r w:rsidR="00F33F1A" w:rsidRPr="00154B00">
        <w:t xml:space="preserve">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B5A5B94" w14:textId="2141D85D" w:rsidR="0054594B" w:rsidRDefault="007F7642" w:rsidP="00D10B47">
      <w:pPr>
        <w:pStyle w:val="ListParagraph"/>
        <w:ind w:left="360"/>
        <w:rPr>
          <w:b/>
          <w:szCs w:val="20"/>
        </w:rPr>
      </w:pPr>
      <w:r w:rsidRPr="006B6D29">
        <w:t xml:space="preserve">The only significant changes to clinical management would be substitution of Rhenium-188 brachytherapy </w:t>
      </w:r>
      <w:r w:rsidR="00F41208" w:rsidRPr="006B6D29">
        <w:t>for other surgical and radiotherapy approaches in a small minority of patients</w:t>
      </w:r>
      <w:r w:rsidRPr="006B6D29">
        <w:t xml:space="preserve">. </w:t>
      </w:r>
      <w:r w:rsidR="00F41208" w:rsidRPr="006B6D29">
        <w:t>Subsequent f</w:t>
      </w:r>
      <w:r w:rsidR="005B6735" w:rsidRPr="006B6D29">
        <w:t>ollow up requirements and recurrence rates are expected to be broadly similar</w:t>
      </w:r>
      <w:r w:rsidR="00F41208" w:rsidRPr="006B6D29">
        <w:t xml:space="preserve"> across the interventions</w:t>
      </w:r>
      <w:r w:rsidR="005B6735" w:rsidRPr="006B6D29">
        <w:t>.</w:t>
      </w:r>
      <w:r w:rsidR="005B6735">
        <w:t xml:space="preserve">  </w:t>
      </w:r>
    </w:p>
    <w:p w14:paraId="3749B361" w14:textId="77777777" w:rsidR="00DF0D47" w:rsidRPr="00881F93" w:rsidRDefault="005C3AE7" w:rsidP="00B30741">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21735DCB"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0E4F0C33" w14:textId="41C99C9C" w:rsidR="006B32BA" w:rsidRDefault="005B6735" w:rsidP="00E039D3">
      <w:pPr>
        <w:ind w:left="426"/>
        <w:jc w:val="both"/>
      </w:pPr>
      <w:r>
        <w:t xml:space="preserve">Rhenium-188 brachytherapy offers a new modality for </w:t>
      </w:r>
      <w:r w:rsidR="006B6D29">
        <w:t>management of difficult to treat</w:t>
      </w:r>
      <w:r>
        <w:t xml:space="preserve"> NMSC</w:t>
      </w:r>
      <w:r w:rsidR="006B6D29">
        <w:t xml:space="preserve"> lesions</w:t>
      </w:r>
      <w:r>
        <w:t>, which is non-invasive,</w:t>
      </w:r>
      <w:r w:rsidR="00E039D3">
        <w:t xml:space="preserve"> painless,</w:t>
      </w:r>
      <w:r>
        <w:t xml:space="preserve"> can </w:t>
      </w:r>
      <w:r w:rsidR="006573F9">
        <w:t xml:space="preserve">usually </w:t>
      </w:r>
      <w:r>
        <w:t xml:space="preserve">be delivered </w:t>
      </w:r>
      <w:r w:rsidR="006573F9">
        <w:t xml:space="preserve">in a single session, </w:t>
      </w:r>
      <w:r>
        <w:t>over a short period of time, without the need for anaesthesia, in an outpatient setting</w:t>
      </w:r>
      <w:r w:rsidR="006573F9">
        <w:t xml:space="preserve">. </w:t>
      </w:r>
      <w:r w:rsidR="006B32BA">
        <w:t xml:space="preserve"> </w:t>
      </w:r>
      <w:r w:rsidR="00E05841">
        <w:t>It</w:t>
      </w:r>
      <w:r w:rsidR="006B32BA">
        <w:t xml:space="preserve"> will be particularly beneficial for lesions </w:t>
      </w:r>
      <w:r w:rsidR="006B6D29">
        <w:t>located on areas such as the</w:t>
      </w:r>
      <w:r w:rsidR="006B32BA">
        <w:t xml:space="preserve"> </w:t>
      </w:r>
      <w:r w:rsidR="006B6D29" w:rsidRPr="006B6D29">
        <w:t xml:space="preserve">nose, eyebrow, lip, ear, digit, genitalia, </w:t>
      </w:r>
      <w:proofErr w:type="gramStart"/>
      <w:r w:rsidR="006B6D29" w:rsidRPr="006B6D29">
        <w:t>shin</w:t>
      </w:r>
      <w:proofErr w:type="gramEnd"/>
      <w:r w:rsidR="006B6D29" w:rsidRPr="006B6D29">
        <w:t xml:space="preserve"> or collarbone</w:t>
      </w:r>
      <w:r w:rsidR="006B6D29">
        <w:t xml:space="preserve">, or for patients who are otherwise deemed unsuitable for treatment by surgery and/or EBRT.  </w:t>
      </w:r>
      <w:r w:rsidR="006B32BA">
        <w:t xml:space="preserve">  </w:t>
      </w:r>
    </w:p>
    <w:p w14:paraId="61E1E825" w14:textId="1963F537" w:rsidR="004E3CC7" w:rsidRPr="00154B00" w:rsidRDefault="006B32BA" w:rsidP="00E039D3">
      <w:pPr>
        <w:ind w:left="426"/>
        <w:jc w:val="both"/>
        <w:rPr>
          <w:szCs w:val="20"/>
        </w:rPr>
      </w:pPr>
      <w:r>
        <w:t xml:space="preserve">Clinical trials have shown the procedure to deliver </w:t>
      </w:r>
      <w:r w:rsidR="00F329BF">
        <w:t xml:space="preserve">remission rates similar </w:t>
      </w:r>
      <w:r>
        <w:t xml:space="preserve">those reported for </w:t>
      </w:r>
      <w:r w:rsidR="00F41208">
        <w:t>surgery and radiotherapy</w:t>
      </w:r>
      <w:r w:rsidR="00F329BF">
        <w:t xml:space="preserve">, </w:t>
      </w:r>
      <w:r>
        <w:t xml:space="preserve">up to 3 years after treatment, </w:t>
      </w:r>
      <w:r w:rsidR="00F41208">
        <w:t xml:space="preserve">in a single outpatient treatment, </w:t>
      </w:r>
      <w:r w:rsidR="00F329BF">
        <w:t xml:space="preserve">without functional mutilation or scarring and associated </w:t>
      </w:r>
      <w:r w:rsidR="00F41208">
        <w:t>need</w:t>
      </w:r>
      <w:r w:rsidR="00F329BF">
        <w:t xml:space="preserve"> for cosmetic repair.</w:t>
      </w:r>
      <w:r w:rsidR="00E039D3">
        <w:t xml:space="preserve"> </w:t>
      </w:r>
      <w:r>
        <w:t xml:space="preserve"> The net impact of these benefits for patients, in terms anaesthesia and infection risk, procedural and post-operative pain, disfiguration and scarring, health related quality of life, healthcare costs, </w:t>
      </w:r>
      <w:r w:rsidR="00047C4C">
        <w:t xml:space="preserve">and </w:t>
      </w:r>
      <w:r>
        <w:t>functional and economic wellbeing are very significant</w:t>
      </w:r>
      <w:r w:rsidR="00C27A84">
        <w:t xml:space="preserve">. </w:t>
      </w:r>
    </w:p>
    <w:p w14:paraId="4274DC99" w14:textId="77777777" w:rsidR="00B30741" w:rsidRDefault="00B30741">
      <w:pPr>
        <w:spacing w:before="0" w:after="200" w:line="276" w:lineRule="auto"/>
        <w:rPr>
          <w:b/>
          <w:szCs w:val="20"/>
        </w:rPr>
      </w:pPr>
      <w:r>
        <w:br w:type="page"/>
      </w:r>
    </w:p>
    <w:p w14:paraId="3293C482" w14:textId="03287749" w:rsidR="004E3CC7" w:rsidRPr="00154B00" w:rsidRDefault="004E3CC7" w:rsidP="00530204">
      <w:pPr>
        <w:pStyle w:val="Heading2"/>
      </w:pPr>
      <w:r w:rsidRPr="00154B00">
        <w:lastRenderedPageBreak/>
        <w:t xml:space="preserve">Please advise if the </w:t>
      </w:r>
      <w:r w:rsidR="00CF5AD8" w:rsidRPr="00092580">
        <w:t>overall</w:t>
      </w:r>
      <w:r w:rsidR="00CF5AD8">
        <w:t xml:space="preserve"> </w:t>
      </w:r>
      <w:r w:rsidRPr="00154B00">
        <w:t>clinical claim is for:</w:t>
      </w:r>
    </w:p>
    <w:p w14:paraId="69E68CBC" w14:textId="5F518931" w:rsidR="001B29A1" w:rsidRPr="001B29A1" w:rsidRDefault="00F4120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1B29A1" w:rsidRPr="001B29A1">
        <w:rPr>
          <w:szCs w:val="20"/>
        </w:rPr>
        <w:t xml:space="preserve"> Superiority</w:t>
      </w:r>
      <w:r>
        <w:rPr>
          <w:szCs w:val="20"/>
        </w:rPr>
        <w:t xml:space="preserve"> (in terms of patient reported outcomes and health related quality of life)</w:t>
      </w:r>
      <w:r w:rsidR="001B29A1" w:rsidRPr="001B29A1">
        <w:rPr>
          <w:szCs w:val="20"/>
        </w:rPr>
        <w:tab/>
      </w:r>
    </w:p>
    <w:p w14:paraId="4CB1FC83" w14:textId="490F3454" w:rsidR="004E3CC7" w:rsidRPr="001B29A1" w:rsidRDefault="00F4120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0F66">
        <w:rPr>
          <w:szCs w:val="20"/>
        </w:rPr>
      </w:r>
      <w:r w:rsidR="00B50F66">
        <w:rPr>
          <w:szCs w:val="20"/>
        </w:rPr>
        <w:fldChar w:fldCharType="separate"/>
      </w:r>
      <w:r>
        <w:rPr>
          <w:szCs w:val="20"/>
        </w:rPr>
        <w:fldChar w:fldCharType="end"/>
      </w:r>
      <w:r w:rsidR="001B29A1" w:rsidRPr="001B29A1">
        <w:rPr>
          <w:szCs w:val="20"/>
        </w:rPr>
        <w:t xml:space="preserve"> Non-inferiority</w:t>
      </w:r>
      <w:r>
        <w:rPr>
          <w:szCs w:val="20"/>
        </w:rPr>
        <w:t xml:space="preserve"> (in terms of remission and recurrence rates)</w:t>
      </w:r>
      <w:r w:rsidR="001B29A1" w:rsidRPr="001B29A1">
        <w:rPr>
          <w:szCs w:val="20"/>
        </w:rPr>
        <w:tab/>
      </w:r>
    </w:p>
    <w:p w14:paraId="6330FCDD"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69618ADE" w14:textId="61943E3F"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r w:rsidR="00F329BF">
        <w:t xml:space="preserve">Adverse reactions to the respective procedures, post-procedure infections, scarring and functional mutilation, secondary corrective procedures  </w:t>
      </w:r>
    </w:p>
    <w:p w14:paraId="5E1945A8"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0A922429" w14:textId="18A18DD6"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r w:rsidR="00F329BF">
        <w:t xml:space="preserve">Remission and recurrence, </w:t>
      </w:r>
      <w:proofErr w:type="gramStart"/>
      <w:r w:rsidR="00F329BF">
        <w:t>pain</w:t>
      </w:r>
      <w:proofErr w:type="gramEnd"/>
      <w:r w:rsidR="00F329BF">
        <w:t xml:space="preserve"> and discomfort, </w:t>
      </w:r>
      <w:r w:rsidR="00047C4C">
        <w:t xml:space="preserve">scarring and disfiguration, </w:t>
      </w:r>
      <w:r w:rsidR="00F329BF">
        <w:t>health related quality of life</w:t>
      </w:r>
      <w:r w:rsidR="00047C4C">
        <w:t>, other healthcare resource use</w:t>
      </w:r>
    </w:p>
    <w:p w14:paraId="2382027A"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4DA5C408"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B5E4C35"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B9E7D46" w14:textId="0C92F8BD" w:rsidR="006C74B1" w:rsidRPr="00154B00" w:rsidRDefault="00B247B3" w:rsidP="00C27A84">
      <w:pPr>
        <w:ind w:left="426"/>
        <w:jc w:val="both"/>
        <w:rPr>
          <w:szCs w:val="20"/>
        </w:rPr>
      </w:pPr>
      <w:r>
        <w:t xml:space="preserve">The epidemiology of NMSC in Australia is </w:t>
      </w:r>
      <w:r w:rsidR="000A2F10">
        <w:t>incompletely</w:t>
      </w:r>
      <w:r>
        <w:t xml:space="preserve"> understood, as these lesions are not generally reported in </w:t>
      </w:r>
      <w:r w:rsidR="000A2F10">
        <w:t xml:space="preserve">State/Territory or National </w:t>
      </w:r>
      <w:r>
        <w:t xml:space="preserve">cancer registries. </w:t>
      </w:r>
      <w:r w:rsidR="000A2F10">
        <w:t xml:space="preserve">However, both incidence and prevalence are universally recognised as being high, </w:t>
      </w:r>
      <w:r w:rsidR="00DA7EF3">
        <w:t xml:space="preserve">and </w:t>
      </w:r>
      <w:r w:rsidR="000A2F10">
        <w:t xml:space="preserve">age specific rates </w:t>
      </w:r>
      <w:r w:rsidR="00DA7EF3">
        <w:t xml:space="preserve">to be </w:t>
      </w:r>
      <w:r w:rsidR="000A2F10">
        <w:t xml:space="preserve">among the highest in the world. Multiple </w:t>
      </w:r>
      <w:r w:rsidR="00DA7EF3">
        <w:t xml:space="preserve">published </w:t>
      </w:r>
      <w:r w:rsidR="000A2F10">
        <w:t xml:space="preserve">studies are available, which have used different methodologies and </w:t>
      </w:r>
      <w:r w:rsidR="00DA7EF3">
        <w:t>report</w:t>
      </w:r>
      <w:r w:rsidR="000A2F10">
        <w:t xml:space="preserve"> </w:t>
      </w:r>
      <w:r w:rsidR="00DA7EF3">
        <w:t xml:space="preserve">unsurprisingly </w:t>
      </w:r>
      <w:r w:rsidR="000A2F10">
        <w:t>heterogeneous results</w:t>
      </w:r>
      <w:r w:rsidR="00DA7EF3">
        <w:t xml:space="preserve"> (</w:t>
      </w:r>
      <w:proofErr w:type="spellStart"/>
      <w:r w:rsidR="00DA7EF3">
        <w:t>Perera</w:t>
      </w:r>
      <w:proofErr w:type="spellEnd"/>
      <w:r w:rsidR="00DA7EF3">
        <w:t xml:space="preserve"> et al, 2015)</w:t>
      </w:r>
      <w:r w:rsidR="000A2F10">
        <w:t>.  A recent analysis of Medicare sample data estimated a person-based incidence of 1</w:t>
      </w:r>
      <w:r w:rsidR="00DA7EF3">
        <w:t>,</w:t>
      </w:r>
      <w:r w:rsidR="000A2F10">
        <w:t xml:space="preserve">531 and a </w:t>
      </w:r>
      <w:proofErr w:type="gramStart"/>
      <w:r w:rsidR="000A2F10">
        <w:t>lesion based</w:t>
      </w:r>
      <w:proofErr w:type="gramEnd"/>
      <w:r w:rsidR="000A2F10">
        <w:t xml:space="preserve"> incidence of</w:t>
      </w:r>
      <w:r w:rsidR="00DA7EF3">
        <w:t xml:space="preserve"> 3,155 per 100,000 persons aged over 20 years (</w:t>
      </w:r>
      <w:r w:rsidR="007127D6">
        <w:t xml:space="preserve">i.e. </w:t>
      </w:r>
      <w:r w:rsidR="00DA7EF3">
        <w:rPr>
          <w:rFonts w:cstheme="minorHAnsi"/>
        </w:rPr>
        <w:t>≈</w:t>
      </w:r>
      <w:r w:rsidR="00DA7EF3">
        <w:t xml:space="preserve">300,000 and </w:t>
      </w:r>
      <w:r w:rsidR="00DA7EF3">
        <w:rPr>
          <w:rFonts w:cstheme="minorHAnsi"/>
        </w:rPr>
        <w:t>≈</w:t>
      </w:r>
      <w:r w:rsidR="00DA7EF3">
        <w:t>600,000 cases per year); (</w:t>
      </w:r>
      <w:proofErr w:type="spellStart"/>
      <w:r w:rsidR="00DA7EF3">
        <w:t>Pandeya</w:t>
      </w:r>
      <w:proofErr w:type="spellEnd"/>
      <w:r w:rsidR="00DA7EF3">
        <w:t xml:space="preserve"> et al, 2017).  Using different source studies, Cancer Council Australia guidelines attributed 939,000 treatment episodes to NMSC during 2015.  </w:t>
      </w:r>
      <w:r w:rsidR="007127D6">
        <w:t xml:space="preserve">It is unknown at this stage what proportion of cases might meet the proposed MBS eligibility criteria.  </w:t>
      </w:r>
      <w:r w:rsidR="00C27A84">
        <w:t xml:space="preserve">It is the intention of </w:t>
      </w:r>
      <w:proofErr w:type="spellStart"/>
      <w:r w:rsidR="00C27A84">
        <w:t>Oncobeta</w:t>
      </w:r>
      <w:proofErr w:type="spellEnd"/>
      <w:r w:rsidR="00C27A84">
        <w:t xml:space="preserve"> </w:t>
      </w:r>
      <w:r w:rsidR="00D80F2F">
        <w:t>to commence a national Registry for NMSC. This will allow a better understanding of disease epidemiology as well the utility of Rhenium</w:t>
      </w:r>
      <w:r w:rsidR="00BE40EA">
        <w:t xml:space="preserve">-188 Brachytherapy. </w:t>
      </w:r>
    </w:p>
    <w:p w14:paraId="2A38AF30" w14:textId="4AC24064" w:rsidR="00382407"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192D0683" w14:textId="543561B8" w:rsidR="00B30741" w:rsidRPr="00B30741" w:rsidRDefault="00B30741" w:rsidP="00B30741">
      <w:pPr>
        <w:ind w:left="360"/>
      </w:pPr>
      <w:proofErr w:type="gramStart"/>
      <w:r w:rsidRPr="00B30741">
        <w:t>The majority of</w:t>
      </w:r>
      <w:proofErr w:type="gramEnd"/>
      <w:r w:rsidRPr="00B30741">
        <w:t xml:space="preserve"> patients would receive only one session of treatment per lifetime and very few would receive more than two sessions per lifetime.  </w:t>
      </w:r>
    </w:p>
    <w:p w14:paraId="781B24FA" w14:textId="1F79826E" w:rsidR="00382407" w:rsidRDefault="00382407" w:rsidP="00530204">
      <w:pPr>
        <w:pStyle w:val="Heading2"/>
      </w:pPr>
      <w:r w:rsidRPr="00154B00">
        <w:t>How many years would the proposed medical service</w:t>
      </w:r>
      <w:r w:rsidR="005A58BA">
        <w:t>(s)</w:t>
      </w:r>
      <w:r w:rsidRPr="00154B00">
        <w:t xml:space="preserve"> be required for the patient?</w:t>
      </w:r>
    </w:p>
    <w:p w14:paraId="138D8AA2" w14:textId="4383A548" w:rsidR="00B30741" w:rsidRPr="00B30741" w:rsidRDefault="00B30741" w:rsidP="00B30741">
      <w:pPr>
        <w:ind w:left="360"/>
      </w:pPr>
      <w:r w:rsidRPr="00B30741">
        <w:t xml:space="preserve">A single treatment session will be definitive in most cases, however patients may present subsequently with new lesions, while the possibility of recurrence also cannot be excluded.  </w:t>
      </w:r>
    </w:p>
    <w:p w14:paraId="29E539E7"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9EB0A37" w14:textId="3DA14CA7" w:rsidR="00AE1188" w:rsidRPr="00154B00" w:rsidRDefault="00B30741" w:rsidP="00AE1188">
      <w:pPr>
        <w:ind w:left="426"/>
        <w:rPr>
          <w:szCs w:val="20"/>
        </w:rPr>
      </w:pPr>
      <w:r>
        <w:t>Approximately 500</w:t>
      </w:r>
    </w:p>
    <w:p w14:paraId="28F3BBC5"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37A0A742" w14:textId="2DE21B59" w:rsidR="00B87EF6" w:rsidRDefault="00B87EF6" w:rsidP="00B87EF6">
      <w:pPr>
        <w:ind w:left="426"/>
        <w:rPr>
          <w:noProof/>
        </w:rPr>
      </w:pPr>
      <w:r w:rsidRPr="00B87EF6">
        <w:rPr>
          <w:noProof/>
        </w:rPr>
        <w:t xml:space="preserve">Year 2 ≈ </w:t>
      </w:r>
      <w:r w:rsidR="007F0F24">
        <w:rPr>
          <w:noProof/>
        </w:rPr>
        <w:t>1,000</w:t>
      </w:r>
      <w:r w:rsidRPr="00B87EF6">
        <w:rPr>
          <w:noProof/>
        </w:rPr>
        <w:t xml:space="preserve">; Year 3 ≈ </w:t>
      </w:r>
      <w:r w:rsidR="007F0F24">
        <w:rPr>
          <w:noProof/>
        </w:rPr>
        <w:t>2</w:t>
      </w:r>
      <w:r w:rsidRPr="00B87EF6">
        <w:rPr>
          <w:noProof/>
        </w:rPr>
        <w:t xml:space="preserve">,000; Year 4 ≈ </w:t>
      </w:r>
      <w:r w:rsidR="007F0F24">
        <w:rPr>
          <w:noProof/>
        </w:rPr>
        <w:t>4,000</w:t>
      </w:r>
      <w:r>
        <w:rPr>
          <w:noProof/>
        </w:rPr>
        <w:t>.</w:t>
      </w:r>
    </w:p>
    <w:p w14:paraId="29773B9A" w14:textId="1616F905" w:rsidR="001B171D" w:rsidRPr="00154B00" w:rsidRDefault="00B87EF6" w:rsidP="00B87EF6">
      <w:pPr>
        <w:ind w:left="426"/>
        <w:rPr>
          <w:noProof/>
        </w:rPr>
      </w:pPr>
      <w:r w:rsidRPr="00B87EF6">
        <w:rPr>
          <w:noProof/>
        </w:rPr>
        <w:t>In addition to proposed eligibility criteria for the MBS item, the main constraints on uptake will be awareness of and experience/t</w:t>
      </w:r>
      <w:r>
        <w:rPr>
          <w:noProof/>
        </w:rPr>
        <w:t xml:space="preserve">raining in </w:t>
      </w:r>
      <w:r w:rsidRPr="00B87EF6">
        <w:rPr>
          <w:noProof/>
        </w:rPr>
        <w:t xml:space="preserve">the new </w:t>
      </w:r>
      <w:r>
        <w:rPr>
          <w:noProof/>
        </w:rPr>
        <w:t>procedure</w:t>
      </w:r>
      <w:r w:rsidRPr="00B87EF6">
        <w:rPr>
          <w:noProof/>
        </w:rPr>
        <w:t xml:space="preserve"> and availability of the capital equipment.  </w:t>
      </w:r>
    </w:p>
    <w:p w14:paraId="5E363DEA" w14:textId="77777777" w:rsidR="003433D1" w:rsidRDefault="003433D1">
      <w:pPr>
        <w:rPr>
          <w:b/>
          <w:sz w:val="32"/>
          <w:szCs w:val="32"/>
        </w:rPr>
      </w:pPr>
      <w:r>
        <w:rPr>
          <w:b/>
          <w:sz w:val="32"/>
          <w:szCs w:val="32"/>
        </w:rPr>
        <w:br w:type="page"/>
      </w:r>
    </w:p>
    <w:p w14:paraId="61F211F9"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1EA860BD"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2C3FA2ED" w14:textId="093B49BC" w:rsidR="00DF1BAC" w:rsidRDefault="00DF1BAC" w:rsidP="00AE1188">
      <w:pPr>
        <w:ind w:left="426"/>
      </w:pPr>
      <w:r>
        <w:t xml:space="preserve">It is proposed that the MBS item would include the acquisition cost for the single use consumable items, and the healthcare practitioner time involved in delivering the service.  Costs for the capital equipment and multi-use consumables and more general clinic infrastructure would presumably be excluded.  </w:t>
      </w:r>
    </w:p>
    <w:p w14:paraId="434DB682" w14:textId="72215670" w:rsidR="00E545E6" w:rsidRDefault="008F3E9A" w:rsidP="00DF1BAC">
      <w:pPr>
        <w:ind w:left="426"/>
      </w:pPr>
      <w:r>
        <w:t xml:space="preserve">The cost of one </w:t>
      </w:r>
      <w:proofErr w:type="spellStart"/>
      <w:r>
        <w:t>carpoule</w:t>
      </w:r>
      <w:proofErr w:type="spellEnd"/>
      <w:r>
        <w:t xml:space="preserve"> containing the Rhenium-188 compound will be approximately</w:t>
      </w:r>
      <w:r w:rsidR="00B60D04">
        <w:t xml:space="preserve"> REDACTED</w:t>
      </w:r>
      <w:r>
        <w:t xml:space="preserve">.  This </w:t>
      </w:r>
      <w:proofErr w:type="spellStart"/>
      <w:r>
        <w:t>carpoule</w:t>
      </w:r>
      <w:proofErr w:type="spellEnd"/>
      <w:r>
        <w:t xml:space="preserve"> contains sufficient material for a treatment area of approximately 25 cm</w:t>
      </w:r>
      <w:r w:rsidRPr="008F3E9A">
        <w:rPr>
          <w:vertAlign w:val="superscript"/>
        </w:rPr>
        <w:t>2</w:t>
      </w:r>
      <w:r>
        <w:t>.  Depending on the specific caseload on a given day, that could encompass 25 patients each with 1 cm</w:t>
      </w:r>
      <w:r w:rsidRPr="008F3E9A">
        <w:rPr>
          <w:vertAlign w:val="superscript"/>
        </w:rPr>
        <w:t>2</w:t>
      </w:r>
      <w:r>
        <w:t xml:space="preserve"> lesions or 3 patients each with lesions totalling 8.3 cm</w:t>
      </w:r>
      <w:r w:rsidRPr="008F3E9A">
        <w:rPr>
          <w:vertAlign w:val="superscript"/>
        </w:rPr>
        <w:t>2</w:t>
      </w:r>
      <w:r>
        <w:t xml:space="preserve">.  However, on average one </w:t>
      </w:r>
      <w:proofErr w:type="spellStart"/>
      <w:r>
        <w:t>carpoule</w:t>
      </w:r>
      <w:proofErr w:type="spellEnd"/>
      <w:r>
        <w:t xml:space="preserve"> treats </w:t>
      </w:r>
      <w:r w:rsidRPr="00047C4C">
        <w:t xml:space="preserve">approximately 4-6 patients.  </w:t>
      </w:r>
      <w:r w:rsidR="00DF1BAC" w:rsidRPr="00047C4C">
        <w:t xml:space="preserve">The cost of one 15 x 20 cm sheet of protective foil </w:t>
      </w:r>
      <w:r w:rsidR="00E545E6" w:rsidRPr="00047C4C">
        <w:t>(300 cm</w:t>
      </w:r>
      <w:r w:rsidR="00E545E6" w:rsidRPr="00047C4C">
        <w:rPr>
          <w:vertAlign w:val="superscript"/>
        </w:rPr>
        <w:t>2</w:t>
      </w:r>
      <w:r w:rsidR="00E545E6" w:rsidRPr="00047C4C">
        <w:t>) w</w:t>
      </w:r>
      <w:r w:rsidR="00DF1BAC" w:rsidRPr="00047C4C">
        <w:t xml:space="preserve">ill be approximately $AU </w:t>
      </w:r>
      <w:r w:rsidR="00124A24" w:rsidRPr="00047C4C">
        <w:t>6</w:t>
      </w:r>
      <w:r w:rsidR="00C73859" w:rsidRPr="00047C4C">
        <w:t xml:space="preserve">.23.    </w:t>
      </w:r>
    </w:p>
    <w:p w14:paraId="08277A85" w14:textId="12D70116" w:rsidR="008F3E9A" w:rsidRPr="00DF1BAC" w:rsidRDefault="00E545E6" w:rsidP="00DF1BAC">
      <w:pPr>
        <w:ind w:left="426"/>
      </w:pPr>
      <w:r>
        <w:t xml:space="preserve">Defining appropriate local costs for the healthcare practitioner time involved in delivering the service in Australia will require further consultation with relevant clinical groups.  </w:t>
      </w:r>
      <w:proofErr w:type="gramStart"/>
      <w:r>
        <w:t>However</w:t>
      </w:r>
      <w:proofErr w:type="gramEnd"/>
      <w:r>
        <w:t xml:space="preserve"> in Europe these are around </w:t>
      </w:r>
      <w:r w:rsidR="00BA00CE">
        <w:rPr>
          <w:rFonts w:cstheme="minorHAnsi"/>
        </w:rPr>
        <w:t>REDACTED</w:t>
      </w:r>
      <w:r>
        <w:t xml:space="preserve"> for the first lesion treated and </w:t>
      </w:r>
      <w:r w:rsidR="00BA00CE">
        <w:rPr>
          <w:rFonts w:cstheme="minorHAnsi"/>
        </w:rPr>
        <w:t>REDACTED</w:t>
      </w:r>
      <w:r>
        <w:t xml:space="preserve"> for each additional lesion treated on a given day.    </w:t>
      </w:r>
    </w:p>
    <w:p w14:paraId="14D051C6"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6DDC9A3" w14:textId="63291F5F" w:rsidR="00951933" w:rsidRDefault="00E545E6" w:rsidP="00AE1188">
      <w:pPr>
        <w:ind w:left="426"/>
        <w:rPr>
          <w:b/>
          <w:szCs w:val="20"/>
        </w:rPr>
      </w:pPr>
      <w:r>
        <w:t xml:space="preserve">Treatment time varies based on the number and size of lesions being treated, </w:t>
      </w:r>
      <w:r w:rsidR="00047C4C">
        <w:t xml:space="preserve">however the average is around 45 minutes and maximum around </w:t>
      </w:r>
      <w:r w:rsidR="008470D6">
        <w:t>180 minutes</w:t>
      </w:r>
      <w:r w:rsidR="00047C4C">
        <w:t>.  Some a</w:t>
      </w:r>
      <w:r w:rsidR="00DA1B72">
        <w:t>dditional time is required for preparation of the patient</w:t>
      </w:r>
      <w:r w:rsidR="00047C4C">
        <w:t xml:space="preserve"> </w:t>
      </w:r>
      <w:r w:rsidR="00DA1B72">
        <w:t xml:space="preserve">and </w:t>
      </w:r>
      <w:r>
        <w:t xml:space="preserve">any </w:t>
      </w:r>
      <w:r w:rsidR="00DA1B72">
        <w:t xml:space="preserve">post-procedure </w:t>
      </w:r>
      <w:r>
        <w:t xml:space="preserve">monitoring.  </w:t>
      </w:r>
      <w:r w:rsidR="003A1D85">
        <w:t xml:space="preserve">The clinical workflow typically involves a dermatologist, specialist nurse/technician and nuclear medicine physician or radiation oncologist.  </w:t>
      </w:r>
    </w:p>
    <w:p w14:paraId="558D283D"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13A7D1CE" w14:textId="59D49D67" w:rsidR="00127784" w:rsidRDefault="00D159DD" w:rsidP="00687206">
      <w:pPr>
        <w:spacing w:before="0" w:after="60"/>
        <w:ind w:left="425"/>
      </w:pPr>
      <w:r>
        <w:t xml:space="preserve">Indicative draft MBS item descriptors are provided below, noting that these will inevitably require </w:t>
      </w:r>
      <w:r w:rsidR="00FD6F53">
        <w:t>subsequent revision and refinement</w:t>
      </w:r>
      <w:r w:rsidR="00127784">
        <w:t xml:space="preserve"> during the PICO confirmation process</w:t>
      </w:r>
      <w:r w:rsidR="00260718">
        <w:t xml:space="preserve">. </w:t>
      </w:r>
    </w:p>
    <w:p w14:paraId="564BBD0F" w14:textId="77777777" w:rsidR="005D5604" w:rsidRDefault="00FD6F53" w:rsidP="005D5604">
      <w:pPr>
        <w:spacing w:before="0" w:after="60"/>
        <w:ind w:left="425"/>
      </w:pPr>
      <w:r>
        <w:t xml:space="preserve">The intent </w:t>
      </w:r>
      <w:r w:rsidR="005D5604">
        <w:t>here</w:t>
      </w:r>
      <w:r>
        <w:t xml:space="preserve"> is</w:t>
      </w:r>
      <w:r w:rsidR="005D5604">
        <w:t xml:space="preserve">: </w:t>
      </w:r>
    </w:p>
    <w:p w14:paraId="2D1DB97F" w14:textId="7035641F" w:rsidR="005D5604" w:rsidRDefault="005D5604" w:rsidP="005D5604">
      <w:pPr>
        <w:pStyle w:val="ListParagraph"/>
        <w:numPr>
          <w:ilvl w:val="0"/>
          <w:numId w:val="39"/>
        </w:numPr>
        <w:spacing w:before="0" w:after="60"/>
      </w:pPr>
      <w:r>
        <w:t>T</w:t>
      </w:r>
      <w:r w:rsidR="00FD6F53">
        <w:t xml:space="preserve">o limit </w:t>
      </w:r>
      <w:r w:rsidR="00B87EF6">
        <w:t>eligibility</w:t>
      </w:r>
      <w:r w:rsidR="00FD6F53">
        <w:t xml:space="preserve"> to the target population of patients with </w:t>
      </w:r>
      <w:r w:rsidR="00B87EF6" w:rsidRPr="00B87EF6">
        <w:t>more difficult to treat lesions, for which malignancy has been confirmed,</w:t>
      </w:r>
      <w:r w:rsidR="00B87EF6">
        <w:t xml:space="preserve"> melanoma has been excluded, and suitability for treatment with Rhenium-188 is clearly established</w:t>
      </w:r>
      <w:r>
        <w:t xml:space="preserve"> on the basis of size, location and/or comorbidities; and </w:t>
      </w:r>
    </w:p>
    <w:p w14:paraId="331C4395" w14:textId="58413957" w:rsidR="005D5604" w:rsidRDefault="005D5604" w:rsidP="005D5604">
      <w:pPr>
        <w:pStyle w:val="ListParagraph"/>
        <w:numPr>
          <w:ilvl w:val="0"/>
          <w:numId w:val="39"/>
        </w:numPr>
        <w:spacing w:before="0" w:after="60"/>
      </w:pPr>
      <w:r>
        <w:t>To limit treatment to appropriately trained nuclear medicine physicians</w:t>
      </w:r>
      <w:r w:rsidR="006B6D29">
        <w:t xml:space="preserve"> or radiation oncologists</w:t>
      </w:r>
      <w:r>
        <w:t xml:space="preserve">, working from accredited facilities, </w:t>
      </w:r>
      <w:r w:rsidR="006B6D29">
        <w:t xml:space="preserve">using appropriate capital equipment, </w:t>
      </w:r>
      <w:r>
        <w:t xml:space="preserve">and treating only upon referral from specialist dermatologists and plastic surgeons.     </w:t>
      </w:r>
    </w:p>
    <w:p w14:paraId="7CA08F67" w14:textId="1069EC0A" w:rsidR="00D159DD" w:rsidRDefault="005D5604" w:rsidP="00687206">
      <w:pPr>
        <w:spacing w:before="0" w:after="60"/>
        <w:ind w:left="425"/>
      </w:pPr>
      <w:r>
        <w:t xml:space="preserve">Three discrete but similarly structured item numbers have been proposed for lesions of different size as it is anticipated that the cost of treating lesions will be predominantly determined by this parameter.   </w:t>
      </w:r>
    </w:p>
    <w:p w14:paraId="77FBC905" w14:textId="5FF0E848" w:rsidR="00687206" w:rsidRDefault="00047C4C" w:rsidP="00687206">
      <w:pPr>
        <w:spacing w:before="0" w:after="60"/>
        <w:ind w:left="425"/>
      </w:pPr>
      <w:r>
        <w:t xml:space="preserve">The item describes treatment of a single </w:t>
      </w:r>
      <w:r w:rsidR="00687206">
        <w:t xml:space="preserve">NMSC </w:t>
      </w:r>
      <w:r>
        <w:t xml:space="preserve">lesion, with recognition that a multiple operation rule will likely be required </w:t>
      </w:r>
      <w:r w:rsidR="00687206">
        <w:t xml:space="preserve">in circumstances where patients have multiple lesions treated in a single session.  </w:t>
      </w:r>
    </w:p>
    <w:p w14:paraId="52DFF22A" w14:textId="362D8BF1" w:rsidR="00816528" w:rsidRDefault="00687206" w:rsidP="00687206">
      <w:pPr>
        <w:spacing w:before="0" w:after="60"/>
        <w:ind w:left="425"/>
      </w:pPr>
      <w:r>
        <w:t xml:space="preserve">The item will need to encompass both the medical practitioner and single use consumable components of the service, and has not been defined at this stage, pending further consultation.  </w:t>
      </w:r>
    </w:p>
    <w:p w14:paraId="0C5E65C2" w14:textId="77777777" w:rsidR="00816528" w:rsidRDefault="00816528">
      <w:pPr>
        <w:spacing w:before="0" w:after="200" w:line="276" w:lineRule="auto"/>
      </w:pPr>
      <w:r>
        <w:br w:type="page"/>
      </w:r>
    </w:p>
    <w:p w14:paraId="1C7288B6" w14:textId="77777777" w:rsidR="00816528" w:rsidRPr="00AE1188" w:rsidRDefault="00816528" w:rsidP="00816528">
      <w:pPr>
        <w:pBdr>
          <w:top w:val="single" w:sz="4" w:space="1" w:color="auto"/>
          <w:left w:val="single" w:sz="4" w:space="4" w:color="auto"/>
          <w:bottom w:val="single" w:sz="4" w:space="1" w:color="auto"/>
          <w:right w:val="single" w:sz="4" w:space="23" w:color="auto"/>
          <w:between w:val="single" w:sz="4" w:space="1" w:color="auto"/>
          <w:bar w:val="single" w:sz="4" w:color="auto"/>
        </w:pBdr>
        <w:rPr>
          <w:szCs w:val="20"/>
        </w:rPr>
      </w:pPr>
      <w:r>
        <w:rPr>
          <w:szCs w:val="20"/>
        </w:rPr>
        <w:lastRenderedPageBreak/>
        <w:t xml:space="preserve">Category </w:t>
      </w:r>
      <w:r>
        <w:fldChar w:fldCharType="begin">
          <w:ffData>
            <w:name w:val=""/>
            <w:enabled/>
            <w:calcOnExit w:val="0"/>
            <w:textInput>
              <w:default w:val="3 - Therapeutic Procedures"/>
            </w:textInput>
          </w:ffData>
        </w:fldChar>
      </w:r>
      <w:r>
        <w:instrText xml:space="preserve"> FORMTEXT </w:instrText>
      </w:r>
      <w:r>
        <w:fldChar w:fldCharType="separate"/>
      </w:r>
      <w:r>
        <w:rPr>
          <w:noProof/>
        </w:rPr>
        <w:t>3 - Therapeutic Procedures</w:t>
      </w:r>
      <w:r>
        <w:fldChar w:fldCharType="end"/>
      </w:r>
      <w:r w:rsidRPr="00AE1188">
        <w:rPr>
          <w:szCs w:val="20"/>
        </w:rPr>
        <w:t xml:space="preserve"> – </w:t>
      </w:r>
      <w:r>
        <w:fldChar w:fldCharType="begin">
          <w:ffData>
            <w:name w:val=""/>
            <w:enabled/>
            <w:calcOnExit w:val="0"/>
            <w:textInput>
              <w:default w:val="Group T2 - Radiation Oncology; Subgroup 4 - Brachytherapy"/>
            </w:textInput>
          </w:ffData>
        </w:fldChar>
      </w:r>
      <w:r>
        <w:instrText xml:space="preserve"> FORMTEXT </w:instrText>
      </w:r>
      <w:r>
        <w:fldChar w:fldCharType="separate"/>
      </w:r>
      <w:r>
        <w:rPr>
          <w:noProof/>
        </w:rPr>
        <w:t>Group T2 - Radiation Oncology; Subgroup 4 - Brachytherapy</w:t>
      </w:r>
      <w:r>
        <w:fldChar w:fldCharType="end"/>
      </w:r>
      <w:r w:rsidRPr="00AE1188">
        <w:rPr>
          <w:szCs w:val="20"/>
        </w:rPr>
        <w:t xml:space="preserve"> </w:t>
      </w:r>
    </w:p>
    <w:p w14:paraId="70F381A9" w14:textId="77777777" w:rsidR="00816528" w:rsidRDefault="00816528" w:rsidP="00816528">
      <w:pPr>
        <w:pBdr>
          <w:top w:val="single" w:sz="4" w:space="1" w:color="auto"/>
          <w:left w:val="single" w:sz="4" w:space="4" w:color="auto"/>
          <w:bottom w:val="single" w:sz="4" w:space="1" w:color="auto"/>
          <w:right w:val="single" w:sz="4" w:space="23" w:color="auto"/>
        </w:pBdr>
        <w:rPr>
          <w:szCs w:val="20"/>
        </w:rPr>
      </w:pPr>
      <w:r w:rsidRPr="00AE1188">
        <w:rPr>
          <w:szCs w:val="20"/>
        </w:rPr>
        <w:t>Proposed item descriptor</w:t>
      </w:r>
      <w:r>
        <w:rPr>
          <w:szCs w:val="20"/>
        </w:rPr>
        <w:t>: Epidermal radioisotope therapy, using rheuium-188, of a m</w:t>
      </w:r>
      <w:r w:rsidRPr="00545A00">
        <w:rPr>
          <w:szCs w:val="20"/>
        </w:rPr>
        <w:t xml:space="preserve">alignant </w:t>
      </w:r>
      <w:r>
        <w:rPr>
          <w:szCs w:val="20"/>
        </w:rPr>
        <w:t xml:space="preserve">non-melanoma </w:t>
      </w:r>
      <w:r w:rsidRPr="00545A00">
        <w:rPr>
          <w:szCs w:val="20"/>
        </w:rPr>
        <w:t xml:space="preserve">skin lesion, </w:t>
      </w:r>
      <w:r>
        <w:rPr>
          <w:szCs w:val="20"/>
        </w:rPr>
        <w:t>if:</w:t>
      </w:r>
    </w:p>
    <w:p w14:paraId="48C21E8A" w14:textId="77777777" w:rsidR="00816528" w:rsidRDefault="00816528" w:rsidP="00816528">
      <w:pPr>
        <w:pBdr>
          <w:top w:val="single" w:sz="4" w:space="1" w:color="auto"/>
          <w:left w:val="single" w:sz="4" w:space="4" w:color="auto"/>
          <w:bottom w:val="single" w:sz="4" w:space="1" w:color="auto"/>
          <w:right w:val="single" w:sz="4" w:space="23" w:color="auto"/>
        </w:pBdr>
        <w:rPr>
          <w:szCs w:val="20"/>
        </w:rPr>
      </w:pPr>
      <w:r>
        <w:rPr>
          <w:szCs w:val="20"/>
        </w:rPr>
        <w:t>a) malignancy has been confirmed and melanoma excluded by histological examination; and</w:t>
      </w:r>
    </w:p>
    <w:p w14:paraId="5A1A6E92" w14:textId="77777777" w:rsidR="00816528" w:rsidRDefault="00816528" w:rsidP="00816528">
      <w:pPr>
        <w:pBdr>
          <w:top w:val="single" w:sz="4" w:space="1" w:color="auto"/>
          <w:left w:val="single" w:sz="4" w:space="4" w:color="auto"/>
          <w:bottom w:val="single" w:sz="4" w:space="1" w:color="auto"/>
          <w:right w:val="single" w:sz="4" w:space="23" w:color="auto"/>
        </w:pBdr>
        <w:rPr>
          <w:szCs w:val="20"/>
        </w:rPr>
      </w:pPr>
      <w:r>
        <w:rPr>
          <w:szCs w:val="20"/>
        </w:rPr>
        <w:t>b) the maximum depth of the lesion is less than 3 mm; and</w:t>
      </w:r>
    </w:p>
    <w:p w14:paraId="4310BA18" w14:textId="2F2AC415" w:rsidR="00816528" w:rsidRPr="0038706C" w:rsidRDefault="00816528" w:rsidP="00816528">
      <w:pPr>
        <w:pBdr>
          <w:top w:val="single" w:sz="4" w:space="1" w:color="auto"/>
          <w:left w:val="single" w:sz="4" w:space="4" w:color="auto"/>
          <w:bottom w:val="single" w:sz="4" w:space="1" w:color="auto"/>
          <w:right w:val="single" w:sz="4" w:space="23" w:color="auto"/>
        </w:pBdr>
        <w:rPr>
          <w:vertAlign w:val="superscript"/>
        </w:rPr>
      </w:pPr>
      <w:r>
        <w:rPr>
          <w:szCs w:val="20"/>
        </w:rPr>
        <w:t xml:space="preserve">c) the necessary excision diameter is between 15 mm and 30 mm; </w:t>
      </w:r>
      <w:r w:rsidR="00FB43F4">
        <w:rPr>
          <w:szCs w:val="20"/>
        </w:rPr>
        <w:t>and</w:t>
      </w:r>
    </w:p>
    <w:p w14:paraId="73C00980" w14:textId="77777777" w:rsidR="00816528" w:rsidRPr="0038706C" w:rsidRDefault="00816528" w:rsidP="00816528">
      <w:pPr>
        <w:pBdr>
          <w:top w:val="single" w:sz="4" w:space="1" w:color="auto"/>
          <w:left w:val="single" w:sz="4" w:space="4" w:color="auto"/>
          <w:bottom w:val="single" w:sz="4" w:space="1" w:color="auto"/>
          <w:right w:val="single" w:sz="4" w:space="23" w:color="auto"/>
        </w:pBdr>
        <w:rPr>
          <w:vertAlign w:val="superscript"/>
        </w:rPr>
      </w:pPr>
      <w:r>
        <w:rPr>
          <w:szCs w:val="20"/>
        </w:rPr>
        <w:t xml:space="preserve">d) </w:t>
      </w:r>
      <w:r w:rsidRPr="0038706C">
        <w:rPr>
          <w:szCs w:val="20"/>
        </w:rPr>
        <w:t>the lesion is excised from nose, eyebrow, lip, ear, digit</w:t>
      </w:r>
      <w:r>
        <w:rPr>
          <w:szCs w:val="20"/>
        </w:rPr>
        <w:t xml:space="preserve">, </w:t>
      </w:r>
      <w:r w:rsidRPr="0038706C">
        <w:rPr>
          <w:szCs w:val="20"/>
        </w:rPr>
        <w:t xml:space="preserve">genitalia, </w:t>
      </w:r>
      <w:r>
        <w:rPr>
          <w:szCs w:val="20"/>
        </w:rPr>
        <w:t xml:space="preserve">shin or collarbone, </w:t>
      </w:r>
      <w:r w:rsidRPr="0038706C">
        <w:rPr>
          <w:szCs w:val="20"/>
        </w:rPr>
        <w:t>or a contiguous area</w:t>
      </w:r>
      <w:r>
        <w:rPr>
          <w:szCs w:val="20"/>
        </w:rPr>
        <w:t>; or</w:t>
      </w:r>
    </w:p>
    <w:p w14:paraId="29396B16" w14:textId="3614ECA1" w:rsidR="00816528" w:rsidRDefault="00816528" w:rsidP="00816528">
      <w:pPr>
        <w:pBdr>
          <w:top w:val="single" w:sz="4" w:space="1" w:color="auto"/>
          <w:left w:val="single" w:sz="4" w:space="4" w:color="auto"/>
          <w:bottom w:val="single" w:sz="4" w:space="1" w:color="auto"/>
          <w:right w:val="single" w:sz="4" w:space="23" w:color="auto"/>
        </w:pBdr>
        <w:rPr>
          <w:szCs w:val="20"/>
        </w:rPr>
      </w:pPr>
      <w:r>
        <w:rPr>
          <w:szCs w:val="20"/>
        </w:rPr>
        <w:t>e) the patient has comorbidities that prevent surgical excision or external beam radiotherapy; and</w:t>
      </w:r>
    </w:p>
    <w:p w14:paraId="5BC6A338" w14:textId="4CA16F2D" w:rsidR="005D5604" w:rsidRDefault="005D5604" w:rsidP="00816528">
      <w:pPr>
        <w:pBdr>
          <w:top w:val="single" w:sz="4" w:space="1" w:color="auto"/>
          <w:left w:val="single" w:sz="4" w:space="4" w:color="auto"/>
          <w:bottom w:val="single" w:sz="4" w:space="1" w:color="auto"/>
          <w:right w:val="single" w:sz="4" w:space="23" w:color="auto"/>
        </w:pBdr>
        <w:rPr>
          <w:szCs w:val="20"/>
        </w:rPr>
      </w:pPr>
      <w:r>
        <w:rPr>
          <w:szCs w:val="20"/>
        </w:rPr>
        <w:t>f) the service is provided by a suitably trained nuclear medicine physician in an approved facility; and</w:t>
      </w:r>
    </w:p>
    <w:p w14:paraId="5C769F93" w14:textId="4F881E51" w:rsidR="005D5604" w:rsidRDefault="005D5604" w:rsidP="00816528">
      <w:pPr>
        <w:pBdr>
          <w:top w:val="single" w:sz="4" w:space="1" w:color="auto"/>
          <w:left w:val="single" w:sz="4" w:space="4" w:color="auto"/>
          <w:bottom w:val="single" w:sz="4" w:space="1" w:color="auto"/>
          <w:right w:val="single" w:sz="4" w:space="23" w:color="auto"/>
        </w:pBdr>
        <w:rPr>
          <w:szCs w:val="20"/>
        </w:rPr>
      </w:pPr>
      <w:r>
        <w:rPr>
          <w:szCs w:val="20"/>
        </w:rPr>
        <w:t>g) the service is referred by a specialist dermatologist or plastic surgeon</w:t>
      </w:r>
    </w:p>
    <w:p w14:paraId="1ACE00F0" w14:textId="77777777" w:rsidR="00816528" w:rsidRPr="00FD6F53" w:rsidRDefault="00816528" w:rsidP="00816528">
      <w:pPr>
        <w:pBdr>
          <w:top w:val="single" w:sz="4" w:space="1" w:color="auto"/>
          <w:left w:val="single" w:sz="4" w:space="4" w:color="auto"/>
          <w:bottom w:val="single" w:sz="4" w:space="1" w:color="auto"/>
          <w:right w:val="single" w:sz="4" w:space="23" w:color="auto"/>
        </w:pBdr>
        <w:rPr>
          <w:vertAlign w:val="superscript"/>
        </w:rPr>
      </w:pPr>
      <w:r w:rsidRPr="00260718">
        <w:rPr>
          <w:szCs w:val="20"/>
          <w:u w:val="single"/>
        </w:rPr>
        <w:t xml:space="preserve">Multiple </w:t>
      </w:r>
      <w:r>
        <w:rPr>
          <w:szCs w:val="20"/>
          <w:u w:val="single"/>
        </w:rPr>
        <w:t>Operation</w:t>
      </w:r>
      <w:r w:rsidRPr="00260718">
        <w:rPr>
          <w:szCs w:val="20"/>
          <w:u w:val="single"/>
        </w:rPr>
        <w:t xml:space="preserve"> Rule</w:t>
      </w:r>
      <w:r w:rsidRPr="00FD6F53">
        <w:rPr>
          <w:szCs w:val="20"/>
        </w:rPr>
        <w:t xml:space="preserve"> </w:t>
      </w:r>
      <w:r>
        <w:rPr>
          <w:szCs w:val="20"/>
        </w:rPr>
        <w:t>(the detail of which will need to be confirmed)</w:t>
      </w:r>
    </w:p>
    <w:p w14:paraId="6C06B7C6" w14:textId="77777777" w:rsidR="00816528" w:rsidRPr="00AE1188" w:rsidRDefault="00816528" w:rsidP="00816528">
      <w:pPr>
        <w:pBdr>
          <w:top w:val="single" w:sz="4" w:space="1" w:color="auto"/>
          <w:left w:val="single" w:sz="4" w:space="4" w:color="auto"/>
          <w:bottom w:val="single" w:sz="4" w:space="1" w:color="auto"/>
          <w:right w:val="single" w:sz="4" w:space="23" w:color="auto"/>
        </w:pBdr>
        <w:rPr>
          <w:szCs w:val="20"/>
        </w:rPr>
      </w:pPr>
      <w:r w:rsidRPr="00AE1188">
        <w:rPr>
          <w:szCs w:val="20"/>
        </w:rPr>
        <w:t>Fee:  $</w:t>
      </w:r>
      <w:r>
        <w:fldChar w:fldCharType="begin">
          <w:ffData>
            <w:name w:val=""/>
            <w:enabled/>
            <w:calcOnExit w:val="0"/>
            <w:textInput>
              <w:default w:val="To be determined subject to clinical consultation and cost effectiveness assessment"/>
            </w:textInput>
          </w:ffData>
        </w:fldChar>
      </w:r>
      <w:r>
        <w:instrText xml:space="preserve"> FORMTEXT </w:instrText>
      </w:r>
      <w:r>
        <w:fldChar w:fldCharType="separate"/>
      </w:r>
      <w:r>
        <w:rPr>
          <w:noProof/>
        </w:rPr>
        <w:t>To be determined subject to clinical consultation and cost effectiveness assessment</w:t>
      </w:r>
      <w:r>
        <w:fldChar w:fldCharType="end"/>
      </w:r>
    </w:p>
    <w:p w14:paraId="21618B66" w14:textId="47B8C69B" w:rsidR="00047C4C" w:rsidRDefault="00047C4C" w:rsidP="00687206">
      <w:pPr>
        <w:spacing w:before="0" w:after="60"/>
        <w:ind w:left="425"/>
      </w:pPr>
    </w:p>
    <w:p w14:paraId="4810AA56" w14:textId="77777777" w:rsidR="00816528" w:rsidRPr="00AE1188" w:rsidRDefault="00816528" w:rsidP="00816528">
      <w:pPr>
        <w:pBdr>
          <w:top w:val="single" w:sz="4" w:space="1" w:color="auto"/>
          <w:left w:val="single" w:sz="4" w:space="4" w:color="auto"/>
          <w:bottom w:val="single" w:sz="4" w:space="1" w:color="auto"/>
          <w:right w:val="single" w:sz="4" w:space="23" w:color="auto"/>
          <w:between w:val="single" w:sz="4" w:space="1" w:color="auto"/>
          <w:bar w:val="single" w:sz="4" w:color="auto"/>
        </w:pBdr>
        <w:rPr>
          <w:szCs w:val="20"/>
        </w:rPr>
      </w:pPr>
      <w:r>
        <w:rPr>
          <w:szCs w:val="20"/>
        </w:rPr>
        <w:t xml:space="preserve">Category </w:t>
      </w:r>
      <w:r>
        <w:fldChar w:fldCharType="begin">
          <w:ffData>
            <w:name w:val=""/>
            <w:enabled/>
            <w:calcOnExit w:val="0"/>
            <w:textInput>
              <w:default w:val="3 - Therapeutic Procedures"/>
            </w:textInput>
          </w:ffData>
        </w:fldChar>
      </w:r>
      <w:r>
        <w:instrText xml:space="preserve"> FORMTEXT </w:instrText>
      </w:r>
      <w:r>
        <w:fldChar w:fldCharType="separate"/>
      </w:r>
      <w:r>
        <w:rPr>
          <w:noProof/>
        </w:rPr>
        <w:t>3 - Therapeutic Procedures</w:t>
      </w:r>
      <w:r>
        <w:fldChar w:fldCharType="end"/>
      </w:r>
      <w:r w:rsidRPr="00AE1188">
        <w:rPr>
          <w:szCs w:val="20"/>
        </w:rPr>
        <w:t xml:space="preserve"> – </w:t>
      </w:r>
      <w:r>
        <w:fldChar w:fldCharType="begin">
          <w:ffData>
            <w:name w:val=""/>
            <w:enabled/>
            <w:calcOnExit w:val="0"/>
            <w:textInput>
              <w:default w:val="Group T2 - Radiation Oncology; Subgroup 4 - Brachytherapy"/>
            </w:textInput>
          </w:ffData>
        </w:fldChar>
      </w:r>
      <w:r>
        <w:instrText xml:space="preserve"> FORMTEXT </w:instrText>
      </w:r>
      <w:r>
        <w:fldChar w:fldCharType="separate"/>
      </w:r>
      <w:r>
        <w:rPr>
          <w:noProof/>
        </w:rPr>
        <w:t>Group T2 - Radiation Oncology; Subgroup 4 - Brachytherapy</w:t>
      </w:r>
      <w:r>
        <w:fldChar w:fldCharType="end"/>
      </w:r>
      <w:r w:rsidRPr="00AE1188">
        <w:rPr>
          <w:szCs w:val="20"/>
        </w:rPr>
        <w:t xml:space="preserve"> </w:t>
      </w:r>
    </w:p>
    <w:p w14:paraId="42638287" w14:textId="77777777" w:rsidR="00816528" w:rsidRDefault="00816528" w:rsidP="00816528">
      <w:pPr>
        <w:pBdr>
          <w:top w:val="single" w:sz="4" w:space="1" w:color="auto"/>
          <w:left w:val="single" w:sz="4" w:space="4" w:color="auto"/>
          <w:bottom w:val="single" w:sz="4" w:space="1" w:color="auto"/>
          <w:right w:val="single" w:sz="4" w:space="23" w:color="auto"/>
        </w:pBdr>
        <w:rPr>
          <w:szCs w:val="20"/>
        </w:rPr>
      </w:pPr>
      <w:r w:rsidRPr="00AE1188">
        <w:rPr>
          <w:szCs w:val="20"/>
        </w:rPr>
        <w:t>Proposed item descriptor</w:t>
      </w:r>
      <w:r>
        <w:rPr>
          <w:szCs w:val="20"/>
        </w:rPr>
        <w:t>: Epidermal radioisotope therapy, using rheuium-188, of a m</w:t>
      </w:r>
      <w:r w:rsidRPr="00545A00">
        <w:rPr>
          <w:szCs w:val="20"/>
        </w:rPr>
        <w:t xml:space="preserve">alignant </w:t>
      </w:r>
      <w:r>
        <w:rPr>
          <w:szCs w:val="20"/>
        </w:rPr>
        <w:t xml:space="preserve">non-melanoma </w:t>
      </w:r>
      <w:r w:rsidRPr="00545A00">
        <w:rPr>
          <w:szCs w:val="20"/>
        </w:rPr>
        <w:t xml:space="preserve">skin lesion, </w:t>
      </w:r>
      <w:r>
        <w:rPr>
          <w:szCs w:val="20"/>
        </w:rPr>
        <w:t>if:</w:t>
      </w:r>
    </w:p>
    <w:p w14:paraId="7E935459" w14:textId="77777777" w:rsidR="00816528" w:rsidRDefault="00816528" w:rsidP="00816528">
      <w:pPr>
        <w:pBdr>
          <w:top w:val="single" w:sz="4" w:space="1" w:color="auto"/>
          <w:left w:val="single" w:sz="4" w:space="4" w:color="auto"/>
          <w:bottom w:val="single" w:sz="4" w:space="1" w:color="auto"/>
          <w:right w:val="single" w:sz="4" w:space="23" w:color="auto"/>
        </w:pBdr>
        <w:rPr>
          <w:szCs w:val="20"/>
        </w:rPr>
      </w:pPr>
      <w:r>
        <w:rPr>
          <w:szCs w:val="20"/>
        </w:rPr>
        <w:t>a) malignancy has been confirmed and melanoma excluded by histological examination; and</w:t>
      </w:r>
    </w:p>
    <w:p w14:paraId="7517DC54" w14:textId="77777777" w:rsidR="00816528" w:rsidRDefault="00816528" w:rsidP="00816528">
      <w:pPr>
        <w:pBdr>
          <w:top w:val="single" w:sz="4" w:space="1" w:color="auto"/>
          <w:left w:val="single" w:sz="4" w:space="4" w:color="auto"/>
          <w:bottom w:val="single" w:sz="4" w:space="1" w:color="auto"/>
          <w:right w:val="single" w:sz="4" w:space="23" w:color="auto"/>
        </w:pBdr>
        <w:rPr>
          <w:szCs w:val="20"/>
        </w:rPr>
      </w:pPr>
      <w:r>
        <w:rPr>
          <w:szCs w:val="20"/>
        </w:rPr>
        <w:t>b) the maximum depth of the lesion is less than 3 mm; and</w:t>
      </w:r>
    </w:p>
    <w:p w14:paraId="2F6C886A" w14:textId="6CC018A4" w:rsidR="00816528" w:rsidRPr="0038706C" w:rsidRDefault="00816528" w:rsidP="00816528">
      <w:pPr>
        <w:pBdr>
          <w:top w:val="single" w:sz="4" w:space="1" w:color="auto"/>
          <w:left w:val="single" w:sz="4" w:space="4" w:color="auto"/>
          <w:bottom w:val="single" w:sz="4" w:space="1" w:color="auto"/>
          <w:right w:val="single" w:sz="4" w:space="23" w:color="auto"/>
        </w:pBdr>
        <w:rPr>
          <w:vertAlign w:val="superscript"/>
        </w:rPr>
      </w:pPr>
      <w:r>
        <w:rPr>
          <w:szCs w:val="20"/>
        </w:rPr>
        <w:t xml:space="preserve">c) the necessary excision diameter is between 30 mm and 50 mm; </w:t>
      </w:r>
      <w:r w:rsidR="00317C66">
        <w:rPr>
          <w:szCs w:val="20"/>
        </w:rPr>
        <w:t>and</w:t>
      </w:r>
    </w:p>
    <w:p w14:paraId="71BA14C2" w14:textId="77777777" w:rsidR="00816528" w:rsidRPr="0038706C" w:rsidRDefault="00816528" w:rsidP="00816528">
      <w:pPr>
        <w:pBdr>
          <w:top w:val="single" w:sz="4" w:space="1" w:color="auto"/>
          <w:left w:val="single" w:sz="4" w:space="4" w:color="auto"/>
          <w:bottom w:val="single" w:sz="4" w:space="1" w:color="auto"/>
          <w:right w:val="single" w:sz="4" w:space="23" w:color="auto"/>
        </w:pBdr>
        <w:rPr>
          <w:vertAlign w:val="superscript"/>
        </w:rPr>
      </w:pPr>
      <w:r>
        <w:rPr>
          <w:szCs w:val="20"/>
        </w:rPr>
        <w:t xml:space="preserve">d) </w:t>
      </w:r>
      <w:r w:rsidRPr="0038706C">
        <w:rPr>
          <w:szCs w:val="20"/>
        </w:rPr>
        <w:t>the lesion is excised from nose, eyebrow, lip, ear, digit</w:t>
      </w:r>
      <w:r>
        <w:rPr>
          <w:szCs w:val="20"/>
        </w:rPr>
        <w:t xml:space="preserve">, </w:t>
      </w:r>
      <w:r w:rsidRPr="0038706C">
        <w:rPr>
          <w:szCs w:val="20"/>
        </w:rPr>
        <w:t xml:space="preserve">genitalia, </w:t>
      </w:r>
      <w:r>
        <w:rPr>
          <w:szCs w:val="20"/>
        </w:rPr>
        <w:t xml:space="preserve">shin or collarbone, </w:t>
      </w:r>
      <w:r w:rsidRPr="0038706C">
        <w:rPr>
          <w:szCs w:val="20"/>
        </w:rPr>
        <w:t>or a contiguous area</w:t>
      </w:r>
      <w:r>
        <w:rPr>
          <w:szCs w:val="20"/>
        </w:rPr>
        <w:t>; or</w:t>
      </w:r>
    </w:p>
    <w:p w14:paraId="0ABB56E8" w14:textId="7753B61F" w:rsidR="00816528" w:rsidRDefault="00816528" w:rsidP="00816528">
      <w:pPr>
        <w:pBdr>
          <w:top w:val="single" w:sz="4" w:space="1" w:color="auto"/>
          <w:left w:val="single" w:sz="4" w:space="4" w:color="auto"/>
          <w:bottom w:val="single" w:sz="4" w:space="1" w:color="auto"/>
          <w:right w:val="single" w:sz="4" w:space="23" w:color="auto"/>
        </w:pBdr>
        <w:rPr>
          <w:szCs w:val="20"/>
        </w:rPr>
      </w:pPr>
      <w:r>
        <w:rPr>
          <w:szCs w:val="20"/>
        </w:rPr>
        <w:t>e) the patient has comorbidities that prevent surgical excision or external beam radiotherapy; and</w:t>
      </w:r>
    </w:p>
    <w:p w14:paraId="53044D41" w14:textId="32F7E28B" w:rsidR="005D5604" w:rsidRDefault="005D5604" w:rsidP="005D5604">
      <w:pPr>
        <w:pBdr>
          <w:top w:val="single" w:sz="4" w:space="1" w:color="auto"/>
          <w:left w:val="single" w:sz="4" w:space="4" w:color="auto"/>
          <w:bottom w:val="single" w:sz="4" w:space="1" w:color="auto"/>
          <w:right w:val="single" w:sz="4" w:space="23" w:color="auto"/>
        </w:pBdr>
        <w:rPr>
          <w:szCs w:val="20"/>
        </w:rPr>
      </w:pPr>
      <w:r>
        <w:rPr>
          <w:szCs w:val="20"/>
        </w:rPr>
        <w:t>f) the service is provided by a suitably trained nuclear medicine physician in an approved facility; and</w:t>
      </w:r>
    </w:p>
    <w:p w14:paraId="6714A5F4" w14:textId="77777777" w:rsidR="005D5604" w:rsidRDefault="005D5604" w:rsidP="005D5604">
      <w:pPr>
        <w:pBdr>
          <w:top w:val="single" w:sz="4" w:space="1" w:color="auto"/>
          <w:left w:val="single" w:sz="4" w:space="4" w:color="auto"/>
          <w:bottom w:val="single" w:sz="4" w:space="1" w:color="auto"/>
          <w:right w:val="single" w:sz="4" w:space="23" w:color="auto"/>
        </w:pBdr>
        <w:rPr>
          <w:szCs w:val="20"/>
        </w:rPr>
      </w:pPr>
      <w:r>
        <w:rPr>
          <w:szCs w:val="20"/>
        </w:rPr>
        <w:t>g) the service is referred by a specialist dermatologist or plastic surgeon</w:t>
      </w:r>
    </w:p>
    <w:p w14:paraId="5001C2A5" w14:textId="77777777" w:rsidR="00816528" w:rsidRPr="00FD6F53" w:rsidRDefault="00816528" w:rsidP="00816528">
      <w:pPr>
        <w:pBdr>
          <w:top w:val="single" w:sz="4" w:space="1" w:color="auto"/>
          <w:left w:val="single" w:sz="4" w:space="4" w:color="auto"/>
          <w:bottom w:val="single" w:sz="4" w:space="1" w:color="auto"/>
          <w:right w:val="single" w:sz="4" w:space="23" w:color="auto"/>
        </w:pBdr>
        <w:rPr>
          <w:vertAlign w:val="superscript"/>
        </w:rPr>
      </w:pPr>
      <w:r w:rsidRPr="00260718">
        <w:rPr>
          <w:szCs w:val="20"/>
          <w:u w:val="single"/>
        </w:rPr>
        <w:t xml:space="preserve">Multiple </w:t>
      </w:r>
      <w:r>
        <w:rPr>
          <w:szCs w:val="20"/>
          <w:u w:val="single"/>
        </w:rPr>
        <w:t>Operation</w:t>
      </w:r>
      <w:r w:rsidRPr="00260718">
        <w:rPr>
          <w:szCs w:val="20"/>
          <w:u w:val="single"/>
        </w:rPr>
        <w:t xml:space="preserve"> Rule</w:t>
      </w:r>
      <w:r w:rsidRPr="00FD6F53">
        <w:rPr>
          <w:szCs w:val="20"/>
        </w:rPr>
        <w:t xml:space="preserve"> </w:t>
      </w:r>
      <w:r>
        <w:rPr>
          <w:szCs w:val="20"/>
        </w:rPr>
        <w:t>(the detail of which will need to be confirmed)</w:t>
      </w:r>
    </w:p>
    <w:p w14:paraId="6E950EE7" w14:textId="77777777" w:rsidR="00816528" w:rsidRPr="00AE1188" w:rsidRDefault="00816528" w:rsidP="00816528">
      <w:pPr>
        <w:pBdr>
          <w:top w:val="single" w:sz="4" w:space="1" w:color="auto"/>
          <w:left w:val="single" w:sz="4" w:space="4" w:color="auto"/>
          <w:bottom w:val="single" w:sz="4" w:space="1" w:color="auto"/>
          <w:right w:val="single" w:sz="4" w:space="23" w:color="auto"/>
        </w:pBdr>
        <w:rPr>
          <w:szCs w:val="20"/>
        </w:rPr>
      </w:pPr>
      <w:r w:rsidRPr="00AE1188">
        <w:rPr>
          <w:szCs w:val="20"/>
        </w:rPr>
        <w:t>Fee:  $</w:t>
      </w:r>
      <w:r>
        <w:fldChar w:fldCharType="begin">
          <w:ffData>
            <w:name w:val=""/>
            <w:enabled/>
            <w:calcOnExit w:val="0"/>
            <w:textInput>
              <w:default w:val="To be determined subject to clinical consultation and cost effectiveness assessment"/>
            </w:textInput>
          </w:ffData>
        </w:fldChar>
      </w:r>
      <w:r>
        <w:instrText xml:space="preserve"> FORMTEXT </w:instrText>
      </w:r>
      <w:r>
        <w:fldChar w:fldCharType="separate"/>
      </w:r>
      <w:r>
        <w:rPr>
          <w:noProof/>
        </w:rPr>
        <w:t>To be determined subject to clinical consultation and cost effectiveness assessment</w:t>
      </w:r>
      <w:r>
        <w:fldChar w:fldCharType="end"/>
      </w:r>
    </w:p>
    <w:p w14:paraId="16A80D3D" w14:textId="6769A163" w:rsidR="00816528" w:rsidRDefault="00816528" w:rsidP="00687206">
      <w:pPr>
        <w:spacing w:before="0" w:after="60"/>
        <w:ind w:left="425"/>
      </w:pPr>
    </w:p>
    <w:p w14:paraId="5F2E536B" w14:textId="77777777" w:rsidR="00816528" w:rsidRPr="00AE1188" w:rsidRDefault="00816528" w:rsidP="00816528">
      <w:pPr>
        <w:pBdr>
          <w:top w:val="single" w:sz="4" w:space="1" w:color="auto"/>
          <w:left w:val="single" w:sz="4" w:space="4" w:color="auto"/>
          <w:bottom w:val="single" w:sz="4" w:space="1" w:color="auto"/>
          <w:right w:val="single" w:sz="4" w:space="23" w:color="auto"/>
          <w:between w:val="single" w:sz="4" w:space="1" w:color="auto"/>
          <w:bar w:val="single" w:sz="4" w:color="auto"/>
        </w:pBdr>
        <w:rPr>
          <w:szCs w:val="20"/>
        </w:rPr>
      </w:pPr>
      <w:r>
        <w:rPr>
          <w:szCs w:val="20"/>
        </w:rPr>
        <w:t xml:space="preserve">Category </w:t>
      </w:r>
      <w:r>
        <w:fldChar w:fldCharType="begin">
          <w:ffData>
            <w:name w:val=""/>
            <w:enabled/>
            <w:calcOnExit w:val="0"/>
            <w:textInput>
              <w:default w:val="3 - Therapeutic Procedures"/>
            </w:textInput>
          </w:ffData>
        </w:fldChar>
      </w:r>
      <w:r>
        <w:instrText xml:space="preserve"> FORMTEXT </w:instrText>
      </w:r>
      <w:r>
        <w:fldChar w:fldCharType="separate"/>
      </w:r>
      <w:r>
        <w:rPr>
          <w:noProof/>
        </w:rPr>
        <w:t>3 - Therapeutic Procedures</w:t>
      </w:r>
      <w:r>
        <w:fldChar w:fldCharType="end"/>
      </w:r>
      <w:r w:rsidRPr="00AE1188">
        <w:rPr>
          <w:szCs w:val="20"/>
        </w:rPr>
        <w:t xml:space="preserve"> – </w:t>
      </w:r>
      <w:r>
        <w:fldChar w:fldCharType="begin">
          <w:ffData>
            <w:name w:val=""/>
            <w:enabled/>
            <w:calcOnExit w:val="0"/>
            <w:textInput>
              <w:default w:val="Group T2 - Radiation Oncology; Subgroup 4 - Brachytherapy"/>
            </w:textInput>
          </w:ffData>
        </w:fldChar>
      </w:r>
      <w:r>
        <w:instrText xml:space="preserve"> FORMTEXT </w:instrText>
      </w:r>
      <w:r>
        <w:fldChar w:fldCharType="separate"/>
      </w:r>
      <w:r>
        <w:rPr>
          <w:noProof/>
        </w:rPr>
        <w:t>Group T2 - Radiation Oncology; Subgroup 4 - Brachytherapy</w:t>
      </w:r>
      <w:r>
        <w:fldChar w:fldCharType="end"/>
      </w:r>
      <w:r w:rsidRPr="00AE1188">
        <w:rPr>
          <w:szCs w:val="20"/>
        </w:rPr>
        <w:t xml:space="preserve"> </w:t>
      </w:r>
    </w:p>
    <w:p w14:paraId="0F430F68" w14:textId="77777777" w:rsidR="00816528" w:rsidRDefault="00816528" w:rsidP="00816528">
      <w:pPr>
        <w:pBdr>
          <w:top w:val="single" w:sz="4" w:space="1" w:color="auto"/>
          <w:left w:val="single" w:sz="4" w:space="4" w:color="auto"/>
          <w:bottom w:val="single" w:sz="4" w:space="1" w:color="auto"/>
          <w:right w:val="single" w:sz="4" w:space="23" w:color="auto"/>
        </w:pBdr>
        <w:rPr>
          <w:szCs w:val="20"/>
        </w:rPr>
      </w:pPr>
      <w:r w:rsidRPr="00AE1188">
        <w:rPr>
          <w:szCs w:val="20"/>
        </w:rPr>
        <w:t>Proposed item descriptor</w:t>
      </w:r>
      <w:r>
        <w:rPr>
          <w:szCs w:val="20"/>
        </w:rPr>
        <w:t>: Epidermal radioisotope therapy, using rheuium-188, of a m</w:t>
      </w:r>
      <w:r w:rsidRPr="00545A00">
        <w:rPr>
          <w:szCs w:val="20"/>
        </w:rPr>
        <w:t xml:space="preserve">alignant </w:t>
      </w:r>
      <w:r>
        <w:rPr>
          <w:szCs w:val="20"/>
        </w:rPr>
        <w:t xml:space="preserve">non-melanoma </w:t>
      </w:r>
      <w:r w:rsidRPr="00545A00">
        <w:rPr>
          <w:szCs w:val="20"/>
        </w:rPr>
        <w:t xml:space="preserve">skin lesion, </w:t>
      </w:r>
      <w:r>
        <w:rPr>
          <w:szCs w:val="20"/>
        </w:rPr>
        <w:t>if:</w:t>
      </w:r>
    </w:p>
    <w:p w14:paraId="1AB2D2F6" w14:textId="77777777" w:rsidR="00816528" w:rsidRDefault="00816528" w:rsidP="00816528">
      <w:pPr>
        <w:pBdr>
          <w:top w:val="single" w:sz="4" w:space="1" w:color="auto"/>
          <w:left w:val="single" w:sz="4" w:space="4" w:color="auto"/>
          <w:bottom w:val="single" w:sz="4" w:space="1" w:color="auto"/>
          <w:right w:val="single" w:sz="4" w:space="23" w:color="auto"/>
        </w:pBdr>
        <w:rPr>
          <w:szCs w:val="20"/>
        </w:rPr>
      </w:pPr>
      <w:r>
        <w:rPr>
          <w:szCs w:val="20"/>
        </w:rPr>
        <w:t>a) malignancy has been confirmed and melanoma excluded by histological examination; and</w:t>
      </w:r>
    </w:p>
    <w:p w14:paraId="5953FA76" w14:textId="77777777" w:rsidR="00816528" w:rsidRDefault="00816528" w:rsidP="00816528">
      <w:pPr>
        <w:pBdr>
          <w:top w:val="single" w:sz="4" w:space="1" w:color="auto"/>
          <w:left w:val="single" w:sz="4" w:space="4" w:color="auto"/>
          <w:bottom w:val="single" w:sz="4" w:space="1" w:color="auto"/>
          <w:right w:val="single" w:sz="4" w:space="23" w:color="auto"/>
        </w:pBdr>
        <w:rPr>
          <w:szCs w:val="20"/>
        </w:rPr>
      </w:pPr>
      <w:r>
        <w:rPr>
          <w:szCs w:val="20"/>
        </w:rPr>
        <w:t>b) the maximum depth of the lesion is less than 3 mm; and</w:t>
      </w:r>
    </w:p>
    <w:p w14:paraId="05BC6B92" w14:textId="4B1869DD" w:rsidR="00816528" w:rsidRPr="0038706C" w:rsidRDefault="00816528" w:rsidP="00816528">
      <w:pPr>
        <w:pBdr>
          <w:top w:val="single" w:sz="4" w:space="1" w:color="auto"/>
          <w:left w:val="single" w:sz="4" w:space="4" w:color="auto"/>
          <w:bottom w:val="single" w:sz="4" w:space="1" w:color="auto"/>
          <w:right w:val="single" w:sz="4" w:space="23" w:color="auto"/>
        </w:pBdr>
        <w:rPr>
          <w:vertAlign w:val="superscript"/>
        </w:rPr>
      </w:pPr>
      <w:r>
        <w:rPr>
          <w:szCs w:val="20"/>
        </w:rPr>
        <w:t xml:space="preserve">c) the necessary excision diameter is between 50 mm and 80 mm; </w:t>
      </w:r>
      <w:r w:rsidR="00317C66">
        <w:rPr>
          <w:szCs w:val="20"/>
        </w:rPr>
        <w:t>and</w:t>
      </w:r>
    </w:p>
    <w:p w14:paraId="28776654" w14:textId="77777777" w:rsidR="00816528" w:rsidRPr="0038706C" w:rsidRDefault="00816528" w:rsidP="00816528">
      <w:pPr>
        <w:pBdr>
          <w:top w:val="single" w:sz="4" w:space="1" w:color="auto"/>
          <w:left w:val="single" w:sz="4" w:space="4" w:color="auto"/>
          <w:bottom w:val="single" w:sz="4" w:space="1" w:color="auto"/>
          <w:right w:val="single" w:sz="4" w:space="23" w:color="auto"/>
        </w:pBdr>
        <w:rPr>
          <w:vertAlign w:val="superscript"/>
        </w:rPr>
      </w:pPr>
      <w:r>
        <w:rPr>
          <w:szCs w:val="20"/>
        </w:rPr>
        <w:t xml:space="preserve">d) </w:t>
      </w:r>
      <w:r w:rsidRPr="0038706C">
        <w:rPr>
          <w:szCs w:val="20"/>
        </w:rPr>
        <w:t>the lesion is excised from nose, eyebrow, lip, ear, digit</w:t>
      </w:r>
      <w:r>
        <w:rPr>
          <w:szCs w:val="20"/>
        </w:rPr>
        <w:t xml:space="preserve">, </w:t>
      </w:r>
      <w:r w:rsidRPr="0038706C">
        <w:rPr>
          <w:szCs w:val="20"/>
        </w:rPr>
        <w:t xml:space="preserve">genitalia, </w:t>
      </w:r>
      <w:r>
        <w:rPr>
          <w:szCs w:val="20"/>
        </w:rPr>
        <w:t xml:space="preserve">shin or collarbone, </w:t>
      </w:r>
      <w:r w:rsidRPr="0038706C">
        <w:rPr>
          <w:szCs w:val="20"/>
        </w:rPr>
        <w:t>or a contiguous area</w:t>
      </w:r>
      <w:r>
        <w:rPr>
          <w:szCs w:val="20"/>
        </w:rPr>
        <w:t>; or</w:t>
      </w:r>
    </w:p>
    <w:p w14:paraId="5317FC17" w14:textId="77777777" w:rsidR="005D5604" w:rsidRDefault="005D5604" w:rsidP="005D5604">
      <w:pPr>
        <w:pBdr>
          <w:top w:val="single" w:sz="4" w:space="1" w:color="auto"/>
          <w:left w:val="single" w:sz="4" w:space="4" w:color="auto"/>
          <w:bottom w:val="single" w:sz="4" w:space="1" w:color="auto"/>
          <w:right w:val="single" w:sz="4" w:space="23" w:color="auto"/>
        </w:pBdr>
        <w:rPr>
          <w:szCs w:val="20"/>
        </w:rPr>
      </w:pPr>
      <w:r>
        <w:rPr>
          <w:szCs w:val="20"/>
        </w:rPr>
        <w:t>e) the patient has comorbidities that prevent surgical excision or external beam radiotherapy; and</w:t>
      </w:r>
    </w:p>
    <w:p w14:paraId="5A2EE2AF" w14:textId="77777777" w:rsidR="005D5604" w:rsidRDefault="005D5604" w:rsidP="005D5604">
      <w:pPr>
        <w:pBdr>
          <w:top w:val="single" w:sz="4" w:space="1" w:color="auto"/>
          <w:left w:val="single" w:sz="4" w:space="4" w:color="auto"/>
          <w:bottom w:val="single" w:sz="4" w:space="1" w:color="auto"/>
          <w:right w:val="single" w:sz="4" w:space="23" w:color="auto"/>
        </w:pBdr>
        <w:rPr>
          <w:szCs w:val="20"/>
        </w:rPr>
      </w:pPr>
      <w:r>
        <w:rPr>
          <w:szCs w:val="20"/>
        </w:rPr>
        <w:t>f) the service is provided by a suitably trained nuclear medicine physician in an approved facility; and</w:t>
      </w:r>
    </w:p>
    <w:p w14:paraId="53BB35BB" w14:textId="77777777" w:rsidR="005D5604" w:rsidRDefault="005D5604" w:rsidP="005D5604">
      <w:pPr>
        <w:pBdr>
          <w:top w:val="single" w:sz="4" w:space="1" w:color="auto"/>
          <w:left w:val="single" w:sz="4" w:space="4" w:color="auto"/>
          <w:bottom w:val="single" w:sz="4" w:space="1" w:color="auto"/>
          <w:right w:val="single" w:sz="4" w:space="23" w:color="auto"/>
        </w:pBdr>
        <w:rPr>
          <w:szCs w:val="20"/>
        </w:rPr>
      </w:pPr>
      <w:r>
        <w:rPr>
          <w:szCs w:val="20"/>
        </w:rPr>
        <w:t>g) the service is referred by a specialist dermatologist or plastic surgeon</w:t>
      </w:r>
    </w:p>
    <w:p w14:paraId="3EF9E6C2" w14:textId="77777777" w:rsidR="00816528" w:rsidRPr="00FD6F53" w:rsidRDefault="00816528" w:rsidP="00816528">
      <w:pPr>
        <w:pBdr>
          <w:top w:val="single" w:sz="4" w:space="1" w:color="auto"/>
          <w:left w:val="single" w:sz="4" w:space="4" w:color="auto"/>
          <w:bottom w:val="single" w:sz="4" w:space="1" w:color="auto"/>
          <w:right w:val="single" w:sz="4" w:space="23" w:color="auto"/>
        </w:pBdr>
        <w:rPr>
          <w:vertAlign w:val="superscript"/>
        </w:rPr>
      </w:pPr>
      <w:r w:rsidRPr="00260718">
        <w:rPr>
          <w:szCs w:val="20"/>
          <w:u w:val="single"/>
        </w:rPr>
        <w:t xml:space="preserve">Multiple </w:t>
      </w:r>
      <w:r>
        <w:rPr>
          <w:szCs w:val="20"/>
          <w:u w:val="single"/>
        </w:rPr>
        <w:t>Operation</w:t>
      </w:r>
      <w:r w:rsidRPr="00260718">
        <w:rPr>
          <w:szCs w:val="20"/>
          <w:u w:val="single"/>
        </w:rPr>
        <w:t xml:space="preserve"> Rule</w:t>
      </w:r>
      <w:r w:rsidRPr="00FD6F53">
        <w:rPr>
          <w:szCs w:val="20"/>
        </w:rPr>
        <w:t xml:space="preserve"> </w:t>
      </w:r>
      <w:r>
        <w:rPr>
          <w:szCs w:val="20"/>
        </w:rPr>
        <w:t>(the detail of which will need to be confirmed)</w:t>
      </w:r>
    </w:p>
    <w:p w14:paraId="1416797F" w14:textId="77777777" w:rsidR="00816528" w:rsidRPr="00AE1188" w:rsidRDefault="00816528" w:rsidP="00816528">
      <w:pPr>
        <w:pBdr>
          <w:top w:val="single" w:sz="4" w:space="1" w:color="auto"/>
          <w:left w:val="single" w:sz="4" w:space="4" w:color="auto"/>
          <w:bottom w:val="single" w:sz="4" w:space="1" w:color="auto"/>
          <w:right w:val="single" w:sz="4" w:space="23" w:color="auto"/>
        </w:pBdr>
        <w:rPr>
          <w:szCs w:val="20"/>
        </w:rPr>
      </w:pPr>
      <w:r w:rsidRPr="00AE1188">
        <w:rPr>
          <w:szCs w:val="20"/>
        </w:rPr>
        <w:t>Fee:  $</w:t>
      </w:r>
      <w:r>
        <w:fldChar w:fldCharType="begin">
          <w:ffData>
            <w:name w:val=""/>
            <w:enabled/>
            <w:calcOnExit w:val="0"/>
            <w:textInput>
              <w:default w:val="To be determined subject to clinical consultation and cost effectiveness assessment"/>
            </w:textInput>
          </w:ffData>
        </w:fldChar>
      </w:r>
      <w:r>
        <w:instrText xml:space="preserve"> FORMTEXT </w:instrText>
      </w:r>
      <w:r>
        <w:fldChar w:fldCharType="separate"/>
      </w:r>
      <w:r>
        <w:rPr>
          <w:noProof/>
        </w:rPr>
        <w:t>To be determined subject to clinical consultation and cost effectiveness assessment</w:t>
      </w:r>
      <w:r>
        <w:fldChar w:fldCharType="end"/>
      </w:r>
    </w:p>
    <w:p w14:paraId="139316C6" w14:textId="6818F233" w:rsidR="00451840" w:rsidRPr="00687206" w:rsidRDefault="001913B7" w:rsidP="00646116">
      <w:pPr>
        <w:rPr>
          <w:b/>
          <w:bCs/>
          <w:szCs w:val="20"/>
        </w:rPr>
      </w:pPr>
      <w:r w:rsidRPr="00687206">
        <w:rPr>
          <w:b/>
          <w:bCs/>
          <w:szCs w:val="20"/>
        </w:rPr>
        <w:lastRenderedPageBreak/>
        <w:t>Attachment: Clinical management pathway for NMSC in Australia</w:t>
      </w:r>
    </w:p>
    <w:p w14:paraId="7BA0B055" w14:textId="0DA3007F" w:rsidR="001913B7" w:rsidRDefault="001913B7" w:rsidP="00603D04">
      <w:pPr>
        <w:ind w:left="426"/>
        <w:rPr>
          <w:szCs w:val="20"/>
        </w:rPr>
      </w:pPr>
    </w:p>
    <w:p w14:paraId="0D653D1B" w14:textId="39B90421" w:rsidR="001913B7" w:rsidRDefault="00646116" w:rsidP="00646116">
      <w:pPr>
        <w:rPr>
          <w:szCs w:val="20"/>
        </w:rPr>
      </w:pPr>
      <w:r>
        <w:rPr>
          <w:noProof/>
          <w:szCs w:val="20"/>
        </w:rPr>
        <w:drawing>
          <wp:inline distT="0" distB="0" distL="0" distR="0" wp14:anchorId="09E036D7" wp14:editId="6545C963">
            <wp:extent cx="5731510" cy="5257320"/>
            <wp:effectExtent l="0" t="0" r="2540" b="635"/>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500" t="7268"/>
                    <a:stretch/>
                  </pic:blipFill>
                  <pic:spPr bwMode="auto">
                    <a:xfrm>
                      <a:off x="0" y="0"/>
                      <a:ext cx="5731510" cy="5257320"/>
                    </a:xfrm>
                    <a:prstGeom prst="rect">
                      <a:avLst/>
                    </a:prstGeom>
                    <a:noFill/>
                    <a:ln>
                      <a:noFill/>
                    </a:ln>
                    <a:extLst>
                      <a:ext uri="{53640926-AAD7-44D8-BBD7-CCE9431645EC}">
                        <a14:shadowObscured xmlns:a14="http://schemas.microsoft.com/office/drawing/2010/main"/>
                      </a:ext>
                    </a:extLst>
                  </pic:spPr>
                </pic:pic>
              </a:graphicData>
            </a:graphic>
          </wp:inline>
        </w:drawing>
      </w:r>
    </w:p>
    <w:sectPr w:rsidR="001913B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ACFB0" w14:textId="77777777" w:rsidR="0009371D" w:rsidRDefault="0009371D" w:rsidP="00CF2DFA">
      <w:pPr>
        <w:spacing w:after="0"/>
      </w:pPr>
      <w:r>
        <w:separator/>
      </w:r>
    </w:p>
  </w:endnote>
  <w:endnote w:type="continuationSeparator" w:id="0">
    <w:p w14:paraId="2B3F9FA7" w14:textId="77777777" w:rsidR="0009371D" w:rsidRDefault="0009371D"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AA3E666" w14:textId="0E4756EC" w:rsidR="002E125B" w:rsidRDefault="002E125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554E7A">
          <w:rPr>
            <w:b/>
            <w:bCs/>
            <w:noProof/>
            <w:sz w:val="18"/>
            <w:szCs w:val="18"/>
          </w:rPr>
          <w:t>15</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6CCA96AB" w14:textId="77777777" w:rsidR="002E125B" w:rsidRPr="003F7CB9" w:rsidRDefault="002E125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759EA" w14:textId="77777777" w:rsidR="0009371D" w:rsidRDefault="0009371D" w:rsidP="00CF2DFA">
      <w:pPr>
        <w:spacing w:after="0"/>
      </w:pPr>
      <w:r>
        <w:separator/>
      </w:r>
    </w:p>
  </w:footnote>
  <w:footnote w:type="continuationSeparator" w:id="0">
    <w:p w14:paraId="652D98BE" w14:textId="77777777" w:rsidR="0009371D" w:rsidRDefault="0009371D"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2A05D40"/>
    <w:multiLevelType w:val="hybridMultilevel"/>
    <w:tmpl w:val="70B4437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2559E5"/>
    <w:multiLevelType w:val="hybridMultilevel"/>
    <w:tmpl w:val="F55423D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0A3E7A"/>
    <w:multiLevelType w:val="hybridMultilevel"/>
    <w:tmpl w:val="78EC7AB0"/>
    <w:lvl w:ilvl="0" w:tplc="FB4AF52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7"/>
  </w:num>
  <w:num w:numId="26">
    <w:abstractNumId w:val="3"/>
  </w:num>
  <w:num w:numId="27">
    <w:abstractNumId w:val="14"/>
  </w:num>
  <w:num w:numId="28">
    <w:abstractNumId w:val="10"/>
  </w:num>
  <w:num w:numId="29">
    <w:abstractNumId w:val="19"/>
  </w:num>
  <w:num w:numId="30">
    <w:abstractNumId w:val="2"/>
  </w:num>
  <w:num w:numId="31">
    <w:abstractNumId w:val="16"/>
  </w:num>
  <w:num w:numId="32">
    <w:abstractNumId w:val="6"/>
  </w:num>
  <w:num w:numId="33">
    <w:abstractNumId w:val="15"/>
  </w:num>
  <w:num w:numId="34">
    <w:abstractNumId w:val="5"/>
  </w:num>
  <w:num w:numId="35">
    <w:abstractNumId w:val="11"/>
  </w:num>
  <w:num w:numId="36">
    <w:abstractNumId w:val="0"/>
  </w:num>
  <w:num w:numId="37">
    <w:abstractNumId w:val="21"/>
  </w:num>
  <w:num w:numId="38">
    <w:abstractNumId w:val="1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3899"/>
    <w:rsid w:val="0000757E"/>
    <w:rsid w:val="000110DC"/>
    <w:rsid w:val="000158AA"/>
    <w:rsid w:val="000159B9"/>
    <w:rsid w:val="00016B6E"/>
    <w:rsid w:val="00023E21"/>
    <w:rsid w:val="00025ABC"/>
    <w:rsid w:val="00026412"/>
    <w:rsid w:val="00031F6F"/>
    <w:rsid w:val="00034D6E"/>
    <w:rsid w:val="00044F67"/>
    <w:rsid w:val="00047C4C"/>
    <w:rsid w:val="0005089D"/>
    <w:rsid w:val="000525BC"/>
    <w:rsid w:val="00062EB0"/>
    <w:rsid w:val="00073222"/>
    <w:rsid w:val="000770BA"/>
    <w:rsid w:val="00083ACE"/>
    <w:rsid w:val="000846F0"/>
    <w:rsid w:val="00091098"/>
    <w:rsid w:val="00092580"/>
    <w:rsid w:val="0009357D"/>
    <w:rsid w:val="0009371D"/>
    <w:rsid w:val="00095586"/>
    <w:rsid w:val="000955E7"/>
    <w:rsid w:val="000A110D"/>
    <w:rsid w:val="000A2F10"/>
    <w:rsid w:val="000A478F"/>
    <w:rsid w:val="000A5B32"/>
    <w:rsid w:val="000B3CD0"/>
    <w:rsid w:val="000D066E"/>
    <w:rsid w:val="000D0831"/>
    <w:rsid w:val="000D48E2"/>
    <w:rsid w:val="000E2DBD"/>
    <w:rsid w:val="000E47E7"/>
    <w:rsid w:val="000E5439"/>
    <w:rsid w:val="00102686"/>
    <w:rsid w:val="0011036E"/>
    <w:rsid w:val="001130B0"/>
    <w:rsid w:val="0011369B"/>
    <w:rsid w:val="0011742E"/>
    <w:rsid w:val="00123D10"/>
    <w:rsid w:val="00124A24"/>
    <w:rsid w:val="00126B33"/>
    <w:rsid w:val="00127784"/>
    <w:rsid w:val="00140215"/>
    <w:rsid w:val="00154B00"/>
    <w:rsid w:val="001644E9"/>
    <w:rsid w:val="00166433"/>
    <w:rsid w:val="001845D9"/>
    <w:rsid w:val="0018630F"/>
    <w:rsid w:val="001906CD"/>
    <w:rsid w:val="001913B7"/>
    <w:rsid w:val="00191B99"/>
    <w:rsid w:val="0019694B"/>
    <w:rsid w:val="00197D29"/>
    <w:rsid w:val="001A02E3"/>
    <w:rsid w:val="001A1ADF"/>
    <w:rsid w:val="001A365C"/>
    <w:rsid w:val="001B171D"/>
    <w:rsid w:val="001B29A1"/>
    <w:rsid w:val="001B5169"/>
    <w:rsid w:val="001B6164"/>
    <w:rsid w:val="001D3EFE"/>
    <w:rsid w:val="001D77ED"/>
    <w:rsid w:val="001E1180"/>
    <w:rsid w:val="001E23EA"/>
    <w:rsid w:val="001E6919"/>
    <w:rsid w:val="001E6958"/>
    <w:rsid w:val="001F2B22"/>
    <w:rsid w:val="001F381D"/>
    <w:rsid w:val="001F4C27"/>
    <w:rsid w:val="00201924"/>
    <w:rsid w:val="00202473"/>
    <w:rsid w:val="002053F2"/>
    <w:rsid w:val="00206D63"/>
    <w:rsid w:val="0021185D"/>
    <w:rsid w:val="00214FA8"/>
    <w:rsid w:val="0022076F"/>
    <w:rsid w:val="002232A2"/>
    <w:rsid w:val="00226777"/>
    <w:rsid w:val="0022736B"/>
    <w:rsid w:val="00235BD1"/>
    <w:rsid w:val="00242B0E"/>
    <w:rsid w:val="0024518F"/>
    <w:rsid w:val="00247DF0"/>
    <w:rsid w:val="00254813"/>
    <w:rsid w:val="00257FF2"/>
    <w:rsid w:val="00260718"/>
    <w:rsid w:val="00265822"/>
    <w:rsid w:val="0027105F"/>
    <w:rsid w:val="002711FB"/>
    <w:rsid w:val="00282300"/>
    <w:rsid w:val="00282BE8"/>
    <w:rsid w:val="00283318"/>
    <w:rsid w:val="00283E2C"/>
    <w:rsid w:val="00284A5D"/>
    <w:rsid w:val="00285525"/>
    <w:rsid w:val="002931A1"/>
    <w:rsid w:val="00294CD8"/>
    <w:rsid w:val="002A270B"/>
    <w:rsid w:val="002A50FD"/>
    <w:rsid w:val="002A6753"/>
    <w:rsid w:val="002B28D7"/>
    <w:rsid w:val="002B7EB6"/>
    <w:rsid w:val="002C0B61"/>
    <w:rsid w:val="002C15E6"/>
    <w:rsid w:val="002C247D"/>
    <w:rsid w:val="002C3345"/>
    <w:rsid w:val="002D2FD5"/>
    <w:rsid w:val="002D409A"/>
    <w:rsid w:val="002D6762"/>
    <w:rsid w:val="002E125B"/>
    <w:rsid w:val="002F30E7"/>
    <w:rsid w:val="00300EEB"/>
    <w:rsid w:val="003013A9"/>
    <w:rsid w:val="00301958"/>
    <w:rsid w:val="003020B5"/>
    <w:rsid w:val="003027BB"/>
    <w:rsid w:val="0030319D"/>
    <w:rsid w:val="00307B52"/>
    <w:rsid w:val="00310A10"/>
    <w:rsid w:val="003177BB"/>
    <w:rsid w:val="00317C66"/>
    <w:rsid w:val="003215BD"/>
    <w:rsid w:val="00327D25"/>
    <w:rsid w:val="0033065A"/>
    <w:rsid w:val="003319A7"/>
    <w:rsid w:val="00332C3E"/>
    <w:rsid w:val="00334FE3"/>
    <w:rsid w:val="003421AE"/>
    <w:rsid w:val="003433D1"/>
    <w:rsid w:val="00344B24"/>
    <w:rsid w:val="003456B9"/>
    <w:rsid w:val="0035067D"/>
    <w:rsid w:val="00353A16"/>
    <w:rsid w:val="0035776D"/>
    <w:rsid w:val="00357C3C"/>
    <w:rsid w:val="00362E98"/>
    <w:rsid w:val="00364FD9"/>
    <w:rsid w:val="00367C1B"/>
    <w:rsid w:val="00376B61"/>
    <w:rsid w:val="00382407"/>
    <w:rsid w:val="00386A64"/>
    <w:rsid w:val="00386FA1"/>
    <w:rsid w:val="0038706C"/>
    <w:rsid w:val="00390142"/>
    <w:rsid w:val="0039031B"/>
    <w:rsid w:val="003904AC"/>
    <w:rsid w:val="00392F00"/>
    <w:rsid w:val="00397377"/>
    <w:rsid w:val="003A1D85"/>
    <w:rsid w:val="003A22DE"/>
    <w:rsid w:val="003A2860"/>
    <w:rsid w:val="003A3C35"/>
    <w:rsid w:val="003A7D30"/>
    <w:rsid w:val="003B3C5C"/>
    <w:rsid w:val="003C10B7"/>
    <w:rsid w:val="003C47CA"/>
    <w:rsid w:val="003C6310"/>
    <w:rsid w:val="003D6DE1"/>
    <w:rsid w:val="003D795C"/>
    <w:rsid w:val="003E30FB"/>
    <w:rsid w:val="003E6F28"/>
    <w:rsid w:val="003F2711"/>
    <w:rsid w:val="003F6C70"/>
    <w:rsid w:val="003F7CB9"/>
    <w:rsid w:val="004029C1"/>
    <w:rsid w:val="00403333"/>
    <w:rsid w:val="00407C70"/>
    <w:rsid w:val="00411735"/>
    <w:rsid w:val="004118BD"/>
    <w:rsid w:val="00415C74"/>
    <w:rsid w:val="00415D09"/>
    <w:rsid w:val="00425BAD"/>
    <w:rsid w:val="00426744"/>
    <w:rsid w:val="0043654D"/>
    <w:rsid w:val="00437845"/>
    <w:rsid w:val="00437F60"/>
    <w:rsid w:val="00451840"/>
    <w:rsid w:val="00460C9A"/>
    <w:rsid w:val="00464924"/>
    <w:rsid w:val="00472D33"/>
    <w:rsid w:val="0047581D"/>
    <w:rsid w:val="00480289"/>
    <w:rsid w:val="00481279"/>
    <w:rsid w:val="00481382"/>
    <w:rsid w:val="00483368"/>
    <w:rsid w:val="00485132"/>
    <w:rsid w:val="0049188A"/>
    <w:rsid w:val="00493E1F"/>
    <w:rsid w:val="00494011"/>
    <w:rsid w:val="00494679"/>
    <w:rsid w:val="00497407"/>
    <w:rsid w:val="004A0BF4"/>
    <w:rsid w:val="004A263B"/>
    <w:rsid w:val="004A7EC2"/>
    <w:rsid w:val="004B68AE"/>
    <w:rsid w:val="004C2615"/>
    <w:rsid w:val="004C35B0"/>
    <w:rsid w:val="004C49EF"/>
    <w:rsid w:val="004C4A19"/>
    <w:rsid w:val="004C4A69"/>
    <w:rsid w:val="004C5570"/>
    <w:rsid w:val="004D00C9"/>
    <w:rsid w:val="004E16F5"/>
    <w:rsid w:val="004E3CC7"/>
    <w:rsid w:val="004E5B69"/>
    <w:rsid w:val="004F2539"/>
    <w:rsid w:val="004F2A87"/>
    <w:rsid w:val="00507C56"/>
    <w:rsid w:val="00517D22"/>
    <w:rsid w:val="00517F18"/>
    <w:rsid w:val="0052344E"/>
    <w:rsid w:val="0052574B"/>
    <w:rsid w:val="00526478"/>
    <w:rsid w:val="00527E01"/>
    <w:rsid w:val="00530204"/>
    <w:rsid w:val="00534C5F"/>
    <w:rsid w:val="00535F57"/>
    <w:rsid w:val="00540257"/>
    <w:rsid w:val="0054192F"/>
    <w:rsid w:val="00544EB3"/>
    <w:rsid w:val="0054594B"/>
    <w:rsid w:val="00545A00"/>
    <w:rsid w:val="0054749B"/>
    <w:rsid w:val="00551CC6"/>
    <w:rsid w:val="00554E7A"/>
    <w:rsid w:val="0056015F"/>
    <w:rsid w:val="00560541"/>
    <w:rsid w:val="005629D4"/>
    <w:rsid w:val="005672D0"/>
    <w:rsid w:val="00572CEB"/>
    <w:rsid w:val="005834C9"/>
    <w:rsid w:val="00586842"/>
    <w:rsid w:val="005A58BA"/>
    <w:rsid w:val="005A5D30"/>
    <w:rsid w:val="005A6AB9"/>
    <w:rsid w:val="005B047A"/>
    <w:rsid w:val="005B1AF0"/>
    <w:rsid w:val="005B6735"/>
    <w:rsid w:val="005C2946"/>
    <w:rsid w:val="005C333E"/>
    <w:rsid w:val="005C3AE7"/>
    <w:rsid w:val="005D0677"/>
    <w:rsid w:val="005D5604"/>
    <w:rsid w:val="005E294C"/>
    <w:rsid w:val="005E2CE3"/>
    <w:rsid w:val="005F3F07"/>
    <w:rsid w:val="005F5590"/>
    <w:rsid w:val="005F7E46"/>
    <w:rsid w:val="00603D04"/>
    <w:rsid w:val="00605C11"/>
    <w:rsid w:val="00606857"/>
    <w:rsid w:val="00615F42"/>
    <w:rsid w:val="006258C2"/>
    <w:rsid w:val="00626365"/>
    <w:rsid w:val="00630E22"/>
    <w:rsid w:val="0063437D"/>
    <w:rsid w:val="0064168C"/>
    <w:rsid w:val="00642017"/>
    <w:rsid w:val="00646116"/>
    <w:rsid w:val="0064765F"/>
    <w:rsid w:val="006573F9"/>
    <w:rsid w:val="00657B46"/>
    <w:rsid w:val="006764EC"/>
    <w:rsid w:val="00682E59"/>
    <w:rsid w:val="006835FE"/>
    <w:rsid w:val="00687206"/>
    <w:rsid w:val="00693BFD"/>
    <w:rsid w:val="00695065"/>
    <w:rsid w:val="006A1038"/>
    <w:rsid w:val="006A649A"/>
    <w:rsid w:val="006A68F8"/>
    <w:rsid w:val="006A6C9E"/>
    <w:rsid w:val="006B1B49"/>
    <w:rsid w:val="006B32BA"/>
    <w:rsid w:val="006B6390"/>
    <w:rsid w:val="006B6D29"/>
    <w:rsid w:val="006C0356"/>
    <w:rsid w:val="006C0843"/>
    <w:rsid w:val="006C2037"/>
    <w:rsid w:val="006C74B1"/>
    <w:rsid w:val="006D56C0"/>
    <w:rsid w:val="006E57AA"/>
    <w:rsid w:val="006E7621"/>
    <w:rsid w:val="006F20CF"/>
    <w:rsid w:val="006F38ED"/>
    <w:rsid w:val="00707D4D"/>
    <w:rsid w:val="007127D6"/>
    <w:rsid w:val="007177EF"/>
    <w:rsid w:val="00723446"/>
    <w:rsid w:val="00723503"/>
    <w:rsid w:val="00730C04"/>
    <w:rsid w:val="0073597B"/>
    <w:rsid w:val="0073616B"/>
    <w:rsid w:val="007361A6"/>
    <w:rsid w:val="007378F6"/>
    <w:rsid w:val="0074246A"/>
    <w:rsid w:val="0074545D"/>
    <w:rsid w:val="00751EB8"/>
    <w:rsid w:val="007522E3"/>
    <w:rsid w:val="0075335B"/>
    <w:rsid w:val="00753C44"/>
    <w:rsid w:val="00753C4C"/>
    <w:rsid w:val="00754383"/>
    <w:rsid w:val="007564D1"/>
    <w:rsid w:val="00757232"/>
    <w:rsid w:val="00760679"/>
    <w:rsid w:val="00762344"/>
    <w:rsid w:val="00763628"/>
    <w:rsid w:val="00767E99"/>
    <w:rsid w:val="00772E62"/>
    <w:rsid w:val="00775A6A"/>
    <w:rsid w:val="0077789B"/>
    <w:rsid w:val="0078031B"/>
    <w:rsid w:val="00780D29"/>
    <w:rsid w:val="00791C8D"/>
    <w:rsid w:val="0079354C"/>
    <w:rsid w:val="00794181"/>
    <w:rsid w:val="007A24A1"/>
    <w:rsid w:val="007A7F6F"/>
    <w:rsid w:val="007B4C76"/>
    <w:rsid w:val="007C2260"/>
    <w:rsid w:val="007C74B9"/>
    <w:rsid w:val="007D1E52"/>
    <w:rsid w:val="007D2358"/>
    <w:rsid w:val="007E39E4"/>
    <w:rsid w:val="007E6FB3"/>
    <w:rsid w:val="007F0F24"/>
    <w:rsid w:val="007F1E2C"/>
    <w:rsid w:val="007F21B4"/>
    <w:rsid w:val="007F7642"/>
    <w:rsid w:val="00802553"/>
    <w:rsid w:val="00803EAB"/>
    <w:rsid w:val="008046B5"/>
    <w:rsid w:val="00810224"/>
    <w:rsid w:val="008127C0"/>
    <w:rsid w:val="00812EDD"/>
    <w:rsid w:val="008139C5"/>
    <w:rsid w:val="0081650F"/>
    <w:rsid w:val="00816528"/>
    <w:rsid w:val="008264F6"/>
    <w:rsid w:val="00831481"/>
    <w:rsid w:val="00832B31"/>
    <w:rsid w:val="008403E0"/>
    <w:rsid w:val="0084657B"/>
    <w:rsid w:val="008470D6"/>
    <w:rsid w:val="00855944"/>
    <w:rsid w:val="00862D8E"/>
    <w:rsid w:val="00864A18"/>
    <w:rsid w:val="00866051"/>
    <w:rsid w:val="00867351"/>
    <w:rsid w:val="00870833"/>
    <w:rsid w:val="00874571"/>
    <w:rsid w:val="008816A3"/>
    <w:rsid w:val="00881F93"/>
    <w:rsid w:val="00882CB5"/>
    <w:rsid w:val="00883641"/>
    <w:rsid w:val="00883678"/>
    <w:rsid w:val="00884E69"/>
    <w:rsid w:val="00890082"/>
    <w:rsid w:val="008A48D2"/>
    <w:rsid w:val="008A7423"/>
    <w:rsid w:val="008B01EF"/>
    <w:rsid w:val="008B2610"/>
    <w:rsid w:val="008B355D"/>
    <w:rsid w:val="008B471D"/>
    <w:rsid w:val="008B49E4"/>
    <w:rsid w:val="008B729C"/>
    <w:rsid w:val="008C4913"/>
    <w:rsid w:val="008C4A93"/>
    <w:rsid w:val="008D089B"/>
    <w:rsid w:val="008D1BEB"/>
    <w:rsid w:val="008D7F75"/>
    <w:rsid w:val="008E0E49"/>
    <w:rsid w:val="008E35FD"/>
    <w:rsid w:val="008E6227"/>
    <w:rsid w:val="008E6875"/>
    <w:rsid w:val="008E78B9"/>
    <w:rsid w:val="008F07AB"/>
    <w:rsid w:val="008F2365"/>
    <w:rsid w:val="008F3E9A"/>
    <w:rsid w:val="00901558"/>
    <w:rsid w:val="00901F1C"/>
    <w:rsid w:val="0090543D"/>
    <w:rsid w:val="009056C5"/>
    <w:rsid w:val="009061A4"/>
    <w:rsid w:val="00907648"/>
    <w:rsid w:val="009262F2"/>
    <w:rsid w:val="00937791"/>
    <w:rsid w:val="00951933"/>
    <w:rsid w:val="00953FC4"/>
    <w:rsid w:val="00954343"/>
    <w:rsid w:val="00955271"/>
    <w:rsid w:val="00963C9C"/>
    <w:rsid w:val="00965B6B"/>
    <w:rsid w:val="00970901"/>
    <w:rsid w:val="00971EDB"/>
    <w:rsid w:val="00974D50"/>
    <w:rsid w:val="0097708E"/>
    <w:rsid w:val="009840AD"/>
    <w:rsid w:val="00987ABE"/>
    <w:rsid w:val="00991EE4"/>
    <w:rsid w:val="009939DC"/>
    <w:rsid w:val="00993B9C"/>
    <w:rsid w:val="009A1A39"/>
    <w:rsid w:val="009B402B"/>
    <w:rsid w:val="009B4E1E"/>
    <w:rsid w:val="009C03FB"/>
    <w:rsid w:val="009C1E6F"/>
    <w:rsid w:val="009C4B4F"/>
    <w:rsid w:val="009D417E"/>
    <w:rsid w:val="009D5F8E"/>
    <w:rsid w:val="009F0C02"/>
    <w:rsid w:val="009F5758"/>
    <w:rsid w:val="009F6941"/>
    <w:rsid w:val="009F6FF7"/>
    <w:rsid w:val="009F7C8D"/>
    <w:rsid w:val="00A0283F"/>
    <w:rsid w:val="00A041C2"/>
    <w:rsid w:val="00A04F4A"/>
    <w:rsid w:val="00A16C6D"/>
    <w:rsid w:val="00A2122E"/>
    <w:rsid w:val="00A26343"/>
    <w:rsid w:val="00A408B5"/>
    <w:rsid w:val="00A529E2"/>
    <w:rsid w:val="00A539F8"/>
    <w:rsid w:val="00A6491A"/>
    <w:rsid w:val="00A6594E"/>
    <w:rsid w:val="00A716F6"/>
    <w:rsid w:val="00A727B6"/>
    <w:rsid w:val="00A73149"/>
    <w:rsid w:val="00A75F4D"/>
    <w:rsid w:val="00A76E4B"/>
    <w:rsid w:val="00A81CC6"/>
    <w:rsid w:val="00A8251A"/>
    <w:rsid w:val="00A83EC6"/>
    <w:rsid w:val="00A8732C"/>
    <w:rsid w:val="00A9062D"/>
    <w:rsid w:val="00A93F58"/>
    <w:rsid w:val="00A96329"/>
    <w:rsid w:val="00AA134B"/>
    <w:rsid w:val="00AA2CFE"/>
    <w:rsid w:val="00AA5FDA"/>
    <w:rsid w:val="00AA6291"/>
    <w:rsid w:val="00AC0C91"/>
    <w:rsid w:val="00AC339D"/>
    <w:rsid w:val="00AC6772"/>
    <w:rsid w:val="00AD37D4"/>
    <w:rsid w:val="00AD7986"/>
    <w:rsid w:val="00AE1188"/>
    <w:rsid w:val="00AE367B"/>
    <w:rsid w:val="00AE71E7"/>
    <w:rsid w:val="00AE738C"/>
    <w:rsid w:val="00AF0944"/>
    <w:rsid w:val="00AF1046"/>
    <w:rsid w:val="00AF3A5A"/>
    <w:rsid w:val="00AF4466"/>
    <w:rsid w:val="00AF5C6E"/>
    <w:rsid w:val="00AF5D1E"/>
    <w:rsid w:val="00B01DA6"/>
    <w:rsid w:val="00B040A9"/>
    <w:rsid w:val="00B14CD3"/>
    <w:rsid w:val="00B1711E"/>
    <w:rsid w:val="00B17CBE"/>
    <w:rsid w:val="00B17E26"/>
    <w:rsid w:val="00B231A4"/>
    <w:rsid w:val="00B247B3"/>
    <w:rsid w:val="00B25D20"/>
    <w:rsid w:val="00B30741"/>
    <w:rsid w:val="00B31004"/>
    <w:rsid w:val="00B31C99"/>
    <w:rsid w:val="00B36DBE"/>
    <w:rsid w:val="00B50F66"/>
    <w:rsid w:val="00B53BA6"/>
    <w:rsid w:val="00B5731D"/>
    <w:rsid w:val="00B60D04"/>
    <w:rsid w:val="00B623C6"/>
    <w:rsid w:val="00B6378B"/>
    <w:rsid w:val="00B63E3A"/>
    <w:rsid w:val="00B75965"/>
    <w:rsid w:val="00B771AD"/>
    <w:rsid w:val="00B77F37"/>
    <w:rsid w:val="00B814CB"/>
    <w:rsid w:val="00B87EF6"/>
    <w:rsid w:val="00B90FB1"/>
    <w:rsid w:val="00B93674"/>
    <w:rsid w:val="00B938D5"/>
    <w:rsid w:val="00B94BE0"/>
    <w:rsid w:val="00BA00CE"/>
    <w:rsid w:val="00BA0CF8"/>
    <w:rsid w:val="00BA1ADF"/>
    <w:rsid w:val="00BA51FC"/>
    <w:rsid w:val="00BA64EC"/>
    <w:rsid w:val="00BB003A"/>
    <w:rsid w:val="00BB3358"/>
    <w:rsid w:val="00BB3382"/>
    <w:rsid w:val="00BB3643"/>
    <w:rsid w:val="00BB45B3"/>
    <w:rsid w:val="00BB7806"/>
    <w:rsid w:val="00BC3DA0"/>
    <w:rsid w:val="00BC424B"/>
    <w:rsid w:val="00BC60EC"/>
    <w:rsid w:val="00BD021F"/>
    <w:rsid w:val="00BD1886"/>
    <w:rsid w:val="00BD2DCA"/>
    <w:rsid w:val="00BE0DCE"/>
    <w:rsid w:val="00BE0FDE"/>
    <w:rsid w:val="00BE2E82"/>
    <w:rsid w:val="00BE40EA"/>
    <w:rsid w:val="00BF5446"/>
    <w:rsid w:val="00BF6AC5"/>
    <w:rsid w:val="00C01121"/>
    <w:rsid w:val="00C030A5"/>
    <w:rsid w:val="00C05A45"/>
    <w:rsid w:val="00C0796F"/>
    <w:rsid w:val="00C11B34"/>
    <w:rsid w:val="00C12C5C"/>
    <w:rsid w:val="00C171FB"/>
    <w:rsid w:val="00C209C2"/>
    <w:rsid w:val="00C2267F"/>
    <w:rsid w:val="00C22AD8"/>
    <w:rsid w:val="00C27A84"/>
    <w:rsid w:val="00C3557E"/>
    <w:rsid w:val="00C3594B"/>
    <w:rsid w:val="00C43102"/>
    <w:rsid w:val="00C4696B"/>
    <w:rsid w:val="00C46B26"/>
    <w:rsid w:val="00C50513"/>
    <w:rsid w:val="00C54503"/>
    <w:rsid w:val="00C63055"/>
    <w:rsid w:val="00C73859"/>
    <w:rsid w:val="00C73B62"/>
    <w:rsid w:val="00C776B1"/>
    <w:rsid w:val="00C808B5"/>
    <w:rsid w:val="00C815FE"/>
    <w:rsid w:val="00C81FA0"/>
    <w:rsid w:val="00C847AE"/>
    <w:rsid w:val="00C9125E"/>
    <w:rsid w:val="00C94AA2"/>
    <w:rsid w:val="00CA04C6"/>
    <w:rsid w:val="00CA26DD"/>
    <w:rsid w:val="00CA4795"/>
    <w:rsid w:val="00CB12EC"/>
    <w:rsid w:val="00CC09D7"/>
    <w:rsid w:val="00CC12B8"/>
    <w:rsid w:val="00CC5AB1"/>
    <w:rsid w:val="00CC7679"/>
    <w:rsid w:val="00CD0989"/>
    <w:rsid w:val="00CD22E3"/>
    <w:rsid w:val="00CD4E44"/>
    <w:rsid w:val="00CD5AE4"/>
    <w:rsid w:val="00CD7A7D"/>
    <w:rsid w:val="00CF2D8E"/>
    <w:rsid w:val="00CF2DFA"/>
    <w:rsid w:val="00CF36B1"/>
    <w:rsid w:val="00CF3F5B"/>
    <w:rsid w:val="00CF5AD8"/>
    <w:rsid w:val="00D00122"/>
    <w:rsid w:val="00D01D2A"/>
    <w:rsid w:val="00D10B47"/>
    <w:rsid w:val="00D11EB1"/>
    <w:rsid w:val="00D159DD"/>
    <w:rsid w:val="00D17F17"/>
    <w:rsid w:val="00D23597"/>
    <w:rsid w:val="00D30BDC"/>
    <w:rsid w:val="00D30F4A"/>
    <w:rsid w:val="00D31DDF"/>
    <w:rsid w:val="00D3277B"/>
    <w:rsid w:val="00D57F88"/>
    <w:rsid w:val="00D70176"/>
    <w:rsid w:val="00D7105C"/>
    <w:rsid w:val="00D72F2F"/>
    <w:rsid w:val="00D73646"/>
    <w:rsid w:val="00D777B4"/>
    <w:rsid w:val="00D77A90"/>
    <w:rsid w:val="00D80F2F"/>
    <w:rsid w:val="00D8360B"/>
    <w:rsid w:val="00D85676"/>
    <w:rsid w:val="00D85B89"/>
    <w:rsid w:val="00D96ADA"/>
    <w:rsid w:val="00DA1B72"/>
    <w:rsid w:val="00DA2886"/>
    <w:rsid w:val="00DA5E50"/>
    <w:rsid w:val="00DA7D0C"/>
    <w:rsid w:val="00DA7EF3"/>
    <w:rsid w:val="00DB311C"/>
    <w:rsid w:val="00DB432D"/>
    <w:rsid w:val="00DB519B"/>
    <w:rsid w:val="00DC7694"/>
    <w:rsid w:val="00DC7FBE"/>
    <w:rsid w:val="00DD130E"/>
    <w:rsid w:val="00DD308E"/>
    <w:rsid w:val="00DF0C51"/>
    <w:rsid w:val="00DF0D47"/>
    <w:rsid w:val="00DF1652"/>
    <w:rsid w:val="00DF1BAC"/>
    <w:rsid w:val="00DF584A"/>
    <w:rsid w:val="00DF6D37"/>
    <w:rsid w:val="00E039D3"/>
    <w:rsid w:val="00E048ED"/>
    <w:rsid w:val="00E04FB3"/>
    <w:rsid w:val="00E05841"/>
    <w:rsid w:val="00E058F2"/>
    <w:rsid w:val="00E05D9C"/>
    <w:rsid w:val="00E06102"/>
    <w:rsid w:val="00E23E71"/>
    <w:rsid w:val="00E250E8"/>
    <w:rsid w:val="00E30F19"/>
    <w:rsid w:val="00E32293"/>
    <w:rsid w:val="00E33C4A"/>
    <w:rsid w:val="00E357B9"/>
    <w:rsid w:val="00E4321E"/>
    <w:rsid w:val="00E44003"/>
    <w:rsid w:val="00E44B80"/>
    <w:rsid w:val="00E47623"/>
    <w:rsid w:val="00E545E6"/>
    <w:rsid w:val="00E60529"/>
    <w:rsid w:val="00E641EF"/>
    <w:rsid w:val="00E70D86"/>
    <w:rsid w:val="00E74125"/>
    <w:rsid w:val="00E7628E"/>
    <w:rsid w:val="00E76359"/>
    <w:rsid w:val="00E82F54"/>
    <w:rsid w:val="00E8649B"/>
    <w:rsid w:val="00E871CD"/>
    <w:rsid w:val="00E90990"/>
    <w:rsid w:val="00E91B71"/>
    <w:rsid w:val="00E95D3D"/>
    <w:rsid w:val="00EA0E25"/>
    <w:rsid w:val="00EA0F55"/>
    <w:rsid w:val="00EA173C"/>
    <w:rsid w:val="00EC127A"/>
    <w:rsid w:val="00EC1FF9"/>
    <w:rsid w:val="00EC2737"/>
    <w:rsid w:val="00EC2B9D"/>
    <w:rsid w:val="00EC40CD"/>
    <w:rsid w:val="00ED46EC"/>
    <w:rsid w:val="00EE0703"/>
    <w:rsid w:val="00EE2486"/>
    <w:rsid w:val="00EE2716"/>
    <w:rsid w:val="00EE6450"/>
    <w:rsid w:val="00EF3434"/>
    <w:rsid w:val="00F01C2C"/>
    <w:rsid w:val="00F10ED8"/>
    <w:rsid w:val="00F16FE3"/>
    <w:rsid w:val="00F222BE"/>
    <w:rsid w:val="00F24179"/>
    <w:rsid w:val="00F25488"/>
    <w:rsid w:val="00F301F1"/>
    <w:rsid w:val="00F30C22"/>
    <w:rsid w:val="00F329BF"/>
    <w:rsid w:val="00F33F1A"/>
    <w:rsid w:val="00F41208"/>
    <w:rsid w:val="00F547F7"/>
    <w:rsid w:val="00F54CCF"/>
    <w:rsid w:val="00F61D7A"/>
    <w:rsid w:val="00F637B3"/>
    <w:rsid w:val="00F66CF7"/>
    <w:rsid w:val="00F67BCB"/>
    <w:rsid w:val="00F76FCF"/>
    <w:rsid w:val="00F77C57"/>
    <w:rsid w:val="00F813C7"/>
    <w:rsid w:val="00F83566"/>
    <w:rsid w:val="00F83A9D"/>
    <w:rsid w:val="00F87AAA"/>
    <w:rsid w:val="00F906B5"/>
    <w:rsid w:val="00F93707"/>
    <w:rsid w:val="00F93784"/>
    <w:rsid w:val="00F971CC"/>
    <w:rsid w:val="00FA2CAA"/>
    <w:rsid w:val="00FA3822"/>
    <w:rsid w:val="00FA3DA1"/>
    <w:rsid w:val="00FA6554"/>
    <w:rsid w:val="00FB43F4"/>
    <w:rsid w:val="00FC450D"/>
    <w:rsid w:val="00FD6F53"/>
    <w:rsid w:val="00FE16C1"/>
    <w:rsid w:val="00FE19FF"/>
    <w:rsid w:val="00FE33A6"/>
    <w:rsid w:val="00FE5452"/>
    <w:rsid w:val="00FE5EFF"/>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34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UnresolvedMention">
    <w:name w:val="Unresolved Mention"/>
    <w:basedOn w:val="DefaultParagraphFont"/>
    <w:uiPriority w:val="99"/>
    <w:semiHidden/>
    <w:unhideWhenUsed/>
    <w:rsid w:val="00AF5C6E"/>
    <w:rPr>
      <w:color w:val="605E5C"/>
      <w:shd w:val="clear" w:color="auto" w:fill="E1DFDD"/>
    </w:rPr>
  </w:style>
  <w:style w:type="character" w:styleId="FollowedHyperlink">
    <w:name w:val="FollowedHyperlink"/>
    <w:basedOn w:val="DefaultParagraphFont"/>
    <w:uiPriority w:val="99"/>
    <w:semiHidden/>
    <w:unhideWhenUsed/>
    <w:rsid w:val="002E12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020283069">
      <w:bodyDiv w:val="1"/>
      <w:marLeft w:val="0"/>
      <w:marRight w:val="0"/>
      <w:marTop w:val="0"/>
      <w:marBottom w:val="0"/>
      <w:divBdr>
        <w:top w:val="none" w:sz="0" w:space="0" w:color="auto"/>
        <w:left w:val="none" w:sz="0" w:space="0" w:color="auto"/>
        <w:bottom w:val="none" w:sz="0" w:space="0" w:color="auto"/>
        <w:right w:val="none" w:sz="0" w:space="0" w:color="auto"/>
      </w:divBdr>
    </w:div>
    <w:div w:id="1548756008">
      <w:bodyDiv w:val="1"/>
      <w:marLeft w:val="0"/>
      <w:marRight w:val="0"/>
      <w:marTop w:val="0"/>
      <w:marBottom w:val="0"/>
      <w:divBdr>
        <w:top w:val="none" w:sz="0" w:space="0" w:color="auto"/>
        <w:left w:val="none" w:sz="0" w:space="0" w:color="auto"/>
        <w:bottom w:val="none" w:sz="0" w:space="0" w:color="auto"/>
        <w:right w:val="none" w:sz="0" w:space="0" w:color="auto"/>
      </w:divBdr>
    </w:div>
    <w:div w:id="164077051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4EDE-14C9-418B-B8DE-94988F0F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6532</Words>
  <Characters>37238</Characters>
  <Application>Microsoft Office Word</Application>
  <DocSecurity>0</DocSecurity>
  <Lines>310</Lines>
  <Paragraphs>87</Paragraphs>
  <ScaleCrop>false</ScaleCrop>
  <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2021-08-30T23:53:00Z</dcterms:created>
  <dcterms:modified xsi:type="dcterms:W3CDTF">2021-08-30T23:54:00Z</dcterms:modified>
</cp:coreProperties>
</file>