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425273" w14:textId="12467021" w:rsidR="005C57FB" w:rsidRDefault="0044715D" w:rsidP="0044715D">
      <w:pPr>
        <w:spacing w:before="120" w:after="120" w:line="312" w:lineRule="auto"/>
        <w:jc w:val="center"/>
      </w:pPr>
      <w:bookmarkStart w:id="0" w:name="_Toc403747457"/>
      <w:bookmarkStart w:id="1" w:name="_Toc412039297"/>
      <w:r w:rsidRPr="008D5584">
        <w:rPr>
          <w:b/>
          <w:noProof/>
          <w:lang w:eastAsia="en-AU"/>
        </w:rPr>
        <w:drawing>
          <wp:inline distT="0" distB="0" distL="0" distR="0" wp14:anchorId="3B4BBE21" wp14:editId="63C9DE90">
            <wp:extent cx="1889760" cy="1226820"/>
            <wp:effectExtent l="0" t="0" r="0" b="0"/>
            <wp:docPr id="1" name="Picture 2"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33485E9B" w14:textId="69C347D4" w:rsidR="00AD324E" w:rsidRDefault="00AD324E" w:rsidP="0044715D">
      <w:pPr>
        <w:spacing w:before="120" w:after="120" w:line="312" w:lineRule="auto"/>
        <w:jc w:val="center"/>
      </w:pPr>
    </w:p>
    <w:p w14:paraId="03A780D2" w14:textId="77777777" w:rsidR="00AD324E" w:rsidRPr="00323092" w:rsidRDefault="00AD324E" w:rsidP="0044715D">
      <w:pPr>
        <w:spacing w:before="120" w:after="120" w:line="312" w:lineRule="auto"/>
        <w:jc w:val="center"/>
      </w:pPr>
    </w:p>
    <w:tbl>
      <w:tblPr>
        <w:tblStyle w:val="TableGrid"/>
        <w:tblW w:w="0" w:type="auto"/>
        <w:tblLook w:val="04A0" w:firstRow="1" w:lastRow="0" w:firstColumn="1" w:lastColumn="0" w:noHBand="0" w:noVBand="1"/>
        <w:tblCaption w:val="Text Box"/>
        <w:tblDescription w:val="Title"/>
      </w:tblPr>
      <w:tblGrid>
        <w:gridCol w:w="9016"/>
      </w:tblGrid>
      <w:tr w:rsidR="00D21D1E" w14:paraId="1B6E1298" w14:textId="77777777" w:rsidTr="00AD324E">
        <w:trPr>
          <w:tblHeader/>
        </w:trPr>
        <w:tc>
          <w:tcPr>
            <w:tcW w:w="9016" w:type="dxa"/>
            <w:tcBorders>
              <w:top w:val="single" w:sz="4" w:space="0" w:color="auto"/>
              <w:left w:val="single" w:sz="4" w:space="0" w:color="auto"/>
              <w:bottom w:val="single" w:sz="4" w:space="0" w:color="auto"/>
              <w:right w:val="single" w:sz="4" w:space="0" w:color="auto"/>
            </w:tcBorders>
            <w:hideMark/>
          </w:tcPr>
          <w:p w14:paraId="7950E20F" w14:textId="77777777" w:rsidR="00EA0400" w:rsidRDefault="00EA0400" w:rsidP="00EA0400">
            <w:pPr>
              <w:pStyle w:val="Heading10"/>
              <w:jc w:val="center"/>
              <w:rPr>
                <w:sz w:val="72"/>
                <w:szCs w:val="72"/>
                <w:lang w:val="en-AU" w:eastAsia="en-US"/>
              </w:rPr>
            </w:pPr>
            <w:r>
              <w:rPr>
                <w:sz w:val="72"/>
                <w:szCs w:val="72"/>
                <w:lang w:val="en-AU" w:eastAsia="en-US"/>
              </w:rPr>
              <w:t>RATIFIED</w:t>
            </w:r>
          </w:p>
          <w:p w14:paraId="3BE00008" w14:textId="46384F8E" w:rsidR="00D21D1E" w:rsidRPr="00EA0400" w:rsidRDefault="007E0A2D" w:rsidP="00EA0400">
            <w:pPr>
              <w:pStyle w:val="Heading10"/>
              <w:jc w:val="center"/>
              <w:rPr>
                <w:sz w:val="16"/>
                <w:szCs w:val="16"/>
                <w:lang w:eastAsia="en-US"/>
              </w:rPr>
            </w:pPr>
            <w:r>
              <w:rPr>
                <w:sz w:val="72"/>
                <w:szCs w:val="72"/>
                <w:lang w:val="en-AU" w:eastAsia="en-US"/>
              </w:rPr>
              <w:t>PICO CONFIRMATION</w:t>
            </w:r>
            <w:r>
              <w:rPr>
                <w:sz w:val="72"/>
                <w:szCs w:val="72"/>
                <w:lang w:val="en-AU" w:eastAsia="en-US"/>
              </w:rPr>
              <w:br/>
            </w:r>
          </w:p>
        </w:tc>
      </w:tr>
    </w:tbl>
    <w:p w14:paraId="59B24593" w14:textId="77777777" w:rsidR="007E0A2D" w:rsidRDefault="007E0A2D" w:rsidP="00A601AC">
      <w:pPr>
        <w:pStyle w:val="Heading10"/>
        <w:jc w:val="center"/>
        <w:rPr>
          <w:sz w:val="48"/>
          <w:szCs w:val="48"/>
        </w:rPr>
      </w:pPr>
    </w:p>
    <w:p w14:paraId="48817612" w14:textId="2AFA26E1" w:rsidR="0044715D" w:rsidRDefault="005F4D2F" w:rsidP="00A601AC">
      <w:pPr>
        <w:pStyle w:val="Heading10"/>
        <w:jc w:val="center"/>
        <w:rPr>
          <w:sz w:val="48"/>
          <w:szCs w:val="48"/>
        </w:rPr>
      </w:pPr>
      <w:r>
        <w:rPr>
          <w:sz w:val="48"/>
          <w:szCs w:val="48"/>
        </w:rPr>
        <w:t xml:space="preserve">Application </w:t>
      </w:r>
      <w:r w:rsidR="004162C3">
        <w:rPr>
          <w:sz w:val="48"/>
          <w:szCs w:val="48"/>
        </w:rPr>
        <w:t>1569</w:t>
      </w:r>
      <w:r w:rsidR="00303C94">
        <w:rPr>
          <w:sz w:val="48"/>
          <w:szCs w:val="48"/>
        </w:rPr>
        <w:t>:</w:t>
      </w:r>
    </w:p>
    <w:p w14:paraId="299B63DC" w14:textId="5AB4B8A2" w:rsidR="00303C94" w:rsidRPr="00587530" w:rsidRDefault="001E6CCE" w:rsidP="00A601AC">
      <w:pPr>
        <w:pStyle w:val="Heading10"/>
        <w:jc w:val="center"/>
        <w:rPr>
          <w:sz w:val="40"/>
          <w:szCs w:val="40"/>
        </w:rPr>
      </w:pPr>
      <w:r>
        <w:rPr>
          <w:color w:val="548DD4"/>
          <w:sz w:val="40"/>
          <w:szCs w:val="40"/>
        </w:rPr>
        <w:t>C</w:t>
      </w:r>
      <w:r w:rsidR="004162C3" w:rsidRPr="00587530">
        <w:rPr>
          <w:color w:val="548DD4"/>
          <w:sz w:val="40"/>
          <w:szCs w:val="40"/>
        </w:rPr>
        <w:t xml:space="preserve">hitosan-based cartilage biomatrix implant </w:t>
      </w:r>
      <w:r>
        <w:rPr>
          <w:color w:val="548DD4"/>
          <w:sz w:val="40"/>
          <w:szCs w:val="40"/>
        </w:rPr>
        <w:br/>
      </w:r>
      <w:r w:rsidR="004162C3" w:rsidRPr="00587530">
        <w:rPr>
          <w:color w:val="548DD4"/>
          <w:sz w:val="40"/>
          <w:szCs w:val="40"/>
        </w:rPr>
        <w:t>(BST-CarGel), in conjunction with the marrow stimulation technique (microfracture), for repair of focal cartilage defects (PLAC co-dependent)</w:t>
      </w:r>
    </w:p>
    <w:p w14:paraId="5CD277F1" w14:textId="77777777" w:rsidR="00587530" w:rsidRDefault="00587530" w:rsidP="00587530">
      <w:pPr>
        <w:spacing w:before="180"/>
        <w:jc w:val="center"/>
        <w:rPr>
          <w:rFonts w:ascii="Arial" w:hAnsi="Arial" w:cs="Arial"/>
          <w:b/>
          <w:color w:val="FF0000"/>
          <w:sz w:val="32"/>
          <w:szCs w:val="32"/>
          <w:u w:val="single"/>
        </w:rPr>
      </w:pPr>
    </w:p>
    <w:p w14:paraId="765D531D" w14:textId="77777777" w:rsidR="00F02AF2" w:rsidRDefault="00F02AF2">
      <w:pPr>
        <w:rPr>
          <w:rFonts w:cs="Calibri"/>
          <w:color w:val="2E75B6"/>
          <w:sz w:val="24"/>
          <w:szCs w:val="24"/>
          <w:lang w:eastAsia="en-AU"/>
        </w:rPr>
      </w:pPr>
      <w:r>
        <w:rPr>
          <w:rFonts w:cs="Calibri"/>
          <w:color w:val="2E75B6"/>
          <w:sz w:val="24"/>
          <w:szCs w:val="24"/>
          <w:lang w:eastAsia="en-AU"/>
        </w:rPr>
        <w:br w:type="page"/>
      </w:r>
    </w:p>
    <w:p w14:paraId="21A47BBD" w14:textId="77777777" w:rsidR="00417570" w:rsidRDefault="00417570" w:rsidP="00417570">
      <w:pPr>
        <w:pStyle w:val="Heading2"/>
        <w:spacing w:line="240" w:lineRule="auto"/>
        <w:jc w:val="both"/>
        <w:rPr>
          <w:color w:val="548DD4"/>
          <w:u w:val="none"/>
        </w:rPr>
      </w:pPr>
      <w:r>
        <w:rPr>
          <w:color w:val="548DD4"/>
          <w:u w:val="none"/>
        </w:rPr>
        <w:t>Table of abbreviations</w:t>
      </w:r>
    </w:p>
    <w:tbl>
      <w:tblPr>
        <w:tblStyle w:val="TableGrid"/>
        <w:tblW w:w="9209" w:type="dxa"/>
        <w:tblBorders>
          <w:insideH w:val="none" w:sz="0" w:space="0" w:color="auto"/>
          <w:insideV w:val="none" w:sz="0" w:space="0" w:color="auto"/>
        </w:tblBorders>
        <w:tblLook w:val="04A0" w:firstRow="1" w:lastRow="0" w:firstColumn="1" w:lastColumn="0" w:noHBand="0" w:noVBand="1"/>
        <w:tblCaption w:val="Table"/>
        <w:tblDescription w:val="List of abbreviations"/>
      </w:tblPr>
      <w:tblGrid>
        <w:gridCol w:w="1271"/>
        <w:gridCol w:w="7938"/>
      </w:tblGrid>
      <w:tr w:rsidR="00417570" w:rsidRPr="004A524F" w14:paraId="2918E6CC" w14:textId="77777777" w:rsidTr="00AD324E">
        <w:trPr>
          <w:tblHeader/>
        </w:trPr>
        <w:tc>
          <w:tcPr>
            <w:tcW w:w="1271" w:type="dxa"/>
          </w:tcPr>
          <w:p w14:paraId="3E2BBE6D" w14:textId="77777777" w:rsidR="00417570" w:rsidRPr="004A524F" w:rsidRDefault="00417570" w:rsidP="00417570">
            <w:r w:rsidRPr="004A524F">
              <w:t>ACI</w:t>
            </w:r>
          </w:p>
        </w:tc>
        <w:tc>
          <w:tcPr>
            <w:tcW w:w="7938" w:type="dxa"/>
          </w:tcPr>
          <w:p w14:paraId="2F35415A" w14:textId="77777777" w:rsidR="00417570" w:rsidRPr="004A524F" w:rsidRDefault="00417570" w:rsidP="00417570">
            <w:r w:rsidRPr="004A524F">
              <w:t>Autologous chondrocyte implantation</w:t>
            </w:r>
          </w:p>
        </w:tc>
      </w:tr>
      <w:tr w:rsidR="00BB445E" w:rsidRPr="004A524F" w14:paraId="60F3E631" w14:textId="77777777" w:rsidTr="00BB2F4F">
        <w:tc>
          <w:tcPr>
            <w:tcW w:w="1271" w:type="dxa"/>
          </w:tcPr>
          <w:p w14:paraId="3EA8978F" w14:textId="0BD17628" w:rsidR="00BB445E" w:rsidRPr="004A524F" w:rsidRDefault="00BB445E" w:rsidP="00BB2F4F">
            <w:r>
              <w:t>CBI</w:t>
            </w:r>
          </w:p>
        </w:tc>
        <w:tc>
          <w:tcPr>
            <w:tcW w:w="7938" w:type="dxa"/>
          </w:tcPr>
          <w:p w14:paraId="64CB2915" w14:textId="47C2AAD4" w:rsidR="00BB445E" w:rsidRPr="004A524F" w:rsidRDefault="00BB445E" w:rsidP="00BB2F4F">
            <w:r>
              <w:t>Chitosan-based cartilage biomatrix implant</w:t>
            </w:r>
          </w:p>
        </w:tc>
      </w:tr>
      <w:tr w:rsidR="00417570" w:rsidRPr="004A524F" w14:paraId="172AC2CF" w14:textId="77777777" w:rsidTr="00417570">
        <w:tc>
          <w:tcPr>
            <w:tcW w:w="1271" w:type="dxa"/>
          </w:tcPr>
          <w:p w14:paraId="3B5AF66D" w14:textId="77777777" w:rsidR="00417570" w:rsidRPr="004A524F" w:rsidRDefault="00417570" w:rsidP="00417570">
            <w:r w:rsidRPr="004A524F">
              <w:t>CEA</w:t>
            </w:r>
          </w:p>
        </w:tc>
        <w:tc>
          <w:tcPr>
            <w:tcW w:w="7938" w:type="dxa"/>
          </w:tcPr>
          <w:p w14:paraId="2BAC9707" w14:textId="77777777" w:rsidR="00417570" w:rsidRPr="004A524F" w:rsidRDefault="00417570" w:rsidP="00417570">
            <w:r w:rsidRPr="004A524F">
              <w:t>Cost-effectiveness analysis</w:t>
            </w:r>
          </w:p>
        </w:tc>
      </w:tr>
      <w:tr w:rsidR="00417570" w:rsidRPr="004A524F" w14:paraId="6B87865D" w14:textId="77777777" w:rsidTr="00417570">
        <w:tc>
          <w:tcPr>
            <w:tcW w:w="1271" w:type="dxa"/>
          </w:tcPr>
          <w:p w14:paraId="5E803BD1" w14:textId="77777777" w:rsidR="00417570" w:rsidRPr="004A524F" w:rsidRDefault="00417570" w:rsidP="00417570">
            <w:r w:rsidRPr="004A524F">
              <w:t>CT</w:t>
            </w:r>
          </w:p>
        </w:tc>
        <w:tc>
          <w:tcPr>
            <w:tcW w:w="7938" w:type="dxa"/>
          </w:tcPr>
          <w:p w14:paraId="788398BD" w14:textId="77777777" w:rsidR="00417570" w:rsidRPr="004A524F" w:rsidRDefault="00417570" w:rsidP="00417570">
            <w:r w:rsidRPr="004A524F">
              <w:t>Computed tomography</w:t>
            </w:r>
          </w:p>
        </w:tc>
      </w:tr>
      <w:tr w:rsidR="00BB445E" w:rsidRPr="004A524F" w14:paraId="79B44198" w14:textId="77777777" w:rsidTr="00BB2F4F">
        <w:tc>
          <w:tcPr>
            <w:tcW w:w="1271" w:type="dxa"/>
          </w:tcPr>
          <w:p w14:paraId="3D03A313" w14:textId="77777777" w:rsidR="00BB445E" w:rsidRPr="004A524F" w:rsidRDefault="00BB445E" w:rsidP="00BB2F4F">
            <w:r w:rsidRPr="004A524F">
              <w:t>CTA</w:t>
            </w:r>
          </w:p>
        </w:tc>
        <w:tc>
          <w:tcPr>
            <w:tcW w:w="7938" w:type="dxa"/>
          </w:tcPr>
          <w:p w14:paraId="4F93F1E8" w14:textId="77777777" w:rsidR="00BB445E" w:rsidRPr="004A524F" w:rsidRDefault="00BB445E" w:rsidP="00BB2F4F">
            <w:r>
              <w:t>Computed tomography angiogram</w:t>
            </w:r>
          </w:p>
        </w:tc>
      </w:tr>
      <w:tr w:rsidR="00417570" w:rsidRPr="004A524F" w14:paraId="4CDD1783" w14:textId="77777777" w:rsidTr="00417570">
        <w:tc>
          <w:tcPr>
            <w:tcW w:w="1271" w:type="dxa"/>
          </w:tcPr>
          <w:p w14:paraId="493A99CB" w14:textId="762E327C" w:rsidR="00417570" w:rsidRPr="004A524F" w:rsidRDefault="00417570" w:rsidP="00417570">
            <w:r w:rsidRPr="004A524F">
              <w:t>C</w:t>
            </w:r>
            <w:r w:rsidR="00BB445E">
              <w:t>UA</w:t>
            </w:r>
          </w:p>
        </w:tc>
        <w:tc>
          <w:tcPr>
            <w:tcW w:w="7938" w:type="dxa"/>
          </w:tcPr>
          <w:p w14:paraId="682ACBE6" w14:textId="15B7A96B" w:rsidR="00417570" w:rsidRPr="004A524F" w:rsidRDefault="00BB445E" w:rsidP="00417570">
            <w:r>
              <w:t>Cost utility analysis</w:t>
            </w:r>
          </w:p>
        </w:tc>
      </w:tr>
      <w:tr w:rsidR="00417570" w:rsidRPr="004A524F" w14:paraId="03DE38D7" w14:textId="77777777" w:rsidTr="00417570">
        <w:tc>
          <w:tcPr>
            <w:tcW w:w="1271" w:type="dxa"/>
          </w:tcPr>
          <w:p w14:paraId="58DBD813" w14:textId="77777777" w:rsidR="00417570" w:rsidRPr="004A524F" w:rsidRDefault="00417570" w:rsidP="00417570">
            <w:r w:rsidRPr="004A524F">
              <w:t>HRQoL</w:t>
            </w:r>
          </w:p>
        </w:tc>
        <w:tc>
          <w:tcPr>
            <w:tcW w:w="7938" w:type="dxa"/>
          </w:tcPr>
          <w:p w14:paraId="04FD48CB" w14:textId="33FEFD23" w:rsidR="00417570" w:rsidRPr="004A524F" w:rsidRDefault="00CF2873" w:rsidP="00417570">
            <w:r>
              <w:t>Health-</w:t>
            </w:r>
            <w:r w:rsidR="00417570" w:rsidRPr="004A524F">
              <w:t>related quality of life</w:t>
            </w:r>
          </w:p>
        </w:tc>
      </w:tr>
      <w:tr w:rsidR="00417570" w:rsidRPr="004A524F" w14:paraId="77E800DB" w14:textId="77777777" w:rsidTr="00417570">
        <w:tc>
          <w:tcPr>
            <w:tcW w:w="1271" w:type="dxa"/>
          </w:tcPr>
          <w:p w14:paraId="7F374035" w14:textId="77777777" w:rsidR="00417570" w:rsidRPr="004A524F" w:rsidRDefault="00417570" w:rsidP="00417570">
            <w:r w:rsidRPr="004A524F">
              <w:t>ICRS</w:t>
            </w:r>
          </w:p>
        </w:tc>
        <w:tc>
          <w:tcPr>
            <w:tcW w:w="7938" w:type="dxa"/>
          </w:tcPr>
          <w:p w14:paraId="05A722A0" w14:textId="77777777" w:rsidR="00417570" w:rsidRPr="004A524F" w:rsidRDefault="00417570" w:rsidP="00417570">
            <w:r w:rsidRPr="004A524F">
              <w:t>International Cartilage Repair Society</w:t>
            </w:r>
          </w:p>
        </w:tc>
      </w:tr>
      <w:tr w:rsidR="00417570" w:rsidRPr="004A524F" w14:paraId="46BF7F5C" w14:textId="77777777" w:rsidTr="00417570">
        <w:tc>
          <w:tcPr>
            <w:tcW w:w="1271" w:type="dxa"/>
          </w:tcPr>
          <w:p w14:paraId="1A75BC42" w14:textId="77777777" w:rsidR="00417570" w:rsidRPr="004A524F" w:rsidRDefault="00417570" w:rsidP="00417570">
            <w:r w:rsidRPr="004A524F">
              <w:t>MACI</w:t>
            </w:r>
          </w:p>
        </w:tc>
        <w:tc>
          <w:tcPr>
            <w:tcW w:w="7938" w:type="dxa"/>
          </w:tcPr>
          <w:p w14:paraId="31C3FCA1" w14:textId="77777777" w:rsidR="00417570" w:rsidRPr="004A524F" w:rsidRDefault="00417570" w:rsidP="00417570">
            <w:r>
              <w:t>M</w:t>
            </w:r>
            <w:r w:rsidRPr="004A524F">
              <w:t>atrix-induced autologous chondrocyte implantation</w:t>
            </w:r>
          </w:p>
        </w:tc>
      </w:tr>
      <w:tr w:rsidR="00417570" w:rsidRPr="004A524F" w14:paraId="4D5F5862" w14:textId="77777777" w:rsidTr="00417570">
        <w:tc>
          <w:tcPr>
            <w:tcW w:w="1271" w:type="dxa"/>
          </w:tcPr>
          <w:p w14:paraId="3B85C237" w14:textId="77777777" w:rsidR="00417570" w:rsidRPr="004A524F" w:rsidRDefault="00417570" w:rsidP="00417570">
            <w:r w:rsidRPr="004A524F">
              <w:t>MBS</w:t>
            </w:r>
          </w:p>
        </w:tc>
        <w:tc>
          <w:tcPr>
            <w:tcW w:w="7938" w:type="dxa"/>
          </w:tcPr>
          <w:p w14:paraId="15789100" w14:textId="77777777" w:rsidR="00417570" w:rsidRPr="004A524F" w:rsidRDefault="00417570" w:rsidP="00417570">
            <w:r>
              <w:t>Medicare Benefits Scheme</w:t>
            </w:r>
          </w:p>
        </w:tc>
      </w:tr>
      <w:tr w:rsidR="00BB445E" w:rsidRPr="004A524F" w14:paraId="14F33A8F" w14:textId="77777777" w:rsidTr="00BB2F4F">
        <w:tc>
          <w:tcPr>
            <w:tcW w:w="1271" w:type="dxa"/>
          </w:tcPr>
          <w:p w14:paraId="614788E2" w14:textId="702D4DFA" w:rsidR="00BB445E" w:rsidRPr="004A524F" w:rsidRDefault="00BB445E" w:rsidP="00BB2F4F">
            <w:r>
              <w:t>MF</w:t>
            </w:r>
          </w:p>
        </w:tc>
        <w:tc>
          <w:tcPr>
            <w:tcW w:w="7938" w:type="dxa"/>
          </w:tcPr>
          <w:p w14:paraId="105B2DA8" w14:textId="32CBCC44" w:rsidR="00BB445E" w:rsidRPr="004A524F" w:rsidRDefault="00BB445E" w:rsidP="00BB2F4F">
            <w:r>
              <w:t>Microfracture</w:t>
            </w:r>
          </w:p>
        </w:tc>
      </w:tr>
      <w:tr w:rsidR="00BB445E" w:rsidRPr="004A524F" w14:paraId="47808217" w14:textId="77777777" w:rsidTr="00BB2F4F">
        <w:tc>
          <w:tcPr>
            <w:tcW w:w="1271" w:type="dxa"/>
          </w:tcPr>
          <w:p w14:paraId="7A9680F8" w14:textId="154B3B8A" w:rsidR="00BB445E" w:rsidRPr="004A524F" w:rsidRDefault="00BB445E" w:rsidP="00BB2F4F">
            <w:r>
              <w:t>MRI</w:t>
            </w:r>
          </w:p>
        </w:tc>
        <w:tc>
          <w:tcPr>
            <w:tcW w:w="7938" w:type="dxa"/>
          </w:tcPr>
          <w:p w14:paraId="7ADE917E" w14:textId="01B0BA37" w:rsidR="00BB445E" w:rsidRPr="004A524F" w:rsidRDefault="00BB445E" w:rsidP="00BB2F4F">
            <w:r w:rsidRPr="00BB445E">
              <w:t>Magnetic resonance imaging</w:t>
            </w:r>
          </w:p>
        </w:tc>
      </w:tr>
      <w:tr w:rsidR="00417570" w:rsidRPr="004A524F" w14:paraId="34C59816" w14:textId="77777777" w:rsidTr="00417570">
        <w:tc>
          <w:tcPr>
            <w:tcW w:w="1271" w:type="dxa"/>
          </w:tcPr>
          <w:p w14:paraId="5DCE87F5" w14:textId="77777777" w:rsidR="00417570" w:rsidRPr="004A524F" w:rsidRDefault="00417570" w:rsidP="00417570">
            <w:r w:rsidRPr="004A524F">
              <w:t>MSAC</w:t>
            </w:r>
          </w:p>
        </w:tc>
        <w:tc>
          <w:tcPr>
            <w:tcW w:w="7938" w:type="dxa"/>
          </w:tcPr>
          <w:p w14:paraId="5742B278" w14:textId="77777777" w:rsidR="00417570" w:rsidRPr="004A524F" w:rsidRDefault="00417570" w:rsidP="00417570">
            <w:r w:rsidRPr="004A524F">
              <w:t>Medical Services Advisory Committee</w:t>
            </w:r>
          </w:p>
        </w:tc>
      </w:tr>
      <w:tr w:rsidR="00417570" w:rsidRPr="004A524F" w14:paraId="2327837B" w14:textId="77777777" w:rsidTr="00417570">
        <w:tc>
          <w:tcPr>
            <w:tcW w:w="1271" w:type="dxa"/>
          </w:tcPr>
          <w:p w14:paraId="1B684C73" w14:textId="77777777" w:rsidR="00417570" w:rsidRPr="004A524F" w:rsidRDefault="00417570" w:rsidP="00417570">
            <w:r w:rsidRPr="004A524F">
              <w:t>OA</w:t>
            </w:r>
          </w:p>
        </w:tc>
        <w:tc>
          <w:tcPr>
            <w:tcW w:w="7938" w:type="dxa"/>
          </w:tcPr>
          <w:p w14:paraId="0B49A40F" w14:textId="77777777" w:rsidR="00417570" w:rsidRPr="004A524F" w:rsidRDefault="00417570" w:rsidP="00417570">
            <w:r>
              <w:t>Osteoarthritis</w:t>
            </w:r>
          </w:p>
        </w:tc>
      </w:tr>
      <w:tr w:rsidR="00417570" w:rsidRPr="004A524F" w14:paraId="20FC9CE7" w14:textId="77777777" w:rsidTr="00417570">
        <w:tc>
          <w:tcPr>
            <w:tcW w:w="1271" w:type="dxa"/>
          </w:tcPr>
          <w:p w14:paraId="3DEBC9B8" w14:textId="77777777" w:rsidR="00417570" w:rsidRPr="004A524F" w:rsidRDefault="00417570" w:rsidP="00417570">
            <w:r w:rsidRPr="004A524F">
              <w:t>OAT</w:t>
            </w:r>
          </w:p>
        </w:tc>
        <w:tc>
          <w:tcPr>
            <w:tcW w:w="7938" w:type="dxa"/>
          </w:tcPr>
          <w:p w14:paraId="19A66EFD" w14:textId="77777777" w:rsidR="00417570" w:rsidRPr="004A524F" w:rsidRDefault="00417570" w:rsidP="00417570">
            <w:r w:rsidRPr="004A524F">
              <w:t>Osteochondral autograft transfer</w:t>
            </w:r>
          </w:p>
        </w:tc>
      </w:tr>
      <w:tr w:rsidR="00417570" w:rsidRPr="004A524F" w14:paraId="0FB63E4A" w14:textId="77777777" w:rsidTr="00417570">
        <w:tc>
          <w:tcPr>
            <w:tcW w:w="1271" w:type="dxa"/>
          </w:tcPr>
          <w:p w14:paraId="161C1E37" w14:textId="77777777" w:rsidR="00417570" w:rsidRPr="004A524F" w:rsidRDefault="00417570" w:rsidP="00417570">
            <w:r w:rsidRPr="004A524F">
              <w:t>PASC</w:t>
            </w:r>
          </w:p>
        </w:tc>
        <w:tc>
          <w:tcPr>
            <w:tcW w:w="7938" w:type="dxa"/>
          </w:tcPr>
          <w:p w14:paraId="4FBFE4B8" w14:textId="77777777" w:rsidR="00417570" w:rsidRPr="004A524F" w:rsidRDefault="00417570" w:rsidP="00417570">
            <w:r w:rsidRPr="004A524F">
              <w:t>PICO Advisory Sub-Committee</w:t>
            </w:r>
          </w:p>
        </w:tc>
      </w:tr>
      <w:tr w:rsidR="00417570" w:rsidRPr="004A524F" w14:paraId="21F83088" w14:textId="77777777" w:rsidTr="00417570">
        <w:tc>
          <w:tcPr>
            <w:tcW w:w="1271" w:type="dxa"/>
          </w:tcPr>
          <w:p w14:paraId="5D804F62" w14:textId="77777777" w:rsidR="00417570" w:rsidRPr="004A524F" w:rsidRDefault="00417570" w:rsidP="00417570">
            <w:r w:rsidRPr="004A524F">
              <w:t>PICO</w:t>
            </w:r>
          </w:p>
        </w:tc>
        <w:tc>
          <w:tcPr>
            <w:tcW w:w="7938" w:type="dxa"/>
          </w:tcPr>
          <w:p w14:paraId="1E724CC7" w14:textId="77777777" w:rsidR="00417570" w:rsidRPr="004A524F" w:rsidRDefault="00417570" w:rsidP="00417570">
            <w:r>
              <w:t>Patient-intervention-comparator-outcome</w:t>
            </w:r>
          </w:p>
        </w:tc>
      </w:tr>
      <w:tr w:rsidR="00417570" w:rsidRPr="004A524F" w14:paraId="75808464" w14:textId="77777777" w:rsidTr="00417570">
        <w:tc>
          <w:tcPr>
            <w:tcW w:w="1271" w:type="dxa"/>
          </w:tcPr>
          <w:p w14:paraId="496A9AC3" w14:textId="77777777" w:rsidR="00417570" w:rsidRPr="004A524F" w:rsidRDefault="00417570" w:rsidP="00417570">
            <w:r w:rsidRPr="004A524F">
              <w:t>PLAC</w:t>
            </w:r>
          </w:p>
        </w:tc>
        <w:tc>
          <w:tcPr>
            <w:tcW w:w="7938" w:type="dxa"/>
          </w:tcPr>
          <w:p w14:paraId="19BFFE03" w14:textId="77777777" w:rsidR="00417570" w:rsidRPr="004A524F" w:rsidRDefault="00417570" w:rsidP="00417570">
            <w:r>
              <w:t>Prostheses List Advisory Committee</w:t>
            </w:r>
          </w:p>
        </w:tc>
      </w:tr>
      <w:tr w:rsidR="00417570" w:rsidRPr="004A524F" w14:paraId="56CF42E9" w14:textId="77777777" w:rsidTr="00417570">
        <w:tc>
          <w:tcPr>
            <w:tcW w:w="1271" w:type="dxa"/>
          </w:tcPr>
          <w:p w14:paraId="5E63DF38" w14:textId="77777777" w:rsidR="00417570" w:rsidRPr="004A524F" w:rsidRDefault="00417570" w:rsidP="00417570">
            <w:r w:rsidRPr="004A524F">
              <w:t>PPICO</w:t>
            </w:r>
          </w:p>
        </w:tc>
        <w:tc>
          <w:tcPr>
            <w:tcW w:w="7938" w:type="dxa"/>
          </w:tcPr>
          <w:p w14:paraId="387760F4" w14:textId="6A05CA61" w:rsidR="00417570" w:rsidRPr="004A524F" w:rsidRDefault="00417570" w:rsidP="00417570">
            <w:r>
              <w:t>Patient-Prior tests-intervention-comparator-outcome</w:t>
            </w:r>
          </w:p>
        </w:tc>
      </w:tr>
      <w:tr w:rsidR="00BB445E" w:rsidRPr="004A524F" w14:paraId="6588C906" w14:textId="77777777" w:rsidTr="00BB2F4F">
        <w:tc>
          <w:tcPr>
            <w:tcW w:w="1271" w:type="dxa"/>
          </w:tcPr>
          <w:p w14:paraId="0CB6DBD1" w14:textId="473217D2" w:rsidR="00BB445E" w:rsidRPr="004A524F" w:rsidRDefault="00BB445E" w:rsidP="00BB2F4F">
            <w:r>
              <w:t>QALY</w:t>
            </w:r>
          </w:p>
        </w:tc>
        <w:tc>
          <w:tcPr>
            <w:tcW w:w="7938" w:type="dxa"/>
          </w:tcPr>
          <w:p w14:paraId="5E1BA4A9" w14:textId="157AC2CE" w:rsidR="00BB445E" w:rsidRPr="004A524F" w:rsidRDefault="00BB445E" w:rsidP="00BB2F4F">
            <w:r>
              <w:t>Quality adjusted life year</w:t>
            </w:r>
          </w:p>
        </w:tc>
      </w:tr>
      <w:tr w:rsidR="00417570" w:rsidRPr="004A524F" w14:paraId="54AF2386" w14:textId="77777777" w:rsidTr="00417570">
        <w:tc>
          <w:tcPr>
            <w:tcW w:w="1271" w:type="dxa"/>
          </w:tcPr>
          <w:p w14:paraId="6846CF6A" w14:textId="77777777" w:rsidR="00417570" w:rsidRPr="004A524F" w:rsidRDefault="00417570" w:rsidP="00417570">
            <w:r w:rsidRPr="004A524F">
              <w:t>RCT</w:t>
            </w:r>
          </w:p>
        </w:tc>
        <w:tc>
          <w:tcPr>
            <w:tcW w:w="7938" w:type="dxa"/>
          </w:tcPr>
          <w:p w14:paraId="7F900F7D" w14:textId="77777777" w:rsidR="00417570" w:rsidRPr="004A524F" w:rsidRDefault="00417570" w:rsidP="00417570">
            <w:r w:rsidRPr="004A524F">
              <w:t>Randomised controlled trial</w:t>
            </w:r>
          </w:p>
        </w:tc>
      </w:tr>
      <w:tr w:rsidR="00DD66EE" w:rsidRPr="004A524F" w14:paraId="5947781F" w14:textId="77777777" w:rsidTr="00BB2F4F">
        <w:tc>
          <w:tcPr>
            <w:tcW w:w="1271" w:type="dxa"/>
          </w:tcPr>
          <w:p w14:paraId="7E5B6957" w14:textId="415E00F2" w:rsidR="00DD66EE" w:rsidRPr="004A524F" w:rsidRDefault="00DD66EE" w:rsidP="00BB2F4F">
            <w:r>
              <w:t>SOCAG</w:t>
            </w:r>
          </w:p>
        </w:tc>
        <w:tc>
          <w:tcPr>
            <w:tcW w:w="7938" w:type="dxa"/>
          </w:tcPr>
          <w:p w14:paraId="13E5284B" w14:textId="4F82BA8B" w:rsidR="00DD66EE" w:rsidRPr="00DD66EE" w:rsidRDefault="00DD66EE" w:rsidP="00DD66EE">
            <w:r w:rsidRPr="00DD66EE">
              <w:t>Specialist Orthopaedic Clinical Advisory Group</w:t>
            </w:r>
          </w:p>
        </w:tc>
      </w:tr>
      <w:tr w:rsidR="00DD66EE" w:rsidRPr="004A524F" w14:paraId="2AC28DAC" w14:textId="77777777" w:rsidTr="00BB2F4F">
        <w:tc>
          <w:tcPr>
            <w:tcW w:w="1271" w:type="dxa"/>
          </w:tcPr>
          <w:p w14:paraId="67395B71" w14:textId="77777777" w:rsidR="00DD66EE" w:rsidRPr="004A524F" w:rsidRDefault="00DD66EE" w:rsidP="00BB2F4F">
            <w:r w:rsidRPr="004A524F">
              <w:t>TJR</w:t>
            </w:r>
          </w:p>
        </w:tc>
        <w:tc>
          <w:tcPr>
            <w:tcW w:w="7938" w:type="dxa"/>
          </w:tcPr>
          <w:p w14:paraId="1E75DD96" w14:textId="77777777" w:rsidR="00DD66EE" w:rsidRPr="004A524F" w:rsidRDefault="00DD66EE" w:rsidP="00BB2F4F">
            <w:r w:rsidRPr="004A524F">
              <w:t>Total joint replacement</w:t>
            </w:r>
          </w:p>
        </w:tc>
      </w:tr>
      <w:tr w:rsidR="00417570" w:rsidRPr="004A524F" w14:paraId="2792D88D" w14:textId="77777777" w:rsidTr="00417570">
        <w:tc>
          <w:tcPr>
            <w:tcW w:w="1271" w:type="dxa"/>
          </w:tcPr>
          <w:p w14:paraId="5DF2A1EC" w14:textId="1AB86277" w:rsidR="00417570" w:rsidRPr="004A524F" w:rsidRDefault="00417570" w:rsidP="00417570">
            <w:r w:rsidRPr="004A524F">
              <w:t>T</w:t>
            </w:r>
            <w:r w:rsidR="00DD66EE">
              <w:t>K</w:t>
            </w:r>
            <w:r w:rsidRPr="004A524F">
              <w:t>R</w:t>
            </w:r>
          </w:p>
        </w:tc>
        <w:tc>
          <w:tcPr>
            <w:tcW w:w="7938" w:type="dxa"/>
          </w:tcPr>
          <w:p w14:paraId="403AB732" w14:textId="6A282373" w:rsidR="00417570" w:rsidRPr="004A524F" w:rsidRDefault="00417570" w:rsidP="00417570">
            <w:r w:rsidRPr="004A524F">
              <w:t xml:space="preserve">Total </w:t>
            </w:r>
            <w:r w:rsidR="00DD66EE">
              <w:t>knee</w:t>
            </w:r>
            <w:r w:rsidRPr="004A524F">
              <w:t xml:space="preserve"> replacement</w:t>
            </w:r>
          </w:p>
        </w:tc>
      </w:tr>
      <w:tr w:rsidR="00417570" w:rsidRPr="004A524F" w14:paraId="541EFEC6" w14:textId="77777777" w:rsidTr="00417570">
        <w:tc>
          <w:tcPr>
            <w:tcW w:w="1271" w:type="dxa"/>
          </w:tcPr>
          <w:p w14:paraId="65363AD1" w14:textId="77777777" w:rsidR="00417570" w:rsidRPr="004A524F" w:rsidRDefault="00417570" w:rsidP="00417570">
            <w:r w:rsidRPr="004A524F">
              <w:t>WOMAC</w:t>
            </w:r>
            <w:bookmarkStart w:id="2" w:name="Editing"/>
            <w:bookmarkEnd w:id="2"/>
          </w:p>
        </w:tc>
        <w:tc>
          <w:tcPr>
            <w:tcW w:w="7938" w:type="dxa"/>
          </w:tcPr>
          <w:p w14:paraId="6C7B6001" w14:textId="77777777" w:rsidR="00417570" w:rsidRPr="004A524F" w:rsidRDefault="00417570" w:rsidP="00417570">
            <w:r w:rsidRPr="004A524F">
              <w:t>Western Ontario and McMaster Universities Osteoarthritis Index</w:t>
            </w:r>
          </w:p>
        </w:tc>
      </w:tr>
    </w:tbl>
    <w:p w14:paraId="4420C7DF" w14:textId="46B61C55" w:rsidR="00BB2F4F" w:rsidRDefault="00BB2F4F" w:rsidP="009E4FB3"/>
    <w:p w14:paraId="5369CFE8" w14:textId="4B6CF80A" w:rsidR="00BB2F4F" w:rsidRDefault="00BB2F4F">
      <w:pPr>
        <w:rPr>
          <w:rFonts w:eastAsia="MS Gothic"/>
          <w:b/>
          <w:bCs/>
          <w:i/>
          <w:color w:val="548DD4"/>
          <w:szCs w:val="26"/>
        </w:rPr>
      </w:pPr>
      <w:r>
        <w:rPr>
          <w:color w:val="548DD4"/>
        </w:rPr>
        <w:br w:type="page"/>
      </w:r>
    </w:p>
    <w:p w14:paraId="020D5647" w14:textId="71EBBF09" w:rsidR="00F12E59" w:rsidRPr="00F12E59" w:rsidRDefault="0044715D" w:rsidP="0044715D">
      <w:pPr>
        <w:pStyle w:val="Heading2"/>
        <w:spacing w:line="240" w:lineRule="auto"/>
        <w:jc w:val="both"/>
        <w:rPr>
          <w:b w:val="0"/>
          <w:i w:val="0"/>
          <w:u w:val="none"/>
        </w:rPr>
      </w:pPr>
      <w:r w:rsidRPr="00F12E59">
        <w:rPr>
          <w:color w:val="548DD4"/>
          <w:u w:val="none"/>
        </w:rPr>
        <w:t>Summary of PICO</w:t>
      </w:r>
      <w:r w:rsidR="00A84A56" w:rsidRPr="00F12E59">
        <w:rPr>
          <w:color w:val="548DD4"/>
          <w:u w:val="none"/>
        </w:rPr>
        <w:t>/PPICO</w:t>
      </w:r>
      <w:r w:rsidRPr="00F12E59">
        <w:rPr>
          <w:color w:val="548DD4"/>
          <w:u w:val="none"/>
        </w:rPr>
        <w:t xml:space="preserve"> criteria</w:t>
      </w:r>
      <w:bookmarkEnd w:id="0"/>
      <w:bookmarkEnd w:id="1"/>
      <w:r w:rsidR="00F12E59" w:rsidRPr="00F12E59">
        <w:rPr>
          <w:color w:val="548DD4"/>
          <w:u w:val="none"/>
        </w:rPr>
        <w:t xml:space="preserve"> to define the question(s) to be addressed in an Assessment Report to the Medical Services Advisory Committee (MSAC)</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811"/>
        <w:gridCol w:w="7200"/>
      </w:tblGrid>
      <w:tr w:rsidR="0044715D" w:rsidRPr="00084393" w14:paraId="39FC1593" w14:textId="77777777" w:rsidTr="00A84A56">
        <w:trPr>
          <w:tblHeader/>
        </w:trPr>
        <w:tc>
          <w:tcPr>
            <w:tcW w:w="1005" w:type="pct"/>
            <w:tcBorders>
              <w:top w:val="single" w:sz="8" w:space="0" w:color="auto"/>
              <w:bottom w:val="single" w:sz="8" w:space="0" w:color="auto"/>
              <w:right w:val="single" w:sz="4" w:space="0" w:color="auto"/>
            </w:tcBorders>
            <w:shd w:val="clear" w:color="auto" w:fill="D9D9D9"/>
          </w:tcPr>
          <w:p w14:paraId="05E2F2BA" w14:textId="77777777" w:rsidR="0044715D" w:rsidRPr="00084393" w:rsidRDefault="00A84A56" w:rsidP="00F12E59">
            <w:pPr>
              <w:spacing w:before="20" w:after="20" w:line="240" w:lineRule="auto"/>
              <w:rPr>
                <w:b/>
              </w:rPr>
            </w:pPr>
            <w:r>
              <w:rPr>
                <w:b/>
              </w:rPr>
              <w:t>Component</w:t>
            </w:r>
          </w:p>
        </w:tc>
        <w:tc>
          <w:tcPr>
            <w:tcW w:w="3995" w:type="pct"/>
            <w:tcBorders>
              <w:top w:val="single" w:sz="4" w:space="0" w:color="auto"/>
              <w:left w:val="single" w:sz="4" w:space="0" w:color="auto"/>
              <w:bottom w:val="single" w:sz="4" w:space="0" w:color="auto"/>
              <w:right w:val="single" w:sz="4" w:space="0" w:color="auto"/>
            </w:tcBorders>
            <w:shd w:val="clear" w:color="auto" w:fill="D9D9D9"/>
          </w:tcPr>
          <w:p w14:paraId="6E868729" w14:textId="77777777" w:rsidR="0044715D" w:rsidRPr="00084393" w:rsidRDefault="0044715D" w:rsidP="00561A45">
            <w:pPr>
              <w:spacing w:before="20" w:after="20" w:line="240" w:lineRule="auto"/>
              <w:jc w:val="both"/>
              <w:rPr>
                <w:b/>
              </w:rPr>
            </w:pPr>
            <w:r>
              <w:rPr>
                <w:b/>
              </w:rPr>
              <w:t>Description</w:t>
            </w:r>
          </w:p>
        </w:tc>
      </w:tr>
      <w:tr w:rsidR="0044715D" w:rsidRPr="00084393" w14:paraId="2D083634" w14:textId="77777777" w:rsidTr="00A84A56">
        <w:tc>
          <w:tcPr>
            <w:tcW w:w="1005" w:type="pct"/>
            <w:tcBorders>
              <w:top w:val="single" w:sz="8" w:space="0" w:color="auto"/>
              <w:right w:val="single" w:sz="4" w:space="0" w:color="auto"/>
            </w:tcBorders>
          </w:tcPr>
          <w:p w14:paraId="16D46E9D" w14:textId="77777777" w:rsidR="0044715D" w:rsidRPr="00084393" w:rsidRDefault="0044715D" w:rsidP="00F12E59">
            <w:pPr>
              <w:spacing w:before="20" w:after="20" w:line="240" w:lineRule="auto"/>
              <w:rPr>
                <w:rFonts w:cs="Arial"/>
              </w:rPr>
            </w:pPr>
            <w:r w:rsidRPr="00084393">
              <w:rPr>
                <w:rFonts w:cs="Arial"/>
              </w:rPr>
              <w:t>Patients</w:t>
            </w:r>
          </w:p>
        </w:tc>
        <w:tc>
          <w:tcPr>
            <w:tcW w:w="3995" w:type="pct"/>
            <w:tcBorders>
              <w:top w:val="single" w:sz="4" w:space="0" w:color="auto"/>
              <w:left w:val="single" w:sz="4" w:space="0" w:color="auto"/>
              <w:bottom w:val="single" w:sz="4" w:space="0" w:color="auto"/>
              <w:right w:val="single" w:sz="4" w:space="0" w:color="auto"/>
            </w:tcBorders>
          </w:tcPr>
          <w:p w14:paraId="6ED1BC06" w14:textId="44F905C7" w:rsidR="005072DF" w:rsidRDefault="005072DF" w:rsidP="005072DF">
            <w:r w:rsidRPr="00BB1FAB">
              <w:rPr>
                <w:b/>
              </w:rPr>
              <w:t>Population 1:</w:t>
            </w:r>
            <w:r w:rsidRPr="00BB1FAB">
              <w:rPr>
                <w:b/>
              </w:rPr>
              <w:br/>
            </w:r>
            <w:r>
              <w:t>Patients with radiologically confirmed International Cartilage Repair Society (ICRS) Grade 3 or 4 articular cartilage defect &lt; 2 cm</w:t>
            </w:r>
            <w:r>
              <w:rPr>
                <w:vertAlign w:val="superscript"/>
              </w:rPr>
              <w:t>2</w:t>
            </w:r>
            <w:r w:rsidR="00D134B6">
              <w:t xml:space="preserve">, </w:t>
            </w:r>
            <w:r>
              <w:t>with moderate knee pain.</w:t>
            </w:r>
          </w:p>
          <w:p w14:paraId="7F27262A" w14:textId="4189DD8B" w:rsidR="005072DF" w:rsidRDefault="005072DF" w:rsidP="005072DF">
            <w:r w:rsidRPr="00BB1FAB">
              <w:rPr>
                <w:b/>
              </w:rPr>
              <w:t>Popula</w:t>
            </w:r>
            <w:r w:rsidR="00D134B6">
              <w:rPr>
                <w:b/>
              </w:rPr>
              <w:t>tion 2:</w:t>
            </w:r>
            <w:r w:rsidRPr="00BB1FAB">
              <w:rPr>
                <w:b/>
              </w:rPr>
              <w:br/>
            </w:r>
            <w:r>
              <w:t xml:space="preserve">Patients with radiologically confirmed International Cartilage Repair Society (ICRS) Grade 3 or 4 articular cartilage defect </w:t>
            </w:r>
            <w:r>
              <w:sym w:font="Symbol" w:char="F0B3"/>
            </w:r>
            <w:r>
              <w:t xml:space="preserve"> 2 cm</w:t>
            </w:r>
            <w:r>
              <w:rPr>
                <w:vertAlign w:val="superscript"/>
              </w:rPr>
              <w:t>2</w:t>
            </w:r>
            <w:r w:rsidR="00D134B6">
              <w:t xml:space="preserve">, </w:t>
            </w:r>
            <w:r>
              <w:t>with an intact subchondral endplate and with moderate knee pain.</w:t>
            </w:r>
          </w:p>
          <w:p w14:paraId="1BF0205B" w14:textId="1C5D1E31" w:rsidR="005072DF" w:rsidRDefault="005072DF" w:rsidP="001274B8">
            <w:pPr>
              <w:spacing w:after="120"/>
            </w:pPr>
            <w:r>
              <w:t>Patients in Population</w:t>
            </w:r>
            <w:r w:rsidR="00D134B6">
              <w:t>s</w:t>
            </w:r>
            <w:r>
              <w:t xml:space="preserve"> 1 or 2 </w:t>
            </w:r>
            <w:r w:rsidR="00D134B6">
              <w:t xml:space="preserve">who </w:t>
            </w:r>
            <w:r>
              <w:t xml:space="preserve">are </w:t>
            </w:r>
            <w:r w:rsidRPr="00BB1FAB">
              <w:rPr>
                <w:u w:val="single"/>
              </w:rPr>
              <w:t xml:space="preserve">ineligible </w:t>
            </w:r>
            <w:r>
              <w:t>for treatment include those who:</w:t>
            </w:r>
          </w:p>
          <w:p w14:paraId="661609B7" w14:textId="77777777" w:rsidR="005072DF" w:rsidRDefault="005072DF" w:rsidP="005072DF">
            <w:pPr>
              <w:pStyle w:val="ListParagraph"/>
              <w:numPr>
                <w:ilvl w:val="0"/>
                <w:numId w:val="11"/>
              </w:numPr>
            </w:pPr>
            <w:r>
              <w:t>have evidence of advanced osteoarthritis in the joint of interest, or have generalised osteoarthritis; OR</w:t>
            </w:r>
          </w:p>
          <w:p w14:paraId="767F9655" w14:textId="03C29CBE" w:rsidR="005072DF" w:rsidRDefault="005072DF" w:rsidP="005072DF">
            <w:pPr>
              <w:pStyle w:val="ListParagraph"/>
              <w:numPr>
                <w:ilvl w:val="0"/>
                <w:numId w:val="11"/>
              </w:numPr>
            </w:pPr>
            <w:r>
              <w:t>h</w:t>
            </w:r>
            <w:r w:rsidR="00D134B6">
              <w:t>ave an inflammatory arthropathy;</w:t>
            </w:r>
            <w:r>
              <w:t xml:space="preserve"> fo</w:t>
            </w:r>
            <w:r w:rsidR="00D134B6">
              <w:t>r example, rheumatoid arthritis or</w:t>
            </w:r>
            <w:r>
              <w:t xml:space="preserve"> psoriatic arthritis; OR</w:t>
            </w:r>
          </w:p>
          <w:p w14:paraId="6EA43813" w14:textId="51A328CA" w:rsidR="0044715D" w:rsidRPr="00552A08" w:rsidRDefault="005072DF" w:rsidP="00D134B6">
            <w:pPr>
              <w:pStyle w:val="ListParagraph"/>
              <w:numPr>
                <w:ilvl w:val="0"/>
                <w:numId w:val="11"/>
              </w:numPr>
            </w:pPr>
            <w:r>
              <w:t>have significant articular instability in the joint in question</w:t>
            </w:r>
            <w:r w:rsidR="00D134B6">
              <w:t>;</w:t>
            </w:r>
            <w:r>
              <w:t xml:space="preserve"> for example</w:t>
            </w:r>
            <w:r w:rsidR="00D134B6">
              <w:t>,</w:t>
            </w:r>
            <w:r>
              <w:t xml:space="preserve"> a ligament injury (patients who have had repairs to articular instability are not excluded).</w:t>
            </w:r>
          </w:p>
        </w:tc>
      </w:tr>
      <w:tr w:rsidR="00A84A56" w:rsidRPr="00084393" w14:paraId="2EABC809" w14:textId="77777777" w:rsidTr="00A84A56">
        <w:tc>
          <w:tcPr>
            <w:tcW w:w="1005" w:type="pct"/>
            <w:tcBorders>
              <w:top w:val="single" w:sz="8" w:space="0" w:color="auto"/>
              <w:right w:val="single" w:sz="4" w:space="0" w:color="auto"/>
            </w:tcBorders>
          </w:tcPr>
          <w:p w14:paraId="2F1421C3" w14:textId="77777777" w:rsidR="00F12E59" w:rsidRDefault="00F12E59" w:rsidP="00F12E59">
            <w:pPr>
              <w:spacing w:before="20" w:after="20" w:line="240" w:lineRule="auto"/>
              <w:rPr>
                <w:rFonts w:cs="Arial"/>
              </w:rPr>
            </w:pPr>
            <w:r>
              <w:rPr>
                <w:rFonts w:cs="Arial"/>
              </w:rPr>
              <w:t>Prior tests</w:t>
            </w:r>
          </w:p>
          <w:p w14:paraId="32600A83" w14:textId="77777777" w:rsidR="00A84A56" w:rsidRPr="00084393" w:rsidRDefault="00A84A56" w:rsidP="00F12E59">
            <w:pPr>
              <w:spacing w:before="20" w:after="20" w:line="240" w:lineRule="auto"/>
              <w:rPr>
                <w:rFonts w:cs="Arial"/>
              </w:rPr>
            </w:pPr>
            <w:r>
              <w:rPr>
                <w:rFonts w:cs="Arial"/>
              </w:rPr>
              <w:t>(for investigative medical services only)</w:t>
            </w:r>
          </w:p>
        </w:tc>
        <w:tc>
          <w:tcPr>
            <w:tcW w:w="3995" w:type="pct"/>
            <w:tcBorders>
              <w:top w:val="single" w:sz="4" w:space="0" w:color="auto"/>
              <w:left w:val="single" w:sz="4" w:space="0" w:color="auto"/>
              <w:bottom w:val="single" w:sz="4" w:space="0" w:color="auto"/>
              <w:right w:val="single" w:sz="4" w:space="0" w:color="auto"/>
            </w:tcBorders>
          </w:tcPr>
          <w:p w14:paraId="298000CF" w14:textId="1AE23028" w:rsidR="009614AC" w:rsidRPr="00DD456A" w:rsidRDefault="00222A1F" w:rsidP="009614AC">
            <w:pPr>
              <w:rPr>
                <w:rFonts w:cs="Arial"/>
              </w:rPr>
            </w:pPr>
            <w:r>
              <w:t>Not applicable</w:t>
            </w:r>
          </w:p>
        </w:tc>
      </w:tr>
      <w:tr w:rsidR="00A84A56" w:rsidRPr="00084393" w14:paraId="5E82388B" w14:textId="77777777" w:rsidTr="00A84A56">
        <w:tc>
          <w:tcPr>
            <w:tcW w:w="1005" w:type="pct"/>
            <w:tcBorders>
              <w:right w:val="single" w:sz="4" w:space="0" w:color="auto"/>
            </w:tcBorders>
          </w:tcPr>
          <w:p w14:paraId="0F25DC03" w14:textId="77777777" w:rsidR="00A84A56" w:rsidRPr="00084393" w:rsidRDefault="00A84A56" w:rsidP="00F12E59">
            <w:pPr>
              <w:spacing w:before="20" w:after="20" w:line="240" w:lineRule="auto"/>
              <w:rPr>
                <w:rFonts w:cs="Arial"/>
              </w:rPr>
            </w:pPr>
            <w:r w:rsidRPr="00084393">
              <w:rPr>
                <w:rFonts w:cs="Arial"/>
              </w:rPr>
              <w:t>Intervention</w:t>
            </w:r>
          </w:p>
        </w:tc>
        <w:tc>
          <w:tcPr>
            <w:tcW w:w="3995" w:type="pct"/>
            <w:tcBorders>
              <w:top w:val="single" w:sz="4" w:space="0" w:color="auto"/>
              <w:left w:val="single" w:sz="4" w:space="0" w:color="auto"/>
              <w:bottom w:val="single" w:sz="4" w:space="0" w:color="auto"/>
              <w:right w:val="single" w:sz="4" w:space="0" w:color="auto"/>
            </w:tcBorders>
          </w:tcPr>
          <w:p w14:paraId="3A76114B" w14:textId="4AC29DC0" w:rsidR="00A84A56" w:rsidRPr="007921C5" w:rsidRDefault="007921C5" w:rsidP="00F12E59">
            <w:pPr>
              <w:rPr>
                <w:u w:val="dotted"/>
              </w:rPr>
            </w:pPr>
            <w:r w:rsidRPr="007921C5">
              <w:t>Chitosan-based cartilage biomatrix implant</w:t>
            </w:r>
            <w:r w:rsidR="0025456B">
              <w:t>,</w:t>
            </w:r>
            <w:r w:rsidRPr="007921C5">
              <w:t xml:space="preserve"> in conjunction with microfracture (CBI+MF) (also known as augmented microfracture)</w:t>
            </w:r>
            <w:r w:rsidR="00FB617B">
              <w:t>. The intervention is restricted to lesions in the knee, and may be used once per lesion (not once per patient).</w:t>
            </w:r>
          </w:p>
        </w:tc>
      </w:tr>
      <w:tr w:rsidR="00A84A56" w:rsidRPr="001B2446" w14:paraId="1E2380CE" w14:textId="77777777" w:rsidTr="00A84A56">
        <w:tc>
          <w:tcPr>
            <w:tcW w:w="1005" w:type="pct"/>
            <w:tcBorders>
              <w:right w:val="single" w:sz="4" w:space="0" w:color="auto"/>
            </w:tcBorders>
          </w:tcPr>
          <w:p w14:paraId="44C02595" w14:textId="244F6FE8" w:rsidR="00A84A56" w:rsidRPr="00084393" w:rsidRDefault="00A84A56" w:rsidP="00F12E59">
            <w:pPr>
              <w:spacing w:before="20" w:after="20" w:line="240" w:lineRule="auto"/>
              <w:rPr>
                <w:rFonts w:cs="Arial"/>
              </w:rPr>
            </w:pPr>
            <w:r w:rsidRPr="00084393">
              <w:rPr>
                <w:rFonts w:cs="Arial"/>
              </w:rPr>
              <w:t>Comparator</w:t>
            </w:r>
          </w:p>
        </w:tc>
        <w:tc>
          <w:tcPr>
            <w:tcW w:w="3995" w:type="pct"/>
            <w:tcBorders>
              <w:top w:val="single" w:sz="4" w:space="0" w:color="auto"/>
              <w:left w:val="single" w:sz="4" w:space="0" w:color="auto"/>
              <w:bottom w:val="single" w:sz="4" w:space="0" w:color="auto"/>
              <w:right w:val="single" w:sz="4" w:space="0" w:color="auto"/>
            </w:tcBorders>
          </w:tcPr>
          <w:p w14:paraId="30C0F025" w14:textId="60737975" w:rsidR="007921C5" w:rsidRPr="001B2446" w:rsidRDefault="007921C5" w:rsidP="007921C5">
            <w:r w:rsidRPr="001B2446">
              <w:t>Population 1: Microfracture alone</w:t>
            </w:r>
            <w:r w:rsidR="00D134B6" w:rsidRPr="001B2446">
              <w:t>,</w:t>
            </w:r>
            <w:r w:rsidRPr="001B2446">
              <w:t xml:space="preserve"> in conjunction with standard of care</w:t>
            </w:r>
          </w:p>
          <w:p w14:paraId="56D29727" w14:textId="77777777" w:rsidR="00A84A56" w:rsidRPr="001B2446" w:rsidRDefault="007921C5" w:rsidP="007921C5">
            <w:r w:rsidRPr="001B2446">
              <w:t>Population 2: Microfracture alone</w:t>
            </w:r>
            <w:r w:rsidR="00D134B6" w:rsidRPr="001B2446">
              <w:t>,</w:t>
            </w:r>
            <w:r w:rsidRPr="001B2446">
              <w:t xml:space="preserve"> in conjunction with standard of care</w:t>
            </w:r>
          </w:p>
          <w:p w14:paraId="2086322E" w14:textId="0183E89E" w:rsidR="004B7A23" w:rsidRPr="001B2446" w:rsidRDefault="005A4005" w:rsidP="004B7A23">
            <w:pPr>
              <w:rPr>
                <w:i/>
              </w:rPr>
            </w:pPr>
            <w:r w:rsidRPr="001B2446">
              <w:rPr>
                <w:i/>
              </w:rPr>
              <w:t xml:space="preserve">While </w:t>
            </w:r>
            <w:r w:rsidR="004B7A23" w:rsidRPr="001B2446">
              <w:rPr>
                <w:i/>
              </w:rPr>
              <w:t xml:space="preserve">comparators for this application (1569) and similar current application 1578 should be as consistent as possible, there are slight </w:t>
            </w:r>
            <w:r w:rsidRPr="001B2446">
              <w:rPr>
                <w:i/>
              </w:rPr>
              <w:t xml:space="preserve">comparator </w:t>
            </w:r>
            <w:r w:rsidR="004B7A23" w:rsidRPr="001B2446">
              <w:rPr>
                <w:i/>
              </w:rPr>
              <w:t>differences for larger lesions (</w:t>
            </w:r>
            <w:r w:rsidRPr="001B2446">
              <w:rPr>
                <w:i/>
              </w:rPr>
              <w:t>population 2) between the</w:t>
            </w:r>
            <w:r w:rsidR="00956963" w:rsidRPr="001B2446">
              <w:rPr>
                <w:i/>
              </w:rPr>
              <w:t xml:space="preserve"> two similar</w:t>
            </w:r>
            <w:r w:rsidRPr="001B2446">
              <w:rPr>
                <w:i/>
              </w:rPr>
              <w:t xml:space="preserve"> appl</w:t>
            </w:r>
            <w:r w:rsidR="004B7A23" w:rsidRPr="001B2446">
              <w:rPr>
                <w:i/>
              </w:rPr>
              <w:t>ication</w:t>
            </w:r>
            <w:r w:rsidRPr="001B2446">
              <w:rPr>
                <w:i/>
              </w:rPr>
              <w:t>s</w:t>
            </w:r>
            <w:r w:rsidR="004B7A23" w:rsidRPr="001B2446">
              <w:rPr>
                <w:i/>
              </w:rPr>
              <w:t>.</w:t>
            </w:r>
            <w:r w:rsidRPr="001B2446">
              <w:rPr>
                <w:i/>
              </w:rPr>
              <w:t xml:space="preserve"> (</w:t>
            </w:r>
            <w:r w:rsidRPr="001B2446">
              <w:rPr>
                <w:i/>
                <w:u w:val="single"/>
              </w:rPr>
              <w:t>Please note</w:t>
            </w:r>
            <w:r w:rsidRPr="001B2446">
              <w:rPr>
                <w:i/>
              </w:rPr>
              <w:t xml:space="preserve">: Population 2 in application 1569 is called </w:t>
            </w:r>
            <w:r w:rsidR="00956963" w:rsidRPr="001B2446">
              <w:rPr>
                <w:i/>
              </w:rPr>
              <w:br/>
            </w:r>
            <w:r w:rsidRPr="001B2446">
              <w:rPr>
                <w:i/>
              </w:rPr>
              <w:t>Sub-</w:t>
            </w:r>
            <w:r w:rsidR="00AA1A05" w:rsidRPr="001B2446">
              <w:rPr>
                <w:i/>
              </w:rPr>
              <w:t>P</w:t>
            </w:r>
            <w:r w:rsidR="00956963" w:rsidRPr="001B2446">
              <w:rPr>
                <w:i/>
              </w:rPr>
              <w:t>opulation 2 in application 1578</w:t>
            </w:r>
            <w:r w:rsidR="008D24BA" w:rsidRPr="001B2446">
              <w:rPr>
                <w:i/>
              </w:rPr>
              <w:t>)</w:t>
            </w:r>
            <w:r w:rsidR="004B7A23" w:rsidRPr="001B2446">
              <w:rPr>
                <w:i/>
              </w:rPr>
              <w:t xml:space="preserve"> </w:t>
            </w:r>
          </w:p>
          <w:p w14:paraId="0B9153E0" w14:textId="6EA105AD" w:rsidR="005A4005" w:rsidRPr="001B2446" w:rsidRDefault="00631AE0" w:rsidP="004B7A23">
            <w:pPr>
              <w:rPr>
                <w:i/>
              </w:rPr>
            </w:pPr>
            <w:r w:rsidRPr="001B2446">
              <w:rPr>
                <w:i/>
              </w:rPr>
              <w:t xml:space="preserve">While </w:t>
            </w:r>
            <w:r w:rsidR="00956963" w:rsidRPr="001B2446">
              <w:rPr>
                <w:i/>
              </w:rPr>
              <w:t xml:space="preserve">mosaicplasty and </w:t>
            </w:r>
            <w:r w:rsidRPr="001B2446">
              <w:rPr>
                <w:i/>
              </w:rPr>
              <w:t xml:space="preserve">alternative scaffold products available in Australia (e.g. </w:t>
            </w:r>
            <w:r w:rsidR="004B7A23" w:rsidRPr="001B2446">
              <w:rPr>
                <w:i/>
              </w:rPr>
              <w:t xml:space="preserve">JointRep™ </w:t>
            </w:r>
            <w:r w:rsidR="00AA1A05" w:rsidRPr="001B2446">
              <w:rPr>
                <w:i/>
              </w:rPr>
              <w:t xml:space="preserve">and Chondro-Gide®, </w:t>
            </w:r>
            <w:r w:rsidRPr="001B2446">
              <w:rPr>
                <w:i/>
              </w:rPr>
              <w:t>used in conjunction with microfracture</w:t>
            </w:r>
            <w:r w:rsidR="00AA1A05" w:rsidRPr="001B2446">
              <w:rPr>
                <w:i/>
              </w:rPr>
              <w:t xml:space="preserve">) </w:t>
            </w:r>
            <w:r w:rsidR="00CE2FCC" w:rsidRPr="001B2446">
              <w:rPr>
                <w:i/>
              </w:rPr>
              <w:t xml:space="preserve">were </w:t>
            </w:r>
            <w:r w:rsidRPr="001B2446">
              <w:rPr>
                <w:i/>
              </w:rPr>
              <w:t>initially proposed as comparators</w:t>
            </w:r>
            <w:r w:rsidR="00956963" w:rsidRPr="001B2446">
              <w:rPr>
                <w:i/>
              </w:rPr>
              <w:t xml:space="preserve"> for application 1569</w:t>
            </w:r>
            <w:r w:rsidRPr="001B2446">
              <w:rPr>
                <w:i/>
              </w:rPr>
              <w:t xml:space="preserve">, </w:t>
            </w:r>
            <w:r w:rsidR="00A658C3" w:rsidRPr="001B2446">
              <w:rPr>
                <w:i/>
              </w:rPr>
              <w:t xml:space="preserve">PASC confirmed </w:t>
            </w:r>
            <w:r w:rsidR="00AA1A05" w:rsidRPr="001B2446">
              <w:rPr>
                <w:i/>
              </w:rPr>
              <w:t xml:space="preserve">they are not </w:t>
            </w:r>
            <w:r w:rsidRPr="001B2446">
              <w:rPr>
                <w:i/>
              </w:rPr>
              <w:t>comparators for the product in this application [1569]</w:t>
            </w:r>
            <w:r w:rsidR="00AA1A05" w:rsidRPr="001B2446">
              <w:rPr>
                <w:i/>
              </w:rPr>
              <w:t>, but are for Population 2/Sub-Population 2 in similar current application 1578</w:t>
            </w:r>
            <w:r w:rsidRPr="001B2446">
              <w:rPr>
                <w:i/>
              </w:rPr>
              <w:t xml:space="preserve">. </w:t>
            </w:r>
            <w:r w:rsidR="00AA1A05" w:rsidRPr="001B2446">
              <w:rPr>
                <w:i/>
              </w:rPr>
              <w:t>MACI and ACI are not comparators for either application.</w:t>
            </w:r>
          </w:p>
          <w:p w14:paraId="5741E6CB" w14:textId="6B8C31FF" w:rsidR="005A4005" w:rsidRPr="001B2446" w:rsidRDefault="00BD7C93" w:rsidP="005A4005">
            <w:pPr>
              <w:rPr>
                <w:i/>
              </w:rPr>
            </w:pPr>
            <w:r w:rsidRPr="001B2446">
              <w:rPr>
                <w:i/>
              </w:rPr>
              <w:t>However, t</w:t>
            </w:r>
            <w:r w:rsidR="005A4005" w:rsidRPr="001B2446">
              <w:rPr>
                <w:i/>
              </w:rPr>
              <w:t xml:space="preserve">he </w:t>
            </w:r>
            <w:r w:rsidR="00AA1A05" w:rsidRPr="001B2446">
              <w:rPr>
                <w:i/>
              </w:rPr>
              <w:t>asses</w:t>
            </w:r>
            <w:r w:rsidR="00631AE0" w:rsidRPr="001B2446">
              <w:rPr>
                <w:i/>
              </w:rPr>
              <w:t>sment reports for application 15</w:t>
            </w:r>
            <w:r w:rsidR="004B7A23" w:rsidRPr="001B2446">
              <w:rPr>
                <w:i/>
              </w:rPr>
              <w:t xml:space="preserve">69 </w:t>
            </w:r>
            <w:r w:rsidR="00631AE0" w:rsidRPr="001B2446">
              <w:rPr>
                <w:i/>
              </w:rPr>
              <w:t>(and similar</w:t>
            </w:r>
            <w:r w:rsidR="004B7A23" w:rsidRPr="001B2446">
              <w:rPr>
                <w:i/>
              </w:rPr>
              <w:t xml:space="preserve"> current application 1578</w:t>
            </w:r>
            <w:r w:rsidR="00631AE0" w:rsidRPr="001B2446">
              <w:rPr>
                <w:i/>
              </w:rPr>
              <w:t>) should clearly detail the evidence (or lack thereof) for</w:t>
            </w:r>
            <w:r w:rsidR="00F06036" w:rsidRPr="001B2446">
              <w:rPr>
                <w:i/>
              </w:rPr>
              <w:t xml:space="preserve"> these </w:t>
            </w:r>
            <w:r w:rsidR="005A4005" w:rsidRPr="001B2446">
              <w:rPr>
                <w:i/>
              </w:rPr>
              <w:t xml:space="preserve">interventions (including MACI/ACI), as well as </w:t>
            </w:r>
            <w:r w:rsidR="00631AE0" w:rsidRPr="001B2446">
              <w:rPr>
                <w:i/>
              </w:rPr>
              <w:t>newer interventions</w:t>
            </w:r>
            <w:r w:rsidR="005A4005" w:rsidRPr="001B2446">
              <w:rPr>
                <w:i/>
              </w:rPr>
              <w:t>,</w:t>
            </w:r>
            <w:r w:rsidR="00631AE0" w:rsidRPr="001B2446">
              <w:rPr>
                <w:i/>
              </w:rPr>
              <w:t xml:space="preserve"> against </w:t>
            </w:r>
            <w:r w:rsidR="001274B8" w:rsidRPr="001B2446">
              <w:rPr>
                <w:i/>
              </w:rPr>
              <w:t>the product in application 1569 (and similar product in application 1578)</w:t>
            </w:r>
            <w:r w:rsidR="00631AE0" w:rsidRPr="001B2446">
              <w:rPr>
                <w:i/>
              </w:rPr>
              <w:t xml:space="preserve">. </w:t>
            </w:r>
          </w:p>
          <w:p w14:paraId="1A6E8CFD" w14:textId="096733FB" w:rsidR="00631AE0" w:rsidRPr="001B2446" w:rsidRDefault="00631AE0" w:rsidP="005A4005">
            <w:r w:rsidRPr="001B2446">
              <w:rPr>
                <w:i/>
              </w:rPr>
              <w:t>This is for completeness, and to ensure robust information is available if MSAC wants to consider it.</w:t>
            </w:r>
          </w:p>
        </w:tc>
      </w:tr>
      <w:tr w:rsidR="00A84A56" w:rsidRPr="00084393" w14:paraId="6D1D81BE" w14:textId="77777777" w:rsidTr="001B2446">
        <w:tc>
          <w:tcPr>
            <w:tcW w:w="1005" w:type="pct"/>
            <w:tcBorders>
              <w:right w:val="single" w:sz="4" w:space="0" w:color="auto"/>
            </w:tcBorders>
            <w:shd w:val="clear" w:color="auto" w:fill="auto"/>
          </w:tcPr>
          <w:p w14:paraId="53112FD5" w14:textId="77777777" w:rsidR="00A84A56" w:rsidRPr="00084393" w:rsidRDefault="00A84A56" w:rsidP="00F12E59">
            <w:pPr>
              <w:spacing w:before="20" w:after="20" w:line="240" w:lineRule="auto"/>
              <w:rPr>
                <w:rFonts w:cs="Arial"/>
              </w:rPr>
            </w:pPr>
            <w:r w:rsidRPr="00084393">
              <w:rPr>
                <w:rFonts w:cs="Arial"/>
              </w:rPr>
              <w:t>Outcomes</w:t>
            </w:r>
          </w:p>
        </w:tc>
        <w:tc>
          <w:tcPr>
            <w:tcW w:w="3995" w:type="pct"/>
            <w:tcBorders>
              <w:top w:val="single" w:sz="4" w:space="0" w:color="auto"/>
              <w:left w:val="single" w:sz="4" w:space="0" w:color="auto"/>
              <w:bottom w:val="single" w:sz="4" w:space="0" w:color="auto"/>
              <w:right w:val="single" w:sz="4" w:space="0" w:color="auto"/>
            </w:tcBorders>
            <w:shd w:val="clear" w:color="auto" w:fill="auto"/>
          </w:tcPr>
          <w:p w14:paraId="391C2D55" w14:textId="77777777" w:rsidR="004154DE" w:rsidRPr="004154DE" w:rsidRDefault="007921C5" w:rsidP="004154DE">
            <w:pPr>
              <w:spacing w:after="0"/>
              <w:rPr>
                <w:sz w:val="6"/>
                <w:szCs w:val="6"/>
              </w:rPr>
            </w:pPr>
            <w:r>
              <w:rPr>
                <w:u w:val="single"/>
              </w:rPr>
              <w:t xml:space="preserve">Clinical effectiveness: </w:t>
            </w:r>
            <w:r w:rsidR="004154DE">
              <w:rPr>
                <w:u w:val="single"/>
              </w:rPr>
              <w:br/>
            </w:r>
          </w:p>
          <w:p w14:paraId="1AF90E85" w14:textId="77777777" w:rsidR="004154DE" w:rsidRPr="004154DE" w:rsidRDefault="007921C5" w:rsidP="004154DE">
            <w:pPr>
              <w:pStyle w:val="ListParagraph"/>
              <w:numPr>
                <w:ilvl w:val="0"/>
                <w:numId w:val="27"/>
              </w:numPr>
              <w:rPr>
                <w:u w:val="single"/>
              </w:rPr>
            </w:pPr>
            <w:r>
              <w:t xml:space="preserve">Quality, quantity and structure of cartilage (quantity hyaline characteristic cartilage; proportion of lesion fill); </w:t>
            </w:r>
          </w:p>
          <w:p w14:paraId="0D1964AE" w14:textId="5A9A4FF4" w:rsidR="00FC1F3E" w:rsidRPr="001B2446" w:rsidRDefault="004154DE" w:rsidP="004154DE">
            <w:pPr>
              <w:pStyle w:val="ListParagraph"/>
              <w:numPr>
                <w:ilvl w:val="0"/>
                <w:numId w:val="27"/>
              </w:numPr>
            </w:pPr>
            <w:r w:rsidRPr="001B2446">
              <w:t>OMERACT (Outcome Measures in Rheumatology)</w:t>
            </w:r>
            <w:r w:rsidR="00FC1F3E" w:rsidRPr="001B2446">
              <w:t>;</w:t>
            </w:r>
          </w:p>
          <w:p w14:paraId="1EEE3409" w14:textId="092782B2" w:rsidR="004154DE" w:rsidRPr="001B2446" w:rsidRDefault="004154DE" w:rsidP="004154DE">
            <w:pPr>
              <w:pStyle w:val="ListParagraph"/>
              <w:numPr>
                <w:ilvl w:val="0"/>
                <w:numId w:val="27"/>
              </w:numPr>
              <w:rPr>
                <w:u w:val="single"/>
              </w:rPr>
            </w:pPr>
            <w:r w:rsidRPr="001B2446">
              <w:t>Time to weight bearing;</w:t>
            </w:r>
            <w:r w:rsidR="007921C5" w:rsidRPr="001B2446">
              <w:t xml:space="preserve"> </w:t>
            </w:r>
          </w:p>
          <w:p w14:paraId="4BCDA2AE" w14:textId="0451D5B8" w:rsidR="007C22E0" w:rsidRPr="007C22E0" w:rsidRDefault="007C22E0" w:rsidP="007C22E0">
            <w:pPr>
              <w:pStyle w:val="ListParagraph"/>
              <w:numPr>
                <w:ilvl w:val="0"/>
                <w:numId w:val="27"/>
              </w:numPr>
              <w:rPr>
                <w:u w:val="single"/>
              </w:rPr>
            </w:pPr>
            <w:r>
              <w:t>Symptoms and function;</w:t>
            </w:r>
          </w:p>
          <w:p w14:paraId="45C0806D" w14:textId="6421CE66" w:rsidR="004154DE" w:rsidRPr="004154DE" w:rsidRDefault="007921C5" w:rsidP="004154DE">
            <w:pPr>
              <w:pStyle w:val="ListParagraph"/>
              <w:numPr>
                <w:ilvl w:val="0"/>
                <w:numId w:val="27"/>
              </w:numPr>
              <w:rPr>
                <w:u w:val="single"/>
              </w:rPr>
            </w:pPr>
            <w:r>
              <w:t>Quality of life and patient satisfaction;</w:t>
            </w:r>
            <w:r w:rsidR="007C22E0">
              <w:t xml:space="preserve"> and</w:t>
            </w:r>
            <w:r>
              <w:t xml:space="preserve"> </w:t>
            </w:r>
          </w:p>
          <w:p w14:paraId="1C98120D" w14:textId="2200F6BE" w:rsidR="007921C5" w:rsidRPr="004154DE" w:rsidRDefault="007921C5" w:rsidP="00631AE0">
            <w:pPr>
              <w:pStyle w:val="ListParagraph"/>
              <w:numPr>
                <w:ilvl w:val="0"/>
                <w:numId w:val="27"/>
              </w:numPr>
              <w:rPr>
                <w:u w:val="single"/>
              </w:rPr>
            </w:pPr>
            <w:r w:rsidRPr="00691BFE">
              <w:t>Western Ontario and McMaster Universities Osteoarthritis Index</w:t>
            </w:r>
            <w:r w:rsidR="004154DE">
              <w:t xml:space="preserve"> (WOMAC) score, </w:t>
            </w:r>
            <w:r>
              <w:t>Tegner Activity Scale, International Cartilage Repair Society (ICRS) Score, and Lysholm Knee Scoring Scale.</w:t>
            </w:r>
            <w:r w:rsidR="004154DE" w:rsidRPr="004154DE">
              <w:t xml:space="preserve"> </w:t>
            </w:r>
          </w:p>
          <w:p w14:paraId="10F9506C" w14:textId="77777777" w:rsidR="007921C5" w:rsidRPr="003E3CE0" w:rsidRDefault="007921C5" w:rsidP="007921C5">
            <w:pPr>
              <w:rPr>
                <w:u w:val="single"/>
              </w:rPr>
            </w:pPr>
            <w:r>
              <w:rPr>
                <w:u w:val="single"/>
              </w:rPr>
              <w:t>Safety</w:t>
            </w:r>
            <w:r>
              <w:t xml:space="preserve">: Adverse events and serious adverse </w:t>
            </w:r>
            <w:r w:rsidRPr="00115900">
              <w:t xml:space="preserve">events </w:t>
            </w:r>
            <w:r w:rsidRPr="003A2C6F">
              <w:t>related to treatment</w:t>
            </w:r>
            <w:r>
              <w:t>; Treatment failure (defined as percentage lesion fill &lt; 70%)</w:t>
            </w:r>
          </w:p>
          <w:p w14:paraId="58DE8EEA" w14:textId="501E1B81" w:rsidR="00A84A56" w:rsidRPr="00F11E4A" w:rsidRDefault="007921C5" w:rsidP="007921C5">
            <w:r>
              <w:rPr>
                <w:u w:val="single"/>
              </w:rPr>
              <w:t xml:space="preserve">Cost-effectiveness: </w:t>
            </w:r>
            <w:r>
              <w:t>Resource use: surgical costs (surgical time, surgeon consult</w:t>
            </w:r>
            <w:r w:rsidR="00FB617B">
              <w:t>, including for total joint replacement/subsequent procedures</w:t>
            </w:r>
            <w:r>
              <w:t>), days as an inpatient, inpatient paramedical consults (e.g. physiotherapy), medical devices (e.g. knee brace), laboratory tests, diagnostic tests (including MRI, X-ray, computed tomography (CT), CT angiography (CTA),</w:t>
            </w:r>
            <w:r w:rsidRPr="004A524F">
              <w:t xml:space="preserve"> follow-up</w:t>
            </w:r>
            <w:r>
              <w:t xml:space="preserve"> physiotherapy rehabilitation, medication for pain management, indirect costs (</w:t>
            </w:r>
            <w:r w:rsidR="00FB617B">
              <w:t xml:space="preserve">time to return to work, </w:t>
            </w:r>
            <w:r>
              <w:t>work days lost, health related quality of life), quality-adjusted life years (QA</w:t>
            </w:r>
            <w:r w:rsidR="00BB445E">
              <w:t>L</w:t>
            </w:r>
            <w:r>
              <w:t>Y).</w:t>
            </w:r>
            <w:r w:rsidR="00FB617B">
              <w:t xml:space="preserve"> Data limitations may inhibit consideration of longer-term outcomes, such as time to return to work, and total joint replacement/subsequent procedures. Data permitting, longer term outcomes should be considered.</w:t>
            </w:r>
          </w:p>
        </w:tc>
      </w:tr>
    </w:tbl>
    <w:p w14:paraId="7594F800" w14:textId="77777777" w:rsidR="00EA650B" w:rsidRDefault="00EA650B" w:rsidP="00EA650B">
      <w:pPr>
        <w:spacing w:after="0"/>
        <w:rPr>
          <w:rFonts w:eastAsia="MS Gothic"/>
          <w:b/>
          <w:bCs/>
          <w:i/>
          <w:color w:val="548DD4"/>
          <w:szCs w:val="26"/>
          <w:u w:val="single"/>
        </w:rPr>
      </w:pPr>
    </w:p>
    <w:p w14:paraId="356DBA8E" w14:textId="77777777" w:rsidR="00FB4287" w:rsidRDefault="00FB4287">
      <w:pPr>
        <w:rPr>
          <w:rFonts w:eastAsia="MS Gothic"/>
          <w:b/>
          <w:bCs/>
          <w:i/>
          <w:color w:val="548DD4"/>
          <w:szCs w:val="26"/>
          <w:u w:val="single"/>
        </w:rPr>
      </w:pPr>
      <w:r>
        <w:rPr>
          <w:rFonts w:eastAsia="MS Gothic"/>
          <w:b/>
          <w:bCs/>
          <w:i/>
          <w:color w:val="548DD4"/>
          <w:szCs w:val="26"/>
          <w:u w:val="single"/>
        </w:rPr>
        <w:br w:type="page"/>
      </w:r>
    </w:p>
    <w:p w14:paraId="0ADECA04" w14:textId="4B9BDCAD" w:rsidR="007F4E20" w:rsidRDefault="00E364F7">
      <w:pPr>
        <w:rPr>
          <w:rFonts w:eastAsia="MS Gothic"/>
          <w:b/>
          <w:bCs/>
          <w:i/>
          <w:color w:val="548DD4"/>
          <w:szCs w:val="26"/>
          <w:u w:val="single"/>
        </w:rPr>
      </w:pPr>
      <w:r w:rsidRPr="00E364F7">
        <w:rPr>
          <w:rFonts w:eastAsia="MS Gothic"/>
          <w:b/>
          <w:bCs/>
          <w:i/>
          <w:color w:val="548DD4"/>
          <w:szCs w:val="26"/>
          <w:u w:val="single"/>
        </w:rPr>
        <w:t>PICO</w:t>
      </w:r>
      <w:r w:rsidR="00953ED7">
        <w:rPr>
          <w:rFonts w:eastAsia="MS Gothic"/>
          <w:b/>
          <w:bCs/>
          <w:i/>
          <w:color w:val="548DD4"/>
          <w:szCs w:val="26"/>
          <w:u w:val="single"/>
        </w:rPr>
        <w:t xml:space="preserve"> or PPICO</w:t>
      </w:r>
      <w:r w:rsidRPr="00E364F7">
        <w:rPr>
          <w:rFonts w:eastAsia="MS Gothic"/>
          <w:b/>
          <w:bCs/>
          <w:i/>
          <w:color w:val="548DD4"/>
          <w:szCs w:val="26"/>
          <w:u w:val="single"/>
        </w:rPr>
        <w:t xml:space="preserve"> rationale</w:t>
      </w:r>
      <w:r w:rsidR="006D1643">
        <w:rPr>
          <w:rFonts w:eastAsia="MS Gothic"/>
          <w:b/>
          <w:bCs/>
          <w:i/>
          <w:color w:val="548DD4"/>
          <w:szCs w:val="26"/>
          <w:u w:val="single"/>
        </w:rPr>
        <w:t xml:space="preserve"> for therapeutic </w:t>
      </w:r>
      <w:r w:rsidR="00B45971">
        <w:rPr>
          <w:rFonts w:eastAsia="MS Gothic"/>
          <w:b/>
          <w:bCs/>
          <w:i/>
          <w:color w:val="548DD4"/>
          <w:szCs w:val="26"/>
          <w:u w:val="single"/>
        </w:rPr>
        <w:t xml:space="preserve">and investigative </w:t>
      </w:r>
      <w:r w:rsidR="00BA63AA">
        <w:rPr>
          <w:rFonts w:eastAsia="MS Gothic"/>
          <w:b/>
          <w:bCs/>
          <w:i/>
          <w:color w:val="548DD4"/>
          <w:szCs w:val="26"/>
          <w:u w:val="single"/>
        </w:rPr>
        <w:t>medical services only</w:t>
      </w:r>
    </w:p>
    <w:p w14:paraId="6FE8EEDD" w14:textId="03829C7C" w:rsidR="00B5141D" w:rsidRDefault="00B5141D" w:rsidP="00587530">
      <w:pPr>
        <w:pBdr>
          <w:top w:val="thinThickSmallGap" w:sz="24" w:space="1" w:color="auto"/>
          <w:left w:val="thinThickSmallGap" w:sz="24" w:space="4" w:color="auto"/>
          <w:bottom w:val="thinThickSmallGap" w:sz="24" w:space="1" w:color="auto"/>
          <w:right w:val="thinThickSmallGap" w:sz="24" w:space="4" w:color="auto"/>
        </w:pBdr>
        <w:spacing w:after="120"/>
        <w:rPr>
          <w:b/>
        </w:rPr>
      </w:pPr>
      <w:r>
        <w:rPr>
          <w:b/>
        </w:rPr>
        <w:t>Research Question</w:t>
      </w:r>
      <w:r w:rsidR="003A0A00">
        <w:rPr>
          <w:b/>
        </w:rPr>
        <w:t xml:space="preserve"> for assessment phase</w:t>
      </w:r>
    </w:p>
    <w:p w14:paraId="35441A41" w14:textId="1DD7FCCC" w:rsidR="00B5141D" w:rsidRPr="00B5141D" w:rsidRDefault="001C5FB1" w:rsidP="00B5141D">
      <w:pPr>
        <w:pBdr>
          <w:top w:val="thinThickSmallGap" w:sz="24" w:space="1" w:color="auto"/>
          <w:left w:val="thinThickSmallGap" w:sz="24" w:space="4" w:color="auto"/>
          <w:bottom w:val="thinThickSmallGap" w:sz="24" w:space="1" w:color="auto"/>
          <w:right w:val="thinThickSmallGap" w:sz="24" w:space="4" w:color="auto"/>
        </w:pBdr>
      </w:pPr>
      <w:r>
        <w:t xml:space="preserve">What is the safety, effectiveness and cost-effectiveness of </w:t>
      </w:r>
      <w:r w:rsidR="00B43A3C">
        <w:t xml:space="preserve">a </w:t>
      </w:r>
      <w:r>
        <w:t>chitosan-based cartilage biomatrix implant</w:t>
      </w:r>
      <w:r w:rsidR="00B43A3C">
        <w:t xml:space="preserve"> (</w:t>
      </w:r>
      <w:r>
        <w:t>in conjunction with microfracture</w:t>
      </w:r>
      <w:r w:rsidR="00B43A3C">
        <w:t>),</w:t>
      </w:r>
      <w:r>
        <w:t xml:space="preserve"> in patients aged 15-55 years with radiologically confirmed grade 3 or worse articular cartilage damage</w:t>
      </w:r>
      <w:r w:rsidR="00B43A3C">
        <w:t>,</w:t>
      </w:r>
      <w:r>
        <w:t xml:space="preserve"> with </w:t>
      </w:r>
      <w:r w:rsidR="00B43A3C">
        <w:t xml:space="preserve">(smaller) </w:t>
      </w:r>
      <w:r>
        <w:t>lesions &lt; 2 cm</w:t>
      </w:r>
      <w:r>
        <w:rPr>
          <w:vertAlign w:val="superscript"/>
        </w:rPr>
        <w:t>2</w:t>
      </w:r>
      <w:r>
        <w:t xml:space="preserve"> or </w:t>
      </w:r>
      <w:r w:rsidR="00B43A3C">
        <w:t xml:space="preserve">(larger) lesions </w:t>
      </w:r>
      <w:r>
        <w:rPr>
          <w:rFonts w:cs="Calibri"/>
        </w:rPr>
        <w:t>≥</w:t>
      </w:r>
      <w:r>
        <w:t xml:space="preserve"> 2 cm</w:t>
      </w:r>
      <w:r>
        <w:rPr>
          <w:vertAlign w:val="superscript"/>
        </w:rPr>
        <w:t>2</w:t>
      </w:r>
      <w:r w:rsidR="00B43A3C">
        <w:t xml:space="preserve">, </w:t>
      </w:r>
      <w:r>
        <w:t>where there is an intact subchondral endplate and moderate knee pain, compared to microfracture alone?</w:t>
      </w:r>
    </w:p>
    <w:p w14:paraId="23D2054D" w14:textId="77777777" w:rsidR="003F47DF" w:rsidRDefault="00896845" w:rsidP="00627926">
      <w:pPr>
        <w:spacing w:after="120"/>
        <w:rPr>
          <w:b/>
          <w:color w:val="0099FF"/>
          <w:sz w:val="28"/>
          <w:szCs w:val="28"/>
        </w:rPr>
      </w:pPr>
      <w:r w:rsidRPr="000C14AA">
        <w:rPr>
          <w:b/>
          <w:color w:val="0099FF"/>
          <w:sz w:val="28"/>
          <w:szCs w:val="28"/>
        </w:rPr>
        <w:t>Population</w:t>
      </w:r>
    </w:p>
    <w:p w14:paraId="3A512B6E" w14:textId="090F1CD6" w:rsidR="004F23DF" w:rsidRPr="003F47DF" w:rsidRDefault="004F23DF" w:rsidP="004F23DF">
      <w:pPr>
        <w:rPr>
          <w:noProof/>
        </w:rPr>
      </w:pPr>
      <w:r w:rsidRPr="003F47DF">
        <w:rPr>
          <w:noProof/>
        </w:rPr>
        <w:t xml:space="preserve">PASC noted the two PICO populations are defined by trial data, which relate to 15–55 year-olds. However, PASC advised there is no reason to impose an upper age limit of 55, given many people in their 60s and 70s are active and would benefit from this procedure. PASC acknowledged MSAC may choose to have an age limit in the MBS item descriptor. </w:t>
      </w:r>
    </w:p>
    <w:p w14:paraId="19DFDA2D" w14:textId="77777777" w:rsidR="004F23DF" w:rsidRPr="003F47DF" w:rsidRDefault="004F23DF" w:rsidP="004F23DF">
      <w:pPr>
        <w:rPr>
          <w:noProof/>
        </w:rPr>
      </w:pPr>
      <w:r w:rsidRPr="003F47DF">
        <w:rPr>
          <w:noProof/>
        </w:rPr>
        <w:t>PASC advised that the PICO populations should explicitly state patients must be symptomatic, and should align with requirements in the existing MBS items, as well as reflecting the ARTG listing.</w:t>
      </w:r>
    </w:p>
    <w:p w14:paraId="0E9708C0" w14:textId="77777777" w:rsidR="004F23DF" w:rsidRPr="003F47DF" w:rsidRDefault="004F23DF" w:rsidP="004F23DF">
      <w:pPr>
        <w:rPr>
          <w:noProof/>
        </w:rPr>
      </w:pPr>
      <w:r w:rsidRPr="003F47DF">
        <w:rPr>
          <w:noProof/>
        </w:rPr>
        <w:t>PASC noted the 2 cm</w:t>
      </w:r>
      <w:r w:rsidRPr="003F47DF">
        <w:rPr>
          <w:noProof/>
          <w:vertAlign w:val="superscript"/>
        </w:rPr>
        <w:t>2</w:t>
      </w:r>
      <w:r w:rsidRPr="003F47DF">
        <w:rPr>
          <w:noProof/>
        </w:rPr>
        <w:t xml:space="preserve"> size references in the literature. However, PASC advised that, while the view that size is important is widely held (by clinical experts), there is no clear evidence that size is important, and no standard/accepted clinical practice guidelines. </w:t>
      </w:r>
    </w:p>
    <w:p w14:paraId="0F93D47E" w14:textId="2B5DA144" w:rsidR="004F23DF" w:rsidRPr="003F47DF" w:rsidRDefault="00861F61" w:rsidP="004F23DF">
      <w:pPr>
        <w:rPr>
          <w:noProof/>
        </w:rPr>
      </w:pPr>
      <w:r w:rsidRPr="003F47DF">
        <w:rPr>
          <w:noProof/>
        </w:rPr>
        <w:t xml:space="preserve">After </w:t>
      </w:r>
      <w:r w:rsidR="004F23DF" w:rsidRPr="003F47DF">
        <w:rPr>
          <w:noProof/>
        </w:rPr>
        <w:t>t</w:t>
      </w:r>
      <w:r w:rsidRPr="003F47DF">
        <w:rPr>
          <w:noProof/>
        </w:rPr>
        <w:t xml:space="preserve">he PASC meeting, PASC </w:t>
      </w:r>
      <w:r w:rsidR="004F23DF" w:rsidRPr="003F47DF">
        <w:rPr>
          <w:noProof/>
        </w:rPr>
        <w:t>clarified that lesion sizes for Populations 1 and 2 in this application (1569) and similar current application 1578 should be consistent, being:</w:t>
      </w:r>
    </w:p>
    <w:p w14:paraId="354BB1E7" w14:textId="77777777" w:rsidR="004F23DF" w:rsidRPr="003F47DF" w:rsidRDefault="004F23DF" w:rsidP="004F23DF">
      <w:pPr>
        <w:numPr>
          <w:ilvl w:val="0"/>
          <w:numId w:val="25"/>
        </w:numPr>
        <w:spacing w:after="120"/>
        <w:rPr>
          <w:noProof/>
        </w:rPr>
      </w:pPr>
      <w:r w:rsidRPr="003F47DF">
        <w:rPr>
          <w:noProof/>
        </w:rPr>
        <w:t xml:space="preserve">Population 1 = </w:t>
      </w:r>
      <w:r w:rsidRPr="003F47DF">
        <w:rPr>
          <w:noProof/>
          <w:u w:val="single"/>
        </w:rPr>
        <w:t>&lt;</w:t>
      </w:r>
      <w:r w:rsidRPr="003F47DF">
        <w:rPr>
          <w:noProof/>
        </w:rPr>
        <w:t xml:space="preserve"> 2 cm</w:t>
      </w:r>
      <w:r w:rsidRPr="003F47DF">
        <w:rPr>
          <w:noProof/>
          <w:vertAlign w:val="superscript"/>
        </w:rPr>
        <w:t xml:space="preserve">2 </w:t>
      </w:r>
      <w:r w:rsidRPr="003F47DF">
        <w:rPr>
          <w:noProof/>
        </w:rPr>
        <w:t xml:space="preserve"> </w:t>
      </w:r>
    </w:p>
    <w:p w14:paraId="33F4B360" w14:textId="77777777" w:rsidR="004F23DF" w:rsidRPr="003F47DF" w:rsidRDefault="004F23DF" w:rsidP="004F23DF">
      <w:pPr>
        <w:numPr>
          <w:ilvl w:val="0"/>
          <w:numId w:val="25"/>
        </w:numPr>
        <w:rPr>
          <w:noProof/>
        </w:rPr>
      </w:pPr>
      <w:r w:rsidRPr="003F47DF">
        <w:rPr>
          <w:noProof/>
        </w:rPr>
        <w:t>Population 2 = &gt; 2 cm</w:t>
      </w:r>
      <w:r w:rsidRPr="003F47DF">
        <w:rPr>
          <w:noProof/>
          <w:vertAlign w:val="superscript"/>
        </w:rPr>
        <w:t xml:space="preserve">2 </w:t>
      </w:r>
      <w:r w:rsidRPr="003F47DF">
        <w:rPr>
          <w:noProof/>
        </w:rPr>
        <w:t xml:space="preserve"> </w:t>
      </w:r>
    </w:p>
    <w:p w14:paraId="7D344C8F" w14:textId="77777777" w:rsidR="004F23DF" w:rsidRPr="003F47DF" w:rsidRDefault="004F23DF" w:rsidP="004F23DF">
      <w:pPr>
        <w:rPr>
          <w:noProof/>
        </w:rPr>
      </w:pPr>
      <w:r w:rsidRPr="003F47DF">
        <w:rPr>
          <w:noProof/>
        </w:rPr>
        <w:t>PASC noted that, for larger lesions (&gt; 2 cm</w:t>
      </w:r>
      <w:r w:rsidRPr="003F47DF">
        <w:rPr>
          <w:noProof/>
          <w:vertAlign w:val="superscript"/>
        </w:rPr>
        <w:t xml:space="preserve">2 </w:t>
      </w:r>
      <w:r w:rsidRPr="003F47DF">
        <w:rPr>
          <w:noProof/>
        </w:rPr>
        <w:t>= Population 2), it should be clear that the subchondral end-plate needs to be intact for the BST CarGel implant. If it is not intact, a joint replacement is indicated.</w:t>
      </w:r>
    </w:p>
    <w:p w14:paraId="2DCFD17A" w14:textId="77777777" w:rsidR="004F23DF" w:rsidRPr="004016D8" w:rsidRDefault="004F23DF" w:rsidP="004F23DF">
      <w:pPr>
        <w:rPr>
          <w:noProof/>
        </w:rPr>
      </w:pPr>
      <w:r w:rsidRPr="004016D8">
        <w:rPr>
          <w:noProof/>
        </w:rPr>
        <w:t>PASC noted that “articular cartilage defect” refers to discrete cartilage destruction, not general deterioration associated with rheumatoid arthritis. PASC also noted that it is acceptable to treat two adjacent areas, in close proximity.</w:t>
      </w:r>
    </w:p>
    <w:p w14:paraId="6493BB5B" w14:textId="77777777" w:rsidR="004F23DF" w:rsidRPr="004016D8" w:rsidRDefault="004F23DF" w:rsidP="004F23DF">
      <w:pPr>
        <w:rPr>
          <w:noProof/>
          <w:lang w:val="en-GB"/>
        </w:rPr>
      </w:pPr>
      <w:r w:rsidRPr="004016D8">
        <w:rPr>
          <w:noProof/>
        </w:rPr>
        <w:t xml:space="preserve">PASC advised that, while inclusion criteria for the Stanish trial had an upper </w:t>
      </w:r>
      <w:r w:rsidRPr="004016D8">
        <w:rPr>
          <w:noProof/>
          <w:lang w:val="en-GB"/>
        </w:rPr>
        <w:t>body mass index (BMI) limit of 30 kg/m</w:t>
      </w:r>
      <w:r w:rsidRPr="004016D8">
        <w:rPr>
          <w:noProof/>
          <w:vertAlign w:val="superscript"/>
          <w:lang w:val="en-GB"/>
        </w:rPr>
        <w:t>2</w:t>
      </w:r>
      <w:r w:rsidRPr="004016D8">
        <w:rPr>
          <w:noProof/>
          <w:lang w:val="en-GB"/>
        </w:rPr>
        <w:t>, ARTG listing criteria would be sufficient. While a BMI limit is unlikely to be needed, PASC noted this BMI was different to that referenced in similar (but different product) application 1578 (BMI reference of 40 kg/m</w:t>
      </w:r>
      <w:r w:rsidRPr="004016D8">
        <w:rPr>
          <w:noProof/>
          <w:vertAlign w:val="superscript"/>
          <w:lang w:val="en-GB"/>
        </w:rPr>
        <w:t>2</w:t>
      </w:r>
      <w:r w:rsidRPr="004016D8">
        <w:rPr>
          <w:noProof/>
          <w:lang w:val="en-GB"/>
        </w:rPr>
        <w:t>).</w:t>
      </w:r>
    </w:p>
    <w:p w14:paraId="723FF155" w14:textId="77777777" w:rsidR="004F23DF" w:rsidRPr="004016D8" w:rsidRDefault="004F23DF" w:rsidP="004F23DF">
      <w:pPr>
        <w:rPr>
          <w:noProof/>
        </w:rPr>
      </w:pPr>
      <w:r w:rsidRPr="004016D8">
        <w:rPr>
          <w:noProof/>
          <w:lang w:val="en-GB"/>
        </w:rPr>
        <w:t>PASC queried if earlier MSAC application 1140 (</w:t>
      </w:r>
      <w:r w:rsidRPr="004016D8">
        <w:rPr>
          <w:noProof/>
        </w:rPr>
        <w:t xml:space="preserve">Matrix-induced Autologous Chondrocyte Implantation [MACI] and Autologous Chondrocyte Implantation [ACI]) was relevant to application 1569 (and similar current application 1578). MSAC considered MACI and ACI in 2011 (as alternatives to mosaicplasty and microfracture), but did not support public funding for these interventions. </w:t>
      </w:r>
    </w:p>
    <w:p w14:paraId="7D737B21" w14:textId="3367B292" w:rsidR="004F23DF" w:rsidRPr="004016D8" w:rsidRDefault="00861F61" w:rsidP="004F23DF">
      <w:pPr>
        <w:rPr>
          <w:noProof/>
          <w:lang w:val="en-GB"/>
        </w:rPr>
      </w:pPr>
      <w:r w:rsidRPr="004016D8">
        <w:rPr>
          <w:noProof/>
        </w:rPr>
        <w:t xml:space="preserve">After the </w:t>
      </w:r>
      <w:r w:rsidR="004F23DF" w:rsidRPr="004016D8">
        <w:rPr>
          <w:noProof/>
        </w:rPr>
        <w:t>P</w:t>
      </w:r>
      <w:r w:rsidRPr="004016D8">
        <w:rPr>
          <w:noProof/>
        </w:rPr>
        <w:t xml:space="preserve">ASC meeting, the Department </w:t>
      </w:r>
      <w:r w:rsidR="004F23DF" w:rsidRPr="004016D8">
        <w:rPr>
          <w:noProof/>
        </w:rPr>
        <w:t>advised that, while MACI and ACI are not comparators for the product in application 1569 (or the product in similar application 1578), the assessment reports for application 1569 (and similar application 1578) should clearly detail the evidence (or lack thereof) for these newer interventions against MACI/ACI. This is for completeness, and to ensure robust information is available if MSAC wants to consider it.</w:t>
      </w:r>
    </w:p>
    <w:p w14:paraId="1F8CD74F" w14:textId="238F7DC2" w:rsidR="004F23DF" w:rsidRPr="004F23DF" w:rsidRDefault="004F23DF" w:rsidP="004F23DF">
      <w:pPr>
        <w:rPr>
          <w:noProof/>
        </w:rPr>
      </w:pPr>
      <w:r w:rsidRPr="004016D8">
        <w:rPr>
          <w:noProof/>
        </w:rPr>
        <w:t>PASC noted that, while the knee is the most common site for this procedure, it is used in other parts of the body. However, PASC recommended the PICO and subsequent health technology assessment be restricted to the knee, given most evidence relates to this site.</w:t>
      </w:r>
      <w:r w:rsidRPr="004F23DF">
        <w:rPr>
          <w:noProof/>
        </w:rPr>
        <w:t xml:space="preserve"> </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811"/>
        <w:gridCol w:w="7200"/>
      </w:tblGrid>
      <w:tr w:rsidR="00E2408C" w:rsidRPr="00E2408C" w14:paraId="388C65D4" w14:textId="77777777" w:rsidTr="00F02AF2">
        <w:tc>
          <w:tcPr>
            <w:tcW w:w="1005" w:type="pct"/>
            <w:tcBorders>
              <w:top w:val="single" w:sz="8" w:space="0" w:color="auto"/>
              <w:right w:val="single" w:sz="4" w:space="0" w:color="auto"/>
            </w:tcBorders>
          </w:tcPr>
          <w:p w14:paraId="128B63D8" w14:textId="77777777" w:rsidR="00E2408C" w:rsidRPr="00E2408C" w:rsidRDefault="00E2408C" w:rsidP="00E2408C">
            <w:pPr>
              <w:rPr>
                <w:noProof/>
              </w:rPr>
            </w:pPr>
            <w:r w:rsidRPr="00E2408C">
              <w:rPr>
                <w:noProof/>
              </w:rPr>
              <w:t>Patients</w:t>
            </w:r>
          </w:p>
        </w:tc>
        <w:tc>
          <w:tcPr>
            <w:tcW w:w="3995" w:type="pct"/>
            <w:tcBorders>
              <w:top w:val="single" w:sz="4" w:space="0" w:color="auto"/>
              <w:left w:val="single" w:sz="4" w:space="0" w:color="auto"/>
              <w:bottom w:val="single" w:sz="4" w:space="0" w:color="auto"/>
              <w:right w:val="single" w:sz="4" w:space="0" w:color="auto"/>
            </w:tcBorders>
          </w:tcPr>
          <w:p w14:paraId="08821935" w14:textId="1E4860A7" w:rsidR="00E2408C" w:rsidRPr="00E2408C" w:rsidRDefault="00E2408C" w:rsidP="00E2408C">
            <w:pPr>
              <w:rPr>
                <w:noProof/>
              </w:rPr>
            </w:pPr>
            <w:r w:rsidRPr="00E2408C">
              <w:rPr>
                <w:b/>
                <w:noProof/>
              </w:rPr>
              <w:t>Population 1:</w:t>
            </w:r>
            <w:r w:rsidRPr="00E2408C">
              <w:rPr>
                <w:b/>
                <w:noProof/>
              </w:rPr>
              <w:br/>
            </w:r>
            <w:r w:rsidRPr="00E2408C">
              <w:rPr>
                <w:noProof/>
              </w:rPr>
              <w:t xml:space="preserve">Patients with radiologically confirmed confirm Grade 3 or 4 articular cartilage defect </w:t>
            </w:r>
            <w:r w:rsidRPr="00E2408C">
              <w:rPr>
                <w:noProof/>
                <w:u w:val="single"/>
              </w:rPr>
              <w:t>&lt;</w:t>
            </w:r>
            <w:r w:rsidRPr="00E2408C">
              <w:rPr>
                <w:noProof/>
              </w:rPr>
              <w:t xml:space="preserve"> 2 cm</w:t>
            </w:r>
            <w:r w:rsidRPr="00E2408C">
              <w:rPr>
                <w:noProof/>
                <w:vertAlign w:val="superscript"/>
              </w:rPr>
              <w:t>2</w:t>
            </w:r>
            <w:r w:rsidRPr="00E2408C">
              <w:rPr>
                <w:noProof/>
              </w:rPr>
              <w:t xml:space="preserve"> with moderate knee pain.</w:t>
            </w:r>
          </w:p>
          <w:p w14:paraId="020DC187" w14:textId="72833057" w:rsidR="00E2408C" w:rsidRPr="00E2408C" w:rsidRDefault="00E2408C" w:rsidP="00E2408C">
            <w:pPr>
              <w:rPr>
                <w:noProof/>
              </w:rPr>
            </w:pPr>
            <w:r w:rsidRPr="00E2408C">
              <w:rPr>
                <w:b/>
                <w:noProof/>
              </w:rPr>
              <w:t>Population 2:</w:t>
            </w:r>
            <w:r w:rsidRPr="00E2408C">
              <w:rPr>
                <w:b/>
                <w:noProof/>
              </w:rPr>
              <w:br/>
            </w:r>
            <w:r w:rsidRPr="00E2408C">
              <w:rPr>
                <w:noProof/>
              </w:rPr>
              <w:t>Patients with radiologically confirmed confirm Grade 3 or 4 articular cartilage defect &gt; 2 cm</w:t>
            </w:r>
            <w:r w:rsidRPr="00E2408C">
              <w:rPr>
                <w:noProof/>
                <w:vertAlign w:val="superscript"/>
              </w:rPr>
              <w:t>2</w:t>
            </w:r>
            <w:r w:rsidRPr="00E2408C">
              <w:rPr>
                <w:noProof/>
              </w:rPr>
              <w:t xml:space="preserve"> with an intact subchondral endplate and with moderate knee pain.</w:t>
            </w:r>
          </w:p>
          <w:p w14:paraId="64C5FF27" w14:textId="77777777" w:rsidR="00E2408C" w:rsidRPr="00E2408C" w:rsidRDefault="00E2408C" w:rsidP="00E2408C">
            <w:pPr>
              <w:rPr>
                <w:noProof/>
              </w:rPr>
            </w:pPr>
            <w:r w:rsidRPr="00E2408C">
              <w:rPr>
                <w:noProof/>
              </w:rPr>
              <w:t xml:space="preserve">Patients in Population 1 or Population 2 are </w:t>
            </w:r>
            <w:r w:rsidRPr="00E2408C">
              <w:rPr>
                <w:noProof/>
                <w:u w:val="single"/>
              </w:rPr>
              <w:t xml:space="preserve">ineligible </w:t>
            </w:r>
            <w:r w:rsidRPr="00E2408C">
              <w:rPr>
                <w:noProof/>
              </w:rPr>
              <w:t>for treatment include those who</w:t>
            </w:r>
            <w:r w:rsidRPr="00E2408C">
              <w:rPr>
                <w:noProof/>
                <w:vertAlign w:val="superscript"/>
              </w:rPr>
              <w:t>b</w:t>
            </w:r>
            <w:r w:rsidRPr="00E2408C">
              <w:rPr>
                <w:noProof/>
              </w:rPr>
              <w:t>:</w:t>
            </w:r>
          </w:p>
          <w:p w14:paraId="1ADA7455" w14:textId="77777777" w:rsidR="00E2408C" w:rsidRPr="00E2408C" w:rsidRDefault="00E2408C" w:rsidP="00E2408C">
            <w:pPr>
              <w:numPr>
                <w:ilvl w:val="0"/>
                <w:numId w:val="15"/>
              </w:numPr>
              <w:rPr>
                <w:noProof/>
              </w:rPr>
            </w:pPr>
            <w:r w:rsidRPr="00E2408C">
              <w:rPr>
                <w:noProof/>
              </w:rPr>
              <w:t>have evidence of advanced osteoarthritis in the joint of interest, or have generalised osteoarthritis; OR</w:t>
            </w:r>
          </w:p>
          <w:p w14:paraId="49ADA058" w14:textId="77777777" w:rsidR="00E2408C" w:rsidRPr="00E2408C" w:rsidRDefault="00E2408C" w:rsidP="00E2408C">
            <w:pPr>
              <w:numPr>
                <w:ilvl w:val="0"/>
                <w:numId w:val="15"/>
              </w:numPr>
              <w:rPr>
                <w:noProof/>
              </w:rPr>
            </w:pPr>
            <w:r w:rsidRPr="00E2408C">
              <w:rPr>
                <w:noProof/>
              </w:rPr>
              <w:t>have an inflammatory arthropathy, for example, rheumatoid arthritis, psoriatic arthritis; OR</w:t>
            </w:r>
          </w:p>
          <w:p w14:paraId="24ED240A" w14:textId="77777777" w:rsidR="00E2408C" w:rsidRPr="00E2408C" w:rsidRDefault="00E2408C" w:rsidP="00E2408C">
            <w:pPr>
              <w:numPr>
                <w:ilvl w:val="0"/>
                <w:numId w:val="15"/>
              </w:numPr>
              <w:rPr>
                <w:noProof/>
              </w:rPr>
            </w:pPr>
            <w:r w:rsidRPr="00E2408C">
              <w:rPr>
                <w:noProof/>
              </w:rPr>
              <w:t>have significant articular instability in the joint in question, for example a ligament injury (patients who have had repairs to articular instability are not excluded).</w:t>
            </w:r>
          </w:p>
        </w:tc>
      </w:tr>
    </w:tbl>
    <w:p w14:paraId="43CA8D9C" w14:textId="77777777" w:rsidR="001172EB" w:rsidRDefault="001172EB" w:rsidP="00FD074E">
      <w:pPr>
        <w:spacing w:after="0"/>
        <w:rPr>
          <w:noProof/>
          <w:lang w:val="en-GB"/>
        </w:rPr>
      </w:pPr>
    </w:p>
    <w:p w14:paraId="51C8E8EA" w14:textId="609A386D" w:rsidR="001C5FB1" w:rsidRDefault="001C5FB1" w:rsidP="00D6296B">
      <w:r>
        <w:rPr>
          <w:noProof/>
        </w:rPr>
        <w:t>Symptoms of articular cartilage inj</w:t>
      </w:r>
      <w:r w:rsidR="000A6216">
        <w:rPr>
          <w:noProof/>
        </w:rPr>
        <w:t xml:space="preserve">uries are predominant in weight-bearing joints, </w:t>
      </w:r>
      <w:r>
        <w:rPr>
          <w:noProof/>
        </w:rPr>
        <w:t xml:space="preserve">such as the knee, hip and ankle </w:t>
      </w:r>
      <w:r>
        <w:rPr>
          <w:noProof/>
        </w:rPr>
        <w:fldChar w:fldCharType="begin"/>
      </w:r>
      <w:r>
        <w:rPr>
          <w:noProof/>
        </w:rPr>
        <w:instrText xml:space="preserve"> ADDIN EN.CITE &lt;EndNote&gt;&lt;Cite&gt;&lt;Author&gt;Løken&lt;/Author&gt;&lt;Year&gt;2015&lt;/Year&gt;&lt;RecNum&gt;11717&lt;/RecNum&gt;&lt;DisplayText&gt;[3]&lt;/DisplayText&gt;&lt;record&gt;&lt;rec-number&gt;11717&lt;/rec-number&gt;&lt;foreign-keys&gt;&lt;key app="EN" db-id="e5fswt02npwd52esazb5pr54wz9epasvpvef" timestamp="1551679707"&gt;11717&lt;/key&gt;&lt;/foreign-keys&gt;&lt;ref-type name="Book Section"&gt;5&lt;/ref-type&gt;&lt;contributors&gt;&lt;authors&gt;&lt;author&gt;Løken, Sverre&lt;/author&gt;&lt;author&gt;Granan, Lars-Petter&lt;/author&gt;&lt;author&gt;Sivertsen, Einar Andreas&lt;/author&gt;&lt;author&gt;Årøen, Asbjørn&lt;/author&gt;&lt;/authors&gt;&lt;secondary-authors&gt;&lt;author&gt;Doral, Mahmut Nedim&lt;/author&gt;&lt;author&gt;Karlsson, Jon&lt;/author&gt;&lt;/secondary-authors&gt;&lt;/contributors&gt;&lt;titles&gt;&lt;title&gt;Epidemiology of Cartilage Injuries&lt;/title&gt;&lt;secondary-title&gt;Sports Injuries: Prevention, Diagnosis, Treatment and Rehabilitation&lt;/secondary-title&gt;&lt;/titles&gt;&lt;pages&gt;1-12&lt;/pages&gt;&lt;dates&gt;&lt;year&gt;2015&lt;/year&gt;&lt;/dates&gt;&lt;pub-location&gt;Berlin, Heidelberg&lt;/pub-location&gt;&lt;publisher&gt;Springer Berlin Heidelberg&lt;/publisher&gt;&lt;isbn&gt;978-3-642-36801-1&lt;/isbn&gt;&lt;label&gt;Løken2015&lt;/label&gt;&lt;urls&gt;&lt;related-urls&gt;&lt;url&gt;https://doi.org/10.1007/978-3-642-36801-1_149-1&lt;/url&gt;&lt;url&gt;https://link.springer.com/referenceworkentry/10.1007%2F978-3-642-36801-1_149-1&lt;/url&gt;&lt;/related-urls&gt;&lt;/urls&gt;&lt;electronic-resource-num&gt;10.1007/978-3-642-36801-1_149-1&lt;/electronic-resource-num&gt;&lt;/record&gt;&lt;/Cite&gt;&lt;/EndNote&gt;</w:instrText>
      </w:r>
      <w:r>
        <w:rPr>
          <w:noProof/>
        </w:rPr>
        <w:fldChar w:fldCharType="separate"/>
      </w:r>
      <w:r>
        <w:rPr>
          <w:noProof/>
        </w:rPr>
        <w:t>[3]</w:t>
      </w:r>
      <w:r>
        <w:rPr>
          <w:noProof/>
        </w:rPr>
        <w:fldChar w:fldCharType="end"/>
      </w:r>
      <w:r>
        <w:rPr>
          <w:noProof/>
        </w:rPr>
        <w:t xml:space="preserve">. </w:t>
      </w:r>
      <w:r w:rsidRPr="00C644C9">
        <w:t>Typically</w:t>
      </w:r>
      <w:r>
        <w:t>,</w:t>
      </w:r>
      <w:r w:rsidRPr="00C644C9">
        <w:t xml:space="preserve"> patients with focal articular cartilage lesions present to their gen</w:t>
      </w:r>
      <w:r>
        <w:t xml:space="preserve">eral practitioner with pain, swelling, mechanical symptoms, athletic and functional disability, and eventually osteoarthritis </w:t>
      </w:r>
      <w:r>
        <w:fldChar w:fldCharType="begin"/>
      </w:r>
      <w:r>
        <w:instrText xml:space="preserve"> ADDIN EN.CITE &lt;EndNote&gt;&lt;Cite&gt;&lt;Author&gt;Decogliano&lt;/Author&gt;&lt;Year&gt;2011&lt;/Year&gt;&lt;RecNum&gt;11668&lt;/RecNum&gt;&lt;DisplayText&gt;[4]&lt;/DisplayText&gt;&lt;record&gt;&lt;rec-number&gt;11668&lt;/rec-number&gt;&lt;foreign-keys&gt;&lt;key app="EN" db-id="e5fswt02npwd52esazb5pr54wz9epasvpvef" timestamp="1551170273"&gt;11668&lt;/key&gt;&lt;/foreign-keys&gt;&lt;ref-type name="Book Section"&gt;5&lt;/ref-type&gt;&lt;contributors&gt;&lt;authors&gt;&lt;author&gt;Decogliano, M.&lt;/author&gt;&lt;author&gt;Boyer, J.&lt;/author&gt;&lt;author&gt;Mandelbaum, B.R.&lt;/author&gt;&lt;/authors&gt;&lt;secondary-authors&gt;&lt;author&gt;Brittberg, M.&lt;/author&gt;&lt;author&gt;Gersoff, W.&lt;/author&gt;&lt;/secondary-authors&gt;&lt;/contributors&gt;&lt;titles&gt;&lt;title&gt;Patient evaluation and treatment algorithms&lt;/title&gt;&lt;secondary-title&gt;Cartilage surgery: an operative manual&lt;/secondary-title&gt;&lt;/titles&gt;&lt;pages&gt;9-18&lt;/pages&gt;&lt;section&gt;2&lt;/section&gt;&lt;dates&gt;&lt;year&gt;2011&lt;/year&gt;&lt;/dates&gt;&lt;publisher&gt;Elsevier&lt;/publisher&gt;&lt;urls&gt;&lt;/urls&gt;&lt;electronic-resource-num&gt;10.1016/B978-1-4377-0878-3.10002-6&lt;/electronic-resource-num&gt;&lt;/record&gt;&lt;/Cite&gt;&lt;/EndNote&gt;</w:instrText>
      </w:r>
      <w:r>
        <w:fldChar w:fldCharType="separate"/>
      </w:r>
      <w:r>
        <w:rPr>
          <w:noProof/>
        </w:rPr>
        <w:t>[4]</w:t>
      </w:r>
      <w:r>
        <w:fldChar w:fldCharType="end"/>
      </w:r>
      <w:r>
        <w:t xml:space="preserve">.  </w:t>
      </w:r>
      <w:r w:rsidRPr="00C644C9">
        <w:t xml:space="preserve">However, there are no pathognomonic symptoms for cartilage defects, and it is not uncommon that these types of lesions coexist with other lesions of abnormalities such as meniscal or ligamental lesions of the joint. As such, imaging is imperative for diagnosis </w:t>
      </w:r>
      <w:r>
        <w:fldChar w:fldCharType="begin"/>
      </w:r>
      <w:r>
        <w:instrText xml:space="preserve"> ADDIN EN.CITE &lt;EndNote&gt;&lt;Cite&gt;&lt;Author&gt;Gomoll&lt;/Author&gt;&lt;Year&gt;2010&lt;/Year&gt;&lt;RecNum&gt;11775&lt;/RecNum&gt;&lt;DisplayText&gt;[5]&lt;/DisplayText&gt;&lt;record&gt;&lt;rec-number&gt;11775&lt;/rec-number&gt;&lt;foreign-keys&gt;&lt;key app="EN" db-id="e5fswt02npwd52esazb5pr54wz9epasvpvef" timestamp="1553207584"&gt;11775&lt;/key&gt;&lt;/foreign-keys&gt;&lt;ref-type name="Journal Article"&gt;17&lt;/ref-type&gt;&lt;contributors&gt;&lt;authors&gt;&lt;author&gt;Gomoll, A. H.&lt;/author&gt;&lt;author&gt;Farr, J.&lt;/author&gt;&lt;author&gt;Gillogly, S. D.&lt;/author&gt;&lt;author&gt;Kercher, J.&lt;/author&gt;&lt;author&gt;Minas, T.&lt;/author&gt;&lt;/authors&gt;&lt;/contributors&gt;&lt;auth-address&gt;Cartilage Repair Center, Brigham and Women&amp;apos;s Hospital, 75 Francis Street, Boston, MA 02115, USA. agomoll@yahoo.com&lt;/auth-address&gt;&lt;titles&gt;&lt;title&gt;Surgical management of articular cartilage defects of the knee&lt;/title&gt;&lt;secondary-title&gt;J Bone Joint Surg Am&lt;/secondary-title&gt;&lt;/titles&gt;&lt;periodical&gt;&lt;full-title&gt;J Bone Joint Surg Am&lt;/full-title&gt;&lt;/periodical&gt;&lt;pages&gt;2470-90&lt;/pages&gt;&lt;volume&gt;92&lt;/volume&gt;&lt;number&gt;14&lt;/number&gt;&lt;edition&gt;2010/10/22&lt;/edition&gt;&lt;keywords&gt;&lt;keyword&gt;Arthroscopy&lt;/keyword&gt;&lt;keyword&gt;Bone Transplantation&lt;/keyword&gt;&lt;keyword&gt;Cartilage, Articular/*injuries/*surgery&lt;/keyword&gt;&lt;keyword&gt;Chondrocytes/transplantation&lt;/keyword&gt;&lt;keyword&gt;Debridement&lt;/keyword&gt;&lt;keyword&gt;Diagnostic Imaging&lt;/keyword&gt;&lt;keyword&gt;Humans&lt;/keyword&gt;&lt;keyword&gt;Knee Injuries/*surgery&lt;/keyword&gt;&lt;keyword&gt;Orthopedics/*methods&lt;/keyword&gt;&lt;keyword&gt;Osteochondritis Dissecans/surgery&lt;/keyword&gt;&lt;keyword&gt;Osteotomy&lt;/keyword&gt;&lt;keyword&gt;Tibial Meniscus Injuries&lt;/keyword&gt;&lt;keyword&gt;Transplantation, Autologous&lt;/keyword&gt;&lt;keyword&gt;Transplantation, Homologous&lt;/keyword&gt;&lt;keyword&gt;Treatment Outcome&lt;/keyword&gt;&lt;/keywords&gt;&lt;dates&gt;&lt;year&gt;2010&lt;/year&gt;&lt;pub-dates&gt;&lt;date&gt;Oct 20&lt;/date&gt;&lt;/pub-dates&gt;&lt;/dates&gt;&lt;isbn&gt;1535-1386 (Electronic)&amp;#xD;0021-9355 (Linking)&lt;/isbn&gt;&lt;accession-num&gt;20962200&lt;/accession-num&gt;&lt;urls&gt;&lt;related-urls&gt;&lt;url&gt;https://www.ncbi.nlm.nih.gov/pubmed/20962200&lt;/url&gt;&lt;/related-urls&gt;&lt;/urls&gt;&lt;/record&gt;&lt;/Cite&gt;&lt;/EndNote&gt;</w:instrText>
      </w:r>
      <w:r>
        <w:fldChar w:fldCharType="separate"/>
      </w:r>
      <w:r>
        <w:rPr>
          <w:noProof/>
        </w:rPr>
        <w:t>[5]</w:t>
      </w:r>
      <w:r>
        <w:fldChar w:fldCharType="end"/>
      </w:r>
      <w:r>
        <w:t xml:space="preserve"> and </w:t>
      </w:r>
      <w:r w:rsidRPr="00C644C9">
        <w:t>physicians cannot rely on history and physical assessment alone</w:t>
      </w:r>
      <w:r>
        <w:t>.</w:t>
      </w:r>
    </w:p>
    <w:p w14:paraId="0D2D5236" w14:textId="77777777" w:rsidR="001C5FB1" w:rsidRDefault="001C5FB1" w:rsidP="001C5FB1">
      <w:r w:rsidRPr="00C644C9">
        <w:t>Patients with ongoing symptoms, despite conservative management sh</w:t>
      </w:r>
      <w:r>
        <w:t>ould undergo diagnostic imaging</w:t>
      </w:r>
      <w:r w:rsidRPr="00C644C9">
        <w:t xml:space="preserve">. </w:t>
      </w:r>
      <w:r>
        <w:t xml:space="preserve">In Australia, radiological evidence is usually provided by MRI, however, computed tomography arthrograms (i.e. where contrast is injected into the affected joint by the radiologist under CT imaging guidance) or other investigations are sometimes used. Specifically, accurate characterisation of the cartilage should be performed using MRI: to assess the lesion itself, but also the opposing cartilage and menisci </w:t>
      </w:r>
      <w:r>
        <w:fldChar w:fldCharType="begin"/>
      </w:r>
      <w:r>
        <w:instrText xml:space="preserve"> ADDIN EN.CITE &lt;EndNote&gt;&lt;Cite&gt;&lt;Author&gt;Decogliano&lt;/Author&gt;&lt;Year&gt;2011&lt;/Year&gt;&lt;RecNum&gt;11668&lt;/RecNum&gt;&lt;DisplayText&gt;[4]&lt;/DisplayText&gt;&lt;record&gt;&lt;rec-number&gt;11668&lt;/rec-number&gt;&lt;foreign-keys&gt;&lt;key app="EN" db-id="e5fswt02npwd52esazb5pr54wz9epasvpvef" timestamp="1551170273"&gt;11668&lt;/key&gt;&lt;/foreign-keys&gt;&lt;ref-type name="Book Section"&gt;5&lt;/ref-type&gt;&lt;contributors&gt;&lt;authors&gt;&lt;author&gt;Decogliano, M.&lt;/author&gt;&lt;author&gt;Boyer, J.&lt;/author&gt;&lt;author&gt;Mandelbaum, B.R.&lt;/author&gt;&lt;/authors&gt;&lt;secondary-authors&gt;&lt;author&gt;Brittberg, M.&lt;/author&gt;&lt;author&gt;Gersoff, W.&lt;/author&gt;&lt;/secondary-authors&gt;&lt;/contributors&gt;&lt;titles&gt;&lt;title&gt;Patient evaluation and treatment algorithms&lt;/title&gt;&lt;secondary-title&gt;Cartilage surgery: an operative manual&lt;/secondary-title&gt;&lt;/titles&gt;&lt;pages&gt;9-18&lt;/pages&gt;&lt;section&gt;2&lt;/section&gt;&lt;dates&gt;&lt;year&gt;2011&lt;/year&gt;&lt;/dates&gt;&lt;publisher&gt;Elsevier&lt;/publisher&gt;&lt;urls&gt;&lt;/urls&gt;&lt;electronic-resource-num&gt;10.1016/B978-1-4377-0878-3.10002-6&lt;/electronic-resource-num&gt;&lt;/record&gt;&lt;/Cite&gt;&lt;/EndNote&gt;</w:instrText>
      </w:r>
      <w:r>
        <w:fldChar w:fldCharType="separate"/>
      </w:r>
      <w:r>
        <w:rPr>
          <w:noProof/>
        </w:rPr>
        <w:t>[4]</w:t>
      </w:r>
      <w:r>
        <w:fldChar w:fldCharType="end"/>
      </w:r>
      <w:r>
        <w:t xml:space="preserve">.  </w:t>
      </w:r>
      <w:r w:rsidRPr="00C644C9">
        <w:t>In patients who are contraindicated to MRI, a computed tomography arthrogram</w:t>
      </w:r>
      <w:r>
        <w:t xml:space="preserve"> </w:t>
      </w:r>
      <w:r w:rsidRPr="00C644C9">
        <w:t xml:space="preserve">will be performed. </w:t>
      </w:r>
      <w:r>
        <w:t xml:space="preserve">If the lesion involves subchondral bone, or if MRI is contraindicated, CT scanning may also be required </w:t>
      </w:r>
      <w:r>
        <w:fldChar w:fldCharType="begin"/>
      </w:r>
      <w:r>
        <w:instrText xml:space="preserve"> ADDIN EN.CITE &lt;EndNote&gt;&lt;Cite&gt;&lt;Author&gt;Decogliano&lt;/Author&gt;&lt;Year&gt;2011&lt;/Year&gt;&lt;RecNum&gt;11668&lt;/RecNum&gt;&lt;DisplayText&gt;[4]&lt;/DisplayText&gt;&lt;record&gt;&lt;rec-number&gt;11668&lt;/rec-number&gt;&lt;foreign-keys&gt;&lt;key app="EN" db-id="e5fswt02npwd52esazb5pr54wz9epasvpvef" timestamp="1551170273"&gt;11668&lt;/key&gt;&lt;/foreign-keys&gt;&lt;ref-type name="Book Section"&gt;5&lt;/ref-type&gt;&lt;contributors&gt;&lt;authors&gt;&lt;author&gt;Decogliano, M.&lt;/author&gt;&lt;author&gt;Boyer, J.&lt;/author&gt;&lt;author&gt;Mandelbaum, B.R.&lt;/author&gt;&lt;/authors&gt;&lt;secondary-authors&gt;&lt;author&gt;Brittberg, M.&lt;/author&gt;&lt;author&gt;Gersoff, W.&lt;/author&gt;&lt;/secondary-authors&gt;&lt;/contributors&gt;&lt;titles&gt;&lt;title&gt;Patient evaluation and treatment algorithms&lt;/title&gt;&lt;secondary-title&gt;Cartilage surgery: an operative manual&lt;/secondary-title&gt;&lt;/titles&gt;&lt;pages&gt;9-18&lt;/pages&gt;&lt;section&gt;2&lt;/section&gt;&lt;dates&gt;&lt;year&gt;2011&lt;/year&gt;&lt;/dates&gt;&lt;publisher&gt;Elsevier&lt;/publisher&gt;&lt;urls&gt;&lt;/urls&gt;&lt;electronic-resource-num&gt;10.1016/B978-1-4377-0878-3.10002-6&lt;/electronic-resource-num&gt;&lt;/record&gt;&lt;/Cite&gt;&lt;/EndNote&gt;</w:instrText>
      </w:r>
      <w:r>
        <w:fldChar w:fldCharType="separate"/>
      </w:r>
      <w:r>
        <w:rPr>
          <w:noProof/>
        </w:rPr>
        <w:t>[4]</w:t>
      </w:r>
      <w:r>
        <w:fldChar w:fldCharType="end"/>
      </w:r>
      <w:r>
        <w:t xml:space="preserve">.  An important part of the clinical workup is to distinguish focal lesions of the articular surface from degeneration of cartilage occurring as a consequence of osteoarthritis </w:t>
      </w:r>
      <w:r>
        <w:fldChar w:fldCharType="begin"/>
      </w:r>
      <w:r>
        <w:instrText xml:space="preserve"> ADDIN EN.CITE &lt;EndNote&gt;&lt;Cite&gt;&lt;Author&gt;Decogliano&lt;/Author&gt;&lt;Year&gt;2011&lt;/Year&gt;&lt;RecNum&gt;11668&lt;/RecNum&gt;&lt;DisplayText&gt;[4]&lt;/DisplayText&gt;&lt;record&gt;&lt;rec-number&gt;11668&lt;/rec-number&gt;&lt;foreign-keys&gt;&lt;key app="EN" db-id="e5fswt02npwd52esazb5pr54wz9epasvpvef" timestamp="1551170273"&gt;11668&lt;/key&gt;&lt;/foreign-keys&gt;&lt;ref-type name="Book Section"&gt;5&lt;/ref-type&gt;&lt;contributors&gt;&lt;authors&gt;&lt;author&gt;Decogliano, M.&lt;/author&gt;&lt;author&gt;Boyer, J.&lt;/author&gt;&lt;author&gt;Mandelbaum, B.R.&lt;/author&gt;&lt;/authors&gt;&lt;secondary-authors&gt;&lt;author&gt;Brittberg, M.&lt;/author&gt;&lt;author&gt;Gersoff, W.&lt;/author&gt;&lt;/secondary-authors&gt;&lt;/contributors&gt;&lt;titles&gt;&lt;title&gt;Patient evaluation and treatment algorithms&lt;/title&gt;&lt;secondary-title&gt;Cartilage surgery: an operative manual&lt;/secondary-title&gt;&lt;/titles&gt;&lt;pages&gt;9-18&lt;/pages&gt;&lt;section&gt;2&lt;/section&gt;&lt;dates&gt;&lt;year&gt;2011&lt;/year&gt;&lt;/dates&gt;&lt;publisher&gt;Elsevier&lt;/publisher&gt;&lt;urls&gt;&lt;/urls&gt;&lt;electronic-resource-num&gt;10.1016/B978-1-4377-0878-3.10002-6&lt;/electronic-resource-num&gt;&lt;/record&gt;&lt;/Cite&gt;&lt;/EndNote&gt;</w:instrText>
      </w:r>
      <w:r>
        <w:fldChar w:fldCharType="separate"/>
      </w:r>
      <w:r>
        <w:rPr>
          <w:noProof/>
        </w:rPr>
        <w:t>[4]</w:t>
      </w:r>
      <w:r>
        <w:fldChar w:fldCharType="end"/>
      </w:r>
      <w:r>
        <w:t>.Plain x-ray and ultrasound cannot show cartilage damage and are not used in diagnosis.</w:t>
      </w:r>
    </w:p>
    <w:p w14:paraId="74DA3730" w14:textId="76D22E77" w:rsidR="00D6296B" w:rsidRDefault="001C5FB1" w:rsidP="001C5FB1">
      <w:r>
        <w:t xml:space="preserve">Cartilage defects are graded according to the ICRS grading system (see </w:t>
      </w:r>
      <w:r>
        <w:fldChar w:fldCharType="begin"/>
      </w:r>
      <w:r>
        <w:instrText xml:space="preserve"> REF _Ref4144827 \h </w:instrText>
      </w:r>
      <w:r>
        <w:fldChar w:fldCharType="separate"/>
      </w:r>
      <w:r w:rsidR="000649E7">
        <w:t xml:space="preserve">Figure </w:t>
      </w:r>
      <w:r w:rsidR="000649E7">
        <w:rPr>
          <w:noProof/>
        </w:rPr>
        <w:t>1</w:t>
      </w:r>
      <w:r>
        <w:fldChar w:fldCharType="end"/>
      </w:r>
      <w:r w:rsidR="00BB445E">
        <w:t xml:space="preserve">, and Table </w:t>
      </w:r>
      <w:r w:rsidR="00DD66EE">
        <w:t>6</w:t>
      </w:r>
      <w:r>
        <w:t xml:space="preserve"> in Appendix).  Grade 3 defects are considered severely abnormal, with cartilage defects extending down more than 50% of the cartilage depth, as well as down to calcified layer; down to but not through the subchondral bone; or are blisters (see </w:t>
      </w:r>
      <w:r>
        <w:fldChar w:fldCharType="begin"/>
      </w:r>
      <w:r>
        <w:instrText xml:space="preserve"> REF _Ref4144827 \h </w:instrText>
      </w:r>
      <w:r>
        <w:fldChar w:fldCharType="separate"/>
      </w:r>
      <w:r w:rsidR="000649E7">
        <w:t xml:space="preserve">Figure </w:t>
      </w:r>
      <w:r w:rsidR="000649E7">
        <w:rPr>
          <w:noProof/>
        </w:rPr>
        <w:t>1</w:t>
      </w:r>
      <w:r>
        <w:fldChar w:fldCharType="end"/>
      </w:r>
      <w:r>
        <w:t>).  Grade 4 are severely abnormal, extending through the subchondral bone (</w:t>
      </w:r>
      <w:r>
        <w:fldChar w:fldCharType="begin"/>
      </w:r>
      <w:r>
        <w:instrText xml:space="preserve"> REF _Ref4144827 \h </w:instrText>
      </w:r>
      <w:r>
        <w:fldChar w:fldCharType="separate"/>
      </w:r>
      <w:r w:rsidR="000649E7">
        <w:t xml:space="preserve">Figure </w:t>
      </w:r>
      <w:r w:rsidR="000649E7">
        <w:rPr>
          <w:noProof/>
        </w:rPr>
        <w:t>1</w:t>
      </w:r>
      <w:r>
        <w:fldChar w:fldCharType="end"/>
      </w:r>
      <w:r>
        <w:t>).</w:t>
      </w:r>
    </w:p>
    <w:p w14:paraId="72841569" w14:textId="77777777" w:rsidR="00D6296B" w:rsidRDefault="00D6296B" w:rsidP="00D6296B">
      <w:r w:rsidRPr="00F27140">
        <w:rPr>
          <w:noProof/>
          <w:lang w:eastAsia="en-AU"/>
        </w:rPr>
        <w:drawing>
          <wp:inline distT="0" distB="0" distL="0" distR="0" wp14:anchorId="40AE65B5" wp14:editId="410B5E22">
            <wp:extent cx="3364888" cy="2160000"/>
            <wp:effectExtent l="114300" t="114300" r="102235" b="145415"/>
            <wp:docPr id="7" name="Picture 7" descr="cartillage defect type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4888"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70CFF1" w14:textId="171F3106" w:rsidR="001C5FB1" w:rsidRDefault="001C5FB1" w:rsidP="001C5FB1">
      <w:pPr>
        <w:pStyle w:val="Caption"/>
      </w:pPr>
      <w:bookmarkStart w:id="3" w:name="_Ref4144827"/>
      <w:r>
        <w:t xml:space="preserve">Figure </w:t>
      </w:r>
      <w:r>
        <w:fldChar w:fldCharType="begin"/>
      </w:r>
      <w:r>
        <w:instrText xml:space="preserve"> SEQ Figure \* ARABIC </w:instrText>
      </w:r>
      <w:r>
        <w:fldChar w:fldCharType="separate"/>
      </w:r>
      <w:r w:rsidR="000649E7">
        <w:rPr>
          <w:noProof/>
        </w:rPr>
        <w:t>1</w:t>
      </w:r>
      <w:r>
        <w:fldChar w:fldCharType="end"/>
      </w:r>
      <w:bookmarkEnd w:id="3"/>
      <w:r>
        <w:tab/>
        <w:t>ICRS classification of cartilage injury</w:t>
      </w:r>
    </w:p>
    <w:p w14:paraId="03E647C4" w14:textId="77777777" w:rsidR="001C5FB1" w:rsidRPr="00467A3A" w:rsidRDefault="001C5FB1" w:rsidP="001C5FB1">
      <w:pPr>
        <w:pStyle w:val="Tablefooter"/>
      </w:pPr>
      <w:r w:rsidRPr="00E85289">
        <w:t>Source: ICRS Cartilage Injury Evaluation system. 2000</w:t>
      </w:r>
      <w:r>
        <w:t>.</w:t>
      </w:r>
    </w:p>
    <w:p w14:paraId="31EEB974" w14:textId="75747B9D" w:rsidR="001C5FB1" w:rsidRDefault="001C5FB1" w:rsidP="001C5FB1">
      <w:pPr>
        <w:rPr>
          <w:noProof/>
        </w:rPr>
      </w:pPr>
      <w:r>
        <w:t xml:space="preserve">Full thickness articular cartilage defects (Grade 3 or 4) have a poor capacity to heal due to the cartilage’s isolation from systemic regulation, its lack of vessels and nerve supply </w:t>
      </w:r>
      <w:r>
        <w:fldChar w:fldCharType="begin"/>
      </w:r>
      <w:r>
        <w:instrText xml:space="preserve"> ADDIN EN.CITE &lt;EndNote&gt;&lt;Cite&gt;&lt;Author&gt;Decogliano&lt;/Author&gt;&lt;Year&gt;2011&lt;/Year&gt;&lt;RecNum&gt;11668&lt;/RecNum&gt;&lt;DisplayText&gt;[4]&lt;/DisplayText&gt;&lt;record&gt;&lt;rec-number&gt;11668&lt;/rec-number&gt;&lt;foreign-keys&gt;&lt;key app="EN" db-id="e5fswt02npwd52esazb5pr54wz9epasvpvef" timestamp="1551170273"&gt;11668&lt;/key&gt;&lt;/foreign-keys&gt;&lt;ref-type name="Book Section"&gt;5&lt;/ref-type&gt;&lt;contributors&gt;&lt;authors&gt;&lt;author&gt;Decogliano, M.&lt;/author&gt;&lt;author&gt;Boyer, J.&lt;/author&gt;&lt;author&gt;Mandelbaum, B.R.&lt;/author&gt;&lt;/authors&gt;&lt;secondary-authors&gt;&lt;author&gt;Brittberg, M.&lt;/author&gt;&lt;author&gt;Gersoff, W.&lt;/author&gt;&lt;/secondary-authors&gt;&lt;/contributors&gt;&lt;titles&gt;&lt;title&gt;Patient evaluation and treatment algorithms&lt;/title&gt;&lt;secondary-title&gt;Cartilage surgery: an operative manual&lt;/secondary-title&gt;&lt;/titles&gt;&lt;pages&gt;9-18&lt;/pages&gt;&lt;section&gt;2&lt;/section&gt;&lt;dates&gt;&lt;year&gt;2011&lt;/year&gt;&lt;/dates&gt;&lt;publisher&gt;Elsevier&lt;/publisher&gt;&lt;urls&gt;&lt;/urls&gt;&lt;electronic-resource-num&gt;10.1016/B978-1-4377-0878-3.10002-6&lt;/electronic-resource-num&gt;&lt;/record&gt;&lt;/Cite&gt;&lt;/EndNote&gt;</w:instrText>
      </w:r>
      <w:r>
        <w:fldChar w:fldCharType="separate"/>
      </w:r>
      <w:r>
        <w:rPr>
          <w:noProof/>
        </w:rPr>
        <w:t>[4]</w:t>
      </w:r>
      <w:r>
        <w:fldChar w:fldCharType="end"/>
      </w:r>
      <w:r>
        <w:t xml:space="preserve">. </w:t>
      </w:r>
      <w:r w:rsidRPr="00687580">
        <w:rPr>
          <w:noProof/>
        </w:rPr>
        <w:t xml:space="preserve"> If left untreated cartilage injuries can </w:t>
      </w:r>
      <w:r>
        <w:rPr>
          <w:noProof/>
        </w:rPr>
        <w:t xml:space="preserve">become degenerative and </w:t>
      </w:r>
      <w:r w:rsidRPr="00687580">
        <w:rPr>
          <w:noProof/>
        </w:rPr>
        <w:t>lead to premature early arthritis and affect the activities of daily living</w:t>
      </w:r>
      <w:r>
        <w:rPr>
          <w:noProof/>
        </w:rPr>
        <w:t xml:space="preserve"> </w:t>
      </w:r>
      <w:r>
        <w:rPr>
          <w:noProof/>
        </w:rPr>
        <w:fldChar w:fldCharType="begin">
          <w:fldData xml:space="preserve">PEVuZE5vdGU+PENpdGU+PEF1dGhvcj5CaG9zYWxlPC9BdXRob3I+PFllYXI+MjAwODwvWWVhcj48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</w:fldData>
        </w:fldChar>
      </w:r>
      <w:r>
        <w:rPr>
          <w:noProof/>
        </w:rPr>
        <w:instrText xml:space="preserve"> ADDIN EN.CITE </w:instrText>
      </w:r>
      <w:r>
        <w:rPr>
          <w:noProof/>
        </w:rPr>
        <w:fldChar w:fldCharType="begin">
          <w:fldData xml:space="preserve">PEVuZE5vdGU+PENpdGU+PEF1dGhvcj5CaG9zYWxlPC9BdXRob3I+PFllYXI+MjAwODwvWWVhcj48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</w:fldData>
        </w:fldChar>
      </w:r>
      <w:r>
        <w:rPr>
          <w:noProof/>
        </w:rPr>
        <w:instrText xml:space="preserve"> ADDIN EN.CITE.DATA </w:instrText>
      </w:r>
      <w:r>
        <w:rPr>
          <w:noProof/>
        </w:rPr>
      </w:r>
      <w:r>
        <w:rPr>
          <w:noProof/>
        </w:rPr>
        <w:fldChar w:fldCharType="end"/>
      </w:r>
      <w:r>
        <w:rPr>
          <w:noProof/>
        </w:rPr>
      </w:r>
      <w:r>
        <w:rPr>
          <w:noProof/>
        </w:rPr>
        <w:fldChar w:fldCharType="separate"/>
      </w:r>
      <w:r>
        <w:rPr>
          <w:noProof/>
        </w:rPr>
        <w:t>[6, 7]</w:t>
      </w:r>
      <w:r>
        <w:rPr>
          <w:noProof/>
        </w:rPr>
        <w:fldChar w:fldCharType="end"/>
      </w:r>
      <w:r w:rsidRPr="00687580">
        <w:rPr>
          <w:noProof/>
        </w:rPr>
        <w:t>.</w:t>
      </w:r>
      <w:r>
        <w:rPr>
          <w:noProof/>
        </w:rPr>
        <w:t xml:space="preserve"> </w:t>
      </w:r>
      <w:r w:rsidRPr="00725F34">
        <w:rPr>
          <w:noProof/>
        </w:rPr>
        <w:t>Although rarely fatal, articular cartilage lesions severely reduce quality of life</w:t>
      </w:r>
      <w:r>
        <w:rPr>
          <w:noProof/>
        </w:rPr>
        <w:t>, ability to perform daily activities</w:t>
      </w:r>
      <w:r w:rsidRPr="00725F34">
        <w:rPr>
          <w:noProof/>
        </w:rPr>
        <w:t xml:space="preserve"> and imposes major economic burdens on individuals and society </w:t>
      </w:r>
      <w:r>
        <w:rPr>
          <w:noProof/>
        </w:rPr>
        <w:fldChar w:fldCharType="begin"/>
      </w:r>
      <w:r>
        <w:rPr>
          <w:noProof/>
        </w:rPr>
        <w:instrText xml:space="preserve"> ADDIN EN.CITE &lt;EndNote&gt;&lt;Cite&gt;&lt;Author&gt;Evans&lt;/Author&gt;&lt;Year&gt;2009&lt;/Year&gt;&lt;RecNum&gt;11780&lt;/RecNum&gt;&lt;DisplayText&gt;[8]&lt;/DisplayText&gt;&lt;record&gt;&lt;rec-number&gt;11780&lt;/rec-number&gt;&lt;foreign-keys&gt;&lt;key app="EN" db-id="e5fswt02npwd52esazb5pr54wz9epasvpvef" timestamp="1553219568"&gt;11780&lt;/key&gt;&lt;/foreign-keys&gt;&lt;ref-type name="Journal Article"&gt;17&lt;/ref-type&gt;&lt;contributors&gt;&lt;authors&gt;&lt;author&gt;Evans, C. H.&lt;/author&gt;&lt;author&gt;Ghivizzani, S. C.&lt;/author&gt;&lt;author&gt;Robbins, P. D.&lt;/author&gt;&lt;/authors&gt;&lt;/contributors&gt;&lt;auth-address&gt;Center for Molecular Orthopaedics, Harvard Medical School, Boston, Massachusetts, USA. cevans@bidmc.harvard.edu&lt;/auth-address&gt;&lt;titles&gt;&lt;title&gt;Orthopedic gene therapy in 2008&lt;/title&gt;&lt;secondary-title&gt;Mol Ther&lt;/secondary-title&gt;&lt;/titles&gt;&lt;periodical&gt;&lt;full-title&gt;Mol Ther&lt;/full-title&gt;&lt;abbr-1&gt;Molecular therapy : the journal of the American Society of Gene Therapy&lt;/abbr-1&gt;&lt;/periodical&gt;&lt;pages&gt;231-44&lt;/pages&gt;&lt;volume&gt;17&lt;/volume&gt;&lt;number&gt;2&lt;/number&gt;&lt;edition&gt;2008/12/11&lt;/edition&gt;&lt;keywords&gt;&lt;keyword&gt;Genetic Therapy/*methods&lt;/keyword&gt;&lt;keyword&gt;Humans&lt;/keyword&gt;&lt;keyword&gt;Models, Biological&lt;/keyword&gt;&lt;keyword&gt;Musculoskeletal Diseases/*genetics/pathology/*therapy&lt;/keyword&gt;&lt;keyword&gt;Orthopedics/*methods&lt;/keyword&gt;&lt;/keywords&gt;&lt;dates&gt;&lt;year&gt;2009&lt;/year&gt;&lt;pub-dates&gt;&lt;date&gt;Feb&lt;/date&gt;&lt;/pub-dates&gt;&lt;/dates&gt;&lt;isbn&gt;1525-0024 (Electronic)&amp;#xD;1525-0016 (Linking)&lt;/isbn&gt;&lt;accession-num&gt;19066598&lt;/accession-num&gt;&lt;urls&gt;&lt;related-urls&gt;&lt;url&gt;https://www.ncbi.nlm.nih.gov/pubmed/19066598&lt;/url&gt;&lt;url&gt;https://www.cell.com/molecular-therapy-family/molecular-therapy/pdf/S1525-0016(16)31499-X.pdf&lt;/url&gt;&lt;/related-urls&gt;&lt;/urls&gt;&lt;custom2&gt;PMC2835052&lt;/custom2&gt;&lt;electronic-resource-num&gt;10.1038/mt.2008.265&lt;/electronic-resource-num&gt;&lt;/record&gt;&lt;/Cite&gt;&lt;/EndNote&gt;</w:instrText>
      </w:r>
      <w:r>
        <w:rPr>
          <w:noProof/>
        </w:rPr>
        <w:fldChar w:fldCharType="separate"/>
      </w:r>
      <w:r>
        <w:rPr>
          <w:noProof/>
        </w:rPr>
        <w:t>[8]</w:t>
      </w:r>
      <w:r>
        <w:rPr>
          <w:noProof/>
        </w:rPr>
        <w:fldChar w:fldCharType="end"/>
      </w:r>
      <w:r w:rsidRPr="00725F34">
        <w:rPr>
          <w:noProof/>
        </w:rPr>
        <w:t>.</w:t>
      </w:r>
    </w:p>
    <w:p w14:paraId="2E4D6092" w14:textId="77777777" w:rsidR="001C5FB1" w:rsidRDefault="001C5FB1" w:rsidP="001C5FB1">
      <w:r>
        <w:t xml:space="preserve">No Australian clinical guidelines exist for the management of articular cartilage lesions. The assessment report for the MSAC application 1140 of autologous chondrocyte implantation (ACI) / </w:t>
      </w:r>
      <w:r w:rsidRPr="004A524F">
        <w:t>matrix-induced autologous chondrocyte implantation</w:t>
      </w:r>
      <w:r>
        <w:t xml:space="preserve"> (MACI) (December 2010) provides a clinical decision-making pathway for the management of cartilage lesions of the knee based on expert clinical advice (MSAC Application Assessment Report Figure 1 pg 7</w:t>
      </w:r>
      <w:r>
        <w:rPr>
          <w:rStyle w:val="FootnoteReference"/>
        </w:rPr>
        <w:footnoteReference w:id="1"/>
      </w:r>
      <w:r>
        <w:t xml:space="preserve">).  The current and proposed clinical treatment algorithms were based on this report, along with expert advice.  Current treatment is determined by the aetiology and size of the lesion, and the patient’s comorbidities </w:t>
      </w:r>
      <w:r>
        <w:fldChar w:fldCharType="begin"/>
      </w:r>
      <w:r>
        <w:instrText xml:space="preserve"> ADDIN EN.CITE &lt;EndNote&gt;&lt;Cite&gt;&lt;Author&gt;Decogliano&lt;/Author&gt;&lt;Year&gt;2011&lt;/Year&gt;&lt;RecNum&gt;11668&lt;/RecNum&gt;&lt;DisplayText&gt;[4]&lt;/DisplayText&gt;&lt;record&gt;&lt;rec-number&gt;11668&lt;/rec-number&gt;&lt;foreign-keys&gt;&lt;key app="EN" db-id="e5fswt02npwd52esazb5pr54wz9epasvpvef" timestamp="1551170273"&gt;11668&lt;/key&gt;&lt;/foreign-keys&gt;&lt;ref-type name="Book Section"&gt;5&lt;/ref-type&gt;&lt;contributors&gt;&lt;authors&gt;&lt;author&gt;Decogliano, M.&lt;/author&gt;&lt;author&gt;Boyer, J.&lt;/author&gt;&lt;author&gt;Mandelbaum, B.R.&lt;/author&gt;&lt;/authors&gt;&lt;secondary-authors&gt;&lt;author&gt;Brittberg, M.&lt;/author&gt;&lt;author&gt;Gersoff, W.&lt;/author&gt;&lt;/secondary-authors&gt;&lt;/contributors&gt;&lt;titles&gt;&lt;title&gt;Patient evaluation and treatment algorithms&lt;/title&gt;&lt;secondary-title&gt;Cartilage surgery: an operative manual&lt;/secondary-title&gt;&lt;/titles&gt;&lt;pages&gt;9-18&lt;/pages&gt;&lt;section&gt;2&lt;/section&gt;&lt;dates&gt;&lt;year&gt;2011&lt;/year&gt;&lt;/dates&gt;&lt;publisher&gt;Elsevier&lt;/publisher&gt;&lt;urls&gt;&lt;/urls&gt;&lt;electronic-resource-num&gt;10.1016/B978-1-4377-0878-3.10002-6&lt;/electronic-resource-num&gt;&lt;/record&gt;&lt;/Cite&gt;&lt;/EndNote&gt;</w:instrText>
      </w:r>
      <w:r>
        <w:fldChar w:fldCharType="separate"/>
      </w:r>
      <w:r>
        <w:rPr>
          <w:noProof/>
        </w:rPr>
        <w:t>[4]</w:t>
      </w:r>
      <w:r>
        <w:fldChar w:fldCharType="end"/>
      </w:r>
      <w:r>
        <w:t xml:space="preserve">.  It is important to differentiate articular cartilage lesion effects from other pathologies that may be contributing to symptoms </w:t>
      </w:r>
      <w:r>
        <w:fldChar w:fldCharType="begin"/>
      </w:r>
      <w:r>
        <w:instrText xml:space="preserve"> ADDIN EN.CITE &lt;EndNote&gt;&lt;Cite&gt;&lt;Author&gt;Decogliano&lt;/Author&gt;&lt;Year&gt;2011&lt;/Year&gt;&lt;RecNum&gt;11668&lt;/RecNum&gt;&lt;DisplayText&gt;[4]&lt;/DisplayText&gt;&lt;record&gt;&lt;rec-number&gt;11668&lt;/rec-number&gt;&lt;foreign-keys&gt;&lt;key app="EN" db-id="e5fswt02npwd52esazb5pr54wz9epasvpvef" timestamp="1551170273"&gt;11668&lt;/key&gt;&lt;/foreign-keys&gt;&lt;ref-type name="Book Section"&gt;5&lt;/ref-type&gt;&lt;contributors&gt;&lt;authors&gt;&lt;author&gt;Decogliano, M.&lt;/author&gt;&lt;author&gt;Boyer, J.&lt;/author&gt;&lt;author&gt;Mandelbaum, B.R.&lt;/author&gt;&lt;/authors&gt;&lt;secondary-authors&gt;&lt;author&gt;Brittberg, M.&lt;/author&gt;&lt;author&gt;Gersoff, W.&lt;/author&gt;&lt;/secondary-authors&gt;&lt;/contributors&gt;&lt;titles&gt;&lt;title&gt;Patient evaluation and treatment algorithms&lt;/title&gt;&lt;secondary-title&gt;Cartilage surgery: an operative manual&lt;/secondary-title&gt;&lt;/titles&gt;&lt;pages&gt;9-18&lt;/pages&gt;&lt;section&gt;2&lt;/section&gt;&lt;dates&gt;&lt;year&gt;2011&lt;/year&gt;&lt;/dates&gt;&lt;publisher&gt;Elsevier&lt;/publisher&gt;&lt;urls&gt;&lt;/urls&gt;&lt;electronic-resource-num&gt;10.1016/B978-1-4377-0878-3.10002-6&lt;/electronic-resource-num&gt;&lt;/record&gt;&lt;/Cite&gt;&lt;/EndNote&gt;</w:instrText>
      </w:r>
      <w:r>
        <w:fldChar w:fldCharType="separate"/>
      </w:r>
      <w:r>
        <w:rPr>
          <w:noProof/>
        </w:rPr>
        <w:t>[4]</w:t>
      </w:r>
      <w:r>
        <w:fldChar w:fldCharType="end"/>
      </w:r>
      <w:r>
        <w:t xml:space="preserve">.  In particular, mechanical symptoms such as ligamentous injury or malalignment of the joint will require correction prior to considering cartilage repair </w:t>
      </w:r>
      <w:r>
        <w:fldChar w:fldCharType="begin"/>
      </w:r>
      <w:r>
        <w:instrText xml:space="preserve"> ADDIN EN.CITE &lt;EndNote&gt;&lt;Cite&gt;&lt;Author&gt;Decogliano&lt;/Author&gt;&lt;Year&gt;2011&lt;/Year&gt;&lt;RecNum&gt;11668&lt;/RecNum&gt;&lt;DisplayText&gt;[4]&lt;/DisplayText&gt;&lt;record&gt;&lt;rec-number&gt;11668&lt;/rec-number&gt;&lt;foreign-keys&gt;&lt;key app="EN" db-id="e5fswt02npwd52esazb5pr54wz9epasvpvef" timestamp="1551170273"&gt;11668&lt;/key&gt;&lt;/foreign-keys&gt;&lt;ref-type name="Book Section"&gt;5&lt;/ref-type&gt;&lt;contributors&gt;&lt;authors&gt;&lt;author&gt;Decogliano, M.&lt;/author&gt;&lt;author&gt;Boyer, J.&lt;/author&gt;&lt;author&gt;Mandelbaum, B.R.&lt;/author&gt;&lt;/authors&gt;&lt;secondary-authors&gt;&lt;author&gt;Brittberg, M.&lt;/author&gt;&lt;author&gt;Gersoff, W.&lt;/author&gt;&lt;/secondary-authors&gt;&lt;/contributors&gt;&lt;titles&gt;&lt;title&gt;Patient evaluation and treatment algorithms&lt;/title&gt;&lt;secondary-title&gt;Cartilage surgery: an operative manual&lt;/secondary-title&gt;&lt;/titles&gt;&lt;pages&gt;9-18&lt;/pages&gt;&lt;section&gt;2&lt;/section&gt;&lt;dates&gt;&lt;year&gt;2011&lt;/year&gt;&lt;/dates&gt;&lt;publisher&gt;Elsevier&lt;/publisher&gt;&lt;urls&gt;&lt;/urls&gt;&lt;electronic-resource-num&gt;10.1016/B978-1-4377-0878-3.10002-6&lt;/electronic-resource-num&gt;&lt;/record&gt;&lt;/Cite&gt;&lt;/EndNote&gt;</w:instrText>
      </w:r>
      <w:r>
        <w:fldChar w:fldCharType="separate"/>
      </w:r>
      <w:r>
        <w:rPr>
          <w:noProof/>
        </w:rPr>
        <w:t>[4]</w:t>
      </w:r>
      <w:r>
        <w:fldChar w:fldCharType="end"/>
      </w:r>
      <w:r>
        <w:t>.</w:t>
      </w:r>
    </w:p>
    <w:p w14:paraId="697E9B2D" w14:textId="40371F2E" w:rsidR="001C5FB1" w:rsidRDefault="001C5FB1" w:rsidP="001C5FB1">
      <w:r>
        <w:rPr>
          <w:noProof/>
        </w:rPr>
        <w:t>S</w:t>
      </w:r>
      <w:r w:rsidRPr="00C363CF">
        <w:rPr>
          <w:noProof/>
        </w:rPr>
        <w:t xml:space="preserve">urgery is </w:t>
      </w:r>
      <w:r>
        <w:rPr>
          <w:noProof/>
        </w:rPr>
        <w:t xml:space="preserve">typically indicated for patients presenting with symptoms </w:t>
      </w:r>
      <w:r w:rsidRPr="00C363CF">
        <w:rPr>
          <w:noProof/>
        </w:rPr>
        <w:t>consistent with a full</w:t>
      </w:r>
      <w:r>
        <w:rPr>
          <w:noProof/>
        </w:rPr>
        <w:t xml:space="preserve"> </w:t>
      </w:r>
      <w:r w:rsidRPr="00C363CF">
        <w:rPr>
          <w:noProof/>
        </w:rPr>
        <w:t>thicknes</w:t>
      </w:r>
      <w:r>
        <w:rPr>
          <w:noProof/>
        </w:rPr>
        <w:t xml:space="preserve">s </w:t>
      </w:r>
      <w:r w:rsidRPr="00C363CF">
        <w:rPr>
          <w:noProof/>
        </w:rPr>
        <w:t>cartilage defect</w:t>
      </w:r>
      <w:r>
        <w:rPr>
          <w:noProof/>
        </w:rPr>
        <w:t xml:space="preserve"> (Grade </w:t>
      </w:r>
      <w:r w:rsidRPr="00C363CF">
        <w:rPr>
          <w:noProof/>
        </w:rPr>
        <w:t>3</w:t>
      </w:r>
      <w:r>
        <w:rPr>
          <w:noProof/>
        </w:rPr>
        <w:t xml:space="preserve"> </w:t>
      </w:r>
      <w:r w:rsidRPr="00C363CF">
        <w:rPr>
          <w:noProof/>
        </w:rPr>
        <w:t xml:space="preserve">or 4) and </w:t>
      </w:r>
      <w:r>
        <w:rPr>
          <w:noProof/>
        </w:rPr>
        <w:t xml:space="preserve">mechanical symptoms despite an </w:t>
      </w:r>
      <w:r w:rsidRPr="00C363CF">
        <w:rPr>
          <w:noProof/>
        </w:rPr>
        <w:t>adequate</w:t>
      </w:r>
      <w:r>
        <w:rPr>
          <w:noProof/>
        </w:rPr>
        <w:t xml:space="preserve"> trial of nonoperative management. The orthopaedic surgeon will determine t</w:t>
      </w:r>
      <w:r w:rsidRPr="002A079E">
        <w:rPr>
          <w:noProof/>
        </w:rPr>
        <w:t>reatment strategies for cartilage repair</w:t>
      </w:r>
      <w:r>
        <w:rPr>
          <w:noProof/>
        </w:rPr>
        <w:t xml:space="preserve"> primarily based on the location and the size of the defect, with age and hence level of expected activity as important secondary considerations </w:t>
      </w:r>
      <w:r>
        <w:rPr>
          <w:noProof/>
        </w:rPr>
        <w:fldChar w:fldCharType="begin"/>
      </w:r>
      <w:r>
        <w:rPr>
          <w:noProof/>
        </w:rPr>
        <w:instrText xml:space="preserve"> ADDIN EN.CITE &lt;EndNote&gt;&lt;Cite&gt;&lt;Author&gt;Gomoll&lt;/Author&gt;&lt;Year&gt;2010&lt;/Year&gt;&lt;RecNum&gt;11775&lt;/RecNum&gt;&lt;DisplayText&gt;[5]&lt;/DisplayText&gt;&lt;record&gt;&lt;rec-number&gt;11775&lt;/rec-number&gt;&lt;foreign-keys&gt;&lt;key app="EN" db-id="e5fswt02npwd52esazb5pr54wz9epasvpvef" timestamp="1553207584"&gt;11775&lt;/key&gt;&lt;/foreign-keys&gt;&lt;ref-type name="Journal Article"&gt;17&lt;/ref-type&gt;&lt;contributors&gt;&lt;authors&gt;&lt;author&gt;Gomoll, A. H.&lt;/author&gt;&lt;author&gt;Farr, J.&lt;/author&gt;&lt;author&gt;Gillogly, S. D.&lt;/author&gt;&lt;author&gt;Kercher, J.&lt;/author&gt;&lt;author&gt;Minas, T.&lt;/author&gt;&lt;/authors&gt;&lt;/contributors&gt;&lt;auth-address&gt;Cartilage Repair Center, Brigham and Women&amp;apos;s Hospital, 75 Francis Street, Boston, MA 02115, USA. agomoll@yahoo.com&lt;/auth-address&gt;&lt;titles&gt;&lt;title&gt;Surgical management of articular cartilage defects of the knee&lt;/title&gt;&lt;secondary-title&gt;J Bone Joint Surg Am&lt;/secondary-title&gt;&lt;/titles&gt;&lt;periodical&gt;&lt;full-title&gt;J Bone Joint Surg Am&lt;/full-title&gt;&lt;/periodical&gt;&lt;pages&gt;2470-90&lt;/pages&gt;&lt;volume&gt;92&lt;/volume&gt;&lt;number&gt;14&lt;/number&gt;&lt;edition&gt;2010/10/22&lt;/edition&gt;&lt;keywords&gt;&lt;keyword&gt;Arthroscopy&lt;/keyword&gt;&lt;keyword&gt;Bone Transplantation&lt;/keyword&gt;&lt;keyword&gt;Cartilage, Articular/*injuries/*surgery&lt;/keyword&gt;&lt;keyword&gt;Chondrocytes/transplantation&lt;/keyword&gt;&lt;keyword&gt;Debridement&lt;/keyword&gt;&lt;keyword&gt;Diagnostic Imaging&lt;/keyword&gt;&lt;keyword&gt;Humans&lt;/keyword&gt;&lt;keyword&gt;Knee Injuries/*surgery&lt;/keyword&gt;&lt;keyword&gt;Orthopedics/*methods&lt;/keyword&gt;&lt;keyword&gt;Osteochondritis Dissecans/surgery&lt;/keyword&gt;&lt;keyword&gt;Osteotomy&lt;/keyword&gt;&lt;keyword&gt;Tibial Meniscus Injuries&lt;/keyword&gt;&lt;keyword&gt;Transplantation, Autologous&lt;/keyword&gt;&lt;keyword&gt;Transplantation, Homologous&lt;/keyword&gt;&lt;keyword&gt;Treatment Outcome&lt;/keyword&gt;&lt;/keywords&gt;&lt;dates&gt;&lt;year&gt;2010&lt;/year&gt;&lt;pub-dates&gt;&lt;date&gt;Oct 20&lt;/date&gt;&lt;/pub-dates&gt;&lt;/dates&gt;&lt;isbn&gt;1535-1386 (Electronic)&amp;#xD;0021-9355 (Linking)&lt;/isbn&gt;&lt;accession-num&gt;20962200&lt;/accession-num&gt;&lt;urls&gt;&lt;related-urls&gt;&lt;url&gt;https://www.ncbi.nlm.nih.gov/pubmed/20962200&lt;/url&gt;&lt;/related-urls&gt;&lt;/urls&gt;&lt;/record&gt;&lt;/Cite&gt;&lt;/EndNote&gt;</w:instrText>
      </w:r>
      <w:r>
        <w:rPr>
          <w:noProof/>
        </w:rPr>
        <w:fldChar w:fldCharType="separate"/>
      </w:r>
      <w:r>
        <w:rPr>
          <w:noProof/>
        </w:rPr>
        <w:t>[5]</w:t>
      </w:r>
      <w:r>
        <w:rPr>
          <w:noProof/>
        </w:rPr>
        <w:fldChar w:fldCharType="end"/>
      </w:r>
      <w:r w:rsidR="007B7DFC">
        <w:rPr>
          <w:noProof/>
        </w:rPr>
        <w:t xml:space="preserve">. </w:t>
      </w:r>
      <w:r>
        <w:t xml:space="preserve">Treatment is complicated in patients with comorbidities such as ligamentous instability, deficient menisci or malalignment of the mechanical limb axis or extensor mechanism </w:t>
      </w:r>
      <w:r>
        <w:fldChar w:fldCharType="begin"/>
      </w:r>
      <w:r>
        <w:instrText xml:space="preserve"> ADDIN EN.CITE &lt;EndNote&gt;&lt;Cite&gt;&lt;Author&gt;Decogliano&lt;/Author&gt;&lt;Year&gt;2011&lt;/Year&gt;&lt;RecNum&gt;11668&lt;/RecNum&gt;&lt;DisplayText&gt;[4]&lt;/DisplayText&gt;&lt;record&gt;&lt;rec-number&gt;11668&lt;/rec-number&gt;&lt;foreign-keys&gt;&lt;key app="EN" db-id="e5fswt02npwd52esazb5pr54wz9epasvpvef" timestamp="1551170273"&gt;11668&lt;/key&gt;&lt;/foreign-keys&gt;&lt;ref-type name="Book Section"&gt;5&lt;/ref-type&gt;&lt;contributors&gt;&lt;authors&gt;&lt;author&gt;Decogliano, M.&lt;/author&gt;&lt;author&gt;Boyer, J.&lt;/author&gt;&lt;author&gt;Mandelbaum, B.R.&lt;/author&gt;&lt;/authors&gt;&lt;secondary-authors&gt;&lt;author&gt;Brittberg, M.&lt;/author&gt;&lt;author&gt;Gersoff, W.&lt;/author&gt;&lt;/secondary-authors&gt;&lt;/contributors&gt;&lt;titles&gt;&lt;title&gt;Patient evaluation and treatment algorithms&lt;/title&gt;&lt;secondary-title&gt;Cartilage surgery: an operative manual&lt;/secondary-title&gt;&lt;/titles&gt;&lt;pages&gt;9-18&lt;/pages&gt;&lt;section&gt;2&lt;/section&gt;&lt;dates&gt;&lt;year&gt;2011&lt;/year&gt;&lt;/dates&gt;&lt;publisher&gt;Elsevier&lt;/publisher&gt;&lt;urls&gt;&lt;/urls&gt;&lt;electronic-resource-num&gt;10.1016/B978-1-4377-0878-3.10002-6&lt;/electronic-resource-num&gt;&lt;/record&gt;&lt;/Cite&gt;&lt;/EndNote&gt;</w:instrText>
      </w:r>
      <w:r>
        <w:fldChar w:fldCharType="separate"/>
      </w:r>
      <w:r>
        <w:rPr>
          <w:noProof/>
        </w:rPr>
        <w:t>[4]</w:t>
      </w:r>
      <w:r>
        <w:fldChar w:fldCharType="end"/>
      </w:r>
      <w:r>
        <w:t>.</w:t>
      </w:r>
    </w:p>
    <w:p w14:paraId="3913FAE5" w14:textId="77777777" w:rsidR="001C5FB1" w:rsidRDefault="001C5FB1" w:rsidP="001C5FB1">
      <w:r w:rsidRPr="00C644C9">
        <w:t>Patients with advanced osteoarthritis are generally not suitable for cartilage repair.</w:t>
      </w:r>
    </w:p>
    <w:p w14:paraId="4E8CEC19" w14:textId="77777777" w:rsidR="001C5FB1" w:rsidRPr="00EA7711" w:rsidRDefault="001C5FB1" w:rsidP="001C5FB1">
      <w:pPr>
        <w:rPr>
          <w:i/>
          <w:u w:val="single"/>
        </w:rPr>
      </w:pPr>
      <w:r w:rsidRPr="00EA7711">
        <w:rPr>
          <w:i/>
          <w:u w:val="single"/>
        </w:rPr>
        <w:t>Prevalence of articular cartilage lesions</w:t>
      </w:r>
    </w:p>
    <w:p w14:paraId="0F4A4ACF" w14:textId="77777777" w:rsidR="001C5FB1" w:rsidRPr="00021640" w:rsidRDefault="001C5FB1" w:rsidP="001C5FB1">
      <w:r w:rsidRPr="00021640">
        <w:t xml:space="preserve">Articular cartilage lesions of the knee are relatively common, with an estimated prevalence of 60% found in patients undergoing knee arthroscopy </w:t>
      </w:r>
      <w:r w:rsidRPr="00021640">
        <w:fldChar w:fldCharType="begin">
          <w:fldData xml:space="preserve">PEVuZE5vdGU+PENpdGU+PEF1dGhvcj5Bcm9lbjwvQXV0aG9yPjxZZWFyPjIwMDQ8L1llYXI+PFJl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==
</w:fldData>
        </w:fldChar>
      </w:r>
      <w:r>
        <w:instrText xml:space="preserve"> ADDIN EN.CITE </w:instrText>
      </w:r>
      <w:r>
        <w:fldChar w:fldCharType="begin">
          <w:fldData xml:space="preserve">PEVuZE5vdGU+PENpdGU+PEF1dGhvcj5Bcm9lbjwvQXV0aG9yPjxZZWFyPjIwMDQ8L1llYXI+PFJl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==
</w:fldData>
        </w:fldChar>
      </w:r>
      <w:r>
        <w:instrText xml:space="preserve"> ADDIN EN.CITE.DATA </w:instrText>
      </w:r>
      <w:r>
        <w:fldChar w:fldCharType="end"/>
      </w:r>
      <w:r w:rsidRPr="00021640">
        <w:fldChar w:fldCharType="separate"/>
      </w:r>
      <w:r w:rsidRPr="00021640">
        <w:rPr>
          <w:noProof/>
        </w:rPr>
        <w:t>[9-11]</w:t>
      </w:r>
      <w:r w:rsidRPr="00021640">
        <w:fldChar w:fldCharType="end"/>
      </w:r>
      <w:r w:rsidRPr="00021640">
        <w:t xml:space="preserve">.  Lesions in the hip and ankle are less common, full thickness acetabular lesions are seen in around 10% of hips treated for femoroacetabular impingement (FAI) </w:t>
      </w:r>
      <w:r w:rsidRPr="00021640">
        <w:fldChar w:fldCharType="begin"/>
      </w:r>
      <w:r>
        <w:instrText xml:space="preserve"> ADDIN EN.CITE &lt;EndNote&gt;&lt;Cite&gt;&lt;Author&gt;Løken&lt;/Author&gt;&lt;Year&gt;2015&lt;/Year&gt;&lt;RecNum&gt;11717&lt;/RecNum&gt;&lt;DisplayText&gt;[3]&lt;/DisplayText&gt;&lt;record&gt;&lt;rec-number&gt;11717&lt;/rec-number&gt;&lt;foreign-keys&gt;&lt;key app="EN" db-id="e5fswt02npwd52esazb5pr54wz9epasvpvef" timestamp="1551679707"&gt;11717&lt;/key&gt;&lt;/foreign-keys&gt;&lt;ref-type name="Book Section"&gt;5&lt;/ref-type&gt;&lt;contributors&gt;&lt;authors&gt;&lt;author&gt;Løken, Sverre&lt;/author&gt;&lt;author&gt;Granan, Lars-Petter&lt;/author&gt;&lt;author&gt;Sivertsen, Einar Andreas&lt;/author&gt;&lt;author&gt;Årøen, Asbjørn&lt;/author&gt;&lt;/authors&gt;&lt;secondary-authors&gt;&lt;author&gt;Doral, Mahmut Nedim&lt;/author&gt;&lt;author&gt;Karlsson, Jon&lt;/author&gt;&lt;/secondary-authors&gt;&lt;/contributors&gt;&lt;titles&gt;&lt;title&gt;Epidemiology of Cartilage Injuries&lt;/title&gt;&lt;secondary-title&gt;Sports Injuries: Prevention, Diagnosis, Treatment and Rehabilitation&lt;/secondary-title&gt;&lt;/titles&gt;&lt;pages&gt;1-12&lt;/pages&gt;&lt;dates&gt;&lt;year&gt;2015&lt;/year&gt;&lt;/dates&gt;&lt;pub-location&gt;Berlin, Heidelberg&lt;/pub-location&gt;&lt;publisher&gt;Springer Berlin Heidelberg&lt;/publisher&gt;&lt;isbn&gt;978-3-642-36801-1&lt;/isbn&gt;&lt;label&gt;Løken2015&lt;/label&gt;&lt;urls&gt;&lt;related-urls&gt;&lt;url&gt;https://doi.org/10.1007/978-3-642-36801-1_149-1&lt;/url&gt;&lt;url&gt;https://link.springer.com/referenceworkentry/10.1007%2F978-3-642-36801-1_149-1&lt;/url&gt;&lt;/related-urls&gt;&lt;/urls&gt;&lt;electronic-resource-num&gt;10.1007/978-3-642-36801-1_149-1&lt;/electronic-resource-num&gt;&lt;/record&gt;&lt;/Cite&gt;&lt;/EndNote&gt;</w:instrText>
      </w:r>
      <w:r w:rsidRPr="00021640">
        <w:fldChar w:fldCharType="separate"/>
      </w:r>
      <w:r w:rsidRPr="00021640">
        <w:rPr>
          <w:noProof/>
        </w:rPr>
        <w:t>[3]</w:t>
      </w:r>
      <w:r w:rsidRPr="00021640">
        <w:fldChar w:fldCharType="end"/>
      </w:r>
      <w:r w:rsidRPr="00021640">
        <w:t xml:space="preserve">. Cartilage lesions of the ankle are often non-symptomatic, as such the prevalence is unclear </w:t>
      </w:r>
      <w:r w:rsidRPr="00021640">
        <w:fldChar w:fldCharType="begin"/>
      </w:r>
      <w:r>
        <w:instrText xml:space="preserve"> ADDIN EN.CITE &lt;EndNote&gt;&lt;Cite&gt;&lt;Author&gt;Aurich&lt;/Author&gt;&lt;Year&gt;2014&lt;/Year&gt;&lt;RecNum&gt;11716&lt;/RecNum&gt;&lt;DisplayText&gt;[12]&lt;/DisplayText&gt;&lt;record&gt;&lt;rec-number&gt;11716&lt;/rec-number&gt;&lt;foreign-keys&gt;&lt;key app="EN" db-id="e5fswt02npwd52esazb5pr54wz9epasvpvef" timestamp="1551679407"&gt;11716&lt;/key&gt;&lt;/foreign-keys&gt;&lt;ref-type name="Journal Article"&gt;17&lt;/ref-type&gt;&lt;contributors&gt;&lt;authors&gt;&lt;author&gt;Aurich, M.&lt;/author&gt;&lt;author&gt;Hofmann, G. O.&lt;/author&gt;&lt;author&gt;Rolauffs, B.&lt;/author&gt;&lt;author&gt;Gras, F.&lt;/author&gt;&lt;/authors&gt;&lt;/contributors&gt;&lt;auth-address&gt;Department of Orthopaedic Surgery, Trauma and Hand Surgery , Kliniken Leipziger Land, Klinikum Borna.&amp;#xD;Department of Trauma-, Hand and Reconstructive Surgery, University Hospital Jena , Germany.&amp;#xD;BG-Trauma Center Tubingen , Germany.&lt;/auth-address&gt;&lt;titles&gt;&lt;title&gt;Differences in injury pattern and prevalence of cartilage lesions in knee and ankle joints: a retrospective cohort study&lt;/title&gt;&lt;secondary-title&gt;Orthop Rev (Pavia)&lt;/secondary-title&gt;&lt;/titles&gt;&lt;periodical&gt;&lt;full-title&gt;Orthop Rev (Pavia)&lt;/full-title&gt;&lt;/periodical&gt;&lt;pages&gt;5611&lt;/pages&gt;&lt;volume&gt;6&lt;/volume&gt;&lt;number&gt;4&lt;/number&gt;&lt;edition&gt;2015/01/09&lt;/edition&gt;&lt;keywords&gt;&lt;keyword&gt;ankle&lt;/keyword&gt;&lt;keyword&gt;cartilage lesion&lt;/keyword&gt;&lt;keyword&gt;injury&lt;/keyword&gt;&lt;keyword&gt;knee&lt;/keyword&gt;&lt;keyword&gt;osteoarthritis&lt;/keyword&gt;&lt;/keywords&gt;&lt;dates&gt;&lt;year&gt;2014&lt;/year&gt;&lt;pub-dates&gt;&lt;date&gt;Oct 27&lt;/date&gt;&lt;/pub-dates&gt;&lt;/dates&gt;&lt;isbn&gt;2035-8237 (Print)&amp;#xD;2035-8164 (Linking)&lt;/isbn&gt;&lt;accession-num&gt;25568732&lt;/accession-num&gt;&lt;urls&gt;&lt;related-urls&gt;&lt;url&gt;https://www.ncbi.nlm.nih.gov/pubmed/25568732&lt;/url&gt;&lt;url&gt;https://www.pagepress.org/journals/index.php/or/article/download/5611/4546&lt;/url&gt;&lt;/related-urls&gt;&lt;/urls&gt;&lt;custom2&gt;PMC4274453&lt;/custom2&gt;&lt;electronic-resource-num&gt;10.4081/or.2014.5611&lt;/electronic-resource-num&gt;&lt;/record&gt;&lt;/Cite&gt;&lt;/EndNote&gt;</w:instrText>
      </w:r>
      <w:r w:rsidRPr="00021640">
        <w:fldChar w:fldCharType="separate"/>
      </w:r>
      <w:r w:rsidRPr="00021640">
        <w:rPr>
          <w:noProof/>
        </w:rPr>
        <w:t>[12]</w:t>
      </w:r>
      <w:r w:rsidRPr="00021640">
        <w:fldChar w:fldCharType="end"/>
      </w:r>
      <w:r w:rsidRPr="00021640">
        <w:t xml:space="preserve">. A retrospective analysis of medical records from patients undergoing arthroscopy of the knee or ankle found that high grade (ICRS Grade 3 and 4) cartilage defects were significantly more prevalent in the knee (49.47%) compared to the ankle (26.31%) </w:t>
      </w:r>
      <w:r w:rsidRPr="00021640">
        <w:fldChar w:fldCharType="begin"/>
      </w:r>
      <w:r>
        <w:instrText xml:space="preserve"> ADDIN EN.CITE &lt;EndNote&gt;&lt;Cite&gt;&lt;Author&gt;Aurich&lt;/Author&gt;&lt;Year&gt;2014&lt;/Year&gt;&lt;RecNum&gt;11716&lt;/RecNum&gt;&lt;DisplayText&gt;[12]&lt;/DisplayText&gt;&lt;record&gt;&lt;rec-number&gt;11716&lt;/rec-number&gt;&lt;foreign-keys&gt;&lt;key app="EN" db-id="e5fswt02npwd52esazb5pr54wz9epasvpvef" timestamp="1551679407"&gt;11716&lt;/key&gt;&lt;/foreign-keys&gt;&lt;ref-type name="Journal Article"&gt;17&lt;/ref-type&gt;&lt;contributors&gt;&lt;authors&gt;&lt;author&gt;Aurich, M.&lt;/author&gt;&lt;author&gt;Hofmann, G. O.&lt;/author&gt;&lt;author&gt;Rolauffs, B.&lt;/author&gt;&lt;author&gt;Gras, F.&lt;/author&gt;&lt;/authors&gt;&lt;/contributors&gt;&lt;auth-address&gt;Department of Orthopaedic Surgery, Trauma and Hand Surgery , Kliniken Leipziger Land, Klinikum Borna.&amp;#xD;Department of Trauma-, Hand and Reconstructive Surgery, University Hospital Jena , Germany.&amp;#xD;BG-Trauma Center Tubingen , Germany.&lt;/auth-address&gt;&lt;titles&gt;&lt;title&gt;Differences in injury pattern and prevalence of cartilage lesions in knee and ankle joints: a retrospective cohort study&lt;/title&gt;&lt;secondary-title&gt;Orthop Rev (Pavia)&lt;/secondary-title&gt;&lt;/titles&gt;&lt;periodical&gt;&lt;full-title&gt;Orthop Rev (Pavia)&lt;/full-title&gt;&lt;/periodical&gt;&lt;pages&gt;5611&lt;/pages&gt;&lt;volume&gt;6&lt;/volume&gt;&lt;number&gt;4&lt;/number&gt;&lt;edition&gt;2015/01/09&lt;/edition&gt;&lt;keywords&gt;&lt;keyword&gt;ankle&lt;/keyword&gt;&lt;keyword&gt;cartilage lesion&lt;/keyword&gt;&lt;keyword&gt;injury&lt;/keyword&gt;&lt;keyword&gt;knee&lt;/keyword&gt;&lt;keyword&gt;osteoarthritis&lt;/keyword&gt;&lt;/keywords&gt;&lt;dates&gt;&lt;year&gt;2014&lt;/year&gt;&lt;pub-dates&gt;&lt;date&gt;Oct 27&lt;/date&gt;&lt;/pub-dates&gt;&lt;/dates&gt;&lt;isbn&gt;2035-8237 (Print)&amp;#xD;2035-8164 (Linking)&lt;/isbn&gt;&lt;accession-num&gt;25568732&lt;/accession-num&gt;&lt;urls&gt;&lt;related-urls&gt;&lt;url&gt;https://www.ncbi.nlm.nih.gov/pubmed/25568732&lt;/url&gt;&lt;url&gt;https://www.pagepress.org/journals/index.php/or/article/download/5611/4546&lt;/url&gt;&lt;/related-urls&gt;&lt;/urls&gt;&lt;custom2&gt;PMC4274453&lt;/custom2&gt;&lt;electronic-resource-num&gt;10.4081/or.2014.5611&lt;/electronic-resource-num&gt;&lt;/record&gt;&lt;/Cite&gt;&lt;/EndNote&gt;</w:instrText>
      </w:r>
      <w:r w:rsidRPr="00021640">
        <w:fldChar w:fldCharType="separate"/>
      </w:r>
      <w:r w:rsidRPr="00021640">
        <w:rPr>
          <w:noProof/>
        </w:rPr>
        <w:t>[12]</w:t>
      </w:r>
      <w:r w:rsidRPr="00021640">
        <w:fldChar w:fldCharType="end"/>
      </w:r>
      <w:r w:rsidRPr="00021640">
        <w:t>.</w:t>
      </w:r>
    </w:p>
    <w:p w14:paraId="3024A4DE" w14:textId="77777777" w:rsidR="001C5FB1" w:rsidRDefault="001C5FB1" w:rsidP="001C5FB1">
      <w:r w:rsidRPr="00021640">
        <w:t xml:space="preserve">The prevalence of grade 3-4 lesions varies; localised full thickness cartilage lesions (grade 3-4) were found in 11% of patients undergoing knee arthroscopy </w:t>
      </w:r>
      <w:r w:rsidRPr="004A524F">
        <w:fldChar w:fldCharType="begin"/>
      </w:r>
      <w:r w:rsidRPr="004A524F">
        <w:instrText xml:space="preserve"> ADDIN EN.CITE &lt;EndNote&gt;&lt;Cite&gt;&lt;Author&gt;Aroen&lt;/Author&gt;&lt;Year&gt;2004&lt;/Year&gt;&lt;RecNum&gt;11713&lt;/RecNum&gt;&lt;DisplayText&gt;[9]&lt;/DisplayText&gt;&lt;record&gt;&lt;rec-number&gt;11713&lt;/rec-number&gt;&lt;foreign-keys&gt;&lt;key app="EN" db-id="e5fswt02npwd52esazb5pr54wz9epasvpvef" timestamp="1551679161"&gt;11713&lt;/key&gt;&lt;/foreign-keys&gt;&lt;ref-type name="Journal Article"&gt;17&lt;/ref-type&gt;&lt;contributors&gt;&lt;authors&gt;&lt;author&gt;Aroen, A.&lt;/author&gt;&lt;author&gt;Loken, S.&lt;/author&gt;&lt;author&gt;Heir, S.&lt;/author&gt;&lt;author&gt;Alvik, E.&lt;/author&gt;&lt;author&gt;Ekeland, A.&lt;/author&gt;&lt;author&gt;Granlund, O. G.&lt;/author&gt;&lt;author&gt;Engebretsen, L.&lt;/author&gt;&lt;/authors&gt;&lt;/contributors&gt;&lt;auth-address&gt;Oslo Sports Trauma Research Center, Institute for Surgical Research, Akershus University Hospital, Oslo University, Oslo, Norway.&lt;/auth-address&gt;&lt;titles&gt;&lt;title&gt;Articular cartilage lesions in 993 consecutive knee arthroscopies&lt;/title&gt;&lt;secondary-title&gt;Am J Sports Med&lt;/secondary-title&gt;&lt;/titles&gt;&lt;periodical&gt;&lt;full-title&gt;Am J Sports Med&lt;/full-title&gt;&lt;/periodical&gt;&lt;pages&gt;211-5&lt;/pages&gt;&lt;volume&gt;32&lt;/volume&gt;&lt;number&gt;1&lt;/number&gt;&lt;edition&gt;2004/02/03&lt;/edition&gt;&lt;keywords&gt;&lt;keyword&gt;Adolescent&lt;/keyword&gt;&lt;keyword&gt;Adult&lt;/keyword&gt;&lt;keyword&gt;Aged&lt;/keyword&gt;&lt;keyword&gt;Aged, 80 and over&lt;/keyword&gt;&lt;keyword&gt;Arthroscopy&lt;/keyword&gt;&lt;keyword&gt;Cartilage Diseases/*diagnosis/surgery&lt;/keyword&gt;&lt;keyword&gt;Cartilage, Articular/*injuries/surgery&lt;/keyword&gt;&lt;keyword&gt;Child&lt;/keyword&gt;&lt;keyword&gt;Female&lt;/keyword&gt;&lt;keyword&gt;Humans&lt;/keyword&gt;&lt;keyword&gt;Knee Injuries/*diagnosis/surgery&lt;/keyword&gt;&lt;keyword&gt;Male&lt;/keyword&gt;&lt;keyword&gt;Middle Aged&lt;/keyword&gt;&lt;keyword&gt;Treatment Outcome&lt;/keyword&gt;&lt;/keywords&gt;&lt;dates&gt;&lt;year&gt;2004&lt;/year&gt;&lt;pub-dates&gt;&lt;date&gt;Jan-Feb&lt;/date&gt;&lt;/pub-dates&gt;&lt;/dates&gt;&lt;isbn&gt;0363-5465 (Print)&amp;#xD;0363-5465 (Linking)&lt;/isbn&gt;&lt;accession-num&gt;14754746&lt;/accession-num&gt;&lt;urls&gt;&lt;related-urls&gt;&lt;url&gt;https://www.ncbi.nlm.nih.gov/pubmed/14754746&lt;/url&gt;&lt;/related-urls&gt;&lt;/urls&gt;&lt;electronic-resource-num&gt;10.1177/0363546503259345&lt;/electronic-resource-num&gt;&lt;/record&gt;&lt;/Cite&gt;&lt;/EndNote&gt;</w:instrText>
      </w:r>
      <w:r w:rsidRPr="004A524F">
        <w:fldChar w:fldCharType="separate"/>
      </w:r>
      <w:r w:rsidRPr="004A524F">
        <w:rPr>
          <w:noProof/>
        </w:rPr>
        <w:t>[9]</w:t>
      </w:r>
      <w:r w:rsidRPr="004A524F">
        <w:fldChar w:fldCharType="end"/>
      </w:r>
      <w:r w:rsidRPr="004A524F">
        <w:t>.  APTA (2018) report</w:t>
      </w:r>
      <w:r>
        <w:t xml:space="preserve"> that grade 3-4 lesions make up 30% to 60% of all articular cartilage lesions </w:t>
      </w:r>
      <w:r>
        <w:fldChar w:fldCharType="begin">
          <w:fldData xml:space="preserve">PEVuZE5vdGU+PENpdGU+PEF1dGhvcj5Mb2dlcnN0ZWR0PC9BdXRob3I+PFllYXI+MjAxODwvWWVh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</w:fldData>
        </w:fldChar>
      </w:r>
      <w:r>
        <w:instrText xml:space="preserve"> ADDIN EN.CITE </w:instrText>
      </w:r>
      <w:r>
        <w:fldChar w:fldCharType="begin">
          <w:fldData xml:space="preserve">PEVuZE5vdGU+PENpdGU+PEF1dGhvcj5Mb2dlcnN0ZWR0PC9BdXRob3I+PFllYXI+MjAxODwvWWVh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</w:fldData>
        </w:fldChar>
      </w:r>
      <w:r>
        <w:instrText xml:space="preserve"> ADDIN EN.CITE.DATA </w:instrText>
      </w:r>
      <w:r>
        <w:fldChar w:fldCharType="end"/>
      </w:r>
      <w:r>
        <w:fldChar w:fldCharType="separate"/>
      </w:r>
      <w:r>
        <w:rPr>
          <w:noProof/>
        </w:rPr>
        <w:t>[13]</w:t>
      </w:r>
      <w:r>
        <w:fldChar w:fldCharType="end"/>
      </w:r>
      <w:r>
        <w:t xml:space="preserve">. With a growing percentage of the population that is overweight, the ageing population and a more active society, the prevalence of articular cartilage damage is increasing </w:t>
      </w:r>
      <w:r>
        <w:fldChar w:fldCharType="begin"/>
      </w:r>
      <w:r>
        <w:instrText xml:space="preserve"> ADDIN EN.CITE &lt;EndNote&gt;&lt;Cite&gt;&lt;Author&gt;Evans&lt;/Author&gt;&lt;Year&gt;2009&lt;/Year&gt;&lt;RecNum&gt;11780&lt;/RecNum&gt;&lt;DisplayText&gt;[8]&lt;/DisplayText&gt;&lt;record&gt;&lt;rec-number&gt;11780&lt;/rec-number&gt;&lt;foreign-keys&gt;&lt;key app="EN" db-id="e5fswt02npwd52esazb5pr54wz9epasvpvef" timestamp="1553219568"&gt;11780&lt;/key&gt;&lt;/foreign-keys&gt;&lt;ref-type name="Journal Article"&gt;17&lt;/ref-type&gt;&lt;contributors&gt;&lt;authors&gt;&lt;author&gt;Evans, C. H.&lt;/author&gt;&lt;author&gt;Ghivizzani, S. C.&lt;/author&gt;&lt;author&gt;Robbins, P. D.&lt;/author&gt;&lt;/authors&gt;&lt;/contributors&gt;&lt;auth-address&gt;Center for Molecular Orthopaedics, Harvard Medical School, Boston, Massachusetts, USA. cevans@bidmc.harvard.edu&lt;/auth-address&gt;&lt;titles&gt;&lt;title&gt;Orthopedic gene therapy in 2008&lt;/title&gt;&lt;secondary-title&gt;Mol Ther&lt;/secondary-title&gt;&lt;/titles&gt;&lt;periodical&gt;&lt;full-title&gt;Mol Ther&lt;/full-title&gt;&lt;abbr-1&gt;Molecular therapy : the journal of the American Society of Gene Therapy&lt;/abbr-1&gt;&lt;/periodical&gt;&lt;pages&gt;231-44&lt;/pages&gt;&lt;volume&gt;17&lt;/volume&gt;&lt;number&gt;2&lt;/number&gt;&lt;edition&gt;2008/12/11&lt;/edition&gt;&lt;keywords&gt;&lt;keyword&gt;Genetic Therapy/*methods&lt;/keyword&gt;&lt;keyword&gt;Humans&lt;/keyword&gt;&lt;keyword&gt;Models, Biological&lt;/keyword&gt;&lt;keyword&gt;Musculoskeletal Diseases/*genetics/pathology/*therapy&lt;/keyword&gt;&lt;keyword&gt;Orthopedics/*methods&lt;/keyword&gt;&lt;/keywords&gt;&lt;dates&gt;&lt;year&gt;2009&lt;/year&gt;&lt;pub-dates&gt;&lt;date&gt;Feb&lt;/date&gt;&lt;/pub-dates&gt;&lt;/dates&gt;&lt;isbn&gt;1525-0024 (Electronic)&amp;#xD;1525-0016 (Linking)&lt;/isbn&gt;&lt;accession-num&gt;19066598&lt;/accession-num&gt;&lt;urls&gt;&lt;related-urls&gt;&lt;url&gt;https://www.ncbi.nlm.nih.gov/pubmed/19066598&lt;/url&gt;&lt;url&gt;https://www.cell.com/molecular-therapy-family/molecular-therapy/pdf/S1525-0016(16)31499-X.pdf&lt;/url&gt;&lt;/related-urls&gt;&lt;/urls&gt;&lt;custom2&gt;PMC2835052&lt;/custom2&gt;&lt;electronic-resource-num&gt;10.1038/mt.2008.265&lt;/electronic-resource-num&gt;&lt;/record&gt;&lt;/Cite&gt;&lt;/EndNote&gt;</w:instrText>
      </w:r>
      <w:r>
        <w:fldChar w:fldCharType="separate"/>
      </w:r>
      <w:r>
        <w:rPr>
          <w:noProof/>
        </w:rPr>
        <w:t>[8]</w:t>
      </w:r>
      <w:r>
        <w:fldChar w:fldCharType="end"/>
      </w:r>
      <w:r>
        <w:t>.</w:t>
      </w:r>
    </w:p>
    <w:p w14:paraId="08D59EEF" w14:textId="748D1AFD" w:rsidR="001C5FB1" w:rsidRDefault="001C5FB1" w:rsidP="001C5FB1">
      <w:r>
        <w:t xml:space="preserve">CarGel, a chitosan-based cartilage biomatrix implant </w:t>
      </w:r>
      <w:r w:rsidR="00AB196E">
        <w:t>has been listed on the Prosthese</w:t>
      </w:r>
      <w:r>
        <w:t>s List since August 2015, and have been reimbursed through the MBS since</w:t>
      </w:r>
      <w:r w:rsidR="00917952">
        <w:t xml:space="preserve"> 2016, primarily using MBS item </w:t>
      </w:r>
      <w:r>
        <w:t xml:space="preserve">49561 for repair of </w:t>
      </w:r>
      <w:r w:rsidR="00917952">
        <w:t xml:space="preserve">cartilage defects of the knee. </w:t>
      </w:r>
      <w:r w:rsidRPr="001957B0">
        <w:rPr>
          <w:b/>
        </w:rPr>
        <w:t>It is noted that the SOCAG/PLAC specified that this application (MSAC 1569) focus on the repair of focal cartilage defects of the knee, and the MBS item number 49561.</w:t>
      </w:r>
      <w:r>
        <w:rPr>
          <w:b/>
        </w:rPr>
        <w:t xml:space="preserve">  </w:t>
      </w:r>
      <w:r>
        <w:t>T</w:t>
      </w:r>
      <w:r w:rsidRPr="00527157">
        <w:t xml:space="preserve">he </w:t>
      </w:r>
      <w:r>
        <w:t>exact number</w:t>
      </w:r>
      <w:r w:rsidRPr="00527157">
        <w:t xml:space="preserve"> of</w:t>
      </w:r>
      <w:r>
        <w:t xml:space="preserve"> patients with </w:t>
      </w:r>
      <w:r w:rsidRPr="00527157">
        <w:t>radiolog</w:t>
      </w:r>
      <w:r>
        <w:t>i</w:t>
      </w:r>
      <w:r w:rsidRPr="00527157">
        <w:t>cally confirmed</w:t>
      </w:r>
      <w:r>
        <w:t xml:space="preserve"> ICRS</w:t>
      </w:r>
      <w:r w:rsidRPr="00527157">
        <w:t xml:space="preserve"> Grade 3 or 4 articular cartilage damage is difficult to confirm</w:t>
      </w:r>
      <w:r>
        <w:t xml:space="preserve"> because there is no specific MBS item number associated with repair of cartilage.  Given the request to focus on MBS 49561, an estimate can be calculated by determining</w:t>
      </w:r>
      <w:r w:rsidRPr="00527157">
        <w:t xml:space="preserve"> by the number of patients receiving microfracture under MBS 49561</w:t>
      </w:r>
      <w:r>
        <w:t xml:space="preserve"> (arthroscopic surgery of the knee)</w:t>
      </w:r>
      <w:r w:rsidRPr="0019075E">
        <w:t xml:space="preserve">, involving </w:t>
      </w:r>
      <w:r>
        <w:t>one</w:t>
      </w:r>
      <w:r w:rsidRPr="0019075E">
        <w:t xml:space="preserve"> or more of: partial or total meniscectomy, removal of loose body or lateral release; where the procedure includes associated debridement, osteoplasty or chondroplasty - not associated with any other arthroscopic procedure of the knee region</w:t>
      </w:r>
      <w:r>
        <w:t>.</w:t>
      </w:r>
    </w:p>
    <w:p w14:paraId="063EF8D7" w14:textId="674C14AA" w:rsidR="001C5FB1" w:rsidRPr="001957B0" w:rsidRDefault="00917952" w:rsidP="001C5FB1">
      <w:r>
        <w:t>U</w:t>
      </w:r>
      <w:r w:rsidR="001C5FB1" w:rsidRPr="001957B0">
        <w:t xml:space="preserve">tilisation of MBS item 49561 over time is provided in </w:t>
      </w:r>
      <w:r w:rsidR="001C5FB1" w:rsidRPr="001957B0">
        <w:fldChar w:fldCharType="begin"/>
      </w:r>
      <w:r w:rsidR="001C5FB1" w:rsidRPr="001957B0">
        <w:instrText xml:space="preserve"> REF _Ref528913029 \h </w:instrText>
      </w:r>
      <w:r w:rsidR="001C5FB1" w:rsidRPr="001957B0">
        <w:fldChar w:fldCharType="separate"/>
      </w:r>
      <w:r w:rsidR="000649E7" w:rsidRPr="001957B0">
        <w:t xml:space="preserve">Figure </w:t>
      </w:r>
      <w:r w:rsidR="000649E7">
        <w:rPr>
          <w:noProof/>
        </w:rPr>
        <w:t>2</w:t>
      </w:r>
      <w:r w:rsidR="001C5FB1" w:rsidRPr="001957B0">
        <w:fldChar w:fldCharType="end"/>
      </w:r>
      <w:r>
        <w:t xml:space="preserve">. The graph suggests </w:t>
      </w:r>
      <w:r w:rsidR="001C5FB1" w:rsidRPr="001957B0">
        <w:t>introduction of chitosan-based cartilage biomatrix implant</w:t>
      </w:r>
      <w:r>
        <w:t xml:space="preserve"> in 2015 has not resulted in </w:t>
      </w:r>
      <w:r w:rsidR="001C5FB1" w:rsidRPr="001957B0">
        <w:t xml:space="preserve">increased utilisation </w:t>
      </w:r>
      <w:r>
        <w:t>of</w:t>
      </w:r>
      <w:r w:rsidR="001C5FB1" w:rsidRPr="001957B0">
        <w:t xml:space="preserve"> MBS item</w:t>
      </w:r>
      <w:r>
        <w:t xml:space="preserve"> </w:t>
      </w:r>
      <w:r w:rsidR="001C5FB1" w:rsidRPr="001957B0">
        <w:t xml:space="preserve">49561. In </w:t>
      </w:r>
      <w:r>
        <w:t>fact</w:t>
      </w:r>
      <w:r w:rsidR="001C5FB1" w:rsidRPr="001957B0">
        <w:t xml:space="preserve">, </w:t>
      </w:r>
      <w:r>
        <w:t xml:space="preserve">the </w:t>
      </w:r>
      <w:r w:rsidR="001C5FB1" w:rsidRPr="001957B0">
        <w:t>number of services claimed for this item</w:t>
      </w:r>
      <w:r>
        <w:t xml:space="preserve"> </w:t>
      </w:r>
      <w:r w:rsidR="001C5FB1" w:rsidRPr="001957B0">
        <w:t>decreased from 49,278 in 2014</w:t>
      </w:r>
      <w:r>
        <w:t>,</w:t>
      </w:r>
      <w:r w:rsidR="001C5FB1" w:rsidRPr="001957B0">
        <w:t xml:space="preserve"> to 34,566 in 2017</w:t>
      </w:r>
      <w:r w:rsidR="00DD339A">
        <w:t xml:space="preserve"> (and data released </w:t>
      </w:r>
      <w:r>
        <w:t xml:space="preserve">since </w:t>
      </w:r>
      <w:r w:rsidR="00DD339A">
        <w:t>MSAC Application 1569</w:t>
      </w:r>
      <w:r>
        <w:t xml:space="preserve"> was submitted</w:t>
      </w:r>
      <w:r w:rsidR="00DD339A">
        <w:t xml:space="preserve"> shows a further decline)</w:t>
      </w:r>
      <w:r>
        <w:t xml:space="preserve">. However, given </w:t>
      </w:r>
      <w:r w:rsidR="001C5FB1" w:rsidRPr="001957B0">
        <w:t xml:space="preserve">MBS item descriptor 49561 is not limited to microfracture, it is unclear what proportion of utilisation of this </w:t>
      </w:r>
      <w:r>
        <w:t xml:space="preserve">item is directly relevant to </w:t>
      </w:r>
      <w:r w:rsidR="001C5FB1" w:rsidRPr="001957B0">
        <w:t>microfracture</w:t>
      </w:r>
      <w:r>
        <w:t>,</w:t>
      </w:r>
      <w:r w:rsidR="001C5FB1" w:rsidRPr="001957B0">
        <w:t xml:space="preserve"> making interpretation of MBS utilisation data difficult.</w:t>
      </w:r>
    </w:p>
    <w:p w14:paraId="38DD048E" w14:textId="77777777" w:rsidR="001C5FB1" w:rsidRPr="001957B0" w:rsidRDefault="001C5FB1" w:rsidP="001C5FB1">
      <w:r w:rsidRPr="001957B0">
        <w:rPr>
          <w:noProof/>
          <w:lang w:eastAsia="en-AU"/>
        </w:rPr>
        <w:drawing>
          <wp:inline distT="0" distB="0" distL="0" distR="0" wp14:anchorId="3696F9B7" wp14:editId="32AAD09B">
            <wp:extent cx="5590702" cy="2703443"/>
            <wp:effectExtent l="0" t="0" r="10160" b="1905"/>
            <wp:docPr id="3" name="Chart 3" descr="utilisation of MBS item" title="Chart">
              <a:extLst xmlns:a="http://schemas.openxmlformats.org/drawingml/2006/main">
                <a:ext uri="{FF2B5EF4-FFF2-40B4-BE49-F238E27FC236}">
                  <a16:creationId xmlns:a16="http://schemas.microsoft.com/office/drawing/2014/main" id="{1C5D33B0-77F1-426F-8AF8-D157BB26417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2049B1F" w14:textId="08D307BD" w:rsidR="001C5FB1" w:rsidRPr="001957B0" w:rsidRDefault="001C5FB1" w:rsidP="001C5FB1">
      <w:pPr>
        <w:pStyle w:val="Caption"/>
      </w:pPr>
      <w:bookmarkStart w:id="4" w:name="_Ref528913029"/>
      <w:r w:rsidRPr="001957B0">
        <w:t xml:space="preserve">Figure </w:t>
      </w:r>
      <w:r w:rsidRPr="001957B0">
        <w:fldChar w:fldCharType="begin"/>
      </w:r>
      <w:r w:rsidRPr="001957B0">
        <w:instrText xml:space="preserve"> SEQ Figure \* ARABIC </w:instrText>
      </w:r>
      <w:r w:rsidRPr="001957B0">
        <w:fldChar w:fldCharType="separate"/>
      </w:r>
      <w:r w:rsidR="000649E7">
        <w:rPr>
          <w:noProof/>
        </w:rPr>
        <w:t>2</w:t>
      </w:r>
      <w:r w:rsidRPr="001957B0">
        <w:fldChar w:fldCharType="end"/>
      </w:r>
      <w:bookmarkEnd w:id="4"/>
      <w:r w:rsidRPr="001957B0">
        <w:tab/>
      </w:r>
      <w:r w:rsidR="00A87F5A">
        <w:t xml:space="preserve"> </w:t>
      </w:r>
      <w:r w:rsidRPr="001957B0">
        <w:t>Utilisation of MBS item 49561 over time (1996-2017)</w:t>
      </w:r>
    </w:p>
    <w:p w14:paraId="55BFBE71" w14:textId="1571B95A" w:rsidR="001C5FB1" w:rsidRPr="001957B0" w:rsidRDefault="001C5FB1" w:rsidP="001C5FB1">
      <w:pPr>
        <w:pStyle w:val="Tablefooter"/>
      </w:pPr>
      <w:r w:rsidRPr="001957B0">
        <w:t xml:space="preserve">Source: </w:t>
      </w:r>
      <w:r>
        <w:t xml:space="preserve">MSAC Application 1569, Figure 1, p. 22; </w:t>
      </w:r>
      <w:r w:rsidRPr="001957B0">
        <w:t xml:space="preserve">MBS </w:t>
      </w:r>
      <w:r w:rsidR="00917952">
        <w:t>S</w:t>
      </w:r>
      <w:r w:rsidRPr="001957B0">
        <w:t>tatistics online, 1996-2017.</w:t>
      </w:r>
    </w:p>
    <w:p w14:paraId="37F9C826" w14:textId="45E79F57" w:rsidR="001C5FB1" w:rsidRPr="0019075E" w:rsidRDefault="001C5FB1" w:rsidP="001C5FB1">
      <w:r>
        <w:t>Utilisation data for the number of chitosan-ba</w:t>
      </w:r>
      <w:r w:rsidR="00E8649A">
        <w:t>sed cartilage biomatrix implant</w:t>
      </w:r>
      <w:r>
        <w:t xml:space="preserve"> units sold over time in Australia </w:t>
      </w:r>
      <w:r w:rsidR="00E8649A">
        <w:t>(</w:t>
      </w:r>
      <w:r>
        <w:t>for private patients in private or public hospital</w:t>
      </w:r>
      <w:r w:rsidR="00E8649A">
        <w:t>s)</w:t>
      </w:r>
      <w:r>
        <w:t xml:space="preserve"> are available, </w:t>
      </w:r>
      <w:r w:rsidR="00E8649A">
        <w:t>but these are redacted in the MSAC a</w:t>
      </w:r>
      <w:r>
        <w:t>pplication.</w:t>
      </w:r>
    </w:p>
    <w:p w14:paraId="04801E25" w14:textId="56391EBC" w:rsidR="001C5FB1" w:rsidRDefault="00FC003D" w:rsidP="001C5FB1">
      <w:r>
        <w:t>In 2017-18</w:t>
      </w:r>
      <w:r w:rsidR="007020A1">
        <w:t>,</w:t>
      </w:r>
      <w:r>
        <w:t xml:space="preserve"> 32,419 patients received treatment under MBS 49561, 15,617 </w:t>
      </w:r>
      <w:r w:rsidR="00DD339A">
        <w:t>o</w:t>
      </w:r>
      <w:r>
        <w:t>f which were aged 15 to 54 (37 per cent female and 63 per cent male</w:t>
      </w:r>
      <w:r w:rsidR="00DD339A">
        <w:t>)</w:t>
      </w:r>
      <w:r>
        <w:t>.</w:t>
      </w:r>
      <w:r w:rsidR="001C5FB1" w:rsidRPr="00527157">
        <w:t xml:space="preserve"> It is not known how many of these received </w:t>
      </w:r>
      <w:r w:rsidR="007020A1">
        <w:t>m</w:t>
      </w:r>
      <w:r w:rsidR="001C5FB1" w:rsidRPr="00527157">
        <w:t>icrofracture</w:t>
      </w:r>
      <w:r w:rsidR="001C5FB1">
        <w:t xml:space="preserve"> </w:t>
      </w:r>
      <w:r w:rsidR="001C5FB1">
        <w:fldChar w:fldCharType="begin"/>
      </w:r>
      <w:r w:rsidR="001C5FB1">
        <w:instrText xml:space="preserve"> ADDIN EN.CITE &lt;EndNote&gt;&lt;Cite&gt;&lt;Author&gt;Australian Government Department of Human Services&lt;/Author&gt;&lt;Year&gt;2019&lt;/Year&gt;&lt;RecNum&gt;11784&lt;/RecNum&gt;&lt;DisplayText&gt;[14]&lt;/DisplayText&gt;&lt;record&gt;&lt;rec-number&gt;11784&lt;/rec-number&gt;&lt;foreign-keys&gt;&lt;key app="EN" db-id="e5fswt02npwd52esazb5pr54wz9epasvpvef" timestamp="1553491881"&gt;11784&lt;/key&gt;&lt;/foreign-keys&gt;&lt;ref-type name="Web Page"&gt;12&lt;/ref-type&gt;&lt;contributors&gt;&lt;authors&gt;&lt;author&gt;Australian Government Department of Human Services,&lt;/author&gt;&lt;/authors&gt;&lt;/contributors&gt;&lt;titles&gt;&lt;title&gt;Medicare Item Reports&lt;/title&gt;&lt;/titles&gt;&lt;volume&gt;2019&lt;/volume&gt;&lt;number&gt;25 March&lt;/number&gt;&lt;dates&gt;&lt;year&gt;2019&lt;/year&gt;&lt;/dates&gt;&lt;urls&gt;&lt;related-urls&gt;&lt;url&gt;http://medicarestatistics.humanservices.gov.au/statistics/mbs_item.jsp&lt;/url&gt;&lt;/related-urls&gt;&lt;/urls&gt;&lt;/record&gt;&lt;/Cite&gt;&lt;/EndNote&gt;</w:instrText>
      </w:r>
      <w:r w:rsidR="001C5FB1">
        <w:fldChar w:fldCharType="separate"/>
      </w:r>
      <w:r w:rsidR="001C5FB1">
        <w:rPr>
          <w:noProof/>
        </w:rPr>
        <w:t>[14]</w:t>
      </w:r>
      <w:r w:rsidR="001C5FB1">
        <w:fldChar w:fldCharType="end"/>
      </w:r>
      <w:r w:rsidR="001C5FB1">
        <w:t>.</w:t>
      </w:r>
    </w:p>
    <w:p w14:paraId="421117BB" w14:textId="77777777" w:rsidR="001C5FB1" w:rsidRDefault="001C5FB1" w:rsidP="001C5FB1">
      <w:pPr>
        <w:rPr>
          <w:lang w:val="en-GB" w:eastAsia="ja-JP"/>
        </w:rPr>
      </w:pPr>
      <w:r>
        <w:rPr>
          <w:i/>
          <w:u w:val="single"/>
        </w:rPr>
        <w:t>Rationale</w:t>
      </w:r>
    </w:p>
    <w:p w14:paraId="24C833CE" w14:textId="3D8BE40C" w:rsidR="001C5FB1" w:rsidRDefault="001C5FB1" w:rsidP="001C5FB1">
      <w:pPr>
        <w:rPr>
          <w:lang w:val="en-GB" w:eastAsia="ja-JP"/>
        </w:rPr>
      </w:pPr>
      <w:r>
        <w:rPr>
          <w:lang w:val="en-GB" w:eastAsia="ja-JP"/>
        </w:rPr>
        <w:t>The proposed indication limits access to this treatment based on lesion size, amongst other factors</w:t>
      </w:r>
      <w:r w:rsidR="00E8649A">
        <w:rPr>
          <w:lang w:val="en-GB" w:eastAsia="ja-JP"/>
        </w:rPr>
        <w:t xml:space="preserve">, including </w:t>
      </w:r>
      <w:r>
        <w:rPr>
          <w:lang w:val="en-GB" w:eastAsia="ja-JP"/>
        </w:rPr>
        <w:t xml:space="preserve">status of the subchondral endplate (for lesions </w:t>
      </w:r>
      <w:r>
        <w:rPr>
          <w:lang w:val="en-GB" w:eastAsia="ja-JP"/>
        </w:rPr>
        <w:sym w:font="Symbol" w:char="F0B3"/>
      </w:r>
      <w:r>
        <w:rPr>
          <w:lang w:val="en-GB" w:eastAsia="ja-JP"/>
        </w:rPr>
        <w:t xml:space="preserve"> 2 cm</w:t>
      </w:r>
      <w:r>
        <w:rPr>
          <w:vertAlign w:val="superscript"/>
          <w:lang w:val="en-GB" w:eastAsia="ja-JP"/>
        </w:rPr>
        <w:t>2</w:t>
      </w:r>
      <w:r w:rsidR="00E8649A">
        <w:rPr>
          <w:lang w:val="en-GB" w:eastAsia="ja-JP"/>
        </w:rPr>
        <w:t xml:space="preserve">). </w:t>
      </w:r>
      <w:r>
        <w:rPr>
          <w:lang w:val="en-GB" w:eastAsia="ja-JP"/>
        </w:rPr>
        <w:t>These are import</w:t>
      </w:r>
      <w:r w:rsidR="00E8649A">
        <w:rPr>
          <w:lang w:val="en-GB" w:eastAsia="ja-JP"/>
        </w:rPr>
        <w:t xml:space="preserve">ant determinants of treatment. </w:t>
      </w:r>
      <w:r>
        <w:rPr>
          <w:lang w:val="en-GB" w:eastAsia="ja-JP"/>
        </w:rPr>
        <w:t>Lesion less than 2 cm</w:t>
      </w:r>
      <w:r>
        <w:rPr>
          <w:vertAlign w:val="superscript"/>
          <w:lang w:val="en-GB" w:eastAsia="ja-JP"/>
        </w:rPr>
        <w:t>2</w:t>
      </w:r>
      <w:r>
        <w:rPr>
          <w:lang w:val="en-GB" w:eastAsia="ja-JP"/>
        </w:rPr>
        <w:t xml:space="preserve"> have different treatment options for those sized  2 cm</w:t>
      </w:r>
      <w:r>
        <w:rPr>
          <w:vertAlign w:val="superscript"/>
          <w:lang w:val="en-GB" w:eastAsia="ja-JP"/>
        </w:rPr>
        <w:t>2</w:t>
      </w:r>
      <w:r>
        <w:rPr>
          <w:lang w:val="en-GB" w:eastAsia="ja-JP"/>
        </w:rPr>
        <w:t xml:space="preserve"> or over </w:t>
      </w:r>
      <w:r>
        <w:rPr>
          <w:lang w:val="en-GB" w:eastAsia="ja-JP"/>
        </w:rPr>
        <w:fldChar w:fldCharType="begin"/>
      </w:r>
      <w:r>
        <w:rPr>
          <w:lang w:val="en-GB" w:eastAsia="ja-JP"/>
        </w:rPr>
        <w:instrText xml:space="preserve"> ADDIN EN.CITE &lt;EndNote&gt;&lt;Cite&gt;&lt;Author&gt;Decogliano&lt;/Author&gt;&lt;Year&gt;2011&lt;/Year&gt;&lt;RecNum&gt;11668&lt;/RecNum&gt;&lt;DisplayText&gt;[4]&lt;/DisplayText&gt;&lt;record&gt;&lt;rec-number&gt;11668&lt;/rec-number&gt;&lt;foreign-keys&gt;&lt;key app="EN" db-id="e5fswt02npwd52esazb5pr54wz9epasvpvef" timestamp="1551170273"&gt;11668&lt;/key&gt;&lt;/foreign-keys&gt;&lt;ref-type name="Book Section"&gt;5&lt;/ref-type&gt;&lt;contributors&gt;&lt;authors&gt;&lt;author&gt;Decogliano, M.&lt;/author&gt;&lt;author&gt;Boyer, J.&lt;/author&gt;&lt;author&gt;Mandelbaum, B.R.&lt;/author&gt;&lt;/authors&gt;&lt;secondary-authors&gt;&lt;author&gt;Brittberg, M.&lt;/author&gt;&lt;author&gt;Gersoff, W.&lt;/author&gt;&lt;/secondary-authors&gt;&lt;/contributors&gt;&lt;titles&gt;&lt;title&gt;Patient evaluation and treatment algorithms&lt;/title&gt;&lt;secondary-title&gt;Cartilage surgery: an operative manual&lt;/secondary-title&gt;&lt;/titles&gt;&lt;pages&gt;9-18&lt;/pages&gt;&lt;section&gt;2&lt;/section&gt;&lt;dates&gt;&lt;year&gt;2011&lt;/year&gt;&lt;/dates&gt;&lt;publisher&gt;Elsevier&lt;/publisher&gt;&lt;urls&gt;&lt;/urls&gt;&lt;electronic-resource-num&gt;10.1016/B978-1-4377-0878-3.10002-6&lt;/electronic-resource-num&gt;&lt;/record&gt;&lt;/Cite&gt;&lt;/EndNote&gt;</w:instrText>
      </w:r>
      <w:r>
        <w:rPr>
          <w:lang w:val="en-GB" w:eastAsia="ja-JP"/>
        </w:rPr>
        <w:fldChar w:fldCharType="separate"/>
      </w:r>
      <w:r>
        <w:rPr>
          <w:noProof/>
          <w:lang w:val="en-GB" w:eastAsia="ja-JP"/>
        </w:rPr>
        <w:t>[4]</w:t>
      </w:r>
      <w:r>
        <w:rPr>
          <w:lang w:val="en-GB" w:eastAsia="ja-JP"/>
        </w:rPr>
        <w:fldChar w:fldCharType="end"/>
      </w:r>
      <w:r>
        <w:rPr>
          <w:lang w:val="en-GB" w:eastAsia="ja-JP"/>
        </w:rPr>
        <w:t xml:space="preserve">.  These include microfracture, ACI, or the proposed treatment </w:t>
      </w:r>
      <w:r w:rsidR="00E8649A">
        <w:rPr>
          <w:lang w:val="en-GB" w:eastAsia="ja-JP"/>
        </w:rPr>
        <w:t>(</w:t>
      </w:r>
      <w:r>
        <w:rPr>
          <w:lang w:val="en-GB" w:eastAsia="ja-JP"/>
        </w:rPr>
        <w:t>MF+CBI</w:t>
      </w:r>
      <w:r w:rsidR="00E8649A">
        <w:rPr>
          <w:lang w:val="en-GB" w:eastAsia="ja-JP"/>
        </w:rPr>
        <w:t xml:space="preserve">). </w:t>
      </w:r>
      <w:r>
        <w:rPr>
          <w:lang w:val="en-GB" w:eastAsia="ja-JP"/>
        </w:rPr>
        <w:t xml:space="preserve">For those with lesions </w:t>
      </w:r>
      <w:r>
        <w:rPr>
          <w:lang w:val="en-GB" w:eastAsia="ja-JP"/>
        </w:rPr>
        <w:sym w:font="Symbol" w:char="F0B3"/>
      </w:r>
      <w:r>
        <w:rPr>
          <w:lang w:val="en-GB" w:eastAsia="ja-JP"/>
        </w:rPr>
        <w:t xml:space="preserve"> 2 cm</w:t>
      </w:r>
      <w:r>
        <w:rPr>
          <w:vertAlign w:val="superscript"/>
          <w:lang w:val="en-GB" w:eastAsia="ja-JP"/>
        </w:rPr>
        <w:t>2</w:t>
      </w:r>
      <w:r>
        <w:rPr>
          <w:lang w:val="en-GB" w:eastAsia="ja-JP"/>
        </w:rPr>
        <w:t xml:space="preserve"> who have an intact subchondral endplate, potential treatment options include microfracture, ACI, mosaicplasty or the proposed treatment </w:t>
      </w:r>
      <w:r w:rsidR="00E8649A">
        <w:rPr>
          <w:lang w:val="en-GB" w:eastAsia="ja-JP"/>
        </w:rPr>
        <w:t>(</w:t>
      </w:r>
      <w:r>
        <w:rPr>
          <w:lang w:val="en-GB" w:eastAsia="ja-JP"/>
        </w:rPr>
        <w:t>MF+CBI</w:t>
      </w:r>
      <w:r w:rsidR="00E8649A">
        <w:rPr>
          <w:lang w:val="en-GB" w:eastAsia="ja-JP"/>
        </w:rPr>
        <w:t xml:space="preserve">). </w:t>
      </w:r>
      <w:r>
        <w:rPr>
          <w:lang w:val="en-GB" w:eastAsia="ja-JP"/>
        </w:rPr>
        <w:t xml:space="preserve">Evidence supporting the use of MF+CBI is based on the pivotal prospective randomised clinical trial by </w:t>
      </w:r>
      <w:r>
        <w:rPr>
          <w:b/>
          <w:lang w:val="en-GB" w:eastAsia="ja-JP"/>
        </w:rPr>
        <w:t>Stanish and colleagues</w:t>
      </w:r>
      <w:r w:rsidR="00E8649A">
        <w:rPr>
          <w:b/>
          <w:lang w:val="en-GB" w:eastAsia="ja-JP"/>
        </w:rPr>
        <w:t xml:space="preserve">. </w:t>
      </w:r>
      <w:r w:rsidR="00E8649A" w:rsidRPr="00E8649A">
        <w:rPr>
          <w:lang w:val="en-GB" w:eastAsia="ja-JP"/>
        </w:rPr>
        <w:t>This trial</w:t>
      </w:r>
      <w:r w:rsidR="00E8649A">
        <w:rPr>
          <w:b/>
          <w:lang w:val="en-GB" w:eastAsia="ja-JP"/>
        </w:rPr>
        <w:t xml:space="preserve"> </w:t>
      </w:r>
      <w:r w:rsidR="00E8649A" w:rsidRPr="00E8649A">
        <w:rPr>
          <w:lang w:val="en-GB" w:eastAsia="ja-JP"/>
        </w:rPr>
        <w:t>compares</w:t>
      </w:r>
      <w:r w:rsidRPr="00E8649A">
        <w:rPr>
          <w:lang w:val="en-GB" w:eastAsia="ja-JP"/>
        </w:rPr>
        <w:t xml:space="preserve"> microfract</w:t>
      </w:r>
      <w:r>
        <w:rPr>
          <w:lang w:val="en-GB" w:eastAsia="ja-JP"/>
        </w:rPr>
        <w:t>ure alone with MF+CBI in 80 patients aged between 18 and 55 years</w:t>
      </w:r>
      <w:r w:rsidR="00E8649A">
        <w:rPr>
          <w:lang w:val="en-GB" w:eastAsia="ja-JP"/>
        </w:rPr>
        <w:t>,</w:t>
      </w:r>
      <w:r>
        <w:rPr>
          <w:lang w:val="en-GB" w:eastAsia="ja-JP"/>
        </w:rPr>
        <w:t xml:space="preserve"> with a single, symptomatic focal lesion on the femoral condyle </w:t>
      </w:r>
      <w:r>
        <w:rPr>
          <w:lang w:val="en-GB" w:eastAsia="ja-JP"/>
        </w:rP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rPr>
          <w:lang w:val="en-GB" w:eastAsia="ja-JP"/>
        </w:rPr>
        <w:instrText xml:space="preserve"> ADDIN EN.CITE </w:instrText>
      </w:r>
      <w:r>
        <w:rPr>
          <w:lang w:val="en-GB" w:eastAsia="ja-JP"/>
        </w:rP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rPr>
          <w:lang w:val="en-GB" w:eastAsia="ja-JP"/>
        </w:rPr>
        <w:instrText xml:space="preserve"> ADDIN EN.CITE.DATA </w:instrText>
      </w:r>
      <w:r>
        <w:rPr>
          <w:lang w:val="en-GB" w:eastAsia="ja-JP"/>
        </w:rPr>
      </w:r>
      <w:r>
        <w:rPr>
          <w:lang w:val="en-GB" w:eastAsia="ja-JP"/>
        </w:rPr>
        <w:fldChar w:fldCharType="end"/>
      </w:r>
      <w:r>
        <w:rPr>
          <w:lang w:val="en-GB" w:eastAsia="ja-JP"/>
        </w:rPr>
      </w:r>
      <w:r>
        <w:rPr>
          <w:lang w:val="en-GB" w:eastAsia="ja-JP"/>
        </w:rPr>
        <w:fldChar w:fldCharType="separate"/>
      </w:r>
      <w:r>
        <w:rPr>
          <w:noProof/>
          <w:lang w:val="en-GB" w:eastAsia="ja-JP"/>
        </w:rPr>
        <w:t>[1]</w:t>
      </w:r>
      <w:r>
        <w:rPr>
          <w:lang w:val="en-GB" w:eastAsia="ja-JP"/>
        </w:rPr>
        <w:fldChar w:fldCharType="end"/>
      </w:r>
      <w:r>
        <w:rPr>
          <w:lang w:val="en-GB" w:eastAsia="ja-JP"/>
        </w:rPr>
        <w:t xml:space="preserve">. Based on available clinical evidence from the single randomised controlled trial in 80 patients </w:t>
      </w:r>
      <w:r>
        <w:rPr>
          <w:lang w:val="en-GB" w:eastAsia="ja-JP"/>
        </w:rP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rPr>
          <w:lang w:val="en-GB" w:eastAsia="ja-JP"/>
        </w:rPr>
        <w:instrText xml:space="preserve"> ADDIN EN.CITE </w:instrText>
      </w:r>
      <w:r>
        <w:rPr>
          <w:lang w:val="en-GB" w:eastAsia="ja-JP"/>
        </w:rP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rPr>
          <w:lang w:val="en-GB" w:eastAsia="ja-JP"/>
        </w:rPr>
        <w:instrText xml:space="preserve"> ADDIN EN.CITE.DATA </w:instrText>
      </w:r>
      <w:r>
        <w:rPr>
          <w:lang w:val="en-GB" w:eastAsia="ja-JP"/>
        </w:rPr>
      </w:r>
      <w:r>
        <w:rPr>
          <w:lang w:val="en-GB" w:eastAsia="ja-JP"/>
        </w:rPr>
        <w:fldChar w:fldCharType="end"/>
      </w:r>
      <w:r>
        <w:rPr>
          <w:lang w:val="en-GB" w:eastAsia="ja-JP"/>
        </w:rPr>
      </w:r>
      <w:r>
        <w:rPr>
          <w:lang w:val="en-GB" w:eastAsia="ja-JP"/>
        </w:rPr>
        <w:fldChar w:fldCharType="separate"/>
      </w:r>
      <w:r>
        <w:rPr>
          <w:noProof/>
          <w:lang w:val="en-GB" w:eastAsia="ja-JP"/>
        </w:rPr>
        <w:t>[1]</w:t>
      </w:r>
      <w:r>
        <w:rPr>
          <w:lang w:val="en-GB" w:eastAsia="ja-JP"/>
        </w:rPr>
        <w:fldChar w:fldCharType="end"/>
      </w:r>
      <w:r>
        <w:rPr>
          <w:lang w:val="en-GB" w:eastAsia="ja-JP"/>
        </w:rPr>
        <w:t xml:space="preserve">, </w:t>
      </w:r>
      <w:r>
        <w:t xml:space="preserve">chitosan-based cartilage biomatrix implant in conjunction with microfracture is only recommended for lesions &lt; 10 </w:t>
      </w:r>
      <w:r>
        <w:rPr>
          <w:lang w:val="en-GB" w:eastAsia="ja-JP"/>
        </w:rPr>
        <w:t>cm</w:t>
      </w:r>
      <w:r>
        <w:rPr>
          <w:vertAlign w:val="superscript"/>
          <w:lang w:val="en-GB" w:eastAsia="ja-JP"/>
        </w:rPr>
        <w:t>2</w:t>
      </w:r>
      <w:r>
        <w:rPr>
          <w:lang w:val="en-GB" w:eastAsia="ja-JP"/>
        </w:rPr>
        <w:t xml:space="preserve"> </w:t>
      </w:r>
      <w:r>
        <w:rPr>
          <w:lang w:val="en-GB" w:eastAsia="ja-JP"/>
        </w:rPr>
        <w:fldChar w:fldCharType="begin">
          <w:fldData xml:space="preserve">PEVuZE5vdGU+PENpdGU+PEF1dGhvcj5UYWhvdW48L0F1dGhvcj48WWVhcj4yMDE3PC9ZZWFyPjxS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</w:fldData>
        </w:fldChar>
      </w:r>
      <w:r>
        <w:rPr>
          <w:lang w:val="en-GB" w:eastAsia="ja-JP"/>
        </w:rPr>
        <w:instrText xml:space="preserve"> ADDIN EN.CITE </w:instrText>
      </w:r>
      <w:r>
        <w:rPr>
          <w:lang w:val="en-GB" w:eastAsia="ja-JP"/>
        </w:rPr>
        <w:fldChar w:fldCharType="begin">
          <w:fldData xml:space="preserve">PEVuZE5vdGU+PENpdGU+PEF1dGhvcj5UYWhvdW48L0F1dGhvcj48WWVhcj4yMDE3PC9ZZWFyPjxS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</w:fldData>
        </w:fldChar>
      </w:r>
      <w:r>
        <w:rPr>
          <w:lang w:val="en-GB" w:eastAsia="ja-JP"/>
        </w:rPr>
        <w:instrText xml:space="preserve"> ADDIN EN.CITE.DATA </w:instrText>
      </w:r>
      <w:r>
        <w:rPr>
          <w:lang w:val="en-GB" w:eastAsia="ja-JP"/>
        </w:rPr>
      </w:r>
      <w:r>
        <w:rPr>
          <w:lang w:val="en-GB" w:eastAsia="ja-JP"/>
        </w:rPr>
        <w:fldChar w:fldCharType="end"/>
      </w:r>
      <w:r>
        <w:rPr>
          <w:lang w:val="en-GB" w:eastAsia="ja-JP"/>
        </w:rPr>
      </w:r>
      <w:r>
        <w:rPr>
          <w:lang w:val="en-GB" w:eastAsia="ja-JP"/>
        </w:rPr>
        <w:fldChar w:fldCharType="separate"/>
      </w:r>
      <w:r>
        <w:rPr>
          <w:noProof/>
          <w:lang w:val="en-GB" w:eastAsia="ja-JP"/>
        </w:rPr>
        <w:t>[1, 15, 16]</w:t>
      </w:r>
      <w:r>
        <w:rPr>
          <w:lang w:val="en-GB" w:eastAsia="ja-JP"/>
        </w:rPr>
        <w:fldChar w:fldCharType="end"/>
      </w:r>
      <w:r>
        <w:rPr>
          <w:lang w:val="en-GB" w:eastAsia="ja-JP"/>
        </w:rPr>
        <w:t>.</w:t>
      </w:r>
    </w:p>
    <w:p w14:paraId="2F783BA1" w14:textId="242B64C8" w:rsidR="001C5FB1" w:rsidRPr="00192B93" w:rsidRDefault="001C5FB1" w:rsidP="001C5FB1">
      <w:pPr>
        <w:rPr>
          <w:i/>
          <w:highlight w:val="yellow"/>
          <w:lang w:val="en-GB" w:eastAsia="ja-JP"/>
        </w:rPr>
      </w:pPr>
      <w:r>
        <w:rPr>
          <w:i/>
          <w:lang w:val="en-GB" w:eastAsia="ja-JP"/>
        </w:rPr>
        <w:t>This upper limit of lesion size (10 cm</w:t>
      </w:r>
      <w:r w:rsidRPr="00192B93">
        <w:rPr>
          <w:i/>
          <w:vertAlign w:val="superscript"/>
          <w:lang w:val="en-GB" w:eastAsia="ja-JP"/>
        </w:rPr>
        <w:t>2</w:t>
      </w:r>
      <w:r>
        <w:rPr>
          <w:i/>
          <w:lang w:val="en-GB" w:eastAsia="ja-JP"/>
        </w:rPr>
        <w:t xml:space="preserve">) should be considered as a threshold for eligibility by the PICO </w:t>
      </w:r>
      <w:r w:rsidR="00CF3D01">
        <w:rPr>
          <w:i/>
          <w:lang w:val="en-GB" w:eastAsia="ja-JP"/>
        </w:rPr>
        <w:t xml:space="preserve">Advisory Sub-Committee (PASC). </w:t>
      </w:r>
      <w:r>
        <w:rPr>
          <w:i/>
          <w:lang w:val="en-GB" w:eastAsia="ja-JP"/>
        </w:rPr>
        <w:t>The largest lesion filled within the pivotal paper by Stanish and colleagues was 6.77 cm</w:t>
      </w:r>
      <w:r w:rsidRPr="00E0008B">
        <w:rPr>
          <w:i/>
          <w:vertAlign w:val="superscript"/>
          <w:lang w:val="en-GB" w:eastAsia="ja-JP"/>
        </w:rPr>
        <w:t>2</w:t>
      </w:r>
      <w:r>
        <w:rPr>
          <w:i/>
          <w:vertAlign w:val="superscript"/>
          <w:lang w:val="en-GB" w:eastAsia="ja-JP"/>
        </w:rPr>
        <w:t xml:space="preserve"> </w:t>
      </w:r>
      <w:r w:rsidRPr="00E0008B">
        <w:rPr>
          <w:i/>
          <w:lang w:val="en-GB" w:eastAsia="ja-JP"/>
        </w:rP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rPr>
          <w:i/>
          <w:lang w:val="en-GB" w:eastAsia="ja-JP"/>
        </w:rPr>
        <w:instrText xml:space="preserve"> ADDIN EN.CITE </w:instrText>
      </w:r>
      <w:r>
        <w:rPr>
          <w:i/>
          <w:lang w:val="en-GB" w:eastAsia="ja-JP"/>
        </w:rP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rPr>
          <w:i/>
          <w:lang w:val="en-GB" w:eastAsia="ja-JP"/>
        </w:rPr>
        <w:instrText xml:space="preserve"> ADDIN EN.CITE.DATA </w:instrText>
      </w:r>
      <w:r>
        <w:rPr>
          <w:i/>
          <w:lang w:val="en-GB" w:eastAsia="ja-JP"/>
        </w:rPr>
      </w:r>
      <w:r>
        <w:rPr>
          <w:i/>
          <w:lang w:val="en-GB" w:eastAsia="ja-JP"/>
        </w:rPr>
        <w:fldChar w:fldCharType="end"/>
      </w:r>
      <w:r w:rsidRPr="00E0008B">
        <w:rPr>
          <w:i/>
          <w:lang w:val="en-GB" w:eastAsia="ja-JP"/>
        </w:rPr>
      </w:r>
      <w:r w:rsidRPr="00E0008B">
        <w:rPr>
          <w:i/>
          <w:lang w:val="en-GB" w:eastAsia="ja-JP"/>
        </w:rPr>
        <w:fldChar w:fldCharType="separate"/>
      </w:r>
      <w:r>
        <w:rPr>
          <w:i/>
          <w:noProof/>
          <w:lang w:val="en-GB" w:eastAsia="ja-JP"/>
        </w:rPr>
        <w:t>[1]</w:t>
      </w:r>
      <w:r w:rsidRPr="00E0008B">
        <w:rPr>
          <w:i/>
          <w:lang w:val="en-GB" w:eastAsia="ja-JP"/>
        </w:rPr>
        <w:fldChar w:fldCharType="end"/>
      </w:r>
      <w:r w:rsidRPr="00E0008B">
        <w:rPr>
          <w:i/>
          <w:lang w:val="en-GB" w:eastAsia="ja-JP"/>
        </w:rPr>
        <w:t>, and 6 cm</w:t>
      </w:r>
      <w:r w:rsidRPr="00E0008B">
        <w:rPr>
          <w:i/>
          <w:vertAlign w:val="superscript"/>
          <w:lang w:val="en-GB" w:eastAsia="ja-JP"/>
        </w:rPr>
        <w:t>2</w:t>
      </w:r>
      <w:r w:rsidRPr="00E0008B">
        <w:rPr>
          <w:i/>
          <w:lang w:val="en-GB" w:eastAsia="ja-JP"/>
        </w:rPr>
        <w:t xml:space="preserve"> in the supportive prospective non-randomised study (n=13) by Tahoun and colleagues </w:t>
      </w:r>
      <w:r w:rsidRPr="00E0008B">
        <w:rPr>
          <w:i/>
          <w:lang w:val="en-GB" w:eastAsia="ja-JP"/>
        </w:rPr>
        <w:fldChar w:fldCharType="begin"/>
      </w:r>
      <w:r>
        <w:rPr>
          <w:i/>
          <w:lang w:val="en-GB" w:eastAsia="ja-JP"/>
        </w:rPr>
        <w:instrText xml:space="preserve"> ADDIN EN.CITE &lt;EndNote&gt;&lt;Cite&gt;&lt;Author&gt;Tahoun&lt;/Author&gt;&lt;Year&gt;2017&lt;/Year&gt;&lt;RecNum&gt;11658&lt;/RecNum&gt;&lt;DisplayText&gt;[15]&lt;/DisplayText&gt;&lt;record&gt;&lt;rec-number&gt;11658&lt;/rec-number&gt;&lt;foreign-keys&gt;&lt;key app="EN" db-id="e5fswt02npwd52esazb5pr54wz9epasvpvef" timestamp="1551160761"&gt;11658&lt;/key&gt;&lt;/foreign-keys&gt;&lt;ref-type name="Journal Article"&gt;17&lt;/ref-type&gt;&lt;contributors&gt;&lt;authors&gt;&lt;author&gt;Tahoun, M.&lt;/author&gt;&lt;author&gt;Shehata, T. A.&lt;/author&gt;&lt;author&gt;Ormazabal, I.&lt;/author&gt;&lt;author&gt;Mas, J.&lt;/author&gt;&lt;author&gt;Sanz, J.&lt;/author&gt;&lt;author&gt;Tey Pons, M.&lt;/author&gt;&lt;/authors&gt;&lt;/contributors&gt;&lt;auth-address&gt;iMove traumatologia, Hospital Mi Tres Torres, Barcelona, Spain - Hip Unit, Department of Orthopaedics, Hospital del Mar, UAB, Barcelona, Spain - Department of Orthopaedics, Menoufia University, Al Minufya, Egypt.&amp;#xD;Department of Orthopaedics, IHR, Kingdom of Bahrain.&amp;#xD;Department of Radiology, Hospital Universitari Dexeus, Barcelona, Spain.&amp;#xD;Department of Orthopaedics, Clinica Vistahermosa, Alicante, Spain.&amp;#xD;iMove traumatologia, Hospital Mi Tres Torres, Barcelona, Spain - Hip Unit, Department of Orthopaedics, Hospital del Mar, UAB, Barcelona, Spain.&lt;/auth-address&gt;&lt;titles&gt;&lt;title&gt;Results of arthroscopic treatment of chondral delamination in femoroacetabular impingement with bone marrow stimulation and BST-CarGel((R))&lt;/title&gt;&lt;secondary-title&gt;SICOT J&lt;/secondary-title&gt;&lt;/titles&gt;&lt;periodical&gt;&lt;full-title&gt;SICOT J&lt;/full-title&gt;&lt;/periodical&gt;&lt;pages&gt;51&lt;/pages&gt;&lt;volume&gt;3&lt;/volume&gt;&lt;edition&gt;2017/08/08&lt;/edition&gt;&lt;dates&gt;&lt;year&gt;2017&lt;/year&gt;&lt;/dates&gt;&lt;isbn&gt;2426-8887 (Print)&amp;#xD;2426-8887 (Linking)&lt;/isbn&gt;&lt;accession-num&gt;28782498&lt;/accession-num&gt;&lt;urls&gt;&lt;related-urls&gt;&lt;url&gt;https://www.ncbi.nlm.nih.gov/pubmed/28782498&lt;/url&gt;&lt;url&gt;https://www.ncbi.nlm.nih.gov/pmc/articles/PMC5545970/pdf/sicotj-3-51.pdf&lt;/url&gt;&lt;/related-urls&gt;&lt;/urls&gt;&lt;custom2&gt;PMC5545970&lt;/custom2&gt;&lt;electronic-resource-num&gt;10.1051/sicotj/2017031&lt;/electronic-resource-num&gt;&lt;/record&gt;&lt;/Cite&gt;&lt;/EndNote&gt;</w:instrText>
      </w:r>
      <w:r w:rsidRPr="00E0008B">
        <w:rPr>
          <w:i/>
          <w:lang w:val="en-GB" w:eastAsia="ja-JP"/>
        </w:rPr>
        <w:fldChar w:fldCharType="separate"/>
      </w:r>
      <w:r>
        <w:rPr>
          <w:i/>
          <w:noProof/>
          <w:lang w:val="en-GB" w:eastAsia="ja-JP"/>
        </w:rPr>
        <w:t>[15]</w:t>
      </w:r>
      <w:r w:rsidRPr="00E0008B">
        <w:rPr>
          <w:i/>
          <w:lang w:val="en-GB" w:eastAsia="ja-JP"/>
        </w:rPr>
        <w:fldChar w:fldCharType="end"/>
      </w:r>
      <w:r>
        <w:rPr>
          <w:i/>
          <w:lang w:val="en-GB" w:eastAsia="ja-JP"/>
        </w:rPr>
        <w:t>.</w:t>
      </w:r>
    </w:p>
    <w:p w14:paraId="32946881" w14:textId="6488ABD2" w:rsidR="001C5FB1" w:rsidRDefault="001C5FB1" w:rsidP="001C5FB1">
      <w:pPr>
        <w:rPr>
          <w:lang w:val="en-GB" w:eastAsia="ja-JP"/>
        </w:rPr>
      </w:pPr>
      <w:r>
        <w:rPr>
          <w:lang w:val="en-GB" w:eastAsia="ja-JP"/>
        </w:rPr>
        <w:t>The proposed indication limits access to this treatment to patients who are aged 15 to 55 years.  This is based on the clinical evidence available</w:t>
      </w:r>
      <w:r>
        <w:rPr>
          <w:rStyle w:val="CommentReference"/>
        </w:rPr>
        <w:t xml:space="preserve"> wit</w:t>
      </w:r>
      <w:r>
        <w:rPr>
          <w:lang w:val="en-GB" w:eastAsia="ja-JP"/>
        </w:rPr>
        <w:t xml:space="preserve">that has only trialled this treatment in patients under this age and supported by Australian clinical expert advice </w:t>
      </w:r>
      <w:r>
        <w:rPr>
          <w:lang w:val="en-GB" w:eastAsia="ja-JP"/>
        </w:rP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rPr>
          <w:lang w:val="en-GB" w:eastAsia="ja-JP"/>
        </w:rPr>
        <w:instrText xml:space="preserve"> ADDIN EN.CITE </w:instrText>
      </w:r>
      <w:r>
        <w:rPr>
          <w:lang w:val="en-GB" w:eastAsia="ja-JP"/>
        </w:rP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rPr>
          <w:lang w:val="en-GB" w:eastAsia="ja-JP"/>
        </w:rPr>
        <w:instrText xml:space="preserve"> ADDIN EN.CITE.DATA </w:instrText>
      </w:r>
      <w:r>
        <w:rPr>
          <w:lang w:val="en-GB" w:eastAsia="ja-JP"/>
        </w:rPr>
      </w:r>
      <w:r>
        <w:rPr>
          <w:lang w:val="en-GB" w:eastAsia="ja-JP"/>
        </w:rPr>
        <w:fldChar w:fldCharType="end"/>
      </w:r>
      <w:r>
        <w:rPr>
          <w:lang w:val="en-GB" w:eastAsia="ja-JP"/>
        </w:rPr>
      </w:r>
      <w:r>
        <w:rPr>
          <w:lang w:val="en-GB" w:eastAsia="ja-JP"/>
        </w:rPr>
        <w:fldChar w:fldCharType="separate"/>
      </w:r>
      <w:r>
        <w:rPr>
          <w:noProof/>
          <w:lang w:val="en-GB" w:eastAsia="ja-JP"/>
        </w:rPr>
        <w:t>[1]</w:t>
      </w:r>
      <w:r>
        <w:rPr>
          <w:lang w:val="en-GB" w:eastAsia="ja-JP"/>
        </w:rPr>
        <w:fldChar w:fldCharType="end"/>
      </w:r>
      <w:r>
        <w:rPr>
          <w:lang w:val="en-GB" w:eastAsia="ja-JP"/>
        </w:rPr>
        <w:t xml:space="preserve">.  In the pivotal randomised clinical trial by </w:t>
      </w:r>
      <w:r>
        <w:rPr>
          <w:b/>
          <w:lang w:val="en-GB" w:eastAsia="ja-JP"/>
        </w:rPr>
        <w:t xml:space="preserve">Stanish and colleagues </w:t>
      </w:r>
      <w:r>
        <w:rPr>
          <w:lang w:val="en-GB" w:eastAsia="ja-JP"/>
        </w:rPr>
        <w:t xml:space="preserve">(n=80), the inclusion criteria were as listed in </w:t>
      </w:r>
      <w:r>
        <w:rPr>
          <w:lang w:val="en-GB" w:eastAsia="ja-JP"/>
        </w:rPr>
        <w:fldChar w:fldCharType="begin"/>
      </w:r>
      <w:r>
        <w:rPr>
          <w:lang w:val="en-GB" w:eastAsia="ja-JP"/>
        </w:rPr>
        <w:instrText xml:space="preserve"> REF _Ref4148319 \h </w:instrText>
      </w:r>
      <w:r>
        <w:rPr>
          <w:lang w:val="en-GB" w:eastAsia="ja-JP"/>
        </w:rPr>
      </w:r>
      <w:r>
        <w:rPr>
          <w:lang w:val="en-GB" w:eastAsia="ja-JP"/>
        </w:rPr>
        <w:fldChar w:fldCharType="separate"/>
      </w:r>
      <w:r w:rsidR="000649E7">
        <w:t xml:space="preserve">Table </w:t>
      </w:r>
      <w:r w:rsidR="000649E7">
        <w:rPr>
          <w:noProof/>
        </w:rPr>
        <w:t>1</w:t>
      </w:r>
      <w:r>
        <w:rPr>
          <w:lang w:val="en-GB" w:eastAsia="ja-JP"/>
        </w:rPr>
        <w:fldChar w:fldCharType="end"/>
      </w:r>
      <w:r>
        <w:rPr>
          <w:lang w:val="en-GB" w:eastAsia="ja-JP"/>
        </w:rPr>
        <w:t>.</w:t>
      </w:r>
    </w:p>
    <w:p w14:paraId="0279EE9D" w14:textId="52D8328C" w:rsidR="001C5FB1" w:rsidRPr="00083E42" w:rsidRDefault="003C1CCC" w:rsidP="001C5FB1">
      <w:pPr>
        <w:rPr>
          <w:i/>
          <w:lang w:val="en-GB" w:eastAsia="ja-JP"/>
        </w:rPr>
      </w:pPr>
      <w:r>
        <w:rPr>
          <w:i/>
          <w:lang w:val="en-GB" w:eastAsia="ja-JP"/>
        </w:rPr>
        <w:t>A</w:t>
      </w:r>
      <w:r w:rsidR="001C5FB1">
        <w:rPr>
          <w:i/>
          <w:lang w:val="en-GB" w:eastAsia="ja-JP"/>
        </w:rPr>
        <w:t xml:space="preserve"> number of add</w:t>
      </w:r>
      <w:r>
        <w:rPr>
          <w:i/>
          <w:lang w:val="en-GB" w:eastAsia="ja-JP"/>
        </w:rPr>
        <w:t xml:space="preserve">itional exclusion criteria </w:t>
      </w:r>
      <w:r w:rsidR="001C5FB1">
        <w:rPr>
          <w:i/>
          <w:lang w:val="en-GB" w:eastAsia="ja-JP"/>
        </w:rPr>
        <w:t xml:space="preserve">were used in the pivotal randomised controlled trial by Stanish and colleagues – of particular note </w:t>
      </w:r>
      <w:r>
        <w:rPr>
          <w:i/>
          <w:lang w:val="en-GB" w:eastAsia="ja-JP"/>
        </w:rPr>
        <w:t>were</w:t>
      </w:r>
      <w:r w:rsidR="001C5FB1">
        <w:rPr>
          <w:i/>
          <w:lang w:val="en-GB" w:eastAsia="ja-JP"/>
        </w:rPr>
        <w:t xml:space="preserve"> limitation </w:t>
      </w:r>
      <w:r>
        <w:rPr>
          <w:i/>
          <w:lang w:val="en-GB" w:eastAsia="ja-JP"/>
        </w:rPr>
        <w:t xml:space="preserve">to a </w:t>
      </w:r>
      <w:r w:rsidR="001C5FB1">
        <w:rPr>
          <w:i/>
          <w:lang w:val="en-GB" w:eastAsia="ja-JP"/>
        </w:rPr>
        <w:t>body mass index</w:t>
      </w:r>
      <w:r>
        <w:rPr>
          <w:i/>
          <w:lang w:val="en-GB" w:eastAsia="ja-JP"/>
        </w:rPr>
        <w:t xml:space="preserve"> (BMI)</w:t>
      </w:r>
      <w:r w:rsidR="001C5FB1">
        <w:rPr>
          <w:i/>
          <w:lang w:val="en-GB" w:eastAsia="ja-JP"/>
        </w:rPr>
        <w:t xml:space="preserve"> of 30 kg/m</w:t>
      </w:r>
      <w:r w:rsidR="001C5FB1">
        <w:rPr>
          <w:i/>
          <w:vertAlign w:val="superscript"/>
          <w:lang w:val="en-GB" w:eastAsia="ja-JP"/>
        </w:rPr>
        <w:t>2</w:t>
      </w:r>
      <w:r>
        <w:rPr>
          <w:i/>
          <w:lang w:val="en-GB" w:eastAsia="ja-JP"/>
        </w:rPr>
        <w:t xml:space="preserve"> or less. </w:t>
      </w:r>
      <w:r w:rsidR="00FB617B" w:rsidRPr="00462A84">
        <w:rPr>
          <w:lang w:val="en-GB" w:eastAsia="ja-JP"/>
        </w:rPr>
        <w:t xml:space="preserve">However, </w:t>
      </w:r>
      <w:r w:rsidR="00FB617B" w:rsidRPr="000379B2">
        <w:t>PASC has advised that ARTG listing criteria is sufficient, without a BMI limit.</w:t>
      </w:r>
    </w:p>
    <w:p w14:paraId="1AC3B708" w14:textId="49830572" w:rsidR="001C5FB1" w:rsidRDefault="001C5FB1" w:rsidP="001C5FB1">
      <w:pPr>
        <w:pStyle w:val="Caption"/>
      </w:pPr>
      <w:bookmarkStart w:id="5" w:name="_Ref4148319"/>
      <w:r>
        <w:t xml:space="preserve">Table </w:t>
      </w:r>
      <w:r>
        <w:fldChar w:fldCharType="begin"/>
      </w:r>
      <w:r>
        <w:instrText xml:space="preserve"> SEQ Table \* ARABIC </w:instrText>
      </w:r>
      <w:r>
        <w:fldChar w:fldCharType="separate"/>
      </w:r>
      <w:r w:rsidR="000649E7">
        <w:rPr>
          <w:noProof/>
        </w:rPr>
        <w:t>1</w:t>
      </w:r>
      <w:r>
        <w:fldChar w:fldCharType="end"/>
      </w:r>
      <w:bookmarkEnd w:id="5"/>
      <w:r>
        <w:tab/>
        <w:t>Inclusion and exclusion criteria employed in the randomised controlled trial (RCT) assessing MF±CBI</w:t>
      </w:r>
    </w:p>
    <w:p w14:paraId="61517803" w14:textId="77777777" w:rsidR="001C5FB1" w:rsidRDefault="001C5FB1" w:rsidP="001C5FB1">
      <w:pPr>
        <w:rPr>
          <w:lang w:val="en-GB" w:eastAsia="ja-JP"/>
        </w:rPr>
      </w:pPr>
      <w:r w:rsidRPr="003C70F6">
        <w:rPr>
          <w:noProof/>
          <w:lang w:eastAsia="en-AU"/>
        </w:rPr>
        <w:drawing>
          <wp:inline distT="0" distB="0" distL="0" distR="0" wp14:anchorId="0B0D1B05" wp14:editId="389B8119">
            <wp:extent cx="5731510" cy="4895215"/>
            <wp:effectExtent l="0" t="0" r="2540" b="635"/>
            <wp:docPr id="6" name="Picture 6" descr="Table from RC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895215"/>
                    </a:xfrm>
                    <a:prstGeom prst="rect">
                      <a:avLst/>
                    </a:prstGeom>
                  </pic:spPr>
                </pic:pic>
              </a:graphicData>
            </a:graphic>
          </wp:inline>
        </w:drawing>
      </w:r>
    </w:p>
    <w:p w14:paraId="0D75EE39" w14:textId="77777777" w:rsidR="001C5FB1" w:rsidRDefault="001C5FB1" w:rsidP="001C5FB1">
      <w:pPr>
        <w:pStyle w:val="Tablefooter"/>
        <w:spacing w:after="0"/>
      </w:pPr>
      <w:r>
        <w:t xml:space="preserve">Source: Extracted from Stanish et al. (2013) </w:t>
      </w:r>
      <w: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instrText xml:space="preserve"> ADDIN EN.CITE </w:instrText>
      </w:r>
      <w: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instrText xml:space="preserve"> ADDIN EN.CITE.DATA </w:instrText>
      </w:r>
      <w:r>
        <w:fldChar w:fldCharType="end"/>
      </w:r>
      <w:r>
        <w:fldChar w:fldCharType="separate"/>
      </w:r>
      <w:r>
        <w:rPr>
          <w:noProof/>
        </w:rPr>
        <w:t>[1]</w:t>
      </w:r>
      <w:r>
        <w:fldChar w:fldCharType="end"/>
      </w:r>
    </w:p>
    <w:p w14:paraId="0040C01A" w14:textId="77777777" w:rsidR="001C5FB1" w:rsidRDefault="001C5FB1" w:rsidP="001C5FB1">
      <w:pPr>
        <w:pStyle w:val="Tablefooter"/>
      </w:pPr>
      <w:r>
        <w:t>CBI = chitosan-based cartilage biomatrix implant; MF = microfracture; RCT = randomised controlled trial</w:t>
      </w:r>
    </w:p>
    <w:p w14:paraId="4F164C2F" w14:textId="77777777" w:rsidR="001C5FB1" w:rsidRPr="00552A08" w:rsidRDefault="001C5FB1" w:rsidP="001C5FB1">
      <w:pPr>
        <w:rPr>
          <w:lang w:val="en-GB" w:eastAsia="ja-JP"/>
        </w:rPr>
      </w:pPr>
      <w:r>
        <w:rPr>
          <w:lang w:val="en-GB" w:eastAsia="ja-JP"/>
        </w:rPr>
        <w:t>Patients with osteoarthritis, inflammatory polyarthropathy or those with joint instability are not recommended for this MF</w:t>
      </w:r>
      <w:r>
        <w:rPr>
          <w:lang w:val="en-GB" w:eastAsia="ja-JP"/>
        </w:rPr>
        <w:sym w:font="Symbol" w:char="F0B1"/>
      </w:r>
      <w:r>
        <w:rPr>
          <w:lang w:val="en-GB" w:eastAsia="ja-JP"/>
        </w:rPr>
        <w:t>CBI. However, patients who had joint instability that was rectified surgically, will be eligible for the procedure.</w:t>
      </w:r>
    </w:p>
    <w:p w14:paraId="25757D65" w14:textId="77777777" w:rsidR="001C5FB1" w:rsidRDefault="001C5FB1" w:rsidP="00E8649A">
      <w:pPr>
        <w:keepNext/>
        <w:spacing w:after="0"/>
        <w:rPr>
          <w:b/>
        </w:rPr>
      </w:pPr>
      <w:r>
        <w:rPr>
          <w:b/>
        </w:rPr>
        <w:t>Prior test (investigative services only - if prior tests are to be included)</w:t>
      </w:r>
    </w:p>
    <w:p w14:paraId="0313FCEA" w14:textId="4AF0C5A9" w:rsidR="001C5FB1" w:rsidRDefault="00E8649A" w:rsidP="001C5FB1">
      <w:pPr>
        <w:rPr>
          <w:b/>
        </w:rPr>
      </w:pPr>
      <w:r>
        <w:t xml:space="preserve">Not applicable. </w:t>
      </w:r>
      <w:r w:rsidR="001C5FB1">
        <w:t>This application is for a ‘therapeutic service’.</w:t>
      </w:r>
      <w:r w:rsidR="001C5FB1">
        <w:rPr>
          <w:b/>
        </w:rPr>
        <w:br w:type="page"/>
      </w:r>
    </w:p>
    <w:p w14:paraId="2266A713" w14:textId="77777777" w:rsidR="000C14AA" w:rsidRDefault="001C5FB1" w:rsidP="000C14AA">
      <w:pPr>
        <w:pStyle w:val="Heading3"/>
        <w:rPr>
          <w:b/>
          <w:color w:val="0099FF"/>
          <w:sz w:val="28"/>
          <w:szCs w:val="28"/>
        </w:rPr>
      </w:pPr>
      <w:r w:rsidRPr="000C14AA">
        <w:rPr>
          <w:b/>
          <w:color w:val="0099FF"/>
          <w:sz w:val="28"/>
          <w:szCs w:val="28"/>
        </w:rPr>
        <w:t>Intervention</w:t>
      </w:r>
    </w:p>
    <w:p w14:paraId="79CDE851" w14:textId="5F6E37FC" w:rsidR="000C14AA" w:rsidRPr="00374562" w:rsidRDefault="000C14AA" w:rsidP="000C14AA">
      <w:pPr>
        <w:pStyle w:val="Heading3"/>
        <w:rPr>
          <w:rFonts w:asciiTheme="minorHAnsi" w:hAnsiTheme="minorHAnsi" w:cstheme="minorHAnsi"/>
          <w:color w:val="auto"/>
          <w:sz w:val="22"/>
          <w:szCs w:val="22"/>
        </w:rPr>
      </w:pPr>
      <w:r w:rsidRPr="00374562">
        <w:rPr>
          <w:rFonts w:asciiTheme="minorHAnsi" w:hAnsiTheme="minorHAnsi" w:cstheme="minorHAnsi"/>
          <w:color w:val="auto"/>
          <w:sz w:val="22"/>
          <w:szCs w:val="22"/>
        </w:rPr>
        <w:t xml:space="preserve">PASC noted the PICO states the intervention is a once-in-a-lifetime procedure. However, PASC provided further clarification that it is once </w:t>
      </w:r>
      <w:r w:rsidRPr="00374562">
        <w:rPr>
          <w:rFonts w:asciiTheme="minorHAnsi" w:hAnsiTheme="minorHAnsi" w:cstheme="minorHAnsi"/>
          <w:color w:val="auto"/>
          <w:sz w:val="22"/>
          <w:szCs w:val="22"/>
          <w:u w:val="single"/>
        </w:rPr>
        <w:t>per lesion</w:t>
      </w:r>
      <w:r w:rsidRPr="00374562">
        <w:rPr>
          <w:rFonts w:asciiTheme="minorHAnsi" w:hAnsiTheme="minorHAnsi" w:cstheme="minorHAnsi"/>
          <w:color w:val="auto"/>
          <w:sz w:val="22"/>
          <w:szCs w:val="22"/>
        </w:rPr>
        <w:t>, not once per patient.</w:t>
      </w:r>
    </w:p>
    <w:p w14:paraId="6B566B7A" w14:textId="77777777" w:rsidR="000C14AA" w:rsidRPr="00374562" w:rsidRDefault="000C14AA" w:rsidP="000C14AA">
      <w:pPr>
        <w:spacing w:after="0"/>
        <w:rPr>
          <w:rFonts w:asciiTheme="minorHAnsi" w:hAnsiTheme="minorHAnsi" w:cstheme="minorHAnsi"/>
          <w:sz w:val="16"/>
          <w:szCs w:val="16"/>
        </w:rPr>
      </w:pPr>
    </w:p>
    <w:p w14:paraId="6D66117E" w14:textId="08E4F970" w:rsidR="000C14AA" w:rsidRPr="000C14AA" w:rsidRDefault="000C14AA" w:rsidP="000C14AA">
      <w:pPr>
        <w:spacing w:after="0"/>
      </w:pPr>
      <w:r w:rsidRPr="009D40E8">
        <w:t xml:space="preserve">PASC noted that, while the knee is the most common site for this procedure, it is used in other parts of the body. However, PASC recommended the </w:t>
      </w:r>
      <w:r w:rsidR="00B36562" w:rsidRPr="009D40E8">
        <w:t xml:space="preserve">PICO and subsequent health technology assessment </w:t>
      </w:r>
      <w:r w:rsidRPr="009D40E8">
        <w:t>be restricted to the knee, given most evidence relates to this site.</w:t>
      </w:r>
      <w:r w:rsidRPr="000C14AA">
        <w:t xml:space="preserve"> </w:t>
      </w:r>
    </w:p>
    <w:p w14:paraId="21153537" w14:textId="77777777" w:rsidR="009E4FB3" w:rsidRPr="009E4FB3" w:rsidRDefault="009E4FB3" w:rsidP="00587530">
      <w:pPr>
        <w:spacing w:after="0"/>
      </w:pP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811"/>
        <w:gridCol w:w="7200"/>
      </w:tblGrid>
      <w:tr w:rsidR="001C5FB1" w:rsidRPr="00DD456A" w14:paraId="75F21E2B" w14:textId="77777777" w:rsidTr="001C5FB1">
        <w:tc>
          <w:tcPr>
            <w:tcW w:w="1005" w:type="pct"/>
            <w:tcBorders>
              <w:right w:val="single" w:sz="4" w:space="0" w:color="auto"/>
            </w:tcBorders>
          </w:tcPr>
          <w:p w14:paraId="40155054" w14:textId="77777777" w:rsidR="001C5FB1" w:rsidRPr="00084393" w:rsidRDefault="001C5FB1" w:rsidP="001C5FB1">
            <w:pPr>
              <w:spacing w:before="20" w:after="20" w:line="240" w:lineRule="auto"/>
              <w:rPr>
                <w:rFonts w:cs="Arial"/>
              </w:rPr>
            </w:pPr>
            <w:r w:rsidRPr="00084393">
              <w:rPr>
                <w:rFonts w:cs="Arial"/>
              </w:rPr>
              <w:t>Intervention</w:t>
            </w:r>
          </w:p>
        </w:tc>
        <w:tc>
          <w:tcPr>
            <w:tcW w:w="3995" w:type="pct"/>
            <w:tcBorders>
              <w:top w:val="single" w:sz="4" w:space="0" w:color="auto"/>
              <w:left w:val="single" w:sz="4" w:space="0" w:color="auto"/>
              <w:bottom w:val="single" w:sz="4" w:space="0" w:color="auto"/>
              <w:right w:val="single" w:sz="4" w:space="0" w:color="auto"/>
            </w:tcBorders>
          </w:tcPr>
          <w:p w14:paraId="0CB77AE3" w14:textId="4B18121B" w:rsidR="001C5FB1" w:rsidRPr="00DD456A" w:rsidRDefault="001C5FB1" w:rsidP="00B36562">
            <w:pPr>
              <w:rPr>
                <w:color w:val="FF0000"/>
                <w:u w:val="dotted"/>
              </w:rPr>
            </w:pPr>
            <w:r>
              <w:t>Chitosan-based cartilage biomatrix implant in conjunction with microfracture (CBI+MF) (also known as augmented microfracture)</w:t>
            </w:r>
            <w:r w:rsidR="00FB617B">
              <w:t xml:space="preserve">. </w:t>
            </w:r>
            <w:r w:rsidR="00B36562">
              <w:t>For the purpose of this PICO and subsequent health technology assessment, t</w:t>
            </w:r>
            <w:r w:rsidR="00FB617B">
              <w:t>he intervention is restricted to lesions in the knee, and may be used once per lesion (not once per patient).</w:t>
            </w:r>
          </w:p>
        </w:tc>
      </w:tr>
    </w:tbl>
    <w:p w14:paraId="7B701D9F" w14:textId="23A9A850" w:rsidR="00DF1A20" w:rsidRDefault="001C5FB1" w:rsidP="00DF1A20">
      <w:pPr>
        <w:spacing w:before="240" w:after="240"/>
      </w:pPr>
      <w:r>
        <w:t>The intervention is chitosan-based cartilage biomatrix implant performed in conjunction with microfracture (CBI+MF) commonly termed ‘augmented microfra</w:t>
      </w:r>
      <w:r w:rsidR="00DF1A20">
        <w:t xml:space="preserve">cture’. </w:t>
      </w:r>
      <w:r>
        <w:t xml:space="preserve">The </w:t>
      </w:r>
      <w:r w:rsidR="00DF1A20">
        <w:t xml:space="preserve">patient receives the procedure </w:t>
      </w:r>
      <w:r>
        <w:t>under general anaesth</w:t>
      </w:r>
      <w:r w:rsidR="005D40F2">
        <w:t>esia</w:t>
      </w:r>
      <w:r w:rsidR="00DF1A20">
        <w:t>,</w:t>
      </w:r>
      <w:r w:rsidR="00C938B3">
        <w:t xml:space="preserve"> </w:t>
      </w:r>
      <w:r w:rsidR="005D40F2">
        <w:t>as an inpatient</w:t>
      </w:r>
      <w:r w:rsidR="00C938B3">
        <w:t xml:space="preserve"> (admitted patient)</w:t>
      </w:r>
      <w:r w:rsidR="005D40F2">
        <w:t xml:space="preserve"> </w:t>
      </w:r>
      <w:r>
        <w:t xml:space="preserve">in a public or private hospital, or </w:t>
      </w:r>
      <w:r w:rsidR="00C938B3">
        <w:t xml:space="preserve">as an admitted patient </w:t>
      </w:r>
      <w:r>
        <w:t xml:space="preserve">at a day surgery centre </w:t>
      </w:r>
      <w: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instrText xml:space="preserve"> ADDIN EN.CITE </w:instrText>
      </w:r>
      <w: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instrText xml:space="preserve"> ADDIN EN.CITE.DATA </w:instrText>
      </w:r>
      <w:r>
        <w:fldChar w:fldCharType="end"/>
      </w:r>
      <w:r>
        <w:fldChar w:fldCharType="separate"/>
      </w:r>
      <w:r>
        <w:rPr>
          <w:noProof/>
        </w:rPr>
        <w:t>[1]</w:t>
      </w:r>
      <w:r>
        <w:fldChar w:fldCharType="end"/>
      </w:r>
      <w:r w:rsidR="00DF1A20">
        <w:t xml:space="preserve">. </w:t>
      </w:r>
      <w:r w:rsidR="00DF1A20">
        <w:rPr>
          <w:i/>
        </w:rPr>
        <w:t>L</w:t>
      </w:r>
      <w:r w:rsidRPr="006E11D8">
        <w:rPr>
          <w:i/>
        </w:rPr>
        <w:t>ength of anaesthesia required was not provided in the application.</w:t>
      </w:r>
      <w:r w:rsidR="00DF1A20">
        <w:t xml:space="preserve"> </w:t>
      </w:r>
    </w:p>
    <w:p w14:paraId="21168669" w14:textId="77777777" w:rsidR="00C938B3" w:rsidRDefault="001C5FB1" w:rsidP="00DF1A20">
      <w:pPr>
        <w:spacing w:before="240" w:after="240"/>
        <w:rPr>
          <w:i/>
        </w:rPr>
      </w:pPr>
      <w:r>
        <w:t xml:space="preserve">The majority of </w:t>
      </w:r>
      <w:r w:rsidR="00C938B3">
        <w:t xml:space="preserve">procedures are performed in the official </w:t>
      </w:r>
      <w:r>
        <w:t>hospital inpatient setting</w:t>
      </w:r>
      <w:r w:rsidR="00DF1A20">
        <w:t>,</w:t>
      </w:r>
      <w:r>
        <w:t xml:space="preserve"> wi</w:t>
      </w:r>
      <w:r w:rsidR="00DF1A20">
        <w:t xml:space="preserve">th patients staying overnight. </w:t>
      </w:r>
      <w:r>
        <w:t>A small proportion are performed in the day surgery setting</w:t>
      </w:r>
      <w:r w:rsidR="00C938B3">
        <w:t>, but also as admitted patients</w:t>
      </w:r>
      <w:r>
        <w:t xml:space="preserve"> (</w:t>
      </w:r>
      <w:r w:rsidR="00C938B3">
        <w:rPr>
          <w:i/>
        </w:rPr>
        <w:t xml:space="preserve">specific </w:t>
      </w:r>
      <w:r>
        <w:rPr>
          <w:i/>
        </w:rPr>
        <w:t xml:space="preserve">proportions occurring in the </w:t>
      </w:r>
      <w:r w:rsidR="00C938B3">
        <w:rPr>
          <w:i/>
        </w:rPr>
        <w:t xml:space="preserve">hospital versus </w:t>
      </w:r>
      <w:r>
        <w:rPr>
          <w:i/>
        </w:rPr>
        <w:t>day surgery</w:t>
      </w:r>
      <w:r w:rsidR="00C938B3">
        <w:rPr>
          <w:i/>
        </w:rPr>
        <w:t xml:space="preserve"> inpatient/admitted-patient</w:t>
      </w:r>
      <w:r>
        <w:rPr>
          <w:i/>
        </w:rPr>
        <w:t xml:space="preserve"> setting</w:t>
      </w:r>
      <w:r w:rsidR="00C938B3">
        <w:rPr>
          <w:i/>
        </w:rPr>
        <w:t>s</w:t>
      </w:r>
      <w:r>
        <w:rPr>
          <w:i/>
        </w:rPr>
        <w:t xml:space="preserve"> were not </w:t>
      </w:r>
      <w:r w:rsidRPr="00C938B3">
        <w:rPr>
          <w:i/>
        </w:rPr>
        <w:t>provided in the application</w:t>
      </w:r>
      <w:r w:rsidR="00DF1A20" w:rsidRPr="00C938B3">
        <w:rPr>
          <w:i/>
        </w:rPr>
        <w:t xml:space="preserve">). </w:t>
      </w:r>
    </w:p>
    <w:p w14:paraId="21DAC2D1" w14:textId="382312C8" w:rsidR="00DF1A20" w:rsidRPr="00C938B3" w:rsidRDefault="00C938B3" w:rsidP="00DF1A20">
      <w:pPr>
        <w:spacing w:before="240" w:after="240"/>
      </w:pPr>
      <w:r w:rsidRPr="00C938B3">
        <w:t>Given the procedure is restricted to inpa</w:t>
      </w:r>
      <w:r>
        <w:t>tient/admitted patient settings (in either an official hospital or day surgery centre), there is no Extended Medicare Safety Net (EMSN) risk. EMSN risk only applies to out-of-hospital (i.e. non-admitted</w:t>
      </w:r>
      <w:r w:rsidR="00C53247">
        <w:t>-patient</w:t>
      </w:r>
      <w:r>
        <w:t>) services.</w:t>
      </w:r>
    </w:p>
    <w:p w14:paraId="647C514E" w14:textId="5D55062D" w:rsidR="001C5FB1" w:rsidRDefault="001C5FB1" w:rsidP="00DF1A20">
      <w:pPr>
        <w:spacing w:before="240" w:after="240"/>
      </w:pPr>
      <w:r w:rsidRPr="00E0008B">
        <w:t>The</w:t>
      </w:r>
      <w:r>
        <w:t xml:space="preserve"> procedure is perf</w:t>
      </w:r>
      <w:r w:rsidR="00DF1A20">
        <w:t xml:space="preserve">ormed by orthopaedic surgeons. </w:t>
      </w:r>
      <w:r>
        <w:t>No additional training is required to apply the chitosan-based cartilage biomatrix implant in conjunction with microfracture.</w:t>
      </w:r>
    </w:p>
    <w:p w14:paraId="38288480" w14:textId="77777777" w:rsidR="00DF1A20" w:rsidRDefault="001C5FB1" w:rsidP="00DF1A20">
      <w:pPr>
        <w:spacing w:before="120" w:after="240"/>
      </w:pPr>
      <w:r>
        <w:t>Microfracture is performed under general anaesthesia arthroscopically</w:t>
      </w:r>
      <w:r w:rsidR="00DF1A20">
        <w:t>,</w:t>
      </w:r>
      <w:r>
        <w:t xml:space="preserve"> u</w:t>
      </w:r>
      <w:r w:rsidRPr="001C74A3">
        <w:t xml:space="preserve">sing an arthroscopic awl, </w:t>
      </w:r>
      <w:r w:rsidR="00DF1A20">
        <w:t xml:space="preserve">with </w:t>
      </w:r>
      <w:r w:rsidRPr="001C74A3">
        <w:t xml:space="preserve">multiple holes or microfractures </w:t>
      </w:r>
      <w:r w:rsidR="00DF1A20">
        <w:t xml:space="preserve">being </w:t>
      </w:r>
      <w:r w:rsidRPr="001C74A3">
        <w:t>made in the defect 3-4 mm apart.</w:t>
      </w:r>
      <w:r w:rsidR="00DF1A20">
        <w:t xml:space="preserve"> </w:t>
      </w:r>
      <w:r>
        <w:t xml:space="preserve">The chitosan-based cartilage biomatrix is applied through a mini-arthrotomy (i.e. mini-incision) </w:t>
      </w:r>
      <w: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instrText xml:space="preserve"> ADDIN EN.CITE </w:instrText>
      </w:r>
      <w: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instrText xml:space="preserve"> ADDIN EN.CITE.DATA </w:instrText>
      </w:r>
      <w:r>
        <w:fldChar w:fldCharType="end"/>
      </w:r>
      <w:r>
        <w:fldChar w:fldCharType="separate"/>
      </w:r>
      <w:r>
        <w:rPr>
          <w:noProof/>
        </w:rPr>
        <w:t>[1]</w:t>
      </w:r>
      <w:r>
        <w:fldChar w:fldCharType="end"/>
      </w:r>
      <w:r w:rsidR="00DF1A20">
        <w:t xml:space="preserve">. </w:t>
      </w:r>
      <w:r>
        <w:t>The microfractured lesion is swabbed with a gauze to create</w:t>
      </w:r>
      <w:r w:rsidR="00DF1A20">
        <w:t xml:space="preserve"> a ‘dry field’ before </w:t>
      </w:r>
      <w:r>
        <w:t>a 3:1 mixture of fresh autologous whole peripheral blood:BST-CarGel is applied in a dropwise manner</w:t>
      </w:r>
      <w:r w:rsidR="00DF1A20">
        <w:t>,</w:t>
      </w:r>
      <w:r>
        <w:t xml:space="preserve"> using a syringe </w:t>
      </w:r>
      <w: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instrText xml:space="preserve"> ADDIN EN.CITE </w:instrText>
      </w:r>
      <w: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instrText xml:space="preserve"> ADDIN EN.CITE.DATA </w:instrText>
      </w:r>
      <w:r>
        <w:fldChar w:fldCharType="end"/>
      </w:r>
      <w:r>
        <w:fldChar w:fldCharType="separate"/>
      </w:r>
      <w:r>
        <w:rPr>
          <w:noProof/>
        </w:rPr>
        <w:t>[1]</w:t>
      </w:r>
      <w:r>
        <w:fldChar w:fldCharType="end"/>
      </w:r>
      <w:r w:rsidR="00DF1A20">
        <w:t xml:space="preserve">. </w:t>
      </w:r>
    </w:p>
    <w:p w14:paraId="1047F694" w14:textId="25F7E503" w:rsidR="001C5FB1" w:rsidRDefault="001C5FB1" w:rsidP="00DF1A20">
      <w:pPr>
        <w:spacing w:before="120" w:after="240"/>
      </w:pPr>
      <w:r>
        <w:t>Th</w:t>
      </w:r>
      <w:r w:rsidR="00DF1A20">
        <w:t xml:space="preserve">e volume applied depends on </w:t>
      </w:r>
      <w:r>
        <w:t>size of the patient’s lesion (no information on volume used was sup</w:t>
      </w:r>
      <w:r w:rsidR="00DF1A20">
        <w:t xml:space="preserve">plied in the pivotal studies). </w:t>
      </w:r>
      <w:r>
        <w:t>A fifteen-minute waiting period allows the implant to clot in situ, an</w:t>
      </w:r>
      <w:r w:rsidR="00DF1A20">
        <w:t xml:space="preserve">d then the incision is closed. </w:t>
      </w:r>
      <w:r>
        <w:t>Patients then undergo a physiotherapy rehabilitation program, including 6 weeks of non-weight bearing.  Jumping or pivoting is not permitted for 12 months.</w:t>
      </w:r>
    </w:p>
    <w:p w14:paraId="33CB4C0E" w14:textId="564B0D0D" w:rsidR="001C5FB1" w:rsidRDefault="00A047B7" w:rsidP="001C5FB1">
      <w:pPr>
        <w:spacing w:before="120" w:after="120"/>
      </w:pPr>
      <w:r>
        <w:t>C</w:t>
      </w:r>
      <w:r w:rsidR="001C5FB1">
        <w:t>osts associated with providing chitosan-based cartilage biomatrix implantation in conjunction with microfracture are</w:t>
      </w:r>
      <w:r>
        <w:t xml:space="preserve"> detailed in Table 2 below.</w:t>
      </w:r>
    </w:p>
    <w:p w14:paraId="19318915" w14:textId="3005EF88" w:rsidR="001C5FB1" w:rsidRPr="000E00D0" w:rsidRDefault="001C5FB1" w:rsidP="001C5FB1">
      <w:pPr>
        <w:pStyle w:val="Caption"/>
      </w:pPr>
      <w:bookmarkStart w:id="6" w:name="_Ref528918196"/>
      <w:r w:rsidRPr="000E00D0">
        <w:t xml:space="preserve">Table </w:t>
      </w:r>
      <w:r w:rsidRPr="000E00D0">
        <w:fldChar w:fldCharType="begin"/>
      </w:r>
      <w:r w:rsidRPr="000E00D0">
        <w:instrText xml:space="preserve"> SEQ Table \* ARABIC </w:instrText>
      </w:r>
      <w:r w:rsidRPr="000E00D0">
        <w:fldChar w:fldCharType="separate"/>
      </w:r>
      <w:r w:rsidR="000649E7">
        <w:rPr>
          <w:noProof/>
        </w:rPr>
        <w:t>2</w:t>
      </w:r>
      <w:r w:rsidRPr="000E00D0">
        <w:fldChar w:fldCharType="end"/>
      </w:r>
      <w:bookmarkEnd w:id="6"/>
      <w:r w:rsidRPr="000E00D0">
        <w:tab/>
        <w:t>Costs associated with providing chitosan-based cartilage biomatrix implantation in conjunction with microfracture for cartilage defect repair of the knee</w:t>
      </w:r>
    </w:p>
    <w:tbl>
      <w:tblPr>
        <w:tblStyle w:val="TableGrid"/>
        <w:tblW w:w="0" w:type="auto"/>
        <w:tblInd w:w="-147" w:type="dxa"/>
        <w:tblLook w:val="04A0" w:firstRow="1" w:lastRow="0" w:firstColumn="1" w:lastColumn="0" w:noHBand="0" w:noVBand="1"/>
        <w:tblCaption w:val="Table 2"/>
        <w:tblDescription w:val="Costs"/>
      </w:tblPr>
      <w:tblGrid>
        <w:gridCol w:w="851"/>
        <w:gridCol w:w="4961"/>
        <w:gridCol w:w="993"/>
        <w:gridCol w:w="2358"/>
      </w:tblGrid>
      <w:tr w:rsidR="001C5FB1" w:rsidRPr="000E00D0" w14:paraId="5820EFC9" w14:textId="77777777" w:rsidTr="00AD324E">
        <w:trPr>
          <w:tblHeader/>
        </w:trPr>
        <w:tc>
          <w:tcPr>
            <w:tcW w:w="851" w:type="dxa"/>
            <w:tcBorders>
              <w:bottom w:val="single" w:sz="4" w:space="0" w:color="auto"/>
            </w:tcBorders>
          </w:tcPr>
          <w:p w14:paraId="1C64B5DC" w14:textId="77777777" w:rsidR="001C5FB1" w:rsidRPr="000E00D0" w:rsidRDefault="001C5FB1" w:rsidP="001C5FB1">
            <w:pPr>
              <w:spacing w:before="120" w:after="120" w:line="276" w:lineRule="auto"/>
              <w:rPr>
                <w:b/>
              </w:rPr>
            </w:pPr>
            <w:r w:rsidRPr="000E00D0">
              <w:rPr>
                <w:b/>
              </w:rPr>
              <w:t>Row</w:t>
            </w:r>
          </w:p>
        </w:tc>
        <w:tc>
          <w:tcPr>
            <w:tcW w:w="4961" w:type="dxa"/>
            <w:tcBorders>
              <w:bottom w:val="single" w:sz="4" w:space="0" w:color="auto"/>
            </w:tcBorders>
          </w:tcPr>
          <w:p w14:paraId="5EA17A7C" w14:textId="77777777" w:rsidR="001C5FB1" w:rsidRPr="000E00D0" w:rsidRDefault="001C5FB1" w:rsidP="001C5FB1">
            <w:pPr>
              <w:spacing w:before="120" w:after="120" w:line="276" w:lineRule="auto"/>
              <w:rPr>
                <w:b/>
              </w:rPr>
            </w:pPr>
            <w:r w:rsidRPr="000E00D0">
              <w:rPr>
                <w:b/>
              </w:rPr>
              <w:t>Parameters</w:t>
            </w:r>
          </w:p>
        </w:tc>
        <w:tc>
          <w:tcPr>
            <w:tcW w:w="993" w:type="dxa"/>
            <w:tcBorders>
              <w:bottom w:val="single" w:sz="4" w:space="0" w:color="auto"/>
            </w:tcBorders>
          </w:tcPr>
          <w:p w14:paraId="73E4BE69" w14:textId="77777777" w:rsidR="001C5FB1" w:rsidRPr="000E00D0" w:rsidRDefault="001C5FB1" w:rsidP="001C5FB1">
            <w:pPr>
              <w:spacing w:before="120" w:after="120" w:line="276" w:lineRule="auto"/>
              <w:rPr>
                <w:b/>
              </w:rPr>
            </w:pPr>
            <w:r w:rsidRPr="000E00D0">
              <w:rPr>
                <w:b/>
              </w:rPr>
              <w:t>Cost</w:t>
            </w:r>
          </w:p>
        </w:tc>
        <w:tc>
          <w:tcPr>
            <w:tcW w:w="2358" w:type="dxa"/>
            <w:tcBorders>
              <w:bottom w:val="single" w:sz="4" w:space="0" w:color="auto"/>
            </w:tcBorders>
          </w:tcPr>
          <w:p w14:paraId="2969BA68" w14:textId="77777777" w:rsidR="001C5FB1" w:rsidRPr="000E00D0" w:rsidRDefault="001C5FB1" w:rsidP="001C5FB1">
            <w:pPr>
              <w:spacing w:before="120" w:after="120" w:line="276" w:lineRule="auto"/>
              <w:rPr>
                <w:b/>
              </w:rPr>
            </w:pPr>
            <w:r w:rsidRPr="000E00D0">
              <w:rPr>
                <w:b/>
              </w:rPr>
              <w:t>Source/calculation</w:t>
            </w:r>
          </w:p>
        </w:tc>
      </w:tr>
      <w:tr w:rsidR="001C5FB1" w:rsidRPr="000E00D0" w14:paraId="5E8D7DC4" w14:textId="77777777" w:rsidTr="001C5FB1">
        <w:tc>
          <w:tcPr>
            <w:tcW w:w="851" w:type="dxa"/>
            <w:tcBorders>
              <w:bottom w:val="single" w:sz="4" w:space="0" w:color="auto"/>
            </w:tcBorders>
          </w:tcPr>
          <w:p w14:paraId="029BE138" w14:textId="77777777" w:rsidR="001C5FB1" w:rsidRPr="000E00D0" w:rsidRDefault="001C5FB1" w:rsidP="001C5FB1">
            <w:pPr>
              <w:spacing w:before="120" w:after="120" w:line="276" w:lineRule="auto"/>
            </w:pPr>
            <w:r w:rsidRPr="000E00D0">
              <w:t>A</w:t>
            </w:r>
          </w:p>
        </w:tc>
        <w:tc>
          <w:tcPr>
            <w:tcW w:w="4961" w:type="dxa"/>
            <w:tcBorders>
              <w:bottom w:val="single" w:sz="4" w:space="0" w:color="auto"/>
            </w:tcBorders>
          </w:tcPr>
          <w:p w14:paraId="311BC3BD" w14:textId="77777777" w:rsidR="001C5FB1" w:rsidRPr="000E00D0" w:rsidRDefault="001C5FB1" w:rsidP="001C5FB1">
            <w:pPr>
              <w:spacing w:before="120" w:after="120" w:line="276" w:lineRule="auto"/>
            </w:pPr>
            <w:r w:rsidRPr="000E00D0">
              <w:t>Chitosan-based cartilage biomatrix implant (CarGel)</w:t>
            </w:r>
          </w:p>
        </w:tc>
        <w:tc>
          <w:tcPr>
            <w:tcW w:w="993" w:type="dxa"/>
            <w:tcBorders>
              <w:bottom w:val="single" w:sz="4" w:space="0" w:color="auto"/>
            </w:tcBorders>
          </w:tcPr>
          <w:p w14:paraId="1130EB74" w14:textId="77777777" w:rsidR="001C5FB1" w:rsidRPr="000E00D0" w:rsidRDefault="001C5FB1" w:rsidP="001C5FB1">
            <w:pPr>
              <w:spacing w:before="120" w:after="120" w:line="276" w:lineRule="auto"/>
            </w:pPr>
            <w:r w:rsidRPr="000E00D0">
              <w:t>$6,022</w:t>
            </w:r>
          </w:p>
        </w:tc>
        <w:tc>
          <w:tcPr>
            <w:tcW w:w="2358" w:type="dxa"/>
            <w:tcBorders>
              <w:bottom w:val="single" w:sz="4" w:space="0" w:color="auto"/>
            </w:tcBorders>
          </w:tcPr>
          <w:p w14:paraId="1CC577B1" w14:textId="7D98FCFB" w:rsidR="001C5FB1" w:rsidRPr="000E00D0" w:rsidRDefault="00AB196E" w:rsidP="001C5FB1">
            <w:pPr>
              <w:spacing w:before="120" w:after="120" w:line="276" w:lineRule="auto"/>
            </w:pPr>
            <w:r>
              <w:t>Prosthese</w:t>
            </w:r>
            <w:r w:rsidR="001C5FB1" w:rsidRPr="000E00D0">
              <w:t>s list SL072</w:t>
            </w:r>
          </w:p>
        </w:tc>
      </w:tr>
      <w:tr w:rsidR="001C5FB1" w:rsidRPr="000E00D0" w14:paraId="0C8AFBE7" w14:textId="77777777" w:rsidTr="001C5FB1">
        <w:tc>
          <w:tcPr>
            <w:tcW w:w="851" w:type="dxa"/>
            <w:tcBorders>
              <w:bottom w:val="single" w:sz="4" w:space="0" w:color="auto"/>
            </w:tcBorders>
          </w:tcPr>
          <w:p w14:paraId="751EB871" w14:textId="77777777" w:rsidR="001C5FB1" w:rsidRPr="000E00D0" w:rsidRDefault="001C5FB1" w:rsidP="001C5FB1">
            <w:pPr>
              <w:spacing w:before="120" w:after="120" w:line="276" w:lineRule="auto"/>
            </w:pPr>
            <w:r w:rsidRPr="000E00D0">
              <w:t>B</w:t>
            </w:r>
          </w:p>
        </w:tc>
        <w:tc>
          <w:tcPr>
            <w:tcW w:w="4961" w:type="dxa"/>
            <w:tcBorders>
              <w:bottom w:val="single" w:sz="4" w:space="0" w:color="auto"/>
            </w:tcBorders>
          </w:tcPr>
          <w:p w14:paraId="3696CB00" w14:textId="77777777" w:rsidR="001C5FB1" w:rsidRPr="000E00D0" w:rsidRDefault="001C5FB1" w:rsidP="001C5FB1">
            <w:pPr>
              <w:spacing w:before="120" w:after="120" w:line="276" w:lineRule="auto"/>
            </w:pPr>
            <w:r w:rsidRPr="000E00D0">
              <w:t xml:space="preserve">Pre-anaesthesia consultation </w:t>
            </w:r>
          </w:p>
        </w:tc>
        <w:tc>
          <w:tcPr>
            <w:tcW w:w="993" w:type="dxa"/>
            <w:tcBorders>
              <w:bottom w:val="single" w:sz="4" w:space="0" w:color="auto"/>
            </w:tcBorders>
          </w:tcPr>
          <w:p w14:paraId="51F693E5" w14:textId="77777777" w:rsidR="001C5FB1" w:rsidRPr="000E00D0" w:rsidRDefault="001C5FB1" w:rsidP="001C5FB1">
            <w:pPr>
              <w:spacing w:before="120" w:after="120" w:line="276" w:lineRule="auto"/>
            </w:pPr>
            <w:r w:rsidRPr="000E00D0">
              <w:t>$43.65</w:t>
            </w:r>
          </w:p>
        </w:tc>
        <w:tc>
          <w:tcPr>
            <w:tcW w:w="2358" w:type="dxa"/>
            <w:tcBorders>
              <w:bottom w:val="single" w:sz="4" w:space="0" w:color="auto"/>
            </w:tcBorders>
          </w:tcPr>
          <w:p w14:paraId="7B948A4F" w14:textId="77777777" w:rsidR="001C5FB1" w:rsidRPr="000E00D0" w:rsidRDefault="001C5FB1" w:rsidP="001C5FB1">
            <w:pPr>
              <w:spacing w:before="120" w:after="120" w:line="276" w:lineRule="auto"/>
            </w:pPr>
            <w:r w:rsidRPr="000E00D0">
              <w:t>MBS item 17610</w:t>
            </w:r>
          </w:p>
        </w:tc>
      </w:tr>
      <w:tr w:rsidR="001C5FB1" w:rsidRPr="000E00D0" w14:paraId="336B527D" w14:textId="77777777" w:rsidTr="001C5FB1">
        <w:tc>
          <w:tcPr>
            <w:tcW w:w="851" w:type="dxa"/>
            <w:tcBorders>
              <w:bottom w:val="single" w:sz="4" w:space="0" w:color="auto"/>
            </w:tcBorders>
          </w:tcPr>
          <w:p w14:paraId="4AEE827E" w14:textId="77777777" w:rsidR="001C5FB1" w:rsidRPr="000E00D0" w:rsidRDefault="001C5FB1" w:rsidP="001C5FB1">
            <w:pPr>
              <w:spacing w:before="120" w:after="120" w:line="276" w:lineRule="auto"/>
            </w:pPr>
            <w:r w:rsidRPr="000E00D0">
              <w:t>C</w:t>
            </w:r>
          </w:p>
        </w:tc>
        <w:tc>
          <w:tcPr>
            <w:tcW w:w="4961" w:type="dxa"/>
            <w:tcBorders>
              <w:bottom w:val="single" w:sz="4" w:space="0" w:color="auto"/>
            </w:tcBorders>
          </w:tcPr>
          <w:p w14:paraId="3B10F0BE" w14:textId="77777777" w:rsidR="001C5FB1" w:rsidRPr="000E00D0" w:rsidRDefault="001C5FB1" w:rsidP="001C5FB1">
            <w:pPr>
              <w:spacing w:before="120" w:after="120" w:line="276" w:lineRule="auto"/>
            </w:pPr>
            <w:r w:rsidRPr="000E00D0">
              <w:t xml:space="preserve">Initiation anaesthesia </w:t>
            </w:r>
          </w:p>
        </w:tc>
        <w:tc>
          <w:tcPr>
            <w:tcW w:w="993" w:type="dxa"/>
            <w:tcBorders>
              <w:bottom w:val="single" w:sz="4" w:space="0" w:color="auto"/>
            </w:tcBorders>
          </w:tcPr>
          <w:p w14:paraId="13F0821E" w14:textId="77777777" w:rsidR="001C5FB1" w:rsidRPr="000E00D0" w:rsidRDefault="001C5FB1" w:rsidP="001C5FB1">
            <w:pPr>
              <w:spacing w:before="120" w:after="120" w:line="276" w:lineRule="auto"/>
            </w:pPr>
            <w:r w:rsidRPr="000E00D0">
              <w:t>$79.20</w:t>
            </w:r>
          </w:p>
        </w:tc>
        <w:tc>
          <w:tcPr>
            <w:tcW w:w="2358" w:type="dxa"/>
            <w:tcBorders>
              <w:bottom w:val="single" w:sz="4" w:space="0" w:color="auto"/>
            </w:tcBorders>
          </w:tcPr>
          <w:p w14:paraId="0CBC6B41" w14:textId="77777777" w:rsidR="001C5FB1" w:rsidRPr="000E00D0" w:rsidRDefault="001C5FB1" w:rsidP="001C5FB1">
            <w:pPr>
              <w:spacing w:before="120" w:after="120" w:line="276" w:lineRule="auto"/>
            </w:pPr>
            <w:r w:rsidRPr="000E00D0">
              <w:t>MBS item 21382</w:t>
            </w:r>
          </w:p>
        </w:tc>
      </w:tr>
      <w:tr w:rsidR="001C5FB1" w:rsidRPr="000E00D0" w14:paraId="19F05B4E" w14:textId="77777777" w:rsidTr="001C5FB1">
        <w:tc>
          <w:tcPr>
            <w:tcW w:w="851" w:type="dxa"/>
            <w:tcBorders>
              <w:bottom w:val="single" w:sz="4" w:space="0" w:color="auto"/>
            </w:tcBorders>
          </w:tcPr>
          <w:p w14:paraId="37484FE4" w14:textId="77777777" w:rsidR="001C5FB1" w:rsidRPr="000E00D0" w:rsidRDefault="001C5FB1" w:rsidP="001C5FB1">
            <w:pPr>
              <w:spacing w:before="120" w:after="120" w:line="276" w:lineRule="auto"/>
            </w:pPr>
            <w:r w:rsidRPr="000E00D0">
              <w:t>D</w:t>
            </w:r>
          </w:p>
        </w:tc>
        <w:tc>
          <w:tcPr>
            <w:tcW w:w="4961" w:type="dxa"/>
            <w:tcBorders>
              <w:bottom w:val="single" w:sz="4" w:space="0" w:color="auto"/>
            </w:tcBorders>
          </w:tcPr>
          <w:p w14:paraId="6C2DA66E" w14:textId="2EFC7072" w:rsidR="001C5FB1" w:rsidRPr="000E00D0" w:rsidRDefault="001C5FB1" w:rsidP="0080244F">
            <w:pPr>
              <w:spacing w:before="120" w:after="120" w:line="276" w:lineRule="auto"/>
            </w:pPr>
            <w:r w:rsidRPr="000E00D0">
              <w:t>Arthroscopic surgery</w:t>
            </w:r>
            <w:r w:rsidR="003C4C51">
              <w:t>,</w:t>
            </w:r>
            <w:r w:rsidRPr="000E00D0">
              <w:t xml:space="preserve"> including </w:t>
            </w:r>
            <w:r w:rsidR="0080244F">
              <w:t xml:space="preserve">use </w:t>
            </w:r>
            <w:r w:rsidRPr="000E00D0">
              <w:t xml:space="preserve">of chitosan-based cartilage biomatrix implant </w:t>
            </w:r>
          </w:p>
        </w:tc>
        <w:tc>
          <w:tcPr>
            <w:tcW w:w="993" w:type="dxa"/>
            <w:tcBorders>
              <w:bottom w:val="single" w:sz="4" w:space="0" w:color="auto"/>
            </w:tcBorders>
          </w:tcPr>
          <w:p w14:paraId="2E56CA8A" w14:textId="77777777" w:rsidR="001C5FB1" w:rsidRPr="000E00D0" w:rsidRDefault="001C5FB1" w:rsidP="001C5FB1">
            <w:pPr>
              <w:spacing w:before="120" w:after="120" w:line="276" w:lineRule="auto"/>
            </w:pPr>
            <w:r w:rsidRPr="000E00D0">
              <w:t>$674.00</w:t>
            </w:r>
          </w:p>
        </w:tc>
        <w:tc>
          <w:tcPr>
            <w:tcW w:w="2358" w:type="dxa"/>
            <w:tcBorders>
              <w:bottom w:val="single" w:sz="4" w:space="0" w:color="auto"/>
            </w:tcBorders>
          </w:tcPr>
          <w:p w14:paraId="52A4DE48" w14:textId="3E9D7422" w:rsidR="001C5FB1" w:rsidRPr="000E00D0" w:rsidRDefault="001C5FB1" w:rsidP="001C5FB1">
            <w:pPr>
              <w:spacing w:before="120" w:after="120" w:line="276" w:lineRule="auto"/>
            </w:pPr>
            <w:r w:rsidRPr="000E00D0">
              <w:t>MBS item 49561</w:t>
            </w:r>
            <w:r w:rsidR="003C4C51">
              <w:t xml:space="preserve"> (inpatient</w:t>
            </w:r>
            <w:r w:rsidR="00804A3D">
              <w:t>/admitted patient</w:t>
            </w:r>
            <w:r w:rsidR="003C4C51">
              <w:t xml:space="preserve"> only service)</w:t>
            </w:r>
            <w:r>
              <w:t>*</w:t>
            </w:r>
          </w:p>
        </w:tc>
      </w:tr>
      <w:tr w:rsidR="001C5FB1" w:rsidRPr="000E00D0" w14:paraId="35C0199E" w14:textId="77777777" w:rsidTr="001C5FB1">
        <w:tc>
          <w:tcPr>
            <w:tcW w:w="851" w:type="dxa"/>
            <w:tcBorders>
              <w:bottom w:val="single" w:sz="4" w:space="0" w:color="auto"/>
            </w:tcBorders>
          </w:tcPr>
          <w:p w14:paraId="34EB8F6F" w14:textId="77777777" w:rsidR="001C5FB1" w:rsidRPr="000E00D0" w:rsidRDefault="001C5FB1" w:rsidP="001C5FB1">
            <w:pPr>
              <w:spacing w:before="120" w:after="120" w:line="276" w:lineRule="auto"/>
            </w:pPr>
            <w:r w:rsidRPr="000E00D0">
              <w:t>E</w:t>
            </w:r>
          </w:p>
        </w:tc>
        <w:tc>
          <w:tcPr>
            <w:tcW w:w="4961" w:type="dxa"/>
            <w:tcBorders>
              <w:bottom w:val="single" w:sz="4" w:space="0" w:color="auto"/>
            </w:tcBorders>
          </w:tcPr>
          <w:p w14:paraId="4BEA75D5" w14:textId="77777777" w:rsidR="001C5FB1" w:rsidRPr="000E00D0" w:rsidRDefault="001C5FB1" w:rsidP="001C5FB1">
            <w:pPr>
              <w:spacing w:before="120" w:after="120" w:line="276" w:lineRule="auto"/>
            </w:pPr>
            <w:r w:rsidRPr="000E00D0">
              <w:t xml:space="preserve">Anaesthesia </w:t>
            </w:r>
          </w:p>
        </w:tc>
        <w:tc>
          <w:tcPr>
            <w:tcW w:w="993" w:type="dxa"/>
            <w:tcBorders>
              <w:bottom w:val="single" w:sz="4" w:space="0" w:color="auto"/>
            </w:tcBorders>
          </w:tcPr>
          <w:p w14:paraId="7CB7446B" w14:textId="77777777" w:rsidR="001C5FB1" w:rsidRPr="000E00D0" w:rsidRDefault="001C5FB1" w:rsidP="001C5FB1">
            <w:pPr>
              <w:spacing w:before="120" w:after="120" w:line="276" w:lineRule="auto"/>
            </w:pPr>
            <w:r w:rsidRPr="000E00D0">
              <w:t>$79.20</w:t>
            </w:r>
          </w:p>
        </w:tc>
        <w:tc>
          <w:tcPr>
            <w:tcW w:w="2358" w:type="dxa"/>
            <w:tcBorders>
              <w:bottom w:val="single" w:sz="4" w:space="0" w:color="auto"/>
            </w:tcBorders>
          </w:tcPr>
          <w:p w14:paraId="1DC8A71F" w14:textId="77777777" w:rsidR="001C5FB1" w:rsidRPr="000E00D0" w:rsidRDefault="001C5FB1" w:rsidP="001C5FB1">
            <w:pPr>
              <w:spacing w:before="120" w:after="120" w:line="276" w:lineRule="auto"/>
            </w:pPr>
            <w:r w:rsidRPr="000E00D0">
              <w:t>MBS item 21382</w:t>
            </w:r>
          </w:p>
        </w:tc>
      </w:tr>
      <w:tr w:rsidR="001C5FB1" w:rsidRPr="000E00D0" w14:paraId="3EF887A9" w14:textId="77777777" w:rsidTr="001C5FB1">
        <w:trPr>
          <w:trHeight w:val="70"/>
        </w:trPr>
        <w:tc>
          <w:tcPr>
            <w:tcW w:w="851" w:type="dxa"/>
            <w:tcBorders>
              <w:bottom w:val="single" w:sz="4" w:space="0" w:color="auto"/>
            </w:tcBorders>
          </w:tcPr>
          <w:p w14:paraId="25A39592" w14:textId="77777777" w:rsidR="001C5FB1" w:rsidRPr="000E00D0" w:rsidRDefault="001C5FB1" w:rsidP="001C5FB1">
            <w:pPr>
              <w:spacing w:before="120" w:after="120" w:line="276" w:lineRule="auto"/>
            </w:pPr>
            <w:r w:rsidRPr="000E00D0">
              <w:t>F</w:t>
            </w:r>
          </w:p>
        </w:tc>
        <w:tc>
          <w:tcPr>
            <w:tcW w:w="4961" w:type="dxa"/>
            <w:tcBorders>
              <w:bottom w:val="single" w:sz="4" w:space="0" w:color="auto"/>
            </w:tcBorders>
          </w:tcPr>
          <w:p w14:paraId="0FADCD58" w14:textId="62E97C63" w:rsidR="001C5FB1" w:rsidRPr="00B91B1D" w:rsidRDefault="001C5FB1" w:rsidP="00B91B1D">
            <w:pPr>
              <w:spacing w:before="120" w:after="120" w:line="276" w:lineRule="auto"/>
              <w:rPr>
                <w:b/>
              </w:rPr>
            </w:pPr>
            <w:r w:rsidRPr="00B91B1D">
              <w:rPr>
                <w:b/>
              </w:rPr>
              <w:t>T</w:t>
            </w:r>
            <w:r w:rsidR="00B91B1D" w:rsidRPr="00B91B1D">
              <w:rPr>
                <w:b/>
              </w:rPr>
              <w:t>OTAL</w:t>
            </w:r>
            <w:r w:rsidRPr="00B91B1D">
              <w:rPr>
                <w:b/>
              </w:rPr>
              <w:t xml:space="preserve"> </w:t>
            </w:r>
          </w:p>
        </w:tc>
        <w:tc>
          <w:tcPr>
            <w:tcW w:w="993" w:type="dxa"/>
            <w:tcBorders>
              <w:bottom w:val="single" w:sz="4" w:space="0" w:color="auto"/>
            </w:tcBorders>
          </w:tcPr>
          <w:p w14:paraId="19AB7181" w14:textId="77777777" w:rsidR="001C5FB1" w:rsidRPr="00B91B1D" w:rsidRDefault="001C5FB1" w:rsidP="001C5FB1">
            <w:pPr>
              <w:spacing w:before="120" w:after="120" w:line="276" w:lineRule="auto"/>
              <w:rPr>
                <w:b/>
              </w:rPr>
            </w:pPr>
            <w:r w:rsidRPr="00B91B1D">
              <w:rPr>
                <w:b/>
              </w:rPr>
              <w:t>$6,898</w:t>
            </w:r>
          </w:p>
        </w:tc>
        <w:tc>
          <w:tcPr>
            <w:tcW w:w="2358" w:type="dxa"/>
            <w:tcBorders>
              <w:bottom w:val="single" w:sz="4" w:space="0" w:color="auto"/>
            </w:tcBorders>
          </w:tcPr>
          <w:p w14:paraId="612E0EBE" w14:textId="77777777" w:rsidR="001C5FB1" w:rsidRPr="000E00D0" w:rsidRDefault="001C5FB1" w:rsidP="001C5FB1">
            <w:pPr>
              <w:spacing w:before="120" w:after="120" w:line="276" w:lineRule="auto"/>
            </w:pPr>
            <w:r w:rsidRPr="000E00D0">
              <w:t>A+B+C+D+E</w:t>
            </w:r>
          </w:p>
        </w:tc>
      </w:tr>
    </w:tbl>
    <w:p w14:paraId="5F7922CD" w14:textId="669612EC" w:rsidR="001C5FB1" w:rsidRDefault="001C5FB1" w:rsidP="001C5FB1">
      <w:pPr>
        <w:pStyle w:val="Tablefooter"/>
      </w:pPr>
      <w:r>
        <w:t>* Note</w:t>
      </w:r>
      <w:r w:rsidR="00400D78">
        <w:t>: A</w:t>
      </w:r>
      <w:r>
        <w:t xml:space="preserve"> number of other MBS item</w:t>
      </w:r>
      <w:r w:rsidR="00B91B1D">
        <w:t>s</w:t>
      </w:r>
      <w:r w:rsidR="00400D78">
        <w:t xml:space="preserve"> relate</w:t>
      </w:r>
      <w:r>
        <w:t xml:space="preserve"> to cartilage rep</w:t>
      </w:r>
      <w:r w:rsidR="00D31946">
        <w:t>air</w:t>
      </w:r>
      <w:r>
        <w:t xml:space="preserve">, see </w:t>
      </w:r>
      <w:r w:rsidR="00DD339A">
        <w:t>Table 3.</w:t>
      </w:r>
    </w:p>
    <w:p w14:paraId="45390C75" w14:textId="4C509C01" w:rsidR="001C5FB1" w:rsidRDefault="001C5FB1" w:rsidP="001C5FB1">
      <w:r>
        <w:t>The proposed service is dependent on the use of a prosthesis, which is already included on the Prosthes</w:t>
      </w:r>
      <w:r w:rsidR="00AB196E">
        <w:t>e</w:t>
      </w:r>
      <w:r>
        <w:t>s List:</w:t>
      </w:r>
    </w:p>
    <w:p w14:paraId="389FB341" w14:textId="77777777" w:rsidR="001C5FB1" w:rsidRDefault="001C5FB1" w:rsidP="001C5FB1">
      <w:pPr>
        <w:ind w:left="720"/>
      </w:pPr>
      <w:r w:rsidRPr="00601B6F">
        <w:t>Billing code(s): SL072</w:t>
      </w:r>
      <w:r>
        <w:br/>
      </w:r>
      <w:r w:rsidRPr="00601B6F">
        <w:t>Trade name of prostheses: BST-CarGel</w:t>
      </w:r>
      <w:r>
        <w:br/>
      </w:r>
      <w:r w:rsidRPr="00601B6F">
        <w:t>Clinical name of prostheses: chitosan-based liquid bioscaffold</w:t>
      </w:r>
      <w:r>
        <w:br/>
      </w:r>
      <w:r w:rsidRPr="00601B6F">
        <w:t>Other device components delivered as part of the service: N/A</w:t>
      </w:r>
      <w:r>
        <w:br/>
        <w:t xml:space="preserve">Cost of prosthesis: </w:t>
      </w:r>
      <w:r w:rsidRPr="000E00D0">
        <w:t>$6,022</w:t>
      </w:r>
    </w:p>
    <w:p w14:paraId="61AC9AC7" w14:textId="7AC4B19A" w:rsidR="001C5FB1" w:rsidRDefault="001C5FB1" w:rsidP="001C5FB1">
      <w:r>
        <w:t>The device is listed on the Australian Register of Therapeutic Goods</w:t>
      </w:r>
      <w:r w:rsidR="00765A71">
        <w:t xml:space="preserve"> (ARTG)</w:t>
      </w:r>
      <w:r>
        <w:t>:</w:t>
      </w:r>
    </w:p>
    <w:p w14:paraId="35BAC026" w14:textId="236B7AD6" w:rsidR="001C5FB1" w:rsidRDefault="001C5FB1" w:rsidP="001C5FB1">
      <w:pPr>
        <w:ind w:left="720"/>
        <w:rPr>
          <w:szCs w:val="20"/>
        </w:rPr>
      </w:pPr>
      <w:r>
        <w:t xml:space="preserve">ARTG listing, registration or inclusion number: </w:t>
      </w:r>
      <w:r w:rsidR="00FB617B">
        <w:t>298453</w:t>
      </w:r>
      <w:r>
        <w:t>, 252732</w:t>
      </w:r>
      <w:r>
        <w:br/>
      </w:r>
      <w:r w:rsidRPr="0043654D">
        <w:rPr>
          <w:szCs w:val="20"/>
        </w:rPr>
        <w:t>TGA approved purpose(s), if applicable:</w:t>
      </w:r>
      <w:r>
        <w:rPr>
          <w:szCs w:val="20"/>
        </w:rPr>
        <w:t xml:space="preserve"> “CarGel</w:t>
      </w:r>
      <w:r w:rsidRPr="00B504DC">
        <w:rPr>
          <w:szCs w:val="20"/>
        </w:rPr>
        <w:t xml:space="preserve"> is a medical device intended to promote hyaline cartilage regeneration when used in conjunction with the bone marrow stimulation technique for the repair of focal articular cartilage lesions. Treatment with</w:t>
      </w:r>
      <w:r>
        <w:rPr>
          <w:szCs w:val="20"/>
        </w:rPr>
        <w:t xml:space="preserve"> CarGel</w:t>
      </w:r>
      <w:r w:rsidRPr="00B504DC">
        <w:rPr>
          <w:szCs w:val="20"/>
        </w:rPr>
        <w:t xml:space="preserve"> should be performed by an orthopaedic surgeon</w:t>
      </w:r>
      <w:r>
        <w:rPr>
          <w:szCs w:val="20"/>
        </w:rPr>
        <w:t>”</w:t>
      </w:r>
      <w:r w:rsidRPr="00B504DC">
        <w:rPr>
          <w:szCs w:val="20"/>
        </w:rPr>
        <w:t>.</w:t>
      </w:r>
    </w:p>
    <w:p w14:paraId="586A554F" w14:textId="77777777" w:rsidR="001C5FB1" w:rsidRDefault="001C5FB1" w:rsidP="001C5FB1">
      <w:pPr>
        <w:spacing w:before="120" w:after="120"/>
        <w:rPr>
          <w:i/>
          <w:u w:val="single"/>
        </w:rPr>
      </w:pPr>
      <w:r>
        <w:rPr>
          <w:i/>
          <w:u w:val="single"/>
        </w:rPr>
        <w:t>Rationale</w:t>
      </w:r>
    </w:p>
    <w:p w14:paraId="025799EF" w14:textId="2709C0C9" w:rsidR="001C5FB1" w:rsidRDefault="00E8649A" w:rsidP="001C5FB1">
      <w:pPr>
        <w:spacing w:before="120" w:after="120"/>
      </w:pPr>
      <w:r>
        <w:t xml:space="preserve">The size of </w:t>
      </w:r>
      <w:r w:rsidR="001C5FB1">
        <w:t xml:space="preserve">cartilage defect is a determinant factor in the management of lesions (see </w:t>
      </w:r>
      <w:r w:rsidR="001C5FB1">
        <w:fldChar w:fldCharType="begin"/>
      </w:r>
      <w:r w:rsidR="001C5FB1">
        <w:instrText xml:space="preserve"> REF _Ref4141305 \h </w:instrText>
      </w:r>
      <w:r w:rsidR="001C5FB1">
        <w:fldChar w:fldCharType="separate"/>
      </w:r>
      <w:r w:rsidR="000649E7">
        <w:t xml:space="preserve">Figure </w:t>
      </w:r>
      <w:r w:rsidR="000649E7">
        <w:rPr>
          <w:noProof/>
        </w:rPr>
        <w:t>4</w:t>
      </w:r>
      <w:r w:rsidR="001C5FB1">
        <w:fldChar w:fldCharType="end"/>
      </w:r>
      <w:r>
        <w:t xml:space="preserve">).  Given </w:t>
      </w:r>
      <w:r w:rsidR="001C5FB1">
        <w:t xml:space="preserve">the physiology of cartilage in articular joints are the same </w:t>
      </w:r>
      <w:r w:rsidR="001C5FB1">
        <w:fldChar w:fldCharType="begin"/>
      </w:r>
      <w:r w:rsidR="001C5FB1">
        <w:instrText xml:space="preserve"> ADDIN EN.CITE &lt;EndNote&gt;&lt;Cite&gt;&lt;Author&gt;Rice University&lt;/Author&gt;&lt;RecNum&gt;11669&lt;/RecNum&gt;&lt;DisplayText&gt;[17]&lt;/DisplayText&gt;&lt;record&gt;&lt;rec-number&gt;11669&lt;/rec-number&gt;&lt;foreign-keys&gt;&lt;key app="EN" db-id="e5fswt02npwd52esazb5pr54wz9epasvpvef" timestamp="1551323706"&gt;11669&lt;/key&gt;&lt;/foreign-keys&gt;&lt;ref-type name="Book Section"&gt;5&lt;/ref-type&gt;&lt;contributors&gt;&lt;authors&gt;&lt;author&gt;Rice University,&lt;/author&gt;&lt;/authors&gt;&lt;/contributors&gt;&lt;titles&gt;&lt;title&gt;9.4 Synovial joints.&lt;/title&gt;&lt;secondary-title&gt;Anatomy and Physiology.  Available https://opentextbc.ca/anatomyandphysiology/chapter/9-4-synovial-joints/&lt;/secondary-title&gt;&lt;/titles&gt;&lt;section&gt;9&lt;/section&gt;&lt;dates&gt;&lt;/dates&gt;&lt;urls&gt;&lt;/urls&gt;&lt;/record&gt;&lt;/Cite&gt;&lt;/EndNote&gt;</w:instrText>
      </w:r>
      <w:r w:rsidR="001C5FB1">
        <w:fldChar w:fldCharType="separate"/>
      </w:r>
      <w:r w:rsidR="001C5FB1">
        <w:rPr>
          <w:noProof/>
        </w:rPr>
        <w:t>[17]</w:t>
      </w:r>
      <w:r w:rsidR="001C5FB1">
        <w:fldChar w:fldCharType="end"/>
      </w:r>
      <w:r w:rsidR="001C5FB1">
        <w:t>, it is anticipated that surgical management of any articular joint would follow the same guidance</w:t>
      </w:r>
      <w:r>
        <w:t>. Ho</w:t>
      </w:r>
      <w:r w:rsidR="001C5FB1">
        <w:t>wever</w:t>
      </w:r>
      <w:r>
        <w:t>,</w:t>
      </w:r>
      <w:r w:rsidR="001C5FB1">
        <w:t xml:space="preserve"> there is no evidence for efficacy of MF+CBI in joints other than the knee.</w:t>
      </w:r>
    </w:p>
    <w:p w14:paraId="75B91E51" w14:textId="5FD1DB33" w:rsidR="001C5FB1" w:rsidRDefault="001C5FB1" w:rsidP="001C5FB1">
      <w:pPr>
        <w:spacing w:before="120" w:after="120"/>
        <w:rPr>
          <w:b/>
          <w:lang w:val="en-GB" w:eastAsia="ja-JP"/>
        </w:rPr>
      </w:pPr>
      <w:r>
        <w:rPr>
          <w:lang w:val="en-GB" w:eastAsia="ja-JP"/>
        </w:rPr>
        <w:t xml:space="preserve">The use of MF+CBI is a once-in-a-lifetime procedure </w:t>
      </w:r>
      <w:r>
        <w:rPr>
          <w:b/>
          <w:lang w:val="en-GB" w:eastAsia="ja-JP"/>
        </w:rPr>
        <w:t>per lesion</w:t>
      </w:r>
      <w:r w:rsidR="00E8649A">
        <w:rPr>
          <w:lang w:val="en-GB" w:eastAsia="ja-JP"/>
        </w:rPr>
        <w:t xml:space="preserve">. </w:t>
      </w:r>
      <w:r>
        <w:rPr>
          <w:lang w:val="en-GB" w:eastAsia="ja-JP"/>
        </w:rPr>
        <w:t>That is, patients who have had a previous MF+CBI procedure performed on a specific lesion would be ineligible to have the procedure p</w:t>
      </w:r>
      <w:r w:rsidR="00E8649A">
        <w:rPr>
          <w:lang w:val="en-GB" w:eastAsia="ja-JP"/>
        </w:rPr>
        <w:t xml:space="preserve">erformed on that lesion again. </w:t>
      </w:r>
      <w:r>
        <w:rPr>
          <w:lang w:val="en-GB" w:eastAsia="ja-JP"/>
        </w:rPr>
        <w:t>They may be eligible for other MF+CBI procedures on different lesions (i</w:t>
      </w:r>
      <w:r w:rsidR="00E8649A">
        <w:rPr>
          <w:lang w:val="en-GB" w:eastAsia="ja-JP"/>
        </w:rPr>
        <w:t xml:space="preserve">f those lesions are eligible). </w:t>
      </w:r>
      <w:r w:rsidRPr="00E8649A">
        <w:rPr>
          <w:b/>
          <w:lang w:val="en-GB" w:eastAsia="ja-JP"/>
        </w:rPr>
        <w:t>Th</w:t>
      </w:r>
      <w:r w:rsidRPr="00A776A2">
        <w:rPr>
          <w:b/>
          <w:lang w:val="en-GB" w:eastAsia="ja-JP"/>
        </w:rPr>
        <w:t xml:space="preserve">e Australian clinical expert advice indicated that </w:t>
      </w:r>
      <w:r w:rsidR="00E8649A">
        <w:rPr>
          <w:b/>
          <w:lang w:val="en-GB" w:eastAsia="ja-JP"/>
        </w:rPr>
        <w:t xml:space="preserve">treatment would be limited to </w:t>
      </w:r>
      <w:r w:rsidRPr="00A776A2">
        <w:rPr>
          <w:b/>
          <w:lang w:val="en-GB" w:eastAsia="ja-JP"/>
        </w:rPr>
        <w:t>single use per lesion.</w:t>
      </w:r>
    </w:p>
    <w:p w14:paraId="0DF386F5" w14:textId="213556AF" w:rsidR="00FB617B" w:rsidRPr="00462A84" w:rsidRDefault="00FB617B" w:rsidP="00FB617B">
      <w:pPr>
        <w:rPr>
          <w:i/>
        </w:rPr>
      </w:pPr>
      <w:r w:rsidRPr="00462A84">
        <w:rPr>
          <w:i/>
        </w:rPr>
        <w:t>PASC clarified</w:t>
      </w:r>
      <w:r w:rsidR="00D34F47">
        <w:rPr>
          <w:i/>
        </w:rPr>
        <w:t xml:space="preserve"> </w:t>
      </w:r>
      <w:r w:rsidRPr="00462A84">
        <w:rPr>
          <w:i/>
        </w:rPr>
        <w:t xml:space="preserve">the intervention is a once </w:t>
      </w:r>
      <w:r w:rsidRPr="00462A84">
        <w:rPr>
          <w:i/>
          <w:u w:val="single"/>
        </w:rPr>
        <w:t xml:space="preserve">per lesion </w:t>
      </w:r>
      <w:r w:rsidR="00D34F47">
        <w:rPr>
          <w:i/>
          <w:u w:val="single"/>
        </w:rPr>
        <w:t xml:space="preserve">intervention , not </w:t>
      </w:r>
      <w:r w:rsidRPr="00462A84">
        <w:rPr>
          <w:i/>
        </w:rPr>
        <w:t>once per patient, and the</w:t>
      </w:r>
      <w:r w:rsidR="00D34F47">
        <w:rPr>
          <w:i/>
        </w:rPr>
        <w:t xml:space="preserve"> PICO and subsequent health technology assessment should </w:t>
      </w:r>
      <w:r w:rsidRPr="00462A84">
        <w:rPr>
          <w:i/>
        </w:rPr>
        <w:t xml:space="preserve">be restricted to the knee, given most evidence relates to this site. </w:t>
      </w:r>
    </w:p>
    <w:p w14:paraId="0B5BD37A" w14:textId="77777777" w:rsidR="009D40E8" w:rsidRDefault="001C5FB1" w:rsidP="009D40E8">
      <w:pPr>
        <w:spacing w:after="0"/>
        <w:rPr>
          <w:b/>
          <w:color w:val="0099FF"/>
          <w:sz w:val="28"/>
          <w:szCs w:val="28"/>
        </w:rPr>
      </w:pPr>
      <w:r w:rsidRPr="000C14AA">
        <w:rPr>
          <w:b/>
          <w:color w:val="0099FF"/>
          <w:sz w:val="28"/>
          <w:szCs w:val="28"/>
        </w:rPr>
        <w:t>Comparator</w:t>
      </w:r>
    </w:p>
    <w:p w14:paraId="0EED2940" w14:textId="4BCCD031" w:rsidR="00D34F47" w:rsidRPr="00C42473" w:rsidRDefault="003F70CB" w:rsidP="009D40E8">
      <w:pPr>
        <w:spacing w:after="0"/>
      </w:pPr>
      <w:r w:rsidRPr="009D40E8">
        <w:rPr>
          <w:b/>
          <w:sz w:val="6"/>
          <w:szCs w:val="6"/>
        </w:rPr>
        <w:br/>
      </w:r>
      <w:r w:rsidR="000C14AA" w:rsidRPr="00C42473">
        <w:t xml:space="preserve">PASC agreed that microfracture is the primary comparator for both populations (i.e. smaller </w:t>
      </w:r>
      <w:r w:rsidR="000C14AA" w:rsidRPr="00C42473">
        <w:rPr>
          <w:u w:val="single"/>
        </w:rPr>
        <w:t>and</w:t>
      </w:r>
      <w:r w:rsidR="000C14AA" w:rsidRPr="00C42473">
        <w:t xml:space="preserve"> larger lesions). </w:t>
      </w:r>
    </w:p>
    <w:p w14:paraId="46C97759" w14:textId="77777777" w:rsidR="00F16743" w:rsidRPr="00F16743" w:rsidRDefault="00F16743" w:rsidP="00F16743">
      <w:pPr>
        <w:spacing w:after="0"/>
        <w:rPr>
          <w:sz w:val="16"/>
          <w:szCs w:val="16"/>
        </w:rPr>
      </w:pPr>
    </w:p>
    <w:p w14:paraId="5E8E3D62" w14:textId="26FE9276" w:rsidR="009D1151" w:rsidRPr="00C42473" w:rsidRDefault="009D1151" w:rsidP="009D1151">
      <w:pPr>
        <w:spacing w:after="240"/>
      </w:pPr>
      <w:r w:rsidRPr="00C42473">
        <w:t>PASC noted that, in patients with larger lesions of &gt; 2 cm</w:t>
      </w:r>
      <w:r w:rsidRPr="00C42473">
        <w:rPr>
          <w:vertAlign w:val="superscript"/>
        </w:rPr>
        <w:t>2</w:t>
      </w:r>
      <w:r w:rsidRPr="00C42473">
        <w:t xml:space="preserve"> (Population 2), BST Cargel would only be used if these patients have an intact subchondral endplate. Patients with larger lesions who do not have an intact subchondral endplate are indicated for joint replacement. PASC therefore agreed the comparator for Population 2 should be microfracture.</w:t>
      </w:r>
    </w:p>
    <w:p w14:paraId="36F6FCB9" w14:textId="23E6BE44" w:rsidR="000C14AA" w:rsidRPr="00C42473" w:rsidRDefault="009D1151" w:rsidP="00D34F47">
      <w:pPr>
        <w:spacing w:after="240"/>
      </w:pPr>
      <w:r w:rsidRPr="00C42473">
        <w:t xml:space="preserve">This also </w:t>
      </w:r>
      <w:r w:rsidR="000C14AA" w:rsidRPr="00C42473">
        <w:t>ensure</w:t>
      </w:r>
      <w:r w:rsidRPr="00C42473">
        <w:t>s</w:t>
      </w:r>
      <w:r w:rsidR="000C14AA" w:rsidRPr="00C42473">
        <w:t xml:space="preserve"> </w:t>
      </w:r>
      <w:r w:rsidR="00CE2FCC">
        <w:t xml:space="preserve">some </w:t>
      </w:r>
      <w:r w:rsidR="000C14AA" w:rsidRPr="00C42473">
        <w:t>comparator consis</w:t>
      </w:r>
      <w:r w:rsidRPr="00C42473">
        <w:t xml:space="preserve">tency between application 1569 </w:t>
      </w:r>
      <w:r w:rsidR="000C14AA" w:rsidRPr="00C42473">
        <w:t>and s</w:t>
      </w:r>
      <w:r w:rsidR="00A658C3">
        <w:t>imilar current application 1578</w:t>
      </w:r>
      <w:r w:rsidR="000C14AA" w:rsidRPr="00C42473">
        <w:t xml:space="preserve">. </w:t>
      </w:r>
    </w:p>
    <w:p w14:paraId="16D671C8" w14:textId="06C3886E" w:rsidR="00211AC1" w:rsidRPr="00C42473" w:rsidRDefault="00211AC1" w:rsidP="00211AC1">
      <w:pPr>
        <w:spacing w:after="240"/>
      </w:pPr>
      <w:r w:rsidRPr="00C42473">
        <w:t>PASC suggested the applicant could also include near-to-market comparators, if these exist. However, PASC acknowledged sufficient data may not be available.</w:t>
      </w:r>
    </w:p>
    <w:p w14:paraId="100B50FC" w14:textId="3B6454F1" w:rsidR="00885423" w:rsidRPr="00C42473" w:rsidRDefault="00885423" w:rsidP="00885423">
      <w:pPr>
        <w:spacing w:after="240"/>
      </w:pPr>
      <w:r w:rsidRPr="00C42473">
        <w:t xml:space="preserve">In relation to mosaicplasty, the applicant reiterated advice provided to PASC by the </w:t>
      </w:r>
      <w:r w:rsidR="00B0479C" w:rsidRPr="00C42473">
        <w:t xml:space="preserve">applicant’s nominated </w:t>
      </w:r>
      <w:r w:rsidRPr="00C42473">
        <w:t xml:space="preserve">clinical expert that </w:t>
      </w:r>
      <w:r w:rsidR="00211AC1" w:rsidRPr="00C42473">
        <w:rPr>
          <w:lang w:val="en-US"/>
        </w:rPr>
        <w:t xml:space="preserve">mosaicplasty is </w:t>
      </w:r>
      <w:r w:rsidRPr="00C42473">
        <w:rPr>
          <w:lang w:val="en-US"/>
        </w:rPr>
        <w:t>rarely used in Australia</w:t>
      </w:r>
      <w:r w:rsidR="00B0479C" w:rsidRPr="00C42473">
        <w:rPr>
          <w:lang w:val="en-US"/>
        </w:rPr>
        <w:t>,</w:t>
      </w:r>
      <w:r w:rsidRPr="00C42473">
        <w:rPr>
          <w:lang w:val="en-US"/>
        </w:rPr>
        <w:t xml:space="preserve"> because it is a technically difficult procedure to perform</w:t>
      </w:r>
      <w:r w:rsidR="00A658C3">
        <w:rPr>
          <w:lang w:val="en-US"/>
        </w:rPr>
        <w:t>. The applicant suggested</w:t>
      </w:r>
      <w:r w:rsidR="00211AC1" w:rsidRPr="00C42473">
        <w:rPr>
          <w:lang w:val="en-US"/>
        </w:rPr>
        <w:t xml:space="preserve"> </w:t>
      </w:r>
      <w:r w:rsidRPr="00C42473">
        <w:rPr>
          <w:lang w:val="en-US"/>
        </w:rPr>
        <w:t>mosaicplasty is not a suitable comparator for Population 2.</w:t>
      </w:r>
    </w:p>
    <w:p w14:paraId="52B86404" w14:textId="77777777" w:rsidR="000C14AA" w:rsidRPr="00C42473" w:rsidRDefault="000C14AA" w:rsidP="00D34F47">
      <w:pPr>
        <w:spacing w:after="240"/>
      </w:pPr>
      <w:r w:rsidRPr="00C42473">
        <w:rPr>
          <w:lang w:val="en-GB"/>
        </w:rPr>
        <w:t>PASC queried if earlier MSAC application 1140 (</w:t>
      </w:r>
      <w:r w:rsidRPr="00C42473">
        <w:t xml:space="preserve">Matrix-induced Autologous Chondrocyte Implantation [MACI] and Autologous Chondrocyte Implantation [ACI]), was relevant to application 1569 (and similar current application 1578). MSAC considered MACI and ACI in 2011 (as alternatives to mosaicplasty and microfracture), but did not support public funding for these interventions. </w:t>
      </w:r>
    </w:p>
    <w:p w14:paraId="761180D3" w14:textId="72E6CCF9" w:rsidR="009E4FB3" w:rsidRPr="000C14AA" w:rsidRDefault="000C14AA" w:rsidP="000C14AA">
      <w:pPr>
        <w:rPr>
          <w:lang w:val="en-GB"/>
        </w:rPr>
      </w:pPr>
      <w:r w:rsidRPr="00C42473">
        <w:t>Since the P</w:t>
      </w:r>
      <w:r w:rsidR="00A658C3">
        <w:t xml:space="preserve">ASC meeting, the Department </w:t>
      </w:r>
      <w:r w:rsidRPr="00C42473">
        <w:t>advised that, while MACI</w:t>
      </w:r>
      <w:r w:rsidR="000A6216" w:rsidRPr="00C42473">
        <w:t xml:space="preserve">, </w:t>
      </w:r>
      <w:r w:rsidRPr="00C42473">
        <w:t>ACI</w:t>
      </w:r>
      <w:r w:rsidR="000A6216" w:rsidRPr="00C42473">
        <w:t>, mosaicplasty, plus other scaffold products available in Australia</w:t>
      </w:r>
      <w:r w:rsidRPr="00C42473">
        <w:t xml:space="preserve"> are not comparators for the product in application 1569 (or the product in similar application 1578), the assessment reports for application 1569 (and similar application 1578) should clearly detail the evidence (or lack thereof) for these </w:t>
      </w:r>
      <w:r w:rsidR="00D63971">
        <w:t xml:space="preserve">and </w:t>
      </w:r>
      <w:r w:rsidRPr="00C42473">
        <w:t xml:space="preserve">newer interventions against </w:t>
      </w:r>
      <w:r w:rsidR="00185859">
        <w:t>the product in application 1569 (and similar product in application 1578)</w:t>
      </w:r>
      <w:r w:rsidRPr="00C42473">
        <w:t>. This is for completeness, and to ensure robust information is available if MSAC wants to consider it.</w:t>
      </w:r>
      <w:r w:rsidR="000A6216" w:rsidRPr="000A6216">
        <w:t xml:space="preserve"> </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811"/>
        <w:gridCol w:w="7200"/>
      </w:tblGrid>
      <w:tr w:rsidR="001C5FB1" w:rsidRPr="00DD456A" w14:paraId="39C6A165" w14:textId="77777777" w:rsidTr="001C5FB1">
        <w:tc>
          <w:tcPr>
            <w:tcW w:w="1005" w:type="pct"/>
            <w:tcBorders>
              <w:right w:val="single" w:sz="4" w:space="0" w:color="auto"/>
            </w:tcBorders>
          </w:tcPr>
          <w:p w14:paraId="157157FD" w14:textId="77777777" w:rsidR="001C5FB1" w:rsidRPr="00084393" w:rsidRDefault="001C5FB1" w:rsidP="001C5FB1">
            <w:pPr>
              <w:spacing w:before="20" w:after="20" w:line="240" w:lineRule="auto"/>
              <w:rPr>
                <w:rFonts w:cs="Arial"/>
              </w:rPr>
            </w:pPr>
            <w:r w:rsidRPr="00084393">
              <w:rPr>
                <w:rFonts w:cs="Arial"/>
              </w:rPr>
              <w:t>Comparator</w:t>
            </w:r>
          </w:p>
        </w:tc>
        <w:tc>
          <w:tcPr>
            <w:tcW w:w="3995" w:type="pct"/>
            <w:tcBorders>
              <w:top w:val="single" w:sz="4" w:space="0" w:color="auto"/>
              <w:left w:val="single" w:sz="4" w:space="0" w:color="auto"/>
              <w:bottom w:val="single" w:sz="4" w:space="0" w:color="auto"/>
              <w:right w:val="single" w:sz="4" w:space="0" w:color="auto"/>
            </w:tcBorders>
          </w:tcPr>
          <w:p w14:paraId="38494BB8" w14:textId="6129B7C5" w:rsidR="001C5FB1" w:rsidRDefault="001C5FB1" w:rsidP="001C5FB1">
            <w:r>
              <w:t>Population 1: Microfracture alone</w:t>
            </w:r>
            <w:r w:rsidR="005E53E0">
              <w:t>,</w:t>
            </w:r>
            <w:r>
              <w:t xml:space="preserve"> in conjunction with standard of care</w:t>
            </w:r>
          </w:p>
          <w:p w14:paraId="6EEA9E45" w14:textId="0938CCA1" w:rsidR="001C5FB1" w:rsidRPr="00DD456A" w:rsidRDefault="001C5FB1" w:rsidP="001C5FB1">
            <w:r>
              <w:t>Population 2: Microfracture alone</w:t>
            </w:r>
            <w:r w:rsidR="005E53E0">
              <w:t>,</w:t>
            </w:r>
            <w:r>
              <w:t xml:space="preserve"> in conjunction with standard of care</w:t>
            </w:r>
          </w:p>
        </w:tc>
      </w:tr>
    </w:tbl>
    <w:p w14:paraId="142A81ED" w14:textId="77777777" w:rsidR="001C5FB1" w:rsidRPr="00211AC1" w:rsidRDefault="001C5FB1" w:rsidP="002C2B49">
      <w:pPr>
        <w:spacing w:after="0"/>
        <w:rPr>
          <w:sz w:val="18"/>
          <w:szCs w:val="18"/>
        </w:rPr>
      </w:pPr>
    </w:p>
    <w:p w14:paraId="3DC71998" w14:textId="060ECC4C" w:rsidR="001C5FB1" w:rsidRDefault="001C5FB1" w:rsidP="001C5FB1">
      <w:r>
        <w:t>Currently</w:t>
      </w:r>
      <w:r w:rsidR="00855909">
        <w:t>,</w:t>
      </w:r>
      <w:r>
        <w:t xml:space="preserve"> patients with focal cartilage defec</w:t>
      </w:r>
      <w:r w:rsidR="00E8649A">
        <w:t>ts are treated according to size of their lesion.</w:t>
      </w:r>
      <w:r>
        <w:t xml:space="preserve"> Those with small lesion</w:t>
      </w:r>
      <w:r w:rsidR="00E8649A">
        <w:t xml:space="preserve">s undergo microfracture alone. </w:t>
      </w:r>
      <w:r>
        <w:t>The procedure is identical to that describe</w:t>
      </w:r>
      <w:r w:rsidR="00E8649A">
        <w:t>d</w:t>
      </w:r>
      <w:r>
        <w:t xml:space="preserve"> above, except there is no </w:t>
      </w:r>
      <w:r w:rsidR="00E8649A">
        <w:t>use</w:t>
      </w:r>
      <w:r>
        <w:t xml:space="preserve"> of chitosan-based cartilage biomatrix, therefore microfracture alone is considered the appropriate comparator for this patient population </w:t>
      </w:r>
      <w:r w:rsidR="002838D8">
        <w:t>(</w:t>
      </w:r>
      <w:r>
        <w:t>with lesion &lt; 2 cm</w:t>
      </w:r>
      <w:r>
        <w:rPr>
          <w:vertAlign w:val="superscript"/>
        </w:rPr>
        <w:t>2</w:t>
      </w:r>
      <w:r w:rsidR="002838D8">
        <w:t>).</w:t>
      </w:r>
    </w:p>
    <w:p w14:paraId="1A2DB469" w14:textId="5F255A69" w:rsidR="001C5FB1" w:rsidRDefault="001C5FB1" w:rsidP="001C5FB1">
      <w:pPr>
        <w:rPr>
          <w:lang w:val="en-US"/>
        </w:rPr>
      </w:pPr>
      <w:r w:rsidRPr="00C42473">
        <w:t xml:space="preserve">In lesions </w:t>
      </w:r>
      <w:r w:rsidR="00855909" w:rsidRPr="00C42473">
        <w:t>&gt;</w:t>
      </w:r>
      <w:r w:rsidRPr="00C42473">
        <w:t>2 cm</w:t>
      </w:r>
      <w:r w:rsidRPr="00C42473">
        <w:rPr>
          <w:vertAlign w:val="superscript"/>
        </w:rPr>
        <w:t>2</w:t>
      </w:r>
      <w:r w:rsidRPr="00C42473">
        <w:t>,</w:t>
      </w:r>
      <w:r>
        <w:t xml:space="preserve"> the treatmen</w:t>
      </w:r>
      <w:r w:rsidR="002838D8">
        <w:t xml:space="preserve">t is based on </w:t>
      </w:r>
      <w:r>
        <w:t xml:space="preserve">status of the subchondral endplate. In lesions </w:t>
      </w:r>
      <w:r w:rsidRPr="00383C0E">
        <w:rPr>
          <w:lang w:val="en-US"/>
        </w:rPr>
        <w:t>with intact endplate, microfracture, ACI and mosaicplasty are potential treatment options</w:t>
      </w:r>
      <w:r>
        <w:rPr>
          <w:lang w:val="en-US"/>
        </w:rPr>
        <w:t xml:space="preserve"> (see </w:t>
      </w:r>
      <w:r>
        <w:rPr>
          <w:lang w:val="en-US"/>
        </w:rPr>
        <w:fldChar w:fldCharType="begin"/>
      </w:r>
      <w:r>
        <w:rPr>
          <w:lang w:val="en-US"/>
        </w:rPr>
        <w:instrText xml:space="preserve"> REF _Ref4141305 \h </w:instrText>
      </w:r>
      <w:r>
        <w:rPr>
          <w:lang w:val="en-US"/>
        </w:rPr>
      </w:r>
      <w:r>
        <w:rPr>
          <w:lang w:val="en-US"/>
        </w:rPr>
        <w:fldChar w:fldCharType="separate"/>
      </w:r>
      <w:r w:rsidR="000649E7">
        <w:t xml:space="preserve">Figure </w:t>
      </w:r>
      <w:r w:rsidR="000649E7">
        <w:rPr>
          <w:noProof/>
        </w:rPr>
        <w:t>4</w:t>
      </w:r>
      <w:r>
        <w:rPr>
          <w:lang w:val="en-US"/>
        </w:rPr>
        <w:fldChar w:fldCharType="end"/>
      </w:r>
      <w:r>
        <w:rPr>
          <w:lang w:val="en-US"/>
        </w:rPr>
        <w:t>)</w:t>
      </w:r>
      <w:r w:rsidR="0032249E">
        <w:rPr>
          <w:lang w:val="en-US"/>
        </w:rPr>
        <w:t xml:space="preserve">. However, mosaicplasty is </w:t>
      </w:r>
      <w:r w:rsidRPr="00383C0E">
        <w:rPr>
          <w:lang w:val="en-US"/>
        </w:rPr>
        <w:t>rarely used in Australia</w:t>
      </w:r>
      <w:r w:rsidR="002838D8">
        <w:rPr>
          <w:lang w:val="en-US"/>
        </w:rPr>
        <w:t>,</w:t>
      </w:r>
      <w:r w:rsidRPr="00383C0E">
        <w:rPr>
          <w:lang w:val="en-US"/>
        </w:rPr>
        <w:t xml:space="preserve"> because </w:t>
      </w:r>
      <w:r>
        <w:rPr>
          <w:lang w:val="en-US"/>
        </w:rPr>
        <w:t xml:space="preserve">it </w:t>
      </w:r>
      <w:r w:rsidRPr="00383C0E">
        <w:rPr>
          <w:lang w:val="en-US"/>
        </w:rPr>
        <w:t>is a technically difficult procedure to perform. ACI is rarely used in the private setting</w:t>
      </w:r>
      <w:r w:rsidR="002838D8">
        <w:rPr>
          <w:lang w:val="en-US"/>
        </w:rPr>
        <w:t>,</w:t>
      </w:r>
      <w:r w:rsidR="0032249E">
        <w:rPr>
          <w:lang w:val="en-US"/>
        </w:rPr>
        <w:t xml:space="preserve"> due to the absence </w:t>
      </w:r>
      <w:r w:rsidRPr="00383C0E">
        <w:rPr>
          <w:lang w:val="en-US"/>
        </w:rPr>
        <w:t>of MBS</w:t>
      </w:r>
      <w:r>
        <w:rPr>
          <w:lang w:val="en-US"/>
        </w:rPr>
        <w:t xml:space="preserve"> funding</w:t>
      </w:r>
      <w:r w:rsidRPr="00383C0E">
        <w:rPr>
          <w:lang w:val="en-US"/>
        </w:rPr>
        <w:t>.</w:t>
      </w:r>
      <w:r w:rsidR="002838D8">
        <w:rPr>
          <w:lang w:val="en-US"/>
        </w:rPr>
        <w:t xml:space="preserve"> </w:t>
      </w:r>
      <w:r>
        <w:rPr>
          <w:lang w:val="en-US"/>
        </w:rPr>
        <w:t>Therefore, m</w:t>
      </w:r>
      <w:r w:rsidRPr="00383C0E">
        <w:rPr>
          <w:lang w:val="en-US"/>
        </w:rPr>
        <w:t>icrofracture alone</w:t>
      </w:r>
      <w:r>
        <w:rPr>
          <w:lang w:val="en-US"/>
        </w:rPr>
        <w:t>,</w:t>
      </w:r>
      <w:r w:rsidRPr="00383C0E">
        <w:rPr>
          <w:lang w:val="en-US"/>
        </w:rPr>
        <w:t xml:space="preserve"> </w:t>
      </w:r>
      <w:r>
        <w:rPr>
          <w:lang w:val="en-US"/>
        </w:rPr>
        <w:t>which is a treatment option for patients with lesions</w:t>
      </w:r>
      <w:r w:rsidRPr="00383C0E">
        <w:rPr>
          <w:lang w:val="en-US"/>
        </w:rPr>
        <w:t xml:space="preserve"> </w:t>
      </w:r>
      <w:r w:rsidR="00855909">
        <w:rPr>
          <w:lang w:val="en-US"/>
        </w:rPr>
        <w:t>&gt;</w:t>
      </w:r>
      <w:r w:rsidRPr="00383C0E">
        <w:rPr>
          <w:lang w:val="en-US"/>
        </w:rPr>
        <w:t xml:space="preserve"> 2 cm</w:t>
      </w:r>
      <w:r w:rsidRPr="003A2C6F">
        <w:rPr>
          <w:vertAlign w:val="superscript"/>
          <w:lang w:val="en-US"/>
        </w:rPr>
        <w:t>2</w:t>
      </w:r>
      <w:r w:rsidRPr="003A2C6F">
        <w:rPr>
          <w:lang w:val="en-US"/>
        </w:rPr>
        <w:t>,</w:t>
      </w:r>
      <w:r>
        <w:rPr>
          <w:lang w:val="en-US"/>
        </w:rPr>
        <w:t xml:space="preserve"> is considered the main comparator.</w:t>
      </w:r>
    </w:p>
    <w:p w14:paraId="666EF1F7" w14:textId="4624891E" w:rsidR="001C5FB1" w:rsidRDefault="007020A1" w:rsidP="001C5FB1">
      <w:r>
        <w:t>The a</w:t>
      </w:r>
      <w:r w:rsidR="00855909">
        <w:t>pplicant advised that, i</w:t>
      </w:r>
      <w:r w:rsidR="001C5FB1">
        <w:t>f left untreated</w:t>
      </w:r>
      <w:r w:rsidR="00587530">
        <w:t>,</w:t>
      </w:r>
      <w:r w:rsidR="001C5FB1">
        <w:t xml:space="preserve"> cartilage injuries can become degenerative and lead to premature early arthritis</w:t>
      </w:r>
      <w:r w:rsidR="0032249E">
        <w:t xml:space="preserve">, affecting </w:t>
      </w:r>
      <w:r w:rsidR="00855909">
        <w:t xml:space="preserve">activities of daily living. </w:t>
      </w:r>
      <w:r w:rsidR="001A3B3D">
        <w:t xml:space="preserve">PASC noted that, </w:t>
      </w:r>
      <w:r w:rsidR="00587530">
        <w:t xml:space="preserve">in the present case, </w:t>
      </w:r>
      <w:r w:rsidR="001C5FB1">
        <w:t>being left untreated (or ‘watchful waiting’) is not the comparator.</w:t>
      </w:r>
    </w:p>
    <w:p w14:paraId="4945780E" w14:textId="77777777" w:rsidR="001C5FB1" w:rsidRDefault="001C5FB1" w:rsidP="00CE2FCC">
      <w:pPr>
        <w:spacing w:after="120"/>
        <w:rPr>
          <w:i/>
          <w:u w:val="single"/>
        </w:rPr>
      </w:pPr>
      <w:r>
        <w:rPr>
          <w:i/>
          <w:u w:val="single"/>
        </w:rPr>
        <w:t>Rationale</w:t>
      </w:r>
    </w:p>
    <w:p w14:paraId="091B9D70" w14:textId="78A0796E" w:rsidR="001C5FB1" w:rsidRDefault="001C5FB1" w:rsidP="001C5FB1">
      <w:r>
        <w:t xml:space="preserve">The current treatment pathway is highlighted in </w:t>
      </w:r>
      <w:r>
        <w:fldChar w:fldCharType="begin"/>
      </w:r>
      <w:r>
        <w:instrText xml:space="preserve"> REF _Ref4141305 \h </w:instrText>
      </w:r>
      <w:r>
        <w:fldChar w:fldCharType="separate"/>
      </w:r>
      <w:r w:rsidR="000649E7">
        <w:t xml:space="preserve">Figure </w:t>
      </w:r>
      <w:r w:rsidR="000649E7">
        <w:rPr>
          <w:noProof/>
        </w:rPr>
        <w:t>4</w:t>
      </w:r>
      <w:r>
        <w:fldChar w:fldCharType="end"/>
      </w:r>
      <w:r>
        <w:t>. Advice provided to the applicant by the MSAC’s clinical adviser suggested that while ACI is funded in the public setting, it is rarely performed.  Microfracture is routinely performed in both public and private settings and is funded (see above).</w:t>
      </w:r>
    </w:p>
    <w:p w14:paraId="02F6EE75" w14:textId="77777777" w:rsidR="00495C7D" w:rsidRDefault="001C5FB1" w:rsidP="001C5FB1">
      <w:r w:rsidRPr="00527157">
        <w:t xml:space="preserve">ACI is a technique that involves the cultivation of chondrocytes in-vitro, </w:t>
      </w:r>
      <w:r>
        <w:t>using</w:t>
      </w:r>
      <w:r w:rsidRPr="00527157">
        <w:t xml:space="preserve"> a two-stage operative approach</w:t>
      </w:r>
      <w:r>
        <w:t xml:space="preserve">, that is, patients require two separate episodes of hospital admission and surgical intervention, which occurs over a period of </w:t>
      </w:r>
      <w:r w:rsidRPr="00527157">
        <w:t>8-12 weeks</w:t>
      </w:r>
      <w:r>
        <w:t xml:space="preserve">. </w:t>
      </w:r>
      <w:r w:rsidRPr="00527157">
        <w:t>The objective of the procedure is to replace damaged cartilage with hyali</w:t>
      </w:r>
      <w:r w:rsidR="00495C7D">
        <w:t>ne cartilage. MACI, an alternative</w:t>
      </w:r>
      <w:r w:rsidRPr="00527157">
        <w:t xml:space="preserve"> to ACI, has been removed from the market in Australia and is not considered further here. </w:t>
      </w:r>
    </w:p>
    <w:p w14:paraId="76B17086" w14:textId="77777777" w:rsidR="00580EC8" w:rsidRDefault="001C5FB1" w:rsidP="001C5FB1">
      <w:r>
        <w:t>Osteochondral autograft transfer (</w:t>
      </w:r>
      <w:r w:rsidRPr="00527157">
        <w:t>OAT</w:t>
      </w:r>
      <w:r>
        <w:t>)</w:t>
      </w:r>
      <w:r w:rsidRPr="00527157">
        <w:t>, more commonly referred to as mosaicplasty, is used in focal defects (ineffective in degenerative defects) and is optimal in young patients with medium-sized lesion (2.5-4 cm</w:t>
      </w:r>
      <w:r w:rsidRPr="00527157">
        <w:rPr>
          <w:vertAlign w:val="superscript"/>
        </w:rPr>
        <w:t>2</w:t>
      </w:r>
      <w:r w:rsidRPr="00527157">
        <w:t xml:space="preserve">) </w:t>
      </w:r>
      <w:r>
        <w:fldChar w:fldCharType="begin"/>
      </w:r>
      <w:r>
        <w:instrText xml:space="preserve"> ADDIN EN.CITE &lt;EndNote&gt;&lt;Cite&gt;&lt;Author&gt;Falah&lt;/Author&gt;&lt;Year&gt;2010&lt;/Year&gt;&lt;RecNum&gt;11718&lt;/RecNum&gt;&lt;DisplayText&gt;[18]&lt;/DisplayText&gt;&lt;record&gt;&lt;rec-number&gt;11718&lt;/rec-number&gt;&lt;foreign-keys&gt;&lt;key app="EN" db-id="e5fswt02npwd52esazb5pr54wz9epasvpvef" timestamp="1551679940"&gt;11718&lt;/key&gt;&lt;/foreign-keys&gt;&lt;ref-type name="Journal Article"&gt;17&lt;/ref-type&gt;&lt;contributors&gt;&lt;authors&gt;&lt;author&gt;Falah, M.&lt;/author&gt;&lt;author&gt;Nierenberg, G.&lt;/author&gt;&lt;author&gt;Soudry, M.&lt;/author&gt;&lt;author&gt;Hayden, M.&lt;/author&gt;&lt;author&gt;Volpin, G.&lt;/author&gt;&lt;/authors&gt;&lt;/contributors&gt;&lt;auth-address&gt;Department of Orthopedic Surgery, Rambam Health Care Campus, Haifa, Israel.&lt;/auth-address&gt;&lt;titles&gt;&lt;title&gt;Treatment of articular cartilage lesions of the knee&lt;/title&gt;&lt;secondary-title&gt;Int Orthop&lt;/secondary-title&gt;&lt;/titles&gt;&lt;periodical&gt;&lt;full-title&gt;Int Orthop&lt;/full-title&gt;&lt;/periodical&gt;&lt;pages&gt;621-30&lt;/pages&gt;&lt;volume&gt;34&lt;/volume&gt;&lt;number&gt;5&lt;/number&gt;&lt;edition&gt;2010/02/18&lt;/edition&gt;&lt;keywords&gt;&lt;keyword&gt;Cartilage Diseases/etiology/pathology/*therapy&lt;/keyword&gt;&lt;keyword&gt;Cartilage, Articular/injuries/*pathology&lt;/keyword&gt;&lt;keyword&gt;Disease Progression&lt;/keyword&gt;&lt;keyword&gt;Humans&lt;/keyword&gt;&lt;keyword&gt;Knee Injuries/etiology/pathology/*therapy&lt;/keyword&gt;&lt;keyword&gt;Knee Joint/diagnostic imaging/*pathology/physiopathology&lt;/keyword&gt;&lt;keyword&gt;Orthopedics/*methods&lt;/keyword&gt;&lt;keyword&gt;Osteoarthritis, Knee/etiology&lt;/keyword&gt;&lt;keyword&gt;Postoperative Complications&lt;/keyword&gt;&lt;keyword&gt;Radiography&lt;/keyword&gt;&lt;keyword&gt;Recovery of Function&lt;/keyword&gt;&lt;/keywords&gt;&lt;dates&gt;&lt;year&gt;2010&lt;/year&gt;&lt;pub-dates&gt;&lt;date&gt;Jun&lt;/date&gt;&lt;/pub-dates&gt;&lt;/dates&gt;&lt;isbn&gt;1432-5195 (Electronic)&amp;#xD;0341-2695 (Linking)&lt;/isbn&gt;&lt;accession-num&gt;20162416&lt;/accession-num&gt;&lt;urls&gt;&lt;related-urls&gt;&lt;url&gt;https://www.ncbi.nlm.nih.gov/pubmed/20162416&lt;/url&gt;&lt;url&gt;https://www.ncbi.nlm.nih.gov/pmc/articles/PMC2903160/pdf/264_2010_Article_959.pdf&lt;/url&gt;&lt;/related-urls&gt;&lt;/urls&gt;&lt;custom2&gt;PMC2903160&lt;/custom2&gt;&lt;electronic-resource-num&gt;10.1007/s00264-010-0959-y&lt;/electronic-resource-num&gt;&lt;/record&gt;&lt;/Cite&gt;&lt;/EndNote&gt;</w:instrText>
      </w:r>
      <w:r>
        <w:fldChar w:fldCharType="separate"/>
      </w:r>
      <w:r>
        <w:rPr>
          <w:noProof/>
        </w:rPr>
        <w:t>[18]</w:t>
      </w:r>
      <w:r>
        <w:fldChar w:fldCharType="end"/>
      </w:r>
      <w:r w:rsidRPr="00527157">
        <w:t>. In this tech</w:t>
      </w:r>
      <w:r w:rsidR="00580EC8">
        <w:t>nically-</w:t>
      </w:r>
      <w:r w:rsidRPr="00527157">
        <w:t>de</w:t>
      </w:r>
      <w:r w:rsidR="00495C7D">
        <w:t xml:space="preserve">manding procedure, craters </w:t>
      </w:r>
      <w:r w:rsidR="00580EC8">
        <w:t>(</w:t>
      </w:r>
      <w:r w:rsidR="00495C7D">
        <w:t>that are bored</w:t>
      </w:r>
      <w:r w:rsidR="00580EC8">
        <w:t xml:space="preserve"> into </w:t>
      </w:r>
      <w:r w:rsidRPr="00527157">
        <w:t>cartilage and bone of the damaged area</w:t>
      </w:r>
      <w:r w:rsidR="00580EC8">
        <w:t>)</w:t>
      </w:r>
      <w:r w:rsidRPr="00527157">
        <w:t xml:space="preserve"> are filled with cartilage and bone plugs removed from healthy, non-weight</w:t>
      </w:r>
      <w:r w:rsidR="00580EC8">
        <w:t>-</w:t>
      </w:r>
      <w:r w:rsidRPr="00527157">
        <w:t xml:space="preserve">bearing areas of the joint </w:t>
      </w:r>
      <w:r>
        <w:fldChar w:fldCharType="begin"/>
      </w:r>
      <w:r>
        <w:instrText xml:space="preserve"> ADDIN EN.CITE &lt;EndNote&gt;&lt;Cite&gt;&lt;Author&gt;Ozturk&lt;/Author&gt;&lt;Year&gt;2006&lt;/Year&gt;&lt;RecNum&gt;11719&lt;/RecNum&gt;&lt;DisplayText&gt;[2]&lt;/DisplayText&gt;&lt;record&gt;&lt;rec-number&gt;11719&lt;/rec-number&gt;&lt;foreign-keys&gt;&lt;key app="EN" db-id="e5fswt02npwd52esazb5pr54wz9epasvpvef" timestamp="1551680007"&gt;11719&lt;/key&gt;&lt;/foreign-keys&gt;&lt;ref-type name="Journal Article"&gt;17&lt;/ref-type&gt;&lt;contributors&gt;&lt;authors&gt;&lt;author&gt;Ozturk, A.&lt;/author&gt;&lt;author&gt;Ozdemir, M. R.&lt;/author&gt;&lt;author&gt;Ozkan, Y.&lt;/author&gt;&lt;/authors&gt;&lt;/contributors&gt;&lt;auth-address&gt;Clinic of Orthopaedics and Traumatology Bursa High Speciality, Research and Education Hospital, Yildirim, Bursa, Turkey. ozturkalp@mynet.com&lt;/auth-address&gt;&lt;titles&gt;&lt;title&gt;Osteochondral autografting (mosaicplasty) in grade IV cartilage defects in the knee joint: 2- to 7-year results&lt;/title&gt;&lt;secondary-title&gt;Int Orthop&lt;/secondary-title&gt;&lt;/titles&gt;&lt;periodical&gt;&lt;full-title&gt;Int Orthop&lt;/full-title&gt;&lt;/periodical&gt;&lt;pages&gt;200-4&lt;/pages&gt;&lt;volume&gt;30&lt;/volume&gt;&lt;number&gt;3&lt;/number&gt;&lt;edition&gt;2006/03/09&lt;/edition&gt;&lt;keywords&gt;&lt;keyword&gt;Adult&lt;/keyword&gt;&lt;keyword&gt;Bone Transplantation/*methods&lt;/keyword&gt;&lt;keyword&gt;Cartilage/*pathology&lt;/keyword&gt;&lt;keyword&gt;Cartilage Diseases/*therapy&lt;/keyword&gt;&lt;keyword&gt;Female&lt;/keyword&gt;&lt;keyword&gt;Femur/pathology&lt;/keyword&gt;&lt;keyword&gt;Follow-Up Studies&lt;/keyword&gt;&lt;keyword&gt;Humans&lt;/keyword&gt;&lt;keyword&gt;Knee Joint/pathology&lt;/keyword&gt;&lt;keyword&gt;Magnetic Resonance Imaging/methods&lt;/keyword&gt;&lt;keyword&gt;Male&lt;/keyword&gt;&lt;keyword&gt;Middle Aged&lt;/keyword&gt;&lt;keyword&gt;Orthopedic Procedures/methods&lt;/keyword&gt;&lt;keyword&gt;Time Factors&lt;/keyword&gt;&lt;keyword&gt;Transplantation, Autologous&lt;/keyword&gt;&lt;keyword&gt;Treatment Outcome&lt;/keyword&gt;&lt;/keywords&gt;&lt;dates&gt;&lt;year&gt;2006&lt;/year&gt;&lt;pub-dates&gt;&lt;date&gt;Jun&lt;/date&gt;&lt;/pub-dates&gt;&lt;/dates&gt;&lt;isbn&gt;0341-2695 (Print)&amp;#xD;0341-2695 (Linking)&lt;/isbn&gt;&lt;accession-num&gt;16523335&lt;/accession-num&gt;&lt;urls&gt;&lt;related-urls&gt;&lt;url&gt;https://www.ncbi.nlm.nih.gov/pubmed/16523335&lt;/url&gt;&lt;url&gt;https://www.ncbi.nlm.nih.gov/pmc/articles/PMC2532091/pdf/264_2005_Article_68.pdf&lt;/url&gt;&lt;/related-urls&gt;&lt;/urls&gt;&lt;custom2&gt;PMC2532091&lt;/custom2&gt;&lt;electronic-resource-num&gt;10.1007/s00264-005-0068-5&lt;/electronic-resource-num&gt;&lt;/record&gt;&lt;/Cite&gt;&lt;/EndNote&gt;</w:instrText>
      </w:r>
      <w:r>
        <w:fldChar w:fldCharType="separate"/>
      </w:r>
      <w:r>
        <w:rPr>
          <w:noProof/>
        </w:rPr>
        <w:t>[2]</w:t>
      </w:r>
      <w:r>
        <w:fldChar w:fldCharType="end"/>
      </w:r>
      <w:r w:rsidRPr="00527157">
        <w:t>.</w:t>
      </w:r>
      <w:r w:rsidR="00580EC8">
        <w:t xml:space="preserve"> </w:t>
      </w:r>
      <w:r>
        <w:t>Mosaicplast</w:t>
      </w:r>
      <w:r w:rsidR="00127195">
        <w:t xml:space="preserve">y is rarely used in Australia. </w:t>
      </w:r>
    </w:p>
    <w:p w14:paraId="037377D4" w14:textId="57D2DE08" w:rsidR="001C5FB1" w:rsidRDefault="001C5FB1" w:rsidP="001C5FB1">
      <w:r w:rsidRPr="000E00D0">
        <w:t>Microfracture procedures are currently funded in Austr</w:t>
      </w:r>
      <w:r w:rsidR="00580EC8">
        <w:t>alia under a number of MBS items</w:t>
      </w:r>
      <w:r w:rsidRPr="000E00D0">
        <w:t xml:space="preserve">, including </w:t>
      </w:r>
      <w:r w:rsidR="00580EC8">
        <w:t xml:space="preserve">item </w:t>
      </w:r>
      <w:r w:rsidRPr="000E00D0">
        <w:t>49561 (see</w:t>
      </w:r>
      <w:r>
        <w:t xml:space="preserve"> </w:t>
      </w:r>
      <w:r>
        <w:fldChar w:fldCharType="begin"/>
      </w:r>
      <w:r>
        <w:instrText xml:space="preserve"> REF _Ref4410689 \h </w:instrText>
      </w:r>
      <w:r>
        <w:fldChar w:fldCharType="separate"/>
      </w:r>
      <w:r w:rsidR="000649E7" w:rsidRPr="000E00D0">
        <w:t xml:space="preserve">Table </w:t>
      </w:r>
      <w:r w:rsidR="000649E7">
        <w:rPr>
          <w:noProof/>
        </w:rPr>
        <w:t>3</w:t>
      </w:r>
      <w:r>
        <w:fldChar w:fldCharType="end"/>
      </w:r>
      <w:r w:rsidR="00580EC8">
        <w:t>). Ho</w:t>
      </w:r>
      <w:r w:rsidRPr="000E00D0">
        <w:t>wever, it is not clear what proportion of the various MBS items is direc</w:t>
      </w:r>
      <w:r w:rsidR="00127195">
        <w:t xml:space="preserve">tly relevant to microfracture. </w:t>
      </w:r>
      <w:r w:rsidRPr="000E00D0">
        <w:t>It is n</w:t>
      </w:r>
      <w:r w:rsidR="00580EC8">
        <w:t xml:space="preserve">oted that </w:t>
      </w:r>
      <w:r w:rsidR="00BB5EA2">
        <w:t xml:space="preserve">SOCAG/PLAC specified </w:t>
      </w:r>
      <w:r w:rsidR="00580EC8">
        <w:t xml:space="preserve">the application </w:t>
      </w:r>
      <w:r w:rsidR="00BB5EA2">
        <w:t xml:space="preserve">should </w:t>
      </w:r>
      <w:r w:rsidR="00580EC8">
        <w:t xml:space="preserve">focus on </w:t>
      </w:r>
      <w:r w:rsidRPr="000E00D0">
        <w:t>repair of focal cartila</w:t>
      </w:r>
      <w:r w:rsidR="00BB5EA2">
        <w:t xml:space="preserve">ge defects of the knee, and </w:t>
      </w:r>
      <w:r w:rsidRPr="000E00D0">
        <w:t>MBS item 49561.</w:t>
      </w:r>
      <w:r w:rsidR="00127195">
        <w:t xml:space="preserve"> </w:t>
      </w:r>
      <w:r>
        <w:t>The MBS item</w:t>
      </w:r>
      <w:r w:rsidR="00BB5EA2">
        <w:t>s</w:t>
      </w:r>
      <w:r>
        <w:t xml:space="preserve"> associated with </w:t>
      </w:r>
      <w:r w:rsidR="00BB5EA2">
        <w:t xml:space="preserve">the </w:t>
      </w:r>
      <w:r>
        <w:t xml:space="preserve">comparators are listed in </w:t>
      </w:r>
      <w:r>
        <w:fldChar w:fldCharType="begin"/>
      </w:r>
      <w:r>
        <w:instrText xml:space="preserve"> REF _Ref4410689 \h </w:instrText>
      </w:r>
      <w:r>
        <w:fldChar w:fldCharType="separate"/>
      </w:r>
      <w:r w:rsidR="000649E7" w:rsidRPr="000E00D0">
        <w:t xml:space="preserve">Table </w:t>
      </w:r>
      <w:r w:rsidR="000649E7">
        <w:rPr>
          <w:noProof/>
        </w:rPr>
        <w:t>3</w:t>
      </w:r>
      <w:r>
        <w:fldChar w:fldCharType="end"/>
      </w:r>
      <w:r>
        <w:t>.</w:t>
      </w:r>
    </w:p>
    <w:p w14:paraId="7FC8C4F2" w14:textId="27EF218B" w:rsidR="001C5FB1" w:rsidRDefault="001C5FB1" w:rsidP="001C5FB1">
      <w:pPr>
        <w:pStyle w:val="Caption"/>
      </w:pPr>
      <w:bookmarkStart w:id="7" w:name="_Ref4410689"/>
      <w:bookmarkStart w:id="8" w:name="_Ref4410678"/>
      <w:r w:rsidRPr="000E00D0">
        <w:t xml:space="preserve">Table </w:t>
      </w:r>
      <w:r w:rsidRPr="000E00D0">
        <w:fldChar w:fldCharType="begin"/>
      </w:r>
      <w:r w:rsidRPr="000E00D0">
        <w:instrText xml:space="preserve"> SEQ Table \* ARABIC </w:instrText>
      </w:r>
      <w:r w:rsidRPr="000E00D0">
        <w:fldChar w:fldCharType="separate"/>
      </w:r>
      <w:r w:rsidR="000649E7">
        <w:rPr>
          <w:noProof/>
        </w:rPr>
        <w:t>3</w:t>
      </w:r>
      <w:r w:rsidRPr="000E00D0">
        <w:fldChar w:fldCharType="end"/>
      </w:r>
      <w:bookmarkEnd w:id="7"/>
      <w:r w:rsidRPr="000E00D0">
        <w:tab/>
        <w:t>MBS item</w:t>
      </w:r>
      <w:r w:rsidR="004016D8">
        <w:t>s</w:t>
      </w:r>
      <w:r w:rsidRPr="000E00D0">
        <w:t xml:space="preserve"> relating to </w:t>
      </w:r>
      <w:r>
        <w:t>potential comparators for MF+CBI</w:t>
      </w:r>
      <w:bookmarkEnd w:id="8"/>
    </w:p>
    <w:tbl>
      <w:tblPr>
        <w:tblStyle w:val="TableGrid"/>
        <w:tblpPr w:leftFromText="180" w:rightFromText="180" w:vertAnchor="text" w:tblpX="421" w:tblpY="1"/>
        <w:tblOverlap w:val="never"/>
        <w:tblW w:w="8930" w:type="dxa"/>
        <w:tblLook w:val="04A0" w:firstRow="1" w:lastRow="0" w:firstColumn="1" w:lastColumn="0" w:noHBand="0" w:noVBand="1"/>
        <w:tblCaption w:val="Table 3"/>
        <w:tblDescription w:val="MBS items"/>
      </w:tblPr>
      <w:tblGrid>
        <w:gridCol w:w="1379"/>
        <w:gridCol w:w="5168"/>
        <w:gridCol w:w="1005"/>
        <w:gridCol w:w="1378"/>
      </w:tblGrid>
      <w:tr w:rsidR="001C5FB1" w:rsidRPr="000E00D0" w14:paraId="73FDDE21" w14:textId="77777777" w:rsidTr="00B0479C">
        <w:trPr>
          <w:trHeight w:val="983"/>
          <w:tblHeader/>
        </w:trPr>
        <w:tc>
          <w:tcPr>
            <w:tcW w:w="1271" w:type="dxa"/>
          </w:tcPr>
          <w:p w14:paraId="54387C50" w14:textId="77777777" w:rsidR="001C5FB1" w:rsidRPr="000E00D0" w:rsidRDefault="001C5FB1" w:rsidP="001A3B3D">
            <w:pPr>
              <w:spacing w:after="200" w:line="276" w:lineRule="auto"/>
              <w:rPr>
                <w:b/>
              </w:rPr>
            </w:pPr>
            <w:r w:rsidRPr="000E00D0">
              <w:rPr>
                <w:b/>
              </w:rPr>
              <w:t>MBS item #</w:t>
            </w:r>
          </w:p>
        </w:tc>
        <w:tc>
          <w:tcPr>
            <w:tcW w:w="5263" w:type="dxa"/>
          </w:tcPr>
          <w:p w14:paraId="1605E168" w14:textId="77777777" w:rsidR="001C5FB1" w:rsidRPr="000E00D0" w:rsidRDefault="001C5FB1" w:rsidP="001A3B3D">
            <w:pPr>
              <w:spacing w:after="200" w:line="276" w:lineRule="auto"/>
              <w:rPr>
                <w:b/>
              </w:rPr>
            </w:pPr>
            <w:r w:rsidRPr="000E00D0">
              <w:rPr>
                <w:b/>
              </w:rPr>
              <w:t>Descriptor</w:t>
            </w:r>
          </w:p>
        </w:tc>
        <w:tc>
          <w:tcPr>
            <w:tcW w:w="1007" w:type="dxa"/>
          </w:tcPr>
          <w:p w14:paraId="7AA50C2C" w14:textId="77777777" w:rsidR="001C5FB1" w:rsidRPr="000E00D0" w:rsidRDefault="001C5FB1" w:rsidP="001A3B3D">
            <w:pPr>
              <w:spacing w:after="200" w:line="276" w:lineRule="auto"/>
              <w:rPr>
                <w:b/>
              </w:rPr>
            </w:pPr>
            <w:r w:rsidRPr="000E00D0">
              <w:rPr>
                <w:b/>
              </w:rPr>
              <w:t>Fee</w:t>
            </w:r>
          </w:p>
        </w:tc>
        <w:tc>
          <w:tcPr>
            <w:tcW w:w="1389" w:type="dxa"/>
          </w:tcPr>
          <w:p w14:paraId="28D0F96F" w14:textId="3FC6ED47" w:rsidR="001C5FB1" w:rsidRPr="000E00D0" w:rsidRDefault="001C5FB1" w:rsidP="001A3B3D">
            <w:pPr>
              <w:spacing w:after="200" w:line="276" w:lineRule="auto"/>
              <w:rPr>
                <w:b/>
              </w:rPr>
            </w:pPr>
            <w:r w:rsidRPr="000E00D0">
              <w:rPr>
                <w:b/>
              </w:rPr>
              <w:t xml:space="preserve">Services 2017 </w:t>
            </w:r>
            <w:r w:rsidR="001A3B3D">
              <w:rPr>
                <w:b/>
              </w:rPr>
              <w:br/>
            </w:r>
            <w:r w:rsidRPr="000E00D0">
              <w:rPr>
                <w:b/>
              </w:rPr>
              <w:t>(Jan-Dec)</w:t>
            </w:r>
          </w:p>
        </w:tc>
      </w:tr>
      <w:tr w:rsidR="001C5FB1" w:rsidRPr="000E00D0" w14:paraId="69EB18B1" w14:textId="77777777" w:rsidTr="00B0479C">
        <w:tc>
          <w:tcPr>
            <w:tcW w:w="1271" w:type="dxa"/>
          </w:tcPr>
          <w:p w14:paraId="6D3F8AC7" w14:textId="77777777" w:rsidR="001C5FB1" w:rsidRPr="000E00D0" w:rsidRDefault="001C5FB1" w:rsidP="001A3B3D">
            <w:pPr>
              <w:spacing w:after="200" w:line="276" w:lineRule="auto"/>
            </w:pPr>
            <w:r w:rsidRPr="000E00D0">
              <w:t xml:space="preserve">49500 </w:t>
            </w:r>
          </w:p>
        </w:tc>
        <w:tc>
          <w:tcPr>
            <w:tcW w:w="5263" w:type="dxa"/>
          </w:tcPr>
          <w:p w14:paraId="39BBD89F" w14:textId="77777777" w:rsidR="001C5FB1" w:rsidRPr="000E00D0" w:rsidRDefault="001C5FB1" w:rsidP="001A3B3D">
            <w:pPr>
              <w:spacing w:after="200" w:line="276" w:lineRule="auto"/>
            </w:pPr>
            <w:r w:rsidRPr="000E00D0">
              <w:t>KNEE, arthrotomy of, involving 1 or more of; capsular release, biopsy or lavage, or removal of loose body or foreign body</w:t>
            </w:r>
          </w:p>
        </w:tc>
        <w:tc>
          <w:tcPr>
            <w:tcW w:w="1007" w:type="dxa"/>
          </w:tcPr>
          <w:p w14:paraId="76722DFD" w14:textId="77777777" w:rsidR="001C5FB1" w:rsidRPr="000E00D0" w:rsidRDefault="001C5FB1" w:rsidP="001A3B3D">
            <w:pPr>
              <w:spacing w:after="200" w:line="276" w:lineRule="auto"/>
            </w:pPr>
            <w:r w:rsidRPr="000E00D0">
              <w:t>$376.55</w:t>
            </w:r>
          </w:p>
        </w:tc>
        <w:tc>
          <w:tcPr>
            <w:tcW w:w="1389" w:type="dxa"/>
          </w:tcPr>
          <w:p w14:paraId="155B4823" w14:textId="77777777" w:rsidR="001C5FB1" w:rsidRPr="000E00D0" w:rsidRDefault="001C5FB1" w:rsidP="001A3B3D">
            <w:pPr>
              <w:spacing w:after="200" w:line="276" w:lineRule="auto"/>
            </w:pPr>
            <w:r w:rsidRPr="000E00D0">
              <w:t>1,419</w:t>
            </w:r>
          </w:p>
        </w:tc>
      </w:tr>
      <w:tr w:rsidR="001C5FB1" w:rsidRPr="000E00D0" w14:paraId="17D94001" w14:textId="77777777" w:rsidTr="00B0479C">
        <w:tc>
          <w:tcPr>
            <w:tcW w:w="1271" w:type="dxa"/>
          </w:tcPr>
          <w:p w14:paraId="7B1F1E0E" w14:textId="77777777" w:rsidR="001C5FB1" w:rsidRPr="000E00D0" w:rsidRDefault="001C5FB1" w:rsidP="001A3B3D">
            <w:pPr>
              <w:spacing w:after="200" w:line="276" w:lineRule="auto"/>
            </w:pPr>
            <w:r w:rsidRPr="000E00D0">
              <w:t>41512</w:t>
            </w:r>
          </w:p>
        </w:tc>
        <w:tc>
          <w:tcPr>
            <w:tcW w:w="5263" w:type="dxa"/>
          </w:tcPr>
          <w:p w14:paraId="73D10488" w14:textId="77777777" w:rsidR="001C5FB1" w:rsidRPr="000E00D0" w:rsidRDefault="001C5FB1" w:rsidP="001A3B3D">
            <w:pPr>
              <w:spacing w:after="200" w:line="276" w:lineRule="auto"/>
            </w:pPr>
            <w:r w:rsidRPr="000E00D0">
              <w:t>MEATOPLASTY involving removal of cartilage or bone or both cartilage and bone, not being a service to which item 41515 applies</w:t>
            </w:r>
          </w:p>
        </w:tc>
        <w:tc>
          <w:tcPr>
            <w:tcW w:w="1007" w:type="dxa"/>
          </w:tcPr>
          <w:p w14:paraId="34A7C294" w14:textId="77777777" w:rsidR="001C5FB1" w:rsidRPr="000E00D0" w:rsidRDefault="001C5FB1" w:rsidP="001A3B3D">
            <w:pPr>
              <w:spacing w:after="200" w:line="276" w:lineRule="auto"/>
            </w:pPr>
            <w:r w:rsidRPr="000E00D0">
              <w:t>$585.90</w:t>
            </w:r>
          </w:p>
        </w:tc>
        <w:tc>
          <w:tcPr>
            <w:tcW w:w="1389" w:type="dxa"/>
          </w:tcPr>
          <w:p w14:paraId="22E07445" w14:textId="77777777" w:rsidR="001C5FB1" w:rsidRPr="000E00D0" w:rsidRDefault="001C5FB1" w:rsidP="001A3B3D">
            <w:pPr>
              <w:spacing w:after="200" w:line="276" w:lineRule="auto"/>
            </w:pPr>
            <w:r w:rsidRPr="000E00D0">
              <w:t>564</w:t>
            </w:r>
          </w:p>
        </w:tc>
      </w:tr>
      <w:tr w:rsidR="001C5FB1" w:rsidRPr="000E00D0" w14:paraId="422704E4" w14:textId="77777777" w:rsidTr="00B0479C">
        <w:tc>
          <w:tcPr>
            <w:tcW w:w="1271" w:type="dxa"/>
          </w:tcPr>
          <w:p w14:paraId="04791E0A" w14:textId="77777777" w:rsidR="001C5FB1" w:rsidRPr="000E00D0" w:rsidRDefault="001C5FB1" w:rsidP="001A3B3D">
            <w:pPr>
              <w:spacing w:after="200" w:line="276" w:lineRule="auto"/>
            </w:pPr>
            <w:r w:rsidRPr="000E00D0">
              <w:t>49557</w:t>
            </w:r>
          </w:p>
        </w:tc>
        <w:tc>
          <w:tcPr>
            <w:tcW w:w="5263" w:type="dxa"/>
          </w:tcPr>
          <w:p w14:paraId="35821789" w14:textId="77777777" w:rsidR="001C5FB1" w:rsidRPr="000E00D0" w:rsidRDefault="001C5FB1" w:rsidP="001A3B3D">
            <w:pPr>
              <w:spacing w:after="200" w:line="276" w:lineRule="auto"/>
            </w:pPr>
            <w:r w:rsidRPr="000E00D0">
              <w:t>KNEE, diagnostic arthroscopy of (including biopsy, simple trimming of meniscal margin or plica) - not being a service associated with autologous chondrocyte implantation or matrix-induced autologous chondrocyte implantation or any other arthroscopic procedure of the knee region</w:t>
            </w:r>
          </w:p>
        </w:tc>
        <w:tc>
          <w:tcPr>
            <w:tcW w:w="1007" w:type="dxa"/>
          </w:tcPr>
          <w:p w14:paraId="5ACDBB8F" w14:textId="77777777" w:rsidR="001C5FB1" w:rsidRPr="000E00D0" w:rsidRDefault="001C5FB1" w:rsidP="001A3B3D">
            <w:pPr>
              <w:spacing w:after="200" w:line="276" w:lineRule="auto"/>
            </w:pPr>
            <w:r w:rsidRPr="000E00D0">
              <w:t>$272.95</w:t>
            </w:r>
          </w:p>
        </w:tc>
        <w:tc>
          <w:tcPr>
            <w:tcW w:w="1389" w:type="dxa"/>
          </w:tcPr>
          <w:p w14:paraId="21A14028" w14:textId="77777777" w:rsidR="001C5FB1" w:rsidRPr="000E00D0" w:rsidRDefault="001C5FB1" w:rsidP="001A3B3D">
            <w:pPr>
              <w:spacing w:after="200" w:line="276" w:lineRule="auto"/>
            </w:pPr>
            <w:r w:rsidRPr="000E00D0">
              <w:t>479</w:t>
            </w:r>
          </w:p>
        </w:tc>
      </w:tr>
      <w:tr w:rsidR="001C5FB1" w:rsidRPr="000E00D0" w14:paraId="676FBF2B" w14:textId="77777777" w:rsidTr="00B0479C">
        <w:tc>
          <w:tcPr>
            <w:tcW w:w="1271" w:type="dxa"/>
          </w:tcPr>
          <w:p w14:paraId="6DF367CE" w14:textId="77777777" w:rsidR="001C5FB1" w:rsidRPr="000E00D0" w:rsidRDefault="001C5FB1" w:rsidP="001A3B3D">
            <w:pPr>
              <w:spacing w:after="200" w:line="276" w:lineRule="auto"/>
            </w:pPr>
            <w:r w:rsidRPr="000E00D0">
              <w:t xml:space="preserve">49558 </w:t>
            </w:r>
          </w:p>
        </w:tc>
        <w:tc>
          <w:tcPr>
            <w:tcW w:w="5263" w:type="dxa"/>
          </w:tcPr>
          <w:p w14:paraId="2DE246E5" w14:textId="77777777" w:rsidR="001C5FB1" w:rsidRPr="000E00D0" w:rsidRDefault="001C5FB1" w:rsidP="001A3B3D">
            <w:pPr>
              <w:spacing w:after="200" w:line="276" w:lineRule="auto"/>
            </w:pPr>
            <w:r w:rsidRPr="000E00D0">
              <w:t>KNEE, arthroscopic surgery of, involving 1 or more of: debridement, osteoplasty or chondroplasty - not associated with any other arthroscopic procedure of the knee region</w:t>
            </w:r>
          </w:p>
        </w:tc>
        <w:tc>
          <w:tcPr>
            <w:tcW w:w="1007" w:type="dxa"/>
          </w:tcPr>
          <w:p w14:paraId="5CC678CF" w14:textId="77777777" w:rsidR="001C5FB1" w:rsidRPr="000E00D0" w:rsidRDefault="001C5FB1" w:rsidP="001A3B3D">
            <w:pPr>
              <w:spacing w:after="200" w:line="276" w:lineRule="auto"/>
            </w:pPr>
            <w:r w:rsidRPr="000E00D0">
              <w:t>$272.95</w:t>
            </w:r>
          </w:p>
        </w:tc>
        <w:tc>
          <w:tcPr>
            <w:tcW w:w="1389" w:type="dxa"/>
          </w:tcPr>
          <w:p w14:paraId="45159130" w14:textId="77777777" w:rsidR="001C5FB1" w:rsidRPr="000E00D0" w:rsidRDefault="001C5FB1" w:rsidP="001A3B3D">
            <w:pPr>
              <w:spacing w:after="200" w:line="276" w:lineRule="auto"/>
            </w:pPr>
            <w:r w:rsidRPr="000E00D0">
              <w:t>710</w:t>
            </w:r>
          </w:p>
        </w:tc>
      </w:tr>
      <w:tr w:rsidR="001C5FB1" w:rsidRPr="000E00D0" w14:paraId="771FBE20" w14:textId="77777777" w:rsidTr="00B0479C">
        <w:tc>
          <w:tcPr>
            <w:tcW w:w="1271" w:type="dxa"/>
          </w:tcPr>
          <w:p w14:paraId="4505C191" w14:textId="77777777" w:rsidR="001C5FB1" w:rsidRPr="000E00D0" w:rsidRDefault="001C5FB1" w:rsidP="001A3B3D">
            <w:pPr>
              <w:spacing w:after="200" w:line="276" w:lineRule="auto"/>
            </w:pPr>
            <w:r w:rsidRPr="000E00D0">
              <w:t xml:space="preserve">49559 </w:t>
            </w:r>
          </w:p>
        </w:tc>
        <w:tc>
          <w:tcPr>
            <w:tcW w:w="5263" w:type="dxa"/>
          </w:tcPr>
          <w:p w14:paraId="08DFB591" w14:textId="77777777" w:rsidR="001C5FB1" w:rsidRPr="000E00D0" w:rsidRDefault="001C5FB1" w:rsidP="001A3B3D">
            <w:pPr>
              <w:spacing w:after="200" w:line="276" w:lineRule="auto"/>
            </w:pPr>
            <w:r w:rsidRPr="000E00D0">
              <w:t>KNEE, arthroscopic surgery of, involving chondroplasty requiring multiple drilling or carbon fibre (or similar) implant; including any associated debridement or oestoplasty - not associated with any other arthroscopic procedure of the knee region</w:t>
            </w:r>
          </w:p>
        </w:tc>
        <w:tc>
          <w:tcPr>
            <w:tcW w:w="1007" w:type="dxa"/>
          </w:tcPr>
          <w:p w14:paraId="09451FA5" w14:textId="77777777" w:rsidR="001C5FB1" w:rsidRPr="000E00D0" w:rsidRDefault="001C5FB1" w:rsidP="001A3B3D">
            <w:pPr>
              <w:spacing w:after="200" w:line="276" w:lineRule="auto"/>
            </w:pPr>
            <w:r w:rsidRPr="000E00D0">
              <w:t>$408.70</w:t>
            </w:r>
          </w:p>
        </w:tc>
        <w:tc>
          <w:tcPr>
            <w:tcW w:w="1389" w:type="dxa"/>
          </w:tcPr>
          <w:p w14:paraId="3BDBB79C" w14:textId="77777777" w:rsidR="001C5FB1" w:rsidRPr="000E00D0" w:rsidRDefault="001C5FB1" w:rsidP="001A3B3D">
            <w:pPr>
              <w:spacing w:after="200" w:line="276" w:lineRule="auto"/>
            </w:pPr>
            <w:r w:rsidRPr="000E00D0">
              <w:t>71</w:t>
            </w:r>
          </w:p>
        </w:tc>
      </w:tr>
      <w:tr w:rsidR="001C5FB1" w:rsidRPr="000E00D0" w14:paraId="1A4991BA" w14:textId="77777777" w:rsidTr="00B0479C">
        <w:tc>
          <w:tcPr>
            <w:tcW w:w="1271" w:type="dxa"/>
          </w:tcPr>
          <w:p w14:paraId="17CDC564" w14:textId="77777777" w:rsidR="001C5FB1" w:rsidRPr="000E00D0" w:rsidRDefault="001C5FB1" w:rsidP="001A3B3D">
            <w:pPr>
              <w:spacing w:after="200" w:line="276" w:lineRule="auto"/>
            </w:pPr>
            <w:r w:rsidRPr="000E00D0">
              <w:t>49560</w:t>
            </w:r>
          </w:p>
        </w:tc>
        <w:tc>
          <w:tcPr>
            <w:tcW w:w="5263" w:type="dxa"/>
          </w:tcPr>
          <w:p w14:paraId="4C1A593B" w14:textId="77777777" w:rsidR="001C5FB1" w:rsidRPr="000E00D0" w:rsidRDefault="001C5FB1" w:rsidP="001A3B3D">
            <w:pPr>
              <w:spacing w:after="200" w:line="276" w:lineRule="auto"/>
            </w:pPr>
            <w:r w:rsidRPr="000E00D0">
              <w:t>KNEE, arthroscopic surgery of, involving 1 or more of: partial or total meniscectomy, removal of loose body or lateral release - not being a service associated with any other arthroscopic procedure of the knee region</w:t>
            </w:r>
          </w:p>
        </w:tc>
        <w:tc>
          <w:tcPr>
            <w:tcW w:w="1007" w:type="dxa"/>
          </w:tcPr>
          <w:p w14:paraId="29DE0659" w14:textId="77777777" w:rsidR="001C5FB1" w:rsidRPr="000E00D0" w:rsidRDefault="001C5FB1" w:rsidP="001A3B3D">
            <w:pPr>
              <w:spacing w:after="200" w:line="276" w:lineRule="auto"/>
            </w:pPr>
            <w:r w:rsidRPr="000E00D0">
              <w:t>$551.60</w:t>
            </w:r>
          </w:p>
        </w:tc>
        <w:tc>
          <w:tcPr>
            <w:tcW w:w="1389" w:type="dxa"/>
          </w:tcPr>
          <w:p w14:paraId="45A65CF9" w14:textId="77777777" w:rsidR="001C5FB1" w:rsidRPr="000E00D0" w:rsidRDefault="001C5FB1" w:rsidP="001A3B3D">
            <w:pPr>
              <w:spacing w:after="200" w:line="276" w:lineRule="auto"/>
            </w:pPr>
            <w:r w:rsidRPr="000E00D0">
              <w:t>2,616</w:t>
            </w:r>
          </w:p>
        </w:tc>
      </w:tr>
      <w:tr w:rsidR="001C5FB1" w:rsidRPr="000E00D0" w14:paraId="58B06BFC" w14:textId="77777777" w:rsidTr="00B0479C">
        <w:tc>
          <w:tcPr>
            <w:tcW w:w="1271" w:type="dxa"/>
          </w:tcPr>
          <w:p w14:paraId="13685B2C" w14:textId="77777777" w:rsidR="001C5FB1" w:rsidRPr="000E00D0" w:rsidRDefault="001C5FB1" w:rsidP="001A3B3D">
            <w:pPr>
              <w:spacing w:after="200" w:line="276" w:lineRule="auto"/>
            </w:pPr>
            <w:r w:rsidRPr="000E00D0">
              <w:t>49561</w:t>
            </w:r>
          </w:p>
          <w:p w14:paraId="257E6F38" w14:textId="77777777" w:rsidR="001C5FB1" w:rsidRPr="000E00D0" w:rsidRDefault="001C5FB1" w:rsidP="001A3B3D">
            <w:pPr>
              <w:spacing w:after="200" w:line="276" w:lineRule="auto"/>
            </w:pPr>
          </w:p>
        </w:tc>
        <w:tc>
          <w:tcPr>
            <w:tcW w:w="5263" w:type="dxa"/>
          </w:tcPr>
          <w:p w14:paraId="7E7D6EB6" w14:textId="77777777" w:rsidR="001C5FB1" w:rsidRPr="000E00D0" w:rsidRDefault="001C5FB1" w:rsidP="001A3B3D">
            <w:pPr>
              <w:spacing w:after="200" w:line="276" w:lineRule="auto"/>
            </w:pPr>
            <w:r w:rsidRPr="000E00D0">
              <w:t>KNEE, ARTHROSCOPIC SURGERY OF, involving 1 or more of: partial or total meniscectomy, removal of loose body or lateral release; where the procedure includes associated debridement, osteoplasty or chondroplasty - not associated with any other arthroscopic procedure of the knee region</w:t>
            </w:r>
          </w:p>
        </w:tc>
        <w:tc>
          <w:tcPr>
            <w:tcW w:w="1007" w:type="dxa"/>
          </w:tcPr>
          <w:p w14:paraId="2D0D453D" w14:textId="77777777" w:rsidR="001C5FB1" w:rsidRPr="000E00D0" w:rsidRDefault="001C5FB1" w:rsidP="001A3B3D">
            <w:pPr>
              <w:spacing w:after="200" w:line="276" w:lineRule="auto"/>
            </w:pPr>
            <w:r w:rsidRPr="000E00D0">
              <w:t>$674.00</w:t>
            </w:r>
          </w:p>
        </w:tc>
        <w:tc>
          <w:tcPr>
            <w:tcW w:w="1389" w:type="dxa"/>
          </w:tcPr>
          <w:p w14:paraId="7125F838" w14:textId="77777777" w:rsidR="001C5FB1" w:rsidRPr="000E00D0" w:rsidRDefault="001C5FB1" w:rsidP="001A3B3D">
            <w:pPr>
              <w:spacing w:after="200" w:line="276" w:lineRule="auto"/>
            </w:pPr>
            <w:r w:rsidRPr="000E00D0">
              <w:t>34,566</w:t>
            </w:r>
          </w:p>
        </w:tc>
      </w:tr>
      <w:tr w:rsidR="001C5FB1" w:rsidRPr="000E00D0" w14:paraId="57CA7753" w14:textId="77777777" w:rsidTr="00B0479C">
        <w:tc>
          <w:tcPr>
            <w:tcW w:w="1271" w:type="dxa"/>
          </w:tcPr>
          <w:p w14:paraId="032B9544" w14:textId="77777777" w:rsidR="001C5FB1" w:rsidRPr="000E00D0" w:rsidRDefault="001C5FB1" w:rsidP="001A3B3D">
            <w:pPr>
              <w:spacing w:after="200" w:line="276" w:lineRule="auto"/>
            </w:pPr>
            <w:r w:rsidRPr="000E00D0">
              <w:t>49562</w:t>
            </w:r>
          </w:p>
        </w:tc>
        <w:tc>
          <w:tcPr>
            <w:tcW w:w="5263" w:type="dxa"/>
          </w:tcPr>
          <w:p w14:paraId="3A0A08B4" w14:textId="77777777" w:rsidR="001C5FB1" w:rsidRPr="000E00D0" w:rsidRDefault="001C5FB1" w:rsidP="001A3B3D">
            <w:pPr>
              <w:spacing w:after="200" w:line="276" w:lineRule="auto"/>
            </w:pPr>
            <w:r w:rsidRPr="000E00D0">
              <w:t>KNEE, ARTHROSCOPIC SURGERY OF, involving 1 or more of: partial or total meniscectomy, removal of loose body or lateral release; where the procedure includes chondroplasty requiring multiple drilling or carbon fibre (or similar) implant and associated debridement or osteoplasty - not associated with any other arthroscopic procedure of the knee region</w:t>
            </w:r>
          </w:p>
        </w:tc>
        <w:tc>
          <w:tcPr>
            <w:tcW w:w="1007" w:type="dxa"/>
          </w:tcPr>
          <w:p w14:paraId="2DFCA14F" w14:textId="77777777" w:rsidR="001C5FB1" w:rsidRPr="000E00D0" w:rsidRDefault="001C5FB1" w:rsidP="001A3B3D">
            <w:pPr>
              <w:spacing w:after="200" w:line="276" w:lineRule="auto"/>
            </w:pPr>
            <w:r w:rsidRPr="000E00D0">
              <w:t>$735.50</w:t>
            </w:r>
          </w:p>
        </w:tc>
        <w:tc>
          <w:tcPr>
            <w:tcW w:w="1389" w:type="dxa"/>
          </w:tcPr>
          <w:p w14:paraId="4FC51BDB" w14:textId="77777777" w:rsidR="001C5FB1" w:rsidRPr="000E00D0" w:rsidRDefault="001C5FB1" w:rsidP="001A3B3D">
            <w:pPr>
              <w:spacing w:after="200" w:line="276" w:lineRule="auto"/>
            </w:pPr>
            <w:r w:rsidRPr="000E00D0">
              <w:t>3,278</w:t>
            </w:r>
          </w:p>
        </w:tc>
      </w:tr>
      <w:tr w:rsidR="001C5FB1" w:rsidRPr="000E00D0" w14:paraId="6AB715DF" w14:textId="77777777" w:rsidTr="00B0479C">
        <w:tc>
          <w:tcPr>
            <w:tcW w:w="1271" w:type="dxa"/>
          </w:tcPr>
          <w:p w14:paraId="0D509208" w14:textId="77777777" w:rsidR="001C5FB1" w:rsidRPr="000E00D0" w:rsidRDefault="001C5FB1" w:rsidP="001A3B3D">
            <w:pPr>
              <w:spacing w:after="200" w:line="276" w:lineRule="auto"/>
            </w:pPr>
            <w:r w:rsidRPr="000E00D0">
              <w:t>49563</w:t>
            </w:r>
          </w:p>
          <w:p w14:paraId="66FEFF71" w14:textId="6DD91277" w:rsidR="001C5FB1" w:rsidRPr="000E00D0" w:rsidRDefault="002A2AB5" w:rsidP="002A2AB5">
            <w:pPr>
              <w:spacing w:after="200" w:line="276" w:lineRule="auto"/>
            </w:pPr>
            <w:r>
              <w:rPr>
                <w:i/>
              </w:rPr>
              <w:t xml:space="preserve">This </w:t>
            </w:r>
            <w:r w:rsidR="00B0479C">
              <w:rPr>
                <w:i/>
              </w:rPr>
              <w:t xml:space="preserve">is the item </w:t>
            </w:r>
            <w:r w:rsidR="001C5FB1">
              <w:rPr>
                <w:i/>
              </w:rPr>
              <w:t>most commonly associated with mosaicplasty</w:t>
            </w:r>
          </w:p>
        </w:tc>
        <w:tc>
          <w:tcPr>
            <w:tcW w:w="5263" w:type="dxa"/>
          </w:tcPr>
          <w:p w14:paraId="5F9A7747" w14:textId="2B010FFB" w:rsidR="001C5FB1" w:rsidRPr="004551A5" w:rsidRDefault="001C5FB1" w:rsidP="001A3B3D">
            <w:pPr>
              <w:spacing w:after="200" w:line="276" w:lineRule="auto"/>
              <w:rPr>
                <w:i/>
              </w:rPr>
            </w:pPr>
            <w:r w:rsidRPr="000E00D0">
              <w:t>KNEE, arthroscopic surgery of, involving 1 or more of: meniscus repair; osteochondral graft; or chondral graft (excluding autologous chondrocyte implantation or matrix-induced autologous chondrocyte implantation) -</w:t>
            </w:r>
            <w:r w:rsidR="000A6582">
              <w:t xml:space="preserve"> </w:t>
            </w:r>
            <w:r w:rsidRPr="000E00D0">
              <w:t>not associated with any other arthroscopic procedure of the knee region</w:t>
            </w:r>
          </w:p>
        </w:tc>
        <w:tc>
          <w:tcPr>
            <w:tcW w:w="1007" w:type="dxa"/>
          </w:tcPr>
          <w:p w14:paraId="43DEC7D8" w14:textId="77777777" w:rsidR="001C5FB1" w:rsidRPr="000E00D0" w:rsidRDefault="001C5FB1" w:rsidP="001A3B3D">
            <w:pPr>
              <w:spacing w:after="200" w:line="276" w:lineRule="auto"/>
            </w:pPr>
            <w:r w:rsidRPr="000E00D0">
              <w:t>$796.70</w:t>
            </w:r>
          </w:p>
        </w:tc>
        <w:tc>
          <w:tcPr>
            <w:tcW w:w="1389" w:type="dxa"/>
          </w:tcPr>
          <w:p w14:paraId="54A57645" w14:textId="77777777" w:rsidR="001C5FB1" w:rsidRPr="000E00D0" w:rsidRDefault="001C5FB1" w:rsidP="001A3B3D">
            <w:pPr>
              <w:spacing w:after="200" w:line="276" w:lineRule="auto"/>
            </w:pPr>
            <w:r w:rsidRPr="000E00D0">
              <w:t>1,492</w:t>
            </w:r>
          </w:p>
        </w:tc>
      </w:tr>
      <w:tr w:rsidR="001C5FB1" w:rsidRPr="000E00D0" w14:paraId="6EA04FF4" w14:textId="77777777" w:rsidTr="00B0479C">
        <w:tc>
          <w:tcPr>
            <w:tcW w:w="1271" w:type="dxa"/>
          </w:tcPr>
          <w:p w14:paraId="0CCEFFEE" w14:textId="77777777" w:rsidR="001C5FB1" w:rsidRPr="000E00D0" w:rsidRDefault="001C5FB1" w:rsidP="001A3B3D">
            <w:pPr>
              <w:spacing w:after="200" w:line="276" w:lineRule="auto"/>
            </w:pPr>
            <w:r w:rsidRPr="000E00D0">
              <w:t>49503</w:t>
            </w:r>
          </w:p>
        </w:tc>
        <w:tc>
          <w:tcPr>
            <w:tcW w:w="5263" w:type="dxa"/>
          </w:tcPr>
          <w:p w14:paraId="7C3D00DC" w14:textId="77777777" w:rsidR="001C5FB1" w:rsidRPr="000E00D0" w:rsidRDefault="001C5FB1" w:rsidP="001A3B3D">
            <w:pPr>
              <w:spacing w:after="200" w:line="276" w:lineRule="auto"/>
            </w:pPr>
            <w:r w:rsidRPr="000E00D0">
              <w:t>KNEE, partial or total meniscectomy of, repair of collateral or cruciate ligament, patellectomy of, chondroplasty of, osteoplasty of, patellofemoral stabilisation or single transfer of ligament or tendon (not being a service to which another item in this Group applies) - any 1 procedure</w:t>
            </w:r>
          </w:p>
        </w:tc>
        <w:tc>
          <w:tcPr>
            <w:tcW w:w="1007" w:type="dxa"/>
          </w:tcPr>
          <w:p w14:paraId="4B56E8FD" w14:textId="77777777" w:rsidR="001C5FB1" w:rsidRPr="000E00D0" w:rsidRDefault="001C5FB1" w:rsidP="001A3B3D">
            <w:pPr>
              <w:spacing w:after="200" w:line="276" w:lineRule="auto"/>
            </w:pPr>
            <w:r w:rsidRPr="000E00D0">
              <w:t xml:space="preserve">$489.55 </w:t>
            </w:r>
          </w:p>
        </w:tc>
        <w:tc>
          <w:tcPr>
            <w:tcW w:w="1389" w:type="dxa"/>
          </w:tcPr>
          <w:p w14:paraId="60350F7E" w14:textId="77777777" w:rsidR="001C5FB1" w:rsidRPr="000E00D0" w:rsidRDefault="001C5FB1" w:rsidP="001A3B3D">
            <w:pPr>
              <w:spacing w:after="200" w:line="276" w:lineRule="auto"/>
            </w:pPr>
            <w:r w:rsidRPr="000E00D0">
              <w:t>210</w:t>
            </w:r>
          </w:p>
        </w:tc>
      </w:tr>
      <w:tr w:rsidR="001C5FB1" w:rsidRPr="000E00D0" w14:paraId="52ACC5A9" w14:textId="77777777" w:rsidTr="00B0479C">
        <w:tc>
          <w:tcPr>
            <w:tcW w:w="1271" w:type="dxa"/>
          </w:tcPr>
          <w:p w14:paraId="17283529" w14:textId="77777777" w:rsidR="001C5FB1" w:rsidRPr="000E00D0" w:rsidRDefault="001C5FB1" w:rsidP="001A3B3D">
            <w:pPr>
              <w:spacing w:after="200" w:line="276" w:lineRule="auto"/>
            </w:pPr>
            <w:r w:rsidRPr="000E00D0">
              <w:t>49506</w:t>
            </w:r>
          </w:p>
        </w:tc>
        <w:tc>
          <w:tcPr>
            <w:tcW w:w="5263" w:type="dxa"/>
          </w:tcPr>
          <w:p w14:paraId="7C8C208F" w14:textId="77777777" w:rsidR="001C5FB1" w:rsidRPr="000E00D0" w:rsidRDefault="001C5FB1" w:rsidP="001A3B3D">
            <w:pPr>
              <w:spacing w:after="200" w:line="276" w:lineRule="auto"/>
            </w:pPr>
            <w:r w:rsidRPr="000E00D0">
              <w:t>KNEE, partial or total meniscectomy of, repair of collateral or cruciate ligament, patellectomy of, chondroplasty of, osteoplasty of, patellofemoral stabilisation or single transfer of ligament or tendon (not being a service to which another item in this Group applies) - any 2 or more procedures</w:t>
            </w:r>
          </w:p>
        </w:tc>
        <w:tc>
          <w:tcPr>
            <w:tcW w:w="1007" w:type="dxa"/>
          </w:tcPr>
          <w:p w14:paraId="26CA16C5" w14:textId="77777777" w:rsidR="001C5FB1" w:rsidRPr="000E00D0" w:rsidRDefault="001C5FB1" w:rsidP="001A3B3D">
            <w:pPr>
              <w:spacing w:after="200" w:line="276" w:lineRule="auto"/>
            </w:pPr>
            <w:r w:rsidRPr="000E00D0">
              <w:t xml:space="preserve">$734.40 </w:t>
            </w:r>
          </w:p>
        </w:tc>
        <w:tc>
          <w:tcPr>
            <w:tcW w:w="1389" w:type="dxa"/>
          </w:tcPr>
          <w:p w14:paraId="31D8511E" w14:textId="77777777" w:rsidR="001C5FB1" w:rsidRPr="000E00D0" w:rsidRDefault="001C5FB1" w:rsidP="001A3B3D">
            <w:pPr>
              <w:spacing w:after="200" w:line="276" w:lineRule="auto"/>
            </w:pPr>
            <w:r w:rsidRPr="000E00D0">
              <w:t>330</w:t>
            </w:r>
          </w:p>
        </w:tc>
      </w:tr>
      <w:tr w:rsidR="001C5FB1" w:rsidRPr="000E00D0" w14:paraId="63958E12" w14:textId="77777777" w:rsidTr="00B0479C">
        <w:tc>
          <w:tcPr>
            <w:tcW w:w="1271" w:type="dxa"/>
          </w:tcPr>
          <w:p w14:paraId="4927D576" w14:textId="77777777" w:rsidR="001C5FB1" w:rsidRPr="000E00D0" w:rsidRDefault="001C5FB1" w:rsidP="001A3B3D">
            <w:r>
              <w:t>Not listed</w:t>
            </w:r>
          </w:p>
        </w:tc>
        <w:tc>
          <w:tcPr>
            <w:tcW w:w="5263" w:type="dxa"/>
          </w:tcPr>
          <w:p w14:paraId="1834ED61" w14:textId="77777777" w:rsidR="001C5FB1" w:rsidRDefault="001C5FB1" w:rsidP="001A3B3D">
            <w:r>
              <w:t>AUTOLOGOUS CHRONDOCYTE IMPLANTATION and MATRIX-INDUCED AUTOLOOUS CHRONDOCYTE IMPLANTATION</w:t>
            </w:r>
            <w:r w:rsidRPr="00F56B40">
              <w:rPr>
                <w:vertAlign w:val="superscript"/>
              </w:rPr>
              <w:t>a</w:t>
            </w:r>
          </w:p>
        </w:tc>
        <w:tc>
          <w:tcPr>
            <w:tcW w:w="1007" w:type="dxa"/>
          </w:tcPr>
          <w:p w14:paraId="41837017" w14:textId="77777777" w:rsidR="001C5FB1" w:rsidRDefault="001C5FB1" w:rsidP="001A3B3D">
            <w:r>
              <w:t>Not listed</w:t>
            </w:r>
          </w:p>
        </w:tc>
        <w:tc>
          <w:tcPr>
            <w:tcW w:w="1389" w:type="dxa"/>
          </w:tcPr>
          <w:p w14:paraId="6A6FF1A1" w14:textId="77777777" w:rsidR="001C5FB1" w:rsidRPr="000E00D0" w:rsidRDefault="001C5FB1" w:rsidP="001A3B3D"/>
        </w:tc>
      </w:tr>
    </w:tbl>
    <w:p w14:paraId="7B78278B" w14:textId="4A04DEAC" w:rsidR="001C5FB1" w:rsidRDefault="001A3B3D" w:rsidP="001C5FB1">
      <w:pPr>
        <w:pStyle w:val="Tablefooter"/>
      </w:pPr>
      <w:r>
        <w:rPr>
          <w:vertAlign w:val="superscript"/>
        </w:rPr>
        <w:br w:type="textWrapping" w:clear="all"/>
      </w:r>
      <w:r w:rsidR="001C5FB1" w:rsidRPr="000A6582">
        <w:rPr>
          <w:sz w:val="22"/>
          <w:vertAlign w:val="superscript"/>
        </w:rPr>
        <w:t>a</w:t>
      </w:r>
      <w:r w:rsidR="001C5FB1">
        <w:t xml:space="preserve"> “</w:t>
      </w:r>
      <w:r w:rsidR="001C5FB1" w:rsidRPr="00F56B40">
        <w:t>An item in the range 1 to 10943 does not apply to the service described in that item if the service is provided at the same time as, or in connection with, any of the services specified below</w:t>
      </w:r>
      <w:r w:rsidR="001C5FB1">
        <w:t xml:space="preserve">: … </w:t>
      </w:r>
      <w:r w:rsidR="001C5FB1" w:rsidRPr="00F56B40">
        <w:rPr>
          <w:lang w:val="en-US"/>
        </w:rPr>
        <w:t>(n) autologous chondrocyte implantation and matrix-induced autologous chondrocyte implantation</w:t>
      </w:r>
      <w:r w:rsidR="001C5FB1">
        <w:rPr>
          <w:lang w:val="en-US"/>
        </w:rPr>
        <w:t xml:space="preserve">” </w:t>
      </w:r>
      <w:r w:rsidR="000A6582">
        <w:rPr>
          <w:lang w:val="en-US"/>
        </w:rPr>
        <w:t xml:space="preserve">- </w:t>
      </w:r>
      <w:r w:rsidR="001C5FB1">
        <w:rPr>
          <w:lang w:val="en-US"/>
        </w:rPr>
        <w:t xml:space="preserve">from the Medicare Benefits Schedule </w:t>
      </w:r>
      <w:r w:rsidR="001C5FB1">
        <w:rPr>
          <w:lang w:val="en-US"/>
        </w:rPr>
        <w:fldChar w:fldCharType="begin"/>
      </w:r>
      <w:r w:rsidR="001C5FB1">
        <w:rPr>
          <w:lang w:val="en-US"/>
        </w:rPr>
        <w:instrText xml:space="preserve"> ADDIN EN.CITE &lt;EndNote&gt;&lt;Cite&gt;&lt;Author&gt;Australian Government Department of Health&lt;/Author&gt;&lt;Year&gt;2019&lt;/Year&gt;&lt;RecNum&gt;741&lt;/RecNum&gt;&lt;DisplayText&gt;[19]&lt;/DisplayText&gt;&lt;record&gt;&lt;rec-number&gt;741&lt;/rec-number&gt;&lt;foreign-keys&gt;&lt;key app="EN" db-id="e5fswt02npwd52esazb5pr54wz9epasvpvef" timestamp="1456277575"&gt;741&lt;/key&gt;&lt;/foreign-keys&gt;&lt;ref-type name="Report"&gt;27&lt;/ref-type&gt;&lt;contributors&gt;&lt;authors&gt;&lt;author&gt;Australian Government Department of Health,&lt;/author&gt;&lt;/authors&gt;&lt;/contributors&gt;&lt;titles&gt;&lt;title&gt;Medicare benefits schedule. http://www9.health.gov.au/mbs/search.cfm?pdf=yes. Accessed 25 March 2019.&lt;/title&gt;&lt;/titles&gt;&lt;dates&gt;&lt;year&gt;2019&lt;/year&gt;&lt;/dates&gt;&lt;urls&gt;&lt;/urls&gt;&lt;/record&gt;&lt;/Cite&gt;&lt;/EndNote&gt;</w:instrText>
      </w:r>
      <w:r w:rsidR="001C5FB1">
        <w:rPr>
          <w:lang w:val="en-US"/>
        </w:rPr>
        <w:fldChar w:fldCharType="separate"/>
      </w:r>
      <w:r w:rsidR="001C5FB1">
        <w:rPr>
          <w:noProof/>
          <w:lang w:val="en-US"/>
        </w:rPr>
        <w:t>[19]</w:t>
      </w:r>
      <w:r w:rsidR="001C5FB1">
        <w:rPr>
          <w:lang w:val="en-US"/>
        </w:rPr>
        <w:fldChar w:fldCharType="end"/>
      </w:r>
      <w:r w:rsidR="001C5FB1">
        <w:rPr>
          <w:lang w:val="en-US"/>
        </w:rPr>
        <w:t>.</w:t>
      </w:r>
    </w:p>
    <w:p w14:paraId="25496B18" w14:textId="78015173" w:rsidR="000C14AA" w:rsidRPr="000C14AA" w:rsidRDefault="001C5FB1" w:rsidP="00403CE6">
      <w:pPr>
        <w:pStyle w:val="Heading3"/>
        <w:tabs>
          <w:tab w:val="left" w:pos="2685"/>
        </w:tabs>
        <w:spacing w:after="120"/>
        <w:rPr>
          <w:b/>
          <w:color w:val="0099FF"/>
          <w:sz w:val="28"/>
          <w:szCs w:val="28"/>
        </w:rPr>
      </w:pPr>
      <w:r w:rsidRPr="000C14AA">
        <w:rPr>
          <w:b/>
          <w:color w:val="0099FF"/>
          <w:sz w:val="28"/>
          <w:szCs w:val="28"/>
        </w:rPr>
        <w:t>Outcomes</w:t>
      </w:r>
      <w:r w:rsidR="00403CE6">
        <w:rPr>
          <w:b/>
          <w:color w:val="0099FF"/>
          <w:sz w:val="28"/>
          <w:szCs w:val="28"/>
        </w:rPr>
        <w:tab/>
      </w:r>
    </w:p>
    <w:p w14:paraId="587C4AB3" w14:textId="6D5EE199" w:rsidR="000C14AA" w:rsidRPr="00226B4C" w:rsidRDefault="000C14AA" w:rsidP="00455645">
      <w:pPr>
        <w:pStyle w:val="Heading3"/>
        <w:spacing w:after="240"/>
        <w:rPr>
          <w:rFonts w:asciiTheme="minorHAnsi" w:hAnsiTheme="minorHAnsi" w:cstheme="minorHAnsi"/>
          <w:sz w:val="22"/>
          <w:szCs w:val="22"/>
        </w:rPr>
      </w:pPr>
      <w:r w:rsidRPr="00226B4C">
        <w:rPr>
          <w:rFonts w:asciiTheme="minorHAnsi" w:hAnsiTheme="minorHAnsi" w:cstheme="minorHAnsi"/>
          <w:sz w:val="22"/>
          <w:szCs w:val="22"/>
        </w:rPr>
        <w:t>PASC recommended the addition of other long-term outcomes; specifically ‘time to return to work’ and ‘total joint replacement/subsequent procedures’. However, PASC agreed there may be no evide</w:t>
      </w:r>
      <w:r w:rsidR="00BB5EA2" w:rsidRPr="00226B4C">
        <w:rPr>
          <w:rFonts w:asciiTheme="minorHAnsi" w:hAnsiTheme="minorHAnsi" w:cstheme="minorHAnsi"/>
          <w:sz w:val="22"/>
          <w:szCs w:val="22"/>
        </w:rPr>
        <w:t>nce for these, given their long-</w:t>
      </w:r>
      <w:r w:rsidRPr="00226B4C">
        <w:rPr>
          <w:rFonts w:asciiTheme="minorHAnsi" w:hAnsiTheme="minorHAnsi" w:cstheme="minorHAnsi"/>
          <w:sz w:val="22"/>
          <w:szCs w:val="22"/>
        </w:rPr>
        <w:t>term nature.</w:t>
      </w:r>
    </w:p>
    <w:p w14:paraId="523C7C1E" w14:textId="4AEE7FF5" w:rsidR="009E4FB3" w:rsidRPr="00855909" w:rsidRDefault="000C14AA" w:rsidP="009E4FB3">
      <w:pPr>
        <w:rPr>
          <w:rFonts w:asciiTheme="minorHAnsi" w:hAnsiTheme="minorHAnsi" w:cstheme="minorHAnsi"/>
        </w:rPr>
      </w:pPr>
      <w:r w:rsidRPr="00226B4C">
        <w:rPr>
          <w:rFonts w:asciiTheme="minorHAnsi" w:hAnsiTheme="minorHAnsi" w:cstheme="minorHAnsi"/>
        </w:rPr>
        <w:t>PASC recommended the Outcomes in application 1569 (and similar current application 1578) be consistent, where data is available.</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811"/>
        <w:gridCol w:w="7200"/>
      </w:tblGrid>
      <w:tr w:rsidR="001C5FB1" w:rsidRPr="00F11E4A" w14:paraId="031C5C64" w14:textId="77777777" w:rsidTr="001C5FB1">
        <w:tc>
          <w:tcPr>
            <w:tcW w:w="1005" w:type="pct"/>
            <w:tcBorders>
              <w:right w:val="single" w:sz="4" w:space="0" w:color="auto"/>
            </w:tcBorders>
          </w:tcPr>
          <w:p w14:paraId="3CE2B291" w14:textId="77777777" w:rsidR="001C5FB1" w:rsidRPr="00084393" w:rsidRDefault="001C5FB1" w:rsidP="001C5FB1">
            <w:pPr>
              <w:spacing w:before="20" w:after="20" w:line="240" w:lineRule="auto"/>
              <w:rPr>
                <w:rFonts w:cs="Arial"/>
              </w:rPr>
            </w:pPr>
            <w:r w:rsidRPr="00084393">
              <w:rPr>
                <w:rFonts w:cs="Arial"/>
              </w:rPr>
              <w:t>Outcomes</w:t>
            </w:r>
          </w:p>
        </w:tc>
        <w:tc>
          <w:tcPr>
            <w:tcW w:w="3995" w:type="pct"/>
            <w:tcBorders>
              <w:top w:val="single" w:sz="4" w:space="0" w:color="auto"/>
              <w:left w:val="single" w:sz="4" w:space="0" w:color="auto"/>
              <w:bottom w:val="single" w:sz="4" w:space="0" w:color="auto"/>
              <w:right w:val="single" w:sz="4" w:space="0" w:color="auto"/>
            </w:tcBorders>
          </w:tcPr>
          <w:p w14:paraId="5FE92D5B" w14:textId="77777777" w:rsidR="001C5FB1" w:rsidRPr="003E3CE0" w:rsidRDefault="001C5FB1" w:rsidP="001C5FB1">
            <w:pPr>
              <w:rPr>
                <w:u w:val="single"/>
              </w:rPr>
            </w:pPr>
            <w:r>
              <w:rPr>
                <w:u w:val="single"/>
              </w:rPr>
              <w:t>Clinical effectiveness</w:t>
            </w:r>
          </w:p>
          <w:p w14:paraId="0F7DDD3E" w14:textId="77777777" w:rsidR="001C5FB1" w:rsidRDefault="001C5FB1" w:rsidP="00266CA9">
            <w:pPr>
              <w:pStyle w:val="ListParagraph"/>
              <w:numPr>
                <w:ilvl w:val="0"/>
                <w:numId w:val="12"/>
              </w:numPr>
            </w:pPr>
            <w:r>
              <w:t>Quality, quantity and structure of cartilage (quantity hyaline characteristic cartilage; proportion of lesion fill)</w:t>
            </w:r>
          </w:p>
          <w:p w14:paraId="48F429CA" w14:textId="3AA17818" w:rsidR="00266CA9" w:rsidRPr="0008718C" w:rsidRDefault="00266CA9" w:rsidP="00266CA9">
            <w:pPr>
              <w:pStyle w:val="ListParagraph"/>
              <w:numPr>
                <w:ilvl w:val="0"/>
                <w:numId w:val="12"/>
              </w:numPr>
            </w:pPr>
            <w:r w:rsidRPr="0008718C">
              <w:t>OMERACT (Outcome Measures in Rheumatology)</w:t>
            </w:r>
          </w:p>
          <w:p w14:paraId="59F4141B" w14:textId="71F40D4B" w:rsidR="00266CA9" w:rsidRPr="0008718C" w:rsidRDefault="00266CA9" w:rsidP="00266CA9">
            <w:pPr>
              <w:pStyle w:val="ListParagraph"/>
              <w:numPr>
                <w:ilvl w:val="0"/>
                <w:numId w:val="12"/>
              </w:numPr>
              <w:rPr>
                <w:u w:val="single"/>
              </w:rPr>
            </w:pPr>
            <w:r w:rsidRPr="0008718C">
              <w:t xml:space="preserve">Time to weight bearing </w:t>
            </w:r>
          </w:p>
          <w:p w14:paraId="6A9D5D8D" w14:textId="5E541931" w:rsidR="001C5FB1" w:rsidRDefault="001C5FB1" w:rsidP="00266CA9">
            <w:pPr>
              <w:pStyle w:val="ListParagraph"/>
              <w:numPr>
                <w:ilvl w:val="0"/>
                <w:numId w:val="12"/>
              </w:numPr>
            </w:pPr>
            <w:r>
              <w:t>Symptoms and function</w:t>
            </w:r>
          </w:p>
          <w:p w14:paraId="321AD5BF" w14:textId="77777777" w:rsidR="001C5FB1" w:rsidRDefault="001C5FB1" w:rsidP="00266CA9">
            <w:pPr>
              <w:pStyle w:val="ListParagraph"/>
              <w:numPr>
                <w:ilvl w:val="0"/>
                <w:numId w:val="12"/>
              </w:numPr>
            </w:pPr>
            <w:r>
              <w:t>Quality of life and patient satisfaction</w:t>
            </w:r>
          </w:p>
          <w:p w14:paraId="4A86CCF7" w14:textId="77777777" w:rsidR="001C5FB1" w:rsidRDefault="001C5FB1" w:rsidP="00266CA9">
            <w:pPr>
              <w:pStyle w:val="ListParagraph"/>
              <w:numPr>
                <w:ilvl w:val="0"/>
                <w:numId w:val="12"/>
              </w:numPr>
            </w:pPr>
            <w:r>
              <w:t>WOMAC score</w:t>
            </w:r>
          </w:p>
          <w:p w14:paraId="3071EBA2" w14:textId="77777777" w:rsidR="001C5FB1" w:rsidRDefault="001C5FB1" w:rsidP="00266CA9">
            <w:pPr>
              <w:pStyle w:val="ListParagraph"/>
              <w:numPr>
                <w:ilvl w:val="0"/>
                <w:numId w:val="12"/>
              </w:numPr>
            </w:pPr>
            <w:r>
              <w:t>Tegner Activity Scale</w:t>
            </w:r>
          </w:p>
          <w:p w14:paraId="1D697FC5" w14:textId="77777777" w:rsidR="001C5FB1" w:rsidRDefault="001C5FB1" w:rsidP="00266CA9">
            <w:pPr>
              <w:pStyle w:val="ListParagraph"/>
              <w:numPr>
                <w:ilvl w:val="0"/>
                <w:numId w:val="12"/>
              </w:numPr>
            </w:pPr>
            <w:r>
              <w:t>International Cartilage Repair Society (ICRS) Score</w:t>
            </w:r>
          </w:p>
          <w:p w14:paraId="73575AD7" w14:textId="77777777" w:rsidR="001C5FB1" w:rsidRDefault="001C5FB1" w:rsidP="00266CA9">
            <w:pPr>
              <w:pStyle w:val="ListParagraph"/>
              <w:numPr>
                <w:ilvl w:val="0"/>
                <w:numId w:val="12"/>
              </w:numPr>
            </w:pPr>
            <w:r>
              <w:t>Lysholm Knee Scoring Scale</w:t>
            </w:r>
          </w:p>
          <w:p w14:paraId="7944E5BC" w14:textId="77777777" w:rsidR="001C5FB1" w:rsidRPr="003E3CE0" w:rsidRDefault="001C5FB1" w:rsidP="001C5FB1">
            <w:pPr>
              <w:rPr>
                <w:u w:val="single"/>
              </w:rPr>
            </w:pPr>
            <w:r>
              <w:rPr>
                <w:u w:val="single"/>
              </w:rPr>
              <w:t>Safety</w:t>
            </w:r>
            <w:r>
              <w:t xml:space="preserve">: Adverse events and serious adverse </w:t>
            </w:r>
            <w:r w:rsidRPr="00383C0E">
              <w:t xml:space="preserve">events </w:t>
            </w:r>
            <w:r w:rsidRPr="003A2C6F">
              <w:t>related to treatment</w:t>
            </w:r>
            <w:r>
              <w:t>; Treatment failure (defined as percentage lesion fill &lt; 70%)</w:t>
            </w:r>
          </w:p>
          <w:p w14:paraId="632E5268" w14:textId="74602C96" w:rsidR="001C5FB1" w:rsidRPr="00F11E4A" w:rsidRDefault="00DD66EE" w:rsidP="001C5FB1">
            <w:r>
              <w:rPr>
                <w:u w:val="single"/>
              </w:rPr>
              <w:t xml:space="preserve">Cost-effectiveness: </w:t>
            </w:r>
            <w:r>
              <w:t>Resource use: surgical costs (surgical time, surgeon consult</w:t>
            </w:r>
            <w:r w:rsidR="00FB617B">
              <w:t>, including for total joint replacement/subsequent procedures</w:t>
            </w:r>
            <w:r>
              <w:t>), days as an inpatient, inpatient paramedical consults (e.g. physiotherapy), medical devices (e.g. knee brace), laboratory tests, diagnostic tests (including MRI, X-ray, computed tomography (CT), CT angiography (CTA),</w:t>
            </w:r>
            <w:r w:rsidRPr="004A524F">
              <w:t xml:space="preserve"> follow-up</w:t>
            </w:r>
            <w:r>
              <w:t xml:space="preserve"> physiotherapy rehabilitation, medication for pain management, indirect costs (</w:t>
            </w:r>
            <w:r w:rsidR="00FB617B">
              <w:t xml:space="preserve">time to return to work, </w:t>
            </w:r>
            <w:r>
              <w:t>work days lost, health related quality of life), quality-adjusted life years (QALY).</w:t>
            </w:r>
            <w:r w:rsidR="00FB617B">
              <w:t xml:space="preserve"> Data limitations may inhibit consideration of longer-term outcomes, such as time to return to work, and total joint replacement/subsequent procedures. Data permitting, longer term outcomes should be considered.</w:t>
            </w:r>
          </w:p>
        </w:tc>
      </w:tr>
    </w:tbl>
    <w:p w14:paraId="72111E6C" w14:textId="77777777" w:rsidR="001C5FB1" w:rsidRDefault="001C5FB1" w:rsidP="00BF26D5">
      <w:pPr>
        <w:spacing w:after="0"/>
        <w:rPr>
          <w:b/>
        </w:rPr>
      </w:pPr>
    </w:p>
    <w:p w14:paraId="15C91AFD" w14:textId="77777777" w:rsidR="001C5FB1" w:rsidRPr="008A5364" w:rsidRDefault="001C5FB1" w:rsidP="00266CA9">
      <w:pPr>
        <w:spacing w:after="120"/>
        <w:rPr>
          <w:b/>
          <w:i/>
          <w:u w:val="single"/>
        </w:rPr>
      </w:pPr>
      <w:r>
        <w:rPr>
          <w:b/>
          <w:i/>
          <w:u w:val="single"/>
        </w:rPr>
        <w:t>Rationale</w:t>
      </w:r>
    </w:p>
    <w:p w14:paraId="5F1D08CA" w14:textId="36B7681E" w:rsidR="001C5FB1" w:rsidRDefault="00925F1E" w:rsidP="003F70CB">
      <w:pPr>
        <w:spacing w:after="120"/>
        <w:rPr>
          <w:i/>
          <w:u w:val="single"/>
        </w:rPr>
      </w:pPr>
      <w:r>
        <w:rPr>
          <w:i/>
          <w:u w:val="single"/>
        </w:rPr>
        <w:t>Patient-</w:t>
      </w:r>
      <w:r w:rsidR="001C5FB1" w:rsidRPr="002A66BD">
        <w:rPr>
          <w:i/>
          <w:u w:val="single"/>
        </w:rPr>
        <w:t>relevant</w:t>
      </w:r>
      <w:r w:rsidR="002838D8">
        <w:rPr>
          <w:i/>
          <w:u w:val="single"/>
        </w:rPr>
        <w:t xml:space="preserve"> outcomes</w:t>
      </w:r>
    </w:p>
    <w:p w14:paraId="79AA5239" w14:textId="42BE5C8D" w:rsidR="001C5FB1" w:rsidRDefault="001C5FB1" w:rsidP="001C5FB1">
      <w:r>
        <w:t xml:space="preserve">In the pivotal RCT by </w:t>
      </w:r>
      <w:r>
        <w:rPr>
          <w:b/>
        </w:rPr>
        <w:t>Stanish and colleagues</w:t>
      </w:r>
      <w:r>
        <w:t>, outcomes of interest included both s</w:t>
      </w:r>
      <w:r w:rsidR="00BB5EA2">
        <w:t>tructural outcomes, and patient-</w:t>
      </w:r>
      <w:r>
        <w:t xml:space="preserve">reported outcomes </w:t>
      </w:r>
      <w: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instrText xml:space="preserve"> ADDIN EN.CITE </w:instrText>
      </w:r>
      <w: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instrText xml:space="preserve"> ADDIN EN.CITE.DATA </w:instrText>
      </w:r>
      <w:r>
        <w:fldChar w:fldCharType="end"/>
      </w:r>
      <w:r>
        <w:fldChar w:fldCharType="separate"/>
      </w:r>
      <w:r>
        <w:rPr>
          <w:noProof/>
        </w:rPr>
        <w:t>[1]</w:t>
      </w:r>
      <w:r>
        <w:fldChar w:fldCharType="end"/>
      </w:r>
      <w:r>
        <w:t>. Outcomes were assess</w:t>
      </w:r>
      <w:r w:rsidR="00925F1E">
        <w:t xml:space="preserve">ed at one-, three-, six- and </w:t>
      </w:r>
      <w:r w:rsidR="00925F1E">
        <w:br/>
        <w:t xml:space="preserve">12 </w:t>
      </w:r>
      <w:r w:rsidR="00BF26D5">
        <w:t>m</w:t>
      </w:r>
      <w:r>
        <w:t xml:space="preserve">onths post-treatment </w:t>
      </w:r>
      <w: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instrText xml:space="preserve"> ADDIN EN.CITE </w:instrText>
      </w:r>
      <w: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instrText xml:space="preserve"> ADDIN EN.CITE.DATA </w:instrText>
      </w:r>
      <w:r>
        <w:fldChar w:fldCharType="end"/>
      </w:r>
      <w:r>
        <w:fldChar w:fldCharType="separate"/>
      </w:r>
      <w:r>
        <w:rPr>
          <w:noProof/>
        </w:rPr>
        <w:t>[1]</w:t>
      </w:r>
      <w:r>
        <w:fldChar w:fldCharType="end"/>
      </w:r>
      <w:r w:rsidR="00925F1E">
        <w:t xml:space="preserve">. </w:t>
      </w:r>
      <w:r>
        <w:t xml:space="preserve">The co-primary endpoints, repair cartilage quality defined by the degree of lesion filling and the quality of new repair cartilage, were measured at 12 months </w:t>
      </w:r>
      <w: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instrText xml:space="preserve"> ADDIN EN.CITE </w:instrText>
      </w:r>
      <w: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instrText xml:space="preserve"> ADDIN EN.CITE.DATA </w:instrText>
      </w:r>
      <w:r>
        <w:fldChar w:fldCharType="end"/>
      </w:r>
      <w:r>
        <w:fldChar w:fldCharType="separate"/>
      </w:r>
      <w:r>
        <w:rPr>
          <w:noProof/>
        </w:rPr>
        <w:t>[1]</w:t>
      </w:r>
      <w:r>
        <w:fldChar w:fldCharType="end"/>
      </w:r>
      <w:r w:rsidR="00925F1E">
        <w:t xml:space="preserve">. </w:t>
      </w:r>
      <w:r w:rsidR="007020A1">
        <w:t>The a</w:t>
      </w:r>
      <w:r>
        <w:t>pplicant noted, however, that significant improvements in the degree of lesion filling and the quality of new repair cartilage were likely to be seen at three months, and this time</w:t>
      </w:r>
      <w:r w:rsidR="00925F1E">
        <w:t>-</w:t>
      </w:r>
      <w:r>
        <w:t>point should also be assessed.</w:t>
      </w:r>
    </w:p>
    <w:p w14:paraId="16D78B00" w14:textId="723C0E87" w:rsidR="001C5FB1" w:rsidRDefault="001C5FB1" w:rsidP="001C5FB1">
      <w:pPr>
        <w:pStyle w:val="Caption"/>
      </w:pPr>
      <w:r>
        <w:t xml:space="preserve">Figure </w:t>
      </w:r>
      <w:r>
        <w:fldChar w:fldCharType="begin"/>
      </w:r>
      <w:r>
        <w:instrText xml:space="preserve"> SEQ Figure \* ARABIC </w:instrText>
      </w:r>
      <w:r>
        <w:fldChar w:fldCharType="separate"/>
      </w:r>
      <w:r w:rsidR="000649E7">
        <w:rPr>
          <w:noProof/>
        </w:rPr>
        <w:t>3</w:t>
      </w:r>
      <w:r>
        <w:fldChar w:fldCharType="end"/>
      </w:r>
      <w:r>
        <w:tab/>
        <w:t xml:space="preserve">Recommended clinical and structural outcomes from Frappier et al </w:t>
      </w:r>
      <w:r>
        <w:fldChar w:fldCharType="begin"/>
      </w:r>
      <w:r>
        <w:instrText xml:space="preserve"> ADDIN EN.CITE &lt;EndNote&gt;&lt;Cite&gt;&lt;Author&gt;Frappier&lt;/Author&gt;&lt;Year&gt;2014&lt;/Year&gt;&lt;RecNum&gt;11665&lt;/RecNum&gt;&lt;DisplayText&gt;[20]&lt;/DisplayText&gt;&lt;record&gt;&lt;rec-number&gt;11665&lt;/rec-number&gt;&lt;foreign-keys&gt;&lt;key app="EN" db-id="e5fswt02npwd52esazb5pr54wz9epasvpvef" timestamp="1551160761"&gt;11665&lt;/key&gt;&lt;/foreign-keys&gt;&lt;ref-type name="Journal Article"&gt;17&lt;/ref-type&gt;&lt;contributors&gt;&lt;authors&gt;&lt;author&gt;Frappier, J.&lt;/author&gt;&lt;author&gt;Stanish, W.&lt;/author&gt;&lt;author&gt;Brittberg, M.&lt;/author&gt;&lt;author&gt;Steinwachs, M.&lt;/author&gt;&lt;author&gt;Crowe, L.&lt;/author&gt;&lt;author&gt;Castelo, D.&lt;/author&gt;&lt;author&gt;Restrepo, A.&lt;/author&gt;&lt;/authors&gt;&lt;/contributors&gt;&lt;auth-address&gt;Data 4 Actions , Laval, Quebec , Canada.&lt;/auth-address&gt;&lt;titles&gt;&lt;title&gt;Economic evaluation of BST-CarGel as an adjunct to microfracture vs microfracture alone in knee cartilage surgery&lt;/title&gt;&lt;secondary-title&gt;J Med Econ&lt;/secondary-title&gt;&lt;/titles&gt;&lt;periodical&gt;&lt;full-title&gt;J Med Econ&lt;/full-title&gt;&lt;abbr-1&gt;Journal of medical economics&lt;/abbr-1&gt;&lt;/periodical&gt;&lt;pages&gt;266-78&lt;/pages&gt;&lt;volume&gt;17&lt;/volume&gt;&lt;number&gt;4&lt;/number&gt;&lt;edition&gt;2014/03/08&lt;/edition&gt;&lt;keywords&gt;&lt;keyword&gt;Adult&lt;/keyword&gt;&lt;keyword&gt;Arthroplasty, Replacement, Knee/economics&lt;/keyword&gt;&lt;keyword&gt;Cartilage/*surgery&lt;/keyword&gt;&lt;keyword&gt;Costs and Cost Analysis&lt;/keyword&gt;&lt;keyword&gt;*Decision Trees&lt;/keyword&gt;&lt;keyword&gt;Female&lt;/keyword&gt;&lt;keyword&gt;Germany&lt;/keyword&gt;&lt;keyword&gt;Humans&lt;/keyword&gt;&lt;keyword&gt;Knee Injuries/surgery&lt;/keyword&gt;&lt;keyword&gt;Knee Joint/*surgery&lt;/keyword&gt;&lt;keyword&gt;Male&lt;/keyword&gt;&lt;keyword&gt;Middle Aged&lt;/keyword&gt;&lt;keyword&gt;*Models, Economic&lt;/keyword&gt;&lt;keyword&gt;Orthopedic Procedures/*economics/*methods&lt;/keyword&gt;&lt;keyword&gt;Randomized Controlled Trials as Topic&lt;/keyword&gt;&lt;/keywords&gt;&lt;dates&gt;&lt;year&gt;2014&lt;/year&gt;&lt;pub-dates&gt;&lt;date&gt;Apr&lt;/date&gt;&lt;/pub-dates&gt;&lt;/dates&gt;&lt;isbn&gt;1941-837X (Electronic)&amp;#xD;1369-6998 (Linking)&lt;/isbn&gt;&lt;accession-num&gt;24601747&lt;/accession-num&gt;&lt;urls&gt;&lt;related-urls&gt;&lt;url&gt;https://www.ncbi.nlm.nih.gov/pubmed/24601747&lt;/url&gt;&lt;url&gt;https://www.tandfonline.com/doi/full/10.3111/13696998.2014.897626&lt;/url&gt;&lt;/related-urls&gt;&lt;/urls&gt;&lt;electronic-resource-num&gt;10.3111/13696998.2014.897626&lt;/electronic-resource-num&gt;&lt;/record&gt;&lt;/Cite&gt;&lt;/EndNote&gt;</w:instrText>
      </w:r>
      <w:r>
        <w:fldChar w:fldCharType="separate"/>
      </w:r>
      <w:r>
        <w:rPr>
          <w:noProof/>
        </w:rPr>
        <w:t>[20]</w:t>
      </w:r>
      <w:r>
        <w:fldChar w:fldCharType="end"/>
      </w:r>
      <w:r>
        <w:t>, and additional recommended outcomes for consideration in the application</w:t>
      </w:r>
    </w:p>
    <w:tbl>
      <w:tblPr>
        <w:tblStyle w:val="TableGrid"/>
        <w:tblW w:w="0" w:type="auto"/>
        <w:tblLook w:val="04A0" w:firstRow="1" w:lastRow="0" w:firstColumn="1" w:lastColumn="0" w:noHBand="0" w:noVBand="1"/>
        <w:tblCaption w:val="Figure 3"/>
        <w:tblDescription w:val="outcomes"/>
      </w:tblPr>
      <w:tblGrid>
        <w:gridCol w:w="2260"/>
        <w:gridCol w:w="2513"/>
        <w:gridCol w:w="2019"/>
        <w:gridCol w:w="2224"/>
      </w:tblGrid>
      <w:tr w:rsidR="001C5FB1" w14:paraId="0EDF593E" w14:textId="77777777" w:rsidTr="00AD324E">
        <w:trPr>
          <w:tblHeader/>
        </w:trPr>
        <w:tc>
          <w:tcPr>
            <w:tcW w:w="2487" w:type="dxa"/>
          </w:tcPr>
          <w:p w14:paraId="65FC31A6" w14:textId="77777777" w:rsidR="001C5FB1" w:rsidRDefault="001C5FB1" w:rsidP="001C5FB1">
            <w:r>
              <w:t>Structural outcomes</w:t>
            </w:r>
          </w:p>
        </w:tc>
        <w:tc>
          <w:tcPr>
            <w:tcW w:w="2714" w:type="dxa"/>
          </w:tcPr>
          <w:p w14:paraId="1709A56B" w14:textId="77777777" w:rsidR="001C5FB1" w:rsidRDefault="001C5FB1" w:rsidP="001C5FB1">
            <w:r>
              <w:t>Patient reported outcomes</w:t>
            </w:r>
          </w:p>
        </w:tc>
        <w:tc>
          <w:tcPr>
            <w:tcW w:w="2163" w:type="dxa"/>
          </w:tcPr>
          <w:p w14:paraId="681BB3DD" w14:textId="77777777" w:rsidR="001C5FB1" w:rsidRDefault="001C5FB1" w:rsidP="001C5FB1">
            <w:r>
              <w:t>Safety</w:t>
            </w:r>
          </w:p>
        </w:tc>
        <w:tc>
          <w:tcPr>
            <w:tcW w:w="1652" w:type="dxa"/>
          </w:tcPr>
          <w:p w14:paraId="09D015C2" w14:textId="77777777" w:rsidR="001C5FB1" w:rsidRDefault="001C5FB1" w:rsidP="001C5FB1">
            <w:r>
              <w:t>Cost-effectiveness</w:t>
            </w:r>
          </w:p>
        </w:tc>
      </w:tr>
      <w:tr w:rsidR="001C5FB1" w14:paraId="7E50B284" w14:textId="77777777" w:rsidTr="001C5FB1">
        <w:tc>
          <w:tcPr>
            <w:tcW w:w="2487" w:type="dxa"/>
          </w:tcPr>
          <w:p w14:paraId="296F67FB" w14:textId="77777777" w:rsidR="001C5FB1" w:rsidRDefault="001C5FB1" w:rsidP="001C5FB1">
            <w:pPr>
              <w:pStyle w:val="ListParagraph"/>
              <w:numPr>
                <w:ilvl w:val="0"/>
                <w:numId w:val="17"/>
              </w:numPr>
            </w:pPr>
            <w:r>
              <w:t>Repair tissue quantity (lesion % fill)</w:t>
            </w:r>
          </w:p>
          <w:p w14:paraId="31F4D476" w14:textId="77777777" w:rsidR="001C5FB1" w:rsidRDefault="001C5FB1" w:rsidP="001C5FB1">
            <w:pPr>
              <w:pStyle w:val="ListParagraph"/>
              <w:numPr>
                <w:ilvl w:val="0"/>
                <w:numId w:val="17"/>
              </w:numPr>
            </w:pPr>
            <w:r>
              <w:t>Quality (T2 relaxation time)</w:t>
            </w:r>
          </w:p>
          <w:p w14:paraId="18878943" w14:textId="77777777" w:rsidR="001C5FB1" w:rsidRDefault="001C5FB1" w:rsidP="001C5FB1">
            <w:pPr>
              <w:pStyle w:val="ListParagraph"/>
              <w:numPr>
                <w:ilvl w:val="0"/>
                <w:numId w:val="17"/>
              </w:numPr>
            </w:pPr>
            <w:r>
              <w:t>Tegner activity scale</w:t>
            </w:r>
          </w:p>
          <w:p w14:paraId="22A99360" w14:textId="77777777" w:rsidR="001C5FB1" w:rsidRDefault="001C5FB1" w:rsidP="001C5FB1">
            <w:pPr>
              <w:pStyle w:val="ListParagraph"/>
              <w:numPr>
                <w:ilvl w:val="0"/>
                <w:numId w:val="17"/>
              </w:numPr>
            </w:pPr>
            <w:r>
              <w:t>ICRS score</w:t>
            </w:r>
          </w:p>
          <w:p w14:paraId="5E87A104" w14:textId="77777777" w:rsidR="001C5FB1" w:rsidRDefault="001C5FB1" w:rsidP="001C5FB1">
            <w:pPr>
              <w:pStyle w:val="ListParagraph"/>
              <w:numPr>
                <w:ilvl w:val="0"/>
                <w:numId w:val="17"/>
              </w:numPr>
            </w:pPr>
            <w:r>
              <w:t>Lysholm score</w:t>
            </w:r>
          </w:p>
        </w:tc>
        <w:tc>
          <w:tcPr>
            <w:tcW w:w="2714" w:type="dxa"/>
          </w:tcPr>
          <w:p w14:paraId="1438F9D0" w14:textId="77777777" w:rsidR="001C5FB1" w:rsidRPr="00257BB6" w:rsidRDefault="001C5FB1" w:rsidP="001C5FB1">
            <w:pPr>
              <w:pStyle w:val="ListParagraph"/>
              <w:numPr>
                <w:ilvl w:val="0"/>
                <w:numId w:val="17"/>
              </w:numPr>
            </w:pPr>
            <w:r>
              <w:t xml:space="preserve">Clinical benefit measured using the </w:t>
            </w:r>
            <w:r w:rsidRPr="00257BB6">
              <w:rPr>
                <w:lang w:val="en-US"/>
              </w:rPr>
              <w:t>Western Ontario and McMaster Universities Osteoarthritis Index (WOMAC) VAS version25, consisting of three subscales: pain, stiffness, and</w:t>
            </w:r>
            <w:r>
              <w:rPr>
                <w:lang w:val="en-US"/>
              </w:rPr>
              <w:t xml:space="preserve"> </w:t>
            </w:r>
            <w:r w:rsidRPr="00257BB6">
              <w:rPr>
                <w:lang w:val="en-US"/>
              </w:rPr>
              <w:t>physical function</w:t>
            </w:r>
          </w:p>
          <w:p w14:paraId="68D44E7E" w14:textId="77777777" w:rsidR="001C5FB1" w:rsidRDefault="001C5FB1" w:rsidP="001C5FB1">
            <w:pPr>
              <w:pStyle w:val="ListParagraph"/>
              <w:numPr>
                <w:ilvl w:val="0"/>
                <w:numId w:val="17"/>
              </w:numPr>
            </w:pPr>
            <w:r>
              <w:t>Quality of life (SF-36)</w:t>
            </w:r>
          </w:p>
        </w:tc>
        <w:tc>
          <w:tcPr>
            <w:tcW w:w="2163" w:type="dxa"/>
          </w:tcPr>
          <w:p w14:paraId="33D41EE0" w14:textId="77777777" w:rsidR="001C5FB1" w:rsidRDefault="001C5FB1" w:rsidP="001C5FB1">
            <w:pPr>
              <w:pStyle w:val="ListParagraph"/>
              <w:numPr>
                <w:ilvl w:val="0"/>
                <w:numId w:val="17"/>
              </w:numPr>
            </w:pPr>
            <w:r>
              <w:t>Adverse events</w:t>
            </w:r>
          </w:p>
          <w:p w14:paraId="6BB14ED0" w14:textId="77777777" w:rsidR="001C5FB1" w:rsidRDefault="001C5FB1" w:rsidP="001C5FB1">
            <w:pPr>
              <w:pStyle w:val="ListParagraph"/>
              <w:numPr>
                <w:ilvl w:val="0"/>
                <w:numId w:val="17"/>
              </w:numPr>
            </w:pPr>
            <w:r>
              <w:t>Device-related adverse events</w:t>
            </w:r>
          </w:p>
          <w:p w14:paraId="0C2980CB" w14:textId="77777777" w:rsidR="001C5FB1" w:rsidRDefault="001C5FB1" w:rsidP="001C5FB1">
            <w:pPr>
              <w:pStyle w:val="ListParagraph"/>
              <w:numPr>
                <w:ilvl w:val="0"/>
                <w:numId w:val="17"/>
              </w:numPr>
            </w:pPr>
            <w:r>
              <w:t>Serious adverse events</w:t>
            </w:r>
          </w:p>
          <w:p w14:paraId="2F3EAFB5" w14:textId="77777777" w:rsidR="001C5FB1" w:rsidRDefault="001C5FB1" w:rsidP="001C5FB1">
            <w:pPr>
              <w:pStyle w:val="ListParagraph"/>
              <w:numPr>
                <w:ilvl w:val="0"/>
                <w:numId w:val="17"/>
              </w:numPr>
            </w:pPr>
            <w:r>
              <w:t xml:space="preserve">Treatment failure defined as lesion % fill </w:t>
            </w:r>
            <w:r>
              <w:br/>
              <w:t>&lt; 70%*</w:t>
            </w:r>
          </w:p>
        </w:tc>
        <w:tc>
          <w:tcPr>
            <w:tcW w:w="1652" w:type="dxa"/>
          </w:tcPr>
          <w:p w14:paraId="12E782EE" w14:textId="77777777" w:rsidR="001C5FB1" w:rsidRDefault="001C5FB1" w:rsidP="001C5FB1">
            <w:pPr>
              <w:pStyle w:val="ListParagraph"/>
              <w:numPr>
                <w:ilvl w:val="0"/>
                <w:numId w:val="17"/>
              </w:numPr>
            </w:pPr>
            <w:r>
              <w:t>Hospitalisation</w:t>
            </w:r>
          </w:p>
          <w:p w14:paraId="5696A593" w14:textId="77777777" w:rsidR="001C5FB1" w:rsidRDefault="001C5FB1" w:rsidP="001C5FB1">
            <w:pPr>
              <w:pStyle w:val="ListParagraph"/>
              <w:numPr>
                <w:ilvl w:val="0"/>
                <w:numId w:val="17"/>
              </w:numPr>
            </w:pPr>
            <w:r>
              <w:t>Surgical time</w:t>
            </w:r>
          </w:p>
          <w:p w14:paraId="6C5ACC52" w14:textId="77777777" w:rsidR="001C5FB1" w:rsidRDefault="001C5FB1" w:rsidP="001C5FB1">
            <w:pPr>
              <w:pStyle w:val="ListParagraph"/>
              <w:numPr>
                <w:ilvl w:val="0"/>
                <w:numId w:val="17"/>
              </w:numPr>
            </w:pPr>
            <w:r>
              <w:t>Surgeon consult</w:t>
            </w:r>
          </w:p>
          <w:p w14:paraId="725D5069" w14:textId="77777777" w:rsidR="001C5FB1" w:rsidRDefault="001C5FB1" w:rsidP="001C5FB1">
            <w:pPr>
              <w:pStyle w:val="ListParagraph"/>
              <w:numPr>
                <w:ilvl w:val="0"/>
                <w:numId w:val="17"/>
              </w:numPr>
            </w:pPr>
            <w:r>
              <w:t>Paramedical consults (e.g. physiotherapy)</w:t>
            </w:r>
          </w:p>
          <w:p w14:paraId="00E2B845" w14:textId="77777777" w:rsidR="001C5FB1" w:rsidRDefault="001C5FB1" w:rsidP="001C5FB1">
            <w:pPr>
              <w:pStyle w:val="ListParagraph"/>
              <w:numPr>
                <w:ilvl w:val="0"/>
                <w:numId w:val="17"/>
              </w:numPr>
            </w:pPr>
            <w:r>
              <w:t>Medical devices (e.g. knee brace)</w:t>
            </w:r>
          </w:p>
          <w:p w14:paraId="14C3E6BE" w14:textId="77777777" w:rsidR="001C5FB1" w:rsidRDefault="001C5FB1" w:rsidP="001C5FB1">
            <w:pPr>
              <w:pStyle w:val="ListParagraph"/>
              <w:numPr>
                <w:ilvl w:val="0"/>
                <w:numId w:val="17"/>
              </w:numPr>
            </w:pPr>
            <w:r>
              <w:t>Laboratory tests</w:t>
            </w:r>
          </w:p>
          <w:p w14:paraId="3A77B8ED" w14:textId="77777777" w:rsidR="001C5FB1" w:rsidRDefault="001C5FB1" w:rsidP="001C5FB1">
            <w:pPr>
              <w:pStyle w:val="ListParagraph"/>
              <w:numPr>
                <w:ilvl w:val="0"/>
                <w:numId w:val="17"/>
              </w:numPr>
            </w:pPr>
            <w:r>
              <w:t>Diagnostic tests (including MRI, X-ray, electrocardiogram (ECG))</w:t>
            </w:r>
            <w:r w:rsidRPr="006323D7">
              <w:rPr>
                <w:vertAlign w:val="superscript"/>
              </w:rPr>
              <w:t>a</w:t>
            </w:r>
          </w:p>
          <w:p w14:paraId="1DFE4064" w14:textId="77777777" w:rsidR="001C5FB1" w:rsidRDefault="001C5FB1" w:rsidP="001C5FB1">
            <w:pPr>
              <w:pStyle w:val="ListParagraph"/>
              <w:numPr>
                <w:ilvl w:val="0"/>
                <w:numId w:val="17"/>
              </w:numPr>
            </w:pPr>
            <w:r>
              <w:t>Pain management</w:t>
            </w:r>
          </w:p>
          <w:p w14:paraId="3DF907DB" w14:textId="77777777" w:rsidR="001C5FB1" w:rsidRDefault="001C5FB1" w:rsidP="001C5FB1">
            <w:pPr>
              <w:pStyle w:val="ListParagraph"/>
              <w:numPr>
                <w:ilvl w:val="0"/>
                <w:numId w:val="17"/>
              </w:numPr>
            </w:pPr>
            <w:r>
              <w:t>Indirect costs (work days lost)</w:t>
            </w:r>
          </w:p>
          <w:p w14:paraId="15AF39FF" w14:textId="77777777" w:rsidR="001C5FB1" w:rsidRDefault="001C5FB1" w:rsidP="001C5FB1">
            <w:pPr>
              <w:pStyle w:val="ListParagraph"/>
              <w:numPr>
                <w:ilvl w:val="0"/>
                <w:numId w:val="17"/>
              </w:numPr>
            </w:pPr>
            <w:r>
              <w:t>HRQL</w:t>
            </w:r>
          </w:p>
        </w:tc>
      </w:tr>
    </w:tbl>
    <w:p w14:paraId="78DD6BB5" w14:textId="77777777" w:rsidR="001C5FB1" w:rsidRPr="006323D7" w:rsidRDefault="001C5FB1" w:rsidP="001C5FB1">
      <w:pPr>
        <w:pStyle w:val="Tablefooter"/>
      </w:pPr>
      <w:r w:rsidRPr="006323D7">
        <w:t xml:space="preserve">Source: Frappier </w:t>
      </w:r>
      <w:r>
        <w:t>and colleagues</w:t>
      </w:r>
      <w:r w:rsidRPr="006323D7">
        <w:t xml:space="preserve"> (2014) </w:t>
      </w:r>
      <w:r w:rsidRPr="006323D7">
        <w:fldChar w:fldCharType="begin"/>
      </w:r>
      <w:r>
        <w:instrText xml:space="preserve"> ADDIN EN.CITE &lt;EndNote&gt;&lt;Cite&gt;&lt;Author&gt;Frappier&lt;/Author&gt;&lt;Year&gt;2014&lt;/Year&gt;&lt;RecNum&gt;11665&lt;/RecNum&gt;&lt;DisplayText&gt;[20]&lt;/DisplayText&gt;&lt;record&gt;&lt;rec-number&gt;11665&lt;/rec-number&gt;&lt;foreign-keys&gt;&lt;key app="EN" db-id="e5fswt02npwd52esazb5pr54wz9epasvpvef" timestamp="1551160761"&gt;11665&lt;/key&gt;&lt;/foreign-keys&gt;&lt;ref-type name="Journal Article"&gt;17&lt;/ref-type&gt;&lt;contributors&gt;&lt;authors&gt;&lt;author&gt;Frappier, J.&lt;/author&gt;&lt;author&gt;Stanish, W.&lt;/author&gt;&lt;author&gt;Brittberg, M.&lt;/author&gt;&lt;author&gt;Steinwachs, M.&lt;/author&gt;&lt;author&gt;Crowe, L.&lt;/author&gt;&lt;author&gt;Castelo, D.&lt;/author&gt;&lt;author&gt;Restrepo, A.&lt;/author&gt;&lt;/authors&gt;&lt;/contributors&gt;&lt;auth-address&gt;Data 4 Actions , Laval, Quebec , Canada.&lt;/auth-address&gt;&lt;titles&gt;&lt;title&gt;Economic evaluation of BST-CarGel as an adjunct to microfracture vs microfracture alone in knee cartilage surgery&lt;/title&gt;&lt;secondary-title&gt;J Med Econ&lt;/secondary-title&gt;&lt;/titles&gt;&lt;periodical&gt;&lt;full-title&gt;J Med Econ&lt;/full-title&gt;&lt;abbr-1&gt;Journal of medical economics&lt;/abbr-1&gt;&lt;/periodical&gt;&lt;pages&gt;266-78&lt;/pages&gt;&lt;volume&gt;17&lt;/volume&gt;&lt;number&gt;4&lt;/number&gt;&lt;edition&gt;2014/03/08&lt;/edition&gt;&lt;keywords&gt;&lt;keyword&gt;Adult&lt;/keyword&gt;&lt;keyword&gt;Arthroplasty, Replacement, Knee/economics&lt;/keyword&gt;&lt;keyword&gt;Cartilage/*surgery&lt;/keyword&gt;&lt;keyword&gt;Costs and Cost Analysis&lt;/keyword&gt;&lt;keyword&gt;*Decision Trees&lt;/keyword&gt;&lt;keyword&gt;Female&lt;/keyword&gt;&lt;keyword&gt;Germany&lt;/keyword&gt;&lt;keyword&gt;Humans&lt;/keyword&gt;&lt;keyword&gt;Knee Injuries/surgery&lt;/keyword&gt;&lt;keyword&gt;Knee Joint/*surgery&lt;/keyword&gt;&lt;keyword&gt;Male&lt;/keyword&gt;&lt;keyword&gt;Middle Aged&lt;/keyword&gt;&lt;keyword&gt;*Models, Economic&lt;/keyword&gt;&lt;keyword&gt;Orthopedic Procedures/*economics/*methods&lt;/keyword&gt;&lt;keyword&gt;Randomized Controlled Trials as Topic&lt;/keyword&gt;&lt;/keywords&gt;&lt;dates&gt;&lt;year&gt;2014&lt;/year&gt;&lt;pub-dates&gt;&lt;date&gt;Apr&lt;/date&gt;&lt;/pub-dates&gt;&lt;/dates&gt;&lt;isbn&gt;1941-837X (Electronic)&amp;#xD;1369-6998 (Linking)&lt;/isbn&gt;&lt;accession-num&gt;24601747&lt;/accession-num&gt;&lt;urls&gt;&lt;related-urls&gt;&lt;url&gt;https://www.ncbi.nlm.nih.gov/pubmed/24601747&lt;/url&gt;&lt;url&gt;https://www.tandfonline.com/doi/full/10.3111/13696998.2014.897626&lt;/url&gt;&lt;/related-urls&gt;&lt;/urls&gt;&lt;electronic-resource-num&gt;10.3111/13696998.2014.897626&lt;/electronic-resource-num&gt;&lt;/record&gt;&lt;/Cite&gt;&lt;/EndNote&gt;</w:instrText>
      </w:r>
      <w:r w:rsidRPr="006323D7">
        <w:fldChar w:fldCharType="separate"/>
      </w:r>
      <w:r>
        <w:rPr>
          <w:noProof/>
        </w:rPr>
        <w:t>[20]</w:t>
      </w:r>
      <w:r w:rsidRPr="006323D7">
        <w:fldChar w:fldCharType="end"/>
      </w:r>
      <w:r w:rsidRPr="006323D7">
        <w:t xml:space="preserve">.  Note: * The percentage lesion fill in Frappier was assumed in the analysis as the threshold for inferring treatment failure and was based on the gradations of cartilage repair fill reported by Mithoefer </w:t>
      </w:r>
      <w:r>
        <w:t>and colleagues</w:t>
      </w:r>
      <w:r w:rsidRPr="006323D7">
        <w:t xml:space="preserve"> ((good: 67–100% fill;</w:t>
      </w:r>
      <w:r>
        <w:t xml:space="preserve"> </w:t>
      </w:r>
      <w:r w:rsidRPr="006323D7">
        <w:t>moderate: 34–66% fill; poor: 0–33% fill) and validated</w:t>
      </w:r>
      <w:r>
        <w:t xml:space="preserve"> </w:t>
      </w:r>
      <w:r w:rsidRPr="006323D7">
        <w:t>by the Delphi panel</w:t>
      </w:r>
      <w:r>
        <w:t xml:space="preserve"> </w:t>
      </w:r>
      <w:r>
        <w:fldChar w:fldCharType="begin"/>
      </w:r>
      <w:r>
        <w:instrText xml:space="preserve"> ADDIN EN.CITE &lt;EndNote&gt;&lt;Cite&gt;&lt;Author&gt;Mithoefer&lt;/Author&gt;&lt;Year&gt;2009&lt;/Year&gt;&lt;RecNum&gt;11782&lt;/RecNum&gt;&lt;DisplayText&gt;[21]&lt;/DisplayText&gt;&lt;record&gt;&lt;rec-number&gt;11782&lt;/rec-number&gt;&lt;foreign-keys&gt;&lt;key app="EN" db-id="e5fswt02npwd52esazb5pr54wz9epasvpvef" timestamp="1553470394"&gt;11782&lt;/key&gt;&lt;/foreign-keys&gt;&lt;ref-type name="Journal Article"&gt;17&lt;/ref-type&gt;&lt;contributors&gt;&lt;authors&gt;&lt;author&gt;Mithoefer, K.&lt;/author&gt;&lt;author&gt;McAdams, T.&lt;/author&gt;&lt;author&gt;Williams, R. J.&lt;/author&gt;&lt;author&gt;Kreuz, P. C.&lt;/author&gt;&lt;author&gt;Mandelbaum, B. R.&lt;/author&gt;&lt;/authors&gt;&lt;/contributors&gt;&lt;auth-address&gt;Harvard Vanguard Orthopedics and Sports Medicine, Brigham and Women&amp;apos;s/Faulkner Hospital, Harvard Medical School, Boston, Massachusetts, USA. kmithoefer@partners.org&lt;/auth-address&gt;&lt;titles&gt;&lt;title&gt;Clinical efficacy of the microfracture technique for articular cartilage repair in the knee: an evidence-based systematic analysis&lt;/title&gt;&lt;secondary-title&gt;Am J Sports Med&lt;/secondary-title&gt;&lt;/titles&gt;&lt;periodical&gt;&lt;full-title&gt;Am J Sports Med&lt;/full-title&gt;&lt;/periodical&gt;&lt;pages&gt;2053-63&lt;/pages&gt;&lt;volume&gt;37&lt;/volume&gt;&lt;number&gt;10&lt;/number&gt;&lt;edition&gt;2009/03/03&lt;/edition&gt;&lt;keywords&gt;&lt;keyword&gt;*Arthroplasty, Subchondral&lt;/keyword&gt;&lt;keyword&gt;Cartilage, Articular/injuries/*surgery&lt;/keyword&gt;&lt;keyword&gt;Evidence-Based Medicine&lt;/keyword&gt;&lt;keyword&gt;Humans&lt;/keyword&gt;&lt;keyword&gt;Knee Injuries/*surgery&lt;/keyword&gt;&lt;keyword&gt;Magnetic Resonance Imaging&lt;/keyword&gt;&lt;keyword&gt;Treatment Failure&lt;/keyword&gt;&lt;/keywords&gt;&lt;dates&gt;&lt;year&gt;2009&lt;/year&gt;&lt;pub-dates&gt;&lt;date&gt;Oct&lt;/date&gt;&lt;/pub-dates&gt;&lt;/dates&gt;&lt;isbn&gt;1552-3365 (Electronic)&amp;#xD;0363-5465 (Linking)&lt;/isbn&gt;&lt;accession-num&gt;19251676&lt;/accession-num&gt;&lt;urls&gt;&lt;related-urls&gt;&lt;url&gt;https://www.ncbi.nlm.nih.gov/pubmed/19251676&lt;/url&gt;&lt;/related-urls&gt;&lt;/urls&gt;&lt;electronic-resource-num&gt;10.1177/0363546508328414&lt;/electronic-resource-num&gt;&lt;/record&gt;&lt;/Cite&gt;&lt;/EndNote&gt;</w:instrText>
      </w:r>
      <w:r>
        <w:fldChar w:fldCharType="separate"/>
      </w:r>
      <w:r>
        <w:rPr>
          <w:noProof/>
        </w:rPr>
        <w:t>[21]</w:t>
      </w:r>
      <w:r>
        <w:fldChar w:fldCharType="end"/>
      </w:r>
      <w:r w:rsidRPr="006323D7">
        <w:t>.  This was based on the gradations of cartilage repair reported by other authors.  aECG assessment was included as part of the diagnostic work up in Frappier et al.</w:t>
      </w:r>
    </w:p>
    <w:p w14:paraId="0EDCEB7C" w14:textId="77777777" w:rsidR="001F0153" w:rsidRPr="0008718C" w:rsidRDefault="001F0153" w:rsidP="001F0153">
      <w:pPr>
        <w:rPr>
          <w:u w:val="single"/>
        </w:rPr>
      </w:pPr>
      <w:r w:rsidRPr="0008718C">
        <w:t xml:space="preserve">To ensure consistency with similar current application 1578, PASC recommended OMERACT (Outcome Measures in Rheumatology) and ‘time to weight bearing’ be added to application 1569’s outcomes. </w:t>
      </w:r>
    </w:p>
    <w:p w14:paraId="617A0566" w14:textId="415829BF" w:rsidR="001C5FB1" w:rsidRDefault="004D1EC4" w:rsidP="001C5FB1">
      <w:r>
        <w:t>Another potentially-</w:t>
      </w:r>
      <w:r w:rsidR="001C5FB1">
        <w:t>relevant outcome is patient satisfaction, although this was not measured in the pivotal study.</w:t>
      </w:r>
    </w:p>
    <w:p w14:paraId="212E03A1" w14:textId="097B7A3E" w:rsidR="001C5FB1" w:rsidRDefault="001C5FB1" w:rsidP="001C5FB1">
      <w:r>
        <w:t>The clinical adviser suggested the risk of premature arthritis, and subsequent total joint replacement (TJR)</w:t>
      </w:r>
      <w:r w:rsidR="00266CA9">
        <w:t>,</w:t>
      </w:r>
      <w:r>
        <w:t xml:space="preserve"> was not an outcom</w:t>
      </w:r>
      <w:r w:rsidR="00266CA9">
        <w:t xml:space="preserve">e of interest for this reason. </w:t>
      </w:r>
      <w:r>
        <w:t>However, premature arthritis and total joint replacement (or total knee replacement (TKR)) should be considered if the evidence suggests that the efficacy of MF+CBI delays these events and their associated costs, relative to microfracture alone.</w:t>
      </w:r>
    </w:p>
    <w:p w14:paraId="78941DC0" w14:textId="76BA84FE" w:rsidR="00BB5EA2" w:rsidRDefault="001C5FB1" w:rsidP="001C5FB1">
      <w:pPr>
        <w:rPr>
          <w:lang w:val="en-US"/>
        </w:rPr>
      </w:pPr>
      <w:r w:rsidRPr="006323D7">
        <w:t xml:space="preserve">Treatment failure, defined as lesion fill &lt; 70% </w:t>
      </w:r>
      <w:r w:rsidRPr="006323D7">
        <w:fldChar w:fldCharType="begin"/>
      </w:r>
      <w:r>
        <w:instrText xml:space="preserve"> ADDIN EN.CITE &lt;EndNote&gt;&lt;Cite&gt;&lt;Author&gt;Frappier&lt;/Author&gt;&lt;Year&gt;2014&lt;/Year&gt;&lt;RecNum&gt;11665&lt;/RecNum&gt;&lt;DisplayText&gt;[20]&lt;/DisplayText&gt;&lt;record&gt;&lt;rec-number&gt;11665&lt;/rec-number&gt;&lt;foreign-keys&gt;&lt;key app="EN" db-id="e5fswt02npwd52esazb5pr54wz9epasvpvef" timestamp="1551160761"&gt;11665&lt;/key&gt;&lt;/foreign-keys&gt;&lt;ref-type name="Journal Article"&gt;17&lt;/ref-type&gt;&lt;contributors&gt;&lt;authors&gt;&lt;author&gt;Frappier, J.&lt;/author&gt;&lt;author&gt;Stanish, W.&lt;/author&gt;&lt;author&gt;Brittberg, M.&lt;/author&gt;&lt;author&gt;Steinwachs, M.&lt;/author&gt;&lt;author&gt;Crowe, L.&lt;/author&gt;&lt;author&gt;Castelo, D.&lt;/author&gt;&lt;author&gt;Restrepo, A.&lt;/author&gt;&lt;/authors&gt;&lt;/contributors&gt;&lt;auth-address&gt;Data 4 Actions , Laval, Quebec , Canada.&lt;/auth-address&gt;&lt;titles&gt;&lt;title&gt;Economic evaluation of BST-CarGel as an adjunct to microfracture vs microfracture alone in knee cartilage surgery&lt;/title&gt;&lt;secondary-title&gt;J Med Econ&lt;/secondary-title&gt;&lt;/titles&gt;&lt;periodical&gt;&lt;full-title&gt;J Med Econ&lt;/full-title&gt;&lt;abbr-1&gt;Journal of medical economics&lt;/abbr-1&gt;&lt;/periodical&gt;&lt;pages&gt;266-78&lt;/pages&gt;&lt;volume&gt;17&lt;/volume&gt;&lt;number&gt;4&lt;/number&gt;&lt;edition&gt;2014/03/08&lt;/edition&gt;&lt;keywords&gt;&lt;keyword&gt;Adult&lt;/keyword&gt;&lt;keyword&gt;Arthroplasty, Replacement, Knee/economics&lt;/keyword&gt;&lt;keyword&gt;Cartilage/*surgery&lt;/keyword&gt;&lt;keyword&gt;Costs and Cost Analysis&lt;/keyword&gt;&lt;keyword&gt;*Decision Trees&lt;/keyword&gt;&lt;keyword&gt;Female&lt;/keyword&gt;&lt;keyword&gt;Germany&lt;/keyword&gt;&lt;keyword&gt;Humans&lt;/keyword&gt;&lt;keyword&gt;Knee Injuries/surgery&lt;/keyword&gt;&lt;keyword&gt;Knee Joint/*surgery&lt;/keyword&gt;&lt;keyword&gt;Male&lt;/keyword&gt;&lt;keyword&gt;Middle Aged&lt;/keyword&gt;&lt;keyword&gt;*Models, Economic&lt;/keyword&gt;&lt;keyword&gt;Orthopedic Procedures/*economics/*methods&lt;/keyword&gt;&lt;keyword&gt;Randomized Controlled Trials as Topic&lt;/keyword&gt;&lt;/keywords&gt;&lt;dates&gt;&lt;year&gt;2014&lt;/year&gt;&lt;pub-dates&gt;&lt;date&gt;Apr&lt;/date&gt;&lt;/pub-dates&gt;&lt;/dates&gt;&lt;isbn&gt;1941-837X (Electronic)&amp;#xD;1369-6998 (Linking)&lt;/isbn&gt;&lt;accession-num&gt;24601747&lt;/accession-num&gt;&lt;urls&gt;&lt;related-urls&gt;&lt;url&gt;https://www.ncbi.nlm.nih.gov/pubmed/24601747&lt;/url&gt;&lt;url&gt;https://www.tandfonline.com/doi/full/10.3111/13696998.2014.897626&lt;/url&gt;&lt;/related-urls&gt;&lt;/urls&gt;&lt;electronic-resource-num&gt;10.3111/13696998.2014.897626&lt;/electronic-resource-num&gt;&lt;/record&gt;&lt;/Cite&gt;&lt;/EndNote&gt;</w:instrText>
      </w:r>
      <w:r w:rsidRPr="006323D7">
        <w:fldChar w:fldCharType="separate"/>
      </w:r>
      <w:r>
        <w:rPr>
          <w:noProof/>
        </w:rPr>
        <w:t>[20]</w:t>
      </w:r>
      <w:r w:rsidRPr="006323D7">
        <w:fldChar w:fldCharType="end"/>
      </w:r>
      <w:r w:rsidR="00266CA9">
        <w:t>,</w:t>
      </w:r>
      <w:r w:rsidRPr="006323D7">
        <w:t xml:space="preserve"> is also</w:t>
      </w:r>
      <w:r>
        <w:t xml:space="preserve"> an important endpoint, and this has been added to the table above.</w:t>
      </w:r>
      <w:r w:rsidR="00BB5EA2">
        <w:t xml:space="preserve"> </w:t>
      </w:r>
      <w:r w:rsidRPr="006323D7">
        <w:t xml:space="preserve">The percentage lesion fill in </w:t>
      </w:r>
      <w:r w:rsidRPr="006323D7">
        <w:rPr>
          <w:b/>
        </w:rPr>
        <w:t>Frappier</w:t>
      </w:r>
      <w:r w:rsidRPr="006323D7">
        <w:t xml:space="preserve"> was assumed in the analysis as the threshold for inferring treatment failure</w:t>
      </w:r>
      <w:r w:rsidR="00BB5EA2">
        <w:t xml:space="preserve">, and was based on </w:t>
      </w:r>
      <w:r w:rsidRPr="006323D7">
        <w:t xml:space="preserve">gradations of cartilage repair fill reported by Mithoefer and colleagues (good: 67–100% fill; moderate: 34–66% fill; poor: 0–33% fill) and validated by the Delphi panel </w:t>
      </w:r>
      <w:r w:rsidRPr="006323D7">
        <w:fldChar w:fldCharType="begin"/>
      </w:r>
      <w:r>
        <w:instrText xml:space="preserve"> ADDIN EN.CITE &lt;EndNote&gt;&lt;Cite&gt;&lt;Author&gt;Mithoefer&lt;/Author&gt;&lt;Year&gt;2009&lt;/Year&gt;&lt;RecNum&gt;11782&lt;/RecNum&gt;&lt;DisplayText&gt;[21]&lt;/DisplayText&gt;&lt;record&gt;&lt;rec-number&gt;11782&lt;/rec-number&gt;&lt;foreign-keys&gt;&lt;key app="EN" db-id="e5fswt02npwd52esazb5pr54wz9epasvpvef" timestamp="1553470394"&gt;11782&lt;/key&gt;&lt;/foreign-keys&gt;&lt;ref-type name="Journal Article"&gt;17&lt;/ref-type&gt;&lt;contributors&gt;&lt;authors&gt;&lt;author&gt;Mithoefer, K.&lt;/author&gt;&lt;author&gt;McAdams, T.&lt;/author&gt;&lt;author&gt;Williams, R. J.&lt;/author&gt;&lt;author&gt;Kreuz, P. C.&lt;/author&gt;&lt;author&gt;Mandelbaum, B. R.&lt;/author&gt;&lt;/authors&gt;&lt;/contributors&gt;&lt;auth-address&gt;Harvard Vanguard Orthopedics and Sports Medicine, Brigham and Women&amp;apos;s/Faulkner Hospital, Harvard Medical School, Boston, Massachusetts, USA. kmithoefer@partners.org&lt;/auth-address&gt;&lt;titles&gt;&lt;title&gt;Clinical efficacy of the microfracture technique for articular cartilage repair in the knee: an evidence-based systematic analysis&lt;/title&gt;&lt;secondary-title&gt;Am J Sports Med&lt;/secondary-title&gt;&lt;/titles&gt;&lt;periodical&gt;&lt;full-title&gt;Am J Sports Med&lt;/full-title&gt;&lt;/periodical&gt;&lt;pages&gt;2053-63&lt;/pages&gt;&lt;volume&gt;37&lt;/volume&gt;&lt;number&gt;10&lt;/number&gt;&lt;edition&gt;2009/03/03&lt;/edition&gt;&lt;keywords&gt;&lt;keyword&gt;*Arthroplasty, Subchondral&lt;/keyword&gt;&lt;keyword&gt;Cartilage, Articular/injuries/*surgery&lt;/keyword&gt;&lt;keyword&gt;Evidence-Based Medicine&lt;/keyword&gt;&lt;keyword&gt;Humans&lt;/keyword&gt;&lt;keyword&gt;Knee Injuries/*surgery&lt;/keyword&gt;&lt;keyword&gt;Magnetic Resonance Imaging&lt;/keyword&gt;&lt;keyword&gt;Treatment Failure&lt;/keyword&gt;&lt;/keywords&gt;&lt;dates&gt;&lt;year&gt;2009&lt;/year&gt;&lt;pub-dates&gt;&lt;date&gt;Oct&lt;/date&gt;&lt;/pub-dates&gt;&lt;/dates&gt;&lt;isbn&gt;1552-3365 (Electronic)&amp;#xD;0363-5465 (Linking)&lt;/isbn&gt;&lt;accession-num&gt;19251676&lt;/accession-num&gt;&lt;urls&gt;&lt;related-urls&gt;&lt;url&gt;https://www.ncbi.nlm.nih.gov/pubmed/19251676&lt;/url&gt;&lt;/related-urls&gt;&lt;/urls&gt;&lt;electronic-resource-num&gt;10.1177/0363546508328414&lt;/electronic-resource-num&gt;&lt;/record&gt;&lt;/Cite&gt;&lt;/EndNote&gt;</w:instrText>
      </w:r>
      <w:r w:rsidRPr="006323D7">
        <w:fldChar w:fldCharType="separate"/>
      </w:r>
      <w:r>
        <w:rPr>
          <w:noProof/>
        </w:rPr>
        <w:t>[21]</w:t>
      </w:r>
      <w:r w:rsidRPr="006323D7">
        <w:fldChar w:fldCharType="end"/>
      </w:r>
      <w:r w:rsidRPr="006323D7">
        <w:t>.</w:t>
      </w:r>
      <w:r w:rsidR="00BB5EA2">
        <w:t xml:space="preserve"> </w:t>
      </w:r>
      <w:r w:rsidRPr="006323D7">
        <w:t>Treatment failure with MF</w:t>
      </w:r>
      <w:r w:rsidRPr="006323D7">
        <w:sym w:font="Symbol" w:char="F0B1"/>
      </w:r>
      <w:r w:rsidRPr="006323D7">
        <w:t xml:space="preserve">CBI is likely to lead to a second surgery, such as autologous chondrocyte implantation (ACI), which if failed, may lead to a total joint replacement </w:t>
      </w:r>
      <w:r w:rsidRPr="006323D7">
        <w:fldChar w:fldCharType="begin"/>
      </w:r>
      <w:r>
        <w:instrText xml:space="preserve"> ADDIN EN.CITE &lt;EndNote&gt;&lt;Cite&gt;&lt;Author&gt;Frappier&lt;/Author&gt;&lt;Year&gt;2014&lt;/Year&gt;&lt;RecNum&gt;11665&lt;/RecNum&gt;&lt;DisplayText&gt;[20]&lt;/DisplayText&gt;&lt;record&gt;&lt;rec-number&gt;11665&lt;/rec-number&gt;&lt;foreign-keys&gt;&lt;key app="EN" db-id="e5fswt02npwd52esazb5pr54wz9epasvpvef" timestamp="1551160761"&gt;11665&lt;/key&gt;&lt;/foreign-keys&gt;&lt;ref-type name="Journal Article"&gt;17&lt;/ref-type&gt;&lt;contributors&gt;&lt;authors&gt;&lt;author&gt;Frappier, J.&lt;/author&gt;&lt;author&gt;Stanish, W.&lt;/author&gt;&lt;author&gt;Brittberg, M.&lt;/author&gt;&lt;author&gt;Steinwachs, M.&lt;/author&gt;&lt;author&gt;Crowe, L.&lt;/author&gt;&lt;author&gt;Castelo, D.&lt;/author&gt;&lt;author&gt;Restrepo, A.&lt;/author&gt;&lt;/authors&gt;&lt;/contributors&gt;&lt;auth-address&gt;Data 4 Actions , Laval, Quebec , Canada.&lt;/auth-address&gt;&lt;titles&gt;&lt;title&gt;Economic evaluation of BST-CarGel as an adjunct to microfracture vs microfracture alone in knee cartilage surgery&lt;/title&gt;&lt;secondary-title&gt;J Med Econ&lt;/secondary-title&gt;&lt;/titles&gt;&lt;periodical&gt;&lt;full-title&gt;J Med Econ&lt;/full-title&gt;&lt;abbr-1&gt;Journal of medical economics&lt;/abbr-1&gt;&lt;/periodical&gt;&lt;pages&gt;266-78&lt;/pages&gt;&lt;volume&gt;17&lt;/volume&gt;&lt;number&gt;4&lt;/number&gt;&lt;edition&gt;2014/03/08&lt;/edition&gt;&lt;keywords&gt;&lt;keyword&gt;Adult&lt;/keyword&gt;&lt;keyword&gt;Arthroplasty, Replacement, Knee/economics&lt;/keyword&gt;&lt;keyword&gt;Cartilage/*surgery&lt;/keyword&gt;&lt;keyword&gt;Costs and Cost Analysis&lt;/keyword&gt;&lt;keyword&gt;*Decision Trees&lt;/keyword&gt;&lt;keyword&gt;Female&lt;/keyword&gt;&lt;keyword&gt;Germany&lt;/keyword&gt;&lt;keyword&gt;Humans&lt;/keyword&gt;&lt;keyword&gt;Knee Injuries/surgery&lt;/keyword&gt;&lt;keyword&gt;Knee Joint/*surgery&lt;/keyword&gt;&lt;keyword&gt;Male&lt;/keyword&gt;&lt;keyword&gt;Middle Aged&lt;/keyword&gt;&lt;keyword&gt;*Models, Economic&lt;/keyword&gt;&lt;keyword&gt;Orthopedic Procedures/*economics/*methods&lt;/keyword&gt;&lt;keyword&gt;Randomized Controlled Trials as Topic&lt;/keyword&gt;&lt;/keywords&gt;&lt;dates&gt;&lt;year&gt;2014&lt;/year&gt;&lt;pub-dates&gt;&lt;date&gt;Apr&lt;/date&gt;&lt;/pub-dates&gt;&lt;/dates&gt;&lt;isbn&gt;1941-837X (Electronic)&amp;#xD;1369-6998 (Linking)&lt;/isbn&gt;&lt;accession-num&gt;24601747&lt;/accession-num&gt;&lt;urls&gt;&lt;related-urls&gt;&lt;url&gt;https://www.ncbi.nlm.nih.gov/pubmed/24601747&lt;/url&gt;&lt;url&gt;https://www.tandfonline.com/doi/full/10.3111/13696998.2014.897626&lt;/url&gt;&lt;/related-urls&gt;&lt;/urls&gt;&lt;electronic-resource-num&gt;10.3111/13696998.2014.897626&lt;/electronic-resource-num&gt;&lt;/record&gt;&lt;/Cite&gt;&lt;/EndNote&gt;</w:instrText>
      </w:r>
      <w:r w:rsidRPr="006323D7">
        <w:fldChar w:fldCharType="separate"/>
      </w:r>
      <w:r>
        <w:rPr>
          <w:noProof/>
        </w:rPr>
        <w:t>[20]</w:t>
      </w:r>
      <w:r w:rsidRPr="006323D7">
        <w:fldChar w:fldCharType="end"/>
      </w:r>
      <w:r w:rsidRPr="006323D7">
        <w:t xml:space="preserve">.  </w:t>
      </w:r>
      <w:r>
        <w:t xml:space="preserve">Long-term (5-year) efficacy, including structural and clinical outcomes, and safety data from the cohort enrolled in the </w:t>
      </w:r>
      <w:r w:rsidRPr="00E14E26">
        <w:rPr>
          <w:b/>
        </w:rPr>
        <w:t>Stanish</w:t>
      </w:r>
      <w:r>
        <w:t xml:space="preserve"> trial </w:t>
      </w:r>
      <w: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instrText xml:space="preserve"> ADDIN EN.CITE </w:instrText>
      </w:r>
      <w:r>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instrText xml:space="preserve"> ADDIN EN.CITE.DATA </w:instrText>
      </w:r>
      <w:r>
        <w:fldChar w:fldCharType="end"/>
      </w:r>
      <w:r>
        <w:fldChar w:fldCharType="separate"/>
      </w:r>
      <w:r>
        <w:rPr>
          <w:noProof/>
        </w:rPr>
        <w:t>[1]</w:t>
      </w:r>
      <w:r>
        <w:fldChar w:fldCharType="end"/>
      </w:r>
      <w:r>
        <w:t xml:space="preserve"> have been published by </w:t>
      </w:r>
      <w:r>
        <w:rPr>
          <w:b/>
        </w:rPr>
        <w:t>Shive and colleagues</w:t>
      </w:r>
      <w:r>
        <w:t xml:space="preserve"> </w:t>
      </w:r>
      <w:r>
        <w:fldChar w:fldCharType="begin">
          <w:fldData xml:space="preserve">PEVuZE5vdGU+PENpdGU+PEF1dGhvcj5TaGl2ZTwvQXV0aG9yPjxZZWFyPjIwMTU8L1llYXI+PFJl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</w:fldData>
        </w:fldChar>
      </w:r>
      <w:r>
        <w:instrText xml:space="preserve"> ADDIN EN.CITE </w:instrText>
      </w:r>
      <w:r>
        <w:fldChar w:fldCharType="begin">
          <w:fldData xml:space="preserve">PEVuZE5vdGU+PENpdGU+PEF1dGhvcj5TaGl2ZTwvQXV0aG9yPjxZZWFyPjIwMTU8L1llYXI+PFJl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</w:fldData>
        </w:fldChar>
      </w:r>
      <w:r>
        <w:instrText xml:space="preserve"> ADDIN EN.CITE.DATA </w:instrText>
      </w:r>
      <w:r>
        <w:fldChar w:fldCharType="end"/>
      </w:r>
      <w:r>
        <w:fldChar w:fldCharType="separate"/>
      </w:r>
      <w:r>
        <w:rPr>
          <w:noProof/>
        </w:rPr>
        <w:t>[22]</w:t>
      </w:r>
      <w:r>
        <w:fldChar w:fldCharType="end"/>
      </w:r>
      <w:r>
        <w:t xml:space="preserve">.  There were 67 of the original 80 patients enrolled in the extension study, but their enrolment was distributed across the 5-year study period: </w:t>
      </w:r>
      <w:r w:rsidRPr="0001756B">
        <w:rPr>
          <w:lang w:val="en-US"/>
        </w:rPr>
        <w:t xml:space="preserve">data were available from only </w:t>
      </w:r>
      <w:r>
        <w:rPr>
          <w:lang w:val="en-US"/>
        </w:rPr>
        <w:t>four</w:t>
      </w:r>
      <w:r w:rsidRPr="0001756B">
        <w:rPr>
          <w:lang w:val="en-US"/>
        </w:rPr>
        <w:t xml:space="preserve"> patients (5%) at</w:t>
      </w:r>
      <w:r>
        <w:rPr>
          <w:lang w:val="en-US"/>
        </w:rPr>
        <w:t xml:space="preserve"> two</w:t>
      </w:r>
      <w:r w:rsidRPr="0001756B">
        <w:rPr>
          <w:lang w:val="en-US"/>
        </w:rPr>
        <w:t xml:space="preserve"> years, 32 patients (40%) at </w:t>
      </w:r>
      <w:r>
        <w:rPr>
          <w:lang w:val="en-US"/>
        </w:rPr>
        <w:t>three</w:t>
      </w:r>
      <w:r w:rsidRPr="0001756B">
        <w:rPr>
          <w:lang w:val="en-US"/>
        </w:rPr>
        <w:t xml:space="preserve"> years, 47 (59%) at </w:t>
      </w:r>
      <w:r>
        <w:rPr>
          <w:lang w:val="en-US"/>
        </w:rPr>
        <w:t>four</w:t>
      </w:r>
      <w:r w:rsidRPr="0001756B">
        <w:rPr>
          <w:lang w:val="en-US"/>
        </w:rPr>
        <w:t xml:space="preserve"> years,</w:t>
      </w:r>
      <w:r>
        <w:rPr>
          <w:lang w:val="en-US"/>
        </w:rPr>
        <w:t xml:space="preserve"> </w:t>
      </w:r>
      <w:r w:rsidRPr="0001756B">
        <w:rPr>
          <w:lang w:val="en-US"/>
        </w:rPr>
        <w:t xml:space="preserve">and 60 (75%) at </w:t>
      </w:r>
      <w:r>
        <w:rPr>
          <w:lang w:val="en-US"/>
        </w:rPr>
        <w:t>five</w:t>
      </w:r>
      <w:r w:rsidRPr="0001756B">
        <w:rPr>
          <w:lang w:val="en-US"/>
        </w:rPr>
        <w:t xml:space="preserve">-year follow-up. Only </w:t>
      </w:r>
      <w:r>
        <w:rPr>
          <w:lang w:val="en-US"/>
        </w:rPr>
        <w:t>two</w:t>
      </w:r>
      <w:r w:rsidRPr="0001756B">
        <w:rPr>
          <w:lang w:val="en-US"/>
        </w:rPr>
        <w:t xml:space="preserve"> patients had complete</w:t>
      </w:r>
      <w:r>
        <w:rPr>
          <w:lang w:val="en-US"/>
        </w:rPr>
        <w:t xml:space="preserve"> </w:t>
      </w:r>
      <w:r w:rsidRPr="0001756B">
        <w:rPr>
          <w:lang w:val="en-US"/>
        </w:rPr>
        <w:t xml:space="preserve">data for </w:t>
      </w:r>
      <w:r>
        <w:rPr>
          <w:lang w:val="en-US"/>
        </w:rPr>
        <w:t>one, two, three, four and five</w:t>
      </w:r>
      <w:r w:rsidRPr="0001756B">
        <w:rPr>
          <w:lang w:val="en-US"/>
        </w:rPr>
        <w:t xml:space="preserve"> years</w:t>
      </w:r>
      <w:r>
        <w:rPr>
          <w:lang w:val="en-US"/>
        </w:rPr>
        <w:t xml:space="preserve"> </w:t>
      </w:r>
      <w:r>
        <w:rPr>
          <w:lang w:val="en-US"/>
        </w:rPr>
        <w:fldChar w:fldCharType="begin">
          <w:fldData xml:space="preserve">PEVuZE5vdGU+PENpdGU+PEF1dGhvcj5TaGl2ZTwvQXV0aG9yPjxZZWFyPjIwMTU8L1llYXI+PFJl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</w:fldData>
        </w:fldChar>
      </w:r>
      <w:r>
        <w:rPr>
          <w:lang w:val="en-US"/>
        </w:rPr>
        <w:instrText xml:space="preserve"> ADDIN EN.CITE </w:instrText>
      </w:r>
      <w:r>
        <w:rPr>
          <w:lang w:val="en-US"/>
        </w:rPr>
        <w:fldChar w:fldCharType="begin">
          <w:fldData xml:space="preserve">PEVuZE5vdGU+PENpdGU+PEF1dGhvcj5TaGl2ZTwvQXV0aG9yPjxZZWFyPjIwMTU8L1llYXI+PFJl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[22]</w:t>
      </w:r>
      <w:r>
        <w:rPr>
          <w:lang w:val="en-US"/>
        </w:rPr>
        <w:fldChar w:fldCharType="end"/>
      </w:r>
      <w:r w:rsidRPr="0001756B">
        <w:rPr>
          <w:lang w:val="en-US"/>
        </w:rPr>
        <w:t>.</w:t>
      </w:r>
      <w:r>
        <w:t xml:space="preserve"> </w:t>
      </w:r>
      <w:r w:rsidRPr="0001756B">
        <w:rPr>
          <w:lang w:val="en-US"/>
        </w:rPr>
        <w:t xml:space="preserve">Blinded MRI analysis demonstrated that </w:t>
      </w:r>
      <w:r>
        <w:rPr>
          <w:lang w:val="en-US"/>
        </w:rPr>
        <w:t>MF+CBI</w:t>
      </w:r>
      <w:r w:rsidRPr="0001756B">
        <w:rPr>
          <w:lang w:val="en-US"/>
        </w:rPr>
        <w:t>-treated patients</w:t>
      </w:r>
      <w:r>
        <w:rPr>
          <w:lang w:val="en-US"/>
        </w:rPr>
        <w:t xml:space="preserve"> </w:t>
      </w:r>
      <w:r w:rsidRPr="0001756B">
        <w:rPr>
          <w:lang w:val="en-US"/>
        </w:rPr>
        <w:t>showed a significantly greater treatment effect for lesion filling (</w:t>
      </w:r>
      <w:r>
        <w:rPr>
          <w:lang w:val="en-US"/>
        </w:rPr>
        <w:t>p</w:t>
      </w:r>
      <w:r w:rsidRPr="0001756B">
        <w:rPr>
          <w:lang w:val="en-US"/>
        </w:rPr>
        <w:t xml:space="preserve"> = 0.017) over 5 years compared with microfracture alone.</w:t>
      </w:r>
      <w:r w:rsidR="00BB5EA2">
        <w:rPr>
          <w:lang w:val="en-US"/>
        </w:rPr>
        <w:t xml:space="preserve"> </w:t>
      </w:r>
      <w:r w:rsidRPr="0001756B">
        <w:rPr>
          <w:lang w:val="en-US"/>
        </w:rPr>
        <w:t xml:space="preserve">A significantly greater treatment effect for </w:t>
      </w:r>
      <w:r>
        <w:rPr>
          <w:lang w:val="en-US"/>
        </w:rPr>
        <w:t>MF+CBI</w:t>
      </w:r>
      <w:r w:rsidRPr="0001756B">
        <w:rPr>
          <w:lang w:val="en-US"/>
        </w:rPr>
        <w:t xml:space="preserve"> was also found for </w:t>
      </w:r>
      <w:r>
        <w:rPr>
          <w:lang w:val="en-US"/>
        </w:rPr>
        <w:t xml:space="preserve">blinded MRI analysis </w:t>
      </w:r>
      <w:r w:rsidRPr="00D73AF1">
        <w:rPr>
          <w:lang w:val="en-US"/>
        </w:rPr>
        <w:t xml:space="preserve">of </w:t>
      </w:r>
      <w:r w:rsidRPr="0001756B">
        <w:rPr>
          <w:lang w:val="en-US"/>
        </w:rPr>
        <w:t>repair tissue T2 relaxation times (</w:t>
      </w:r>
      <w:r w:rsidRPr="00D73AF1">
        <w:rPr>
          <w:lang w:val="en-US"/>
        </w:rPr>
        <w:t>p</w:t>
      </w:r>
      <w:r w:rsidRPr="0001756B">
        <w:rPr>
          <w:lang w:val="en-US"/>
        </w:rPr>
        <w:t xml:space="preserve"> = 0.026),</w:t>
      </w:r>
      <w:r w:rsidRPr="00D73AF1">
        <w:rPr>
          <w:lang w:val="en-US"/>
        </w:rPr>
        <w:t xml:space="preserve"> </w:t>
      </w:r>
      <w:r w:rsidRPr="0001756B">
        <w:rPr>
          <w:lang w:val="en-US"/>
        </w:rPr>
        <w:t xml:space="preserve">which were closer to native cartilage compared to the microfracture group. </w:t>
      </w:r>
    </w:p>
    <w:p w14:paraId="7D4E0EB4" w14:textId="1720E06E" w:rsidR="001C5FB1" w:rsidRDefault="001C5FB1" w:rsidP="001C5FB1">
      <w:r>
        <w:rPr>
          <w:lang w:val="en-US"/>
        </w:rPr>
        <w:t>MF+CBI</w:t>
      </w:r>
      <w:r w:rsidRPr="0001756B">
        <w:rPr>
          <w:lang w:val="en-US"/>
        </w:rPr>
        <w:t xml:space="preserve"> and microfracture groups</w:t>
      </w:r>
      <w:r>
        <w:rPr>
          <w:lang w:val="en-US"/>
        </w:rPr>
        <w:t xml:space="preserve"> </w:t>
      </w:r>
      <w:r w:rsidRPr="0001756B">
        <w:rPr>
          <w:lang w:val="en-US"/>
        </w:rPr>
        <w:t xml:space="preserve">showed highly significant improvement at 5 years from </w:t>
      </w:r>
      <w:r w:rsidR="00BB5EA2">
        <w:rPr>
          <w:lang w:val="en-US"/>
        </w:rPr>
        <w:br/>
      </w:r>
      <w:r w:rsidRPr="0001756B">
        <w:rPr>
          <w:lang w:val="en-US"/>
        </w:rPr>
        <w:t>pre</w:t>
      </w:r>
      <w:r w:rsidR="00BB5EA2">
        <w:rPr>
          <w:lang w:val="en-US"/>
        </w:rPr>
        <w:t>-</w:t>
      </w:r>
      <w:r w:rsidRPr="0001756B">
        <w:rPr>
          <w:lang w:val="en-US"/>
        </w:rPr>
        <w:t>treatment baseline for each WOMAC subscale (P &lt; 0.0001),</w:t>
      </w:r>
      <w:r>
        <w:rPr>
          <w:lang w:val="en-US"/>
        </w:rPr>
        <w:t xml:space="preserve"> </w:t>
      </w:r>
      <w:r w:rsidRPr="0001756B">
        <w:rPr>
          <w:lang w:val="en-US"/>
        </w:rPr>
        <w:t xml:space="preserve">and there </w:t>
      </w:r>
      <w:r w:rsidR="00BB5EA2">
        <w:rPr>
          <w:lang w:val="en-US"/>
        </w:rPr>
        <w:t xml:space="preserve">were no differences between </w:t>
      </w:r>
      <w:r w:rsidRPr="0001756B">
        <w:rPr>
          <w:lang w:val="en-US"/>
        </w:rPr>
        <w:t>treatment groups. Safety was comparable for both groups.</w:t>
      </w:r>
      <w:r w:rsidR="00BB5EA2">
        <w:rPr>
          <w:lang w:val="en-US"/>
        </w:rPr>
        <w:t xml:space="preserve"> However, i</w:t>
      </w:r>
      <w:r>
        <w:rPr>
          <w:lang w:val="en-US"/>
        </w:rPr>
        <w:t>t is important to note</w:t>
      </w:r>
      <w:r w:rsidR="00BB5EA2">
        <w:rPr>
          <w:lang w:val="en-US"/>
        </w:rPr>
        <w:t xml:space="preserve"> </w:t>
      </w:r>
      <w:r>
        <w:rPr>
          <w:lang w:val="en-US"/>
        </w:rPr>
        <w:t xml:space="preserve">that </w:t>
      </w:r>
      <w:r>
        <w:t xml:space="preserve">a significant proportion (25%) of patients were lost to follow-up </w:t>
      </w:r>
      <w:r>
        <w:fldChar w:fldCharType="begin">
          <w:fldData xml:space="preserve">PEVuZE5vdGU+PENpdGU+PEF1dGhvcj5TaGl2ZTwvQXV0aG9yPjxZZWFyPjIwMTU8L1llYXI+PFJl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</w:fldData>
        </w:fldChar>
      </w:r>
      <w:r>
        <w:instrText xml:space="preserve"> ADDIN EN.CITE </w:instrText>
      </w:r>
      <w:r>
        <w:fldChar w:fldCharType="begin">
          <w:fldData xml:space="preserve">PEVuZE5vdGU+PENpdGU+PEF1dGhvcj5TaGl2ZTwvQXV0aG9yPjxZZWFyPjIwMTU8L1llYXI+PFJl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</w:fldData>
        </w:fldChar>
      </w:r>
      <w:r>
        <w:instrText xml:space="preserve"> ADDIN EN.CITE.DATA </w:instrText>
      </w:r>
      <w:r>
        <w:fldChar w:fldCharType="end"/>
      </w:r>
      <w:r>
        <w:fldChar w:fldCharType="separate"/>
      </w:r>
      <w:r>
        <w:rPr>
          <w:noProof/>
        </w:rPr>
        <w:t>[22]</w:t>
      </w:r>
      <w:r>
        <w:fldChar w:fldCharType="end"/>
      </w:r>
      <w:r>
        <w:t>.</w:t>
      </w:r>
    </w:p>
    <w:p w14:paraId="5A767EB4" w14:textId="307C85B2" w:rsidR="003F70CB" w:rsidRDefault="001C5FB1" w:rsidP="003F70CB">
      <w:pPr>
        <w:spacing w:after="120"/>
        <w:rPr>
          <w:u w:val="single"/>
        </w:rPr>
      </w:pPr>
      <w:r>
        <w:rPr>
          <w:u w:val="single"/>
        </w:rPr>
        <w:t>Cost-effectiveness</w:t>
      </w:r>
      <w:r w:rsidR="003F70CB">
        <w:rPr>
          <w:u w:val="single"/>
        </w:rPr>
        <w:t xml:space="preserve"> outcomes</w:t>
      </w:r>
    </w:p>
    <w:p w14:paraId="7CCBB86A" w14:textId="6CEC14EA" w:rsidR="001C5FB1" w:rsidRDefault="001C5FB1" w:rsidP="001C5FB1">
      <w:r>
        <w:t xml:space="preserve">Based on the Frappier analysis </w:t>
      </w:r>
      <w:r>
        <w:fldChar w:fldCharType="begin"/>
      </w:r>
      <w:r>
        <w:instrText xml:space="preserve"> ADDIN EN.CITE &lt;EndNote&gt;&lt;Cite&gt;&lt;Author&gt;Frappier&lt;/Author&gt;&lt;Year&gt;2014&lt;/Year&gt;&lt;RecNum&gt;11665&lt;/RecNum&gt;&lt;DisplayText&gt;[20]&lt;/DisplayText&gt;&lt;record&gt;&lt;rec-number&gt;11665&lt;/rec-number&gt;&lt;foreign-keys&gt;&lt;key app="EN" db-id="e5fswt02npwd52esazb5pr54wz9epasvpvef" timestamp="1551160761"&gt;11665&lt;/key&gt;&lt;/foreign-keys&gt;&lt;ref-type name="Journal Article"&gt;17&lt;/ref-type&gt;&lt;contributors&gt;&lt;authors&gt;&lt;author&gt;Frappier, J.&lt;/author&gt;&lt;author&gt;Stanish, W.&lt;/author&gt;&lt;author&gt;Brittberg, M.&lt;/author&gt;&lt;author&gt;Steinwachs, M.&lt;/author&gt;&lt;author&gt;Crowe, L.&lt;/author&gt;&lt;author&gt;Castelo, D.&lt;/author&gt;&lt;author&gt;Restrepo, A.&lt;/author&gt;&lt;/authors&gt;&lt;/contributors&gt;&lt;auth-address&gt;Data 4 Actions , Laval, Quebec , Canada.&lt;/auth-address&gt;&lt;titles&gt;&lt;title&gt;Economic evaluation of BST-CarGel as an adjunct to microfracture vs microfracture alone in knee cartilage surgery&lt;/title&gt;&lt;secondary-title&gt;J Med Econ&lt;/secondary-title&gt;&lt;/titles&gt;&lt;periodical&gt;&lt;full-title&gt;J Med Econ&lt;/full-title&gt;&lt;abbr-1&gt;Journal of medical economics&lt;/abbr-1&gt;&lt;/periodical&gt;&lt;pages&gt;266-78&lt;/pages&gt;&lt;volume&gt;17&lt;/volume&gt;&lt;number&gt;4&lt;/number&gt;&lt;edition&gt;2014/03/08&lt;/edition&gt;&lt;keywords&gt;&lt;keyword&gt;Adult&lt;/keyword&gt;&lt;keyword&gt;Arthroplasty, Replacement, Knee/economics&lt;/keyword&gt;&lt;keyword&gt;Cartilage/*surgery&lt;/keyword&gt;&lt;keyword&gt;Costs and Cost Analysis&lt;/keyword&gt;&lt;keyword&gt;*Decision Trees&lt;/keyword&gt;&lt;keyword&gt;Female&lt;/keyword&gt;&lt;keyword&gt;Germany&lt;/keyword&gt;&lt;keyword&gt;Humans&lt;/keyword&gt;&lt;keyword&gt;Knee Injuries/surgery&lt;/keyword&gt;&lt;keyword&gt;Knee Joint/*surgery&lt;/keyword&gt;&lt;keyword&gt;Male&lt;/keyword&gt;&lt;keyword&gt;Middle Aged&lt;/keyword&gt;&lt;keyword&gt;*Models, Economic&lt;/keyword&gt;&lt;keyword&gt;Orthopedic Procedures/*economics/*methods&lt;/keyword&gt;&lt;keyword&gt;Randomized Controlled Trials as Topic&lt;/keyword&gt;&lt;/keywords&gt;&lt;dates&gt;&lt;year&gt;2014&lt;/year&gt;&lt;pub-dates&gt;&lt;date&gt;Apr&lt;/date&gt;&lt;/pub-dates&gt;&lt;/dates&gt;&lt;isbn&gt;1941-837X (Electronic)&amp;#xD;1369-6998 (Linking)&lt;/isbn&gt;&lt;accession-num&gt;24601747&lt;/accession-num&gt;&lt;urls&gt;&lt;related-urls&gt;&lt;url&gt;https://www.ncbi.nlm.nih.gov/pubmed/24601747&lt;/url&gt;&lt;url&gt;https://www.tandfonline.com/doi/full/10.3111/13696998.2014.897626&lt;/url&gt;&lt;/related-urls&gt;&lt;/urls&gt;&lt;electronic-resource-num&gt;10.3111/13696998.2014.897626&lt;/electronic-resource-num&gt;&lt;/record&gt;&lt;/Cite&gt;&lt;/EndNote&gt;</w:instrText>
      </w:r>
      <w:r>
        <w:fldChar w:fldCharType="separate"/>
      </w:r>
      <w:r>
        <w:rPr>
          <w:noProof/>
        </w:rPr>
        <w:t>[20]</w:t>
      </w:r>
      <w:r>
        <w:fldChar w:fldCharType="end"/>
      </w:r>
      <w:r>
        <w:t xml:space="preserve">, </w:t>
      </w:r>
      <w:r w:rsidR="003F70CB">
        <w:t xml:space="preserve">the </w:t>
      </w:r>
      <w:r>
        <w:t>recommended cost-effectiveness endpoints include resource use: hospitalisation, surgical time, surgeon consult</w:t>
      </w:r>
      <w:r w:rsidR="00BB5EA2">
        <w:t>s</w:t>
      </w:r>
      <w:r>
        <w:t>, paramedical</w:t>
      </w:r>
      <w:r w:rsidR="00BB5EA2">
        <w:t xml:space="preserve"> [allied health]</w:t>
      </w:r>
      <w:r>
        <w:t xml:space="preserve"> consults (e.g. physiotherapy), medical devices (e.g. knee brace), laboratory tests, diagnostic tests (including MRI, X-ray, ECG), pain management, indirect costs (work da</w:t>
      </w:r>
      <w:r w:rsidR="003F70CB">
        <w:t>ys lost), and impacts on health-</w:t>
      </w:r>
      <w:r>
        <w:t>related quality of life.</w:t>
      </w:r>
      <w:r w:rsidR="00FB617B" w:rsidRPr="00FB617B">
        <w:t xml:space="preserve"> </w:t>
      </w:r>
      <w:r w:rsidR="00FB617B">
        <w:t>It is acknowledged that data limitations may inhibit consideration of longer-term outcomes, such as time to return to work, and total joint replacement/subsequent procedures. Data permitting, longer term outcomes should be considered.</w:t>
      </w:r>
    </w:p>
    <w:p w14:paraId="474E2FB5" w14:textId="28FE2868" w:rsidR="009E4FB3" w:rsidRPr="009E4FB3" w:rsidRDefault="001C5FB1" w:rsidP="00B3635A">
      <w:pPr>
        <w:pStyle w:val="Heading2"/>
        <w:spacing w:line="240" w:lineRule="auto"/>
        <w:jc w:val="both"/>
      </w:pPr>
      <w:r w:rsidRPr="009E4FB3">
        <w:rPr>
          <w:color w:val="548DD4"/>
        </w:rPr>
        <w:t>Current and proposed clinical management algorithm for identified population</w:t>
      </w:r>
      <w:r w:rsidR="00816619">
        <w:rPr>
          <w:color w:val="548DD4"/>
        </w:rPr>
        <w:t>s</w:t>
      </w:r>
    </w:p>
    <w:p w14:paraId="7FF2601C" w14:textId="0E7BDFC5" w:rsidR="00B3635A" w:rsidRDefault="001C5FB1" w:rsidP="00B3635A">
      <w:r>
        <w:t>The current and proposed clinical management algorithm for the identified population</w:t>
      </w:r>
      <w:r w:rsidR="00B3635A">
        <w:t>s</w:t>
      </w:r>
      <w:r>
        <w:t xml:space="preserve"> </w:t>
      </w:r>
      <w:r w:rsidR="00816619">
        <w:t>is</w:t>
      </w:r>
      <w:r>
        <w:t xml:space="preserve"> shown in </w:t>
      </w:r>
      <w:r>
        <w:fldChar w:fldCharType="begin"/>
      </w:r>
      <w:r>
        <w:instrText xml:space="preserve"> REF _Ref4141305 \h </w:instrText>
      </w:r>
      <w:r>
        <w:fldChar w:fldCharType="separate"/>
      </w:r>
      <w:r w:rsidR="000649E7">
        <w:t xml:space="preserve">Figure </w:t>
      </w:r>
      <w:r w:rsidR="000649E7">
        <w:rPr>
          <w:noProof/>
        </w:rPr>
        <w:t>4</w:t>
      </w:r>
      <w:r>
        <w:fldChar w:fldCharType="end"/>
      </w:r>
      <w:r>
        <w:t>.</w:t>
      </w:r>
      <w:r w:rsidR="00FB617B" w:rsidRPr="00FB617B">
        <w:t xml:space="preserve"> </w:t>
      </w:r>
      <w:bookmarkStart w:id="9" w:name="_Hlk20841979"/>
      <w:r w:rsidR="00B3635A" w:rsidRPr="00B3635A">
        <w:t xml:space="preserve"> </w:t>
      </w:r>
    </w:p>
    <w:p w14:paraId="1E8B4BB1" w14:textId="160D9F64" w:rsidR="00B3635A" w:rsidRPr="00226B4C" w:rsidRDefault="00B3635A" w:rsidP="00B3635A">
      <w:r w:rsidRPr="00226B4C">
        <w:t>PASC noted the algorithm reflected that the subchondral endplate must be intact for Population 2 (larger lesions &gt; 2 cm</w:t>
      </w:r>
      <w:r w:rsidRPr="00226B4C">
        <w:rPr>
          <w:vertAlign w:val="superscript"/>
        </w:rPr>
        <w:t>2</w:t>
      </w:r>
      <w:r w:rsidRPr="00226B4C">
        <w:t xml:space="preserve">). </w:t>
      </w:r>
    </w:p>
    <w:p w14:paraId="167FA3B6" w14:textId="77777777" w:rsidR="00B3635A" w:rsidRPr="00B3635A" w:rsidRDefault="00B3635A" w:rsidP="00B3635A">
      <w:r w:rsidRPr="00226B4C">
        <w:t>PASC advised that the algorithms for application 1569 (and similar current application 1578) should be consistent as far as possible (acknowledging that the algorithms for larger lesions will be different).</w:t>
      </w:r>
    </w:p>
    <w:bookmarkEnd w:id="9"/>
    <w:p w14:paraId="33AFD1DA" w14:textId="512CEFFE" w:rsidR="001C5FB1" w:rsidRPr="00267503" w:rsidRDefault="001C5FB1" w:rsidP="001C5FB1"/>
    <w:p w14:paraId="7B1279F9" w14:textId="77777777" w:rsidR="001C5FB1" w:rsidRPr="00267503" w:rsidRDefault="001C5FB1" w:rsidP="001C5FB1">
      <w:r>
        <w:rPr>
          <w:noProof/>
          <w:lang w:eastAsia="en-AU"/>
        </w:rPr>
        <w:drawing>
          <wp:inline distT="0" distB="0" distL="0" distR="0" wp14:anchorId="6DA4B344" wp14:editId="388C46D3">
            <wp:extent cx="5731510" cy="3224285"/>
            <wp:effectExtent l="0" t="0" r="2540" b="0"/>
            <wp:docPr id="8" name="Picture 8" descr="Clinical management algorithm"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4285"/>
                    </a:xfrm>
                    <a:prstGeom prst="rect">
                      <a:avLst/>
                    </a:prstGeom>
                    <a:noFill/>
                    <a:ln>
                      <a:noFill/>
                    </a:ln>
                  </pic:spPr>
                </pic:pic>
              </a:graphicData>
            </a:graphic>
          </wp:inline>
        </w:drawing>
      </w:r>
    </w:p>
    <w:p w14:paraId="0EDE473C" w14:textId="3CBF6C96" w:rsidR="001C5FB1" w:rsidRDefault="001C5FB1" w:rsidP="001C5FB1">
      <w:pPr>
        <w:pStyle w:val="Caption"/>
      </w:pPr>
      <w:bookmarkStart w:id="10" w:name="_Ref4141305"/>
      <w:bookmarkStart w:id="11" w:name="_Ref4141296"/>
      <w:r>
        <w:t xml:space="preserve">Figure </w:t>
      </w:r>
      <w:r>
        <w:fldChar w:fldCharType="begin"/>
      </w:r>
      <w:r>
        <w:instrText xml:space="preserve"> SEQ Figure \* ARABIC </w:instrText>
      </w:r>
      <w:r>
        <w:fldChar w:fldCharType="separate"/>
      </w:r>
      <w:r w:rsidR="000649E7">
        <w:rPr>
          <w:noProof/>
        </w:rPr>
        <w:t>4</w:t>
      </w:r>
      <w:r>
        <w:fldChar w:fldCharType="end"/>
      </w:r>
      <w:bookmarkEnd w:id="10"/>
      <w:r>
        <w:tab/>
      </w:r>
      <w:r w:rsidR="005610AE">
        <w:t xml:space="preserve"> </w:t>
      </w:r>
      <w:r>
        <w:t>Current and proposed clinical management algorithm for identified population</w:t>
      </w:r>
      <w:bookmarkEnd w:id="11"/>
    </w:p>
    <w:p w14:paraId="005F935B" w14:textId="2F397CEF" w:rsidR="001C5FB1" w:rsidRPr="00F2468B" w:rsidRDefault="001C5FB1" w:rsidP="001C5FB1">
      <w:pPr>
        <w:pStyle w:val="Tablefooter"/>
      </w:pPr>
      <w:r w:rsidRPr="00F2468B">
        <w:t>Note: ACI = autologous chondrocyte implantation</w:t>
      </w:r>
      <w:r>
        <w:t>; CBI = chitosan-based cartilage biomatrix implant; MF=microfracture; MRI=magnetic resonance imaging</w:t>
      </w:r>
      <w:r>
        <w:br/>
        <w:t xml:space="preserve">The current treatment algorithm is in </w:t>
      </w:r>
      <w:r w:rsidR="005610AE">
        <w:t xml:space="preserve">white, with </w:t>
      </w:r>
      <w:r>
        <w:t>additions proposed in green.</w:t>
      </w:r>
      <w:r>
        <w:br/>
        <w:t>Source: Applicant, Appendix A.</w:t>
      </w:r>
    </w:p>
    <w:p w14:paraId="258CA4B5" w14:textId="5ABFC031" w:rsidR="009E4FB3" w:rsidRPr="009E4FB3" w:rsidRDefault="003E0382" w:rsidP="00B3635A">
      <w:pPr>
        <w:pStyle w:val="Heading2"/>
        <w:spacing w:line="240" w:lineRule="auto"/>
        <w:jc w:val="both"/>
      </w:pPr>
      <w:r w:rsidRPr="009E4FB3">
        <w:rPr>
          <w:color w:val="548DD4"/>
        </w:rPr>
        <w:t xml:space="preserve">Proposed </w:t>
      </w:r>
      <w:r w:rsidR="002B226C" w:rsidRPr="009E4FB3">
        <w:rPr>
          <w:color w:val="548DD4"/>
        </w:rPr>
        <w:t xml:space="preserve">economic </w:t>
      </w:r>
      <w:r w:rsidR="009E5295" w:rsidRPr="009E4FB3">
        <w:rPr>
          <w:color w:val="548DD4"/>
        </w:rPr>
        <w:t>evaluation</w:t>
      </w:r>
    </w:p>
    <w:p w14:paraId="3832DD85" w14:textId="625DF9AD" w:rsidR="00D17FFE" w:rsidRDefault="00D17FFE" w:rsidP="00D17FFE">
      <w:r>
        <w:t>Based on Stanish et al 2013</w:t>
      </w:r>
      <w:r w:rsidR="00901DBA">
        <w:t xml:space="preserve"> </w:t>
      </w:r>
      <w:r w:rsidR="00901DBA">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rsidR="003F617F">
        <w:instrText xml:space="preserve"> ADDIN EN.CITE </w:instrText>
      </w:r>
      <w:r w:rsidR="003F617F">
        <w:fldChar w:fldCharType="begin">
          <w:fldData xml:space="preserve">PEVuZE5vdGU+PENpdGU+PEF1dGhvcj5TdGFuaXNoPC9BdXRob3I+PFllYXI+MjAxMzwvWWVhcj48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</w:fldData>
        </w:fldChar>
      </w:r>
      <w:r w:rsidR="003F617F">
        <w:instrText xml:space="preserve"> ADDIN EN.CITE.DATA </w:instrText>
      </w:r>
      <w:r w:rsidR="003F617F">
        <w:fldChar w:fldCharType="end"/>
      </w:r>
      <w:r w:rsidR="00901DBA">
        <w:fldChar w:fldCharType="separate"/>
      </w:r>
      <w:r w:rsidR="003F617F">
        <w:rPr>
          <w:noProof/>
        </w:rPr>
        <w:t>[1]</w:t>
      </w:r>
      <w:r w:rsidR="00901DBA">
        <w:fldChar w:fldCharType="end"/>
      </w:r>
      <w:r>
        <w:t>, the clinical claim is that</w:t>
      </w:r>
      <w:r w:rsidR="00B83E7B">
        <w:t>,</w:t>
      </w:r>
      <w:r>
        <w:t xml:space="preserve"> compared with microfracture </w:t>
      </w:r>
      <w:r w:rsidR="00C77FEC">
        <w:t>in conjunction with standard care</w:t>
      </w:r>
      <w:r>
        <w:t xml:space="preserve">, the </w:t>
      </w:r>
      <w:r w:rsidR="00B83E7B">
        <w:t xml:space="preserve">use of a </w:t>
      </w:r>
      <w:r>
        <w:t xml:space="preserve">chitosan-based </w:t>
      </w:r>
      <w:r w:rsidR="00B83E7B">
        <w:t>cartilage biomatrix implant</w:t>
      </w:r>
      <w:r>
        <w:t xml:space="preserve"> in conjunction with microfracture results in superior outcomes.</w:t>
      </w:r>
      <w:r w:rsidR="005B1EBA" w:rsidRPr="005B1EBA">
        <w:t xml:space="preserve"> </w:t>
      </w:r>
      <w:r w:rsidR="00C77FEC">
        <w:t>Combined with</w:t>
      </w:r>
      <w:r w:rsidR="007020A1">
        <w:t xml:space="preserve"> the a</w:t>
      </w:r>
      <w:r w:rsidR="005B1EBA">
        <w:t>pplicant</w:t>
      </w:r>
      <w:r w:rsidR="000375D7">
        <w:t>’</w:t>
      </w:r>
      <w:r w:rsidR="005B1EBA">
        <w:t>s claim of superiority, the comparative clinical claim for the assessment is superiority, which requires cost effectiveness analysis (CEA)</w:t>
      </w:r>
      <w:r w:rsidR="003E4145">
        <w:t xml:space="preserve"> or cost utility analysis (CUA).</w:t>
      </w:r>
    </w:p>
    <w:p w14:paraId="0B45757B" w14:textId="77777777" w:rsidR="00FB617B" w:rsidRPr="006D328E" w:rsidRDefault="00FB617B" w:rsidP="00FB617B">
      <w:r w:rsidRPr="00A12424">
        <w:rPr>
          <w:lang w:val="en-GB"/>
        </w:rPr>
        <w:t>PASC confirmed a cost-effectiveness analysis (CEA) or cost-utility analysis (CUA) should be conducted, given the clinical claim is that the technology is superior to the comparator (microfracture).</w:t>
      </w:r>
    </w:p>
    <w:p w14:paraId="750AB5A5" w14:textId="7B95EF53" w:rsidR="00D17FFE" w:rsidRDefault="00D17FFE" w:rsidP="00D17FFE">
      <w:pPr>
        <w:pStyle w:val="Caption"/>
        <w:ind w:left="1134" w:hanging="1134"/>
      </w:pPr>
      <w:bookmarkStart w:id="12" w:name="_Ref395195344"/>
      <w:bookmarkStart w:id="13" w:name="_Toc399251138"/>
      <w:r w:rsidRPr="00830C9D">
        <w:t xml:space="preserve">Table </w:t>
      </w:r>
      <w:r>
        <w:rPr>
          <w:noProof/>
        </w:rPr>
        <w:fldChar w:fldCharType="begin"/>
      </w:r>
      <w:r>
        <w:rPr>
          <w:noProof/>
        </w:rPr>
        <w:instrText xml:space="preserve"> SEQ Table \* ARABIC </w:instrText>
      </w:r>
      <w:r>
        <w:rPr>
          <w:noProof/>
        </w:rPr>
        <w:fldChar w:fldCharType="separate"/>
      </w:r>
      <w:r w:rsidR="000649E7">
        <w:rPr>
          <w:noProof/>
        </w:rPr>
        <w:t>4</w:t>
      </w:r>
      <w:r>
        <w:rPr>
          <w:noProof/>
        </w:rPr>
        <w:fldChar w:fldCharType="end"/>
      </w:r>
      <w:bookmarkEnd w:id="12"/>
      <w:r>
        <w:tab/>
        <w:t xml:space="preserve">Classification of the </w:t>
      </w:r>
      <w:r w:rsidRPr="002E2A40">
        <w:t xml:space="preserve">comparative effectiveness and </w:t>
      </w:r>
      <w:r w:rsidRPr="009D575E">
        <w:t xml:space="preserve">safety of </w:t>
      </w:r>
      <w:r w:rsidRPr="00D17FFE">
        <w:t>chitosan-based cartilage biomatrix implant (BST-CarGel), in conjunction with the marrow stimulation technique (microfracture)</w:t>
      </w:r>
      <w:r>
        <w:t xml:space="preserve"> and guide to the suitable type of economic evaluation</w:t>
      </w:r>
      <w:bookmarkEnd w:id="13"/>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1895"/>
        <w:gridCol w:w="1796"/>
        <w:gridCol w:w="2096"/>
        <w:gridCol w:w="1648"/>
        <w:gridCol w:w="1350"/>
      </w:tblGrid>
      <w:tr w:rsidR="00D17FFE" w14:paraId="012A7A30" w14:textId="77777777" w:rsidTr="003E4145">
        <w:trPr>
          <w:cantSplit/>
        </w:trPr>
        <w:tc>
          <w:tcPr>
            <w:tcW w:w="1947" w:type="dxa"/>
            <w:vMerge w:val="restart"/>
            <w:tcBorders>
              <w:top w:val="single" w:sz="4" w:space="0" w:color="auto"/>
              <w:left w:val="single" w:sz="4" w:space="0" w:color="auto"/>
              <w:bottom w:val="single" w:sz="4" w:space="0" w:color="auto"/>
              <w:right w:val="single" w:sz="4" w:space="0" w:color="auto"/>
            </w:tcBorders>
          </w:tcPr>
          <w:p w14:paraId="36E76EA2" w14:textId="77777777" w:rsidR="00D17FFE" w:rsidRDefault="00D17FFE" w:rsidP="003E4145">
            <w:pPr>
              <w:pStyle w:val="TableHeading"/>
            </w:pPr>
            <w:r>
              <w:t>Comparative safety</w:t>
            </w:r>
          </w:p>
        </w:tc>
        <w:tc>
          <w:tcPr>
            <w:tcW w:w="7072" w:type="dxa"/>
            <w:gridSpan w:val="4"/>
            <w:tcBorders>
              <w:top w:val="single" w:sz="4" w:space="0" w:color="auto"/>
              <w:left w:val="single" w:sz="4" w:space="0" w:color="auto"/>
              <w:bottom w:val="single" w:sz="4" w:space="0" w:color="auto"/>
              <w:right w:val="single" w:sz="4" w:space="0" w:color="auto"/>
            </w:tcBorders>
          </w:tcPr>
          <w:p w14:paraId="678C01B5" w14:textId="77777777" w:rsidR="00D17FFE" w:rsidRDefault="00D17FFE" w:rsidP="003E4145">
            <w:pPr>
              <w:pStyle w:val="TableHeading"/>
              <w:jc w:val="center"/>
            </w:pPr>
            <w:r>
              <w:t>Comparative effectiveness</w:t>
            </w:r>
          </w:p>
        </w:tc>
      </w:tr>
      <w:tr w:rsidR="00D17FFE" w14:paraId="2465757B" w14:textId="77777777" w:rsidTr="003E4145">
        <w:trPr>
          <w:cantSplit/>
        </w:trPr>
        <w:tc>
          <w:tcPr>
            <w:tcW w:w="1947" w:type="dxa"/>
            <w:vMerge/>
            <w:tcBorders>
              <w:top w:val="single" w:sz="4" w:space="0" w:color="auto"/>
              <w:left w:val="single" w:sz="4" w:space="0" w:color="auto"/>
              <w:bottom w:val="single" w:sz="4" w:space="0" w:color="auto"/>
              <w:right w:val="single" w:sz="4" w:space="0" w:color="auto"/>
            </w:tcBorders>
          </w:tcPr>
          <w:p w14:paraId="559E3976" w14:textId="77777777" w:rsidR="00D17FFE" w:rsidRDefault="00D17FFE" w:rsidP="003E4145">
            <w:pPr>
              <w:pStyle w:val="TableHeading"/>
            </w:pPr>
          </w:p>
        </w:tc>
        <w:tc>
          <w:tcPr>
            <w:tcW w:w="1844" w:type="dxa"/>
            <w:tcBorders>
              <w:top w:val="single" w:sz="4" w:space="0" w:color="auto"/>
              <w:left w:val="single" w:sz="4" w:space="0" w:color="auto"/>
              <w:bottom w:val="single" w:sz="4" w:space="0" w:color="auto"/>
              <w:right w:val="single" w:sz="4" w:space="0" w:color="auto"/>
            </w:tcBorders>
          </w:tcPr>
          <w:p w14:paraId="320F3C49" w14:textId="77777777" w:rsidR="00D17FFE" w:rsidRDefault="00D17FFE" w:rsidP="003E4145">
            <w:pPr>
              <w:pStyle w:val="TableHeading"/>
              <w:jc w:val="center"/>
            </w:pPr>
            <w:r>
              <w:t>Inferior</w:t>
            </w:r>
          </w:p>
        </w:tc>
        <w:tc>
          <w:tcPr>
            <w:tcW w:w="2153" w:type="dxa"/>
            <w:tcBorders>
              <w:top w:val="single" w:sz="4" w:space="0" w:color="auto"/>
              <w:left w:val="single" w:sz="4" w:space="0" w:color="auto"/>
              <w:bottom w:val="single" w:sz="4" w:space="0" w:color="auto"/>
              <w:right w:val="single" w:sz="4" w:space="0" w:color="auto"/>
            </w:tcBorders>
          </w:tcPr>
          <w:p w14:paraId="0D88885A" w14:textId="77777777" w:rsidR="00D17FFE" w:rsidRDefault="00D17FFE" w:rsidP="003E4145">
            <w:pPr>
              <w:pStyle w:val="TableHeading"/>
              <w:jc w:val="center"/>
            </w:pPr>
            <w:r>
              <w:t>Uncertain</w:t>
            </w:r>
            <w:r>
              <w:rPr>
                <w:vertAlign w:val="superscript"/>
              </w:rPr>
              <w:t>a</w:t>
            </w:r>
          </w:p>
        </w:tc>
        <w:tc>
          <w:tcPr>
            <w:tcW w:w="1691" w:type="dxa"/>
            <w:tcBorders>
              <w:top w:val="single" w:sz="4" w:space="0" w:color="auto"/>
              <w:left w:val="single" w:sz="4" w:space="0" w:color="auto"/>
              <w:bottom w:val="single" w:sz="4" w:space="0" w:color="auto"/>
              <w:right w:val="single" w:sz="4" w:space="0" w:color="auto"/>
            </w:tcBorders>
          </w:tcPr>
          <w:p w14:paraId="49E39147" w14:textId="77777777" w:rsidR="00D17FFE" w:rsidRDefault="00D17FFE" w:rsidP="003E4145">
            <w:pPr>
              <w:pStyle w:val="TableHeading"/>
              <w:jc w:val="center"/>
            </w:pPr>
            <w:r>
              <w:t>Non-inferior</w:t>
            </w:r>
            <w:r>
              <w:rPr>
                <w:vertAlign w:val="superscript"/>
              </w:rPr>
              <w:t>b</w:t>
            </w:r>
          </w:p>
        </w:tc>
        <w:tc>
          <w:tcPr>
            <w:tcW w:w="1384" w:type="dxa"/>
            <w:tcBorders>
              <w:top w:val="single" w:sz="4" w:space="0" w:color="auto"/>
              <w:left w:val="single" w:sz="4" w:space="0" w:color="auto"/>
              <w:bottom w:val="single" w:sz="4" w:space="0" w:color="auto"/>
              <w:right w:val="single" w:sz="4" w:space="0" w:color="auto"/>
            </w:tcBorders>
          </w:tcPr>
          <w:p w14:paraId="3A492D8E" w14:textId="77777777" w:rsidR="00D17FFE" w:rsidRDefault="00D17FFE" w:rsidP="003E4145">
            <w:pPr>
              <w:pStyle w:val="TableHeading"/>
              <w:jc w:val="center"/>
            </w:pPr>
            <w:r>
              <w:t>Superior</w:t>
            </w:r>
          </w:p>
        </w:tc>
      </w:tr>
      <w:tr w:rsidR="00D17FFE" w14:paraId="687EE291" w14:textId="77777777" w:rsidTr="003E4145">
        <w:tc>
          <w:tcPr>
            <w:tcW w:w="1947" w:type="dxa"/>
            <w:tcBorders>
              <w:top w:val="single" w:sz="4" w:space="0" w:color="auto"/>
              <w:left w:val="single" w:sz="4" w:space="0" w:color="auto"/>
              <w:bottom w:val="single" w:sz="4" w:space="0" w:color="auto"/>
              <w:right w:val="single" w:sz="4" w:space="0" w:color="auto"/>
            </w:tcBorders>
            <w:vAlign w:val="center"/>
          </w:tcPr>
          <w:p w14:paraId="6358C1CE" w14:textId="77777777" w:rsidR="00D17FFE" w:rsidRDefault="00D17FFE" w:rsidP="003E4145">
            <w:pPr>
              <w:pStyle w:val="Tabletext"/>
            </w:pPr>
            <w:r>
              <w:t>Inferior</w:t>
            </w:r>
          </w:p>
        </w:tc>
        <w:tc>
          <w:tcPr>
            <w:tcW w:w="1844" w:type="dxa"/>
            <w:tcBorders>
              <w:top w:val="single" w:sz="4" w:space="0" w:color="auto"/>
              <w:left w:val="single" w:sz="4" w:space="0" w:color="auto"/>
              <w:bottom w:val="single" w:sz="4" w:space="0" w:color="auto"/>
              <w:right w:val="single" w:sz="4" w:space="0" w:color="auto"/>
            </w:tcBorders>
            <w:vAlign w:val="center"/>
          </w:tcPr>
          <w:p w14:paraId="5F0FD8AC" w14:textId="77777777" w:rsidR="00D17FFE" w:rsidRDefault="00D17FFE" w:rsidP="003E4145">
            <w:pPr>
              <w:pStyle w:val="Tabletext"/>
            </w:pPr>
            <w:r>
              <w:t>Health forgone: need other supportive factors</w:t>
            </w:r>
          </w:p>
        </w:tc>
        <w:tc>
          <w:tcPr>
            <w:tcW w:w="2153" w:type="dxa"/>
            <w:tcBorders>
              <w:top w:val="single" w:sz="4" w:space="0" w:color="auto"/>
              <w:left w:val="single" w:sz="4" w:space="0" w:color="auto"/>
              <w:bottom w:val="single" w:sz="4" w:space="0" w:color="auto"/>
              <w:right w:val="single" w:sz="4" w:space="0" w:color="auto"/>
            </w:tcBorders>
            <w:vAlign w:val="center"/>
          </w:tcPr>
          <w:p w14:paraId="7DF81A58" w14:textId="77777777" w:rsidR="00D17FFE" w:rsidRDefault="00D17FFE" w:rsidP="003E4145">
            <w:pPr>
              <w:pStyle w:val="Tabletext"/>
            </w:pPr>
            <w:r>
              <w:t>Health forgone possible: need other supportive factors</w:t>
            </w:r>
          </w:p>
        </w:tc>
        <w:tc>
          <w:tcPr>
            <w:tcW w:w="1691" w:type="dxa"/>
            <w:tcBorders>
              <w:top w:val="single" w:sz="4" w:space="0" w:color="auto"/>
              <w:left w:val="single" w:sz="4" w:space="0" w:color="auto"/>
              <w:bottom w:val="single" w:sz="4" w:space="0" w:color="auto"/>
              <w:right w:val="single" w:sz="4" w:space="0" w:color="auto"/>
            </w:tcBorders>
            <w:vAlign w:val="center"/>
          </w:tcPr>
          <w:p w14:paraId="32179655" w14:textId="77777777" w:rsidR="00D17FFE" w:rsidRDefault="00D17FFE" w:rsidP="003E4145">
            <w:pPr>
              <w:pStyle w:val="Tabletext"/>
            </w:pPr>
            <w:r>
              <w:t>Health forgone: need other supportive factors</w:t>
            </w:r>
          </w:p>
        </w:tc>
        <w:tc>
          <w:tcPr>
            <w:tcW w:w="1384" w:type="dxa"/>
            <w:tcBorders>
              <w:top w:val="single" w:sz="4" w:space="0" w:color="auto"/>
              <w:left w:val="single" w:sz="4" w:space="0" w:color="auto"/>
              <w:bottom w:val="single" w:sz="4" w:space="0" w:color="auto"/>
              <w:right w:val="single" w:sz="4" w:space="0" w:color="auto"/>
            </w:tcBorders>
            <w:vAlign w:val="center"/>
          </w:tcPr>
          <w:p w14:paraId="4DEF182A" w14:textId="77777777" w:rsidR="00D17FFE" w:rsidRDefault="00D17FFE" w:rsidP="003E4145">
            <w:pPr>
              <w:pStyle w:val="Tabletext"/>
            </w:pPr>
            <w:r>
              <w:t>? Likely CUA</w:t>
            </w:r>
          </w:p>
        </w:tc>
      </w:tr>
      <w:tr w:rsidR="00D17FFE" w14:paraId="450924DA" w14:textId="77777777" w:rsidTr="003E4145">
        <w:tc>
          <w:tcPr>
            <w:tcW w:w="1947" w:type="dxa"/>
            <w:tcBorders>
              <w:top w:val="single" w:sz="4" w:space="0" w:color="auto"/>
              <w:left w:val="single" w:sz="4" w:space="0" w:color="auto"/>
              <w:bottom w:val="single" w:sz="4" w:space="0" w:color="auto"/>
              <w:right w:val="single" w:sz="4" w:space="0" w:color="auto"/>
            </w:tcBorders>
            <w:vAlign w:val="center"/>
          </w:tcPr>
          <w:p w14:paraId="66C6B050" w14:textId="77777777" w:rsidR="00D17FFE" w:rsidRDefault="00D17FFE" w:rsidP="003E4145">
            <w:pPr>
              <w:pStyle w:val="Tabletext"/>
            </w:pPr>
            <w:r>
              <w:t>Uncertain</w:t>
            </w:r>
            <w:r>
              <w:rPr>
                <w:vertAlign w:val="superscript"/>
              </w:rPr>
              <w:t>a</w:t>
            </w:r>
          </w:p>
        </w:tc>
        <w:tc>
          <w:tcPr>
            <w:tcW w:w="1844" w:type="dxa"/>
            <w:tcBorders>
              <w:top w:val="single" w:sz="4" w:space="0" w:color="auto"/>
              <w:left w:val="single" w:sz="4" w:space="0" w:color="auto"/>
              <w:bottom w:val="single" w:sz="4" w:space="0" w:color="auto"/>
              <w:right w:val="single" w:sz="4" w:space="0" w:color="auto"/>
            </w:tcBorders>
            <w:vAlign w:val="center"/>
          </w:tcPr>
          <w:p w14:paraId="6F66CC85" w14:textId="77777777" w:rsidR="00D17FFE" w:rsidRDefault="00D17FFE" w:rsidP="003E4145">
            <w:pPr>
              <w:pStyle w:val="Tabletext"/>
            </w:pPr>
            <w:r>
              <w:t>Health forgone possible: need other supportive factors</w:t>
            </w:r>
          </w:p>
        </w:tc>
        <w:tc>
          <w:tcPr>
            <w:tcW w:w="2153" w:type="dxa"/>
            <w:tcBorders>
              <w:top w:val="single" w:sz="4" w:space="0" w:color="auto"/>
              <w:left w:val="single" w:sz="4" w:space="0" w:color="auto"/>
              <w:bottom w:val="single" w:sz="4" w:space="0" w:color="auto"/>
              <w:right w:val="single" w:sz="4" w:space="0" w:color="auto"/>
            </w:tcBorders>
            <w:vAlign w:val="center"/>
          </w:tcPr>
          <w:p w14:paraId="55C0F3E4" w14:textId="77777777" w:rsidR="00D17FFE" w:rsidRDefault="00D17FFE" w:rsidP="003E4145">
            <w:pPr>
              <w:pStyle w:val="Tabletext"/>
            </w:pPr>
            <w:r>
              <w:t>?</w:t>
            </w:r>
          </w:p>
        </w:tc>
        <w:tc>
          <w:tcPr>
            <w:tcW w:w="1691" w:type="dxa"/>
            <w:tcBorders>
              <w:top w:val="single" w:sz="4" w:space="0" w:color="auto"/>
              <w:left w:val="single" w:sz="4" w:space="0" w:color="auto"/>
              <w:bottom w:val="single" w:sz="4" w:space="0" w:color="auto"/>
              <w:right w:val="single" w:sz="4" w:space="0" w:color="auto"/>
            </w:tcBorders>
            <w:vAlign w:val="center"/>
          </w:tcPr>
          <w:p w14:paraId="6659491E" w14:textId="77777777" w:rsidR="00D17FFE" w:rsidRDefault="00D17FFE" w:rsidP="003E4145">
            <w:pPr>
              <w:pStyle w:val="Tabletext"/>
            </w:pPr>
            <w:r>
              <w:t>?</w:t>
            </w:r>
          </w:p>
        </w:tc>
        <w:tc>
          <w:tcPr>
            <w:tcW w:w="1384" w:type="dxa"/>
            <w:tcBorders>
              <w:top w:val="single" w:sz="4" w:space="0" w:color="auto"/>
              <w:left w:val="single" w:sz="4" w:space="0" w:color="auto"/>
              <w:bottom w:val="single" w:sz="4" w:space="0" w:color="auto"/>
              <w:right w:val="single" w:sz="4" w:space="0" w:color="auto"/>
            </w:tcBorders>
            <w:vAlign w:val="center"/>
          </w:tcPr>
          <w:p w14:paraId="0A56F532" w14:textId="77777777" w:rsidR="00D17FFE" w:rsidRDefault="00D17FFE" w:rsidP="003E4145">
            <w:pPr>
              <w:pStyle w:val="Tabletext"/>
            </w:pPr>
            <w:r>
              <w:t>? Likely CEA/CUA</w:t>
            </w:r>
          </w:p>
        </w:tc>
      </w:tr>
      <w:tr w:rsidR="00D17FFE" w14:paraId="6B2AFDC9" w14:textId="77777777" w:rsidTr="003E4145">
        <w:tc>
          <w:tcPr>
            <w:tcW w:w="1947" w:type="dxa"/>
            <w:tcBorders>
              <w:top w:val="single" w:sz="4" w:space="0" w:color="auto"/>
              <w:left w:val="single" w:sz="4" w:space="0" w:color="auto"/>
              <w:bottom w:val="single" w:sz="4" w:space="0" w:color="auto"/>
              <w:right w:val="single" w:sz="4" w:space="0" w:color="auto"/>
            </w:tcBorders>
            <w:vAlign w:val="center"/>
          </w:tcPr>
          <w:p w14:paraId="0AD7A70D" w14:textId="77777777" w:rsidR="00D17FFE" w:rsidRDefault="00D17FFE" w:rsidP="003E4145">
            <w:pPr>
              <w:pStyle w:val="Tabletext"/>
            </w:pPr>
            <w:r>
              <w:t>Non-inferior</w:t>
            </w:r>
            <w:r>
              <w:rPr>
                <w:vertAlign w:val="superscript"/>
              </w:rPr>
              <w:t>b</w:t>
            </w:r>
          </w:p>
        </w:tc>
        <w:tc>
          <w:tcPr>
            <w:tcW w:w="1844" w:type="dxa"/>
            <w:tcBorders>
              <w:top w:val="single" w:sz="4" w:space="0" w:color="auto"/>
              <w:left w:val="single" w:sz="4" w:space="0" w:color="auto"/>
              <w:bottom w:val="single" w:sz="4" w:space="0" w:color="auto"/>
              <w:right w:val="single" w:sz="4" w:space="0" w:color="auto"/>
            </w:tcBorders>
            <w:vAlign w:val="center"/>
          </w:tcPr>
          <w:p w14:paraId="0E3047C3" w14:textId="77777777" w:rsidR="00D17FFE" w:rsidRDefault="00D17FFE" w:rsidP="003E4145">
            <w:pPr>
              <w:pStyle w:val="Tabletext"/>
            </w:pPr>
            <w:r>
              <w:t>Health forgone: need other supportive factors</w:t>
            </w:r>
          </w:p>
        </w:tc>
        <w:tc>
          <w:tcPr>
            <w:tcW w:w="2153" w:type="dxa"/>
            <w:tcBorders>
              <w:top w:val="single" w:sz="4" w:space="0" w:color="auto"/>
              <w:left w:val="single" w:sz="4" w:space="0" w:color="auto"/>
              <w:bottom w:val="single" w:sz="4" w:space="0" w:color="auto"/>
              <w:right w:val="single" w:sz="4" w:space="0" w:color="auto"/>
            </w:tcBorders>
            <w:vAlign w:val="center"/>
          </w:tcPr>
          <w:p w14:paraId="6D3DB37E" w14:textId="77777777" w:rsidR="00D17FFE" w:rsidRDefault="00D17FFE" w:rsidP="003E4145">
            <w:pPr>
              <w:pStyle w:val="Tabletext"/>
            </w:pPr>
            <w:r>
              <w:t>?</w:t>
            </w:r>
          </w:p>
        </w:tc>
        <w:tc>
          <w:tcPr>
            <w:tcW w:w="1691" w:type="dxa"/>
            <w:tcBorders>
              <w:top w:val="single" w:sz="4" w:space="0" w:color="auto"/>
              <w:left w:val="single" w:sz="4" w:space="0" w:color="auto"/>
              <w:bottom w:val="single" w:sz="4" w:space="0" w:color="auto"/>
              <w:right w:val="single" w:sz="4" w:space="0" w:color="auto"/>
            </w:tcBorders>
            <w:vAlign w:val="center"/>
          </w:tcPr>
          <w:p w14:paraId="731BD6B1" w14:textId="77777777" w:rsidR="00D17FFE" w:rsidRDefault="00D17FFE" w:rsidP="003E4145">
            <w:pPr>
              <w:pStyle w:val="Tabletext"/>
            </w:pPr>
            <w:r>
              <w:t>CMA</w:t>
            </w:r>
          </w:p>
        </w:tc>
        <w:tc>
          <w:tcPr>
            <w:tcW w:w="1384" w:type="dxa"/>
            <w:tcBorders>
              <w:top w:val="single" w:sz="4" w:space="0" w:color="auto"/>
              <w:left w:val="single" w:sz="4" w:space="0" w:color="auto"/>
              <w:bottom w:val="single" w:sz="4" w:space="0" w:color="auto"/>
              <w:right w:val="single" w:sz="4" w:space="0" w:color="auto"/>
            </w:tcBorders>
            <w:vAlign w:val="center"/>
          </w:tcPr>
          <w:p w14:paraId="0E083020" w14:textId="77777777" w:rsidR="00D17FFE" w:rsidRDefault="00D17FFE" w:rsidP="003E4145">
            <w:pPr>
              <w:pStyle w:val="Tabletext"/>
            </w:pPr>
            <w:r>
              <w:t>CEA/CUA</w:t>
            </w:r>
          </w:p>
        </w:tc>
      </w:tr>
      <w:tr w:rsidR="00D17FFE" w14:paraId="43F46B36" w14:textId="77777777" w:rsidTr="003E4145">
        <w:tc>
          <w:tcPr>
            <w:tcW w:w="1947" w:type="dxa"/>
            <w:tcBorders>
              <w:top w:val="single" w:sz="4" w:space="0" w:color="auto"/>
              <w:left w:val="single" w:sz="4" w:space="0" w:color="auto"/>
              <w:bottom w:val="single" w:sz="4" w:space="0" w:color="auto"/>
              <w:right w:val="single" w:sz="4" w:space="0" w:color="auto"/>
            </w:tcBorders>
            <w:vAlign w:val="center"/>
          </w:tcPr>
          <w:p w14:paraId="6B56F0C4" w14:textId="77777777" w:rsidR="00D17FFE" w:rsidRDefault="00D17FFE" w:rsidP="003E4145">
            <w:pPr>
              <w:pStyle w:val="Tabletext"/>
            </w:pPr>
            <w:r>
              <w:t>Superior</w:t>
            </w:r>
          </w:p>
        </w:tc>
        <w:tc>
          <w:tcPr>
            <w:tcW w:w="1844" w:type="dxa"/>
            <w:tcBorders>
              <w:top w:val="single" w:sz="4" w:space="0" w:color="auto"/>
              <w:left w:val="single" w:sz="4" w:space="0" w:color="auto"/>
              <w:bottom w:val="single" w:sz="4" w:space="0" w:color="auto"/>
              <w:right w:val="single" w:sz="4" w:space="0" w:color="auto"/>
            </w:tcBorders>
            <w:vAlign w:val="center"/>
          </w:tcPr>
          <w:p w14:paraId="015F8D03" w14:textId="77777777" w:rsidR="00D17FFE" w:rsidRDefault="00D17FFE" w:rsidP="003E4145">
            <w:pPr>
              <w:pStyle w:val="Tabletext"/>
            </w:pPr>
            <w:r>
              <w:t>? Likely CUA</w:t>
            </w:r>
          </w:p>
        </w:tc>
        <w:tc>
          <w:tcPr>
            <w:tcW w:w="2153" w:type="dxa"/>
            <w:tcBorders>
              <w:top w:val="single" w:sz="4" w:space="0" w:color="auto"/>
              <w:left w:val="single" w:sz="4" w:space="0" w:color="auto"/>
              <w:bottom w:val="single" w:sz="4" w:space="0" w:color="auto"/>
              <w:right w:val="single" w:sz="4" w:space="0" w:color="auto"/>
            </w:tcBorders>
            <w:vAlign w:val="center"/>
          </w:tcPr>
          <w:p w14:paraId="49B15EAB" w14:textId="77777777" w:rsidR="00D17FFE" w:rsidRDefault="00D17FFE" w:rsidP="003E4145">
            <w:pPr>
              <w:pStyle w:val="Tabletext"/>
            </w:pPr>
            <w:r>
              <w:t>? Likely CEA/CUA</w:t>
            </w:r>
          </w:p>
        </w:tc>
        <w:tc>
          <w:tcPr>
            <w:tcW w:w="1691" w:type="dxa"/>
            <w:tcBorders>
              <w:top w:val="single" w:sz="4" w:space="0" w:color="auto"/>
              <w:left w:val="single" w:sz="4" w:space="0" w:color="auto"/>
              <w:bottom w:val="single" w:sz="4" w:space="0" w:color="auto"/>
              <w:right w:val="single" w:sz="4" w:space="0" w:color="auto"/>
            </w:tcBorders>
            <w:vAlign w:val="center"/>
          </w:tcPr>
          <w:p w14:paraId="348990E7" w14:textId="77777777" w:rsidR="00D17FFE" w:rsidRDefault="00D17FFE" w:rsidP="003E4145">
            <w:pPr>
              <w:pStyle w:val="Tabletext"/>
            </w:pPr>
            <w:r>
              <w:t>CEA/CUA</w:t>
            </w:r>
          </w:p>
        </w:tc>
        <w:tc>
          <w:tcPr>
            <w:tcW w:w="1384" w:type="dxa"/>
            <w:tcBorders>
              <w:top w:val="single" w:sz="4" w:space="0" w:color="auto"/>
              <w:left w:val="single" w:sz="4" w:space="0" w:color="auto"/>
              <w:bottom w:val="single" w:sz="4" w:space="0" w:color="auto"/>
              <w:right w:val="single" w:sz="4" w:space="0" w:color="auto"/>
            </w:tcBorders>
            <w:vAlign w:val="center"/>
          </w:tcPr>
          <w:p w14:paraId="1C88B780" w14:textId="77777777" w:rsidR="00D17FFE" w:rsidRDefault="00D17FFE" w:rsidP="003E4145">
            <w:pPr>
              <w:pStyle w:val="Tabletext"/>
            </w:pPr>
            <w:r>
              <w:t>CEA/CUA</w:t>
            </w:r>
          </w:p>
        </w:tc>
      </w:tr>
    </w:tbl>
    <w:p w14:paraId="12C1DBEC" w14:textId="77777777" w:rsidR="00D17FFE" w:rsidRPr="009929BE" w:rsidRDefault="00D17FFE" w:rsidP="00D17FFE">
      <w:pPr>
        <w:pStyle w:val="Tablenotes"/>
        <w:rPr>
          <w:szCs w:val="18"/>
        </w:rPr>
      </w:pPr>
      <w:r w:rsidRPr="009929BE">
        <w:rPr>
          <w:szCs w:val="18"/>
        </w:rPr>
        <w:t>CEA=cost-effectiveness analysis; CMA=cost-minimisation analysis; CUA=cost-utility analysis</w:t>
      </w:r>
    </w:p>
    <w:p w14:paraId="321EB664" w14:textId="77777777" w:rsidR="00D17FFE" w:rsidRPr="009929BE" w:rsidRDefault="00D17FFE" w:rsidP="00D17FFE">
      <w:pPr>
        <w:pStyle w:val="Tablenotes"/>
        <w:rPr>
          <w:b/>
          <w:szCs w:val="18"/>
        </w:rPr>
      </w:pPr>
      <w:r w:rsidRPr="009929BE">
        <w:rPr>
          <w:szCs w:val="18"/>
        </w:rPr>
        <w:t xml:space="preserve">? = reflect uncertainties and any identified health trade-offs in the economic evaluation, as a minimum in a cost-consequences analysis </w:t>
      </w:r>
    </w:p>
    <w:p w14:paraId="5F47E302" w14:textId="77777777" w:rsidR="00D17FFE" w:rsidRPr="009929BE" w:rsidRDefault="00D17FFE" w:rsidP="00D17FFE">
      <w:pPr>
        <w:pStyle w:val="Tablenotes"/>
        <w:rPr>
          <w:b/>
          <w:szCs w:val="18"/>
        </w:rPr>
      </w:pPr>
      <w:r w:rsidRPr="009929BE">
        <w:rPr>
          <w:szCs w:val="18"/>
          <w:vertAlign w:val="superscript"/>
        </w:rPr>
        <w:t>a</w:t>
      </w:r>
      <w:r w:rsidRPr="009929BE">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63DCA4E8" w14:textId="77777777" w:rsidR="00D17FFE" w:rsidRPr="009929BE" w:rsidRDefault="00D17FFE" w:rsidP="00D17FFE">
      <w:pPr>
        <w:pStyle w:val="Tablenotes"/>
        <w:rPr>
          <w:szCs w:val="18"/>
        </w:rPr>
      </w:pPr>
      <w:r w:rsidRPr="009929BE">
        <w:rPr>
          <w:szCs w:val="18"/>
          <w:vertAlign w:val="superscript"/>
        </w:rPr>
        <w:t>b</w:t>
      </w:r>
      <w:r w:rsidRPr="009929BE">
        <w:rPr>
          <w:szCs w:val="18"/>
        </w:rPr>
        <w:t> An adequate assessment of ‘non-inferiority’ is the preferred basis for demonstrating equivalence</w:t>
      </w:r>
    </w:p>
    <w:p w14:paraId="70485309" w14:textId="77777777" w:rsidR="009B0EBF" w:rsidRDefault="00C77FEC" w:rsidP="00C77FEC">
      <w:r>
        <w:t xml:space="preserve">The main health economic gains or losses for the treatment of cartilage defects lie in the longer term when osteoarthritis develops, potentially leading to a total joint replacement (TJR). </w:t>
      </w:r>
    </w:p>
    <w:p w14:paraId="33665054" w14:textId="2FDDADCA" w:rsidR="00C77FEC" w:rsidRDefault="00C77FEC" w:rsidP="00C77FEC">
      <w:r>
        <w:t xml:space="preserve">Given evidence that tissue quality and improved cartilage repair are predictors of improved clinical symptoms and long-term durability, it is appropriate to consider outcomes </w:t>
      </w:r>
      <w:r w:rsidR="003F617F">
        <w:t>more than five</w:t>
      </w:r>
      <w:r>
        <w:t xml:space="preserve"> years from the intervention. For this reason, a timeframe of 10 years is recommended for the economic evaluation, even though MBS impacts do not need to be considered for this duration.</w:t>
      </w:r>
    </w:p>
    <w:p w14:paraId="772483A6" w14:textId="45D87E77" w:rsidR="00C77FEC" w:rsidRDefault="00C77FEC" w:rsidP="00C77FEC">
      <w:r>
        <w:t>Microfracture alone in conjunction with standard of care should be the comparator for the economic evaluation.</w:t>
      </w:r>
    </w:p>
    <w:p w14:paraId="6E45B1E5" w14:textId="13B92C07" w:rsidR="003E4145" w:rsidRDefault="003E4145" w:rsidP="003E4145">
      <w:r>
        <w:t xml:space="preserve">A summary of the proposed characteristics of the economic evaluation is given in </w:t>
      </w:r>
      <w:r w:rsidRPr="003A1192">
        <w:fldChar w:fldCharType="begin"/>
      </w:r>
      <w:r w:rsidRPr="003A1192">
        <w:instrText xml:space="preserve"> REF _Ref395196756 \h  \* MERGEFORMAT </w:instrText>
      </w:r>
      <w:r w:rsidRPr="003A1192">
        <w:fldChar w:fldCharType="separate"/>
      </w:r>
      <w:r w:rsidR="000649E7" w:rsidRPr="003A1192">
        <w:t xml:space="preserve">Table </w:t>
      </w:r>
      <w:r w:rsidR="000649E7">
        <w:rPr>
          <w:noProof/>
        </w:rPr>
        <w:t>5</w:t>
      </w:r>
      <w:r w:rsidRPr="003A1192">
        <w:fldChar w:fldCharType="end"/>
      </w:r>
      <w:r w:rsidRPr="003A1192">
        <w:t>.</w:t>
      </w:r>
    </w:p>
    <w:p w14:paraId="15AC5D6A" w14:textId="137FAC25" w:rsidR="003E4145" w:rsidRDefault="003E4145" w:rsidP="003E4145">
      <w:pPr>
        <w:pStyle w:val="Caption"/>
        <w:tabs>
          <w:tab w:val="left" w:pos="1134"/>
        </w:tabs>
        <w:ind w:left="1134" w:hanging="1134"/>
        <w:jc w:val="both"/>
      </w:pPr>
      <w:bookmarkStart w:id="14" w:name="_Ref395196756"/>
      <w:bookmarkStart w:id="15" w:name="_Toc399251139"/>
      <w:r w:rsidRPr="003A1192">
        <w:t xml:space="preserve">Table </w:t>
      </w:r>
      <w:r>
        <w:rPr>
          <w:noProof/>
        </w:rPr>
        <w:fldChar w:fldCharType="begin"/>
      </w:r>
      <w:r>
        <w:rPr>
          <w:noProof/>
        </w:rPr>
        <w:instrText xml:space="preserve"> SEQ Table \* ARABIC </w:instrText>
      </w:r>
      <w:r>
        <w:rPr>
          <w:noProof/>
        </w:rPr>
        <w:fldChar w:fldCharType="separate"/>
      </w:r>
      <w:r w:rsidR="000649E7">
        <w:rPr>
          <w:noProof/>
        </w:rPr>
        <w:t>5</w:t>
      </w:r>
      <w:r>
        <w:rPr>
          <w:noProof/>
        </w:rPr>
        <w:fldChar w:fldCharType="end"/>
      </w:r>
      <w:bookmarkEnd w:id="14"/>
      <w:r w:rsidRPr="00183E4D">
        <w:tab/>
        <w:t>Summary of the economic evaluation</w:t>
      </w:r>
      <w:bookmarkEnd w:id="15"/>
      <w:r w:rsidRPr="00183E4D">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20 Summary of the economic evaluation"/>
        <w:tblDescription w:val="This table describes the key constructs of the economic evaluation that is provided in the assessment report."/>
      </w:tblPr>
      <w:tblGrid>
        <w:gridCol w:w="3072"/>
        <w:gridCol w:w="5836"/>
      </w:tblGrid>
      <w:tr w:rsidR="003E4145" w:rsidRPr="00183E4D" w14:paraId="4484BD74" w14:textId="77777777" w:rsidTr="00447AA1">
        <w:trPr>
          <w:trHeight w:val="20"/>
        </w:trPr>
        <w:tc>
          <w:tcPr>
            <w:tcW w:w="3072" w:type="dxa"/>
            <w:tcBorders>
              <w:top w:val="single" w:sz="4" w:space="0" w:color="auto"/>
              <w:left w:val="single" w:sz="4" w:space="0" w:color="auto"/>
              <w:bottom w:val="single" w:sz="4" w:space="0" w:color="auto"/>
              <w:right w:val="single" w:sz="4" w:space="0" w:color="auto"/>
            </w:tcBorders>
          </w:tcPr>
          <w:p w14:paraId="108862CF" w14:textId="77777777" w:rsidR="003E4145" w:rsidRPr="00183E4D" w:rsidRDefault="003E4145" w:rsidP="003E4145">
            <w:pPr>
              <w:pStyle w:val="Tabletext"/>
            </w:pPr>
            <w:r w:rsidRPr="00183E4D">
              <w:t>Perspective</w:t>
            </w:r>
          </w:p>
        </w:tc>
        <w:tc>
          <w:tcPr>
            <w:tcW w:w="5836" w:type="dxa"/>
            <w:tcBorders>
              <w:top w:val="single" w:sz="4" w:space="0" w:color="auto"/>
              <w:left w:val="single" w:sz="4" w:space="0" w:color="auto"/>
              <w:bottom w:val="single" w:sz="4" w:space="0" w:color="auto"/>
              <w:right w:val="single" w:sz="4" w:space="0" w:color="auto"/>
            </w:tcBorders>
          </w:tcPr>
          <w:p w14:paraId="5B436BA0" w14:textId="77777777" w:rsidR="003E4145" w:rsidRPr="00183E4D" w:rsidRDefault="003E4145" w:rsidP="003E4145">
            <w:pPr>
              <w:pStyle w:val="Tabletext"/>
            </w:pPr>
            <w:r>
              <w:t>Australian healthcare system</w:t>
            </w:r>
          </w:p>
        </w:tc>
      </w:tr>
      <w:tr w:rsidR="003E4145" w:rsidRPr="00183E4D" w14:paraId="3BE68ED0" w14:textId="77777777" w:rsidTr="00447AA1">
        <w:trPr>
          <w:trHeight w:val="20"/>
        </w:trPr>
        <w:tc>
          <w:tcPr>
            <w:tcW w:w="3072" w:type="dxa"/>
            <w:tcBorders>
              <w:top w:val="single" w:sz="4" w:space="0" w:color="auto"/>
              <w:left w:val="single" w:sz="4" w:space="0" w:color="auto"/>
              <w:bottom w:val="single" w:sz="4" w:space="0" w:color="auto"/>
              <w:right w:val="single" w:sz="4" w:space="0" w:color="auto"/>
            </w:tcBorders>
          </w:tcPr>
          <w:p w14:paraId="3364ED4C" w14:textId="77777777" w:rsidR="003E4145" w:rsidRPr="00183E4D" w:rsidRDefault="003E4145" w:rsidP="003E4145">
            <w:pPr>
              <w:pStyle w:val="Tabletext"/>
            </w:pPr>
            <w:r w:rsidRPr="00183E4D">
              <w:t>Comparator</w:t>
            </w:r>
          </w:p>
        </w:tc>
        <w:tc>
          <w:tcPr>
            <w:tcW w:w="5836" w:type="dxa"/>
            <w:tcBorders>
              <w:top w:val="single" w:sz="4" w:space="0" w:color="auto"/>
              <w:left w:val="single" w:sz="4" w:space="0" w:color="auto"/>
              <w:bottom w:val="single" w:sz="4" w:space="0" w:color="auto"/>
              <w:right w:val="single" w:sz="4" w:space="0" w:color="auto"/>
            </w:tcBorders>
          </w:tcPr>
          <w:p w14:paraId="41F05480" w14:textId="3C0FC73D" w:rsidR="003E4145" w:rsidRPr="00183E4D" w:rsidRDefault="00C77FEC" w:rsidP="003E4145">
            <w:pPr>
              <w:pStyle w:val="Tabletext"/>
            </w:pPr>
            <w:r>
              <w:t>Microfracture alone in conjunction with standard of care</w:t>
            </w:r>
          </w:p>
        </w:tc>
      </w:tr>
      <w:tr w:rsidR="003E4145" w:rsidRPr="00183E4D" w14:paraId="4BDD47FE" w14:textId="77777777" w:rsidTr="00447AA1">
        <w:trPr>
          <w:trHeight w:val="20"/>
        </w:trPr>
        <w:tc>
          <w:tcPr>
            <w:tcW w:w="3072" w:type="dxa"/>
            <w:tcBorders>
              <w:top w:val="single" w:sz="4" w:space="0" w:color="auto"/>
              <w:left w:val="single" w:sz="4" w:space="0" w:color="auto"/>
              <w:bottom w:val="single" w:sz="4" w:space="0" w:color="auto"/>
              <w:right w:val="single" w:sz="4" w:space="0" w:color="auto"/>
            </w:tcBorders>
          </w:tcPr>
          <w:p w14:paraId="17019303" w14:textId="77777777" w:rsidR="003E4145" w:rsidRPr="00183E4D" w:rsidRDefault="003E4145" w:rsidP="003E4145">
            <w:pPr>
              <w:pStyle w:val="Tabletext"/>
            </w:pPr>
            <w:r w:rsidRPr="00183E4D">
              <w:t>Type of economic evaluation</w:t>
            </w:r>
          </w:p>
        </w:tc>
        <w:tc>
          <w:tcPr>
            <w:tcW w:w="5836" w:type="dxa"/>
            <w:tcBorders>
              <w:top w:val="single" w:sz="4" w:space="0" w:color="auto"/>
              <w:left w:val="single" w:sz="4" w:space="0" w:color="auto"/>
              <w:bottom w:val="single" w:sz="4" w:space="0" w:color="auto"/>
              <w:right w:val="single" w:sz="4" w:space="0" w:color="auto"/>
            </w:tcBorders>
          </w:tcPr>
          <w:p w14:paraId="32719E93" w14:textId="41D46588" w:rsidR="003E4145" w:rsidRPr="00183E4D" w:rsidRDefault="003E4145" w:rsidP="003E4145">
            <w:pPr>
              <w:pStyle w:val="Tabletext"/>
            </w:pPr>
            <w:r>
              <w:t>Cost effectiveness analysis</w:t>
            </w:r>
            <w:r w:rsidR="008868A1">
              <w:t xml:space="preserve"> (</w:t>
            </w:r>
            <w:r>
              <w:t>o</w:t>
            </w:r>
            <w:r w:rsidR="008868A1">
              <w:t>r c</w:t>
            </w:r>
            <w:r>
              <w:t>ost-utility analysis</w:t>
            </w:r>
            <w:r w:rsidR="008868A1">
              <w:t xml:space="preserve"> </w:t>
            </w:r>
            <w:r>
              <w:t>depending on evidence</w:t>
            </w:r>
            <w:r w:rsidR="008868A1">
              <w:t>)</w:t>
            </w:r>
            <w:r>
              <w:t xml:space="preserve"> </w:t>
            </w:r>
          </w:p>
        </w:tc>
      </w:tr>
      <w:tr w:rsidR="003E4145" w:rsidRPr="00183E4D" w14:paraId="723D31D7" w14:textId="77777777" w:rsidTr="00447AA1">
        <w:trPr>
          <w:trHeight w:val="20"/>
        </w:trPr>
        <w:tc>
          <w:tcPr>
            <w:tcW w:w="3072" w:type="dxa"/>
            <w:tcBorders>
              <w:top w:val="single" w:sz="4" w:space="0" w:color="auto"/>
              <w:left w:val="single" w:sz="4" w:space="0" w:color="auto"/>
              <w:bottom w:val="single" w:sz="4" w:space="0" w:color="auto"/>
              <w:right w:val="single" w:sz="4" w:space="0" w:color="auto"/>
            </w:tcBorders>
          </w:tcPr>
          <w:p w14:paraId="031FA5E8" w14:textId="77777777" w:rsidR="003E4145" w:rsidRPr="00183E4D" w:rsidRDefault="003E4145" w:rsidP="003E4145">
            <w:pPr>
              <w:pStyle w:val="Tabletext"/>
            </w:pPr>
            <w:r w:rsidRPr="00183E4D">
              <w:t>Sources of evidence</w:t>
            </w:r>
          </w:p>
        </w:tc>
        <w:tc>
          <w:tcPr>
            <w:tcW w:w="5836" w:type="dxa"/>
            <w:tcBorders>
              <w:top w:val="single" w:sz="4" w:space="0" w:color="auto"/>
              <w:left w:val="single" w:sz="4" w:space="0" w:color="auto"/>
              <w:bottom w:val="single" w:sz="4" w:space="0" w:color="auto"/>
              <w:right w:val="single" w:sz="4" w:space="0" w:color="auto"/>
            </w:tcBorders>
          </w:tcPr>
          <w:p w14:paraId="702C6575" w14:textId="77777777" w:rsidR="003E4145" w:rsidRPr="00183E4D" w:rsidRDefault="003E4145" w:rsidP="003E4145">
            <w:pPr>
              <w:pStyle w:val="Tabletext"/>
            </w:pPr>
            <w:r>
              <w:t>RCT, observational studies</w:t>
            </w:r>
          </w:p>
        </w:tc>
      </w:tr>
      <w:tr w:rsidR="003E4145" w:rsidRPr="00183E4D" w14:paraId="4511250A" w14:textId="77777777" w:rsidTr="00447AA1">
        <w:trPr>
          <w:trHeight w:val="20"/>
        </w:trPr>
        <w:tc>
          <w:tcPr>
            <w:tcW w:w="3072" w:type="dxa"/>
            <w:tcBorders>
              <w:top w:val="single" w:sz="4" w:space="0" w:color="auto"/>
              <w:left w:val="single" w:sz="4" w:space="0" w:color="auto"/>
              <w:bottom w:val="single" w:sz="4" w:space="0" w:color="auto"/>
              <w:right w:val="single" w:sz="4" w:space="0" w:color="auto"/>
            </w:tcBorders>
            <w:hideMark/>
          </w:tcPr>
          <w:p w14:paraId="30ADEB16" w14:textId="77777777" w:rsidR="003E4145" w:rsidRPr="00183E4D" w:rsidRDefault="003E4145" w:rsidP="003E4145">
            <w:pPr>
              <w:pStyle w:val="Tabletext"/>
            </w:pPr>
            <w:r w:rsidRPr="00183E4D">
              <w:t>Time horizon</w:t>
            </w:r>
          </w:p>
        </w:tc>
        <w:tc>
          <w:tcPr>
            <w:tcW w:w="5836" w:type="dxa"/>
            <w:tcBorders>
              <w:top w:val="single" w:sz="4" w:space="0" w:color="auto"/>
              <w:left w:val="single" w:sz="4" w:space="0" w:color="auto"/>
              <w:bottom w:val="single" w:sz="4" w:space="0" w:color="auto"/>
              <w:right w:val="single" w:sz="4" w:space="0" w:color="auto"/>
            </w:tcBorders>
            <w:hideMark/>
          </w:tcPr>
          <w:p w14:paraId="1B2066B6" w14:textId="77777777" w:rsidR="003E4145" w:rsidRPr="00183E4D" w:rsidRDefault="003E4145" w:rsidP="003E4145">
            <w:pPr>
              <w:pStyle w:val="Tabletext"/>
            </w:pPr>
            <w:r>
              <w:t>10 years</w:t>
            </w:r>
          </w:p>
        </w:tc>
      </w:tr>
      <w:tr w:rsidR="003E4145" w:rsidRPr="00183E4D" w14:paraId="6FE04141" w14:textId="77777777" w:rsidTr="00447AA1">
        <w:trPr>
          <w:trHeight w:val="20"/>
        </w:trPr>
        <w:tc>
          <w:tcPr>
            <w:tcW w:w="3072" w:type="dxa"/>
            <w:tcBorders>
              <w:top w:val="single" w:sz="4" w:space="0" w:color="auto"/>
              <w:left w:val="single" w:sz="4" w:space="0" w:color="auto"/>
              <w:bottom w:val="single" w:sz="4" w:space="0" w:color="auto"/>
              <w:right w:val="single" w:sz="4" w:space="0" w:color="auto"/>
            </w:tcBorders>
            <w:hideMark/>
          </w:tcPr>
          <w:p w14:paraId="3DC6D111" w14:textId="77777777" w:rsidR="003E4145" w:rsidRPr="00183E4D" w:rsidRDefault="003E4145" w:rsidP="003E4145">
            <w:pPr>
              <w:pStyle w:val="Tabletext"/>
            </w:pPr>
            <w:r w:rsidRPr="00183E4D">
              <w:t>Outcomes</w:t>
            </w:r>
          </w:p>
        </w:tc>
        <w:tc>
          <w:tcPr>
            <w:tcW w:w="5836" w:type="dxa"/>
            <w:tcBorders>
              <w:top w:val="single" w:sz="4" w:space="0" w:color="auto"/>
              <w:left w:val="single" w:sz="4" w:space="0" w:color="auto"/>
              <w:bottom w:val="single" w:sz="4" w:space="0" w:color="auto"/>
              <w:right w:val="single" w:sz="4" w:space="0" w:color="auto"/>
            </w:tcBorders>
          </w:tcPr>
          <w:p w14:paraId="0F4F4A40" w14:textId="6DBA35D5" w:rsidR="003E4145" w:rsidRPr="00447AA1" w:rsidRDefault="00447AA1" w:rsidP="003E4145">
            <w:pPr>
              <w:pStyle w:val="Tabletext"/>
            </w:pPr>
            <w:r w:rsidRPr="00447AA1">
              <w:t>Structural outcomes, functional outcomes, quality adjusted life years, working days lost</w:t>
            </w:r>
          </w:p>
        </w:tc>
      </w:tr>
      <w:tr w:rsidR="003E4145" w:rsidRPr="00183E4D" w14:paraId="457B42CA" w14:textId="77777777" w:rsidTr="00447AA1">
        <w:trPr>
          <w:trHeight w:val="20"/>
        </w:trPr>
        <w:tc>
          <w:tcPr>
            <w:tcW w:w="3072" w:type="dxa"/>
            <w:tcBorders>
              <w:top w:val="single" w:sz="4" w:space="0" w:color="auto"/>
              <w:left w:val="single" w:sz="4" w:space="0" w:color="auto"/>
              <w:bottom w:val="single" w:sz="4" w:space="0" w:color="auto"/>
              <w:right w:val="single" w:sz="4" w:space="0" w:color="auto"/>
            </w:tcBorders>
            <w:hideMark/>
          </w:tcPr>
          <w:p w14:paraId="093449CF" w14:textId="77777777" w:rsidR="003E4145" w:rsidRPr="00183E4D" w:rsidRDefault="003E4145" w:rsidP="003E4145">
            <w:pPr>
              <w:pStyle w:val="Tabletext"/>
            </w:pPr>
            <w:r w:rsidRPr="00183E4D">
              <w:t>Methods used to generate results</w:t>
            </w:r>
          </w:p>
        </w:tc>
        <w:tc>
          <w:tcPr>
            <w:tcW w:w="5836" w:type="dxa"/>
            <w:tcBorders>
              <w:top w:val="single" w:sz="4" w:space="0" w:color="auto"/>
              <w:left w:val="single" w:sz="4" w:space="0" w:color="auto"/>
              <w:bottom w:val="single" w:sz="4" w:space="0" w:color="auto"/>
              <w:right w:val="single" w:sz="4" w:space="0" w:color="auto"/>
            </w:tcBorders>
          </w:tcPr>
          <w:p w14:paraId="360052F5" w14:textId="52394345" w:rsidR="003E4145" w:rsidRPr="008868A1" w:rsidRDefault="003E4145" w:rsidP="003E4145">
            <w:pPr>
              <w:pStyle w:val="Tabletext"/>
              <w:rPr>
                <w:highlight w:val="yellow"/>
              </w:rPr>
            </w:pPr>
            <w:r w:rsidRPr="00447AA1">
              <w:t>Markov model</w:t>
            </w:r>
          </w:p>
        </w:tc>
      </w:tr>
    </w:tbl>
    <w:p w14:paraId="39C35771" w14:textId="77777777" w:rsidR="00447AA1" w:rsidRDefault="00447AA1" w:rsidP="00B3635A">
      <w:pPr>
        <w:spacing w:after="0"/>
      </w:pPr>
    </w:p>
    <w:p w14:paraId="44F70188" w14:textId="6660F778" w:rsidR="007E420D" w:rsidRDefault="00D55BD0" w:rsidP="007E420D">
      <w:r>
        <w:t>Given that le</w:t>
      </w:r>
      <w:r w:rsidR="00344322">
        <w:t>s</w:t>
      </w:r>
      <w:r>
        <w:t>ion size is a predictor of cascading events</w:t>
      </w:r>
      <w:r w:rsidR="00344322">
        <w:t xml:space="preserve"> </w:t>
      </w:r>
      <w:r w:rsidR="00C77FEC">
        <w:t>(subsequent health status and required interventions)</w:t>
      </w:r>
      <w:r w:rsidR="003F617F">
        <w:t xml:space="preserve"> </w:t>
      </w:r>
      <w:r w:rsidR="00344322">
        <w:t>[</w:t>
      </w:r>
      <w:r w:rsidR="00425BF3">
        <w:t>18]</w:t>
      </w:r>
      <w:r>
        <w:t>, the economic evaluation should separately identify costs and outcomes on the basis of le</w:t>
      </w:r>
      <w:r w:rsidR="00425BF3">
        <w:t>s</w:t>
      </w:r>
      <w:r>
        <w:t xml:space="preserve">ion size. </w:t>
      </w:r>
      <w:r w:rsidR="009B0EBF">
        <w:t>Therefore,</w:t>
      </w:r>
      <w:r w:rsidR="00BF0835">
        <w:t xml:space="preserve"> le</w:t>
      </w:r>
      <w:r w:rsidR="003F617F">
        <w:t>s</w:t>
      </w:r>
      <w:r w:rsidR="00BF0835">
        <w:t>ion size</w:t>
      </w:r>
      <w:r w:rsidR="009B0EBF">
        <w:t xml:space="preserve"> should</w:t>
      </w:r>
      <w:r w:rsidR="00BF0835">
        <w:t xml:space="preserve"> form the basis of a risk based approach to the economic evaluation: both in terms of the likelihood of cascading events, as well as costs and outcomes of treatment</w:t>
      </w:r>
      <w:r w:rsidR="00447AA1">
        <w:t xml:space="preserve">. </w:t>
      </w:r>
    </w:p>
    <w:p w14:paraId="4E629E8D" w14:textId="100F6B55" w:rsidR="00BF0835" w:rsidRDefault="00BF0835" w:rsidP="007E420D">
      <w:r>
        <w:t>Hence</w:t>
      </w:r>
      <w:r w:rsidR="00D463DE">
        <w:t>,</w:t>
      </w:r>
      <w:r>
        <w:t xml:space="preserve"> where possible, the </w:t>
      </w:r>
      <w:r w:rsidR="00434BCC">
        <w:t xml:space="preserve">economic evaluation approach </w:t>
      </w:r>
      <w:r>
        <w:t>should consider predictors of treatment failure and risks of longer term (</w:t>
      </w:r>
      <w:r w:rsidR="003F617F">
        <w:t>more than five</w:t>
      </w:r>
      <w:r>
        <w:t xml:space="preserve"> years) outcomes related to the durability of different types of cartilage repair and the utility associated with each type for particular patient groups (patient age by lesion size</w:t>
      </w:r>
      <w:r w:rsidR="003F617F">
        <w:t>)</w:t>
      </w:r>
      <w:r>
        <w:t>.</w:t>
      </w:r>
    </w:p>
    <w:p w14:paraId="53105EF3" w14:textId="0AF25E51" w:rsidR="007E420D" w:rsidRDefault="00BF0835" w:rsidP="007E420D">
      <w:r>
        <w:t>This means including in the economic evaluation</w:t>
      </w:r>
      <w:r w:rsidR="007E420D">
        <w:t>:</w:t>
      </w:r>
    </w:p>
    <w:p w14:paraId="6A9DB6B9" w14:textId="77777777" w:rsidR="001809BD" w:rsidRDefault="001809BD" w:rsidP="007E420D">
      <w:pPr>
        <w:pStyle w:val="ListBullet"/>
      </w:pPr>
      <w:r>
        <w:t xml:space="preserve">patient age, defect size </w:t>
      </w:r>
    </w:p>
    <w:p w14:paraId="2725C79F" w14:textId="5A3CD3FF" w:rsidR="004C78E5" w:rsidRDefault="004C78E5" w:rsidP="007E420D">
      <w:pPr>
        <w:pStyle w:val="ListBullet"/>
      </w:pPr>
      <w:r>
        <w:t>treatment failure for the comparator and intervention</w:t>
      </w:r>
    </w:p>
    <w:p w14:paraId="054E9AC0" w14:textId="7664E17D" w:rsidR="004C78E5" w:rsidRDefault="004C78E5" w:rsidP="007E420D">
      <w:pPr>
        <w:pStyle w:val="ListBullet"/>
      </w:pPr>
      <w:r>
        <w:t>structural outcomes</w:t>
      </w:r>
    </w:p>
    <w:p w14:paraId="14BFBB94" w14:textId="77777777" w:rsidR="004C78E5" w:rsidRDefault="004C78E5" w:rsidP="004C78E5">
      <w:pPr>
        <w:pStyle w:val="ListBullet"/>
        <w:tabs>
          <w:tab w:val="clear" w:pos="360"/>
          <w:tab w:val="num" w:pos="720"/>
        </w:tabs>
        <w:ind w:left="720"/>
      </w:pPr>
      <w:r>
        <w:t>the expected delay in osteoarthritis (distinguishing between mild and severe OA)</w:t>
      </w:r>
    </w:p>
    <w:p w14:paraId="28851693" w14:textId="03BE37D7" w:rsidR="004C78E5" w:rsidRDefault="004C78E5" w:rsidP="004C78E5">
      <w:pPr>
        <w:pStyle w:val="ListBullet"/>
        <w:tabs>
          <w:tab w:val="clear" w:pos="360"/>
          <w:tab w:val="num" w:pos="720"/>
        </w:tabs>
        <w:ind w:left="720"/>
      </w:pPr>
      <w:r>
        <w:t xml:space="preserve">the expected delay or avoidance of total </w:t>
      </w:r>
      <w:r w:rsidR="00BF0835">
        <w:t>joint</w:t>
      </w:r>
      <w:r>
        <w:t xml:space="preserve"> replacement (likely associated with delay of severe OA)</w:t>
      </w:r>
    </w:p>
    <w:p w14:paraId="293375B8" w14:textId="32630760" w:rsidR="001809BD" w:rsidRDefault="001809BD" w:rsidP="001809BD">
      <w:pPr>
        <w:pStyle w:val="ListBullet"/>
        <w:tabs>
          <w:tab w:val="clear" w:pos="360"/>
          <w:tab w:val="num" w:pos="0"/>
        </w:tabs>
      </w:pPr>
      <w:r>
        <w:t>functional outcomes (daily activities such as work) and pain (including requirements for pain relief)</w:t>
      </w:r>
    </w:p>
    <w:p w14:paraId="11C4095A" w14:textId="77777777" w:rsidR="001809BD" w:rsidRDefault="001809BD" w:rsidP="004C78E5">
      <w:pPr>
        <w:pStyle w:val="ListBullet"/>
      </w:pPr>
      <w:r>
        <w:t xml:space="preserve">need for further surgery under the comparator and intervention (considering expected predictors or future procedures </w:t>
      </w:r>
    </w:p>
    <w:p w14:paraId="6FB3FA04" w14:textId="526F4557" w:rsidR="004C78E5" w:rsidRDefault="004C78E5" w:rsidP="004C78E5">
      <w:pPr>
        <w:pStyle w:val="ListBullet"/>
      </w:pPr>
      <w:r>
        <w:t>quality of life</w:t>
      </w:r>
    </w:p>
    <w:p w14:paraId="4978D419" w14:textId="02F69ECC" w:rsidR="00D74DC5" w:rsidRDefault="00D74DC5" w:rsidP="004C78E5">
      <w:pPr>
        <w:pStyle w:val="ListBullet"/>
        <w:tabs>
          <w:tab w:val="clear" w:pos="360"/>
          <w:tab w:val="num" w:pos="720"/>
        </w:tabs>
        <w:ind w:left="720"/>
      </w:pPr>
      <w:r>
        <w:t>utility scores for OA (mild and severe) and the utility following T</w:t>
      </w:r>
      <w:r w:rsidR="00FC003D">
        <w:t>J</w:t>
      </w:r>
      <w:r>
        <w:t>R</w:t>
      </w:r>
    </w:p>
    <w:p w14:paraId="00440C6C" w14:textId="38B04FB1" w:rsidR="000B563A" w:rsidRDefault="00D74DC5" w:rsidP="001809BD">
      <w:pPr>
        <w:pStyle w:val="ListBullet"/>
        <w:tabs>
          <w:tab w:val="clear" w:pos="360"/>
          <w:tab w:val="num" w:pos="720"/>
        </w:tabs>
        <w:ind w:left="720"/>
      </w:pPr>
      <w:r>
        <w:t>quality adjusted life years associated with repaired cartilage defect and that of cartilage damage</w:t>
      </w:r>
      <w:r w:rsidR="000B563A">
        <w:t>, and</w:t>
      </w:r>
    </w:p>
    <w:p w14:paraId="5EEE0F64" w14:textId="45BEBB3A" w:rsidR="00756EA8" w:rsidRDefault="00756EA8" w:rsidP="00756EA8">
      <w:pPr>
        <w:pStyle w:val="ListBullet"/>
      </w:pPr>
      <w:r>
        <w:t>productivity impacts (work days lost).</w:t>
      </w:r>
    </w:p>
    <w:p w14:paraId="3CB5CBB2" w14:textId="77777777" w:rsidR="006B3CFF" w:rsidRDefault="006B3CFF" w:rsidP="006B3CFF">
      <w:pPr>
        <w:pStyle w:val="ListBullet"/>
        <w:numPr>
          <w:ilvl w:val="0"/>
          <w:numId w:val="0"/>
        </w:numPr>
      </w:pPr>
    </w:p>
    <w:p w14:paraId="03DB2B00" w14:textId="48A46E27" w:rsidR="006B3CFF" w:rsidRDefault="006B3CFF" w:rsidP="006B3CFF">
      <w:pPr>
        <w:pStyle w:val="ListBullet"/>
        <w:numPr>
          <w:ilvl w:val="0"/>
          <w:numId w:val="0"/>
        </w:numPr>
      </w:pPr>
      <w:r>
        <w:t xml:space="preserve">This proposed approach is illustrated in Figure </w:t>
      </w:r>
      <w:r w:rsidR="00DD66EE">
        <w:t>5</w:t>
      </w:r>
      <w:r>
        <w:t>, which recommends assessment (or consideration of probabilities) of cascading events associate with lesions above and below 2cm</w:t>
      </w:r>
      <w:r w:rsidRPr="00D55BD0">
        <w:rPr>
          <w:vertAlign w:val="superscript"/>
        </w:rPr>
        <w:t>2</w:t>
      </w:r>
      <w:r>
        <w:t>, and the risks of OA being mild, severe, and/or requiring TJR.</w:t>
      </w:r>
      <w:r w:rsidR="009B0EBF">
        <w:t xml:space="preserve"> Figure 5 and Table 5 </w:t>
      </w:r>
      <w:r w:rsidR="009631E2">
        <w:t>provide the framework for the economic evaluation.</w:t>
      </w: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ayout w:type="fixed"/>
        <w:tblCellMar>
          <w:left w:w="0" w:type="dxa"/>
          <w:right w:w="0" w:type="dxa"/>
        </w:tblCellMar>
        <w:tblLook w:val="04A0" w:firstRow="1" w:lastRow="0" w:firstColumn="1" w:lastColumn="0" w:noHBand="0" w:noVBand="1"/>
        <w:tblCaption w:val="Box"/>
        <w:tblDescription w:val="Box"/>
      </w:tblPr>
      <w:tblGrid>
        <w:gridCol w:w="8080"/>
      </w:tblGrid>
      <w:tr w:rsidR="00425BF3" w14:paraId="5B1F49F4" w14:textId="77777777" w:rsidTr="00AD324E">
        <w:trPr>
          <w:cantSplit/>
          <w:trHeight w:val="5757"/>
          <w:tblHeader/>
        </w:trPr>
        <w:tc>
          <w:tcPr>
            <w:tcW w:w="8080" w:type="dxa"/>
            <w:shd w:val="clear" w:color="auto" w:fill="EEECE1" w:themeFill="background2"/>
          </w:tcPr>
          <w:p w14:paraId="7E45E997" w14:textId="7C5C0FBE" w:rsidR="00425BF3" w:rsidRDefault="00AD324E" w:rsidP="00115900">
            <w:pPr>
              <w:pStyle w:val="Chart"/>
              <w:jc w:val="center"/>
            </w:pPr>
            <w:r w:rsidRPr="00447AA1">
              <w:rPr>
                <w:noProof/>
                <w:lang w:eastAsia="en-AU"/>
              </w:rPr>
              <w:drawing>
                <wp:inline distT="0" distB="0" distL="0" distR="0" wp14:anchorId="72D4F91C" wp14:editId="6F65A892">
                  <wp:extent cx="5059680" cy="3832860"/>
                  <wp:effectExtent l="0" t="0" r="7620" b="0"/>
                  <wp:docPr id="11" name="Picture 11" descr="Risk-based approach."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9680" cy="3832860"/>
                          </a:xfrm>
                          <a:prstGeom prst="rect">
                            <a:avLst/>
                          </a:prstGeom>
                          <a:noFill/>
                          <a:ln>
                            <a:noFill/>
                          </a:ln>
                        </pic:spPr>
                      </pic:pic>
                    </a:graphicData>
                  </a:graphic>
                </wp:inline>
              </w:drawing>
            </w:r>
          </w:p>
        </w:tc>
      </w:tr>
    </w:tbl>
    <w:p w14:paraId="49193CC5" w14:textId="3B1B2321" w:rsidR="007E260A" w:rsidRDefault="007E260A" w:rsidP="007E260A">
      <w:pPr>
        <w:pStyle w:val="Caption"/>
        <w:spacing w:before="240"/>
      </w:pPr>
      <w:r>
        <w:t xml:space="preserve">Figure </w:t>
      </w:r>
      <w:r w:rsidR="00DD66EE">
        <w:t>5</w:t>
      </w:r>
      <w:r w:rsidRPr="00695C93">
        <w:tab/>
      </w:r>
      <w:r>
        <w:t>Proposed</w:t>
      </w:r>
      <w:r w:rsidR="003D1802">
        <w:t xml:space="preserve"> risk-</w:t>
      </w:r>
      <w:r w:rsidR="009631E2">
        <w:t>based approach to the</w:t>
      </w:r>
      <w:r>
        <w:t xml:space="preserve"> economic evaluation </w:t>
      </w:r>
    </w:p>
    <w:p w14:paraId="23C4705F" w14:textId="50761DCB" w:rsidR="00425BF3" w:rsidRPr="00D55BD0" w:rsidRDefault="007E260A" w:rsidP="009631E2">
      <w:pPr>
        <w:pStyle w:val="Tablefooter"/>
      </w:pPr>
      <w:r w:rsidRPr="00467A3A">
        <w:t xml:space="preserve">Source: </w:t>
      </w:r>
      <w:r>
        <w:t>C</w:t>
      </w:r>
      <w:r w:rsidR="009631E2">
        <w:t>entre for International Economics</w:t>
      </w:r>
      <w:r>
        <w:t>.</w:t>
      </w:r>
    </w:p>
    <w:p w14:paraId="1329FDED" w14:textId="1A86EC51" w:rsidR="00D55BD0" w:rsidRDefault="005610AE" w:rsidP="008F5AFF">
      <w:pPr>
        <w:spacing w:before="100" w:beforeAutospacing="1" w:after="120"/>
      </w:pPr>
      <w:r>
        <w:t>Cost e</w:t>
      </w:r>
      <w:r w:rsidR="008F5AFF">
        <w:t>stimates</w:t>
      </w:r>
      <w:r>
        <w:t xml:space="preserve"> </w:t>
      </w:r>
      <w:r w:rsidR="00D74DC5">
        <w:t>should include</w:t>
      </w:r>
      <w:r w:rsidR="00D55BD0">
        <w:t>:</w:t>
      </w:r>
    </w:p>
    <w:p w14:paraId="65127CA6" w14:textId="0326517C" w:rsidR="00D55BD0" w:rsidRDefault="00D55BD0" w:rsidP="00D55BD0">
      <w:pPr>
        <w:pStyle w:val="ListBullet"/>
      </w:pPr>
      <w:r>
        <w:t>MRI scanning</w:t>
      </w:r>
      <w:r w:rsidR="00425BF3">
        <w:t xml:space="preserve"> and other laboratory and diagnostic tests </w:t>
      </w:r>
    </w:p>
    <w:p w14:paraId="4E19F9CC" w14:textId="630E4F5D" w:rsidR="001809BD" w:rsidRDefault="00D74DC5" w:rsidP="00D55BD0">
      <w:pPr>
        <w:pStyle w:val="ListBullet"/>
      </w:pPr>
      <w:r>
        <w:t>total surgical costs</w:t>
      </w:r>
      <w:r w:rsidR="00464DD7">
        <w:t>:</w:t>
      </w:r>
    </w:p>
    <w:p w14:paraId="562A4CBC" w14:textId="47D6D126" w:rsidR="00425BF3" w:rsidRDefault="00425BF3" w:rsidP="001809BD">
      <w:pPr>
        <w:pStyle w:val="ListBullet"/>
        <w:tabs>
          <w:tab w:val="clear" w:pos="360"/>
          <w:tab w:val="num" w:pos="720"/>
        </w:tabs>
        <w:ind w:left="720"/>
      </w:pPr>
      <w:r>
        <w:t>surgical consultation time</w:t>
      </w:r>
    </w:p>
    <w:p w14:paraId="3D52A41B" w14:textId="39FE7AB0" w:rsidR="001809BD" w:rsidRDefault="001809BD" w:rsidP="001809BD">
      <w:pPr>
        <w:pStyle w:val="ListBullet"/>
        <w:tabs>
          <w:tab w:val="clear" w:pos="360"/>
          <w:tab w:val="num" w:pos="720"/>
        </w:tabs>
        <w:ind w:left="720"/>
      </w:pPr>
      <w:r>
        <w:t>Chitosan-based cartilage biomatrix imp</w:t>
      </w:r>
      <w:r w:rsidR="003F617F">
        <w:t>lant</w:t>
      </w:r>
      <w:r>
        <w:t xml:space="preserve"> (CarGel)</w:t>
      </w:r>
    </w:p>
    <w:p w14:paraId="24D271CF" w14:textId="1BAEE6E0" w:rsidR="001809BD" w:rsidRDefault="001809BD" w:rsidP="001809BD">
      <w:pPr>
        <w:pStyle w:val="ListBullet"/>
        <w:tabs>
          <w:tab w:val="clear" w:pos="360"/>
          <w:tab w:val="num" w:pos="720"/>
        </w:tabs>
        <w:ind w:left="720"/>
      </w:pPr>
      <w:r>
        <w:t>pre-anaesthesia consultation</w:t>
      </w:r>
    </w:p>
    <w:p w14:paraId="70F2BC4A" w14:textId="663C3820" w:rsidR="001809BD" w:rsidRDefault="001809BD" w:rsidP="001809BD">
      <w:pPr>
        <w:pStyle w:val="ListBullet"/>
        <w:tabs>
          <w:tab w:val="clear" w:pos="360"/>
          <w:tab w:val="num" w:pos="720"/>
        </w:tabs>
        <w:ind w:left="720"/>
      </w:pPr>
      <w:r>
        <w:t>initiation anaesthesia</w:t>
      </w:r>
    </w:p>
    <w:p w14:paraId="2F4216A5" w14:textId="3774BB87" w:rsidR="001809BD" w:rsidRDefault="001809BD" w:rsidP="001809BD">
      <w:pPr>
        <w:pStyle w:val="ListBullet"/>
        <w:tabs>
          <w:tab w:val="clear" w:pos="360"/>
          <w:tab w:val="num" w:pos="720"/>
        </w:tabs>
        <w:ind w:left="720"/>
      </w:pPr>
      <w:r>
        <w:t>arthroscopic s</w:t>
      </w:r>
      <w:r w:rsidR="006A7770">
        <w:t>urgery</w:t>
      </w:r>
    </w:p>
    <w:p w14:paraId="0843C82B" w14:textId="2B62C8E7" w:rsidR="006A7770" w:rsidRDefault="006A7770" w:rsidP="001809BD">
      <w:pPr>
        <w:pStyle w:val="ListBullet"/>
        <w:tabs>
          <w:tab w:val="clear" w:pos="360"/>
          <w:tab w:val="num" w:pos="720"/>
        </w:tabs>
        <w:ind w:left="720"/>
      </w:pPr>
      <w:r>
        <w:t>anaesthesia</w:t>
      </w:r>
    </w:p>
    <w:p w14:paraId="7903D28A" w14:textId="77777777" w:rsidR="001809BD" w:rsidRDefault="00D74DC5" w:rsidP="001809BD">
      <w:pPr>
        <w:pStyle w:val="ListBullet"/>
        <w:tabs>
          <w:tab w:val="clear" w:pos="360"/>
          <w:tab w:val="num" w:pos="720"/>
        </w:tabs>
        <w:ind w:left="720"/>
      </w:pPr>
      <w:r>
        <w:t>days as an inpatient</w:t>
      </w:r>
    </w:p>
    <w:p w14:paraId="4DBC01BC" w14:textId="227F3565" w:rsidR="00D55BD0" w:rsidRDefault="00D74DC5" w:rsidP="001809BD">
      <w:pPr>
        <w:pStyle w:val="ListBullet"/>
        <w:tabs>
          <w:tab w:val="clear" w:pos="360"/>
          <w:tab w:val="num" w:pos="720"/>
        </w:tabs>
        <w:ind w:left="720"/>
      </w:pPr>
      <w:r>
        <w:t>surgical visits post</w:t>
      </w:r>
      <w:r w:rsidR="00D55BD0">
        <w:t>-</w:t>
      </w:r>
      <w:r>
        <w:t>surgery</w:t>
      </w:r>
    </w:p>
    <w:p w14:paraId="2AF6585B" w14:textId="6CED71E1" w:rsidR="00D55BD0" w:rsidRDefault="00D55BD0" w:rsidP="00D55BD0">
      <w:pPr>
        <w:pStyle w:val="ListBullet"/>
      </w:pPr>
      <w:r>
        <w:t>post treatment follow-up physiotherapy rehabilitation</w:t>
      </w:r>
    </w:p>
    <w:p w14:paraId="490438C1" w14:textId="144AFB1E" w:rsidR="00D74DC5" w:rsidRDefault="00D74DC5" w:rsidP="00D55BD0">
      <w:pPr>
        <w:pStyle w:val="ListBullet"/>
      </w:pPr>
      <w:r>
        <w:t>pain management (pain medications used, pain management surgeries)</w:t>
      </w:r>
    </w:p>
    <w:p w14:paraId="1B9075E8" w14:textId="2FB6417B" w:rsidR="00425BF3" w:rsidRDefault="00425BF3" w:rsidP="00D55BD0">
      <w:pPr>
        <w:pStyle w:val="ListBullet"/>
      </w:pPr>
      <w:r>
        <w:t>medical devices (including knee brace)</w:t>
      </w:r>
    </w:p>
    <w:p w14:paraId="1B4EFF5B" w14:textId="1243F9F4" w:rsidR="00D55BD0" w:rsidRDefault="00D55BD0" w:rsidP="00D55BD0">
      <w:pPr>
        <w:pStyle w:val="ListBullet"/>
      </w:pPr>
      <w:r>
        <w:t>adverse events (mild, moderate, and severe intensity)</w:t>
      </w:r>
    </w:p>
    <w:p w14:paraId="07A1F7C1" w14:textId="28E7B4F5" w:rsidR="00D55BD0" w:rsidRDefault="000B563A" w:rsidP="00D55BD0">
      <w:pPr>
        <w:pStyle w:val="ListBullet"/>
      </w:pPr>
      <w:r>
        <w:t xml:space="preserve">productivity costs, possibly measured as </w:t>
      </w:r>
      <w:r w:rsidR="00D55BD0">
        <w:t>missed work days, and</w:t>
      </w:r>
    </w:p>
    <w:p w14:paraId="340CB1F3" w14:textId="40BAB8EB" w:rsidR="00425BF3" w:rsidRDefault="001C622E" w:rsidP="00773DCA">
      <w:pPr>
        <w:pStyle w:val="ListBullet"/>
      </w:pPr>
      <w:r>
        <w:t>health-</w:t>
      </w:r>
      <w:r w:rsidR="00D55BD0">
        <w:t>related quality of life</w:t>
      </w:r>
      <w:r w:rsidR="00434BCC">
        <w:t xml:space="preserve"> (HRQ</w:t>
      </w:r>
      <w:r w:rsidR="00FE2EDC">
        <w:t>o</w:t>
      </w:r>
      <w:r w:rsidR="00434BCC">
        <w:t>L)</w:t>
      </w:r>
      <w:r w:rsidR="00D55BD0">
        <w:t>.</w:t>
      </w:r>
    </w:p>
    <w:p w14:paraId="3C0F243E" w14:textId="09421F87" w:rsidR="00425BF3" w:rsidRPr="00815220" w:rsidRDefault="00464DD7" w:rsidP="00425BF3">
      <w:r>
        <w:t>The applicant stated</w:t>
      </w:r>
      <w:r w:rsidR="00425BF3">
        <w:t xml:space="preserve"> that costs associated with a knee brace are not required for th</w:t>
      </w:r>
      <w:r w:rsidR="007020A1">
        <w:t>e comparator. According to the a</w:t>
      </w:r>
      <w:r w:rsidR="00425BF3">
        <w:t>pplicant, ‘</w:t>
      </w:r>
      <w:r w:rsidR="00425BF3" w:rsidRPr="00E74C0F">
        <w:t>Patients who have received chitosan-based cartilage biomatrix implant in conjunction with microfracture require a knee brace for a short time to immobilise the joint immediately after the procedure to prevent the gel from being displaced. Patients undergoing microfracture alone do not require a knee brace</w:t>
      </w:r>
      <w:r w:rsidR="00425BF3">
        <w:t>’.</w:t>
      </w:r>
    </w:p>
    <w:p w14:paraId="7D5DE955" w14:textId="5296106E" w:rsidR="00434BCC" w:rsidRDefault="00434BCC" w:rsidP="00434BCC">
      <w:r>
        <w:t xml:space="preserve">This </w:t>
      </w:r>
      <w:r w:rsidR="006B3CFF">
        <w:t xml:space="preserve">approach to the economic evaluation </w:t>
      </w:r>
      <w:r>
        <w:t xml:space="preserve">is in line with the economic evaluation </w:t>
      </w:r>
      <w:r w:rsidR="008F5AFF">
        <w:t>framework used by Frappier et</w:t>
      </w:r>
      <w:r>
        <w:t xml:space="preserve"> al. 2014 [15], although we have included HRQ</w:t>
      </w:r>
      <w:r w:rsidR="00710D27">
        <w:t>o</w:t>
      </w:r>
      <w:r>
        <w:t>L, which has been adopted in other relevant studies</w:t>
      </w:r>
      <w:r w:rsidR="000B563A">
        <w:t xml:space="preserve"> [17].</w:t>
      </w:r>
    </w:p>
    <w:p w14:paraId="6430DDE7" w14:textId="0E2D7855" w:rsidR="00D74DC5" w:rsidRDefault="00D74DC5" w:rsidP="00D74DC5">
      <w:r>
        <w:t xml:space="preserve">Sensitivity analysis </w:t>
      </w:r>
      <w:r w:rsidR="006B3CFF">
        <w:t>may</w:t>
      </w:r>
      <w:r>
        <w:t xml:space="preserve"> be </w:t>
      </w:r>
      <w:r w:rsidR="006B3CFF">
        <w:t>useful</w:t>
      </w:r>
      <w:r>
        <w:t xml:space="preserve"> for key variables</w:t>
      </w:r>
      <w:r w:rsidR="006B3CFF">
        <w:t xml:space="preserve"> such as</w:t>
      </w:r>
      <w:r>
        <w:t>:</w:t>
      </w:r>
    </w:p>
    <w:p w14:paraId="09FDED10" w14:textId="305594AA" w:rsidR="00D74DC5" w:rsidRDefault="00D74DC5" w:rsidP="00D74DC5">
      <w:pPr>
        <w:pStyle w:val="ListBullet"/>
      </w:pPr>
      <w:r>
        <w:t>failure rates to assess when the intervention becomes cost effective (assuming there is no long term impact on avoided T</w:t>
      </w:r>
      <w:r w:rsidR="00FC003D">
        <w:t>J</w:t>
      </w:r>
      <w:r>
        <w:t>R)</w:t>
      </w:r>
    </w:p>
    <w:p w14:paraId="752EB4F4" w14:textId="353EC11C" w:rsidR="00D74DC5" w:rsidRDefault="00D74DC5" w:rsidP="00D74DC5">
      <w:pPr>
        <w:pStyle w:val="ListBullet"/>
      </w:pPr>
      <w:r>
        <w:t>time (duration) to T</w:t>
      </w:r>
      <w:r w:rsidR="00FC003D">
        <w:t>J</w:t>
      </w:r>
      <w:r>
        <w:t>R for severe OA</w:t>
      </w:r>
    </w:p>
    <w:p w14:paraId="799AA8ED" w14:textId="4F5B26EE" w:rsidR="00D74DC5" w:rsidRDefault="00D74DC5" w:rsidP="00D74DC5">
      <w:pPr>
        <w:pStyle w:val="ListBullet"/>
      </w:pPr>
      <w:r>
        <w:t>longer-term health related quality of life gains from the intervention, and</w:t>
      </w:r>
    </w:p>
    <w:p w14:paraId="76F1573E" w14:textId="42E3897D" w:rsidR="00D74DC5" w:rsidRDefault="00756EA8" w:rsidP="00D74DC5">
      <w:pPr>
        <w:pStyle w:val="ListBullet"/>
      </w:pPr>
      <w:r>
        <w:t xml:space="preserve">the </w:t>
      </w:r>
      <w:r w:rsidR="00D74DC5">
        <w:t>discount rate</w:t>
      </w:r>
      <w:r w:rsidR="008D522A">
        <w:t xml:space="preserve"> used (assuming longer-</w:t>
      </w:r>
      <w:r>
        <w:t>term impacts are identified)</w:t>
      </w:r>
      <w:r w:rsidR="00D74DC5">
        <w:t>.</w:t>
      </w:r>
    </w:p>
    <w:p w14:paraId="319E88C8" w14:textId="1F3FCDEE" w:rsidR="009E4FB3" w:rsidRPr="009E4FB3" w:rsidRDefault="00752491" w:rsidP="00233C12">
      <w:pPr>
        <w:pStyle w:val="Heading2"/>
        <w:spacing w:line="240" w:lineRule="auto"/>
        <w:jc w:val="both"/>
      </w:pPr>
      <w:r w:rsidRPr="009E4FB3">
        <w:rPr>
          <w:color w:val="548DD4"/>
        </w:rPr>
        <w:t>Proposed item descriptor</w:t>
      </w:r>
    </w:p>
    <w:p w14:paraId="1D7BC739" w14:textId="05F16134" w:rsidR="00382F88" w:rsidRDefault="006A7770" w:rsidP="00752491">
      <w:r w:rsidRPr="006A7770">
        <w:t xml:space="preserve">The </w:t>
      </w:r>
      <w:r>
        <w:t xml:space="preserve">applicant </w:t>
      </w:r>
      <w:r w:rsidR="00F95D88">
        <w:t>did not propose</w:t>
      </w:r>
      <w:r>
        <w:t xml:space="preserve"> a</w:t>
      </w:r>
      <w:r w:rsidR="00F95D88">
        <w:t xml:space="preserve"> specific MBS </w:t>
      </w:r>
      <w:r>
        <w:t>item descriptor</w:t>
      </w:r>
      <w:r w:rsidR="003917C9">
        <w:t xml:space="preserve"> (or wording to amend an</w:t>
      </w:r>
      <w:r w:rsidR="00F95D88">
        <w:t xml:space="preserve"> existing item)</w:t>
      </w:r>
      <w:r>
        <w:t xml:space="preserve">, </w:t>
      </w:r>
      <w:r w:rsidR="003917C9">
        <w:t>but</w:t>
      </w:r>
      <w:r w:rsidR="00F95D88">
        <w:t xml:space="preserve"> </w:t>
      </w:r>
      <w:r>
        <w:t>awaits discussions with the Department on the preferred approach (</w:t>
      </w:r>
      <w:r w:rsidR="00F95D88">
        <w:t xml:space="preserve">e.g. </w:t>
      </w:r>
      <w:r>
        <w:t>new MBS item</w:t>
      </w:r>
      <w:r w:rsidR="003917C9">
        <w:t>; amendment to an</w:t>
      </w:r>
      <w:r w:rsidR="002838D8">
        <w:t xml:space="preserve"> </w:t>
      </w:r>
      <w:r w:rsidR="00F95D88">
        <w:t xml:space="preserve">existing </w:t>
      </w:r>
      <w:r w:rsidR="002838D8">
        <w:t>MBS item;</w:t>
      </w:r>
      <w:r>
        <w:t xml:space="preserve"> </w:t>
      </w:r>
      <w:r w:rsidR="00F95D88">
        <w:t xml:space="preserve">or </w:t>
      </w:r>
      <w:r w:rsidR="003917C9">
        <w:t xml:space="preserve">using an unamended </w:t>
      </w:r>
      <w:r w:rsidR="00F95D88">
        <w:t xml:space="preserve">existing </w:t>
      </w:r>
      <w:r>
        <w:t>MBS item</w:t>
      </w:r>
      <w:r w:rsidR="002838D8">
        <w:t xml:space="preserve">). Similarly, </w:t>
      </w:r>
      <w:r w:rsidR="00CB2475">
        <w:t xml:space="preserve">a proposed </w:t>
      </w:r>
      <w:r w:rsidR="002838D8">
        <w:t xml:space="preserve">MBS </w:t>
      </w:r>
      <w:r>
        <w:t xml:space="preserve">fee </w:t>
      </w:r>
      <w:r w:rsidR="00CB2475">
        <w:t xml:space="preserve">was not </w:t>
      </w:r>
      <w:r w:rsidR="002838D8">
        <w:t>proposed by the applicant</w:t>
      </w:r>
      <w:r>
        <w:t xml:space="preserve">. </w:t>
      </w:r>
    </w:p>
    <w:p w14:paraId="24B39999" w14:textId="2A61988D" w:rsidR="00382F88" w:rsidRDefault="007020A1" w:rsidP="00752491">
      <w:r>
        <w:t>The a</w:t>
      </w:r>
      <w:r w:rsidR="002838D8">
        <w:t xml:space="preserve">pplicant has acknowledged </w:t>
      </w:r>
      <w:r w:rsidR="00382F88">
        <w:t>there are several potential MBS item</w:t>
      </w:r>
      <w:r w:rsidR="002838D8">
        <w:t>s</w:t>
      </w:r>
      <w:r w:rsidR="00382F88">
        <w:t xml:space="preserve"> that may be used for cartilage repair of the knee, and it is not clear which of these </w:t>
      </w:r>
      <w:r w:rsidR="002838D8">
        <w:t>items</w:t>
      </w:r>
      <w:r w:rsidR="00382F88">
        <w:t xml:space="preserve"> are directly relevant to </w:t>
      </w:r>
      <w:r w:rsidR="003F617F">
        <w:t xml:space="preserve">MF </w:t>
      </w:r>
      <w:r w:rsidR="003F617F">
        <w:sym w:font="Symbol" w:char="F0B1"/>
      </w:r>
      <w:r w:rsidR="00382F88">
        <w:t xml:space="preserve"> </w:t>
      </w:r>
      <w:r w:rsidR="003F617F">
        <w:t>CBI</w:t>
      </w:r>
      <w:r w:rsidR="00382F88">
        <w:t>.</w:t>
      </w:r>
    </w:p>
    <w:p w14:paraId="5372925E" w14:textId="212EA689" w:rsidR="00233C12" w:rsidRPr="008F5AFF" w:rsidRDefault="00233C12" w:rsidP="00233C12">
      <w:bookmarkStart w:id="16" w:name="_Hlk20842335"/>
      <w:r w:rsidRPr="008F5AFF">
        <w:t>PASC noted current MBS item (49561) includes a range of procedures associated with the knee. Out of the approximately 34,000 services performed in 2017, it is unclear how many are for microfracture. The estimate is around 300</w:t>
      </w:r>
      <w:r w:rsidR="003917C9" w:rsidRPr="008F5AFF">
        <w:t xml:space="preserve"> services</w:t>
      </w:r>
      <w:r w:rsidRPr="008F5AFF">
        <w:t xml:space="preserve"> in the private sector</w:t>
      </w:r>
      <w:r w:rsidR="00812B28" w:rsidRPr="008F5AFF">
        <w:t xml:space="preserve"> (i.e</w:t>
      </w:r>
      <w:r w:rsidRPr="008F5AFF">
        <w:t>.</w:t>
      </w:r>
      <w:r w:rsidR="00812B28" w:rsidRPr="008F5AFF">
        <w:t xml:space="preserve"> others may be provided to patients electing to be private patients in the public se</w:t>
      </w:r>
      <w:r w:rsidR="003917C9" w:rsidRPr="008F5AFF">
        <w:t>ctor</w:t>
      </w:r>
      <w:r w:rsidR="00812B28" w:rsidRPr="008F5AFF">
        <w:t>). MBS items only relate to private services.</w:t>
      </w:r>
      <w:r w:rsidRPr="008F5AFF">
        <w:t xml:space="preserve"> </w:t>
      </w:r>
    </w:p>
    <w:bookmarkEnd w:id="16"/>
    <w:p w14:paraId="7FD4A6CE" w14:textId="77777777" w:rsidR="00233C12" w:rsidRPr="008F5AFF" w:rsidRDefault="00233C12" w:rsidP="00233C12">
      <w:pPr>
        <w:rPr>
          <w:lang w:val="en-GB"/>
        </w:rPr>
      </w:pPr>
      <w:r w:rsidRPr="008F5AFF">
        <w:rPr>
          <w:lang w:val="en-GB"/>
        </w:rPr>
        <w:t xml:space="preserve">PASC noted the proposed descriptor in the PICO document reflects the trial population, being very specific. PASC questioned whether the item descriptor should be broad, </w:t>
      </w:r>
      <w:bookmarkStart w:id="17" w:name="_Hlk20842429"/>
      <w:r w:rsidRPr="008F5AFF">
        <w:rPr>
          <w:lang w:val="en-GB"/>
        </w:rPr>
        <w:t>for cartilage biomatrix implants in conjunction with microfracture</w:t>
      </w:r>
      <w:bookmarkEnd w:id="17"/>
      <w:r w:rsidRPr="008F5AFF">
        <w:rPr>
          <w:lang w:val="en-GB"/>
        </w:rPr>
        <w:t xml:space="preserve">. </w:t>
      </w:r>
    </w:p>
    <w:p w14:paraId="354BD6FB" w14:textId="77777777" w:rsidR="00233C12" w:rsidRPr="008F5AFF" w:rsidRDefault="00233C12" w:rsidP="00233C12">
      <w:bookmarkStart w:id="18" w:name="_Hlk20842396"/>
      <w:r w:rsidRPr="008F5AFF">
        <w:rPr>
          <w:lang w:val="en-GB"/>
        </w:rPr>
        <w:t xml:space="preserve">PASC concluded that </w:t>
      </w:r>
      <w:r w:rsidRPr="008F5AFF">
        <w:t>MSAC may decide to recommend a generic MBS item descriptor, if that is most appropriate.</w:t>
      </w:r>
    </w:p>
    <w:bookmarkEnd w:id="18"/>
    <w:p w14:paraId="79E95519" w14:textId="702AAF92" w:rsidR="00233C12" w:rsidRPr="008F5AFF" w:rsidRDefault="00233C12" w:rsidP="00233C12">
      <w:r w:rsidRPr="008F5AFF">
        <w:t xml:space="preserve">PASC advised it </w:t>
      </w:r>
      <w:r w:rsidR="003917C9" w:rsidRPr="008F5AFF">
        <w:t xml:space="preserve">is unclear </w:t>
      </w:r>
      <w:r w:rsidRPr="008F5AFF">
        <w:t xml:space="preserve">how the $6,022 benefit had been determined (calculated) for the Prostheses List. </w:t>
      </w:r>
    </w:p>
    <w:p w14:paraId="52C10ABF" w14:textId="44EAEBFE" w:rsidR="00233C12" w:rsidRPr="008F5AFF" w:rsidRDefault="00233C12" w:rsidP="00233C12">
      <w:r w:rsidRPr="008F5AFF">
        <w:t xml:space="preserve">PASC also noted that PLAC can place conditions/criteria on a </w:t>
      </w:r>
      <w:r w:rsidR="00721A4C" w:rsidRPr="008F5AFF">
        <w:t>prosthesis listing</w:t>
      </w:r>
      <w:r w:rsidRPr="008F5AFF">
        <w:t xml:space="preserve"> (e.g. age-range, joint), independent of what the MBS item descriptor states.</w:t>
      </w:r>
    </w:p>
    <w:p w14:paraId="48D01C1C" w14:textId="589CB3F8" w:rsidR="00752491" w:rsidRDefault="002838D8" w:rsidP="00752491">
      <w:r w:rsidRPr="008F5AFF">
        <w:t xml:space="preserve">One approach is to amend existing MBS item </w:t>
      </w:r>
      <w:r w:rsidR="006A7770" w:rsidRPr="008F5AFF">
        <w:t>49561</w:t>
      </w:r>
      <w:r w:rsidRPr="008F5AFF">
        <w:t>, to allow</w:t>
      </w:r>
      <w:r w:rsidR="006A7770">
        <w:t xml:space="preserve"> the proposed intervention to be </w:t>
      </w:r>
      <w:r>
        <w:t>billed under that item</w:t>
      </w:r>
      <w:r w:rsidR="006A7770">
        <w:t xml:space="preserve">. </w:t>
      </w:r>
      <w:r>
        <w:t xml:space="preserve">The </w:t>
      </w:r>
      <w:r w:rsidR="006A7770">
        <w:t>current fee for MBS item 49561 is $675.</w:t>
      </w:r>
    </w:p>
    <w:p w14:paraId="6F388E5A" w14:textId="02332EFC" w:rsidR="006A7770" w:rsidRPr="006A7770" w:rsidRDefault="00FB617B" w:rsidP="00FB617B">
      <w:r>
        <w:t>A cost-reflective</w:t>
      </w:r>
      <w:r w:rsidR="00077A66">
        <w:t xml:space="preserve"> MBS</w:t>
      </w:r>
      <w:r>
        <w:t xml:space="preserve"> fee should be set </w:t>
      </w:r>
      <w:r w:rsidR="00077A66">
        <w:t xml:space="preserve">at no </w:t>
      </w:r>
      <w:r>
        <w:t>less than $675, as determined by MSAC</w:t>
      </w:r>
      <w:r w:rsidR="003917C9">
        <w:t>, following further input from the applicant.</w:t>
      </w:r>
    </w:p>
    <w:tbl>
      <w:tblPr>
        <w:tblStyle w:val="TableGrid"/>
        <w:tblW w:w="0" w:type="auto"/>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016"/>
      </w:tblGrid>
      <w:tr w:rsidR="008C3E5E" w:rsidRPr="00DE3D6C" w14:paraId="2B9462B6" w14:textId="77777777" w:rsidTr="00F4622B">
        <w:trPr>
          <w:cantSplit/>
          <w:tblHeader/>
        </w:trPr>
        <w:tc>
          <w:tcPr>
            <w:tcW w:w="9242" w:type="dxa"/>
          </w:tcPr>
          <w:p w14:paraId="72D33490" w14:textId="77777777" w:rsidR="008C3E5E" w:rsidRPr="001B2446" w:rsidRDefault="008C3E5E" w:rsidP="008C3E5E">
            <w:pPr>
              <w:jc w:val="right"/>
            </w:pPr>
            <w:r w:rsidRPr="001B2446">
              <w:t xml:space="preserve">Category </w:t>
            </w:r>
            <w:r w:rsidRPr="001B2446">
              <w:rPr>
                <w:u w:val="dotted"/>
              </w:rPr>
              <w:t>(proposed category number) – (proposed category description)</w:t>
            </w:r>
          </w:p>
        </w:tc>
      </w:tr>
      <w:tr w:rsidR="008C3E5E" w:rsidRPr="00895BCC" w14:paraId="1AB8BDD4" w14:textId="77777777" w:rsidTr="00F4622B">
        <w:trPr>
          <w:cantSplit/>
          <w:tblHeader/>
        </w:trPr>
        <w:tc>
          <w:tcPr>
            <w:tcW w:w="9242" w:type="dxa"/>
          </w:tcPr>
          <w:p w14:paraId="52EF1495" w14:textId="70BA99D7" w:rsidR="006A7770" w:rsidRPr="002838D8" w:rsidRDefault="006A7770" w:rsidP="00E364F7">
            <w:pPr>
              <w:rPr>
                <w:b/>
                <w:i/>
                <w:u w:val="dotted" w:color="FF0000"/>
              </w:rPr>
            </w:pPr>
            <w:r w:rsidRPr="002838D8">
              <w:rPr>
                <w:b/>
                <w:i/>
                <w:u w:val="dotted" w:color="FF0000"/>
              </w:rPr>
              <w:t>Th</w:t>
            </w:r>
            <w:r w:rsidR="007020A1" w:rsidRPr="002838D8">
              <w:rPr>
                <w:b/>
                <w:i/>
                <w:u w:val="dotted" w:color="FF0000"/>
              </w:rPr>
              <w:t xml:space="preserve">e applicant </w:t>
            </w:r>
            <w:r w:rsidR="00682EC2">
              <w:rPr>
                <w:b/>
                <w:i/>
                <w:u w:val="dotted" w:color="FF0000"/>
              </w:rPr>
              <w:t>will provide further advice on</w:t>
            </w:r>
            <w:r w:rsidR="007020A1" w:rsidRPr="002838D8">
              <w:rPr>
                <w:b/>
                <w:i/>
                <w:u w:val="dotted" w:color="FF0000"/>
              </w:rPr>
              <w:t xml:space="preserve"> </w:t>
            </w:r>
            <w:r w:rsidRPr="002838D8">
              <w:rPr>
                <w:b/>
                <w:i/>
                <w:u w:val="dotted" w:color="FF0000"/>
              </w:rPr>
              <w:t xml:space="preserve">the proposed </w:t>
            </w:r>
            <w:r w:rsidR="00682EC2">
              <w:rPr>
                <w:b/>
                <w:i/>
                <w:u w:val="dotted" w:color="FF0000"/>
              </w:rPr>
              <w:t xml:space="preserve">MBS </w:t>
            </w:r>
            <w:r w:rsidRPr="002838D8">
              <w:rPr>
                <w:b/>
                <w:i/>
                <w:u w:val="dotted" w:color="FF0000"/>
              </w:rPr>
              <w:t>i</w:t>
            </w:r>
            <w:r w:rsidR="00682EC2">
              <w:rPr>
                <w:b/>
                <w:i/>
                <w:u w:val="dotted" w:color="FF0000"/>
              </w:rPr>
              <w:t>tem descriptor and</w:t>
            </w:r>
            <w:r w:rsidR="00DD55FD">
              <w:rPr>
                <w:b/>
                <w:i/>
                <w:u w:val="dotted" w:color="FF0000"/>
              </w:rPr>
              <w:t xml:space="preserve"> </w:t>
            </w:r>
            <w:r w:rsidR="00682EC2">
              <w:rPr>
                <w:b/>
                <w:i/>
                <w:u w:val="dotted" w:color="FF0000"/>
              </w:rPr>
              <w:t xml:space="preserve">MBS </w:t>
            </w:r>
            <w:r w:rsidR="00DD55FD">
              <w:rPr>
                <w:b/>
                <w:i/>
                <w:u w:val="dotted" w:color="FF0000"/>
              </w:rPr>
              <w:t>fee</w:t>
            </w:r>
            <w:r w:rsidR="00682EC2">
              <w:rPr>
                <w:b/>
                <w:i/>
                <w:u w:val="dotted" w:color="FF0000"/>
              </w:rPr>
              <w:t xml:space="preserve"> during the assessment phase</w:t>
            </w:r>
            <w:r w:rsidR="007020A1" w:rsidRPr="002838D8">
              <w:rPr>
                <w:b/>
                <w:i/>
                <w:u w:val="dotted" w:color="FF0000"/>
              </w:rPr>
              <w:t>. For the purpose</w:t>
            </w:r>
            <w:r w:rsidRPr="002838D8">
              <w:rPr>
                <w:b/>
                <w:i/>
                <w:u w:val="dotted" w:color="FF0000"/>
              </w:rPr>
              <w:t xml:space="preserve"> of the PICO, the proposed item descriptor</w:t>
            </w:r>
            <w:r w:rsidR="00DD55FD">
              <w:rPr>
                <w:b/>
                <w:i/>
                <w:u w:val="dotted" w:color="FF0000"/>
              </w:rPr>
              <w:t xml:space="preserve"> and fee are</w:t>
            </w:r>
            <w:r w:rsidRPr="002838D8">
              <w:rPr>
                <w:b/>
                <w:i/>
                <w:u w:val="dotted" w:color="FF0000"/>
              </w:rPr>
              <w:t>:</w:t>
            </w:r>
          </w:p>
          <w:p w14:paraId="02361AAF" w14:textId="70AA5382" w:rsidR="006A7770" w:rsidRPr="00A958FE" w:rsidRDefault="006A7770" w:rsidP="00E364F7">
            <w:pPr>
              <w:rPr>
                <w:u w:val="dotted" w:color="FF0000"/>
              </w:rPr>
            </w:pPr>
          </w:p>
          <w:p w14:paraId="1CC5F55D" w14:textId="77777777" w:rsidR="006B3CFF" w:rsidRDefault="006A7770" w:rsidP="006B3CFF">
            <w:r w:rsidRPr="00A958FE">
              <w:t xml:space="preserve">Chitosan-based cartilage biomatrix implant in conjunction with microfracture in </w:t>
            </w:r>
          </w:p>
          <w:p w14:paraId="0F6971FD" w14:textId="62C9BCB3" w:rsidR="00926816" w:rsidRPr="00926816" w:rsidRDefault="00926816" w:rsidP="006B3CFF">
            <w:pPr>
              <w:rPr>
                <w:b/>
                <w:sz w:val="10"/>
                <w:szCs w:val="10"/>
              </w:rPr>
            </w:pPr>
          </w:p>
          <w:p w14:paraId="1AD198B2" w14:textId="3DD8C9D9" w:rsidR="006B3CFF" w:rsidRDefault="006B3CFF" w:rsidP="006B3CFF">
            <w:r w:rsidRPr="00BB1FAB">
              <w:rPr>
                <w:b/>
              </w:rPr>
              <w:t>Population 1:</w:t>
            </w:r>
            <w:r w:rsidRPr="00BB1FAB">
              <w:rPr>
                <w:b/>
              </w:rPr>
              <w:br/>
            </w:r>
            <w:r>
              <w:t xml:space="preserve">Patients with radiologically confirmed International Cartilage Repair Society (ICRS) Grade 3 or 4 articular cartilage defect </w:t>
            </w:r>
            <w:r w:rsidRPr="00A813E9">
              <w:rPr>
                <w:u w:val="single"/>
              </w:rPr>
              <w:t>&lt;</w:t>
            </w:r>
            <w:r>
              <w:t xml:space="preserve"> 2 cm</w:t>
            </w:r>
            <w:r>
              <w:rPr>
                <w:vertAlign w:val="superscript"/>
              </w:rPr>
              <w:t>2</w:t>
            </w:r>
            <w:r>
              <w:t xml:space="preserve"> with mod</w:t>
            </w:r>
            <w:r w:rsidR="00926816">
              <w:t>erate knee pain</w:t>
            </w:r>
          </w:p>
          <w:p w14:paraId="6F89DB5D" w14:textId="77777777" w:rsidR="00926816" w:rsidRPr="00926816" w:rsidRDefault="00926816" w:rsidP="006B3CFF">
            <w:pPr>
              <w:rPr>
                <w:b/>
                <w:sz w:val="10"/>
                <w:szCs w:val="10"/>
              </w:rPr>
            </w:pPr>
          </w:p>
          <w:p w14:paraId="75DBB463" w14:textId="167DB4B2" w:rsidR="006B3CFF" w:rsidRDefault="006B3CFF" w:rsidP="006B3CFF">
            <w:r w:rsidRPr="00BB1FAB">
              <w:rPr>
                <w:b/>
              </w:rPr>
              <w:t>Population 2:</w:t>
            </w:r>
            <w:r w:rsidRPr="00BB1FAB">
              <w:rPr>
                <w:b/>
              </w:rPr>
              <w:br/>
            </w:r>
            <w:r>
              <w:t xml:space="preserve">Patients with radiologically confirmed International Cartilage Repair Society (ICRS) Grade 3 or 4 articular cartilage defect </w:t>
            </w:r>
            <w:r w:rsidR="00A813E9">
              <w:t>&gt;</w:t>
            </w:r>
            <w:r>
              <w:t xml:space="preserve"> 2 cm</w:t>
            </w:r>
            <w:r>
              <w:rPr>
                <w:vertAlign w:val="superscript"/>
              </w:rPr>
              <w:t>2</w:t>
            </w:r>
            <w:r>
              <w:t xml:space="preserve"> with an intact subchondral endplate and with moderate knee pain.</w:t>
            </w:r>
          </w:p>
          <w:p w14:paraId="71EDDCDE" w14:textId="77777777" w:rsidR="006B3CFF" w:rsidRDefault="006B3CFF" w:rsidP="006B3CFF"/>
          <w:p w14:paraId="08A41DFF" w14:textId="495D6F7A" w:rsidR="006B3CFF" w:rsidRDefault="006B3CFF" w:rsidP="006B3CFF">
            <w:r>
              <w:t xml:space="preserve">Patients in Population 1 or Population 2 </w:t>
            </w:r>
            <w:r w:rsidR="00926816">
              <w:t xml:space="preserve">who </w:t>
            </w:r>
            <w:r>
              <w:t xml:space="preserve">are </w:t>
            </w:r>
            <w:r w:rsidRPr="00BB1FAB">
              <w:rPr>
                <w:u w:val="single"/>
              </w:rPr>
              <w:t xml:space="preserve">ineligible </w:t>
            </w:r>
            <w:r>
              <w:t xml:space="preserve">for treatment </w:t>
            </w:r>
            <w:r w:rsidR="00926816">
              <w:t xml:space="preserve">are </w:t>
            </w:r>
            <w:r>
              <w:t>those who:</w:t>
            </w:r>
          </w:p>
          <w:p w14:paraId="1B1F85FF" w14:textId="77777777" w:rsidR="006B3CFF" w:rsidRDefault="006B3CFF" w:rsidP="00F34437">
            <w:pPr>
              <w:pStyle w:val="ListParagraph"/>
              <w:numPr>
                <w:ilvl w:val="0"/>
                <w:numId w:val="22"/>
              </w:numPr>
            </w:pPr>
            <w:r>
              <w:t>have evidence of advanced osteoarthritis in the joint of interest, or have generalised osteoarthritis; OR</w:t>
            </w:r>
          </w:p>
          <w:p w14:paraId="5FF8AF85" w14:textId="77777777" w:rsidR="006B3CFF" w:rsidRPr="006B3CFF" w:rsidRDefault="006B3CFF" w:rsidP="00F34437">
            <w:pPr>
              <w:pStyle w:val="ListParagraph"/>
              <w:numPr>
                <w:ilvl w:val="0"/>
                <w:numId w:val="22"/>
              </w:numPr>
              <w:rPr>
                <w:u w:val="dotted" w:color="FF0000"/>
              </w:rPr>
            </w:pPr>
            <w:r>
              <w:t>have an inflammatory arthropathy, for example, rheumatoid arthritis, psoriatic arthritis; OR</w:t>
            </w:r>
          </w:p>
          <w:p w14:paraId="769BB741" w14:textId="124AF07D" w:rsidR="008C3E5E" w:rsidRPr="006B3CFF" w:rsidRDefault="006B3CFF" w:rsidP="00F34437">
            <w:pPr>
              <w:pStyle w:val="ListParagraph"/>
              <w:numPr>
                <w:ilvl w:val="0"/>
                <w:numId w:val="22"/>
              </w:numPr>
              <w:rPr>
                <w:u w:val="dotted" w:color="FF0000"/>
              </w:rPr>
            </w:pPr>
            <w:r>
              <w:t>have significant articular instability in the joint in question, for example a ligament injury (patients who have had repairs to articular instability are not excluded).</w:t>
            </w:r>
          </w:p>
          <w:p w14:paraId="4ED24255" w14:textId="77777777" w:rsidR="008C3E5E" w:rsidRPr="00A958FE" w:rsidRDefault="008C3E5E" w:rsidP="00E364F7">
            <w:pPr>
              <w:rPr>
                <w:u w:val="dotted" w:color="FF0000"/>
              </w:rPr>
            </w:pPr>
          </w:p>
          <w:p w14:paraId="73478B52" w14:textId="6ED1D355" w:rsidR="008C3E5E" w:rsidRPr="00895BCC" w:rsidRDefault="00DD55FD" w:rsidP="00F95D88">
            <w:pPr>
              <w:rPr>
                <w:u w:val="dotted" w:color="FF0000"/>
              </w:rPr>
            </w:pPr>
            <w:r>
              <w:rPr>
                <w:u w:val="dotted" w:color="FF0000"/>
              </w:rPr>
              <w:t xml:space="preserve">MBS Fee: </w:t>
            </w:r>
            <w:r w:rsidR="00FB617B">
              <w:rPr>
                <w:u w:val="dotted" w:color="FF0000"/>
              </w:rPr>
              <w:t xml:space="preserve">Not less than </w:t>
            </w:r>
            <w:r w:rsidR="00FB617B" w:rsidRPr="00A958FE">
              <w:rPr>
                <w:u w:val="dotted" w:color="FF0000"/>
              </w:rPr>
              <w:t>$675</w:t>
            </w:r>
            <w:r w:rsidR="00F95D88">
              <w:rPr>
                <w:u w:val="dotted" w:color="FF0000"/>
              </w:rPr>
              <w:t xml:space="preserve"> (to be further informed by the a</w:t>
            </w:r>
            <w:r w:rsidR="00FB617B">
              <w:rPr>
                <w:u w:val="dotted" w:color="FF0000"/>
              </w:rPr>
              <w:t>pplicant</w:t>
            </w:r>
            <w:r w:rsidR="00F95D88">
              <w:rPr>
                <w:u w:val="dotted" w:color="FF0000"/>
              </w:rPr>
              <w:t>)</w:t>
            </w:r>
          </w:p>
        </w:tc>
      </w:tr>
    </w:tbl>
    <w:p w14:paraId="3C573D5E" w14:textId="63C08798" w:rsidR="001371B6" w:rsidRPr="00926816" w:rsidRDefault="001371B6" w:rsidP="007020A1">
      <w:pPr>
        <w:spacing w:after="0"/>
        <w:rPr>
          <w:sz w:val="16"/>
          <w:szCs w:val="16"/>
        </w:rPr>
      </w:pPr>
    </w:p>
    <w:p w14:paraId="0BCE7E49" w14:textId="1EBC83BC" w:rsidR="00A813E9" w:rsidRPr="00926816" w:rsidRDefault="0039040C" w:rsidP="000649E7">
      <w:pPr>
        <w:pStyle w:val="Heading2"/>
        <w:spacing w:before="0" w:line="240" w:lineRule="auto"/>
        <w:rPr>
          <w:color w:val="0099FF"/>
          <w:sz w:val="24"/>
          <w:szCs w:val="24"/>
        </w:rPr>
      </w:pPr>
      <w:r w:rsidRPr="00926816">
        <w:rPr>
          <w:color w:val="0099FF"/>
          <w:sz w:val="24"/>
          <w:szCs w:val="24"/>
        </w:rPr>
        <w:t>Consultation feedback</w:t>
      </w:r>
    </w:p>
    <w:p w14:paraId="1C572258" w14:textId="330617DE" w:rsidR="00A813E9" w:rsidRPr="00926816" w:rsidRDefault="00A813E9" w:rsidP="000649E7">
      <w:pPr>
        <w:spacing w:line="240" w:lineRule="auto"/>
      </w:pPr>
      <w:r w:rsidRPr="00926816">
        <w:t xml:space="preserve">PASC noted that no consultation feedback was received for application 1569. </w:t>
      </w:r>
    </w:p>
    <w:p w14:paraId="6C473CE9" w14:textId="77777777" w:rsidR="000649E7" w:rsidRDefault="00A813E9" w:rsidP="000649E7">
      <w:pPr>
        <w:spacing w:line="240" w:lineRule="auto"/>
        <w:rPr>
          <w:i/>
        </w:rPr>
      </w:pPr>
      <w:r w:rsidRPr="00926816">
        <w:t xml:space="preserve">However, PASC noted </w:t>
      </w:r>
      <w:r w:rsidR="00693430">
        <w:t xml:space="preserve">one piece of feedback was received from a peak medical professional organisation for </w:t>
      </w:r>
      <w:r w:rsidRPr="00926816">
        <w:t xml:space="preserve">similar current application 1578 – </w:t>
      </w:r>
      <w:r w:rsidRPr="00693430">
        <w:rPr>
          <w:i/>
        </w:rPr>
        <w:t>Arthroscopic injection of a bioadhesive hydrogel implant, in conjunction with microfracture for treatment of osteochondral defects of the knee (‘JointRep’).</w:t>
      </w:r>
    </w:p>
    <w:p w14:paraId="1EAF3F19" w14:textId="1C7FC221" w:rsidR="0039040C" w:rsidRPr="00926816" w:rsidRDefault="0039040C" w:rsidP="000649E7">
      <w:pPr>
        <w:spacing w:line="240" w:lineRule="auto"/>
        <w:rPr>
          <w:color w:val="0099FF"/>
          <w:sz w:val="24"/>
          <w:szCs w:val="24"/>
        </w:rPr>
      </w:pPr>
      <w:r w:rsidRPr="00926816">
        <w:rPr>
          <w:color w:val="0099FF"/>
          <w:sz w:val="24"/>
          <w:szCs w:val="24"/>
        </w:rPr>
        <w:t>Next steps</w:t>
      </w:r>
    </w:p>
    <w:p w14:paraId="6D93E4D6" w14:textId="32B7DE21" w:rsidR="00FB617B" w:rsidRPr="0039040C" w:rsidRDefault="00A813E9" w:rsidP="000649E7">
      <w:pPr>
        <w:spacing w:line="240" w:lineRule="auto"/>
      </w:pPr>
      <w:r w:rsidRPr="00926816">
        <w:t>Once PICO 1569 is updated and ratified, the application can PROCEED to the pre-Evaluation Sub-Committee (ESC) stage, with the applicant electing to prepare its own ADAR (applicant-developed assessment report).</w:t>
      </w:r>
    </w:p>
    <w:p w14:paraId="34B4C373" w14:textId="77777777" w:rsidR="00F34437" w:rsidRDefault="00F34437" w:rsidP="00F34437">
      <w:pPr>
        <w:pStyle w:val="Heading1"/>
      </w:pPr>
      <w:r>
        <w:t>References</w:t>
      </w:r>
    </w:p>
    <w:p w14:paraId="03CBB71A" w14:textId="77777777" w:rsidR="003F617F" w:rsidRPr="000649E7" w:rsidRDefault="00F34437" w:rsidP="003F617F">
      <w:pPr>
        <w:pStyle w:val="EndNoteBibliography"/>
        <w:spacing w:after="0"/>
        <w:ind w:left="720" w:hanging="720"/>
        <w:rPr>
          <w:noProof/>
          <w:sz w:val="21"/>
          <w:szCs w:val="21"/>
        </w:rPr>
      </w:pPr>
      <w:r w:rsidRPr="000649E7">
        <w:rPr>
          <w:color w:val="FF0000"/>
          <w:sz w:val="21"/>
          <w:szCs w:val="21"/>
          <w:u w:val="dotted"/>
        </w:rPr>
        <w:fldChar w:fldCharType="begin"/>
      </w:r>
      <w:r w:rsidRPr="000649E7">
        <w:rPr>
          <w:color w:val="FF0000"/>
          <w:sz w:val="21"/>
          <w:szCs w:val="21"/>
          <w:u w:val="dotted"/>
        </w:rPr>
        <w:instrText xml:space="preserve"> ADDIN EN.REFLIST </w:instrText>
      </w:r>
      <w:r w:rsidRPr="000649E7">
        <w:rPr>
          <w:color w:val="FF0000"/>
          <w:sz w:val="21"/>
          <w:szCs w:val="21"/>
          <w:u w:val="dotted"/>
        </w:rPr>
        <w:fldChar w:fldCharType="separate"/>
      </w:r>
      <w:r w:rsidR="003F617F" w:rsidRPr="000649E7">
        <w:rPr>
          <w:noProof/>
          <w:sz w:val="21"/>
          <w:szCs w:val="21"/>
        </w:rPr>
        <w:t>1.</w:t>
      </w:r>
      <w:r w:rsidR="003F617F" w:rsidRPr="000649E7">
        <w:rPr>
          <w:noProof/>
          <w:sz w:val="21"/>
          <w:szCs w:val="21"/>
        </w:rPr>
        <w:tab/>
        <w:t xml:space="preserve">Stanish, W.D., et al., </w:t>
      </w:r>
      <w:r w:rsidR="003F617F" w:rsidRPr="000649E7">
        <w:rPr>
          <w:i/>
          <w:noProof/>
          <w:sz w:val="21"/>
          <w:szCs w:val="21"/>
        </w:rPr>
        <w:t>Novel scaffold-based BST-CarGel treatment results in superior cartilage repair compared with microfracture in a randomized controlled trial.</w:t>
      </w:r>
      <w:r w:rsidR="003F617F" w:rsidRPr="000649E7">
        <w:rPr>
          <w:noProof/>
          <w:sz w:val="21"/>
          <w:szCs w:val="21"/>
        </w:rPr>
        <w:t xml:space="preserve"> J Bone Joint Surg Am, 2013. </w:t>
      </w:r>
      <w:r w:rsidR="003F617F" w:rsidRPr="000649E7">
        <w:rPr>
          <w:b/>
          <w:noProof/>
          <w:sz w:val="21"/>
          <w:szCs w:val="21"/>
        </w:rPr>
        <w:t>95</w:t>
      </w:r>
      <w:r w:rsidR="003F617F" w:rsidRPr="000649E7">
        <w:rPr>
          <w:noProof/>
          <w:sz w:val="21"/>
          <w:szCs w:val="21"/>
        </w:rPr>
        <w:t>(18): p. 1640-50.</w:t>
      </w:r>
    </w:p>
    <w:p w14:paraId="3F80D4C6"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2.</w:t>
      </w:r>
      <w:r w:rsidRPr="000649E7">
        <w:rPr>
          <w:noProof/>
          <w:sz w:val="21"/>
          <w:szCs w:val="21"/>
        </w:rPr>
        <w:tab/>
        <w:t xml:space="preserve">Ozturk, A., M.R. Ozdemir, and Y. Ozkan, </w:t>
      </w:r>
      <w:r w:rsidRPr="000649E7">
        <w:rPr>
          <w:i/>
          <w:noProof/>
          <w:sz w:val="21"/>
          <w:szCs w:val="21"/>
        </w:rPr>
        <w:t>Osteochondral autografting (mosaicplasty) in grade IV cartilage defects in the knee joint: 2- to 7-year results.</w:t>
      </w:r>
      <w:r w:rsidRPr="000649E7">
        <w:rPr>
          <w:noProof/>
          <w:sz w:val="21"/>
          <w:szCs w:val="21"/>
        </w:rPr>
        <w:t xml:space="preserve"> Int Orthop, 2006. </w:t>
      </w:r>
      <w:r w:rsidRPr="000649E7">
        <w:rPr>
          <w:b/>
          <w:noProof/>
          <w:sz w:val="21"/>
          <w:szCs w:val="21"/>
        </w:rPr>
        <w:t>30</w:t>
      </w:r>
      <w:r w:rsidRPr="000649E7">
        <w:rPr>
          <w:noProof/>
          <w:sz w:val="21"/>
          <w:szCs w:val="21"/>
        </w:rPr>
        <w:t>(3): p. 200-4.</w:t>
      </w:r>
    </w:p>
    <w:p w14:paraId="66B3A28D"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3.</w:t>
      </w:r>
      <w:r w:rsidRPr="000649E7">
        <w:rPr>
          <w:noProof/>
          <w:sz w:val="21"/>
          <w:szCs w:val="21"/>
        </w:rPr>
        <w:tab/>
        <w:t xml:space="preserve">Løken, S., et al., </w:t>
      </w:r>
      <w:r w:rsidRPr="000649E7">
        <w:rPr>
          <w:i/>
          <w:noProof/>
          <w:sz w:val="21"/>
          <w:szCs w:val="21"/>
        </w:rPr>
        <w:t>Epidemiology of Cartilage Injuries</w:t>
      </w:r>
      <w:r w:rsidRPr="000649E7">
        <w:rPr>
          <w:noProof/>
          <w:sz w:val="21"/>
          <w:szCs w:val="21"/>
        </w:rPr>
        <w:t xml:space="preserve">, in </w:t>
      </w:r>
      <w:r w:rsidRPr="000649E7">
        <w:rPr>
          <w:i/>
          <w:noProof/>
          <w:sz w:val="21"/>
          <w:szCs w:val="21"/>
        </w:rPr>
        <w:t>Sports Injuries: Prevention, Diagnosis, Treatment and Rehabilitation</w:t>
      </w:r>
      <w:r w:rsidRPr="000649E7">
        <w:rPr>
          <w:noProof/>
          <w:sz w:val="21"/>
          <w:szCs w:val="21"/>
        </w:rPr>
        <w:t>, M.N. Doral and J. Karlsson, Editors. 2015, Springer Berlin Heidelberg: Berlin, Heidelberg. p. 1-12.</w:t>
      </w:r>
    </w:p>
    <w:p w14:paraId="3A885049"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4.</w:t>
      </w:r>
      <w:r w:rsidRPr="000649E7">
        <w:rPr>
          <w:noProof/>
          <w:sz w:val="21"/>
          <w:szCs w:val="21"/>
        </w:rPr>
        <w:tab/>
        <w:t xml:space="preserve">Decogliano, M., J. Boyer, and B.R. Mandelbaum, </w:t>
      </w:r>
      <w:r w:rsidRPr="000649E7">
        <w:rPr>
          <w:i/>
          <w:noProof/>
          <w:sz w:val="21"/>
          <w:szCs w:val="21"/>
        </w:rPr>
        <w:t>Patient evaluation and treatment algorithms</w:t>
      </w:r>
      <w:r w:rsidRPr="000649E7">
        <w:rPr>
          <w:noProof/>
          <w:sz w:val="21"/>
          <w:szCs w:val="21"/>
        </w:rPr>
        <w:t xml:space="preserve">, in </w:t>
      </w:r>
      <w:r w:rsidRPr="000649E7">
        <w:rPr>
          <w:i/>
          <w:noProof/>
          <w:sz w:val="21"/>
          <w:szCs w:val="21"/>
        </w:rPr>
        <w:t>Cartilage surgery: an operative manual</w:t>
      </w:r>
      <w:r w:rsidRPr="000649E7">
        <w:rPr>
          <w:noProof/>
          <w:sz w:val="21"/>
          <w:szCs w:val="21"/>
        </w:rPr>
        <w:t>, M. Brittberg and W. Gersoff, Editors. 2011, Elsevier. p. 9-18.</w:t>
      </w:r>
    </w:p>
    <w:p w14:paraId="44A65803"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5.</w:t>
      </w:r>
      <w:r w:rsidRPr="000649E7">
        <w:rPr>
          <w:noProof/>
          <w:sz w:val="21"/>
          <w:szCs w:val="21"/>
        </w:rPr>
        <w:tab/>
        <w:t xml:space="preserve">Gomoll, A.H., et al., </w:t>
      </w:r>
      <w:r w:rsidRPr="000649E7">
        <w:rPr>
          <w:i/>
          <w:noProof/>
          <w:sz w:val="21"/>
          <w:szCs w:val="21"/>
        </w:rPr>
        <w:t>Surgical management of articular cartilage defects of the knee.</w:t>
      </w:r>
      <w:r w:rsidRPr="000649E7">
        <w:rPr>
          <w:noProof/>
          <w:sz w:val="21"/>
          <w:szCs w:val="21"/>
        </w:rPr>
        <w:t xml:space="preserve"> J Bone Joint Surg Am, 2010. </w:t>
      </w:r>
      <w:r w:rsidRPr="000649E7">
        <w:rPr>
          <w:b/>
          <w:noProof/>
          <w:sz w:val="21"/>
          <w:szCs w:val="21"/>
        </w:rPr>
        <w:t>92</w:t>
      </w:r>
      <w:r w:rsidRPr="000649E7">
        <w:rPr>
          <w:noProof/>
          <w:sz w:val="21"/>
          <w:szCs w:val="21"/>
        </w:rPr>
        <w:t>(14): p. 2470-90.</w:t>
      </w:r>
    </w:p>
    <w:p w14:paraId="4E06B8F4"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6.</w:t>
      </w:r>
      <w:r w:rsidRPr="000649E7">
        <w:rPr>
          <w:noProof/>
          <w:sz w:val="21"/>
          <w:szCs w:val="21"/>
        </w:rPr>
        <w:tab/>
        <w:t xml:space="preserve">Bhosale, A.M. and J.B. Richardson, </w:t>
      </w:r>
      <w:r w:rsidRPr="000649E7">
        <w:rPr>
          <w:i/>
          <w:noProof/>
          <w:sz w:val="21"/>
          <w:szCs w:val="21"/>
        </w:rPr>
        <w:t>Articular cartilage: structure, injuries and review of management.</w:t>
      </w:r>
      <w:r w:rsidRPr="000649E7">
        <w:rPr>
          <w:noProof/>
          <w:sz w:val="21"/>
          <w:szCs w:val="21"/>
        </w:rPr>
        <w:t xml:space="preserve"> Br Med Bull, 2008. </w:t>
      </w:r>
      <w:r w:rsidRPr="000649E7">
        <w:rPr>
          <w:b/>
          <w:noProof/>
          <w:sz w:val="21"/>
          <w:szCs w:val="21"/>
        </w:rPr>
        <w:t>87</w:t>
      </w:r>
      <w:r w:rsidRPr="000649E7">
        <w:rPr>
          <w:noProof/>
          <w:sz w:val="21"/>
          <w:szCs w:val="21"/>
        </w:rPr>
        <w:t>: p. 77-95.</w:t>
      </w:r>
    </w:p>
    <w:p w14:paraId="428B956B"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7.</w:t>
      </w:r>
      <w:r w:rsidRPr="000649E7">
        <w:rPr>
          <w:noProof/>
          <w:sz w:val="21"/>
          <w:szCs w:val="21"/>
        </w:rPr>
        <w:tab/>
        <w:t xml:space="preserve">Cole, B.J., C. Pascual-Garrido, and R.C. Grumet, </w:t>
      </w:r>
      <w:r w:rsidRPr="000649E7">
        <w:rPr>
          <w:i/>
          <w:noProof/>
          <w:sz w:val="21"/>
          <w:szCs w:val="21"/>
        </w:rPr>
        <w:t>Surgical management of articular cartilage defects in the knee.</w:t>
      </w:r>
      <w:r w:rsidRPr="000649E7">
        <w:rPr>
          <w:noProof/>
          <w:sz w:val="21"/>
          <w:szCs w:val="21"/>
        </w:rPr>
        <w:t xml:space="preserve"> J Bone Joint Surg Am, 2009. </w:t>
      </w:r>
      <w:r w:rsidRPr="000649E7">
        <w:rPr>
          <w:b/>
          <w:noProof/>
          <w:sz w:val="21"/>
          <w:szCs w:val="21"/>
        </w:rPr>
        <w:t>91</w:t>
      </w:r>
      <w:r w:rsidRPr="000649E7">
        <w:rPr>
          <w:noProof/>
          <w:sz w:val="21"/>
          <w:szCs w:val="21"/>
        </w:rPr>
        <w:t>(7): p. 1778-90.</w:t>
      </w:r>
    </w:p>
    <w:p w14:paraId="36A2C517"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8.</w:t>
      </w:r>
      <w:r w:rsidRPr="000649E7">
        <w:rPr>
          <w:noProof/>
          <w:sz w:val="21"/>
          <w:szCs w:val="21"/>
        </w:rPr>
        <w:tab/>
        <w:t xml:space="preserve">Evans, C.H., S.C. Ghivizzani, and P.D. Robbins, </w:t>
      </w:r>
      <w:r w:rsidRPr="000649E7">
        <w:rPr>
          <w:i/>
          <w:noProof/>
          <w:sz w:val="21"/>
          <w:szCs w:val="21"/>
        </w:rPr>
        <w:t>Orthopedic gene therapy in 2008.</w:t>
      </w:r>
      <w:r w:rsidRPr="000649E7">
        <w:rPr>
          <w:noProof/>
          <w:sz w:val="21"/>
          <w:szCs w:val="21"/>
        </w:rPr>
        <w:t xml:space="preserve"> Mol Ther, 2009. </w:t>
      </w:r>
      <w:r w:rsidRPr="000649E7">
        <w:rPr>
          <w:b/>
          <w:noProof/>
          <w:sz w:val="21"/>
          <w:szCs w:val="21"/>
        </w:rPr>
        <w:t>17</w:t>
      </w:r>
      <w:r w:rsidRPr="000649E7">
        <w:rPr>
          <w:noProof/>
          <w:sz w:val="21"/>
          <w:szCs w:val="21"/>
        </w:rPr>
        <w:t>(2): p. 231-44.</w:t>
      </w:r>
    </w:p>
    <w:p w14:paraId="6723DD3B"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9.</w:t>
      </w:r>
      <w:r w:rsidRPr="000649E7">
        <w:rPr>
          <w:noProof/>
          <w:sz w:val="21"/>
          <w:szCs w:val="21"/>
        </w:rPr>
        <w:tab/>
        <w:t xml:space="preserve">Aroen, A., et al., </w:t>
      </w:r>
      <w:r w:rsidRPr="000649E7">
        <w:rPr>
          <w:i/>
          <w:noProof/>
          <w:sz w:val="21"/>
          <w:szCs w:val="21"/>
        </w:rPr>
        <w:t>Articular cartilage lesions in 993 consecutive knee arthroscopies.</w:t>
      </w:r>
      <w:r w:rsidRPr="000649E7">
        <w:rPr>
          <w:noProof/>
          <w:sz w:val="21"/>
          <w:szCs w:val="21"/>
        </w:rPr>
        <w:t xml:space="preserve"> Am J Sports Med, 2004. </w:t>
      </w:r>
      <w:r w:rsidRPr="000649E7">
        <w:rPr>
          <w:b/>
          <w:noProof/>
          <w:sz w:val="21"/>
          <w:szCs w:val="21"/>
        </w:rPr>
        <w:t>32</w:t>
      </w:r>
      <w:r w:rsidRPr="000649E7">
        <w:rPr>
          <w:noProof/>
          <w:sz w:val="21"/>
          <w:szCs w:val="21"/>
        </w:rPr>
        <w:t>(1): p. 211-5.</w:t>
      </w:r>
    </w:p>
    <w:p w14:paraId="388A67F9"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10.</w:t>
      </w:r>
      <w:r w:rsidRPr="000649E7">
        <w:rPr>
          <w:noProof/>
          <w:sz w:val="21"/>
          <w:szCs w:val="21"/>
        </w:rPr>
        <w:tab/>
        <w:t xml:space="preserve">Curl, W.W., et al., </w:t>
      </w:r>
      <w:r w:rsidRPr="000649E7">
        <w:rPr>
          <w:i/>
          <w:noProof/>
          <w:sz w:val="21"/>
          <w:szCs w:val="21"/>
        </w:rPr>
        <w:t>Cartilage injuries: a review of 31,516 knee arthroscopies.</w:t>
      </w:r>
      <w:r w:rsidRPr="000649E7">
        <w:rPr>
          <w:noProof/>
          <w:sz w:val="21"/>
          <w:szCs w:val="21"/>
        </w:rPr>
        <w:t xml:space="preserve"> Arthroscopy, 1997. </w:t>
      </w:r>
      <w:r w:rsidRPr="000649E7">
        <w:rPr>
          <w:b/>
          <w:noProof/>
          <w:sz w:val="21"/>
          <w:szCs w:val="21"/>
        </w:rPr>
        <w:t>13</w:t>
      </w:r>
      <w:r w:rsidRPr="000649E7">
        <w:rPr>
          <w:noProof/>
          <w:sz w:val="21"/>
          <w:szCs w:val="21"/>
        </w:rPr>
        <w:t>(4): p. 456-60.</w:t>
      </w:r>
    </w:p>
    <w:p w14:paraId="59B0BCE0"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11.</w:t>
      </w:r>
      <w:r w:rsidRPr="000649E7">
        <w:rPr>
          <w:noProof/>
          <w:sz w:val="21"/>
          <w:szCs w:val="21"/>
        </w:rPr>
        <w:tab/>
        <w:t xml:space="preserve">Hjelle, K., et al., </w:t>
      </w:r>
      <w:r w:rsidRPr="000649E7">
        <w:rPr>
          <w:i/>
          <w:noProof/>
          <w:sz w:val="21"/>
          <w:szCs w:val="21"/>
        </w:rPr>
        <w:t>Articular cartilage defects in 1,000 knee arthroscopies.</w:t>
      </w:r>
      <w:r w:rsidRPr="000649E7">
        <w:rPr>
          <w:noProof/>
          <w:sz w:val="21"/>
          <w:szCs w:val="21"/>
        </w:rPr>
        <w:t xml:space="preserve"> Arthroscopy, 2002. </w:t>
      </w:r>
      <w:r w:rsidRPr="000649E7">
        <w:rPr>
          <w:b/>
          <w:noProof/>
          <w:sz w:val="21"/>
          <w:szCs w:val="21"/>
        </w:rPr>
        <w:t>18</w:t>
      </w:r>
      <w:r w:rsidRPr="000649E7">
        <w:rPr>
          <w:noProof/>
          <w:sz w:val="21"/>
          <w:szCs w:val="21"/>
        </w:rPr>
        <w:t>(7): p. 730-4.</w:t>
      </w:r>
    </w:p>
    <w:p w14:paraId="3E87DE00"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12.</w:t>
      </w:r>
      <w:r w:rsidRPr="000649E7">
        <w:rPr>
          <w:noProof/>
          <w:sz w:val="21"/>
          <w:szCs w:val="21"/>
        </w:rPr>
        <w:tab/>
        <w:t xml:space="preserve">Aurich, M., et al., </w:t>
      </w:r>
      <w:r w:rsidRPr="000649E7">
        <w:rPr>
          <w:i/>
          <w:noProof/>
          <w:sz w:val="21"/>
          <w:szCs w:val="21"/>
        </w:rPr>
        <w:t>Differences in injury pattern and prevalence of cartilage lesions in knee and ankle joints: a retrospective cohort study.</w:t>
      </w:r>
      <w:r w:rsidRPr="000649E7">
        <w:rPr>
          <w:noProof/>
          <w:sz w:val="21"/>
          <w:szCs w:val="21"/>
        </w:rPr>
        <w:t xml:space="preserve"> Orthop Rev (Pavia), 2014. </w:t>
      </w:r>
      <w:r w:rsidRPr="000649E7">
        <w:rPr>
          <w:b/>
          <w:noProof/>
          <w:sz w:val="21"/>
          <w:szCs w:val="21"/>
        </w:rPr>
        <w:t>6</w:t>
      </w:r>
      <w:r w:rsidRPr="000649E7">
        <w:rPr>
          <w:noProof/>
          <w:sz w:val="21"/>
          <w:szCs w:val="21"/>
        </w:rPr>
        <w:t>(4): p. 5611.</w:t>
      </w:r>
    </w:p>
    <w:p w14:paraId="163ABDD8"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13.</w:t>
      </w:r>
      <w:r w:rsidRPr="000649E7">
        <w:rPr>
          <w:noProof/>
          <w:sz w:val="21"/>
          <w:szCs w:val="21"/>
        </w:rPr>
        <w:tab/>
        <w:t xml:space="preserve">Logerstedt, D.S., et al., </w:t>
      </w:r>
      <w:r w:rsidRPr="000649E7">
        <w:rPr>
          <w:i/>
          <w:noProof/>
          <w:sz w:val="21"/>
          <w:szCs w:val="21"/>
        </w:rPr>
        <w:t>Knee Pain and Mobility Impairments: Meniscal and Articular Cartilage Lesions Revision 2018.</w:t>
      </w:r>
      <w:r w:rsidRPr="000649E7">
        <w:rPr>
          <w:noProof/>
          <w:sz w:val="21"/>
          <w:szCs w:val="21"/>
        </w:rPr>
        <w:t xml:space="preserve"> J Orthop Sports Phys Ther, 2018. </w:t>
      </w:r>
      <w:r w:rsidRPr="000649E7">
        <w:rPr>
          <w:b/>
          <w:noProof/>
          <w:sz w:val="21"/>
          <w:szCs w:val="21"/>
        </w:rPr>
        <w:t>48</w:t>
      </w:r>
      <w:r w:rsidRPr="000649E7">
        <w:rPr>
          <w:noProof/>
          <w:sz w:val="21"/>
          <w:szCs w:val="21"/>
        </w:rPr>
        <w:t>(2): p. A1-A50.</w:t>
      </w:r>
    </w:p>
    <w:p w14:paraId="2BD9000E" w14:textId="2017676A" w:rsidR="003F617F" w:rsidRPr="000649E7" w:rsidRDefault="003F617F" w:rsidP="003F617F">
      <w:pPr>
        <w:pStyle w:val="EndNoteBibliography"/>
        <w:spacing w:after="0"/>
        <w:ind w:left="720" w:hanging="720"/>
        <w:rPr>
          <w:noProof/>
          <w:sz w:val="21"/>
          <w:szCs w:val="21"/>
        </w:rPr>
      </w:pPr>
      <w:r w:rsidRPr="000649E7">
        <w:rPr>
          <w:noProof/>
          <w:sz w:val="21"/>
          <w:szCs w:val="21"/>
        </w:rPr>
        <w:t>14.</w:t>
      </w:r>
      <w:r w:rsidRPr="000649E7">
        <w:rPr>
          <w:noProof/>
          <w:sz w:val="21"/>
          <w:szCs w:val="21"/>
        </w:rPr>
        <w:tab/>
        <w:t xml:space="preserve">Australian Government Department of Human Services. </w:t>
      </w:r>
      <w:r w:rsidRPr="000649E7">
        <w:rPr>
          <w:i/>
          <w:noProof/>
          <w:sz w:val="21"/>
          <w:szCs w:val="21"/>
        </w:rPr>
        <w:t>Medicare Item Reports</w:t>
      </w:r>
      <w:r w:rsidRPr="000649E7">
        <w:rPr>
          <w:noProof/>
          <w:sz w:val="21"/>
          <w:szCs w:val="21"/>
        </w:rPr>
        <w:t xml:space="preserve">. 2019  [cited 2019 25 March]; Available from: </w:t>
      </w:r>
      <w:hyperlink r:id="rId14" w:history="1">
        <w:r w:rsidRPr="000649E7">
          <w:rPr>
            <w:rStyle w:val="Hyperlink"/>
            <w:rFonts w:cs="Calibri"/>
            <w:noProof/>
            <w:sz w:val="21"/>
            <w:szCs w:val="21"/>
          </w:rPr>
          <w:t>http://medicarestatistics.humanservices.gov.au/statistics/mbs_item.jsp</w:t>
        </w:r>
      </w:hyperlink>
      <w:r w:rsidRPr="000649E7">
        <w:rPr>
          <w:noProof/>
          <w:sz w:val="21"/>
          <w:szCs w:val="21"/>
        </w:rPr>
        <w:t>.</w:t>
      </w:r>
    </w:p>
    <w:p w14:paraId="468CE691"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15.</w:t>
      </w:r>
      <w:r w:rsidRPr="000649E7">
        <w:rPr>
          <w:noProof/>
          <w:sz w:val="21"/>
          <w:szCs w:val="21"/>
        </w:rPr>
        <w:tab/>
        <w:t xml:space="preserve">Tahoun, M., et al., </w:t>
      </w:r>
      <w:r w:rsidRPr="000649E7">
        <w:rPr>
          <w:i/>
          <w:noProof/>
          <w:sz w:val="21"/>
          <w:szCs w:val="21"/>
        </w:rPr>
        <w:t>Results of arthroscopic treatment of chondral delamination in femoroacetabular impingement with bone marrow stimulation and BST-CarGel((R)).</w:t>
      </w:r>
      <w:r w:rsidRPr="000649E7">
        <w:rPr>
          <w:noProof/>
          <w:sz w:val="21"/>
          <w:szCs w:val="21"/>
        </w:rPr>
        <w:t xml:space="preserve"> SICOT J, 2017. </w:t>
      </w:r>
      <w:r w:rsidRPr="000649E7">
        <w:rPr>
          <w:b/>
          <w:noProof/>
          <w:sz w:val="21"/>
          <w:szCs w:val="21"/>
        </w:rPr>
        <w:t>3</w:t>
      </w:r>
      <w:r w:rsidRPr="000649E7">
        <w:rPr>
          <w:noProof/>
          <w:sz w:val="21"/>
          <w:szCs w:val="21"/>
        </w:rPr>
        <w:t>: p. 51.</w:t>
      </w:r>
    </w:p>
    <w:p w14:paraId="76CE9A7C"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16.</w:t>
      </w:r>
      <w:r w:rsidRPr="000649E7">
        <w:rPr>
          <w:noProof/>
          <w:sz w:val="21"/>
          <w:szCs w:val="21"/>
        </w:rPr>
        <w:tab/>
        <w:t xml:space="preserve">Tahoun, M.F., et al., </w:t>
      </w:r>
      <w:r w:rsidRPr="000649E7">
        <w:rPr>
          <w:i/>
          <w:noProof/>
          <w:sz w:val="21"/>
          <w:szCs w:val="21"/>
        </w:rPr>
        <w:t>Arthroscopic Repair of Acetabular Cartilage Lesions by Chitosan-Based Scaffold: Clinical Evaluation at Minimum 2 Years Follow-up.</w:t>
      </w:r>
      <w:r w:rsidRPr="000649E7">
        <w:rPr>
          <w:noProof/>
          <w:sz w:val="21"/>
          <w:szCs w:val="21"/>
        </w:rPr>
        <w:t xml:space="preserve"> Arthroscopy, 2018. </w:t>
      </w:r>
      <w:r w:rsidRPr="000649E7">
        <w:rPr>
          <w:b/>
          <w:noProof/>
          <w:sz w:val="21"/>
          <w:szCs w:val="21"/>
        </w:rPr>
        <w:t>34</w:t>
      </w:r>
      <w:r w:rsidRPr="000649E7">
        <w:rPr>
          <w:noProof/>
          <w:sz w:val="21"/>
          <w:szCs w:val="21"/>
        </w:rPr>
        <w:t>(10): p. 2821-2828.</w:t>
      </w:r>
    </w:p>
    <w:p w14:paraId="4FC158BB" w14:textId="2FCBA077" w:rsidR="003F617F" w:rsidRPr="000649E7" w:rsidRDefault="003F617F" w:rsidP="003F617F">
      <w:pPr>
        <w:pStyle w:val="EndNoteBibliography"/>
        <w:spacing w:after="0"/>
        <w:ind w:left="720" w:hanging="720"/>
        <w:rPr>
          <w:noProof/>
          <w:sz w:val="21"/>
          <w:szCs w:val="21"/>
        </w:rPr>
      </w:pPr>
      <w:r w:rsidRPr="000649E7">
        <w:rPr>
          <w:noProof/>
          <w:sz w:val="21"/>
          <w:szCs w:val="21"/>
        </w:rPr>
        <w:t>17.</w:t>
      </w:r>
      <w:r w:rsidRPr="000649E7">
        <w:rPr>
          <w:noProof/>
          <w:sz w:val="21"/>
          <w:szCs w:val="21"/>
        </w:rPr>
        <w:tab/>
        <w:t xml:space="preserve">Rice University, </w:t>
      </w:r>
      <w:r w:rsidRPr="000649E7">
        <w:rPr>
          <w:i/>
          <w:noProof/>
          <w:sz w:val="21"/>
          <w:szCs w:val="21"/>
        </w:rPr>
        <w:t>9.4 Synovial joints.</w:t>
      </w:r>
      <w:r w:rsidRPr="000649E7">
        <w:rPr>
          <w:noProof/>
          <w:sz w:val="21"/>
          <w:szCs w:val="21"/>
        </w:rPr>
        <w:t xml:space="preserve">, in </w:t>
      </w:r>
      <w:r w:rsidRPr="000649E7">
        <w:rPr>
          <w:i/>
          <w:noProof/>
          <w:sz w:val="21"/>
          <w:szCs w:val="21"/>
        </w:rPr>
        <w:t xml:space="preserve">Anatomy and Physiology.  Available </w:t>
      </w:r>
      <w:hyperlink r:id="rId15" w:history="1">
        <w:r w:rsidRPr="000649E7">
          <w:rPr>
            <w:rStyle w:val="Hyperlink"/>
            <w:rFonts w:cs="Calibri"/>
            <w:i/>
            <w:noProof/>
            <w:sz w:val="21"/>
            <w:szCs w:val="21"/>
          </w:rPr>
          <w:t>https://opentextbc.ca/anatomyandphysiology/chapter/9-4-synovial-joints/</w:t>
        </w:r>
      </w:hyperlink>
      <w:r w:rsidRPr="000649E7">
        <w:rPr>
          <w:noProof/>
          <w:sz w:val="21"/>
          <w:szCs w:val="21"/>
        </w:rPr>
        <w:t>.</w:t>
      </w:r>
    </w:p>
    <w:p w14:paraId="11E31613"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18.</w:t>
      </w:r>
      <w:r w:rsidRPr="000649E7">
        <w:rPr>
          <w:noProof/>
          <w:sz w:val="21"/>
          <w:szCs w:val="21"/>
        </w:rPr>
        <w:tab/>
        <w:t xml:space="preserve">Falah, M., et al., </w:t>
      </w:r>
      <w:r w:rsidRPr="000649E7">
        <w:rPr>
          <w:i/>
          <w:noProof/>
          <w:sz w:val="21"/>
          <w:szCs w:val="21"/>
        </w:rPr>
        <w:t>Treatment of articular cartilage lesions of the knee.</w:t>
      </w:r>
      <w:r w:rsidRPr="000649E7">
        <w:rPr>
          <w:noProof/>
          <w:sz w:val="21"/>
          <w:szCs w:val="21"/>
        </w:rPr>
        <w:t xml:space="preserve"> Int Orthop, 2010. </w:t>
      </w:r>
      <w:r w:rsidRPr="000649E7">
        <w:rPr>
          <w:b/>
          <w:noProof/>
          <w:sz w:val="21"/>
          <w:szCs w:val="21"/>
        </w:rPr>
        <w:t>34</w:t>
      </w:r>
      <w:r w:rsidRPr="000649E7">
        <w:rPr>
          <w:noProof/>
          <w:sz w:val="21"/>
          <w:szCs w:val="21"/>
        </w:rPr>
        <w:t>(5): p. 621-30.</w:t>
      </w:r>
    </w:p>
    <w:p w14:paraId="36DAC0DE" w14:textId="5CE82182" w:rsidR="003F617F" w:rsidRPr="000649E7" w:rsidRDefault="003F617F" w:rsidP="003F617F">
      <w:pPr>
        <w:pStyle w:val="EndNoteBibliography"/>
        <w:spacing w:after="0"/>
        <w:ind w:left="720" w:hanging="720"/>
        <w:rPr>
          <w:noProof/>
          <w:sz w:val="21"/>
          <w:szCs w:val="21"/>
        </w:rPr>
      </w:pPr>
      <w:r w:rsidRPr="000649E7">
        <w:rPr>
          <w:noProof/>
          <w:sz w:val="21"/>
          <w:szCs w:val="21"/>
        </w:rPr>
        <w:t>19.</w:t>
      </w:r>
      <w:r w:rsidRPr="000649E7">
        <w:rPr>
          <w:noProof/>
          <w:sz w:val="21"/>
          <w:szCs w:val="21"/>
        </w:rPr>
        <w:tab/>
        <w:t xml:space="preserve">Australian Government Department of Health, </w:t>
      </w:r>
      <w:r w:rsidRPr="000649E7">
        <w:rPr>
          <w:i/>
          <w:noProof/>
          <w:sz w:val="21"/>
          <w:szCs w:val="21"/>
        </w:rPr>
        <w:t xml:space="preserve">Medicare benefits schedule. </w:t>
      </w:r>
      <w:hyperlink r:id="rId16" w:history="1">
        <w:r w:rsidRPr="000649E7">
          <w:rPr>
            <w:rStyle w:val="Hyperlink"/>
            <w:rFonts w:cs="Calibri"/>
            <w:i/>
            <w:noProof/>
            <w:sz w:val="21"/>
            <w:szCs w:val="21"/>
          </w:rPr>
          <w:t>http://www9.health.gov.au/mbs/search.cfm?pdf=yes</w:t>
        </w:r>
      </w:hyperlink>
      <w:r w:rsidRPr="000649E7">
        <w:rPr>
          <w:i/>
          <w:noProof/>
          <w:sz w:val="21"/>
          <w:szCs w:val="21"/>
        </w:rPr>
        <w:t>. Accessed 25 March 2019.</w:t>
      </w:r>
      <w:r w:rsidRPr="000649E7">
        <w:rPr>
          <w:noProof/>
          <w:sz w:val="21"/>
          <w:szCs w:val="21"/>
        </w:rPr>
        <w:t xml:space="preserve"> 2019.</w:t>
      </w:r>
    </w:p>
    <w:p w14:paraId="262863D3"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20.</w:t>
      </w:r>
      <w:r w:rsidRPr="000649E7">
        <w:rPr>
          <w:noProof/>
          <w:sz w:val="21"/>
          <w:szCs w:val="21"/>
        </w:rPr>
        <w:tab/>
        <w:t xml:space="preserve">Frappier, J., et al., </w:t>
      </w:r>
      <w:r w:rsidRPr="000649E7">
        <w:rPr>
          <w:i/>
          <w:noProof/>
          <w:sz w:val="21"/>
          <w:szCs w:val="21"/>
        </w:rPr>
        <w:t>Economic evaluation of BST-CarGel as an adjunct to microfracture vs microfracture alone in knee cartilage surgery.</w:t>
      </w:r>
      <w:r w:rsidRPr="000649E7">
        <w:rPr>
          <w:noProof/>
          <w:sz w:val="21"/>
          <w:szCs w:val="21"/>
        </w:rPr>
        <w:t xml:space="preserve"> J Med Econ, 2014. </w:t>
      </w:r>
      <w:r w:rsidRPr="000649E7">
        <w:rPr>
          <w:b/>
          <w:noProof/>
          <w:sz w:val="21"/>
          <w:szCs w:val="21"/>
        </w:rPr>
        <w:t>17</w:t>
      </w:r>
      <w:r w:rsidRPr="000649E7">
        <w:rPr>
          <w:noProof/>
          <w:sz w:val="21"/>
          <w:szCs w:val="21"/>
        </w:rPr>
        <w:t>(4): p. 266-78.</w:t>
      </w:r>
    </w:p>
    <w:p w14:paraId="22BFBF7A"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21.</w:t>
      </w:r>
      <w:r w:rsidRPr="000649E7">
        <w:rPr>
          <w:noProof/>
          <w:sz w:val="21"/>
          <w:szCs w:val="21"/>
        </w:rPr>
        <w:tab/>
        <w:t xml:space="preserve">Mithoefer, K., et al., </w:t>
      </w:r>
      <w:r w:rsidRPr="000649E7">
        <w:rPr>
          <w:i/>
          <w:noProof/>
          <w:sz w:val="21"/>
          <w:szCs w:val="21"/>
        </w:rPr>
        <w:t>Clinical efficacy of the microfracture technique for articular cartilage repair in the knee: an evidence-based systematic analysis.</w:t>
      </w:r>
      <w:r w:rsidRPr="000649E7">
        <w:rPr>
          <w:noProof/>
          <w:sz w:val="21"/>
          <w:szCs w:val="21"/>
        </w:rPr>
        <w:t xml:space="preserve"> Am J Sports Med, 2009. </w:t>
      </w:r>
      <w:r w:rsidRPr="000649E7">
        <w:rPr>
          <w:b/>
          <w:noProof/>
          <w:sz w:val="21"/>
          <w:szCs w:val="21"/>
        </w:rPr>
        <w:t>37</w:t>
      </w:r>
      <w:r w:rsidRPr="000649E7">
        <w:rPr>
          <w:noProof/>
          <w:sz w:val="21"/>
          <w:szCs w:val="21"/>
        </w:rPr>
        <w:t>(10): p. 2053-63.</w:t>
      </w:r>
    </w:p>
    <w:p w14:paraId="398500D4" w14:textId="77777777" w:rsidR="003F617F" w:rsidRPr="000649E7" w:rsidRDefault="003F617F" w:rsidP="003F617F">
      <w:pPr>
        <w:pStyle w:val="EndNoteBibliography"/>
        <w:spacing w:after="0"/>
        <w:ind w:left="720" w:hanging="720"/>
        <w:rPr>
          <w:noProof/>
          <w:sz w:val="21"/>
          <w:szCs w:val="21"/>
        </w:rPr>
      </w:pPr>
      <w:r w:rsidRPr="000649E7">
        <w:rPr>
          <w:noProof/>
          <w:sz w:val="21"/>
          <w:szCs w:val="21"/>
        </w:rPr>
        <w:t>22.</w:t>
      </w:r>
      <w:r w:rsidRPr="000649E7">
        <w:rPr>
          <w:noProof/>
          <w:sz w:val="21"/>
          <w:szCs w:val="21"/>
        </w:rPr>
        <w:tab/>
        <w:t xml:space="preserve">Shive, M.S., et al., </w:t>
      </w:r>
      <w:r w:rsidRPr="000649E7">
        <w:rPr>
          <w:i/>
          <w:noProof/>
          <w:sz w:val="21"/>
          <w:szCs w:val="21"/>
        </w:rPr>
        <w:t>BST-CarGel(R) Treatment Maintains Cartilage Repair Superiority over Microfracture at 5 Years in a Multicenter Randomized Controlled Trial.</w:t>
      </w:r>
      <w:r w:rsidRPr="000649E7">
        <w:rPr>
          <w:noProof/>
          <w:sz w:val="21"/>
          <w:szCs w:val="21"/>
        </w:rPr>
        <w:t xml:space="preserve"> Cartilage, 2015. </w:t>
      </w:r>
      <w:r w:rsidRPr="000649E7">
        <w:rPr>
          <w:b/>
          <w:noProof/>
          <w:sz w:val="21"/>
          <w:szCs w:val="21"/>
        </w:rPr>
        <w:t>6</w:t>
      </w:r>
      <w:r w:rsidRPr="000649E7">
        <w:rPr>
          <w:noProof/>
          <w:sz w:val="21"/>
          <w:szCs w:val="21"/>
        </w:rPr>
        <w:t>(2): p. 62-72.</w:t>
      </w:r>
    </w:p>
    <w:p w14:paraId="2A3C9D63" w14:textId="5B307F4B" w:rsidR="003F617F" w:rsidRPr="000649E7" w:rsidRDefault="00A813E9" w:rsidP="003F617F">
      <w:pPr>
        <w:pStyle w:val="EndNoteBibliography"/>
        <w:ind w:left="720" w:hanging="720"/>
        <w:rPr>
          <w:noProof/>
          <w:sz w:val="21"/>
          <w:szCs w:val="21"/>
        </w:rPr>
      </w:pPr>
      <w:r w:rsidRPr="000649E7">
        <w:rPr>
          <w:noProof/>
          <w:sz w:val="21"/>
          <w:szCs w:val="21"/>
        </w:rPr>
        <w:t>23.</w:t>
      </w:r>
      <w:r w:rsidRPr="000649E7">
        <w:rPr>
          <w:noProof/>
          <w:sz w:val="21"/>
          <w:szCs w:val="21"/>
        </w:rPr>
        <w:tab/>
        <w:t>V</w:t>
      </w:r>
      <w:r w:rsidR="003F617F" w:rsidRPr="000649E7">
        <w:rPr>
          <w:noProof/>
          <w:sz w:val="21"/>
          <w:szCs w:val="21"/>
        </w:rPr>
        <w:t xml:space="preserve">an der Meijden, O.A., T.R. Gaskill, and P.J. Millett, </w:t>
      </w:r>
      <w:r w:rsidR="003F617F" w:rsidRPr="000649E7">
        <w:rPr>
          <w:i/>
          <w:noProof/>
          <w:sz w:val="21"/>
          <w:szCs w:val="21"/>
        </w:rPr>
        <w:t>Glenohumeral joint preservation: a review of management options for young, active patients with osteoarthritis.</w:t>
      </w:r>
      <w:r w:rsidR="003F617F" w:rsidRPr="000649E7">
        <w:rPr>
          <w:noProof/>
          <w:sz w:val="21"/>
          <w:szCs w:val="21"/>
        </w:rPr>
        <w:t xml:space="preserve"> Adv Orthop, 2012. </w:t>
      </w:r>
      <w:r w:rsidR="003F617F" w:rsidRPr="000649E7">
        <w:rPr>
          <w:b/>
          <w:noProof/>
          <w:sz w:val="21"/>
          <w:szCs w:val="21"/>
        </w:rPr>
        <w:t>2012</w:t>
      </w:r>
      <w:r w:rsidR="003F617F" w:rsidRPr="000649E7">
        <w:rPr>
          <w:noProof/>
          <w:sz w:val="21"/>
          <w:szCs w:val="21"/>
        </w:rPr>
        <w:t>: p. 160923.</w:t>
      </w:r>
    </w:p>
    <w:p w14:paraId="7F92BCD0" w14:textId="745BA5A0" w:rsidR="00F34437" w:rsidRDefault="00F34437" w:rsidP="00F34437">
      <w:pPr>
        <w:rPr>
          <w:color w:val="FF0000"/>
          <w:u w:val="dotted"/>
        </w:rPr>
      </w:pPr>
      <w:r w:rsidRPr="000649E7">
        <w:rPr>
          <w:color w:val="FF0000"/>
          <w:sz w:val="21"/>
          <w:szCs w:val="21"/>
          <w:u w:val="dotted"/>
        </w:rPr>
        <w:fldChar w:fldCharType="end"/>
      </w:r>
    </w:p>
    <w:p w14:paraId="3B62713F" w14:textId="7010BBE4" w:rsidR="00F34437" w:rsidRDefault="00F34437" w:rsidP="00F34437">
      <w:pPr>
        <w:pStyle w:val="Title"/>
      </w:pPr>
      <w:r>
        <w:t>Appendix</w:t>
      </w:r>
    </w:p>
    <w:p w14:paraId="4D04FC5C" w14:textId="77777777" w:rsidR="00DD66EE" w:rsidRPr="00DD66EE" w:rsidRDefault="00DD66EE" w:rsidP="00DD66EE"/>
    <w:p w14:paraId="4A9F5720" w14:textId="76740B6A" w:rsidR="00F34437" w:rsidRPr="00B879C2" w:rsidRDefault="00F34437" w:rsidP="00F34437">
      <w:pPr>
        <w:pStyle w:val="Caption"/>
      </w:pPr>
      <w:bookmarkStart w:id="19" w:name="_Ref528836176"/>
      <w:r w:rsidRPr="00B879C2">
        <w:t xml:space="preserve">Table </w:t>
      </w:r>
      <w:r w:rsidRPr="00B879C2">
        <w:fldChar w:fldCharType="begin"/>
      </w:r>
      <w:r w:rsidRPr="00B879C2">
        <w:instrText xml:space="preserve"> SEQ Table \* ARABIC </w:instrText>
      </w:r>
      <w:r w:rsidRPr="00B879C2">
        <w:fldChar w:fldCharType="separate"/>
      </w:r>
      <w:r w:rsidR="000649E7">
        <w:rPr>
          <w:noProof/>
        </w:rPr>
        <w:t>6</w:t>
      </w:r>
      <w:r w:rsidRPr="00B879C2">
        <w:fldChar w:fldCharType="end"/>
      </w:r>
      <w:bookmarkEnd w:id="19"/>
      <w:r w:rsidRPr="00B879C2">
        <w:tab/>
        <w:t>ICRS lesion classification system</w:t>
      </w:r>
    </w:p>
    <w:tbl>
      <w:tblPr>
        <w:tblStyle w:val="TableGrid"/>
        <w:tblW w:w="0" w:type="auto"/>
        <w:tblInd w:w="-5" w:type="dxa"/>
        <w:tblLook w:val="04A0" w:firstRow="1" w:lastRow="0" w:firstColumn="1" w:lastColumn="0" w:noHBand="0" w:noVBand="1"/>
        <w:tblCaption w:val="Table 6"/>
        <w:tblDescription w:val="ICRS lesion classification"/>
      </w:tblPr>
      <w:tblGrid>
        <w:gridCol w:w="993"/>
        <w:gridCol w:w="7320"/>
      </w:tblGrid>
      <w:tr w:rsidR="00F34437" w:rsidRPr="00B879C2" w14:paraId="33BEC09D" w14:textId="77777777" w:rsidTr="000649E7">
        <w:trPr>
          <w:tblHeader/>
        </w:trPr>
        <w:tc>
          <w:tcPr>
            <w:tcW w:w="993" w:type="dxa"/>
          </w:tcPr>
          <w:p w14:paraId="5DDE4D46" w14:textId="77777777" w:rsidR="00F34437" w:rsidRPr="00B879C2" w:rsidRDefault="00F34437" w:rsidP="00BB2F4F">
            <w:pPr>
              <w:spacing w:after="200" w:line="276" w:lineRule="auto"/>
              <w:rPr>
                <w:b/>
              </w:rPr>
            </w:pPr>
            <w:r w:rsidRPr="00B879C2">
              <w:rPr>
                <w:b/>
              </w:rPr>
              <w:t>Grade</w:t>
            </w:r>
          </w:p>
        </w:tc>
        <w:tc>
          <w:tcPr>
            <w:tcW w:w="7320" w:type="dxa"/>
          </w:tcPr>
          <w:p w14:paraId="344770CA" w14:textId="77777777" w:rsidR="00F34437" w:rsidRPr="00B879C2" w:rsidRDefault="00F34437" w:rsidP="00BB2F4F">
            <w:pPr>
              <w:spacing w:after="200" w:line="276" w:lineRule="auto"/>
              <w:rPr>
                <w:b/>
              </w:rPr>
            </w:pPr>
            <w:r w:rsidRPr="00B879C2">
              <w:rPr>
                <w:b/>
              </w:rPr>
              <w:t>Details</w:t>
            </w:r>
          </w:p>
        </w:tc>
      </w:tr>
      <w:tr w:rsidR="00F34437" w:rsidRPr="00B879C2" w14:paraId="5FA5B82C" w14:textId="77777777" w:rsidTr="000649E7">
        <w:tc>
          <w:tcPr>
            <w:tcW w:w="993" w:type="dxa"/>
          </w:tcPr>
          <w:p w14:paraId="37F00899" w14:textId="77777777" w:rsidR="00F34437" w:rsidRPr="00B879C2" w:rsidRDefault="00F34437" w:rsidP="00BB2F4F">
            <w:pPr>
              <w:spacing w:after="200" w:line="276" w:lineRule="auto"/>
            </w:pPr>
            <w:r w:rsidRPr="00B879C2">
              <w:t>0</w:t>
            </w:r>
          </w:p>
        </w:tc>
        <w:tc>
          <w:tcPr>
            <w:tcW w:w="7320" w:type="dxa"/>
          </w:tcPr>
          <w:p w14:paraId="0E86ACF4" w14:textId="77777777" w:rsidR="00F34437" w:rsidRPr="00B879C2" w:rsidRDefault="00F34437" w:rsidP="00BB2F4F">
            <w:pPr>
              <w:spacing w:after="200" w:line="276" w:lineRule="auto"/>
            </w:pPr>
            <w:r w:rsidRPr="00B879C2">
              <w:t>Normal</w:t>
            </w:r>
          </w:p>
        </w:tc>
      </w:tr>
      <w:tr w:rsidR="00F34437" w:rsidRPr="00B879C2" w14:paraId="15A236C5" w14:textId="77777777" w:rsidTr="000649E7">
        <w:tc>
          <w:tcPr>
            <w:tcW w:w="993" w:type="dxa"/>
          </w:tcPr>
          <w:p w14:paraId="73975E47" w14:textId="77777777" w:rsidR="00F34437" w:rsidRPr="00B879C2" w:rsidRDefault="00F34437" w:rsidP="00BB2F4F">
            <w:pPr>
              <w:spacing w:after="200" w:line="276" w:lineRule="auto"/>
            </w:pPr>
            <w:r w:rsidRPr="00B879C2">
              <w:t>1</w:t>
            </w:r>
          </w:p>
        </w:tc>
        <w:tc>
          <w:tcPr>
            <w:tcW w:w="7320" w:type="dxa"/>
          </w:tcPr>
          <w:p w14:paraId="1108B205" w14:textId="77777777" w:rsidR="00F34437" w:rsidRPr="00B879C2" w:rsidRDefault="00F34437" w:rsidP="00BB2F4F">
            <w:pPr>
              <w:spacing w:after="200" w:line="276" w:lineRule="auto"/>
            </w:pPr>
            <w:r w:rsidRPr="00B879C2">
              <w:t>Nearly normal – superficial lesions. A) Soft indentation and/or B) superficial fissures and cracks</w:t>
            </w:r>
          </w:p>
        </w:tc>
      </w:tr>
      <w:tr w:rsidR="00F34437" w:rsidRPr="00B879C2" w14:paraId="7365EB01" w14:textId="77777777" w:rsidTr="000649E7">
        <w:tc>
          <w:tcPr>
            <w:tcW w:w="993" w:type="dxa"/>
          </w:tcPr>
          <w:p w14:paraId="0B1BEBF3" w14:textId="77777777" w:rsidR="00F34437" w:rsidRPr="00B879C2" w:rsidRDefault="00F34437" w:rsidP="00BB2F4F">
            <w:pPr>
              <w:spacing w:after="200" w:line="276" w:lineRule="auto"/>
            </w:pPr>
            <w:r w:rsidRPr="00B879C2">
              <w:t>2</w:t>
            </w:r>
          </w:p>
        </w:tc>
        <w:tc>
          <w:tcPr>
            <w:tcW w:w="7320" w:type="dxa"/>
          </w:tcPr>
          <w:p w14:paraId="49378E96" w14:textId="77777777" w:rsidR="00F34437" w:rsidRPr="00B879C2" w:rsidRDefault="00F34437" w:rsidP="00BB2F4F">
            <w:pPr>
              <w:spacing w:after="200" w:line="276" w:lineRule="auto"/>
            </w:pPr>
            <w:r w:rsidRPr="00B879C2">
              <w:t>Abnormal – lesion extending down to &lt; 50% of cartilage depth</w:t>
            </w:r>
          </w:p>
        </w:tc>
      </w:tr>
      <w:tr w:rsidR="00F34437" w:rsidRPr="00B879C2" w14:paraId="73FDE8F4" w14:textId="77777777" w:rsidTr="000649E7">
        <w:tc>
          <w:tcPr>
            <w:tcW w:w="993" w:type="dxa"/>
          </w:tcPr>
          <w:p w14:paraId="27F56F63" w14:textId="77777777" w:rsidR="00F34437" w:rsidRPr="00B879C2" w:rsidRDefault="00F34437" w:rsidP="00BB2F4F">
            <w:pPr>
              <w:spacing w:after="200" w:line="276" w:lineRule="auto"/>
            </w:pPr>
            <w:r w:rsidRPr="00B879C2">
              <w:t>3</w:t>
            </w:r>
          </w:p>
        </w:tc>
        <w:tc>
          <w:tcPr>
            <w:tcW w:w="7320" w:type="dxa"/>
          </w:tcPr>
          <w:p w14:paraId="0DBF03B5" w14:textId="77777777" w:rsidR="00F34437" w:rsidRPr="00B879C2" w:rsidRDefault="00F34437" w:rsidP="00BB2F4F">
            <w:pPr>
              <w:spacing w:after="200" w:line="276" w:lineRule="auto"/>
            </w:pPr>
            <w:r w:rsidRPr="00B879C2">
              <w:t>Severely abnormal – cartilage defects extending down &gt; 50% of cartilage depth (A) as well as down to calcified layer (B) and down to but not through the subchondral bone (C)</w:t>
            </w:r>
          </w:p>
        </w:tc>
      </w:tr>
      <w:tr w:rsidR="00F34437" w:rsidRPr="00B879C2" w14:paraId="13B37341" w14:textId="77777777" w:rsidTr="000649E7">
        <w:tc>
          <w:tcPr>
            <w:tcW w:w="993" w:type="dxa"/>
          </w:tcPr>
          <w:p w14:paraId="6EDECD4D" w14:textId="77777777" w:rsidR="00F34437" w:rsidRPr="00B879C2" w:rsidRDefault="00F34437" w:rsidP="00BB2F4F">
            <w:pPr>
              <w:spacing w:after="200" w:line="276" w:lineRule="auto"/>
            </w:pPr>
            <w:r w:rsidRPr="00B879C2">
              <w:t>4</w:t>
            </w:r>
          </w:p>
        </w:tc>
        <w:tc>
          <w:tcPr>
            <w:tcW w:w="7320" w:type="dxa"/>
          </w:tcPr>
          <w:p w14:paraId="7476FC21" w14:textId="77777777" w:rsidR="00F34437" w:rsidRPr="00B879C2" w:rsidRDefault="00F34437" w:rsidP="00BB2F4F">
            <w:pPr>
              <w:spacing w:after="200" w:line="276" w:lineRule="auto"/>
            </w:pPr>
            <w:r w:rsidRPr="00B879C2">
              <w:t>Severely abnormal – with penetration through subchondral plate</w:t>
            </w:r>
          </w:p>
        </w:tc>
      </w:tr>
    </w:tbl>
    <w:p w14:paraId="6659426D" w14:textId="77777777" w:rsidR="00F34437" w:rsidRPr="00B879C2" w:rsidRDefault="00F34437" w:rsidP="00F34437">
      <w:pPr>
        <w:pStyle w:val="Tablefooter"/>
      </w:pPr>
      <w:r w:rsidRPr="00B879C2">
        <w:t>Source: Van der Meijde</w:t>
      </w:r>
      <w:r>
        <w:t>n</w:t>
      </w:r>
      <w:r w:rsidRPr="00B879C2">
        <w:t xml:space="preserve"> et al (2012)</w:t>
      </w:r>
      <w:r>
        <w:t xml:space="preserve"> </w:t>
      </w:r>
      <w:r>
        <w:fldChar w:fldCharType="begin"/>
      </w:r>
      <w:r>
        <w:instrText xml:space="preserve"> ADDIN EN.CITE &lt;EndNote&gt;&lt;Cite&gt;&lt;Author&gt;van der Meijden&lt;/Author&gt;&lt;Year&gt;2012&lt;/Year&gt;&lt;RecNum&gt;11776&lt;/RecNum&gt;&lt;DisplayText&gt;[23]&lt;/DisplayText&gt;&lt;record&gt;&lt;rec-number&gt;11776&lt;/rec-number&gt;&lt;foreign-keys&gt;&lt;key app="EN" db-id="e5fswt02npwd52esazb5pr54wz9epasvpvef" timestamp="1553212940"&gt;11776&lt;/key&gt;&lt;/foreign-keys&gt;&lt;ref-type name="Journal Article"&gt;17&lt;/ref-type&gt;&lt;contributors&gt;&lt;authors&gt;&lt;author&gt;van der Meijden, O. A.&lt;/author&gt;&lt;author&gt;Gaskill, T. R.&lt;/author&gt;&lt;author&gt;Millett, P. J.&lt;/author&gt;&lt;/authors&gt;&lt;/contributors&gt;&lt;auth-address&gt;The Steadman Clinic, Steadman Philippon Research Institute, 181 West Meadow Drive, Suite 400, Vail, CO 81657, USA.&lt;/auth-address&gt;&lt;titles&gt;&lt;title&gt;Glenohumeral joint preservation: a review of management options for young, active patients with osteoarthritis&lt;/title&gt;&lt;secondary-title&gt;Adv Orthop&lt;/secondary-title&gt;&lt;/titles&gt;&lt;periodical&gt;&lt;full-title&gt;Adv Orthop&lt;/full-title&gt;&lt;/periodical&gt;&lt;pages&gt;160923&lt;/pages&gt;&lt;volume&gt;2012&lt;/volume&gt;&lt;edition&gt;2012/04/27&lt;/edition&gt;&lt;dates&gt;&lt;year&gt;2012&lt;/year&gt;&lt;/dates&gt;&lt;isbn&gt;2090-3472 (Electronic)&amp;#xD;2090-3464 (Linking)&lt;/isbn&gt;&lt;accession-num&gt;22536514&lt;/accession-num&gt;&lt;urls&gt;&lt;related-urls&gt;&lt;url&gt;https://www.ncbi.nlm.nih.gov/pubmed/22536514&lt;/url&gt;&lt;url&gt;https://www.ncbi.nlm.nih.gov/pmc/articles/PMC3318219/pdf/AOP2012-160923.pdf&lt;/url&gt;&lt;/related-urls&gt;&lt;/urls&gt;&lt;custom2&gt;PMC3318219&lt;/custom2&gt;&lt;electronic-resource-num&gt;10.1155/2012/160923&lt;/electronic-resource-num&gt;&lt;/record&gt;&lt;/Cite&gt;&lt;/EndNote&gt;</w:instrText>
      </w:r>
      <w:r>
        <w:fldChar w:fldCharType="separate"/>
      </w:r>
      <w:r>
        <w:rPr>
          <w:noProof/>
        </w:rPr>
        <w:t>[23]</w:t>
      </w:r>
      <w:r>
        <w:fldChar w:fldCharType="end"/>
      </w:r>
    </w:p>
    <w:p w14:paraId="09564A2F" w14:textId="1CB6BE10" w:rsidR="00F34437" w:rsidRPr="00B879C2" w:rsidRDefault="00F34437" w:rsidP="00F34437">
      <w:bookmarkStart w:id="20" w:name="_GoBack"/>
      <w:bookmarkEnd w:id="20"/>
    </w:p>
    <w:sectPr w:rsidR="00F34437" w:rsidRPr="00B879C2" w:rsidSect="00587530">
      <w:headerReference w:type="even" r:id="rId17"/>
      <w:headerReference w:type="default" r:id="rId18"/>
      <w:footerReference w:type="even" r:id="rId19"/>
      <w:footerReference w:type="default" r:id="rId20"/>
      <w:headerReference w:type="first" r:id="rId21"/>
      <w:footerReference w:type="first" r:id="rId22"/>
      <w:pgSz w:w="11906" w:h="16838"/>
      <w:pgMar w:top="993" w:right="1440" w:bottom="1440" w:left="1440" w:header="708" w:footer="142"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B644AF" w16cid:durableId="213DF321"/>
  <w16cid:commentId w16cid:paraId="4D617FF6" w16cid:durableId="213DF322"/>
  <w16cid:commentId w16cid:paraId="12BF68D5" w16cid:durableId="213E040F"/>
  <w16cid:commentId w16cid:paraId="11862814" w16cid:durableId="213DF323"/>
  <w16cid:commentId w16cid:paraId="1B78C7B7" w16cid:durableId="213E0431"/>
  <w16cid:commentId w16cid:paraId="1D3CE27A" w16cid:durableId="213DF324"/>
  <w16cid:commentId w16cid:paraId="3499A8E1" w16cid:durableId="213E0443"/>
  <w16cid:commentId w16cid:paraId="745BEF00" w16cid:durableId="213DF325"/>
  <w16cid:commentId w16cid:paraId="10275047" w16cid:durableId="213E044D"/>
  <w16cid:commentId w16cid:paraId="5CDA029A" w16cid:durableId="213DF326"/>
  <w16cid:commentId w16cid:paraId="4402B680" w16cid:durableId="213DF32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77C38" w14:textId="77777777" w:rsidR="001B2446" w:rsidRDefault="001B2446" w:rsidP="003D699E">
      <w:pPr>
        <w:spacing w:after="0" w:line="240" w:lineRule="auto"/>
      </w:pPr>
      <w:r>
        <w:separator/>
      </w:r>
    </w:p>
  </w:endnote>
  <w:endnote w:type="continuationSeparator" w:id="0">
    <w:p w14:paraId="4D0B7407" w14:textId="77777777" w:rsidR="001B2446" w:rsidRDefault="001B2446" w:rsidP="003D6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779F4" w14:textId="77777777" w:rsidR="00ED1A22" w:rsidRDefault="00ED1A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8E0D5" w14:textId="77777777" w:rsidR="001B2446" w:rsidRPr="00ED1A22" w:rsidRDefault="001B2446" w:rsidP="00ED1A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E07BB" w14:textId="77777777" w:rsidR="00ED1A22" w:rsidRDefault="00ED1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B4580" w14:textId="77777777" w:rsidR="001B2446" w:rsidRDefault="001B2446" w:rsidP="003D699E">
      <w:pPr>
        <w:spacing w:after="0" w:line="240" w:lineRule="auto"/>
      </w:pPr>
      <w:r>
        <w:separator/>
      </w:r>
    </w:p>
  </w:footnote>
  <w:footnote w:type="continuationSeparator" w:id="0">
    <w:p w14:paraId="15F73CE6" w14:textId="77777777" w:rsidR="001B2446" w:rsidRDefault="001B2446" w:rsidP="003D699E">
      <w:pPr>
        <w:spacing w:after="0" w:line="240" w:lineRule="auto"/>
      </w:pPr>
      <w:r>
        <w:continuationSeparator/>
      </w:r>
    </w:p>
  </w:footnote>
  <w:footnote w:id="1">
    <w:p w14:paraId="5FE5971D" w14:textId="13B8E3E1" w:rsidR="001B2446" w:rsidRPr="00A2049C" w:rsidRDefault="001B2446" w:rsidP="001C5FB1">
      <w:pPr>
        <w:pStyle w:val="FootnoteText"/>
        <w:rPr>
          <w:lang w:val="en-US"/>
        </w:rPr>
      </w:pPr>
      <w:r>
        <w:rPr>
          <w:rStyle w:val="FootnoteReference"/>
        </w:rPr>
        <w:footnoteRef/>
      </w:r>
      <w:r>
        <w:t xml:space="preserve"> </w:t>
      </w:r>
      <w:hyperlink r:id="rId1" w:history="1">
        <w:r w:rsidRPr="009537BD">
          <w:rPr>
            <w:rStyle w:val="Hyperlink"/>
          </w:rPr>
          <w:t>www.msac.gov.au/internet/msac/publishing.nsf/Content/E72BFBEC5447F91FCA25801000123B6D/$File/1140_Report_Final040211.pdf</w:t>
        </w:r>
      </w:hyperlink>
      <w:r>
        <w:t xml:space="preserve"> (accessed 31 October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7DBE8" w14:textId="0E45D532" w:rsidR="001B2446" w:rsidRDefault="001B24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5B042" w14:textId="77777777" w:rsidR="00ED1A22" w:rsidRDefault="00ED1A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6CAA7" w14:textId="77777777" w:rsidR="00ED1A22" w:rsidRDefault="00ED1A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C9291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232503"/>
    <w:multiLevelType w:val="hybridMultilevel"/>
    <w:tmpl w:val="C356410A"/>
    <w:lvl w:ilvl="0" w:tplc="A4CCC2B6">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C31A91"/>
    <w:multiLevelType w:val="hybridMultilevel"/>
    <w:tmpl w:val="A49EF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1420E"/>
    <w:multiLevelType w:val="hybridMultilevel"/>
    <w:tmpl w:val="B2EC7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7A7E9B"/>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19B85820"/>
    <w:multiLevelType w:val="multilevel"/>
    <w:tmpl w:val="F94A5772"/>
    <w:styleLink w:val="ChartListBullets"/>
    <w:lvl w:ilvl="0">
      <w:start w:val="1"/>
      <w:numFmt w:val="bullet"/>
      <w:pStyle w:val="ChartListBullet"/>
      <w:lvlText w:val="■"/>
      <w:lvlJc w:val="left"/>
      <w:pPr>
        <w:tabs>
          <w:tab w:val="num" w:pos="170"/>
        </w:tabs>
        <w:ind w:left="170" w:hanging="170"/>
      </w:pPr>
      <w:rPr>
        <w:rFonts w:ascii="Franklin Gothic Book" w:hAnsi="Franklin Gothic Book" w:hint="default"/>
        <w:color w:val="8064A2" w:themeColor="accent4"/>
        <w:position w:val="2"/>
        <w:sz w:val="12"/>
      </w:rPr>
    </w:lvl>
    <w:lvl w:ilvl="1">
      <w:start w:val="1"/>
      <w:numFmt w:val="bullet"/>
      <w:pStyle w:val="ChartListBullet2"/>
      <w:lvlText w:val="–"/>
      <w:lvlJc w:val="left"/>
      <w:pPr>
        <w:tabs>
          <w:tab w:val="num" w:pos="340"/>
        </w:tabs>
        <w:ind w:left="340" w:hanging="170"/>
      </w:pPr>
      <w:rPr>
        <w:rFonts w:ascii="Franklin Gothic Book" w:hAnsi="Franklin Gothic Book"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83456B"/>
    <w:multiLevelType w:val="hybridMultilevel"/>
    <w:tmpl w:val="B36CB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A448D7"/>
    <w:multiLevelType w:val="hybridMultilevel"/>
    <w:tmpl w:val="562C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BF3261"/>
    <w:multiLevelType w:val="hybridMultilevel"/>
    <w:tmpl w:val="043A7C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93169C"/>
    <w:multiLevelType w:val="hybridMultilevel"/>
    <w:tmpl w:val="15F6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6D2BCF"/>
    <w:multiLevelType w:val="hybridMultilevel"/>
    <w:tmpl w:val="D6CCF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C21CD"/>
    <w:multiLevelType w:val="hybridMultilevel"/>
    <w:tmpl w:val="9B00C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351946"/>
    <w:multiLevelType w:val="hybridMultilevel"/>
    <w:tmpl w:val="6DD2ADFA"/>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3" w15:restartNumberingAfterBreak="0">
    <w:nsid w:val="43683E0D"/>
    <w:multiLevelType w:val="hybridMultilevel"/>
    <w:tmpl w:val="9B00C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852211"/>
    <w:multiLevelType w:val="hybridMultilevel"/>
    <w:tmpl w:val="57EC821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 w15:restartNumberingAfterBreak="0">
    <w:nsid w:val="4966063B"/>
    <w:multiLevelType w:val="hybridMultilevel"/>
    <w:tmpl w:val="CBD09F4C"/>
    <w:lvl w:ilvl="0" w:tplc="BD142314">
      <w:start w:val="1"/>
      <w:numFmt w:val="decimal"/>
      <w:lvlText w:val="%1."/>
      <w:lvlJc w:val="lef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4E0605F6"/>
    <w:multiLevelType w:val="hybridMultilevel"/>
    <w:tmpl w:val="C0AAC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CD605A"/>
    <w:multiLevelType w:val="hybridMultilevel"/>
    <w:tmpl w:val="9B00C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0F6FAE"/>
    <w:multiLevelType w:val="multilevel"/>
    <w:tmpl w:val="5EDA6094"/>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52CE63E9"/>
    <w:multiLevelType w:val="hybridMultilevel"/>
    <w:tmpl w:val="59408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B747A3"/>
    <w:multiLevelType w:val="hybridMultilevel"/>
    <w:tmpl w:val="0D9C65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97B6EDA"/>
    <w:multiLevelType w:val="hybridMultilevel"/>
    <w:tmpl w:val="D2A83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9A3787"/>
    <w:multiLevelType w:val="hybridMultilevel"/>
    <w:tmpl w:val="9B00C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303632"/>
    <w:multiLevelType w:val="hybridMultilevel"/>
    <w:tmpl w:val="9B00C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F020CF"/>
    <w:multiLevelType w:val="hybridMultilevel"/>
    <w:tmpl w:val="CBD09F4C"/>
    <w:lvl w:ilvl="0" w:tplc="BD142314">
      <w:start w:val="1"/>
      <w:numFmt w:val="decimal"/>
      <w:lvlText w:val="%1."/>
      <w:lvlJc w:val="lef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72F328CC"/>
    <w:multiLevelType w:val="hybridMultilevel"/>
    <w:tmpl w:val="50E86592"/>
    <w:lvl w:ilvl="0" w:tplc="95962F5C">
      <w:numFmt w:val="bullet"/>
      <w:lvlText w:val="-"/>
      <w:lvlJc w:val="left"/>
      <w:pPr>
        <w:ind w:left="360" w:hanging="360"/>
      </w:pPr>
      <w:rPr>
        <w:rFonts w:ascii="Calibri" w:eastAsia="Calibr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7C337FC7"/>
    <w:multiLevelType w:val="hybridMultilevel"/>
    <w:tmpl w:val="70584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2"/>
  </w:num>
  <w:num w:numId="3">
    <w:abstractNumId w:val="6"/>
  </w:num>
  <w:num w:numId="4">
    <w:abstractNumId w:val="21"/>
  </w:num>
  <w:num w:numId="5">
    <w:abstractNumId w:val="24"/>
  </w:num>
  <w:num w:numId="6">
    <w:abstractNumId w:val="15"/>
  </w:num>
  <w:num w:numId="7">
    <w:abstractNumId w:val="4"/>
  </w:num>
  <w:num w:numId="8">
    <w:abstractNumId w:val="3"/>
  </w:num>
  <w:num w:numId="9">
    <w:abstractNumId w:val="18"/>
  </w:num>
  <w:num w:numId="10">
    <w:abstractNumId w:val="23"/>
  </w:num>
  <w:num w:numId="11">
    <w:abstractNumId w:val="11"/>
  </w:num>
  <w:num w:numId="12">
    <w:abstractNumId w:val="7"/>
  </w:num>
  <w:num w:numId="13">
    <w:abstractNumId w:val="10"/>
  </w:num>
  <w:num w:numId="14">
    <w:abstractNumId w:val="9"/>
  </w:num>
  <w:num w:numId="15">
    <w:abstractNumId w:val="16"/>
  </w:num>
  <w:num w:numId="16">
    <w:abstractNumId w:val="22"/>
  </w:num>
  <w:num w:numId="17">
    <w:abstractNumId w:val="26"/>
  </w:num>
  <w:num w:numId="18">
    <w:abstractNumId w:val="0"/>
  </w:num>
  <w:num w:numId="19">
    <w:abstractNumId w:val="5"/>
  </w:num>
  <w:num w:numId="20">
    <w:abstractNumId w:val="12"/>
  </w:num>
  <w:num w:numId="21">
    <w:abstractNumId w:val="17"/>
  </w:num>
  <w:num w:numId="22">
    <w:abstractNumId w:val="13"/>
  </w:num>
  <w:num w:numId="23">
    <w:abstractNumId w:val="1"/>
  </w:num>
  <w:num w:numId="24">
    <w:abstractNumId w:val="25"/>
  </w:num>
  <w:num w:numId="25">
    <w:abstractNumId w:val="14"/>
  </w:num>
  <w:num w:numId="26">
    <w:abstractNumId w:val="8"/>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fswt02npwd52esazb5pr54wz9epasvpvef&quot;&gt;My EndNote Library&lt;record-ids&gt;&lt;item&gt;741&lt;/item&gt;&lt;item&gt;11606&lt;/item&gt;&lt;item&gt;11658&lt;/item&gt;&lt;item&gt;11662&lt;/item&gt;&lt;item&gt;11665&lt;/item&gt;&lt;item&gt;11668&lt;/item&gt;&lt;item&gt;11669&lt;/item&gt;&lt;item&gt;11712&lt;/item&gt;&lt;item&gt;11713&lt;/item&gt;&lt;item&gt;11714&lt;/item&gt;&lt;item&gt;11715&lt;/item&gt;&lt;item&gt;11716&lt;/item&gt;&lt;item&gt;11717&lt;/item&gt;&lt;item&gt;11718&lt;/item&gt;&lt;item&gt;11719&lt;/item&gt;&lt;item&gt;11775&lt;/item&gt;&lt;item&gt;11776&lt;/item&gt;&lt;item&gt;11777&lt;/item&gt;&lt;item&gt;11779&lt;/item&gt;&lt;item&gt;11780&lt;/item&gt;&lt;item&gt;11781&lt;/item&gt;&lt;item&gt;11782&lt;/item&gt;&lt;item&gt;11784&lt;/item&gt;&lt;/record-ids&gt;&lt;/item&gt;&lt;/Libraries&gt;"/>
  </w:docVars>
  <w:rsids>
    <w:rsidRoot w:val="0044715D"/>
    <w:rsid w:val="00002118"/>
    <w:rsid w:val="00004548"/>
    <w:rsid w:val="00014375"/>
    <w:rsid w:val="0001518C"/>
    <w:rsid w:val="00027DBA"/>
    <w:rsid w:val="0003068E"/>
    <w:rsid w:val="00031B8B"/>
    <w:rsid w:val="00032F32"/>
    <w:rsid w:val="00034E91"/>
    <w:rsid w:val="000375D7"/>
    <w:rsid w:val="00051BC0"/>
    <w:rsid w:val="000537EA"/>
    <w:rsid w:val="00054A7F"/>
    <w:rsid w:val="00057693"/>
    <w:rsid w:val="00063AC8"/>
    <w:rsid w:val="000649E7"/>
    <w:rsid w:val="00077A66"/>
    <w:rsid w:val="0008718C"/>
    <w:rsid w:val="0009424B"/>
    <w:rsid w:val="000A0FBA"/>
    <w:rsid w:val="000A6216"/>
    <w:rsid w:val="000A6582"/>
    <w:rsid w:val="000B08AA"/>
    <w:rsid w:val="000B0A85"/>
    <w:rsid w:val="000B519A"/>
    <w:rsid w:val="000B563A"/>
    <w:rsid w:val="000B7F71"/>
    <w:rsid w:val="000C14AA"/>
    <w:rsid w:val="000C1F1B"/>
    <w:rsid w:val="000C6919"/>
    <w:rsid w:val="000C7D8E"/>
    <w:rsid w:val="000C7E90"/>
    <w:rsid w:val="000D4BE9"/>
    <w:rsid w:val="000D4F0E"/>
    <w:rsid w:val="000E2760"/>
    <w:rsid w:val="000E3FCD"/>
    <w:rsid w:val="000E7E5C"/>
    <w:rsid w:val="000F052B"/>
    <w:rsid w:val="000F5B94"/>
    <w:rsid w:val="001014F2"/>
    <w:rsid w:val="0010260E"/>
    <w:rsid w:val="00115900"/>
    <w:rsid w:val="001172EB"/>
    <w:rsid w:val="0012278D"/>
    <w:rsid w:val="001266FF"/>
    <w:rsid w:val="00127195"/>
    <w:rsid w:val="001274B8"/>
    <w:rsid w:val="001371B6"/>
    <w:rsid w:val="00140952"/>
    <w:rsid w:val="00140BF2"/>
    <w:rsid w:val="0014169A"/>
    <w:rsid w:val="00141ED5"/>
    <w:rsid w:val="001455EC"/>
    <w:rsid w:val="001658A3"/>
    <w:rsid w:val="001809BD"/>
    <w:rsid w:val="00185859"/>
    <w:rsid w:val="00185A78"/>
    <w:rsid w:val="0018650E"/>
    <w:rsid w:val="0019075E"/>
    <w:rsid w:val="00191E53"/>
    <w:rsid w:val="00195502"/>
    <w:rsid w:val="00197879"/>
    <w:rsid w:val="001A3B3D"/>
    <w:rsid w:val="001B2446"/>
    <w:rsid w:val="001C06E6"/>
    <w:rsid w:val="001C0A59"/>
    <w:rsid w:val="001C5FB1"/>
    <w:rsid w:val="001C622E"/>
    <w:rsid w:val="001C74A3"/>
    <w:rsid w:val="001D13FA"/>
    <w:rsid w:val="001D753C"/>
    <w:rsid w:val="001E3393"/>
    <w:rsid w:val="001E612B"/>
    <w:rsid w:val="001E6CCE"/>
    <w:rsid w:val="001E7AAC"/>
    <w:rsid w:val="001F0153"/>
    <w:rsid w:val="001F2A5C"/>
    <w:rsid w:val="001F34C1"/>
    <w:rsid w:val="002002F7"/>
    <w:rsid w:val="00211AC1"/>
    <w:rsid w:val="00215C36"/>
    <w:rsid w:val="0021788F"/>
    <w:rsid w:val="0022187B"/>
    <w:rsid w:val="00222A1F"/>
    <w:rsid w:val="00226B4C"/>
    <w:rsid w:val="00233C12"/>
    <w:rsid w:val="002448F3"/>
    <w:rsid w:val="002537BD"/>
    <w:rsid w:val="0025456B"/>
    <w:rsid w:val="00257BB6"/>
    <w:rsid w:val="00266CA9"/>
    <w:rsid w:val="00276CAC"/>
    <w:rsid w:val="002777DE"/>
    <w:rsid w:val="00282B7B"/>
    <w:rsid w:val="002838D8"/>
    <w:rsid w:val="00291C42"/>
    <w:rsid w:val="00292DE9"/>
    <w:rsid w:val="002953EE"/>
    <w:rsid w:val="002A03CE"/>
    <w:rsid w:val="002A2AB5"/>
    <w:rsid w:val="002A4909"/>
    <w:rsid w:val="002A66BD"/>
    <w:rsid w:val="002B226C"/>
    <w:rsid w:val="002B3338"/>
    <w:rsid w:val="002C2B49"/>
    <w:rsid w:val="002D066E"/>
    <w:rsid w:val="002D45AB"/>
    <w:rsid w:val="002F417F"/>
    <w:rsid w:val="00303C94"/>
    <w:rsid w:val="003057B0"/>
    <w:rsid w:val="0032249E"/>
    <w:rsid w:val="00323621"/>
    <w:rsid w:val="003355C4"/>
    <w:rsid w:val="00335F37"/>
    <w:rsid w:val="003361FB"/>
    <w:rsid w:val="00344322"/>
    <w:rsid w:val="00344DE9"/>
    <w:rsid w:val="00353DE5"/>
    <w:rsid w:val="00361BA2"/>
    <w:rsid w:val="00362776"/>
    <w:rsid w:val="003642BC"/>
    <w:rsid w:val="00374562"/>
    <w:rsid w:val="00376AA0"/>
    <w:rsid w:val="00382875"/>
    <w:rsid w:val="00382F88"/>
    <w:rsid w:val="00383660"/>
    <w:rsid w:val="00383C0E"/>
    <w:rsid w:val="003870FB"/>
    <w:rsid w:val="0039040C"/>
    <w:rsid w:val="00391452"/>
    <w:rsid w:val="003917C9"/>
    <w:rsid w:val="003A0A00"/>
    <w:rsid w:val="003A18DB"/>
    <w:rsid w:val="003A2C6F"/>
    <w:rsid w:val="003B76BC"/>
    <w:rsid w:val="003C05FB"/>
    <w:rsid w:val="003C1CCC"/>
    <w:rsid w:val="003C3242"/>
    <w:rsid w:val="003C4C51"/>
    <w:rsid w:val="003C70F6"/>
    <w:rsid w:val="003D1802"/>
    <w:rsid w:val="003D3C30"/>
    <w:rsid w:val="003D699E"/>
    <w:rsid w:val="003E0382"/>
    <w:rsid w:val="003E3CE0"/>
    <w:rsid w:val="003E4145"/>
    <w:rsid w:val="003E7C49"/>
    <w:rsid w:val="003F47DF"/>
    <w:rsid w:val="003F4A76"/>
    <w:rsid w:val="003F617F"/>
    <w:rsid w:val="003F70CB"/>
    <w:rsid w:val="00400D78"/>
    <w:rsid w:val="004016D8"/>
    <w:rsid w:val="00403CE6"/>
    <w:rsid w:val="00411511"/>
    <w:rsid w:val="00413EAE"/>
    <w:rsid w:val="004154DE"/>
    <w:rsid w:val="004162C3"/>
    <w:rsid w:val="00416569"/>
    <w:rsid w:val="00417570"/>
    <w:rsid w:val="00423D26"/>
    <w:rsid w:val="0042483F"/>
    <w:rsid w:val="00425BF3"/>
    <w:rsid w:val="00434BCC"/>
    <w:rsid w:val="00435010"/>
    <w:rsid w:val="00435A48"/>
    <w:rsid w:val="00440228"/>
    <w:rsid w:val="00446127"/>
    <w:rsid w:val="004469B1"/>
    <w:rsid w:val="0044715D"/>
    <w:rsid w:val="00447AA1"/>
    <w:rsid w:val="00450D53"/>
    <w:rsid w:val="004546B5"/>
    <w:rsid w:val="00455645"/>
    <w:rsid w:val="0045708A"/>
    <w:rsid w:val="00462F99"/>
    <w:rsid w:val="00464DD7"/>
    <w:rsid w:val="00465DCB"/>
    <w:rsid w:val="00466F2A"/>
    <w:rsid w:val="00467A3A"/>
    <w:rsid w:val="00473AF9"/>
    <w:rsid w:val="00495C7D"/>
    <w:rsid w:val="004960DE"/>
    <w:rsid w:val="004A187C"/>
    <w:rsid w:val="004A1C71"/>
    <w:rsid w:val="004B3713"/>
    <w:rsid w:val="004B7A23"/>
    <w:rsid w:val="004C1FA9"/>
    <w:rsid w:val="004C31D9"/>
    <w:rsid w:val="004C461C"/>
    <w:rsid w:val="004C7244"/>
    <w:rsid w:val="004C762F"/>
    <w:rsid w:val="004C78E5"/>
    <w:rsid w:val="004D1D41"/>
    <w:rsid w:val="004D1EC4"/>
    <w:rsid w:val="004E2DC4"/>
    <w:rsid w:val="004F23DF"/>
    <w:rsid w:val="005072DF"/>
    <w:rsid w:val="00512156"/>
    <w:rsid w:val="00514333"/>
    <w:rsid w:val="00527157"/>
    <w:rsid w:val="005307BF"/>
    <w:rsid w:val="00531494"/>
    <w:rsid w:val="00543A25"/>
    <w:rsid w:val="00550251"/>
    <w:rsid w:val="00552368"/>
    <w:rsid w:val="00552A08"/>
    <w:rsid w:val="0055482E"/>
    <w:rsid w:val="0055606E"/>
    <w:rsid w:val="005610AE"/>
    <w:rsid w:val="00561A45"/>
    <w:rsid w:val="005640CC"/>
    <w:rsid w:val="00573F84"/>
    <w:rsid w:val="00580EC8"/>
    <w:rsid w:val="00584177"/>
    <w:rsid w:val="00587530"/>
    <w:rsid w:val="005A06EE"/>
    <w:rsid w:val="005A4005"/>
    <w:rsid w:val="005B1EBA"/>
    <w:rsid w:val="005B2CA2"/>
    <w:rsid w:val="005B58DD"/>
    <w:rsid w:val="005C57FB"/>
    <w:rsid w:val="005C7B58"/>
    <w:rsid w:val="005D40F2"/>
    <w:rsid w:val="005E2B7A"/>
    <w:rsid w:val="005E2B9C"/>
    <w:rsid w:val="005E53E0"/>
    <w:rsid w:val="005E5FFE"/>
    <w:rsid w:val="005F3054"/>
    <w:rsid w:val="005F4D2F"/>
    <w:rsid w:val="005F51CF"/>
    <w:rsid w:val="00601B6F"/>
    <w:rsid w:val="00615FD7"/>
    <w:rsid w:val="00616B40"/>
    <w:rsid w:val="0061724E"/>
    <w:rsid w:val="00624CEC"/>
    <w:rsid w:val="00627090"/>
    <w:rsid w:val="00627926"/>
    <w:rsid w:val="00627B5C"/>
    <w:rsid w:val="00631AE0"/>
    <w:rsid w:val="00634C41"/>
    <w:rsid w:val="00642D6C"/>
    <w:rsid w:val="00644920"/>
    <w:rsid w:val="00655327"/>
    <w:rsid w:val="00657EE6"/>
    <w:rsid w:val="00665B1E"/>
    <w:rsid w:val="0067566A"/>
    <w:rsid w:val="00682EC2"/>
    <w:rsid w:val="006923EF"/>
    <w:rsid w:val="00693430"/>
    <w:rsid w:val="006A3720"/>
    <w:rsid w:val="006A43AD"/>
    <w:rsid w:val="006A7770"/>
    <w:rsid w:val="006A77AD"/>
    <w:rsid w:val="006B07BC"/>
    <w:rsid w:val="006B3CFF"/>
    <w:rsid w:val="006B6204"/>
    <w:rsid w:val="006C1556"/>
    <w:rsid w:val="006C2FEB"/>
    <w:rsid w:val="006D1643"/>
    <w:rsid w:val="006D4EA1"/>
    <w:rsid w:val="006E31A6"/>
    <w:rsid w:val="006F4EA3"/>
    <w:rsid w:val="00701B16"/>
    <w:rsid w:val="007020A1"/>
    <w:rsid w:val="00710D27"/>
    <w:rsid w:val="00711B7D"/>
    <w:rsid w:val="007170A2"/>
    <w:rsid w:val="0072137F"/>
    <w:rsid w:val="00721A4C"/>
    <w:rsid w:val="007255D5"/>
    <w:rsid w:val="00734F81"/>
    <w:rsid w:val="0073757B"/>
    <w:rsid w:val="0073794B"/>
    <w:rsid w:val="00747F80"/>
    <w:rsid w:val="00751006"/>
    <w:rsid w:val="00752491"/>
    <w:rsid w:val="00756EA8"/>
    <w:rsid w:val="00765A71"/>
    <w:rsid w:val="00773DCA"/>
    <w:rsid w:val="00786273"/>
    <w:rsid w:val="007921C5"/>
    <w:rsid w:val="00796416"/>
    <w:rsid w:val="007A77E8"/>
    <w:rsid w:val="007B7DFC"/>
    <w:rsid w:val="007C22E0"/>
    <w:rsid w:val="007D2B00"/>
    <w:rsid w:val="007D5BE7"/>
    <w:rsid w:val="007D7818"/>
    <w:rsid w:val="007E0A2D"/>
    <w:rsid w:val="007E1C98"/>
    <w:rsid w:val="007E260A"/>
    <w:rsid w:val="007E420D"/>
    <w:rsid w:val="007E6FCE"/>
    <w:rsid w:val="007E7E23"/>
    <w:rsid w:val="007F4E20"/>
    <w:rsid w:val="007F6004"/>
    <w:rsid w:val="0080244F"/>
    <w:rsid w:val="00804A3D"/>
    <w:rsid w:val="008124C2"/>
    <w:rsid w:val="00812B28"/>
    <w:rsid w:val="00815220"/>
    <w:rsid w:val="00816619"/>
    <w:rsid w:val="00831CA9"/>
    <w:rsid w:val="00832376"/>
    <w:rsid w:val="008425D2"/>
    <w:rsid w:val="008556A7"/>
    <w:rsid w:val="00855909"/>
    <w:rsid w:val="00861F61"/>
    <w:rsid w:val="00864091"/>
    <w:rsid w:val="0086640E"/>
    <w:rsid w:val="00870120"/>
    <w:rsid w:val="00870245"/>
    <w:rsid w:val="008706D6"/>
    <w:rsid w:val="00873FC1"/>
    <w:rsid w:val="00874BA7"/>
    <w:rsid w:val="008757BF"/>
    <w:rsid w:val="00875C4E"/>
    <w:rsid w:val="00881F6B"/>
    <w:rsid w:val="00885423"/>
    <w:rsid w:val="008868A1"/>
    <w:rsid w:val="00895BCC"/>
    <w:rsid w:val="008961E9"/>
    <w:rsid w:val="00896845"/>
    <w:rsid w:val="008A025F"/>
    <w:rsid w:val="008A13A0"/>
    <w:rsid w:val="008A5364"/>
    <w:rsid w:val="008B2267"/>
    <w:rsid w:val="008B3499"/>
    <w:rsid w:val="008B4170"/>
    <w:rsid w:val="008C3E5E"/>
    <w:rsid w:val="008D06A2"/>
    <w:rsid w:val="008D24BA"/>
    <w:rsid w:val="008D3437"/>
    <w:rsid w:val="008D38F5"/>
    <w:rsid w:val="008D4CEA"/>
    <w:rsid w:val="008D522A"/>
    <w:rsid w:val="008F2EA6"/>
    <w:rsid w:val="008F5AFF"/>
    <w:rsid w:val="008F68B6"/>
    <w:rsid w:val="008F6DA1"/>
    <w:rsid w:val="00901DBA"/>
    <w:rsid w:val="00906C95"/>
    <w:rsid w:val="00915AAE"/>
    <w:rsid w:val="00917952"/>
    <w:rsid w:val="00925F1E"/>
    <w:rsid w:val="00926816"/>
    <w:rsid w:val="0093658F"/>
    <w:rsid w:val="009413F4"/>
    <w:rsid w:val="009435BD"/>
    <w:rsid w:val="009460FB"/>
    <w:rsid w:val="00953ED7"/>
    <w:rsid w:val="00956963"/>
    <w:rsid w:val="009614AC"/>
    <w:rsid w:val="009631E2"/>
    <w:rsid w:val="00977F61"/>
    <w:rsid w:val="009805A2"/>
    <w:rsid w:val="00980C7F"/>
    <w:rsid w:val="0098132F"/>
    <w:rsid w:val="00986395"/>
    <w:rsid w:val="009A0453"/>
    <w:rsid w:val="009B0EBF"/>
    <w:rsid w:val="009B2FA4"/>
    <w:rsid w:val="009D1151"/>
    <w:rsid w:val="009D1399"/>
    <w:rsid w:val="009D40E8"/>
    <w:rsid w:val="009D6757"/>
    <w:rsid w:val="009E4C70"/>
    <w:rsid w:val="009E4FB3"/>
    <w:rsid w:val="009E5295"/>
    <w:rsid w:val="009F1AEE"/>
    <w:rsid w:val="009F56EB"/>
    <w:rsid w:val="009F6A67"/>
    <w:rsid w:val="009F7299"/>
    <w:rsid w:val="009F744B"/>
    <w:rsid w:val="00A02F75"/>
    <w:rsid w:val="00A047B7"/>
    <w:rsid w:val="00A05094"/>
    <w:rsid w:val="00A12424"/>
    <w:rsid w:val="00A14A80"/>
    <w:rsid w:val="00A156A6"/>
    <w:rsid w:val="00A15F37"/>
    <w:rsid w:val="00A2247F"/>
    <w:rsid w:val="00A273F3"/>
    <w:rsid w:val="00A30B63"/>
    <w:rsid w:val="00A42401"/>
    <w:rsid w:val="00A559AE"/>
    <w:rsid w:val="00A601AC"/>
    <w:rsid w:val="00A627D4"/>
    <w:rsid w:val="00A62803"/>
    <w:rsid w:val="00A658C3"/>
    <w:rsid w:val="00A67EB8"/>
    <w:rsid w:val="00A7182D"/>
    <w:rsid w:val="00A77073"/>
    <w:rsid w:val="00A813E9"/>
    <w:rsid w:val="00A84A56"/>
    <w:rsid w:val="00A87F5A"/>
    <w:rsid w:val="00A9085D"/>
    <w:rsid w:val="00A91851"/>
    <w:rsid w:val="00A958FE"/>
    <w:rsid w:val="00A97467"/>
    <w:rsid w:val="00AA1A05"/>
    <w:rsid w:val="00AA2B5E"/>
    <w:rsid w:val="00AB196E"/>
    <w:rsid w:val="00AB1F47"/>
    <w:rsid w:val="00AB3E46"/>
    <w:rsid w:val="00AB79A8"/>
    <w:rsid w:val="00AC24BC"/>
    <w:rsid w:val="00AC463D"/>
    <w:rsid w:val="00AD324E"/>
    <w:rsid w:val="00AD594B"/>
    <w:rsid w:val="00AD7DF8"/>
    <w:rsid w:val="00AF1053"/>
    <w:rsid w:val="00B028CF"/>
    <w:rsid w:val="00B03970"/>
    <w:rsid w:val="00B0479C"/>
    <w:rsid w:val="00B0496C"/>
    <w:rsid w:val="00B13BEA"/>
    <w:rsid w:val="00B17309"/>
    <w:rsid w:val="00B2043A"/>
    <w:rsid w:val="00B22310"/>
    <w:rsid w:val="00B33103"/>
    <w:rsid w:val="00B3635A"/>
    <w:rsid w:val="00B36562"/>
    <w:rsid w:val="00B36FA6"/>
    <w:rsid w:val="00B43A3C"/>
    <w:rsid w:val="00B45971"/>
    <w:rsid w:val="00B46A0A"/>
    <w:rsid w:val="00B5141D"/>
    <w:rsid w:val="00B52025"/>
    <w:rsid w:val="00B52892"/>
    <w:rsid w:val="00B664CD"/>
    <w:rsid w:val="00B710E2"/>
    <w:rsid w:val="00B74B4D"/>
    <w:rsid w:val="00B777CB"/>
    <w:rsid w:val="00B83C0D"/>
    <w:rsid w:val="00B83E7B"/>
    <w:rsid w:val="00B85D39"/>
    <w:rsid w:val="00B91B1D"/>
    <w:rsid w:val="00B93EC7"/>
    <w:rsid w:val="00BA1B1F"/>
    <w:rsid w:val="00BA1B6A"/>
    <w:rsid w:val="00BA46D6"/>
    <w:rsid w:val="00BA63AA"/>
    <w:rsid w:val="00BB2F4F"/>
    <w:rsid w:val="00BB3F72"/>
    <w:rsid w:val="00BB445E"/>
    <w:rsid w:val="00BB5EA2"/>
    <w:rsid w:val="00BB68ED"/>
    <w:rsid w:val="00BC6DB3"/>
    <w:rsid w:val="00BD7C93"/>
    <w:rsid w:val="00BF0835"/>
    <w:rsid w:val="00BF26D5"/>
    <w:rsid w:val="00BF3BC3"/>
    <w:rsid w:val="00C00999"/>
    <w:rsid w:val="00C264A3"/>
    <w:rsid w:val="00C275C5"/>
    <w:rsid w:val="00C411F8"/>
    <w:rsid w:val="00C42473"/>
    <w:rsid w:val="00C504CD"/>
    <w:rsid w:val="00C53247"/>
    <w:rsid w:val="00C54C7A"/>
    <w:rsid w:val="00C576F9"/>
    <w:rsid w:val="00C61965"/>
    <w:rsid w:val="00C63A94"/>
    <w:rsid w:val="00C644C9"/>
    <w:rsid w:val="00C66D27"/>
    <w:rsid w:val="00C70ACD"/>
    <w:rsid w:val="00C754A0"/>
    <w:rsid w:val="00C77FEC"/>
    <w:rsid w:val="00C82D20"/>
    <w:rsid w:val="00C8300A"/>
    <w:rsid w:val="00C852E8"/>
    <w:rsid w:val="00C938B3"/>
    <w:rsid w:val="00C953E6"/>
    <w:rsid w:val="00C9630A"/>
    <w:rsid w:val="00CA447A"/>
    <w:rsid w:val="00CA5DD6"/>
    <w:rsid w:val="00CB2475"/>
    <w:rsid w:val="00CC60B0"/>
    <w:rsid w:val="00CE0D77"/>
    <w:rsid w:val="00CE2FCC"/>
    <w:rsid w:val="00CE7E23"/>
    <w:rsid w:val="00CF2873"/>
    <w:rsid w:val="00CF3D01"/>
    <w:rsid w:val="00D06A60"/>
    <w:rsid w:val="00D07710"/>
    <w:rsid w:val="00D134B6"/>
    <w:rsid w:val="00D15483"/>
    <w:rsid w:val="00D17FFE"/>
    <w:rsid w:val="00D20154"/>
    <w:rsid w:val="00D21D1E"/>
    <w:rsid w:val="00D23C22"/>
    <w:rsid w:val="00D26848"/>
    <w:rsid w:val="00D27AFD"/>
    <w:rsid w:val="00D31946"/>
    <w:rsid w:val="00D32EA3"/>
    <w:rsid w:val="00D34F47"/>
    <w:rsid w:val="00D463DE"/>
    <w:rsid w:val="00D46C89"/>
    <w:rsid w:val="00D55BD0"/>
    <w:rsid w:val="00D6296B"/>
    <w:rsid w:val="00D63971"/>
    <w:rsid w:val="00D64A29"/>
    <w:rsid w:val="00D651F8"/>
    <w:rsid w:val="00D74DC5"/>
    <w:rsid w:val="00D7791B"/>
    <w:rsid w:val="00D81E7C"/>
    <w:rsid w:val="00D85CC0"/>
    <w:rsid w:val="00D91115"/>
    <w:rsid w:val="00D946A0"/>
    <w:rsid w:val="00DA5103"/>
    <w:rsid w:val="00DB3CD9"/>
    <w:rsid w:val="00DB6687"/>
    <w:rsid w:val="00DC5104"/>
    <w:rsid w:val="00DD339A"/>
    <w:rsid w:val="00DD456A"/>
    <w:rsid w:val="00DD55FD"/>
    <w:rsid w:val="00DD66EE"/>
    <w:rsid w:val="00DD7762"/>
    <w:rsid w:val="00DE3D6C"/>
    <w:rsid w:val="00DE7839"/>
    <w:rsid w:val="00DF1A20"/>
    <w:rsid w:val="00DF57B7"/>
    <w:rsid w:val="00DF6868"/>
    <w:rsid w:val="00DF79B2"/>
    <w:rsid w:val="00E11B00"/>
    <w:rsid w:val="00E11E72"/>
    <w:rsid w:val="00E2408C"/>
    <w:rsid w:val="00E33D06"/>
    <w:rsid w:val="00E364F7"/>
    <w:rsid w:val="00E46B27"/>
    <w:rsid w:val="00E46C0B"/>
    <w:rsid w:val="00E56F3C"/>
    <w:rsid w:val="00E7009B"/>
    <w:rsid w:val="00E74C0F"/>
    <w:rsid w:val="00E77F5A"/>
    <w:rsid w:val="00E83EA4"/>
    <w:rsid w:val="00E8649A"/>
    <w:rsid w:val="00E90420"/>
    <w:rsid w:val="00E915EF"/>
    <w:rsid w:val="00E93DA8"/>
    <w:rsid w:val="00E968F6"/>
    <w:rsid w:val="00EA0400"/>
    <w:rsid w:val="00EA1C2D"/>
    <w:rsid w:val="00EA393A"/>
    <w:rsid w:val="00EA650B"/>
    <w:rsid w:val="00EA772D"/>
    <w:rsid w:val="00EC11AB"/>
    <w:rsid w:val="00EC6DF6"/>
    <w:rsid w:val="00ED1A22"/>
    <w:rsid w:val="00ED5F39"/>
    <w:rsid w:val="00ED68D2"/>
    <w:rsid w:val="00ED70F9"/>
    <w:rsid w:val="00EE050B"/>
    <w:rsid w:val="00EE37CF"/>
    <w:rsid w:val="00EE3875"/>
    <w:rsid w:val="00EE634D"/>
    <w:rsid w:val="00EE6EA9"/>
    <w:rsid w:val="00EE7A1F"/>
    <w:rsid w:val="00EF13E8"/>
    <w:rsid w:val="00EF6479"/>
    <w:rsid w:val="00F0186F"/>
    <w:rsid w:val="00F02AF2"/>
    <w:rsid w:val="00F06036"/>
    <w:rsid w:val="00F11E4A"/>
    <w:rsid w:val="00F12E59"/>
    <w:rsid w:val="00F162A4"/>
    <w:rsid w:val="00F16743"/>
    <w:rsid w:val="00F2468B"/>
    <w:rsid w:val="00F27140"/>
    <w:rsid w:val="00F314B4"/>
    <w:rsid w:val="00F34437"/>
    <w:rsid w:val="00F4622B"/>
    <w:rsid w:val="00F64E40"/>
    <w:rsid w:val="00F66C65"/>
    <w:rsid w:val="00F73C25"/>
    <w:rsid w:val="00F9418F"/>
    <w:rsid w:val="00F95D88"/>
    <w:rsid w:val="00FA04B1"/>
    <w:rsid w:val="00FA0572"/>
    <w:rsid w:val="00FA1843"/>
    <w:rsid w:val="00FA36C7"/>
    <w:rsid w:val="00FA522E"/>
    <w:rsid w:val="00FB1015"/>
    <w:rsid w:val="00FB3D82"/>
    <w:rsid w:val="00FB4287"/>
    <w:rsid w:val="00FB617B"/>
    <w:rsid w:val="00FC003D"/>
    <w:rsid w:val="00FC0E8D"/>
    <w:rsid w:val="00FC1F3E"/>
    <w:rsid w:val="00FC3F20"/>
    <w:rsid w:val="00FC752E"/>
    <w:rsid w:val="00FD074E"/>
    <w:rsid w:val="00FD1681"/>
    <w:rsid w:val="00FE2EDC"/>
    <w:rsid w:val="00FE6685"/>
    <w:rsid w:val="00FF4E42"/>
    <w:rsid w:val="00FF53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712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41D"/>
    <w:rPr>
      <w:rFonts w:ascii="Calibri" w:eastAsia="Calibri" w:hAnsi="Calibri" w:cs="Times New Roman"/>
      <w:sz w:val="22"/>
    </w:rPr>
  </w:style>
  <w:style w:type="paragraph" w:styleId="Heading1">
    <w:name w:val="heading 1"/>
    <w:basedOn w:val="Normal"/>
    <w:next w:val="Normal"/>
    <w:link w:val="Heading1Char"/>
    <w:uiPriority w:val="9"/>
    <w:qFormat/>
    <w:rsid w:val="00C63A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44715D"/>
    <w:pPr>
      <w:keepNext/>
      <w:keepLines/>
      <w:spacing w:before="120" w:after="120"/>
      <w:outlineLvl w:val="1"/>
    </w:pPr>
    <w:rPr>
      <w:rFonts w:eastAsia="MS Gothic"/>
      <w:b/>
      <w:bCs/>
      <w:i/>
      <w:szCs w:val="26"/>
      <w:u w:val="single"/>
    </w:rPr>
  </w:style>
  <w:style w:type="paragraph" w:styleId="Heading3">
    <w:name w:val="heading 3"/>
    <w:basedOn w:val="Normal"/>
    <w:next w:val="Normal"/>
    <w:link w:val="Heading3Char"/>
    <w:uiPriority w:val="9"/>
    <w:unhideWhenUsed/>
    <w:qFormat/>
    <w:rsid w:val="009E4F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715D"/>
    <w:rPr>
      <w:rFonts w:ascii="Calibri" w:eastAsia="MS Gothic" w:hAnsi="Calibri" w:cs="Times New Roman"/>
      <w:b/>
      <w:bCs/>
      <w:i/>
      <w:sz w:val="22"/>
      <w:szCs w:val="26"/>
      <w:u w:val="single"/>
    </w:rPr>
  </w:style>
  <w:style w:type="paragraph" w:styleId="ListParagraph">
    <w:name w:val="List Paragraph"/>
    <w:basedOn w:val="Normal"/>
    <w:uiPriority w:val="34"/>
    <w:qFormat/>
    <w:rsid w:val="0044715D"/>
    <w:pPr>
      <w:ind w:left="720"/>
      <w:contextualSpacing/>
    </w:p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link w:val="CaptionChar"/>
    <w:uiPriority w:val="99"/>
    <w:qFormat/>
    <w:rsid w:val="0044715D"/>
    <w:pPr>
      <w:keepNext/>
      <w:spacing w:after="40" w:line="240" w:lineRule="auto"/>
      <w:ind w:left="709" w:hanging="709"/>
    </w:pPr>
    <w:rPr>
      <w:rFonts w:ascii="Arial Narrow" w:eastAsia="Times New Roman" w:hAnsi="Arial Narrow" w:cs="Tahoma"/>
      <w:b/>
      <w:sz w:val="20"/>
      <w:szCs w:val="20"/>
      <w:lang w:val="en-GB" w:eastAsia="ja-JP"/>
    </w:rPr>
  </w:style>
  <w:style w:type="character" w:styleId="Hyperlink">
    <w:name w:val="Hyperlink"/>
    <w:basedOn w:val="DefaultParagraphFont"/>
    <w:uiPriority w:val="99"/>
    <w:rsid w:val="0044715D"/>
    <w:rPr>
      <w:rFonts w:cs="Times New Roman"/>
      <w:color w:val="0000FF"/>
      <w:u w:val="single"/>
    </w:rPr>
  </w:style>
  <w:style w:type="paragraph" w:styleId="BalloonText">
    <w:name w:val="Balloon Text"/>
    <w:basedOn w:val="Normal"/>
    <w:link w:val="BalloonTextChar"/>
    <w:uiPriority w:val="99"/>
    <w:semiHidden/>
    <w:unhideWhenUsed/>
    <w:rsid w:val="00447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5D"/>
    <w:rPr>
      <w:rFonts w:ascii="Tahoma" w:eastAsia="Calibri" w:hAnsi="Tahoma" w:cs="Tahoma"/>
      <w:sz w:val="16"/>
      <w:szCs w:val="16"/>
    </w:rPr>
  </w:style>
  <w:style w:type="paragraph" w:customStyle="1" w:styleId="Heading10">
    <w:name w:val="Heading1"/>
    <w:rsid w:val="0044715D"/>
    <w:pPr>
      <w:spacing w:line="240" w:lineRule="auto"/>
    </w:pPr>
    <w:rPr>
      <w:rFonts w:ascii="Calibri" w:eastAsia="Calibri" w:hAnsi="Calibri" w:cs="Calibri"/>
      <w:b/>
      <w:bCs/>
      <w:color w:val="000000"/>
      <w:sz w:val="36"/>
      <w:szCs w:val="36"/>
      <w:u w:color="000000"/>
      <w:lang w:val="en-US" w:eastAsia="en-AU"/>
    </w:rPr>
  </w:style>
  <w:style w:type="character" w:styleId="CommentReference">
    <w:name w:val="annotation reference"/>
    <w:basedOn w:val="DefaultParagraphFont"/>
    <w:uiPriority w:val="99"/>
    <w:semiHidden/>
    <w:unhideWhenUsed/>
    <w:rsid w:val="00E46C0B"/>
    <w:rPr>
      <w:sz w:val="16"/>
      <w:szCs w:val="16"/>
    </w:rPr>
  </w:style>
  <w:style w:type="paragraph" w:styleId="CommentText">
    <w:name w:val="annotation text"/>
    <w:basedOn w:val="Normal"/>
    <w:link w:val="CommentTextChar"/>
    <w:uiPriority w:val="99"/>
    <w:unhideWhenUsed/>
    <w:rsid w:val="00E46C0B"/>
    <w:pPr>
      <w:spacing w:line="240" w:lineRule="auto"/>
    </w:pPr>
    <w:rPr>
      <w:sz w:val="20"/>
      <w:szCs w:val="20"/>
    </w:rPr>
  </w:style>
  <w:style w:type="character" w:customStyle="1" w:styleId="CommentTextChar">
    <w:name w:val="Comment Text Char"/>
    <w:basedOn w:val="DefaultParagraphFont"/>
    <w:link w:val="CommentText"/>
    <w:uiPriority w:val="99"/>
    <w:rsid w:val="00E46C0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46C0B"/>
    <w:rPr>
      <w:b/>
      <w:bCs/>
    </w:rPr>
  </w:style>
  <w:style w:type="character" w:customStyle="1" w:styleId="CommentSubjectChar">
    <w:name w:val="Comment Subject Char"/>
    <w:basedOn w:val="CommentTextChar"/>
    <w:link w:val="CommentSubject"/>
    <w:uiPriority w:val="99"/>
    <w:semiHidden/>
    <w:rsid w:val="00E46C0B"/>
    <w:rPr>
      <w:rFonts w:ascii="Calibri" w:eastAsia="Calibri" w:hAnsi="Calibri" w:cs="Times New Roman"/>
      <w:b/>
      <w:bCs/>
      <w:sz w:val="20"/>
      <w:szCs w:val="20"/>
    </w:rPr>
  </w:style>
  <w:style w:type="paragraph" w:styleId="Header">
    <w:name w:val="header"/>
    <w:basedOn w:val="Normal"/>
    <w:link w:val="HeaderChar"/>
    <w:uiPriority w:val="99"/>
    <w:unhideWhenUsed/>
    <w:rsid w:val="003D6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99E"/>
    <w:rPr>
      <w:rFonts w:ascii="Calibri" w:eastAsia="Calibri" w:hAnsi="Calibri" w:cs="Times New Roman"/>
      <w:sz w:val="22"/>
    </w:rPr>
  </w:style>
  <w:style w:type="paragraph" w:styleId="Footer">
    <w:name w:val="footer"/>
    <w:basedOn w:val="Normal"/>
    <w:link w:val="FooterChar"/>
    <w:uiPriority w:val="99"/>
    <w:unhideWhenUsed/>
    <w:rsid w:val="003D6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99E"/>
    <w:rPr>
      <w:rFonts w:ascii="Calibri" w:eastAsia="Calibri" w:hAnsi="Calibri" w:cs="Times New Roman"/>
      <w:sz w:val="22"/>
    </w:rPr>
  </w:style>
  <w:style w:type="paragraph" w:styleId="Subtitle">
    <w:name w:val="Subtitle"/>
    <w:basedOn w:val="Normal"/>
    <w:next w:val="Normal"/>
    <w:link w:val="SubtitleChar"/>
    <w:uiPriority w:val="11"/>
    <w:qFormat/>
    <w:rsid w:val="00FA522E"/>
    <w:pPr>
      <w:numPr>
        <w:ilvl w:val="1"/>
      </w:numPr>
      <w:spacing w:after="360" w:line="240" w:lineRule="auto"/>
    </w:pPr>
    <w:rPr>
      <w:rFonts w:eastAsiaTheme="majorEastAsia" w:cstheme="majorBidi"/>
      <w:b/>
      <w:bCs/>
      <w:sz w:val="36"/>
      <w:szCs w:val="36"/>
      <w:lang w:bidi="hi-IN"/>
    </w:rPr>
  </w:style>
  <w:style w:type="character" w:customStyle="1" w:styleId="SubtitleChar">
    <w:name w:val="Subtitle Char"/>
    <w:basedOn w:val="DefaultParagraphFont"/>
    <w:link w:val="Subtitle"/>
    <w:uiPriority w:val="11"/>
    <w:rsid w:val="00FA522E"/>
    <w:rPr>
      <w:rFonts w:ascii="Calibri" w:eastAsiaTheme="majorEastAsia" w:hAnsi="Calibri" w:cstheme="majorBidi"/>
      <w:b/>
      <w:bCs/>
      <w:sz w:val="36"/>
      <w:szCs w:val="36"/>
      <w:lang w:bidi="hi-IN"/>
    </w:rPr>
  </w:style>
  <w:style w:type="character" w:styleId="FollowedHyperlink">
    <w:name w:val="FollowedHyperlink"/>
    <w:basedOn w:val="DefaultParagraphFont"/>
    <w:uiPriority w:val="99"/>
    <w:semiHidden/>
    <w:unhideWhenUsed/>
    <w:rsid w:val="005E5FFE"/>
    <w:rPr>
      <w:color w:val="800080" w:themeColor="followedHyperlink"/>
      <w:u w:val="single"/>
    </w:rPr>
  </w:style>
  <w:style w:type="table" w:styleId="TableGrid">
    <w:name w:val="Table Grid"/>
    <w:basedOn w:val="TableNormal"/>
    <w:uiPriority w:val="59"/>
    <w:rsid w:val="008C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63A94"/>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C63A94"/>
    <w:pPr>
      <w:spacing w:after="240" w:line="240" w:lineRule="auto"/>
      <w:ind w:left="720"/>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Title"/>
    <w:basedOn w:val="Normal"/>
    <w:rsid w:val="00EE7A1F"/>
    <w:pPr>
      <w:spacing w:after="240" w:line="240" w:lineRule="auto"/>
      <w:ind w:left="720"/>
      <w:jc w:val="right"/>
    </w:pPr>
    <w:rPr>
      <w:rFonts w:ascii="Arial" w:eastAsia="Times New Roman" w:hAnsi="Arial"/>
      <w:b/>
      <w:color w:val="000000"/>
      <w:sz w:val="40"/>
      <w:szCs w:val="20"/>
      <w:lang w:eastAsia="en-AU"/>
    </w:rPr>
  </w:style>
  <w:style w:type="paragraph" w:customStyle="1" w:styleId="EndNoteBibliographyTitle">
    <w:name w:val="EndNote Bibliography Title"/>
    <w:basedOn w:val="Normal"/>
    <w:link w:val="EndNoteBibliographyTitleChar"/>
    <w:rsid w:val="00F27140"/>
    <w:pPr>
      <w:spacing w:after="0"/>
      <w:jc w:val="center"/>
    </w:pPr>
    <w:rPr>
      <w:rFonts w:cs="Calibri"/>
      <w:lang w:val="en-US"/>
    </w:r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basedOn w:val="DefaultParagraphFont"/>
    <w:link w:val="Caption"/>
    <w:uiPriority w:val="99"/>
    <w:rsid w:val="00F27140"/>
    <w:rPr>
      <w:rFonts w:ascii="Arial Narrow" w:eastAsia="Times New Roman" w:hAnsi="Arial Narrow" w:cs="Tahoma"/>
      <w:b/>
      <w:sz w:val="20"/>
      <w:szCs w:val="20"/>
      <w:lang w:val="en-GB" w:eastAsia="ja-JP"/>
    </w:rPr>
  </w:style>
  <w:style w:type="character" w:customStyle="1" w:styleId="EndNoteBibliographyTitleChar">
    <w:name w:val="EndNote Bibliography Title Char"/>
    <w:basedOn w:val="CaptionChar"/>
    <w:link w:val="EndNoteBibliographyTitle"/>
    <w:rsid w:val="00F27140"/>
    <w:rPr>
      <w:rFonts w:ascii="Calibri" w:eastAsia="Calibri" w:hAnsi="Calibri" w:cs="Calibri"/>
      <w:b w:val="0"/>
      <w:sz w:val="22"/>
      <w:szCs w:val="20"/>
      <w:lang w:val="en-US" w:eastAsia="ja-JP"/>
    </w:rPr>
  </w:style>
  <w:style w:type="paragraph" w:customStyle="1" w:styleId="EndNoteBibliography">
    <w:name w:val="EndNote Bibliography"/>
    <w:basedOn w:val="Normal"/>
    <w:link w:val="EndNoteBibliographyChar"/>
    <w:rsid w:val="00F27140"/>
    <w:pPr>
      <w:spacing w:line="240" w:lineRule="auto"/>
    </w:pPr>
    <w:rPr>
      <w:rFonts w:cs="Calibri"/>
      <w:lang w:val="en-US"/>
    </w:rPr>
  </w:style>
  <w:style w:type="character" w:customStyle="1" w:styleId="EndNoteBibliographyChar">
    <w:name w:val="EndNote Bibliography Char"/>
    <w:basedOn w:val="CaptionChar"/>
    <w:link w:val="EndNoteBibliography"/>
    <w:rsid w:val="00F27140"/>
    <w:rPr>
      <w:rFonts w:ascii="Calibri" w:eastAsia="Calibri" w:hAnsi="Calibri" w:cs="Calibri"/>
      <w:b w:val="0"/>
      <w:sz w:val="22"/>
      <w:szCs w:val="20"/>
      <w:lang w:val="en-US" w:eastAsia="ja-JP"/>
    </w:rPr>
  </w:style>
  <w:style w:type="paragraph" w:customStyle="1" w:styleId="Default">
    <w:name w:val="Default"/>
    <w:rsid w:val="00B5141D"/>
    <w:pPr>
      <w:autoSpaceDE w:val="0"/>
      <w:autoSpaceDN w:val="0"/>
      <w:adjustRightInd w:val="0"/>
      <w:spacing w:after="0" w:line="240" w:lineRule="auto"/>
    </w:pPr>
    <w:rPr>
      <w:rFonts w:ascii="Calibri" w:hAnsi="Calibri" w:cs="Calibri"/>
      <w:color w:val="000000"/>
      <w:szCs w:val="24"/>
      <w:lang w:val="en-US"/>
    </w:rPr>
  </w:style>
  <w:style w:type="character" w:customStyle="1" w:styleId="UnresolvedMention1">
    <w:name w:val="Unresolved Mention1"/>
    <w:basedOn w:val="DefaultParagraphFont"/>
    <w:uiPriority w:val="99"/>
    <w:semiHidden/>
    <w:unhideWhenUsed/>
    <w:rsid w:val="003C70F6"/>
    <w:rPr>
      <w:color w:val="605E5C"/>
      <w:shd w:val="clear" w:color="auto" w:fill="E1DFDD"/>
    </w:rPr>
  </w:style>
  <w:style w:type="paragraph" w:styleId="ListBullet">
    <w:name w:val="List Bullet"/>
    <w:basedOn w:val="Normal"/>
    <w:uiPriority w:val="99"/>
    <w:unhideWhenUsed/>
    <w:rsid w:val="007E420D"/>
    <w:pPr>
      <w:numPr>
        <w:numId w:val="18"/>
      </w:numPr>
      <w:contextualSpacing/>
    </w:pPr>
  </w:style>
  <w:style w:type="paragraph" w:styleId="EndnoteText">
    <w:name w:val="endnote text"/>
    <w:basedOn w:val="Normal"/>
    <w:link w:val="EndnoteTextChar"/>
    <w:uiPriority w:val="99"/>
    <w:semiHidden/>
    <w:unhideWhenUsed/>
    <w:rsid w:val="00434B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34BCC"/>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434BCC"/>
    <w:rPr>
      <w:vertAlign w:val="superscript"/>
    </w:rPr>
  </w:style>
  <w:style w:type="paragraph" w:customStyle="1" w:styleId="ChartText">
    <w:name w:val="Chart Text"/>
    <w:basedOn w:val="Normal"/>
    <w:link w:val="ChartTextChar"/>
    <w:uiPriority w:val="23"/>
    <w:rsid w:val="00344322"/>
    <w:pPr>
      <w:keepLines/>
      <w:spacing w:after="0" w:line="200" w:lineRule="atLeast"/>
    </w:pPr>
    <w:rPr>
      <w:rFonts w:ascii="Franklin Gothic Medium" w:eastAsia="Times New Roman" w:hAnsi="Franklin Gothic Medium"/>
      <w:sz w:val="16"/>
      <w:szCs w:val="18"/>
    </w:rPr>
  </w:style>
  <w:style w:type="character" w:customStyle="1" w:styleId="ChartTextChar">
    <w:name w:val="Chart Text Char"/>
    <w:link w:val="ChartText"/>
    <w:uiPriority w:val="23"/>
    <w:rsid w:val="00344322"/>
    <w:rPr>
      <w:rFonts w:ascii="Franklin Gothic Medium" w:eastAsia="Times New Roman" w:hAnsi="Franklin Gothic Medium" w:cs="Times New Roman"/>
      <w:sz w:val="16"/>
      <w:szCs w:val="18"/>
    </w:rPr>
  </w:style>
  <w:style w:type="paragraph" w:customStyle="1" w:styleId="Note">
    <w:name w:val="Note"/>
    <w:basedOn w:val="Normal"/>
    <w:next w:val="Source"/>
    <w:link w:val="NoteCharChar"/>
    <w:uiPriority w:val="15"/>
    <w:rsid w:val="00344322"/>
    <w:pPr>
      <w:keepLines/>
      <w:spacing w:before="40" w:after="0" w:line="180" w:lineRule="atLeast"/>
    </w:pPr>
    <w:rPr>
      <w:rFonts w:ascii="Franklin Gothic Book" w:eastAsia="Times New Roman" w:hAnsi="Franklin Gothic Book"/>
      <w:sz w:val="14"/>
      <w:szCs w:val="16"/>
    </w:rPr>
  </w:style>
  <w:style w:type="character" w:customStyle="1" w:styleId="NoteCharChar">
    <w:name w:val="Note Char Char"/>
    <w:link w:val="Note"/>
    <w:uiPriority w:val="15"/>
    <w:rsid w:val="00344322"/>
    <w:rPr>
      <w:rFonts w:ascii="Franklin Gothic Book" w:eastAsia="Times New Roman" w:hAnsi="Franklin Gothic Book" w:cs="Times New Roman"/>
      <w:sz w:val="14"/>
      <w:szCs w:val="16"/>
    </w:rPr>
  </w:style>
  <w:style w:type="paragraph" w:customStyle="1" w:styleId="Source">
    <w:name w:val="Source"/>
    <w:basedOn w:val="Note"/>
    <w:next w:val="BodyText"/>
    <w:uiPriority w:val="16"/>
    <w:rsid w:val="00344322"/>
    <w:pPr>
      <w:spacing w:after="60"/>
    </w:pPr>
  </w:style>
  <w:style w:type="character" w:customStyle="1" w:styleId="NoteLabel">
    <w:name w:val="Note Label"/>
    <w:uiPriority w:val="15"/>
    <w:rsid w:val="00344322"/>
    <w:rPr>
      <w:rFonts w:ascii="Franklin Gothic Demi" w:hAnsi="Franklin Gothic Demi"/>
      <w:b w:val="0"/>
      <w:i w:val="0"/>
      <w:color w:val="8064A2" w:themeColor="accent4"/>
      <w:position w:val="4"/>
      <w:sz w:val="14"/>
      <w:szCs w:val="16"/>
    </w:rPr>
  </w:style>
  <w:style w:type="paragraph" w:customStyle="1" w:styleId="Chart">
    <w:name w:val="Chart"/>
    <w:basedOn w:val="BodyText"/>
    <w:uiPriority w:val="99"/>
    <w:unhideWhenUsed/>
    <w:rsid w:val="00344322"/>
    <w:pPr>
      <w:spacing w:after="0" w:line="200" w:lineRule="atLeast"/>
    </w:pPr>
    <w:rPr>
      <w:rFonts w:asciiTheme="minorHAnsi" w:eastAsia="Times New Roman" w:hAnsiTheme="minorHAnsi"/>
      <w:sz w:val="21"/>
      <w:szCs w:val="21"/>
    </w:rPr>
  </w:style>
  <w:style w:type="paragraph" w:styleId="BodyText">
    <w:name w:val="Body Text"/>
    <w:basedOn w:val="Normal"/>
    <w:link w:val="BodyTextChar"/>
    <w:uiPriority w:val="99"/>
    <w:semiHidden/>
    <w:unhideWhenUsed/>
    <w:rsid w:val="00344322"/>
    <w:pPr>
      <w:spacing w:after="120"/>
    </w:pPr>
  </w:style>
  <w:style w:type="character" w:customStyle="1" w:styleId="BodyTextChar">
    <w:name w:val="Body Text Char"/>
    <w:basedOn w:val="DefaultParagraphFont"/>
    <w:link w:val="BodyText"/>
    <w:uiPriority w:val="99"/>
    <w:semiHidden/>
    <w:rsid w:val="00344322"/>
    <w:rPr>
      <w:rFonts w:ascii="Calibri" w:eastAsia="Calibri" w:hAnsi="Calibri" w:cs="Times New Roman"/>
      <w:sz w:val="22"/>
    </w:rPr>
  </w:style>
  <w:style w:type="numbering" w:customStyle="1" w:styleId="ChartListBullets">
    <w:name w:val="ChartListBullets"/>
    <w:uiPriority w:val="99"/>
    <w:rsid w:val="00425BF3"/>
    <w:pPr>
      <w:numPr>
        <w:numId w:val="19"/>
      </w:numPr>
    </w:pPr>
  </w:style>
  <w:style w:type="paragraph" w:customStyle="1" w:styleId="ChartListBullet">
    <w:name w:val="Chart List Bullet"/>
    <w:basedOn w:val="Normal"/>
    <w:uiPriority w:val="24"/>
    <w:rsid w:val="00425BF3"/>
    <w:pPr>
      <w:keepLines/>
      <w:numPr>
        <w:numId w:val="19"/>
      </w:numPr>
      <w:spacing w:before="50" w:after="0" w:line="200" w:lineRule="atLeast"/>
    </w:pPr>
    <w:rPr>
      <w:rFonts w:ascii="Franklin Gothic Medium" w:eastAsia="Times New Roman" w:hAnsi="Franklin Gothic Medium"/>
      <w:sz w:val="16"/>
      <w:szCs w:val="18"/>
    </w:rPr>
  </w:style>
  <w:style w:type="paragraph" w:customStyle="1" w:styleId="ChartListBullet2">
    <w:name w:val="Chart List Bullet 2"/>
    <w:basedOn w:val="ChartText"/>
    <w:uiPriority w:val="24"/>
    <w:rsid w:val="00425BF3"/>
    <w:pPr>
      <w:numPr>
        <w:ilvl w:val="1"/>
        <w:numId w:val="19"/>
      </w:numPr>
      <w:spacing w:before="30"/>
    </w:pPr>
  </w:style>
  <w:style w:type="paragraph" w:customStyle="1" w:styleId="Tablefooter">
    <w:name w:val="Table footer"/>
    <w:basedOn w:val="Normal"/>
    <w:qFormat/>
    <w:rsid w:val="00423D26"/>
    <w:pPr>
      <w:spacing w:after="240" w:line="240" w:lineRule="auto"/>
    </w:pPr>
    <w:rPr>
      <w:rFonts w:ascii="Arial Narrow" w:hAnsi="Arial Narrow"/>
      <w:sz w:val="18"/>
      <w:lang w:val="en-GB" w:eastAsia="ja-JP"/>
    </w:rPr>
  </w:style>
  <w:style w:type="character" w:styleId="FootnoteReference">
    <w:name w:val="footnote reference"/>
    <w:basedOn w:val="DefaultParagraphFont"/>
    <w:uiPriority w:val="99"/>
    <w:semiHidden/>
    <w:unhideWhenUsed/>
    <w:rsid w:val="009413F4"/>
    <w:rPr>
      <w:vertAlign w:val="superscript"/>
    </w:rPr>
  </w:style>
  <w:style w:type="paragraph" w:customStyle="1" w:styleId="TableHeading">
    <w:name w:val="TableHeading"/>
    <w:basedOn w:val="Normal"/>
    <w:link w:val="TableHeadingChar"/>
    <w:qFormat/>
    <w:rsid w:val="00D17FFE"/>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D17FFE"/>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D17FFE"/>
    <w:pPr>
      <w:spacing w:before="40" w:after="40" w:line="240" w:lineRule="auto"/>
      <w:ind w:left="176"/>
    </w:pPr>
    <w:rPr>
      <w:rFonts w:ascii="Arial Narrow" w:eastAsia="Times New Roman" w:hAnsi="Arial Narrow" w:cs="Tahoma"/>
      <w:sz w:val="20"/>
      <w:szCs w:val="20"/>
      <w:lang w:eastAsia="en-AU"/>
    </w:rPr>
  </w:style>
  <w:style w:type="character" w:customStyle="1" w:styleId="TabletextChar">
    <w:name w:val="Table text Char"/>
    <w:link w:val="Tabletext"/>
    <w:rsid w:val="00D17FFE"/>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D17FFE"/>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D17FFE"/>
    <w:rPr>
      <w:rFonts w:ascii="Arial Narrow" w:eastAsia="Times New Roman" w:hAnsi="Arial Narrow" w:cs="Arial"/>
      <w:snapToGrid w:val="0"/>
      <w:sz w:val="18"/>
      <w:szCs w:val="20"/>
    </w:rPr>
  </w:style>
  <w:style w:type="paragraph" w:styleId="FootnoteText">
    <w:name w:val="footnote text"/>
    <w:basedOn w:val="Normal"/>
    <w:link w:val="FootnoteTextChar"/>
    <w:uiPriority w:val="99"/>
    <w:semiHidden/>
    <w:unhideWhenUsed/>
    <w:rsid w:val="008868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68A1"/>
    <w:rPr>
      <w:rFonts w:ascii="Calibri" w:eastAsia="Calibri" w:hAnsi="Calibri" w:cs="Times New Roman"/>
      <w:sz w:val="20"/>
      <w:szCs w:val="20"/>
    </w:rPr>
  </w:style>
  <w:style w:type="paragraph" w:styleId="Title">
    <w:name w:val="Title"/>
    <w:basedOn w:val="Normal"/>
    <w:next w:val="Normal"/>
    <w:link w:val="TitleChar"/>
    <w:uiPriority w:val="10"/>
    <w:qFormat/>
    <w:rsid w:val="00F344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4437"/>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3F617F"/>
    <w:rPr>
      <w:color w:val="605E5C"/>
      <w:shd w:val="clear" w:color="auto" w:fill="E1DFDD"/>
    </w:rPr>
  </w:style>
  <w:style w:type="character" w:customStyle="1" w:styleId="Heading3Char">
    <w:name w:val="Heading 3 Char"/>
    <w:basedOn w:val="DefaultParagraphFont"/>
    <w:link w:val="Heading3"/>
    <w:uiPriority w:val="9"/>
    <w:rsid w:val="009E4FB3"/>
    <w:rPr>
      <w:rFonts w:asciiTheme="majorHAnsi" w:eastAsiaTheme="majorEastAsia" w:hAnsiTheme="majorHAnsi" w:cstheme="majorBidi"/>
      <w:color w:val="243F60" w:themeColor="accent1" w:themeShade="7F"/>
      <w:szCs w:val="24"/>
    </w:rPr>
  </w:style>
  <w:style w:type="paragraph" w:styleId="Revision">
    <w:name w:val="Revision"/>
    <w:hidden/>
    <w:uiPriority w:val="99"/>
    <w:semiHidden/>
    <w:rsid w:val="0039040C"/>
    <w:pPr>
      <w:spacing w:after="0" w:line="240" w:lineRule="auto"/>
    </w:pPr>
    <w:rPr>
      <w:rFonts w:ascii="Calibri" w:eastAsia="Calibri" w:hAnsi="Calibri" w:cs="Times New Roman"/>
      <w:sz w:val="22"/>
    </w:rPr>
  </w:style>
  <w:style w:type="character" w:styleId="PageNumber">
    <w:name w:val="page number"/>
    <w:basedOn w:val="DefaultParagraphFont"/>
    <w:uiPriority w:val="99"/>
    <w:semiHidden/>
    <w:unhideWhenUsed/>
    <w:rsid w:val="00390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70863">
      <w:bodyDiv w:val="1"/>
      <w:marLeft w:val="0"/>
      <w:marRight w:val="0"/>
      <w:marTop w:val="0"/>
      <w:marBottom w:val="0"/>
      <w:divBdr>
        <w:top w:val="none" w:sz="0" w:space="0" w:color="auto"/>
        <w:left w:val="none" w:sz="0" w:space="0" w:color="auto"/>
        <w:bottom w:val="none" w:sz="0" w:space="0" w:color="auto"/>
        <w:right w:val="none" w:sz="0" w:space="0" w:color="auto"/>
      </w:divBdr>
    </w:div>
    <w:div w:id="547834975">
      <w:bodyDiv w:val="1"/>
      <w:marLeft w:val="0"/>
      <w:marRight w:val="0"/>
      <w:marTop w:val="0"/>
      <w:marBottom w:val="0"/>
      <w:divBdr>
        <w:top w:val="none" w:sz="0" w:space="0" w:color="auto"/>
        <w:left w:val="none" w:sz="0" w:space="0" w:color="auto"/>
        <w:bottom w:val="none" w:sz="0" w:space="0" w:color="auto"/>
        <w:right w:val="none" w:sz="0" w:space="0" w:color="auto"/>
      </w:divBdr>
    </w:div>
    <w:div w:id="625889290">
      <w:bodyDiv w:val="1"/>
      <w:marLeft w:val="0"/>
      <w:marRight w:val="0"/>
      <w:marTop w:val="0"/>
      <w:marBottom w:val="0"/>
      <w:divBdr>
        <w:top w:val="none" w:sz="0" w:space="0" w:color="auto"/>
        <w:left w:val="none" w:sz="0" w:space="0" w:color="auto"/>
        <w:bottom w:val="none" w:sz="0" w:space="0" w:color="auto"/>
        <w:right w:val="none" w:sz="0" w:space="0" w:color="auto"/>
      </w:divBdr>
    </w:div>
    <w:div w:id="628361943">
      <w:bodyDiv w:val="1"/>
      <w:marLeft w:val="0"/>
      <w:marRight w:val="0"/>
      <w:marTop w:val="0"/>
      <w:marBottom w:val="0"/>
      <w:divBdr>
        <w:top w:val="none" w:sz="0" w:space="0" w:color="auto"/>
        <w:left w:val="none" w:sz="0" w:space="0" w:color="auto"/>
        <w:bottom w:val="none" w:sz="0" w:space="0" w:color="auto"/>
        <w:right w:val="none" w:sz="0" w:space="0" w:color="auto"/>
      </w:divBdr>
    </w:div>
    <w:div w:id="751047830">
      <w:bodyDiv w:val="1"/>
      <w:marLeft w:val="0"/>
      <w:marRight w:val="0"/>
      <w:marTop w:val="0"/>
      <w:marBottom w:val="0"/>
      <w:divBdr>
        <w:top w:val="none" w:sz="0" w:space="0" w:color="auto"/>
        <w:left w:val="none" w:sz="0" w:space="0" w:color="auto"/>
        <w:bottom w:val="none" w:sz="0" w:space="0" w:color="auto"/>
        <w:right w:val="none" w:sz="0" w:space="0" w:color="auto"/>
      </w:divBdr>
    </w:div>
    <w:div w:id="1289362834">
      <w:bodyDiv w:val="1"/>
      <w:marLeft w:val="0"/>
      <w:marRight w:val="0"/>
      <w:marTop w:val="0"/>
      <w:marBottom w:val="0"/>
      <w:divBdr>
        <w:top w:val="none" w:sz="0" w:space="0" w:color="auto"/>
        <w:left w:val="none" w:sz="0" w:space="0" w:color="auto"/>
        <w:bottom w:val="none" w:sz="0" w:space="0" w:color="auto"/>
        <w:right w:val="none" w:sz="0" w:space="0" w:color="auto"/>
      </w:divBdr>
    </w:div>
    <w:div w:id="1313174503">
      <w:bodyDiv w:val="1"/>
      <w:marLeft w:val="0"/>
      <w:marRight w:val="0"/>
      <w:marTop w:val="0"/>
      <w:marBottom w:val="0"/>
      <w:divBdr>
        <w:top w:val="none" w:sz="0" w:space="0" w:color="auto"/>
        <w:left w:val="none" w:sz="0" w:space="0" w:color="auto"/>
        <w:bottom w:val="none" w:sz="0" w:space="0" w:color="auto"/>
        <w:right w:val="none" w:sz="0" w:space="0" w:color="auto"/>
      </w:divBdr>
    </w:div>
    <w:div w:id="1360349428">
      <w:bodyDiv w:val="1"/>
      <w:marLeft w:val="0"/>
      <w:marRight w:val="0"/>
      <w:marTop w:val="0"/>
      <w:marBottom w:val="0"/>
      <w:divBdr>
        <w:top w:val="none" w:sz="0" w:space="0" w:color="auto"/>
        <w:left w:val="none" w:sz="0" w:space="0" w:color="auto"/>
        <w:bottom w:val="none" w:sz="0" w:space="0" w:color="auto"/>
        <w:right w:val="none" w:sz="0" w:space="0" w:color="auto"/>
      </w:divBdr>
    </w:div>
    <w:div w:id="1484663045">
      <w:bodyDiv w:val="1"/>
      <w:marLeft w:val="0"/>
      <w:marRight w:val="0"/>
      <w:marTop w:val="0"/>
      <w:marBottom w:val="0"/>
      <w:divBdr>
        <w:top w:val="none" w:sz="0" w:space="0" w:color="auto"/>
        <w:left w:val="none" w:sz="0" w:space="0" w:color="auto"/>
        <w:bottom w:val="none" w:sz="0" w:space="0" w:color="auto"/>
        <w:right w:val="none" w:sz="0" w:space="0" w:color="auto"/>
      </w:divBdr>
    </w:div>
    <w:div w:id="1810971360">
      <w:bodyDiv w:val="1"/>
      <w:marLeft w:val="0"/>
      <w:marRight w:val="0"/>
      <w:marTop w:val="0"/>
      <w:marBottom w:val="0"/>
      <w:divBdr>
        <w:top w:val="none" w:sz="0" w:space="0" w:color="auto"/>
        <w:left w:val="none" w:sz="0" w:space="0" w:color="auto"/>
        <w:bottom w:val="none" w:sz="0" w:space="0" w:color="auto"/>
        <w:right w:val="none" w:sz="0" w:space="0" w:color="auto"/>
      </w:divBdr>
    </w:div>
    <w:div w:id="2056271141">
      <w:bodyDiv w:val="1"/>
      <w:marLeft w:val="0"/>
      <w:marRight w:val="0"/>
      <w:marTop w:val="0"/>
      <w:marBottom w:val="0"/>
      <w:divBdr>
        <w:top w:val="none" w:sz="0" w:space="0" w:color="auto"/>
        <w:left w:val="none" w:sz="0" w:space="0" w:color="auto"/>
        <w:bottom w:val="none" w:sz="0" w:space="0" w:color="auto"/>
        <w:right w:val="none" w:sz="0" w:space="0" w:color="auto"/>
      </w:divBdr>
    </w:div>
    <w:div w:id="206197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9.health.gov.au/mbs/search.cfm?pdf=y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pentextbc.ca/anatomyandphysiology/chapter/9-4-synovial-joints/" TargetMode="Externa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medicarestatistics.humanservices.gov.au/statistics/mbs_item.jsp" TargetMode="External"/><Relationship Id="rId22" Type="http://schemas.openxmlformats.org/officeDocument/2006/relationships/footer" Target="footer3.xml"/><Relationship Id="rId27"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www.msac.gov.au/internet/msac/publishing.nsf/Content/E72BFBEC5447F91FCA25801000123B6D/$File/1140_Report_Final040211.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tcdc01\themaprojects\Smith%20&amp;%20Nephew\796%20MSAC%20cartilage%20biomatrix%20implant\Section%20Drafts\Utilisation_CarG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MBS item 49561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138670166229221"/>
          <c:y val="0.17171296296296298"/>
          <c:w val="0.79972440944881895"/>
          <c:h val="0.58912839020122487"/>
        </c:manualLayout>
      </c:layout>
      <c:lineChart>
        <c:grouping val="standard"/>
        <c:varyColors val="0"/>
        <c:ser>
          <c:idx val="0"/>
          <c:order val="0"/>
          <c:spPr>
            <a:ln w="28575" cap="rnd">
              <a:solidFill>
                <a:schemeClr val="accent1"/>
              </a:solidFill>
              <a:round/>
            </a:ln>
            <a:effectLst/>
          </c:spPr>
          <c:marker>
            <c:symbol val="none"/>
          </c:marker>
          <c:cat>
            <c:numRef>
              <c:f>MBSdata!$B$4:$B$25</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MBSdata!$K$4:$K$25</c:f>
              <c:numCache>
                <c:formatCode>#,##0</c:formatCode>
                <c:ptCount val="22"/>
                <c:pt idx="0">
                  <c:v>1588</c:v>
                </c:pt>
                <c:pt idx="1">
                  <c:v>21150</c:v>
                </c:pt>
                <c:pt idx="2">
                  <c:v>23061</c:v>
                </c:pt>
                <c:pt idx="3">
                  <c:v>25322</c:v>
                </c:pt>
                <c:pt idx="4">
                  <c:v>27294</c:v>
                </c:pt>
                <c:pt idx="5">
                  <c:v>31994</c:v>
                </c:pt>
                <c:pt idx="6">
                  <c:v>32693</c:v>
                </c:pt>
                <c:pt idx="7">
                  <c:v>33445</c:v>
                </c:pt>
                <c:pt idx="8">
                  <c:v>35175</c:v>
                </c:pt>
                <c:pt idx="9">
                  <c:v>36659</c:v>
                </c:pt>
                <c:pt idx="10">
                  <c:v>38633</c:v>
                </c:pt>
                <c:pt idx="11">
                  <c:v>42403</c:v>
                </c:pt>
                <c:pt idx="12">
                  <c:v>45157</c:v>
                </c:pt>
                <c:pt idx="13">
                  <c:v>46027</c:v>
                </c:pt>
                <c:pt idx="14">
                  <c:v>47649</c:v>
                </c:pt>
                <c:pt idx="15">
                  <c:v>49269</c:v>
                </c:pt>
                <c:pt idx="16">
                  <c:v>49126</c:v>
                </c:pt>
                <c:pt idx="17">
                  <c:v>49278</c:v>
                </c:pt>
                <c:pt idx="18">
                  <c:v>49150</c:v>
                </c:pt>
                <c:pt idx="19">
                  <c:v>43497</c:v>
                </c:pt>
                <c:pt idx="20">
                  <c:v>36914</c:v>
                </c:pt>
                <c:pt idx="21">
                  <c:v>34566</c:v>
                </c:pt>
              </c:numCache>
            </c:numRef>
          </c:val>
          <c:smooth val="0"/>
          <c:extLst>
            <c:ext xmlns:c16="http://schemas.microsoft.com/office/drawing/2014/chart" uri="{C3380CC4-5D6E-409C-BE32-E72D297353CC}">
              <c16:uniqueId val="{00000000-F6C5-4D03-B039-554D868C55F4}"/>
            </c:ext>
          </c:extLst>
        </c:ser>
        <c:dLbls>
          <c:showLegendKey val="0"/>
          <c:showVal val="0"/>
          <c:showCatName val="0"/>
          <c:showSerName val="0"/>
          <c:showPercent val="0"/>
          <c:showBubbleSize val="0"/>
        </c:dLbls>
        <c:smooth val="0"/>
        <c:axId val="296805536"/>
        <c:axId val="296803576"/>
      </c:lineChart>
      <c:catAx>
        <c:axId val="296805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803576"/>
        <c:crosses val="autoZero"/>
        <c:auto val="1"/>
        <c:lblAlgn val="ctr"/>
        <c:lblOffset val="100"/>
        <c:noMultiLvlLbl val="0"/>
      </c:catAx>
      <c:valAx>
        <c:axId val="296803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Services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8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Afz18</b:Tag>
    <b:SourceType>JournalArticle</b:SourceType>
    <b:Guid>{40542871-DE09-4B20-9BB1-2CADC871F9F9}</b:Guid>
    <b:Title>Cost-effectiveness of treatments for non-osteoarthritic knee pain conditions: A systematic review</b:Title>
    <b:Year>2018</b:Year>
    <b:Author>
      <b:Author>
        <b:NameList>
          <b:Person>
            <b:Last>Afzali</b:Last>
            <b:First>T.,</b:First>
            <b:Middle>Fangel, M. V., Vestergaard, A., S., Rathleff, M., S., Ehlers, L. H., and Jensen, M., B.</b:Middle>
          </b:Person>
        </b:NameList>
      </b:Author>
    </b:Author>
    <b:JournalName>PLos ONE 13(12): e0209240</b:JournalName>
    <b:Pages>16</b:Pages>
    <b:RefOrder>1</b:RefOrder>
  </b:Source>
</b:Sources>
</file>

<file path=customXml/itemProps1.xml><?xml version="1.0" encoding="utf-8"?>
<ds:datastoreItem xmlns:ds="http://schemas.openxmlformats.org/officeDocument/2006/customXml" ds:itemID="{3CEB2BD8-3E9F-4E99-8F26-FF620FA3F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15906</Words>
  <Characters>90670</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2019-12-03T04:48:00Z</dcterms:created>
  <dcterms:modified xsi:type="dcterms:W3CDTF">2019-12-03T23:03:00Z</dcterms:modified>
</cp:coreProperties>
</file>