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D5" w:rsidRPr="00145D14" w:rsidRDefault="007252D5" w:rsidP="000901A8">
      <w:bookmarkStart w:id="0" w:name="_Toc279153756"/>
    </w:p>
    <w:tbl>
      <w:tblPr>
        <w:tblpPr w:leftFromText="187" w:rightFromText="187" w:horzAnchor="margin" w:tblpXSpec="right" w:tblpYSpec="center"/>
        <w:tblW w:w="2500"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934"/>
      </w:tblGrid>
      <w:tr w:rsidR="007252D5" w:rsidRPr="00145D14" w:rsidTr="00B033D8">
        <w:tc>
          <w:tcPr>
            <w:tcW w:w="5000" w:type="pct"/>
          </w:tcPr>
          <w:p w:rsidR="007252D5" w:rsidRPr="00F22C9E" w:rsidRDefault="00836D69" w:rsidP="002C764D">
            <w:pPr>
              <w:pStyle w:val="NoSpacing"/>
              <w:rPr>
                <w:rFonts w:ascii="Tahoma" w:hAnsi="Tahoma" w:cs="Tahoma"/>
                <w:sz w:val="44"/>
                <w:szCs w:val="56"/>
                <w:lang w:val="en-AU"/>
              </w:rPr>
            </w:pPr>
            <w:r>
              <w:rPr>
                <w:rFonts w:ascii="Tahoma" w:hAnsi="Tahoma" w:cs="Tahoma"/>
                <w:sz w:val="44"/>
                <w:szCs w:val="56"/>
                <w:lang w:val="en-AU"/>
              </w:rPr>
              <w:t>P</w:t>
            </w:r>
            <w:r w:rsidR="002C764D">
              <w:rPr>
                <w:rFonts w:ascii="Tahoma" w:hAnsi="Tahoma" w:cs="Tahoma"/>
                <w:sz w:val="44"/>
                <w:szCs w:val="56"/>
                <w:lang w:val="en-AU"/>
              </w:rPr>
              <w:t xml:space="preserve">rotocol </w:t>
            </w:r>
            <w:r w:rsidRPr="00836D69">
              <w:rPr>
                <w:rFonts w:ascii="Tahoma" w:hAnsi="Tahoma" w:cs="Tahoma"/>
                <w:sz w:val="44"/>
                <w:szCs w:val="56"/>
                <w:lang w:val="en-AU"/>
              </w:rPr>
              <w:t>to guide</w:t>
            </w:r>
            <w:r w:rsidR="00361AC9">
              <w:rPr>
                <w:rFonts w:ascii="Tahoma" w:hAnsi="Tahoma" w:cs="Tahoma"/>
                <w:sz w:val="44"/>
                <w:szCs w:val="56"/>
                <w:lang w:val="en-AU"/>
              </w:rPr>
              <w:t xml:space="preserve"> the</w:t>
            </w:r>
            <w:r w:rsidRPr="00836D69">
              <w:rPr>
                <w:rFonts w:ascii="Tahoma" w:hAnsi="Tahoma" w:cs="Tahoma"/>
                <w:sz w:val="44"/>
                <w:szCs w:val="56"/>
                <w:lang w:val="en-AU"/>
              </w:rPr>
              <w:t xml:space="preserve"> assessment of </w:t>
            </w:r>
            <w:r w:rsidR="00BF5FF3">
              <w:rPr>
                <w:rFonts w:ascii="Tahoma" w:hAnsi="Tahoma" w:cs="Tahoma"/>
                <w:sz w:val="44"/>
                <w:szCs w:val="56"/>
                <w:lang w:val="en-AU"/>
              </w:rPr>
              <w:t>a f</w:t>
            </w:r>
            <w:r w:rsidRPr="00836D69">
              <w:rPr>
                <w:rFonts w:ascii="Tahoma" w:hAnsi="Tahoma" w:cs="Tahoma"/>
                <w:sz w:val="44"/>
                <w:szCs w:val="56"/>
                <w:lang w:val="en-AU"/>
              </w:rPr>
              <w:t xml:space="preserve">aecal </w:t>
            </w:r>
            <w:proofErr w:type="spellStart"/>
            <w:r w:rsidR="00BF5FF3">
              <w:rPr>
                <w:rFonts w:ascii="Tahoma" w:hAnsi="Tahoma" w:cs="Tahoma"/>
                <w:sz w:val="44"/>
                <w:szCs w:val="56"/>
                <w:lang w:val="en-AU"/>
              </w:rPr>
              <w:t>c</w:t>
            </w:r>
            <w:r w:rsidRPr="00836D69">
              <w:rPr>
                <w:rFonts w:ascii="Tahoma" w:hAnsi="Tahoma" w:cs="Tahoma"/>
                <w:sz w:val="44"/>
                <w:szCs w:val="56"/>
                <w:lang w:val="en-AU"/>
              </w:rPr>
              <w:t>alprotectin</w:t>
            </w:r>
            <w:proofErr w:type="spellEnd"/>
            <w:r w:rsidRPr="00836D69">
              <w:rPr>
                <w:rFonts w:ascii="Tahoma" w:hAnsi="Tahoma" w:cs="Tahoma"/>
                <w:sz w:val="44"/>
                <w:szCs w:val="56"/>
                <w:lang w:val="en-AU"/>
              </w:rPr>
              <w:t xml:space="preserve"> test</w:t>
            </w:r>
            <w:r w:rsidR="00E05775">
              <w:rPr>
                <w:rFonts w:ascii="Tahoma" w:hAnsi="Tahoma" w:cs="Tahoma"/>
                <w:sz w:val="44"/>
                <w:szCs w:val="56"/>
                <w:lang w:val="en-AU"/>
              </w:rPr>
              <w:t xml:space="preserve"> to help differentiate between functional</w:t>
            </w:r>
            <w:r w:rsidRPr="00836D69">
              <w:rPr>
                <w:rFonts w:ascii="Tahoma" w:hAnsi="Tahoma" w:cs="Tahoma"/>
                <w:sz w:val="44"/>
                <w:szCs w:val="56"/>
                <w:lang w:val="en-AU"/>
              </w:rPr>
              <w:t xml:space="preserve"> and inflammatory </w:t>
            </w:r>
            <w:r w:rsidR="00E05775">
              <w:rPr>
                <w:rFonts w:ascii="Tahoma" w:hAnsi="Tahoma" w:cs="Tahoma"/>
                <w:sz w:val="44"/>
                <w:szCs w:val="56"/>
                <w:lang w:val="en-AU"/>
              </w:rPr>
              <w:t>bowel</w:t>
            </w:r>
            <w:r w:rsidRPr="00836D69">
              <w:rPr>
                <w:rFonts w:ascii="Tahoma" w:hAnsi="Tahoma" w:cs="Tahoma"/>
                <w:sz w:val="44"/>
                <w:szCs w:val="56"/>
                <w:lang w:val="en-AU"/>
              </w:rPr>
              <w:t xml:space="preserve"> disorders, and for monitoring disease activity in people with known </w:t>
            </w:r>
            <w:r w:rsidR="00EB6F40">
              <w:rPr>
                <w:rFonts w:ascii="Tahoma" w:hAnsi="Tahoma" w:cs="Tahoma"/>
                <w:sz w:val="44"/>
                <w:szCs w:val="56"/>
                <w:lang w:val="en-AU"/>
              </w:rPr>
              <w:t>inflammatory bowel disease (</w:t>
            </w:r>
            <w:r w:rsidRPr="00836D69">
              <w:rPr>
                <w:rFonts w:ascii="Tahoma" w:hAnsi="Tahoma" w:cs="Tahoma"/>
                <w:sz w:val="44"/>
                <w:szCs w:val="56"/>
                <w:lang w:val="en-AU"/>
              </w:rPr>
              <w:t>IBD</w:t>
            </w:r>
            <w:r w:rsidR="00EB6F40">
              <w:rPr>
                <w:rFonts w:ascii="Tahoma" w:hAnsi="Tahoma" w:cs="Tahoma"/>
                <w:sz w:val="44"/>
                <w:szCs w:val="56"/>
                <w:lang w:val="en-AU"/>
              </w:rPr>
              <w:t>)</w:t>
            </w:r>
          </w:p>
        </w:tc>
      </w:tr>
      <w:tr w:rsidR="007252D5" w:rsidRPr="00145D14" w:rsidTr="00B033D8">
        <w:tc>
          <w:tcPr>
            <w:tcW w:w="5000" w:type="pct"/>
          </w:tcPr>
          <w:p w:rsidR="007252D5" w:rsidRPr="00145D14" w:rsidRDefault="002C764D" w:rsidP="00FE755D">
            <w:pPr>
              <w:pStyle w:val="NoSpacing"/>
              <w:rPr>
                <w:rFonts w:ascii="Tahoma" w:hAnsi="Tahoma" w:cs="Tahoma"/>
                <w:sz w:val="32"/>
                <w:szCs w:val="40"/>
                <w:lang w:val="en-AU"/>
              </w:rPr>
            </w:pPr>
            <w:r>
              <w:rPr>
                <w:rFonts w:ascii="Tahoma" w:hAnsi="Tahoma" w:cs="Tahoma"/>
                <w:sz w:val="32"/>
                <w:szCs w:val="40"/>
                <w:lang w:val="en-AU"/>
              </w:rPr>
              <w:t xml:space="preserve">Ratified in </w:t>
            </w:r>
            <w:r w:rsidR="00FE755D">
              <w:rPr>
                <w:rFonts w:ascii="Tahoma" w:hAnsi="Tahoma" w:cs="Tahoma"/>
                <w:sz w:val="32"/>
                <w:szCs w:val="40"/>
                <w:lang w:val="en-AU"/>
              </w:rPr>
              <w:t>May</w:t>
            </w:r>
            <w:r w:rsidR="00FE755D" w:rsidRPr="00145D14">
              <w:rPr>
                <w:rFonts w:ascii="Tahoma" w:hAnsi="Tahoma" w:cs="Tahoma"/>
                <w:sz w:val="32"/>
                <w:szCs w:val="40"/>
                <w:lang w:val="en-AU"/>
              </w:rPr>
              <w:t xml:space="preserve"> </w:t>
            </w:r>
            <w:r w:rsidR="00FE755D">
              <w:rPr>
                <w:rFonts w:ascii="Tahoma" w:hAnsi="Tahoma" w:cs="Tahoma"/>
                <w:sz w:val="32"/>
                <w:szCs w:val="40"/>
                <w:lang w:val="en-AU"/>
              </w:rPr>
              <w:t>2017</w:t>
            </w:r>
          </w:p>
        </w:tc>
      </w:tr>
    </w:tbl>
    <w:p w:rsidR="007252D5" w:rsidRPr="00145D14" w:rsidRDefault="007252D5" w:rsidP="000901A8">
      <w:pPr>
        <w:rPr>
          <w:rFonts w:ascii="Cambria" w:eastAsia="Times New Roman" w:hAnsi="Cambria" w:cs="Times New Roman"/>
          <w:b/>
          <w:i/>
          <w:color w:val="365F91"/>
          <w:sz w:val="22"/>
          <w:szCs w:val="28"/>
          <w:lang w:eastAsia="en-US"/>
        </w:rPr>
      </w:pPr>
      <w:r w:rsidRPr="00145D14">
        <w:br w:type="page"/>
      </w:r>
    </w:p>
    <w:p w:rsidR="007252D5" w:rsidRPr="00145D14" w:rsidRDefault="007252D5" w:rsidP="000901A8">
      <w:pPr>
        <w:pStyle w:val="TOCHeading0"/>
        <w:rPr>
          <w:lang w:val="en-AU"/>
        </w:rPr>
      </w:pPr>
      <w:r w:rsidRPr="00145D14">
        <w:rPr>
          <w:lang w:val="en-AU"/>
        </w:rPr>
        <w:lastRenderedPageBreak/>
        <w:t>Table of Contents</w:t>
      </w:r>
    </w:p>
    <w:p w:rsidR="00013F0F" w:rsidRDefault="00FB1012">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445384027" w:history="1">
        <w:r w:rsidR="00013F0F" w:rsidRPr="00794C12">
          <w:rPr>
            <w:rStyle w:val="Hyperlink"/>
          </w:rPr>
          <w:t>MSAC and PASC</w:t>
        </w:r>
        <w:r w:rsidR="00013F0F">
          <w:rPr>
            <w:webHidden/>
          </w:rPr>
          <w:tab/>
        </w:r>
        <w:r w:rsidR="00013F0F">
          <w:rPr>
            <w:webHidden/>
          </w:rPr>
          <w:fldChar w:fldCharType="begin"/>
        </w:r>
        <w:r w:rsidR="00013F0F">
          <w:rPr>
            <w:webHidden/>
          </w:rPr>
          <w:instrText xml:space="preserve"> PAGEREF _Toc445384027 \h </w:instrText>
        </w:r>
        <w:r w:rsidR="00013F0F">
          <w:rPr>
            <w:webHidden/>
          </w:rPr>
        </w:r>
        <w:r w:rsidR="00013F0F">
          <w:rPr>
            <w:webHidden/>
          </w:rPr>
          <w:fldChar w:fldCharType="separate"/>
        </w:r>
        <w:r w:rsidR="00961A66">
          <w:rPr>
            <w:webHidden/>
          </w:rPr>
          <w:t>3</w:t>
        </w:r>
        <w:r w:rsidR="00013F0F">
          <w:rPr>
            <w:webHidden/>
          </w:rPr>
          <w:fldChar w:fldCharType="end"/>
        </w:r>
      </w:hyperlink>
    </w:p>
    <w:p w:rsidR="00013F0F" w:rsidRDefault="000B437B">
      <w:pPr>
        <w:pStyle w:val="TOC2"/>
        <w:rPr>
          <w:rFonts w:asciiTheme="minorHAnsi" w:eastAsiaTheme="minorEastAsia" w:hAnsiTheme="minorHAnsi" w:cstheme="minorBidi"/>
          <w:sz w:val="22"/>
          <w:szCs w:val="22"/>
          <w:lang w:val="en-AU" w:eastAsia="en-AU"/>
        </w:rPr>
      </w:pPr>
      <w:hyperlink w:anchor="_Toc445384028" w:history="1">
        <w:r w:rsidR="00013F0F" w:rsidRPr="00794C12">
          <w:rPr>
            <w:rStyle w:val="Hyperlink"/>
            <w:lang w:val="en-AU"/>
          </w:rPr>
          <w:t>Purpose of this document</w:t>
        </w:r>
        <w:r w:rsidR="00013F0F">
          <w:rPr>
            <w:webHidden/>
          </w:rPr>
          <w:tab/>
        </w:r>
        <w:r w:rsidR="00013F0F">
          <w:rPr>
            <w:webHidden/>
          </w:rPr>
          <w:fldChar w:fldCharType="begin"/>
        </w:r>
        <w:r w:rsidR="00013F0F">
          <w:rPr>
            <w:webHidden/>
          </w:rPr>
          <w:instrText xml:space="preserve"> PAGEREF _Toc445384028 \h </w:instrText>
        </w:r>
        <w:r w:rsidR="00013F0F">
          <w:rPr>
            <w:webHidden/>
          </w:rPr>
        </w:r>
        <w:r w:rsidR="00013F0F">
          <w:rPr>
            <w:webHidden/>
          </w:rPr>
          <w:fldChar w:fldCharType="separate"/>
        </w:r>
        <w:r w:rsidR="00961A66">
          <w:rPr>
            <w:webHidden/>
          </w:rPr>
          <w:t>3</w:t>
        </w:r>
        <w:r w:rsidR="00013F0F">
          <w:rPr>
            <w:webHidden/>
          </w:rPr>
          <w:fldChar w:fldCharType="end"/>
        </w:r>
      </w:hyperlink>
    </w:p>
    <w:p w:rsidR="00013F0F" w:rsidRDefault="000B437B">
      <w:pPr>
        <w:pStyle w:val="TOC1"/>
        <w:rPr>
          <w:rFonts w:asciiTheme="minorHAnsi" w:eastAsiaTheme="minorEastAsia" w:hAnsiTheme="minorHAnsi" w:cstheme="minorBidi"/>
          <w:b w:val="0"/>
          <w:sz w:val="22"/>
          <w:szCs w:val="22"/>
          <w:lang w:eastAsia="en-AU"/>
        </w:rPr>
      </w:pPr>
      <w:hyperlink w:anchor="_Toc445384029" w:history="1">
        <w:r w:rsidR="00013F0F" w:rsidRPr="00794C12">
          <w:rPr>
            <w:rStyle w:val="Hyperlink"/>
          </w:rPr>
          <w:t>Summary of matters for which PASC seeks input</w:t>
        </w:r>
        <w:r w:rsidR="00013F0F">
          <w:rPr>
            <w:webHidden/>
          </w:rPr>
          <w:tab/>
        </w:r>
        <w:r w:rsidR="00013F0F">
          <w:rPr>
            <w:webHidden/>
          </w:rPr>
          <w:fldChar w:fldCharType="begin"/>
        </w:r>
        <w:r w:rsidR="00013F0F">
          <w:rPr>
            <w:webHidden/>
          </w:rPr>
          <w:instrText xml:space="preserve"> PAGEREF _Toc445384029 \h </w:instrText>
        </w:r>
        <w:r w:rsidR="00013F0F">
          <w:rPr>
            <w:webHidden/>
          </w:rPr>
        </w:r>
        <w:r w:rsidR="00013F0F">
          <w:rPr>
            <w:webHidden/>
          </w:rPr>
          <w:fldChar w:fldCharType="separate"/>
        </w:r>
        <w:r w:rsidR="00961A66">
          <w:rPr>
            <w:webHidden/>
          </w:rPr>
          <w:t>4</w:t>
        </w:r>
        <w:r w:rsidR="00013F0F">
          <w:rPr>
            <w:webHidden/>
          </w:rPr>
          <w:fldChar w:fldCharType="end"/>
        </w:r>
      </w:hyperlink>
    </w:p>
    <w:p w:rsidR="00013F0F" w:rsidRDefault="000B437B">
      <w:pPr>
        <w:pStyle w:val="TOC1"/>
        <w:rPr>
          <w:rFonts w:asciiTheme="minorHAnsi" w:eastAsiaTheme="minorEastAsia" w:hAnsiTheme="minorHAnsi" w:cstheme="minorBidi"/>
          <w:b w:val="0"/>
          <w:sz w:val="22"/>
          <w:szCs w:val="22"/>
          <w:lang w:eastAsia="en-AU"/>
        </w:rPr>
      </w:pPr>
      <w:hyperlink w:anchor="_Toc445384030" w:history="1">
        <w:r w:rsidR="00013F0F" w:rsidRPr="00794C12">
          <w:rPr>
            <w:rStyle w:val="Hyperlink"/>
          </w:rPr>
          <w:t>Purpose of application</w:t>
        </w:r>
        <w:r w:rsidR="00013F0F">
          <w:rPr>
            <w:webHidden/>
          </w:rPr>
          <w:tab/>
        </w:r>
        <w:r w:rsidR="00013F0F">
          <w:rPr>
            <w:webHidden/>
          </w:rPr>
          <w:fldChar w:fldCharType="begin"/>
        </w:r>
        <w:r w:rsidR="00013F0F">
          <w:rPr>
            <w:webHidden/>
          </w:rPr>
          <w:instrText xml:space="preserve"> PAGEREF _Toc445384030 \h </w:instrText>
        </w:r>
        <w:r w:rsidR="00013F0F">
          <w:rPr>
            <w:webHidden/>
          </w:rPr>
        </w:r>
        <w:r w:rsidR="00013F0F">
          <w:rPr>
            <w:webHidden/>
          </w:rPr>
          <w:fldChar w:fldCharType="separate"/>
        </w:r>
        <w:r w:rsidR="00961A66">
          <w:rPr>
            <w:webHidden/>
          </w:rPr>
          <w:t>6</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31" w:history="1">
        <w:r w:rsidR="00013F0F" w:rsidRPr="00794C12">
          <w:rPr>
            <w:rStyle w:val="Hyperlink"/>
          </w:rPr>
          <w:t>Intervention</w:t>
        </w:r>
        <w:r w:rsidR="00013F0F">
          <w:rPr>
            <w:webHidden/>
          </w:rPr>
          <w:tab/>
        </w:r>
        <w:r w:rsidR="00013F0F">
          <w:rPr>
            <w:webHidden/>
          </w:rPr>
          <w:fldChar w:fldCharType="begin"/>
        </w:r>
        <w:r w:rsidR="00013F0F">
          <w:rPr>
            <w:webHidden/>
          </w:rPr>
          <w:instrText xml:space="preserve"> PAGEREF _Toc445384031 \h </w:instrText>
        </w:r>
        <w:r w:rsidR="00013F0F">
          <w:rPr>
            <w:webHidden/>
          </w:rPr>
        </w:r>
        <w:r w:rsidR="00013F0F">
          <w:rPr>
            <w:webHidden/>
          </w:rPr>
          <w:fldChar w:fldCharType="separate"/>
        </w:r>
        <w:r w:rsidR="00961A66">
          <w:rPr>
            <w:webHidden/>
          </w:rPr>
          <w:t>7</w:t>
        </w:r>
        <w:r w:rsidR="00013F0F">
          <w:rPr>
            <w:webHidden/>
          </w:rPr>
          <w:fldChar w:fldCharType="end"/>
        </w:r>
      </w:hyperlink>
    </w:p>
    <w:p w:rsidR="00013F0F" w:rsidRDefault="006A0A83">
      <w:pPr>
        <w:pStyle w:val="TOC2"/>
        <w:rPr>
          <w:rFonts w:asciiTheme="minorHAnsi" w:eastAsiaTheme="minorEastAsia" w:hAnsiTheme="minorHAnsi" w:cstheme="minorBidi"/>
          <w:sz w:val="22"/>
          <w:szCs w:val="22"/>
          <w:lang w:val="en-AU" w:eastAsia="en-AU"/>
        </w:rPr>
      </w:pPr>
      <w:hyperlink w:anchor="_Toc445384032" w:history="1">
        <w:r w:rsidR="00013F0F" w:rsidRPr="00794C12">
          <w:rPr>
            <w:rStyle w:val="Hyperlink"/>
            <w:lang w:val="en-AU"/>
          </w:rPr>
          <w:t>Description</w:t>
        </w:r>
        <w:r w:rsidR="00013F0F">
          <w:rPr>
            <w:webHidden/>
          </w:rPr>
          <w:tab/>
        </w:r>
        <w:r w:rsidR="00013F0F">
          <w:rPr>
            <w:webHidden/>
          </w:rPr>
          <w:fldChar w:fldCharType="begin"/>
        </w:r>
        <w:r w:rsidR="00013F0F">
          <w:rPr>
            <w:webHidden/>
          </w:rPr>
          <w:instrText xml:space="preserve"> PAGEREF _Toc445384032 \h </w:instrText>
        </w:r>
        <w:r w:rsidR="00013F0F">
          <w:rPr>
            <w:webHidden/>
          </w:rPr>
        </w:r>
        <w:r w:rsidR="00013F0F">
          <w:rPr>
            <w:webHidden/>
          </w:rPr>
          <w:fldChar w:fldCharType="separate"/>
        </w:r>
        <w:r w:rsidR="00961A66">
          <w:rPr>
            <w:webHidden/>
          </w:rPr>
          <w:t>7</w:t>
        </w:r>
        <w:r w:rsidR="00013F0F">
          <w:rPr>
            <w:webHidden/>
          </w:rPr>
          <w:fldChar w:fldCharType="end"/>
        </w:r>
      </w:hyperlink>
    </w:p>
    <w:p w:rsidR="00013F0F" w:rsidRDefault="000B437B">
      <w:pPr>
        <w:pStyle w:val="TOC2"/>
        <w:rPr>
          <w:rFonts w:asciiTheme="minorHAnsi" w:eastAsiaTheme="minorEastAsia" w:hAnsiTheme="minorHAnsi" w:cstheme="minorBidi"/>
          <w:sz w:val="22"/>
          <w:szCs w:val="22"/>
          <w:lang w:val="en-AU" w:eastAsia="en-AU"/>
        </w:rPr>
      </w:pPr>
      <w:hyperlink w:anchor="_Toc445384033" w:history="1">
        <w:r w:rsidR="00013F0F" w:rsidRPr="00794C12">
          <w:rPr>
            <w:rStyle w:val="Hyperlink"/>
            <w:lang w:val="en-AU"/>
          </w:rPr>
          <w:t>Administration, dose, frequency of administration, duration of treatment</w:t>
        </w:r>
        <w:r w:rsidR="00013F0F">
          <w:rPr>
            <w:webHidden/>
          </w:rPr>
          <w:tab/>
        </w:r>
        <w:r w:rsidR="00013F0F">
          <w:rPr>
            <w:webHidden/>
          </w:rPr>
          <w:fldChar w:fldCharType="begin"/>
        </w:r>
        <w:r w:rsidR="00013F0F">
          <w:rPr>
            <w:webHidden/>
          </w:rPr>
          <w:instrText xml:space="preserve"> PAGEREF _Toc445384033 \h </w:instrText>
        </w:r>
        <w:r w:rsidR="00013F0F">
          <w:rPr>
            <w:webHidden/>
          </w:rPr>
        </w:r>
        <w:r w:rsidR="00013F0F">
          <w:rPr>
            <w:webHidden/>
          </w:rPr>
          <w:fldChar w:fldCharType="separate"/>
        </w:r>
        <w:r w:rsidR="00961A66">
          <w:rPr>
            <w:webHidden/>
          </w:rPr>
          <w:t>8</w:t>
        </w:r>
        <w:r w:rsidR="00013F0F">
          <w:rPr>
            <w:webHidden/>
          </w:rPr>
          <w:fldChar w:fldCharType="end"/>
        </w:r>
      </w:hyperlink>
    </w:p>
    <w:p w:rsidR="00013F0F" w:rsidRDefault="000B437B">
      <w:pPr>
        <w:pStyle w:val="TOC2"/>
        <w:rPr>
          <w:rFonts w:asciiTheme="minorHAnsi" w:eastAsiaTheme="minorEastAsia" w:hAnsiTheme="minorHAnsi" w:cstheme="minorBidi"/>
          <w:sz w:val="22"/>
          <w:szCs w:val="22"/>
          <w:lang w:val="en-AU" w:eastAsia="en-AU"/>
        </w:rPr>
      </w:pPr>
      <w:hyperlink w:anchor="_Toc445384034" w:history="1">
        <w:r w:rsidR="00013F0F" w:rsidRPr="00794C12">
          <w:rPr>
            <w:rStyle w:val="Hyperlink"/>
            <w:lang w:val="en-AU"/>
          </w:rPr>
          <w:t>Co-administered interventions</w:t>
        </w:r>
        <w:r w:rsidR="00013F0F">
          <w:rPr>
            <w:webHidden/>
          </w:rPr>
          <w:tab/>
        </w:r>
        <w:r w:rsidR="00013F0F">
          <w:rPr>
            <w:webHidden/>
          </w:rPr>
          <w:fldChar w:fldCharType="begin"/>
        </w:r>
        <w:r w:rsidR="00013F0F">
          <w:rPr>
            <w:webHidden/>
          </w:rPr>
          <w:instrText xml:space="preserve"> PAGEREF _Toc445384034 \h </w:instrText>
        </w:r>
        <w:r w:rsidR="00013F0F">
          <w:rPr>
            <w:webHidden/>
          </w:rPr>
        </w:r>
        <w:r w:rsidR="00013F0F">
          <w:rPr>
            <w:webHidden/>
          </w:rPr>
          <w:fldChar w:fldCharType="separate"/>
        </w:r>
        <w:r w:rsidR="00961A66">
          <w:rPr>
            <w:webHidden/>
          </w:rPr>
          <w:t>9</w:t>
        </w:r>
        <w:r w:rsidR="00013F0F">
          <w:rPr>
            <w:webHidden/>
          </w:rPr>
          <w:fldChar w:fldCharType="end"/>
        </w:r>
      </w:hyperlink>
    </w:p>
    <w:p w:rsidR="00013F0F" w:rsidRDefault="000B437B">
      <w:pPr>
        <w:pStyle w:val="TOC1"/>
        <w:rPr>
          <w:rFonts w:asciiTheme="minorHAnsi" w:eastAsiaTheme="minorEastAsia" w:hAnsiTheme="minorHAnsi" w:cstheme="minorBidi"/>
          <w:b w:val="0"/>
          <w:sz w:val="22"/>
          <w:szCs w:val="22"/>
          <w:lang w:eastAsia="en-AU"/>
        </w:rPr>
      </w:pPr>
      <w:hyperlink w:anchor="_Toc445384035" w:history="1">
        <w:r w:rsidR="00013F0F" w:rsidRPr="00794C12">
          <w:rPr>
            <w:rStyle w:val="Hyperlink"/>
          </w:rPr>
          <w:t>Background</w:t>
        </w:r>
        <w:r w:rsidR="00013F0F">
          <w:rPr>
            <w:webHidden/>
          </w:rPr>
          <w:tab/>
        </w:r>
        <w:r w:rsidR="00013F0F">
          <w:rPr>
            <w:webHidden/>
          </w:rPr>
          <w:fldChar w:fldCharType="begin"/>
        </w:r>
        <w:r w:rsidR="00013F0F">
          <w:rPr>
            <w:webHidden/>
          </w:rPr>
          <w:instrText xml:space="preserve"> PAGEREF _Toc445384035 \h </w:instrText>
        </w:r>
        <w:r w:rsidR="00013F0F">
          <w:rPr>
            <w:webHidden/>
          </w:rPr>
        </w:r>
        <w:r w:rsidR="00013F0F">
          <w:rPr>
            <w:webHidden/>
          </w:rPr>
          <w:fldChar w:fldCharType="separate"/>
        </w:r>
        <w:r w:rsidR="00961A66">
          <w:rPr>
            <w:webHidden/>
          </w:rPr>
          <w:t>10</w:t>
        </w:r>
        <w:r w:rsidR="00013F0F">
          <w:rPr>
            <w:webHidden/>
          </w:rPr>
          <w:fldChar w:fldCharType="end"/>
        </w:r>
      </w:hyperlink>
    </w:p>
    <w:p w:rsidR="00013F0F" w:rsidRDefault="000B437B">
      <w:pPr>
        <w:pStyle w:val="TOC2"/>
        <w:rPr>
          <w:rFonts w:asciiTheme="minorHAnsi" w:eastAsiaTheme="minorEastAsia" w:hAnsiTheme="minorHAnsi" w:cstheme="minorBidi"/>
          <w:sz w:val="22"/>
          <w:szCs w:val="22"/>
          <w:lang w:val="en-AU" w:eastAsia="en-AU"/>
        </w:rPr>
      </w:pPr>
      <w:hyperlink w:anchor="_Toc445384036" w:history="1">
        <w:r w:rsidR="00013F0F" w:rsidRPr="00794C12">
          <w:rPr>
            <w:rStyle w:val="Hyperlink"/>
            <w:lang w:val="en-AU"/>
          </w:rPr>
          <w:t>Current arrangements for public reimbursement</w:t>
        </w:r>
        <w:r w:rsidR="00013F0F">
          <w:rPr>
            <w:webHidden/>
          </w:rPr>
          <w:tab/>
        </w:r>
        <w:r w:rsidR="00013F0F">
          <w:rPr>
            <w:webHidden/>
          </w:rPr>
          <w:fldChar w:fldCharType="begin"/>
        </w:r>
        <w:r w:rsidR="00013F0F">
          <w:rPr>
            <w:webHidden/>
          </w:rPr>
          <w:instrText xml:space="preserve"> PAGEREF _Toc445384036 \h </w:instrText>
        </w:r>
        <w:r w:rsidR="00013F0F">
          <w:rPr>
            <w:webHidden/>
          </w:rPr>
        </w:r>
        <w:r w:rsidR="00013F0F">
          <w:rPr>
            <w:webHidden/>
          </w:rPr>
          <w:fldChar w:fldCharType="separate"/>
        </w:r>
        <w:r w:rsidR="00961A66">
          <w:rPr>
            <w:webHidden/>
          </w:rPr>
          <w:t>10</w:t>
        </w:r>
        <w:r w:rsidR="00013F0F">
          <w:rPr>
            <w:webHidden/>
          </w:rPr>
          <w:fldChar w:fldCharType="end"/>
        </w:r>
      </w:hyperlink>
    </w:p>
    <w:p w:rsidR="00013F0F" w:rsidRDefault="000B437B">
      <w:pPr>
        <w:pStyle w:val="TOC2"/>
        <w:rPr>
          <w:rFonts w:asciiTheme="minorHAnsi" w:eastAsiaTheme="minorEastAsia" w:hAnsiTheme="minorHAnsi" w:cstheme="minorBidi"/>
          <w:sz w:val="22"/>
          <w:szCs w:val="22"/>
          <w:lang w:val="en-AU" w:eastAsia="en-AU"/>
        </w:rPr>
      </w:pPr>
      <w:hyperlink w:anchor="_Toc445384037" w:history="1">
        <w:r w:rsidR="00013F0F" w:rsidRPr="00794C12">
          <w:rPr>
            <w:rStyle w:val="Hyperlink"/>
            <w:lang w:val="en-AU"/>
          </w:rPr>
          <w:t>Regulatory status</w:t>
        </w:r>
        <w:r w:rsidR="00013F0F">
          <w:rPr>
            <w:webHidden/>
          </w:rPr>
          <w:tab/>
        </w:r>
        <w:r w:rsidR="00013F0F">
          <w:rPr>
            <w:webHidden/>
          </w:rPr>
          <w:fldChar w:fldCharType="begin"/>
        </w:r>
        <w:r w:rsidR="00013F0F">
          <w:rPr>
            <w:webHidden/>
          </w:rPr>
          <w:instrText xml:space="preserve"> PAGEREF _Toc445384037 \h </w:instrText>
        </w:r>
        <w:r w:rsidR="00013F0F">
          <w:rPr>
            <w:webHidden/>
          </w:rPr>
        </w:r>
        <w:r w:rsidR="00013F0F">
          <w:rPr>
            <w:webHidden/>
          </w:rPr>
          <w:fldChar w:fldCharType="separate"/>
        </w:r>
        <w:r w:rsidR="00961A66">
          <w:rPr>
            <w:webHidden/>
          </w:rPr>
          <w:t>11</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38" w:history="1">
        <w:r w:rsidR="00013F0F" w:rsidRPr="00794C12">
          <w:rPr>
            <w:rStyle w:val="Hyperlink"/>
          </w:rPr>
          <w:t>Patient population</w:t>
        </w:r>
        <w:r w:rsidR="00013F0F">
          <w:rPr>
            <w:webHidden/>
          </w:rPr>
          <w:tab/>
        </w:r>
        <w:r w:rsidR="00013F0F">
          <w:rPr>
            <w:webHidden/>
          </w:rPr>
          <w:fldChar w:fldCharType="begin"/>
        </w:r>
        <w:r w:rsidR="00013F0F">
          <w:rPr>
            <w:webHidden/>
          </w:rPr>
          <w:instrText xml:space="preserve"> PAGEREF _Toc445384038 \h </w:instrText>
        </w:r>
        <w:r w:rsidR="00013F0F">
          <w:rPr>
            <w:webHidden/>
          </w:rPr>
        </w:r>
        <w:r w:rsidR="00013F0F">
          <w:rPr>
            <w:webHidden/>
          </w:rPr>
          <w:fldChar w:fldCharType="separate"/>
        </w:r>
        <w:r w:rsidR="00961A66">
          <w:rPr>
            <w:webHidden/>
          </w:rPr>
          <w:t>13</w:t>
        </w:r>
        <w:r w:rsidR="00013F0F">
          <w:rPr>
            <w:webHidden/>
          </w:rPr>
          <w:fldChar w:fldCharType="end"/>
        </w:r>
      </w:hyperlink>
    </w:p>
    <w:p w:rsidR="00013F0F" w:rsidRDefault="006A0A83">
      <w:pPr>
        <w:pStyle w:val="TOC2"/>
        <w:rPr>
          <w:rFonts w:asciiTheme="minorHAnsi" w:eastAsiaTheme="minorEastAsia" w:hAnsiTheme="minorHAnsi" w:cstheme="minorBidi"/>
          <w:sz w:val="22"/>
          <w:szCs w:val="22"/>
          <w:lang w:val="en-AU" w:eastAsia="en-AU"/>
        </w:rPr>
      </w:pPr>
      <w:hyperlink w:anchor="_Toc445384039" w:history="1">
        <w:r w:rsidR="00013F0F" w:rsidRPr="00794C12">
          <w:rPr>
            <w:rStyle w:val="Hyperlink"/>
            <w:lang w:val="en-AU"/>
          </w:rPr>
          <w:t>Proposed MBS listing</w:t>
        </w:r>
        <w:r w:rsidR="00013F0F">
          <w:rPr>
            <w:webHidden/>
          </w:rPr>
          <w:tab/>
        </w:r>
        <w:r w:rsidR="00013F0F">
          <w:rPr>
            <w:webHidden/>
          </w:rPr>
          <w:fldChar w:fldCharType="begin"/>
        </w:r>
        <w:r w:rsidR="00013F0F">
          <w:rPr>
            <w:webHidden/>
          </w:rPr>
          <w:instrText xml:space="preserve"> PAGEREF _Toc445384039 \h </w:instrText>
        </w:r>
        <w:r w:rsidR="00013F0F">
          <w:rPr>
            <w:webHidden/>
          </w:rPr>
        </w:r>
        <w:r w:rsidR="00013F0F">
          <w:rPr>
            <w:webHidden/>
          </w:rPr>
          <w:fldChar w:fldCharType="separate"/>
        </w:r>
        <w:r w:rsidR="00961A66">
          <w:rPr>
            <w:webHidden/>
          </w:rPr>
          <w:t>13</w:t>
        </w:r>
        <w:r w:rsidR="00013F0F">
          <w:rPr>
            <w:webHidden/>
          </w:rPr>
          <w:fldChar w:fldCharType="end"/>
        </w:r>
      </w:hyperlink>
    </w:p>
    <w:p w:rsidR="00013F0F" w:rsidRDefault="006A0A83">
      <w:pPr>
        <w:pStyle w:val="TOC2"/>
        <w:rPr>
          <w:rFonts w:asciiTheme="minorHAnsi" w:eastAsiaTheme="minorEastAsia" w:hAnsiTheme="minorHAnsi" w:cstheme="minorBidi"/>
          <w:sz w:val="22"/>
          <w:szCs w:val="22"/>
          <w:lang w:val="en-AU" w:eastAsia="en-AU"/>
        </w:rPr>
      </w:pPr>
      <w:hyperlink w:anchor="_Toc445384040" w:history="1">
        <w:r w:rsidR="00013F0F" w:rsidRPr="00794C12">
          <w:rPr>
            <w:rStyle w:val="Hyperlink"/>
            <w:lang w:val="en-AU"/>
          </w:rPr>
          <w:t>Clinical place for proposed intervention</w:t>
        </w:r>
        <w:r w:rsidR="00013F0F">
          <w:rPr>
            <w:webHidden/>
          </w:rPr>
          <w:tab/>
        </w:r>
        <w:r w:rsidR="00013F0F">
          <w:rPr>
            <w:webHidden/>
          </w:rPr>
          <w:fldChar w:fldCharType="begin"/>
        </w:r>
        <w:r w:rsidR="00013F0F">
          <w:rPr>
            <w:webHidden/>
          </w:rPr>
          <w:instrText xml:space="preserve"> PAGEREF _Toc445384040 \h </w:instrText>
        </w:r>
        <w:r w:rsidR="00013F0F">
          <w:rPr>
            <w:webHidden/>
          </w:rPr>
        </w:r>
        <w:r w:rsidR="00013F0F">
          <w:rPr>
            <w:webHidden/>
          </w:rPr>
          <w:fldChar w:fldCharType="separate"/>
        </w:r>
        <w:r w:rsidR="00961A66">
          <w:rPr>
            <w:webHidden/>
          </w:rPr>
          <w:t>14</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41" w:history="1">
        <w:r w:rsidR="00013F0F" w:rsidRPr="00794C12">
          <w:rPr>
            <w:rStyle w:val="Hyperlink"/>
          </w:rPr>
          <w:t>Comparator</w:t>
        </w:r>
        <w:r w:rsidR="00013F0F">
          <w:rPr>
            <w:webHidden/>
          </w:rPr>
          <w:tab/>
        </w:r>
        <w:r w:rsidR="00013F0F">
          <w:rPr>
            <w:webHidden/>
          </w:rPr>
          <w:fldChar w:fldCharType="begin"/>
        </w:r>
        <w:r w:rsidR="00013F0F">
          <w:rPr>
            <w:webHidden/>
          </w:rPr>
          <w:instrText xml:space="preserve"> PAGEREF _Toc445384041 \h </w:instrText>
        </w:r>
        <w:r w:rsidR="00013F0F">
          <w:rPr>
            <w:webHidden/>
          </w:rPr>
        </w:r>
        <w:r w:rsidR="00013F0F">
          <w:rPr>
            <w:webHidden/>
          </w:rPr>
          <w:fldChar w:fldCharType="separate"/>
        </w:r>
        <w:r w:rsidR="00961A66">
          <w:rPr>
            <w:webHidden/>
          </w:rPr>
          <w:t>21</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42" w:history="1">
        <w:r w:rsidR="00013F0F" w:rsidRPr="00794C12">
          <w:rPr>
            <w:rStyle w:val="Hyperlink"/>
          </w:rPr>
          <w:t>Clinical claim</w:t>
        </w:r>
        <w:r w:rsidR="00013F0F">
          <w:rPr>
            <w:webHidden/>
          </w:rPr>
          <w:tab/>
        </w:r>
        <w:r w:rsidR="00013F0F">
          <w:rPr>
            <w:webHidden/>
          </w:rPr>
          <w:fldChar w:fldCharType="begin"/>
        </w:r>
        <w:r w:rsidR="00013F0F">
          <w:rPr>
            <w:webHidden/>
          </w:rPr>
          <w:instrText xml:space="preserve"> PAGEREF _Toc445384042 \h </w:instrText>
        </w:r>
        <w:r w:rsidR="00013F0F">
          <w:rPr>
            <w:webHidden/>
          </w:rPr>
        </w:r>
        <w:r w:rsidR="00013F0F">
          <w:rPr>
            <w:webHidden/>
          </w:rPr>
          <w:fldChar w:fldCharType="separate"/>
        </w:r>
        <w:r w:rsidR="00961A66">
          <w:rPr>
            <w:webHidden/>
          </w:rPr>
          <w:t>21</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43" w:history="1">
        <w:r w:rsidR="00013F0F" w:rsidRPr="00794C12">
          <w:rPr>
            <w:rStyle w:val="Hyperlink"/>
          </w:rPr>
          <w:t>Reference Standard</w:t>
        </w:r>
        <w:r w:rsidR="00013F0F">
          <w:rPr>
            <w:webHidden/>
          </w:rPr>
          <w:tab/>
        </w:r>
        <w:r w:rsidR="00013F0F">
          <w:rPr>
            <w:webHidden/>
          </w:rPr>
          <w:fldChar w:fldCharType="begin"/>
        </w:r>
        <w:r w:rsidR="00013F0F">
          <w:rPr>
            <w:webHidden/>
          </w:rPr>
          <w:instrText xml:space="preserve"> PAGEREF _Toc445384043 \h </w:instrText>
        </w:r>
        <w:r w:rsidR="00013F0F">
          <w:rPr>
            <w:webHidden/>
          </w:rPr>
        </w:r>
        <w:r w:rsidR="00013F0F">
          <w:rPr>
            <w:webHidden/>
          </w:rPr>
          <w:fldChar w:fldCharType="separate"/>
        </w:r>
        <w:r w:rsidR="00961A66">
          <w:rPr>
            <w:webHidden/>
          </w:rPr>
          <w:t>22</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44" w:history="1">
        <w:r w:rsidR="00013F0F" w:rsidRPr="00794C12">
          <w:rPr>
            <w:rStyle w:val="Hyperlink"/>
          </w:rPr>
          <w:t>Outcomes and health care resources affected by introduction of proposed intervention</w:t>
        </w:r>
        <w:r w:rsidR="00013F0F">
          <w:rPr>
            <w:webHidden/>
          </w:rPr>
          <w:tab/>
        </w:r>
        <w:r w:rsidR="00013F0F">
          <w:rPr>
            <w:webHidden/>
          </w:rPr>
          <w:fldChar w:fldCharType="begin"/>
        </w:r>
        <w:r w:rsidR="00013F0F">
          <w:rPr>
            <w:webHidden/>
          </w:rPr>
          <w:instrText xml:space="preserve"> PAGEREF _Toc445384044 \h </w:instrText>
        </w:r>
        <w:r w:rsidR="00013F0F">
          <w:rPr>
            <w:webHidden/>
          </w:rPr>
        </w:r>
        <w:r w:rsidR="00013F0F">
          <w:rPr>
            <w:webHidden/>
          </w:rPr>
          <w:fldChar w:fldCharType="separate"/>
        </w:r>
        <w:r w:rsidR="00961A66">
          <w:rPr>
            <w:webHidden/>
          </w:rPr>
          <w:t>22</w:t>
        </w:r>
        <w:r w:rsidR="00013F0F">
          <w:rPr>
            <w:webHidden/>
          </w:rPr>
          <w:fldChar w:fldCharType="end"/>
        </w:r>
      </w:hyperlink>
    </w:p>
    <w:p w:rsidR="00013F0F" w:rsidRDefault="006A0A83">
      <w:pPr>
        <w:pStyle w:val="TOC2"/>
        <w:rPr>
          <w:rFonts w:asciiTheme="minorHAnsi" w:eastAsiaTheme="minorEastAsia" w:hAnsiTheme="minorHAnsi" w:cstheme="minorBidi"/>
          <w:sz w:val="22"/>
          <w:szCs w:val="22"/>
          <w:lang w:val="en-AU" w:eastAsia="en-AU"/>
        </w:rPr>
      </w:pPr>
      <w:hyperlink w:anchor="_Toc445384045" w:history="1">
        <w:r w:rsidR="00013F0F" w:rsidRPr="00794C12">
          <w:rPr>
            <w:rStyle w:val="Hyperlink"/>
            <w:lang w:val="en-AU"/>
          </w:rPr>
          <w:t>Outcomes</w:t>
        </w:r>
        <w:r w:rsidR="00013F0F">
          <w:rPr>
            <w:webHidden/>
          </w:rPr>
          <w:tab/>
        </w:r>
        <w:r w:rsidR="00013F0F">
          <w:rPr>
            <w:webHidden/>
          </w:rPr>
          <w:fldChar w:fldCharType="begin"/>
        </w:r>
        <w:r w:rsidR="00013F0F">
          <w:rPr>
            <w:webHidden/>
          </w:rPr>
          <w:instrText xml:space="preserve"> PAGEREF _Toc445384045 \h </w:instrText>
        </w:r>
        <w:r w:rsidR="00013F0F">
          <w:rPr>
            <w:webHidden/>
          </w:rPr>
        </w:r>
        <w:r w:rsidR="00013F0F">
          <w:rPr>
            <w:webHidden/>
          </w:rPr>
          <w:fldChar w:fldCharType="separate"/>
        </w:r>
        <w:r w:rsidR="00961A66">
          <w:rPr>
            <w:webHidden/>
          </w:rPr>
          <w:t>22</w:t>
        </w:r>
        <w:r w:rsidR="00013F0F">
          <w:rPr>
            <w:webHidden/>
          </w:rPr>
          <w:fldChar w:fldCharType="end"/>
        </w:r>
      </w:hyperlink>
    </w:p>
    <w:p w:rsidR="00013F0F" w:rsidRDefault="006A0A83">
      <w:pPr>
        <w:pStyle w:val="TOC2"/>
        <w:rPr>
          <w:rFonts w:asciiTheme="minorHAnsi" w:eastAsiaTheme="minorEastAsia" w:hAnsiTheme="minorHAnsi" w:cstheme="minorBidi"/>
          <w:sz w:val="22"/>
          <w:szCs w:val="22"/>
          <w:lang w:val="en-AU" w:eastAsia="en-AU"/>
        </w:rPr>
      </w:pPr>
      <w:hyperlink w:anchor="_Toc445384046" w:history="1">
        <w:r w:rsidR="00013F0F" w:rsidRPr="00794C12">
          <w:rPr>
            <w:rStyle w:val="Hyperlink"/>
            <w:lang w:val="en-AU"/>
          </w:rPr>
          <w:t>Summary of PICO criteria for the assessment</w:t>
        </w:r>
        <w:r w:rsidR="00013F0F">
          <w:rPr>
            <w:webHidden/>
          </w:rPr>
          <w:tab/>
        </w:r>
        <w:r w:rsidR="00013F0F">
          <w:rPr>
            <w:webHidden/>
          </w:rPr>
          <w:fldChar w:fldCharType="begin"/>
        </w:r>
        <w:r w:rsidR="00013F0F">
          <w:rPr>
            <w:webHidden/>
          </w:rPr>
          <w:instrText xml:space="preserve"> PAGEREF _Toc445384046 \h </w:instrText>
        </w:r>
        <w:r w:rsidR="00013F0F">
          <w:rPr>
            <w:webHidden/>
          </w:rPr>
        </w:r>
        <w:r w:rsidR="00013F0F">
          <w:rPr>
            <w:webHidden/>
          </w:rPr>
          <w:fldChar w:fldCharType="separate"/>
        </w:r>
        <w:r w:rsidR="00961A66">
          <w:rPr>
            <w:webHidden/>
          </w:rPr>
          <w:t>24</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47" w:history="1">
        <w:r w:rsidR="00013F0F" w:rsidRPr="00794C12">
          <w:rPr>
            <w:rStyle w:val="Hyperlink"/>
          </w:rPr>
          <w:t>References</w:t>
        </w:r>
        <w:r w:rsidR="00013F0F">
          <w:rPr>
            <w:webHidden/>
          </w:rPr>
          <w:tab/>
        </w:r>
        <w:r w:rsidR="00013F0F">
          <w:rPr>
            <w:webHidden/>
          </w:rPr>
          <w:fldChar w:fldCharType="begin"/>
        </w:r>
        <w:r w:rsidR="00013F0F">
          <w:rPr>
            <w:webHidden/>
          </w:rPr>
          <w:instrText xml:space="preserve"> PAGEREF _Toc445384047 \h </w:instrText>
        </w:r>
        <w:r w:rsidR="00013F0F">
          <w:rPr>
            <w:webHidden/>
          </w:rPr>
        </w:r>
        <w:r w:rsidR="00013F0F">
          <w:rPr>
            <w:webHidden/>
          </w:rPr>
          <w:fldChar w:fldCharType="separate"/>
        </w:r>
        <w:r w:rsidR="00961A66">
          <w:rPr>
            <w:webHidden/>
          </w:rPr>
          <w:t>26</w:t>
        </w:r>
        <w:r w:rsidR="00013F0F">
          <w:rPr>
            <w:webHidden/>
          </w:rPr>
          <w:fldChar w:fldCharType="end"/>
        </w:r>
      </w:hyperlink>
    </w:p>
    <w:p w:rsidR="00013F0F" w:rsidRDefault="006A0A83">
      <w:pPr>
        <w:pStyle w:val="TOC1"/>
        <w:rPr>
          <w:rFonts w:asciiTheme="minorHAnsi" w:eastAsiaTheme="minorEastAsia" w:hAnsiTheme="minorHAnsi" w:cstheme="minorBidi"/>
          <w:b w:val="0"/>
          <w:sz w:val="22"/>
          <w:szCs w:val="22"/>
          <w:lang w:eastAsia="en-AU"/>
        </w:rPr>
      </w:pPr>
      <w:hyperlink w:anchor="_Toc445384048" w:history="1">
        <w:r w:rsidR="00013F0F" w:rsidRPr="00794C12">
          <w:rPr>
            <w:rStyle w:val="Hyperlink"/>
          </w:rPr>
          <w:t>Appendix 1: Issues to consider in the Assessment Report</w:t>
        </w:r>
        <w:r w:rsidR="00013F0F">
          <w:rPr>
            <w:webHidden/>
          </w:rPr>
          <w:tab/>
        </w:r>
        <w:r w:rsidR="00013F0F">
          <w:rPr>
            <w:webHidden/>
          </w:rPr>
          <w:fldChar w:fldCharType="begin"/>
        </w:r>
        <w:r w:rsidR="00013F0F">
          <w:rPr>
            <w:webHidden/>
          </w:rPr>
          <w:instrText xml:space="preserve"> PAGEREF _Toc445384048 \h </w:instrText>
        </w:r>
        <w:r w:rsidR="00013F0F">
          <w:rPr>
            <w:webHidden/>
          </w:rPr>
        </w:r>
        <w:r w:rsidR="00013F0F">
          <w:rPr>
            <w:webHidden/>
          </w:rPr>
          <w:fldChar w:fldCharType="separate"/>
        </w:r>
        <w:r w:rsidR="00961A66">
          <w:rPr>
            <w:webHidden/>
          </w:rPr>
          <w:t>27</w:t>
        </w:r>
        <w:r w:rsidR="00013F0F">
          <w:rPr>
            <w:webHidden/>
          </w:rPr>
          <w:fldChar w:fldCharType="end"/>
        </w:r>
      </w:hyperlink>
    </w:p>
    <w:p w:rsidR="007252D5" w:rsidRPr="00145D14" w:rsidRDefault="00FB1012" w:rsidP="000901A8">
      <w:r>
        <w:fldChar w:fldCharType="end"/>
      </w:r>
    </w:p>
    <w:p w:rsidR="007252D5" w:rsidRPr="00145D14" w:rsidRDefault="007252D5" w:rsidP="000901A8">
      <w:r w:rsidRPr="00145D14">
        <w:br w:type="page"/>
      </w:r>
    </w:p>
    <w:p w:rsidR="006B02B6" w:rsidRPr="00145D14" w:rsidRDefault="006B02B6" w:rsidP="006B02B6">
      <w:pPr>
        <w:pStyle w:val="Heading1"/>
      </w:pPr>
      <w:bookmarkStart w:id="1" w:name="_Toc411240124"/>
      <w:bookmarkStart w:id="2" w:name="_Toc445384027"/>
      <w:bookmarkEnd w:id="0"/>
      <w:r w:rsidRPr="00145D14">
        <w:lastRenderedPageBreak/>
        <w:t>MSAC and PASC</w:t>
      </w:r>
      <w:bookmarkEnd w:id="1"/>
      <w:bookmarkEnd w:id="2"/>
    </w:p>
    <w:p w:rsidR="006B02B6" w:rsidRPr="00145D14" w:rsidRDefault="006B02B6" w:rsidP="006B02B6">
      <w:r w:rsidRPr="00145D14">
        <w:t>The Medical Services Advisory Committee (MSAC) is an independent expert committee</w:t>
      </w:r>
      <w:r w:rsidR="003F1C4E">
        <w:t>,</w:t>
      </w:r>
      <w:r w:rsidRPr="00145D14">
        <w:t xml:space="preserve"> appointed by the Minister for Health (the Minister) to strengthen the role of evidence in health financing decisions in Australia. MSAC advises the Minister on evidence relating to the safety, effectiveness and cost-effectiveness of new and existing medical technologies and procedures and under what circumstances public funding should be supported.</w:t>
      </w:r>
    </w:p>
    <w:p w:rsidR="006B02B6" w:rsidRPr="00145D14" w:rsidRDefault="006B02B6" w:rsidP="006B02B6">
      <w:r w:rsidRPr="00145D14">
        <w:t>The P</w:t>
      </w:r>
      <w:r w:rsidR="00FE755D">
        <w:t>ICO</w:t>
      </w:r>
      <w:r w:rsidRPr="00145D14">
        <w:t xml:space="preserve"> Advisory Sub-Committee (PASC)</w:t>
      </w:r>
      <w:r w:rsidR="00FE755D">
        <w:t>, formerly called the Protocol Advisory Sub-Committee,</w:t>
      </w:r>
      <w:r w:rsidRPr="00145D14">
        <w:t xml:space="preserve"> is a standing sub-committee of MSAC. Its primary objective is the determination of </w:t>
      </w:r>
      <w:r w:rsidR="00FE755D">
        <w:t xml:space="preserve">PICO Confirmations (formerly called </w:t>
      </w:r>
      <w:r w:rsidR="000B437B">
        <w:t>P</w:t>
      </w:r>
      <w:r w:rsidRPr="00145D14">
        <w:t>rotocols</w:t>
      </w:r>
      <w:r w:rsidR="00FE755D">
        <w:t>)</w:t>
      </w:r>
      <w:r w:rsidRPr="00145D14">
        <w:t xml:space="preserve"> to guide clinical and economic assessments of medical interventions proposed for public funding.</w:t>
      </w:r>
      <w:r w:rsidR="00FE755D">
        <w:t xml:space="preserve"> </w:t>
      </w:r>
      <w:r w:rsidR="00FE755D" w:rsidRPr="00FE755D">
        <w:rPr>
          <w:i/>
        </w:rPr>
        <w:t>(PICO stands for ‘</w:t>
      </w:r>
      <w:r w:rsidR="00FE755D">
        <w:rPr>
          <w:i/>
        </w:rPr>
        <w:t>P</w:t>
      </w:r>
      <w:r w:rsidR="00FE755D" w:rsidRPr="00FE755D">
        <w:rPr>
          <w:i/>
        </w:rPr>
        <w:t>opulation’, ‘</w:t>
      </w:r>
      <w:r w:rsidR="00FE755D">
        <w:rPr>
          <w:i/>
        </w:rPr>
        <w:t>I</w:t>
      </w:r>
      <w:r w:rsidR="00FE755D" w:rsidRPr="00FE755D">
        <w:rPr>
          <w:i/>
        </w:rPr>
        <w:t>ntervention’, ‘</w:t>
      </w:r>
      <w:r w:rsidR="00FE755D">
        <w:rPr>
          <w:i/>
        </w:rPr>
        <w:t>C</w:t>
      </w:r>
      <w:r w:rsidR="00FE755D" w:rsidRPr="00FE755D">
        <w:rPr>
          <w:i/>
        </w:rPr>
        <w:t>omparator’ and ‘</w:t>
      </w:r>
      <w:r w:rsidR="00FE755D">
        <w:rPr>
          <w:i/>
        </w:rPr>
        <w:t>O</w:t>
      </w:r>
      <w:r w:rsidR="00FE755D" w:rsidRPr="00FE755D">
        <w:rPr>
          <w:i/>
        </w:rPr>
        <w:t>utcome’.)</w:t>
      </w:r>
    </w:p>
    <w:p w:rsidR="006B02B6" w:rsidRPr="00145D14" w:rsidRDefault="006B02B6" w:rsidP="006B02B6">
      <w:pPr>
        <w:pStyle w:val="Heading2"/>
        <w:rPr>
          <w:lang w:val="en-AU"/>
        </w:rPr>
      </w:pPr>
      <w:bookmarkStart w:id="3" w:name="_Toc411240125"/>
      <w:bookmarkStart w:id="4" w:name="_Toc445384028"/>
      <w:r w:rsidRPr="00145D14">
        <w:rPr>
          <w:lang w:val="en-AU"/>
        </w:rPr>
        <w:t>Purpose of this document</w:t>
      </w:r>
      <w:bookmarkEnd w:id="3"/>
      <w:bookmarkEnd w:id="4"/>
    </w:p>
    <w:p w:rsidR="006B02B6" w:rsidRPr="00145D14" w:rsidRDefault="006B02B6" w:rsidP="006B02B6">
      <w:r w:rsidRPr="00145D14">
        <w:t xml:space="preserve">This document is intended to provide </w:t>
      </w:r>
      <w:r w:rsidR="001B1416">
        <w:t>confirmation of the PICO</w:t>
      </w:r>
      <w:r w:rsidRPr="00145D14">
        <w:t xml:space="preserve"> that will be used to guide assessment of </w:t>
      </w:r>
      <w:r w:rsidR="005B6E9F">
        <w:t>this</w:t>
      </w:r>
      <w:r w:rsidRPr="00145D14">
        <w:t xml:space="preserve"> intervention for a particular population of patients. </w:t>
      </w:r>
      <w:r w:rsidR="000B437B">
        <w:t xml:space="preserve">It is called a Protocol in this application, because the application was lodged prior to MSAC reforms. </w:t>
      </w:r>
      <w:r w:rsidR="005B6E9F">
        <w:t xml:space="preserve">‘Protocols’ are now called ‘PICO Confirmations’. </w:t>
      </w:r>
      <w:r w:rsidRPr="00145D14">
        <w:t xml:space="preserve">The </w:t>
      </w:r>
      <w:r w:rsidR="000B437B">
        <w:t>Protocol/</w:t>
      </w:r>
      <w:r w:rsidR="001B1416">
        <w:t>PICO Confirmation</w:t>
      </w:r>
      <w:r w:rsidRPr="00145D14">
        <w:t xml:space="preserve"> </w:t>
      </w:r>
      <w:r w:rsidR="001B1416">
        <w:t xml:space="preserve">has been </w:t>
      </w:r>
      <w:r w:rsidRPr="00145D14">
        <w:t xml:space="preserve">finalised after relevant stakeholders </w:t>
      </w:r>
      <w:r w:rsidR="000B437B">
        <w:t xml:space="preserve">have provided </w:t>
      </w:r>
      <w:r w:rsidRPr="00145D14">
        <w:t xml:space="preserve">input. The final </w:t>
      </w:r>
      <w:r w:rsidR="001B1416">
        <w:t xml:space="preserve">PICO </w:t>
      </w:r>
      <w:r w:rsidRPr="00145D14">
        <w:t>provide</w:t>
      </w:r>
      <w:r w:rsidR="001B1416">
        <w:t>s</w:t>
      </w:r>
      <w:r w:rsidRPr="00145D14">
        <w:t xml:space="preserve"> the basis for assessment of the intervention.</w:t>
      </w:r>
    </w:p>
    <w:p w:rsidR="006B02B6" w:rsidRPr="00145D14" w:rsidRDefault="006B02B6" w:rsidP="006B02B6">
      <w:r w:rsidRPr="00145D14">
        <w:t xml:space="preserve">The </w:t>
      </w:r>
      <w:r w:rsidR="001B1416">
        <w:t>P</w:t>
      </w:r>
      <w:r w:rsidR="005B6E9F">
        <w:t>rotocol/P</w:t>
      </w:r>
      <w:r w:rsidR="001B1416">
        <w:t>ICO Confirmation</w:t>
      </w:r>
      <w:r w:rsidR="005B6E9F">
        <w:t xml:space="preserve"> </w:t>
      </w:r>
      <w:r w:rsidRPr="00145D14">
        <w:t>guiding the assessment of th</w:t>
      </w:r>
      <w:r w:rsidR="001B1416">
        <w:t>is</w:t>
      </w:r>
      <w:r w:rsidRPr="00145D14">
        <w:t xml:space="preserve"> health intervention has been developed using the widely accepted </w:t>
      </w:r>
      <w:r w:rsidR="00EB6F40">
        <w:t>‘</w:t>
      </w:r>
      <w:r w:rsidRPr="00145D14">
        <w:t>PICO</w:t>
      </w:r>
      <w:r w:rsidR="00EB6F40">
        <w:t>’</w:t>
      </w:r>
      <w:r w:rsidRPr="00145D14">
        <w:t xml:space="preserve"> approach. The PICO approach involves clear articulation of the following aspects of the research question the assessment is intended to answer:</w:t>
      </w:r>
    </w:p>
    <w:p w:rsidR="006B02B6" w:rsidRPr="00145D14" w:rsidRDefault="006B02B6" w:rsidP="005B6E9F">
      <w:pPr>
        <w:pStyle w:val="ListParagraph"/>
        <w:ind w:left="284"/>
      </w:pPr>
      <w:r w:rsidRPr="00145D14">
        <w:rPr>
          <w:b/>
          <w:u w:val="single"/>
        </w:rPr>
        <w:t>P</w:t>
      </w:r>
      <w:r w:rsidRPr="00145D14">
        <w:t xml:space="preserve">atients – specification of characteristics of patients </w:t>
      </w:r>
      <w:r w:rsidR="00EB6F40">
        <w:t xml:space="preserve">in </w:t>
      </w:r>
      <w:r w:rsidRPr="00145D14">
        <w:t xml:space="preserve">whom the intervention </w:t>
      </w:r>
      <w:r w:rsidR="00EB6F40">
        <w:t xml:space="preserve">will be </w:t>
      </w:r>
      <w:r w:rsidRPr="00145D14">
        <w:t>considered for use;</w:t>
      </w:r>
    </w:p>
    <w:p w:rsidR="006B02B6" w:rsidRPr="00145D14" w:rsidRDefault="006B02B6" w:rsidP="005B6E9F">
      <w:pPr>
        <w:pStyle w:val="ListParagraph"/>
        <w:ind w:left="284"/>
      </w:pPr>
      <w:r w:rsidRPr="00145D14">
        <w:rPr>
          <w:b/>
          <w:u w:val="single"/>
        </w:rPr>
        <w:t>I</w:t>
      </w:r>
      <w:r w:rsidRPr="00145D14">
        <w:t>ntervention – specification of the proposed intervention</w:t>
      </w:r>
    </w:p>
    <w:p w:rsidR="006B02B6" w:rsidRPr="00145D14" w:rsidRDefault="006B02B6" w:rsidP="005B6E9F">
      <w:pPr>
        <w:pStyle w:val="ListParagraph"/>
        <w:ind w:left="284"/>
      </w:pPr>
      <w:r w:rsidRPr="00145D14">
        <w:rPr>
          <w:b/>
          <w:u w:val="single"/>
        </w:rPr>
        <w:t>C</w:t>
      </w:r>
      <w:r w:rsidRPr="00145D14">
        <w:t>omparator – specification of the therapy most likely to be replaced by the proposed intervention</w:t>
      </w:r>
    </w:p>
    <w:p w:rsidR="006B02B6" w:rsidRPr="00145D14" w:rsidRDefault="006B02B6" w:rsidP="005B6E9F">
      <w:pPr>
        <w:pStyle w:val="ListParagraph"/>
        <w:ind w:left="284"/>
      </w:pPr>
      <w:r w:rsidRPr="00145D14">
        <w:rPr>
          <w:b/>
          <w:u w:val="single"/>
        </w:rPr>
        <w:t>O</w:t>
      </w:r>
      <w:r w:rsidRPr="00145D14">
        <w:t>utcomes – specification of health outcomes and healthcare resources likely to be affected by introduction of the proposed intervention</w:t>
      </w:r>
    </w:p>
    <w:p w:rsidR="007252D5" w:rsidRPr="00145D14" w:rsidRDefault="007252D5" w:rsidP="000901A8">
      <w:pPr>
        <w:rPr>
          <w:color w:val="215868"/>
          <w:szCs w:val="32"/>
        </w:rPr>
      </w:pPr>
      <w:r w:rsidRPr="00145D14">
        <w:br w:type="page"/>
      </w:r>
    </w:p>
    <w:p w:rsidR="00E2519C" w:rsidRDefault="00E2519C" w:rsidP="000901A8">
      <w:pPr>
        <w:pStyle w:val="Heading1"/>
      </w:pPr>
      <w:bookmarkStart w:id="5" w:name="_Toc445384029"/>
      <w:r>
        <w:lastRenderedPageBreak/>
        <w:t>Summary of matters for which PASC seeks input</w:t>
      </w:r>
      <w:bookmarkEnd w:id="5"/>
    </w:p>
    <w:p w:rsidR="00914697" w:rsidRDefault="00914697" w:rsidP="00914697">
      <w:r>
        <w:t>PASC request</w:t>
      </w:r>
      <w:r w:rsidR="00EB6F40">
        <w:t>ed</w:t>
      </w:r>
      <w:r>
        <w:t xml:space="preserve"> that the applicant note the following issues and consider addressing the</w:t>
      </w:r>
      <w:r w:rsidR="00EB6F40">
        <w:t>se</w:t>
      </w:r>
      <w:r>
        <w:t xml:space="preserve"> issues in its application:</w:t>
      </w:r>
    </w:p>
    <w:p w:rsidR="00E2519C" w:rsidRDefault="00E2519C" w:rsidP="00E2519C">
      <w:r>
        <w:t xml:space="preserve">PASC advised </w:t>
      </w:r>
      <w:r w:rsidR="00914697">
        <w:t>the applicants to</w:t>
      </w:r>
      <w:r>
        <w:t>:</w:t>
      </w:r>
    </w:p>
    <w:p w:rsidR="00914697" w:rsidRDefault="00914697" w:rsidP="008E2A57">
      <w:pPr>
        <w:pStyle w:val="ListParagraph"/>
        <w:numPr>
          <w:ilvl w:val="0"/>
          <w:numId w:val="54"/>
        </w:numPr>
      </w:pPr>
      <w:r>
        <w:t xml:space="preserve">Clarify </w:t>
      </w:r>
      <w:r w:rsidR="00EB6F40">
        <w:t xml:space="preserve">that </w:t>
      </w:r>
      <w:r>
        <w:t xml:space="preserve">infection is excluded from the patient population and there are no </w:t>
      </w:r>
      <w:r w:rsidR="00EB6F40">
        <w:t>‘</w:t>
      </w:r>
      <w:r>
        <w:t>alert</w:t>
      </w:r>
      <w:r w:rsidR="00EB6F40">
        <w:t>’</w:t>
      </w:r>
      <w:r>
        <w:t xml:space="preserve"> signs or symptoms raising suspicion of cancer.</w:t>
      </w:r>
    </w:p>
    <w:p w:rsidR="008E2A57" w:rsidRDefault="008935BB" w:rsidP="000B5199">
      <w:pPr>
        <w:pStyle w:val="ListParagraph"/>
        <w:numPr>
          <w:ilvl w:val="0"/>
          <w:numId w:val="54"/>
        </w:numPr>
      </w:pPr>
      <w:r w:rsidRPr="00D270B2">
        <w:t>Consider specifically adopting</w:t>
      </w:r>
      <w:r w:rsidR="008E2A57" w:rsidRPr="00D270B2">
        <w:t xml:space="preserve"> patient populations</w:t>
      </w:r>
      <w:r w:rsidR="008E2A57">
        <w:t xml:space="preserve"> </w:t>
      </w:r>
      <w:r w:rsidR="00EB6F40">
        <w:t xml:space="preserve">that </w:t>
      </w:r>
      <w:r w:rsidR="008E2A57">
        <w:t xml:space="preserve">have been found to be most efficacious for economic modelling by </w:t>
      </w:r>
      <w:r w:rsidR="000B5199">
        <w:t xml:space="preserve">the United Kingdom’s </w:t>
      </w:r>
      <w:r w:rsidR="000B5199" w:rsidRPr="000B5199">
        <w:t>National Institute for Health and Care Excellence</w:t>
      </w:r>
      <w:r w:rsidR="000B5199">
        <w:t xml:space="preserve"> (NICE)</w:t>
      </w:r>
      <w:r w:rsidR="008E2A57">
        <w:t xml:space="preserve"> (e</w:t>
      </w:r>
      <w:r w:rsidR="00AE5DA1">
        <w:t>.</w:t>
      </w:r>
      <w:r w:rsidR="008E2A57">
        <w:t xml:space="preserve">g. </w:t>
      </w:r>
      <w:r w:rsidR="003A2411">
        <w:t>i</w:t>
      </w:r>
      <w:r w:rsidR="00445CC5" w:rsidRPr="00445CC5">
        <w:t xml:space="preserve">nflammatory bowel disease </w:t>
      </w:r>
      <w:r w:rsidR="00445CC5">
        <w:t>(</w:t>
      </w:r>
      <w:r w:rsidR="008E2A57">
        <w:t>IBD</w:t>
      </w:r>
      <w:r w:rsidR="00445CC5">
        <w:t>)</w:t>
      </w:r>
      <w:r w:rsidR="008E2A57">
        <w:t xml:space="preserve"> vs </w:t>
      </w:r>
      <w:r w:rsidR="003A2411">
        <w:t>i</w:t>
      </w:r>
      <w:r w:rsidR="00445CC5" w:rsidRPr="00445CC5">
        <w:t xml:space="preserve">rritable bowel syndrome </w:t>
      </w:r>
      <w:r w:rsidR="00445CC5">
        <w:t>(</w:t>
      </w:r>
      <w:r w:rsidR="008E2A57">
        <w:t>IBS</w:t>
      </w:r>
      <w:r w:rsidR="00445CC5">
        <w:t>)</w:t>
      </w:r>
      <w:r w:rsidR="008E2A57">
        <w:t xml:space="preserve"> in adults, IBD vs </w:t>
      </w:r>
      <w:r w:rsidR="004856C2">
        <w:t>‘</w:t>
      </w:r>
      <w:r w:rsidR="008E2A57">
        <w:t>other</w:t>
      </w:r>
      <w:r w:rsidR="004856C2">
        <w:t xml:space="preserve">’ </w:t>
      </w:r>
      <w:r w:rsidR="008E2A57">
        <w:t>in children)</w:t>
      </w:r>
      <w:r w:rsidR="004856C2">
        <w:t>.</w:t>
      </w:r>
    </w:p>
    <w:p w:rsidR="008E2A57" w:rsidRDefault="008E2A57" w:rsidP="008E2A57">
      <w:pPr>
        <w:pStyle w:val="ListParagraph"/>
        <w:numPr>
          <w:ilvl w:val="0"/>
          <w:numId w:val="54"/>
        </w:numPr>
      </w:pPr>
      <w:r>
        <w:t>Include data relating to predictive value of the assay at different ages</w:t>
      </w:r>
      <w:r w:rsidR="004856C2">
        <w:t>,</w:t>
      </w:r>
      <w:r>
        <w:t xml:space="preserve"> in view of the varying incidences of IBD and likely impact of confounding diseases.</w:t>
      </w:r>
    </w:p>
    <w:p w:rsidR="00E2519C" w:rsidRDefault="00626E92" w:rsidP="00FE5732">
      <w:pPr>
        <w:pStyle w:val="ListParagraph"/>
        <w:numPr>
          <w:ilvl w:val="0"/>
          <w:numId w:val="54"/>
        </w:numPr>
      </w:pPr>
      <w:r>
        <w:t xml:space="preserve">Include MBS items 72823 or 72824 (pathology biopsy costs) under </w:t>
      </w:r>
      <w:r w:rsidR="004856C2">
        <w:t>c</w:t>
      </w:r>
      <w:r>
        <w:t>urrent MBS item</w:t>
      </w:r>
      <w:r w:rsidR="004856C2">
        <w:t>s</w:t>
      </w:r>
      <w:r>
        <w:t xml:space="preserve"> for colonoscopy and endoscopy.</w:t>
      </w:r>
    </w:p>
    <w:p w:rsidR="00626E92" w:rsidRDefault="00626E92" w:rsidP="00445CC5">
      <w:pPr>
        <w:pStyle w:val="ListParagraph"/>
        <w:numPr>
          <w:ilvl w:val="0"/>
          <w:numId w:val="54"/>
        </w:numPr>
      </w:pPr>
      <w:r>
        <w:t xml:space="preserve">Justify the cut-off points used by different assays (point of care test and </w:t>
      </w:r>
      <w:r w:rsidR="00445CC5" w:rsidRPr="00445CC5">
        <w:t xml:space="preserve">enzyme-linked </w:t>
      </w:r>
      <w:proofErr w:type="spellStart"/>
      <w:r w:rsidR="00445CC5" w:rsidRPr="00445CC5">
        <w:t>immunosorbent</w:t>
      </w:r>
      <w:proofErr w:type="spellEnd"/>
      <w:r w:rsidR="00445CC5" w:rsidRPr="00445CC5">
        <w:t xml:space="preserve"> assay</w:t>
      </w:r>
      <w:r w:rsidR="00445CC5">
        <w:t xml:space="preserve">; </w:t>
      </w:r>
      <w:r>
        <w:t>ELISA). PASC advised there is limited data on concordance between the different assays and comparison between different assays of each class.</w:t>
      </w:r>
    </w:p>
    <w:p w:rsidR="0092336E" w:rsidRDefault="0092336E" w:rsidP="00FE5732">
      <w:pPr>
        <w:pStyle w:val="ListParagraph"/>
        <w:numPr>
          <w:ilvl w:val="0"/>
          <w:numId w:val="54"/>
        </w:numPr>
      </w:pPr>
      <w:r>
        <w:t>Define and justify the thresholds for ‘indeterminate results’ (e</w:t>
      </w:r>
      <w:r w:rsidR="004856C2">
        <w:t>.</w:t>
      </w:r>
      <w:r>
        <w:t>g</w:t>
      </w:r>
      <w:r w:rsidR="004856C2">
        <w:t>.</w:t>
      </w:r>
      <w:r>
        <w:t xml:space="preserve"> between 50 and 100) and justify the algorithm for re-testing patients with indeterminate results.</w:t>
      </w:r>
    </w:p>
    <w:p w:rsidR="0092336E" w:rsidRDefault="0092336E" w:rsidP="00FE5732">
      <w:pPr>
        <w:pStyle w:val="ListParagraph"/>
        <w:numPr>
          <w:ilvl w:val="0"/>
          <w:numId w:val="54"/>
        </w:numPr>
      </w:pPr>
      <w:r>
        <w:t xml:space="preserve">Justify the </w:t>
      </w:r>
      <w:r w:rsidRPr="00772D5F">
        <w:t>propose</w:t>
      </w:r>
      <w:r w:rsidR="008935BB" w:rsidRPr="00772D5F">
        <w:t>d</w:t>
      </w:r>
      <w:r>
        <w:t xml:space="preserve"> IBD monitoring algorithm (four </w:t>
      </w:r>
      <w:proofErr w:type="spellStart"/>
      <w:r w:rsidR="00E34B85">
        <w:t>calprotectin</w:t>
      </w:r>
      <w:proofErr w:type="spellEnd"/>
      <w:r w:rsidR="00E34B85">
        <w:t xml:space="preserve"> tests </w:t>
      </w:r>
      <w:r>
        <w:t>per year</w:t>
      </w:r>
      <w:r w:rsidR="004856C2">
        <w:t>,</w:t>
      </w:r>
      <w:r>
        <w:t xml:space="preserve"> with more tests if the disease flares) and quote any available guidelines</w:t>
      </w:r>
      <w:r w:rsidR="00E34B85">
        <w:t xml:space="preserve"> for IBD monitoring</w:t>
      </w:r>
      <w:r>
        <w:t>.</w:t>
      </w:r>
    </w:p>
    <w:p w:rsidR="00E2519C" w:rsidRDefault="00FE5732" w:rsidP="00E2519C">
      <w:r>
        <w:t>PASC advised the comparator used in the submission should be colonoscopy/endoscopy and biopsy. The current proposed comparator is colonoscopy alone.</w:t>
      </w:r>
      <w:r w:rsidR="00802312">
        <w:t xml:space="preserve"> Determining the comparator for the second patient group (monitoring patients with known IBD) is more problematic and should include a combination of colonoscopy (and biopsy), </w:t>
      </w:r>
      <w:r w:rsidR="00445CC5" w:rsidRPr="00445CC5">
        <w:t>Erythrocyte sedimentation rate</w:t>
      </w:r>
      <w:r w:rsidR="00445CC5">
        <w:t>/</w:t>
      </w:r>
      <w:r w:rsidR="00445CC5" w:rsidRPr="00445CC5">
        <w:t>C-reactive protein</w:t>
      </w:r>
      <w:r w:rsidR="00445CC5">
        <w:t> (</w:t>
      </w:r>
      <w:r w:rsidR="00802312">
        <w:t>ESR/CPR</w:t>
      </w:r>
      <w:r w:rsidR="00445CC5">
        <w:t>)</w:t>
      </w:r>
      <w:r w:rsidR="00802312">
        <w:t xml:space="preserve"> </w:t>
      </w:r>
      <w:r w:rsidR="00445CC5">
        <w:t xml:space="preserve">testing </w:t>
      </w:r>
      <w:r w:rsidR="00802312">
        <w:t>and imaging (</w:t>
      </w:r>
      <w:r w:rsidR="00445CC5" w:rsidRPr="00445CC5">
        <w:t>Computed Tomography</w:t>
      </w:r>
      <w:r w:rsidR="00445CC5">
        <w:t>/</w:t>
      </w:r>
      <w:r w:rsidR="00445CC5" w:rsidRPr="00445CC5">
        <w:t>Magnetic Resonance Imaging</w:t>
      </w:r>
      <w:r w:rsidR="00445CC5">
        <w:t xml:space="preserve">; </w:t>
      </w:r>
      <w:r w:rsidR="00802312">
        <w:t>CT/MRI). These tests would not be all done quarterly as routine monitoring, and some would only be done in the context of a disease flare or complications.</w:t>
      </w:r>
    </w:p>
    <w:p w:rsidR="00E2519C" w:rsidRDefault="00E2519C" w:rsidP="00E2519C">
      <w:r>
        <w:t>PASC advised that</w:t>
      </w:r>
      <w:r w:rsidR="004856C2">
        <w:t>,</w:t>
      </w:r>
      <w:r>
        <w:t xml:space="preserve"> with respect to </w:t>
      </w:r>
      <w:r w:rsidR="00445CC5">
        <w:t>general practitioner (</w:t>
      </w:r>
      <w:r>
        <w:t>GP</w:t>
      </w:r>
      <w:r w:rsidR="00445CC5">
        <w:t>)</w:t>
      </w:r>
      <w:r>
        <w:t xml:space="preserve"> monitoring of IBD patients, the comparator for quarterly monitoring by faecal </w:t>
      </w:r>
      <w:proofErr w:type="spellStart"/>
      <w:r>
        <w:t>calprotectin</w:t>
      </w:r>
      <w:proofErr w:type="spellEnd"/>
      <w:r>
        <w:t xml:space="preserve"> suggested by Figures 4 and 5 would be routine blood tests (</w:t>
      </w:r>
      <w:r w:rsidR="00445CC5" w:rsidRPr="00445CC5">
        <w:t>full blood count</w:t>
      </w:r>
      <w:r w:rsidR="00445CC5">
        <w:t>/</w:t>
      </w:r>
      <w:r w:rsidR="00445CC5" w:rsidRPr="00445CC5">
        <w:t>Multi Biochemical Analysis</w:t>
      </w:r>
      <w:r w:rsidR="00445CC5">
        <w:t>-2</w:t>
      </w:r>
      <w:r w:rsidR="00445CC5" w:rsidRPr="00445CC5">
        <w:t>0</w:t>
      </w:r>
      <w:r w:rsidR="00445CC5">
        <w:t>;</w:t>
      </w:r>
      <w:r w:rsidR="00445CC5" w:rsidRPr="00445CC5">
        <w:t xml:space="preserve"> </w:t>
      </w:r>
      <w:r>
        <w:t>FBC/MBA-20, CRP/ESR +/</w:t>
      </w:r>
      <w:r w:rsidR="00445CC5">
        <w:noBreakHyphen/>
        <w:t> </w:t>
      </w:r>
      <w:r>
        <w:t xml:space="preserve">iron/B12 studies) performed 3-12 monthly depending on clinical circumstance. </w:t>
      </w:r>
    </w:p>
    <w:p w:rsidR="00E2519C" w:rsidRDefault="00E2519C" w:rsidP="00E2519C">
      <w:r>
        <w:t>PASC advised that</w:t>
      </w:r>
      <w:r w:rsidR="004856C2">
        <w:t>,</w:t>
      </w:r>
      <w:r>
        <w:t xml:space="preserve"> with respect to specialist monitoring of IBD patients (presumed to be the less stable patients), the comparator would be endoscopy/colonoscopy (and biopsy) +/- CT/MRI. Data on the current utilization of radiology in this cohort of patients would be of assistance in defining the most likely to be replaced comparator and should be sought from specialist bodies.</w:t>
      </w:r>
    </w:p>
    <w:p w:rsidR="00E2519C" w:rsidRDefault="00E2519C" w:rsidP="00E2519C">
      <w:r>
        <w:t xml:space="preserve">PASC noted that the outcomes have been updated in light of previous PASC and GESA recommendations.  </w:t>
      </w:r>
    </w:p>
    <w:p w:rsidR="00E2519C" w:rsidRDefault="00E2519C" w:rsidP="00E2519C">
      <w:r>
        <w:t xml:space="preserve">PASC </w:t>
      </w:r>
      <w:r w:rsidR="004856C2">
        <w:t xml:space="preserve">acknowledged </w:t>
      </w:r>
      <w:r>
        <w:t>the following amendments (</w:t>
      </w:r>
      <w:r w:rsidRPr="004856C2">
        <w:rPr>
          <w:b/>
        </w:rPr>
        <w:t>in bold</w:t>
      </w:r>
      <w:r>
        <w:t>) to the outcomes:</w:t>
      </w:r>
    </w:p>
    <w:p w:rsidR="00CB502A" w:rsidRDefault="00E2519C" w:rsidP="00CB502A">
      <w:pPr>
        <w:pStyle w:val="ListParagraph"/>
        <w:numPr>
          <w:ilvl w:val="0"/>
          <w:numId w:val="55"/>
        </w:numPr>
      </w:pPr>
      <w:r>
        <w:lastRenderedPageBreak/>
        <w:t xml:space="preserve">Faecal </w:t>
      </w:r>
      <w:proofErr w:type="spellStart"/>
      <w:r>
        <w:t>calprotectin</w:t>
      </w:r>
      <w:proofErr w:type="spellEnd"/>
      <w:r>
        <w:t xml:space="preserve"> test for differentiating between functional and</w:t>
      </w:r>
      <w:r w:rsidR="00CB502A">
        <w:t xml:space="preserve"> inflammatory bowel disorders:</w:t>
      </w:r>
    </w:p>
    <w:p w:rsidR="00CB502A" w:rsidRDefault="00E2519C" w:rsidP="00E2519C">
      <w:pPr>
        <w:pStyle w:val="ListParagraph"/>
        <w:numPr>
          <w:ilvl w:val="0"/>
          <w:numId w:val="56"/>
        </w:numPr>
      </w:pPr>
      <w:r>
        <w:t xml:space="preserve">Effectiveness </w:t>
      </w:r>
    </w:p>
    <w:p w:rsidR="00CB502A" w:rsidRDefault="00E2519C" w:rsidP="00CB502A">
      <w:pPr>
        <w:pStyle w:val="ListParagraph"/>
        <w:numPr>
          <w:ilvl w:val="1"/>
          <w:numId w:val="56"/>
        </w:numPr>
      </w:pPr>
      <w:r>
        <w:t>Diagnostic accuracy: sensitivity, specificity, NPV, PPV, AROC, additional true positives, additional true negatives, test reproducibility (</w:t>
      </w:r>
      <w:r w:rsidRPr="00CB502A">
        <w:rPr>
          <w:b/>
        </w:rPr>
        <w:t>within and between assays</w:t>
      </w:r>
      <w:r>
        <w:t>) and repeatability</w:t>
      </w:r>
    </w:p>
    <w:p w:rsidR="00CB502A" w:rsidRDefault="00E2519C" w:rsidP="00CB502A">
      <w:pPr>
        <w:pStyle w:val="ListParagraph"/>
        <w:numPr>
          <w:ilvl w:val="1"/>
          <w:numId w:val="56"/>
        </w:numPr>
      </w:pPr>
      <w:r>
        <w:t>Time to diagnosis and time to commencement of therapy</w:t>
      </w:r>
    </w:p>
    <w:p w:rsidR="00CB502A" w:rsidRDefault="00E2519C" w:rsidP="00CB502A">
      <w:pPr>
        <w:pStyle w:val="ListParagraph"/>
        <w:numPr>
          <w:ilvl w:val="1"/>
          <w:numId w:val="56"/>
        </w:numPr>
      </w:pPr>
      <w:r>
        <w:t>Change in patient management: colonoscopies avoided, delay in diagnosis due to false negatives</w:t>
      </w:r>
    </w:p>
    <w:p w:rsidR="00CB502A" w:rsidRDefault="00E2519C" w:rsidP="00CB502A">
      <w:pPr>
        <w:pStyle w:val="ListParagraph"/>
        <w:numPr>
          <w:ilvl w:val="1"/>
          <w:numId w:val="56"/>
        </w:numPr>
      </w:pPr>
      <w:r>
        <w:t>Other: disease-specific morbidity, disease progression, quality of life, impact on colonoscopy demand</w:t>
      </w:r>
    </w:p>
    <w:p w:rsidR="00CB502A" w:rsidRDefault="00E2519C" w:rsidP="00CB502A">
      <w:pPr>
        <w:pStyle w:val="ListParagraph"/>
        <w:numPr>
          <w:ilvl w:val="1"/>
          <w:numId w:val="56"/>
        </w:numPr>
      </w:pPr>
      <w:r>
        <w:t>Reduction in referrals to specialists</w:t>
      </w:r>
    </w:p>
    <w:p w:rsidR="00CB502A" w:rsidRDefault="00E2519C" w:rsidP="00E2519C">
      <w:pPr>
        <w:pStyle w:val="ListParagraph"/>
        <w:numPr>
          <w:ilvl w:val="0"/>
          <w:numId w:val="56"/>
        </w:numPr>
      </w:pPr>
      <w:r>
        <w:t>Safety</w:t>
      </w:r>
    </w:p>
    <w:p w:rsidR="00CB502A" w:rsidRDefault="00E2519C" w:rsidP="00CB502A">
      <w:pPr>
        <w:pStyle w:val="ListParagraph"/>
        <w:numPr>
          <w:ilvl w:val="1"/>
          <w:numId w:val="56"/>
        </w:numPr>
      </w:pPr>
      <w:r>
        <w:t>Adverse events: perforations avoided, bleeding</w:t>
      </w:r>
    </w:p>
    <w:p w:rsidR="00CB502A" w:rsidRDefault="00E2519C" w:rsidP="00E2519C">
      <w:pPr>
        <w:pStyle w:val="ListParagraph"/>
        <w:numPr>
          <w:ilvl w:val="0"/>
          <w:numId w:val="56"/>
        </w:numPr>
      </w:pPr>
      <w:r>
        <w:t>Economic</w:t>
      </w:r>
    </w:p>
    <w:p w:rsidR="00CB502A" w:rsidRDefault="00E2519C" w:rsidP="00CB502A">
      <w:pPr>
        <w:pStyle w:val="ListParagraph"/>
        <w:numPr>
          <w:ilvl w:val="1"/>
          <w:numId w:val="56"/>
        </w:numPr>
      </w:pPr>
      <w:r>
        <w:t>Cost-utility or a cost-effectiveness analysis</w:t>
      </w:r>
    </w:p>
    <w:p w:rsidR="00E2519C" w:rsidRDefault="00E2519C" w:rsidP="00CB502A">
      <w:pPr>
        <w:pStyle w:val="ListParagraph"/>
        <w:numPr>
          <w:ilvl w:val="1"/>
          <w:numId w:val="56"/>
        </w:numPr>
      </w:pPr>
      <w:r>
        <w:t>Time lost from work’</w:t>
      </w:r>
    </w:p>
    <w:p w:rsidR="00CB502A" w:rsidRDefault="00E2519C" w:rsidP="00E2519C">
      <w:pPr>
        <w:pStyle w:val="ListParagraph"/>
        <w:numPr>
          <w:ilvl w:val="0"/>
          <w:numId w:val="55"/>
        </w:numPr>
      </w:pPr>
      <w:r>
        <w:t xml:space="preserve">Faecal </w:t>
      </w:r>
      <w:proofErr w:type="spellStart"/>
      <w:r>
        <w:t>calprotectin</w:t>
      </w:r>
      <w:proofErr w:type="spellEnd"/>
      <w:r>
        <w:t xml:space="preserve"> test for monitoring those patients with IBD: </w:t>
      </w:r>
    </w:p>
    <w:p w:rsidR="00CB502A" w:rsidRDefault="00E2519C" w:rsidP="00E2519C">
      <w:pPr>
        <w:pStyle w:val="ListParagraph"/>
        <w:numPr>
          <w:ilvl w:val="1"/>
          <w:numId w:val="55"/>
        </w:numPr>
      </w:pPr>
      <w:r>
        <w:t xml:space="preserve">Effectiveness </w:t>
      </w:r>
    </w:p>
    <w:p w:rsidR="00CB502A" w:rsidRDefault="00E2519C" w:rsidP="00CB502A">
      <w:pPr>
        <w:pStyle w:val="ListParagraph"/>
        <w:numPr>
          <w:ilvl w:val="2"/>
          <w:numId w:val="55"/>
        </w:numPr>
      </w:pPr>
      <w:r>
        <w:t>Test reproducibility (</w:t>
      </w:r>
      <w:r w:rsidRPr="00CB502A">
        <w:rPr>
          <w:b/>
        </w:rPr>
        <w:t>within and between assays</w:t>
      </w:r>
      <w:r>
        <w:t>) and repeatability (coefficient of variance)</w:t>
      </w:r>
    </w:p>
    <w:p w:rsidR="00CB502A" w:rsidRDefault="00E2519C" w:rsidP="00CB502A">
      <w:pPr>
        <w:pStyle w:val="ListParagraph"/>
        <w:numPr>
          <w:ilvl w:val="2"/>
          <w:numId w:val="55"/>
        </w:numPr>
      </w:pPr>
      <w:r>
        <w:t xml:space="preserve">Diagnostic accuracy: sensitivity, specificity, NPV, PPV, AROC, additional true positives, additional true negatives, assay cut-offs for severity of acute inflammation, </w:t>
      </w:r>
      <w:r w:rsidRPr="00CB502A">
        <w:rPr>
          <w:b/>
        </w:rPr>
        <w:t xml:space="preserve">longitudinal correlation of faecal </w:t>
      </w:r>
      <w:proofErr w:type="spellStart"/>
      <w:r w:rsidRPr="00CB502A">
        <w:rPr>
          <w:b/>
        </w:rPr>
        <w:t>calprotectin</w:t>
      </w:r>
      <w:proofErr w:type="spellEnd"/>
      <w:r w:rsidRPr="00CB502A">
        <w:rPr>
          <w:b/>
        </w:rPr>
        <w:t xml:space="preserve"> levels and disease activity</w:t>
      </w:r>
      <w:r>
        <w:t xml:space="preserve"> </w:t>
      </w:r>
    </w:p>
    <w:p w:rsidR="00CB502A" w:rsidRDefault="00E2519C" w:rsidP="00CB502A">
      <w:pPr>
        <w:pStyle w:val="ListParagraph"/>
        <w:numPr>
          <w:ilvl w:val="2"/>
          <w:numId w:val="55"/>
        </w:numPr>
      </w:pPr>
      <w:r>
        <w:t xml:space="preserve">Change in patient management: colonoscopies and hospitalisations avoided; </w:t>
      </w:r>
      <w:r w:rsidRPr="00CB502A">
        <w:rPr>
          <w:b/>
        </w:rPr>
        <w:t>reduced use of imaging, reduced use of serum inflammatory markers, reduced specialist referrals for monitoring patient on immunotherapy</w:t>
      </w:r>
      <w:r>
        <w:t xml:space="preserve">, reduced need for biological therapies and surgery, how changes in </w:t>
      </w:r>
      <w:proofErr w:type="spellStart"/>
      <w:r>
        <w:t>calprotectin</w:t>
      </w:r>
      <w:proofErr w:type="spellEnd"/>
      <w:r>
        <w:t xml:space="preserve"> levels will influence patient management, </w:t>
      </w:r>
    </w:p>
    <w:p w:rsidR="00CB502A" w:rsidRDefault="00E2519C" w:rsidP="00CB502A">
      <w:pPr>
        <w:pStyle w:val="ListParagraph"/>
        <w:numPr>
          <w:ilvl w:val="2"/>
          <w:numId w:val="55"/>
        </w:numPr>
      </w:pPr>
      <w:r>
        <w:t xml:space="preserve">Other: disease-specific morbidity, disease progression, quality of life, impact on colonoscopy demand, confounding effect of other inflammatory GE disorders, longitudinal changes in </w:t>
      </w:r>
      <w:proofErr w:type="spellStart"/>
      <w:r>
        <w:t>calprotectin</w:t>
      </w:r>
      <w:proofErr w:type="spellEnd"/>
      <w:r>
        <w:t xml:space="preserve"> levels and correlation with symptoms and histological evidence of active inflammation, </w:t>
      </w:r>
      <w:r w:rsidRPr="00CB502A">
        <w:rPr>
          <w:b/>
        </w:rPr>
        <w:t>utilization of the assays between gastroenterologist and GP</w:t>
      </w:r>
      <w:r w:rsidR="0015752D">
        <w:rPr>
          <w:b/>
        </w:rPr>
        <w:t>.</w:t>
      </w:r>
    </w:p>
    <w:p w:rsidR="00CB502A" w:rsidRDefault="00E2519C" w:rsidP="00E2519C">
      <w:pPr>
        <w:pStyle w:val="ListParagraph"/>
        <w:numPr>
          <w:ilvl w:val="1"/>
          <w:numId w:val="55"/>
        </w:numPr>
      </w:pPr>
      <w:r>
        <w:t>Safety</w:t>
      </w:r>
    </w:p>
    <w:p w:rsidR="00CB502A" w:rsidRDefault="00E2519C" w:rsidP="00CB502A">
      <w:pPr>
        <w:pStyle w:val="ListParagraph"/>
        <w:numPr>
          <w:ilvl w:val="2"/>
          <w:numId w:val="55"/>
        </w:numPr>
      </w:pPr>
      <w:r>
        <w:t>Adverse events: perforations avoided, bleeding</w:t>
      </w:r>
    </w:p>
    <w:p w:rsidR="00CB502A" w:rsidRDefault="00E2519C" w:rsidP="00E2519C">
      <w:pPr>
        <w:pStyle w:val="ListParagraph"/>
        <w:numPr>
          <w:ilvl w:val="1"/>
          <w:numId w:val="55"/>
        </w:numPr>
      </w:pPr>
      <w:r>
        <w:t>Economic</w:t>
      </w:r>
    </w:p>
    <w:p w:rsidR="00CB502A" w:rsidRDefault="00E2519C" w:rsidP="00CB502A">
      <w:pPr>
        <w:pStyle w:val="ListParagraph"/>
        <w:numPr>
          <w:ilvl w:val="2"/>
          <w:numId w:val="55"/>
        </w:numPr>
      </w:pPr>
      <w:r>
        <w:t>Cost-utility or a cost-effectiveness analysis</w:t>
      </w:r>
    </w:p>
    <w:p w:rsidR="00E2519C" w:rsidRDefault="00E2519C" w:rsidP="00CB502A">
      <w:pPr>
        <w:pStyle w:val="ListParagraph"/>
        <w:numPr>
          <w:ilvl w:val="2"/>
          <w:numId w:val="55"/>
        </w:numPr>
      </w:pPr>
      <w:r>
        <w:t>Time lost from work</w:t>
      </w:r>
    </w:p>
    <w:p w:rsidR="00E2519C" w:rsidRDefault="00E2519C" w:rsidP="00E2519C">
      <w:r>
        <w:t xml:space="preserve">PASC advised that the MBS item descriptor should be revised to make it clear the assay is to distinguish between IBD and IBS. </w:t>
      </w:r>
    </w:p>
    <w:p w:rsidR="00E2519C" w:rsidRPr="00E2519C" w:rsidRDefault="00E2519C" w:rsidP="00E2519C">
      <w:r>
        <w:t xml:space="preserve">PASC advised that the reference standard for both indications should be colonoscopy and </w:t>
      </w:r>
      <w:r w:rsidRPr="000C66FB">
        <w:rPr>
          <w:u w:val="single"/>
        </w:rPr>
        <w:t>biopsy</w:t>
      </w:r>
      <w:r>
        <w:t>. PASC expressed doubts about the nomination of MRI as a reference standard for IBD.</w:t>
      </w:r>
    </w:p>
    <w:p w:rsidR="007252D5" w:rsidRPr="00145D14" w:rsidRDefault="007252D5" w:rsidP="000901A8">
      <w:pPr>
        <w:pStyle w:val="Heading1"/>
      </w:pPr>
      <w:bookmarkStart w:id="6" w:name="_Toc445384030"/>
      <w:r w:rsidRPr="00145D14">
        <w:lastRenderedPageBreak/>
        <w:t>Purpose of application</w:t>
      </w:r>
      <w:bookmarkEnd w:id="6"/>
    </w:p>
    <w:p w:rsidR="0054431F" w:rsidRPr="00145D14" w:rsidRDefault="004856C2" w:rsidP="003A2411">
      <w:pPr>
        <w:jc w:val="left"/>
      </w:pPr>
      <w:r>
        <w:t>In May 2014, a</w:t>
      </w:r>
      <w:r w:rsidR="0054431F" w:rsidRPr="00145D14">
        <w:t xml:space="preserve"> draft </w:t>
      </w:r>
      <w:r w:rsidR="00E8337E">
        <w:t>P</w:t>
      </w:r>
      <w:r w:rsidR="0054431F" w:rsidRPr="00145D14">
        <w:t xml:space="preserve">rotocol </w:t>
      </w:r>
      <w:r w:rsidR="00E939B9">
        <w:t xml:space="preserve">(for an MSAC application) </w:t>
      </w:r>
      <w:r w:rsidR="0054431F" w:rsidRPr="00145D14">
        <w:t xml:space="preserve">requesting MBS listing of </w:t>
      </w:r>
      <w:r w:rsidR="00BF5FF3">
        <w:t xml:space="preserve">faecal </w:t>
      </w:r>
      <w:proofErr w:type="spellStart"/>
      <w:r w:rsidR="00BF5FF3">
        <w:t>calprotectin</w:t>
      </w:r>
      <w:proofErr w:type="spellEnd"/>
      <w:r w:rsidR="00BF5FF3" w:rsidRPr="00145D14">
        <w:t xml:space="preserve"> </w:t>
      </w:r>
      <w:r w:rsidR="0054431F" w:rsidRPr="00145D14">
        <w:t>test for</w:t>
      </w:r>
      <w:r>
        <w:t>:</w:t>
      </w:r>
      <w:r w:rsidR="0054431F" w:rsidRPr="00145D14">
        <w:t xml:space="preserve"> </w:t>
      </w:r>
      <w:r w:rsidR="00BF5FF3" w:rsidRPr="00145D14">
        <w:t>(1)</w:t>
      </w:r>
      <w:r w:rsidR="003A2411">
        <w:t xml:space="preserve"> </w:t>
      </w:r>
      <w:r w:rsidR="0054431F" w:rsidRPr="00145D14">
        <w:t>differentia</w:t>
      </w:r>
      <w:r w:rsidR="007328EC" w:rsidRPr="00145D14">
        <w:t>l diagnosis</w:t>
      </w:r>
      <w:r w:rsidR="00442E24" w:rsidRPr="00145D14">
        <w:t xml:space="preserve"> of</w:t>
      </w:r>
      <w:r w:rsidR="0054431F" w:rsidRPr="00145D14">
        <w:t xml:space="preserve"> </w:t>
      </w:r>
      <w:r w:rsidR="00BF5FF3">
        <w:t>functional</w:t>
      </w:r>
      <w:r w:rsidR="00BF5FF3" w:rsidRPr="00145D14">
        <w:t xml:space="preserve"> </w:t>
      </w:r>
      <w:r w:rsidR="0054431F" w:rsidRPr="00145D14">
        <w:t xml:space="preserve">bowel </w:t>
      </w:r>
      <w:r w:rsidR="00BF5FF3">
        <w:t xml:space="preserve">disorders </w:t>
      </w:r>
      <w:r w:rsidR="007328EC" w:rsidRPr="00145D14">
        <w:t>from</w:t>
      </w:r>
      <w:r w:rsidR="0054431F" w:rsidRPr="00145D14">
        <w:t xml:space="preserve"> inflammatory bowel </w:t>
      </w:r>
      <w:r w:rsidR="00BF5FF3">
        <w:t>disorders</w:t>
      </w:r>
      <w:r w:rsidR="003A2411">
        <w:t>;</w:t>
      </w:r>
      <w:r w:rsidR="0054431F" w:rsidRPr="00145D14">
        <w:t xml:space="preserve"> and </w:t>
      </w:r>
      <w:r w:rsidR="003A2411">
        <w:br/>
      </w:r>
      <w:r w:rsidR="0054431F" w:rsidRPr="00145D14">
        <w:t>(2) monitoring disease activity in patients</w:t>
      </w:r>
      <w:r w:rsidR="00BF5FF3">
        <w:t xml:space="preserve"> with known inflammatory bowel disease</w:t>
      </w:r>
      <w:r w:rsidR="0045052A">
        <w:t>,</w:t>
      </w:r>
      <w:r w:rsidR="0054431F" w:rsidRPr="00145D14">
        <w:t xml:space="preserve"> was received </w:t>
      </w:r>
      <w:r w:rsidR="00E939B9">
        <w:t xml:space="preserve">by the Department of Health </w:t>
      </w:r>
      <w:r w:rsidR="0054431F" w:rsidRPr="00145D14">
        <w:t>from Taylor Bio-Medical Pty Ltd</w:t>
      </w:r>
      <w:r w:rsidR="00E939B9">
        <w:t>.</w:t>
      </w:r>
      <w:r w:rsidR="0054431F" w:rsidRPr="00145D14">
        <w:t xml:space="preserve"> The </w:t>
      </w:r>
      <w:r w:rsidR="00E8337E">
        <w:t>P</w:t>
      </w:r>
      <w:r w:rsidR="0054431F" w:rsidRPr="00145D14">
        <w:t xml:space="preserve">rotocol was </w:t>
      </w:r>
      <w:r w:rsidR="0054431F" w:rsidRPr="008444F5">
        <w:t>not ratified</w:t>
      </w:r>
      <w:r w:rsidR="0054431F" w:rsidRPr="00145D14">
        <w:t xml:space="preserve"> by PASC, </w:t>
      </w:r>
      <w:r w:rsidR="00F824C2" w:rsidRPr="00145D14">
        <w:t>although it was released for public consultation in October 2014. A</w:t>
      </w:r>
      <w:r w:rsidR="0054431F" w:rsidRPr="00145D14">
        <w:t xml:space="preserve">n amended </w:t>
      </w:r>
      <w:r w:rsidR="00E8337E">
        <w:t>P</w:t>
      </w:r>
      <w:r w:rsidR="0054431F" w:rsidRPr="00145D14">
        <w:t xml:space="preserve">rotocol was submitted by the </w:t>
      </w:r>
      <w:r w:rsidR="003A2411">
        <w:t>a</w:t>
      </w:r>
      <w:r w:rsidR="0054431F" w:rsidRPr="00145D14">
        <w:t>pplicant in October 2014</w:t>
      </w:r>
      <w:r w:rsidR="00F824C2" w:rsidRPr="00145D14">
        <w:t xml:space="preserve">, and considered at PASC’s December 2014 meeting. </w:t>
      </w:r>
      <w:r w:rsidR="0054431F" w:rsidRPr="00145D14">
        <w:t xml:space="preserve">The amended </w:t>
      </w:r>
      <w:r w:rsidR="00E8337E">
        <w:t>P</w:t>
      </w:r>
      <w:r w:rsidR="0054431F" w:rsidRPr="00145D14">
        <w:t xml:space="preserve">rotocol was </w:t>
      </w:r>
      <w:r w:rsidR="0054431F" w:rsidRPr="008444F5">
        <w:t>not ratified</w:t>
      </w:r>
      <w:r w:rsidR="0054431F" w:rsidRPr="00145D14">
        <w:t xml:space="preserve"> by PASC</w:t>
      </w:r>
      <w:r w:rsidR="000079C4">
        <w:t xml:space="preserve"> at that time</w:t>
      </w:r>
      <w:r w:rsidR="0054431F" w:rsidRPr="00145D14">
        <w:t xml:space="preserve">. The NHMRC Clinical Trials Centre was commissioned by the Department of Health to prepare the </w:t>
      </w:r>
      <w:r w:rsidR="00E939B9">
        <w:t xml:space="preserve">current </w:t>
      </w:r>
      <w:r w:rsidR="00E8337E">
        <w:t>Protocol/</w:t>
      </w:r>
      <w:r w:rsidR="00E939B9">
        <w:t>PICO Confirmation</w:t>
      </w:r>
      <w:r w:rsidR="0054431F" w:rsidRPr="00145D14">
        <w:t xml:space="preserve">. </w:t>
      </w:r>
      <w:r w:rsidR="00E8337E">
        <w:t>The final Protocol/PICO Confirmation was ratified by PASC on 30 May 2017.</w:t>
      </w:r>
    </w:p>
    <w:p w:rsidR="00763CD8" w:rsidRDefault="00221866" w:rsidP="00892A9A">
      <w:r w:rsidRPr="00145D14">
        <w:t xml:space="preserve">PASC also noted there are </w:t>
      </w:r>
      <w:bookmarkStart w:id="7" w:name="_GoBack"/>
      <w:bookmarkEnd w:id="7"/>
      <w:r w:rsidRPr="00145D14">
        <w:t xml:space="preserve">no domestic guidelines for </w:t>
      </w:r>
      <w:r w:rsidR="00892A9A">
        <w:t xml:space="preserve">faecal </w:t>
      </w:r>
      <w:proofErr w:type="spellStart"/>
      <w:r w:rsidR="00892A9A">
        <w:t>calprotectin</w:t>
      </w:r>
      <w:proofErr w:type="spellEnd"/>
      <w:r w:rsidR="00892A9A" w:rsidRPr="00145D14">
        <w:t xml:space="preserve"> </w:t>
      </w:r>
      <w:r w:rsidRPr="00892A9A">
        <w:t xml:space="preserve">testing. Consequently, public funding for this test would benefit from being accompanied by clinical practice guidelines. </w:t>
      </w:r>
      <w:r w:rsidR="004A523A">
        <w:t>International guidelines and de facto guidelines exist, in particular a Canadian guidance</w:t>
      </w:r>
      <w:r w:rsidR="009A43DD">
        <w:t>,</w:t>
      </w:r>
      <w:r w:rsidR="004A523A">
        <w:t xml:space="preserve"> </w:t>
      </w:r>
      <w:r w:rsidR="004A523A">
        <w:rPr>
          <w:i/>
        </w:rPr>
        <w:t xml:space="preserve">Clinicians’ guide to the use of </w:t>
      </w:r>
      <w:proofErr w:type="spellStart"/>
      <w:r w:rsidR="004A523A">
        <w:rPr>
          <w:i/>
        </w:rPr>
        <w:t>fecal</w:t>
      </w:r>
      <w:proofErr w:type="spellEnd"/>
      <w:r w:rsidR="004A523A">
        <w:rPr>
          <w:i/>
        </w:rPr>
        <w:t xml:space="preserve"> </w:t>
      </w:r>
      <w:proofErr w:type="spellStart"/>
      <w:r w:rsidR="004A523A">
        <w:rPr>
          <w:i/>
        </w:rPr>
        <w:t>Calprotectin</w:t>
      </w:r>
      <w:proofErr w:type="spellEnd"/>
      <w:r w:rsidR="004A523A">
        <w:rPr>
          <w:i/>
        </w:rPr>
        <w:t xml:space="preserve"> to identify and monitor disease activity in inflammatory bowel disease </w:t>
      </w:r>
      <w:r w:rsidR="009A1A4D">
        <w:rPr>
          <w:i/>
        </w:rPr>
        <w:t>2015</w:t>
      </w:r>
      <w:r w:rsidR="009A43DD">
        <w:rPr>
          <w:i/>
        </w:rPr>
        <w:t>,</w:t>
      </w:r>
      <w:r w:rsidR="004A523A">
        <w:rPr>
          <w:i/>
        </w:rPr>
        <w:t xml:space="preserve"> </w:t>
      </w:r>
      <w:r w:rsidR="004A523A" w:rsidRPr="00620681">
        <w:t>and</w:t>
      </w:r>
      <w:r w:rsidR="004A523A">
        <w:t xml:space="preserve"> two guidelines in Europe</w:t>
      </w:r>
      <w:r w:rsidR="009A43DD">
        <w:t>,</w:t>
      </w:r>
      <w:r w:rsidR="004A523A">
        <w:t xml:space="preserve"> </w:t>
      </w:r>
      <w:r w:rsidR="004A523A">
        <w:rPr>
          <w:i/>
        </w:rPr>
        <w:t>The second European evidence</w:t>
      </w:r>
      <w:r w:rsidR="004A523A">
        <w:rPr>
          <w:i/>
        </w:rPr>
        <w:noBreakHyphen/>
        <w:t xml:space="preserve">based consensus on the diagnosis and management of Crohn’s disease: Definition and Diagnosis </w:t>
      </w:r>
      <w:r w:rsidR="009A1A4D">
        <w:rPr>
          <w:i/>
        </w:rPr>
        <w:t xml:space="preserve">2012 </w:t>
      </w:r>
      <w:r w:rsidR="004A523A">
        <w:t xml:space="preserve">and </w:t>
      </w:r>
      <w:r w:rsidR="004A523A">
        <w:rPr>
          <w:i/>
        </w:rPr>
        <w:t xml:space="preserve">Second European evidence-based Consensus on the diagnosis and management of ulcerative colitis: Definitions and diagnosis </w:t>
      </w:r>
      <w:r w:rsidR="009A1A4D">
        <w:rPr>
          <w:i/>
        </w:rPr>
        <w:t>2012</w:t>
      </w:r>
      <w:r w:rsidR="004A523A">
        <w:rPr>
          <w:i/>
        </w:rPr>
        <w:t xml:space="preserve">. </w:t>
      </w:r>
      <w:r w:rsidR="00620681">
        <w:t>Further, the</w:t>
      </w:r>
      <w:r w:rsidR="00B033D8">
        <w:t xml:space="preserve"> </w:t>
      </w:r>
      <w:r w:rsidR="00B033D8" w:rsidRPr="00B033D8">
        <w:t xml:space="preserve">Gastroenterological Society of Australia </w:t>
      </w:r>
      <w:r w:rsidR="00B033D8">
        <w:t>(</w:t>
      </w:r>
      <w:r w:rsidR="00836D69" w:rsidRPr="00892A9A">
        <w:t>GESA</w:t>
      </w:r>
      <w:r w:rsidR="00B033D8">
        <w:t>)</w:t>
      </w:r>
      <w:r w:rsidR="00836D69" w:rsidRPr="00892A9A">
        <w:t xml:space="preserve"> </w:t>
      </w:r>
      <w:r w:rsidR="000B5199">
        <w:t xml:space="preserve">has </w:t>
      </w:r>
      <w:r w:rsidR="00836D69" w:rsidRPr="00892A9A">
        <w:t>advise</w:t>
      </w:r>
      <w:r w:rsidR="000B5199">
        <w:t>d</w:t>
      </w:r>
      <w:r w:rsidR="00836D69" w:rsidRPr="00892A9A">
        <w:t xml:space="preserve"> that there are de</w:t>
      </w:r>
      <w:r w:rsidR="00B033D8">
        <w:t> </w:t>
      </w:r>
      <w:r w:rsidR="00836D69" w:rsidRPr="00892A9A">
        <w:t>facto guidelines in New Zealand</w:t>
      </w:r>
      <w:r w:rsidR="00352F84">
        <w:t xml:space="preserve"> </w:t>
      </w:r>
      <w:r w:rsidR="009A1A4D">
        <w:rPr>
          <w:i/>
        </w:rPr>
        <w:t>The New Zealand Laboratory Schedule and Test Guidelines 2013</w:t>
      </w:r>
      <w:r w:rsidR="00836D69" w:rsidRPr="00892A9A">
        <w:t xml:space="preserve">, and that NICE has endorsed use of </w:t>
      </w:r>
      <w:r w:rsidR="006A0A83">
        <w:t xml:space="preserve">the </w:t>
      </w:r>
      <w:proofErr w:type="spellStart"/>
      <w:r w:rsidR="00892A9A" w:rsidRPr="00892A9A">
        <w:t>c</w:t>
      </w:r>
      <w:r w:rsidR="00836D69" w:rsidRPr="00892A9A">
        <w:t>alprotectin</w:t>
      </w:r>
      <w:proofErr w:type="spellEnd"/>
      <w:r w:rsidR="00836D69" w:rsidRPr="00892A9A">
        <w:t xml:space="preserve"> test in the United Kingdom</w:t>
      </w:r>
      <w:r w:rsidR="00763CD8">
        <w:t xml:space="preserve"> </w:t>
      </w:r>
      <w:r w:rsidR="002A1CEE">
        <w:t xml:space="preserve">for differential diagnosis between IBD and IBS in adults, and between IBD and non-IBD in children </w:t>
      </w:r>
      <w:r w:rsidR="00B033D8">
        <w:t>(</w:t>
      </w:r>
      <w:r w:rsidR="00B033D8" w:rsidRPr="00B033D8">
        <w:t>N</w:t>
      </w:r>
      <w:r w:rsidR="00B033D8">
        <w:t>ICE,</w:t>
      </w:r>
      <w:r w:rsidR="00B033D8" w:rsidRPr="00B033D8">
        <w:t xml:space="preserve"> 2013</w:t>
      </w:r>
      <w:r w:rsidR="00B033D8">
        <w:t>)</w:t>
      </w:r>
      <w:r w:rsidR="00763CD8">
        <w:t xml:space="preserve">, with the proviso that signs or symptoms raising suspicion of malignancy must be absent, and </w:t>
      </w:r>
      <w:r w:rsidR="002A1CEE">
        <w:t xml:space="preserve">local </w:t>
      </w:r>
      <w:r w:rsidR="00352F84">
        <w:t xml:space="preserve">quality assurance </w:t>
      </w:r>
      <w:r w:rsidR="002A1CEE">
        <w:t>processes and agreed</w:t>
      </w:r>
      <w:r w:rsidR="00CF602D">
        <w:t xml:space="preserve"> care pathways are in place. </w:t>
      </w:r>
      <w:r w:rsidR="00763CD8">
        <w:t xml:space="preserve">NICE did not consider the issue of the use of faecal </w:t>
      </w:r>
      <w:proofErr w:type="spellStart"/>
      <w:r w:rsidR="00763CD8">
        <w:t>calprotectin</w:t>
      </w:r>
      <w:proofErr w:type="spellEnd"/>
      <w:r w:rsidR="00763CD8">
        <w:t xml:space="preserve"> for disease monitoring in known IBD patients.</w:t>
      </w:r>
    </w:p>
    <w:p w:rsidR="007252D5" w:rsidRPr="00145D14" w:rsidRDefault="007252D5" w:rsidP="00892A9A">
      <w:pPr>
        <w:pStyle w:val="Heading1"/>
      </w:pPr>
      <w:bookmarkStart w:id="8" w:name="_Toc445384031"/>
      <w:r w:rsidRPr="00892A9A">
        <w:t>Intervention</w:t>
      </w:r>
      <w:bookmarkEnd w:id="8"/>
    </w:p>
    <w:p w:rsidR="007252D5" w:rsidRPr="00145D14" w:rsidRDefault="007252D5" w:rsidP="000901A8">
      <w:pPr>
        <w:pStyle w:val="Heading2"/>
        <w:rPr>
          <w:lang w:val="en-AU"/>
        </w:rPr>
      </w:pPr>
      <w:bookmarkStart w:id="9" w:name="_Toc445384032"/>
      <w:r w:rsidRPr="00145D14">
        <w:rPr>
          <w:lang w:val="en-AU"/>
        </w:rPr>
        <w:t>Description</w:t>
      </w:r>
      <w:bookmarkEnd w:id="9"/>
    </w:p>
    <w:p w:rsidR="00194CC1" w:rsidRDefault="00194CC1" w:rsidP="00C829B8">
      <w:r>
        <w:t xml:space="preserve">The aim of </w:t>
      </w:r>
      <w:r w:rsidR="00BF5FF3">
        <w:t>f</w:t>
      </w:r>
      <w:r w:rsidRPr="00194CC1">
        <w:t xml:space="preserve">aecal </w:t>
      </w:r>
      <w:proofErr w:type="spellStart"/>
      <w:r w:rsidR="00BF5FF3">
        <w:t>c</w:t>
      </w:r>
      <w:r w:rsidRPr="00194CC1">
        <w:t>alprotectin</w:t>
      </w:r>
      <w:proofErr w:type="spellEnd"/>
      <w:r w:rsidRPr="00194CC1">
        <w:t xml:space="preserve"> testing </w:t>
      </w:r>
      <w:r>
        <w:t xml:space="preserve">for people </w:t>
      </w:r>
      <w:r w:rsidR="00C829B8">
        <w:t xml:space="preserve">with GI symptoms </w:t>
      </w:r>
      <w:r>
        <w:t xml:space="preserve">is to distinguish between patients with functional bowel disorders without current inflammation and patients with </w:t>
      </w:r>
      <w:r w:rsidRPr="00194CC1">
        <w:t xml:space="preserve">current inflammation in the lower gut </w:t>
      </w:r>
      <w:r>
        <w:t>who require further investigation by colonoscopy.</w:t>
      </w:r>
    </w:p>
    <w:p w:rsidR="00B64325" w:rsidRPr="00145D14" w:rsidRDefault="00194CC1" w:rsidP="00C829B8">
      <w:r>
        <w:t xml:space="preserve">Functional bowel disorders are a collection of bowel disorders in which patients experience chronic gastrointestinal symptoms in the absence of an identifiable biological cause. The most common functional bowel disorder is </w:t>
      </w:r>
      <w:r w:rsidRPr="00194CC1">
        <w:t>Irritable bowel syndrome (IBS)</w:t>
      </w:r>
      <w:r>
        <w:t>.</w:t>
      </w:r>
      <w:r w:rsidR="00C829B8">
        <w:t xml:space="preserve"> </w:t>
      </w:r>
      <w:r w:rsidR="00601B13" w:rsidRPr="00145D14">
        <w:t>IBS is characterised by</w:t>
      </w:r>
      <w:r w:rsidR="00B25BF0" w:rsidRPr="00145D14">
        <w:t xml:space="preserve"> symptoms </w:t>
      </w:r>
      <w:r w:rsidR="004237ED" w:rsidRPr="00145D14">
        <w:t>such as</w:t>
      </w:r>
      <w:r w:rsidR="00B25BF0" w:rsidRPr="00145D14">
        <w:t xml:space="preserve">: abdominal pain and discomfort, urgency, bloating, diarrhoea, </w:t>
      </w:r>
      <w:r w:rsidR="002462CE" w:rsidRPr="00145D14">
        <w:t>constipation</w:t>
      </w:r>
      <w:r w:rsidR="00122315" w:rsidRPr="00145D14">
        <w:t>, alternating bouts of diarrhoea and constipation, and changes in bowel habits</w:t>
      </w:r>
      <w:r w:rsidR="004237ED" w:rsidRPr="00145D14">
        <w:t xml:space="preserve">. </w:t>
      </w:r>
      <w:r w:rsidR="00B5323D" w:rsidRPr="00145D14">
        <w:t xml:space="preserve">These symptoms are </w:t>
      </w:r>
      <w:r w:rsidR="00B5323D" w:rsidRPr="00B033D8">
        <w:t>not</w:t>
      </w:r>
      <w:r w:rsidR="00B5323D" w:rsidRPr="00145D14">
        <w:t xml:space="preserve"> accompanied by inflammation of the bowel; the aetiology of IBS is unknown. </w:t>
      </w:r>
      <w:r w:rsidR="00B64325" w:rsidRPr="00145D14">
        <w:t>The</w:t>
      </w:r>
      <w:r w:rsidR="001B1EDD">
        <w:t xml:space="preserve"> Australian prevalence of IBS is estimated at </w:t>
      </w:r>
      <w:r w:rsidR="00B64325" w:rsidRPr="00145D14">
        <w:t xml:space="preserve">between 10-15% </w:t>
      </w:r>
      <w:r w:rsidR="00427F46">
        <w:t>(AIHW 2012)</w:t>
      </w:r>
      <w:r w:rsidR="00B64325" w:rsidRPr="00145D14">
        <w:t xml:space="preserve">; this similar to the estimate of UK prevalence at between </w:t>
      </w:r>
      <w:r w:rsidR="00945A1E" w:rsidRPr="00145D14">
        <w:t xml:space="preserve">10-20% of general population </w:t>
      </w:r>
      <w:r w:rsidR="00872BBC" w:rsidRPr="00145D14">
        <w:t>(NICE</w:t>
      </w:r>
      <w:r w:rsidR="0045052A">
        <w:t xml:space="preserve"> 2013</w:t>
      </w:r>
      <w:r w:rsidR="00872BBC" w:rsidRPr="00145D14">
        <w:t>)</w:t>
      </w:r>
      <w:r w:rsidR="00427F46">
        <w:t>.</w:t>
      </w:r>
      <w:r w:rsidR="00B64325" w:rsidRPr="00145D14">
        <w:t xml:space="preserve"> As noted by both NICE and AIHW, the</w:t>
      </w:r>
      <w:r w:rsidR="00427F46">
        <w:t>se</w:t>
      </w:r>
      <w:r w:rsidR="00B64325" w:rsidRPr="00145D14">
        <w:t xml:space="preserve"> prevalence</w:t>
      </w:r>
      <w:r w:rsidR="00427F46">
        <w:t xml:space="preserve"> values</w:t>
      </w:r>
      <w:r w:rsidR="00B64325" w:rsidRPr="00145D14">
        <w:t xml:space="preserve"> may be underestimate</w:t>
      </w:r>
      <w:r w:rsidR="00427F46">
        <w:t>d</w:t>
      </w:r>
      <w:r w:rsidR="00B64325" w:rsidRPr="00145D14">
        <w:t>, since many IBS patients do not seek medical help but rather elect to self-care. IBS is more common in women than men (approximately twice as common) and</w:t>
      </w:r>
      <w:r w:rsidR="008B120A">
        <w:t xml:space="preserve"> is thought to</w:t>
      </w:r>
      <w:r w:rsidR="00B64325" w:rsidRPr="00145D14">
        <w:t xml:space="preserve"> most commonly affect individuals in their 20s and 30s</w:t>
      </w:r>
      <w:r w:rsidR="001B1EDD">
        <w:t xml:space="preserve"> (NICE 2013)</w:t>
      </w:r>
      <w:r w:rsidR="00B64325" w:rsidRPr="00145D14">
        <w:t xml:space="preserve">. </w:t>
      </w:r>
    </w:p>
    <w:p w:rsidR="003434E3" w:rsidRDefault="00194CC1" w:rsidP="006F2ECC">
      <w:r>
        <w:lastRenderedPageBreak/>
        <w:t>A number of gastrointestinal conditions may involve inflammation in the lower bowel. These conditions include i</w:t>
      </w:r>
      <w:r w:rsidR="00B64325" w:rsidRPr="00145D14">
        <w:t>nflammatory bowel disease (IBD)</w:t>
      </w:r>
      <w:r>
        <w:t>, colorectal cancer</w:t>
      </w:r>
      <w:r w:rsidRPr="00194CC1">
        <w:t xml:space="preserve">, active diverticulitis, polyps, NSAID </w:t>
      </w:r>
      <w:proofErr w:type="spellStart"/>
      <w:r w:rsidRPr="00194CC1">
        <w:t>enteropathy</w:t>
      </w:r>
      <w:proofErr w:type="spellEnd"/>
      <w:r w:rsidRPr="00194CC1">
        <w:t>, intestinal TB, and many other disorders</w:t>
      </w:r>
      <w:r>
        <w:t>.</w:t>
      </w:r>
      <w:r w:rsidRPr="00194CC1">
        <w:t xml:space="preserve"> </w:t>
      </w:r>
      <w:r w:rsidR="00F3340E">
        <w:t xml:space="preserve">In all of these conditions, the patient’s symptoms </w:t>
      </w:r>
      <w:r w:rsidR="00A56728">
        <w:t>may be</w:t>
      </w:r>
      <w:r w:rsidR="00B64325" w:rsidRPr="00145D14">
        <w:t xml:space="preserve"> similar to those of </w:t>
      </w:r>
      <w:r w:rsidR="00F3340E">
        <w:t>the functional bowel disorders</w:t>
      </w:r>
      <w:r w:rsidR="00B64325" w:rsidRPr="00145D14">
        <w:t xml:space="preserve">. However, unlike </w:t>
      </w:r>
      <w:r w:rsidR="00F3340E">
        <w:t>the functional bowel disorders</w:t>
      </w:r>
      <w:r w:rsidR="00B64325" w:rsidRPr="00145D14">
        <w:t xml:space="preserve">, </w:t>
      </w:r>
      <w:r w:rsidR="00F3340E">
        <w:t xml:space="preserve">these </w:t>
      </w:r>
      <w:r w:rsidR="008E5AF6">
        <w:t>conditions</w:t>
      </w:r>
      <w:r w:rsidR="00F3340E">
        <w:t xml:space="preserve"> are associated with </w:t>
      </w:r>
      <w:r w:rsidR="006F2ECC">
        <w:t xml:space="preserve">visible inflammation </w:t>
      </w:r>
      <w:r w:rsidR="008B120A">
        <w:t>of</w:t>
      </w:r>
      <w:r w:rsidR="008E5AF6">
        <w:t>,</w:t>
      </w:r>
      <w:r w:rsidR="008B120A">
        <w:t xml:space="preserve"> </w:t>
      </w:r>
      <w:r w:rsidR="006F2ECC">
        <w:t xml:space="preserve">and damage </w:t>
      </w:r>
      <w:r w:rsidR="008B120A">
        <w:t>to</w:t>
      </w:r>
      <w:r w:rsidR="008E5AF6">
        <w:t>,</w:t>
      </w:r>
      <w:r w:rsidR="006F2ECC">
        <w:t xml:space="preserve"> the gastrointestinal tract.</w:t>
      </w:r>
      <w:r w:rsidR="00B64325" w:rsidRPr="00145D14">
        <w:t xml:space="preserve"> </w:t>
      </w:r>
      <w:r w:rsidR="00F3340E">
        <w:t>The most common of these conditions is IBD, which includes</w:t>
      </w:r>
      <w:r w:rsidR="00060A3D">
        <w:t xml:space="preserve"> </w:t>
      </w:r>
      <w:r w:rsidR="00B64325" w:rsidRPr="00145D14">
        <w:t xml:space="preserve">Ulcerative Colitis (locus of inflammation is the colon) and Crohn’s disease (inflammation may involve any part of the GI tract). Both Ulcerative Colitis and Crohn’s are chronic and relapsing diseases, requiring lifetime care, medication and treatment </w:t>
      </w:r>
      <w:r w:rsidR="00427F46">
        <w:t xml:space="preserve">(Andrews 2010). </w:t>
      </w:r>
      <w:r w:rsidR="00B64325" w:rsidRPr="00145D14">
        <w:t>The</w:t>
      </w:r>
      <w:r w:rsidR="00331D60">
        <w:t xml:space="preserve"> prevalence estimates of IBD (CD and UC) in Australia range from 0.20% to 0.36% (Access Economics 2007) and crude annual overall incidence </w:t>
      </w:r>
      <w:r w:rsidR="00A603D9">
        <w:t xml:space="preserve">of IBD in Australia is estimated at </w:t>
      </w:r>
      <w:r w:rsidR="00331D60">
        <w:t>23.67</w:t>
      </w:r>
      <w:r w:rsidR="00A603D9">
        <w:t>-29.3</w:t>
      </w:r>
      <w:r w:rsidR="00331D60">
        <w:t xml:space="preserve"> per 100,000 individuals (</w:t>
      </w:r>
      <w:proofErr w:type="spellStart"/>
      <w:r w:rsidR="00331D60">
        <w:t>Siew</w:t>
      </w:r>
      <w:proofErr w:type="spellEnd"/>
      <w:r w:rsidR="00331D60">
        <w:t xml:space="preserve"> 2013</w:t>
      </w:r>
      <w:r w:rsidR="00A603D9">
        <w:t>, Wilson 2010</w:t>
      </w:r>
      <w:r w:rsidR="00331D60">
        <w:t xml:space="preserve">). </w:t>
      </w:r>
      <w:r w:rsidR="00B64325" w:rsidRPr="00145D14">
        <w:t xml:space="preserve">For comparison, NICE reports </w:t>
      </w:r>
      <w:r w:rsidR="00427F46">
        <w:t xml:space="preserve">in the United Kingdom the </w:t>
      </w:r>
      <w:r w:rsidR="00B64325" w:rsidRPr="00145D14">
        <w:t xml:space="preserve">prevalence of </w:t>
      </w:r>
      <w:r w:rsidR="0045052A">
        <w:t>Ulcerative Colitis</w:t>
      </w:r>
      <w:r w:rsidR="00B64325" w:rsidRPr="00145D14">
        <w:t xml:space="preserve"> at 0.1-0.2%</w:t>
      </w:r>
      <w:r w:rsidR="00427F46">
        <w:t>,</w:t>
      </w:r>
      <w:r w:rsidR="00B64325" w:rsidRPr="00145D14">
        <w:t xml:space="preserve"> and </w:t>
      </w:r>
      <w:r w:rsidR="00427F46">
        <w:t xml:space="preserve">the prevalence of </w:t>
      </w:r>
      <w:r w:rsidR="00B64325" w:rsidRPr="00145D14">
        <w:t>Crohn’s at 0.05-0.1%</w:t>
      </w:r>
      <w:r w:rsidR="0045052A">
        <w:t xml:space="preserve"> (NICE 2013).</w:t>
      </w:r>
      <w:r w:rsidR="00F3005F">
        <w:t xml:space="preserve"> Treatment for IBD aims at controlling the inflammation; it includes: </w:t>
      </w:r>
      <w:proofErr w:type="spellStart"/>
      <w:r w:rsidR="00F3005F">
        <w:t>aminosalicylates</w:t>
      </w:r>
      <w:proofErr w:type="spellEnd"/>
      <w:r w:rsidR="00F3005F">
        <w:t xml:space="preserve"> (5-ASA), corticosteroids, </w:t>
      </w:r>
      <w:proofErr w:type="spellStart"/>
      <w:r w:rsidR="00F3005F">
        <w:t>immunomodulators</w:t>
      </w:r>
      <w:proofErr w:type="spellEnd"/>
      <w:r w:rsidR="00F3005F">
        <w:t xml:space="preserve"> (e.g. azathioprine, 6-mercaptopurine and methotrexate), biological agents (infliximab and </w:t>
      </w:r>
      <w:proofErr w:type="spellStart"/>
      <w:r w:rsidR="00F3005F">
        <w:t>adalimumab</w:t>
      </w:r>
      <w:proofErr w:type="spellEnd"/>
      <w:r w:rsidR="00F3005F">
        <w:t>)</w:t>
      </w:r>
      <w:r w:rsidR="0045052A">
        <w:t>,</w:t>
      </w:r>
      <w:r w:rsidR="00F3005F">
        <w:t xml:space="preserve"> and antibiotics (metronidazole, ampicillin, </w:t>
      </w:r>
      <w:proofErr w:type="spellStart"/>
      <w:r w:rsidR="00F3005F">
        <w:t>ciprofloxin</w:t>
      </w:r>
      <w:proofErr w:type="spellEnd"/>
      <w:r w:rsidR="00F3005F">
        <w:t>) (GESA, 2013)</w:t>
      </w:r>
      <w:r w:rsidR="00427A5B">
        <w:t>.</w:t>
      </w:r>
      <w:r w:rsidR="00331D60" w:rsidDel="00331D60">
        <w:t xml:space="preserve"> </w:t>
      </w:r>
    </w:p>
    <w:p w:rsidR="00F955B4" w:rsidRDefault="00B93EAF" w:rsidP="006F2ECC">
      <w:r w:rsidRPr="00145D14">
        <w:t xml:space="preserve">Because </w:t>
      </w:r>
      <w:r w:rsidR="008B120A">
        <w:t>many</w:t>
      </w:r>
      <w:r w:rsidRPr="00145D14">
        <w:t xml:space="preserve"> symptoms of </w:t>
      </w:r>
      <w:r w:rsidR="00F3340E">
        <w:t>inflammatory gut disorders</w:t>
      </w:r>
      <w:r w:rsidR="00F3340E" w:rsidRPr="00145D14">
        <w:t xml:space="preserve"> </w:t>
      </w:r>
      <w:r w:rsidRPr="00145D14">
        <w:t xml:space="preserve">and </w:t>
      </w:r>
      <w:r w:rsidR="00F3340E">
        <w:t>functional gut disorders</w:t>
      </w:r>
      <w:r w:rsidR="00F3340E" w:rsidRPr="00145D14">
        <w:t xml:space="preserve"> </w:t>
      </w:r>
      <w:r w:rsidRPr="00145D14">
        <w:t xml:space="preserve">are similar to each other, </w:t>
      </w:r>
      <w:r w:rsidR="00F3340E">
        <w:t>they often</w:t>
      </w:r>
      <w:r w:rsidR="006F2ECC">
        <w:t xml:space="preserve"> </w:t>
      </w:r>
      <w:r w:rsidR="009C65BA" w:rsidRPr="00145D14">
        <w:t>cannot</w:t>
      </w:r>
      <w:r w:rsidR="00F3340E">
        <w:t xml:space="preserve"> initially</w:t>
      </w:r>
      <w:r w:rsidR="009C65BA" w:rsidRPr="00145D14">
        <w:t xml:space="preserve"> be </w:t>
      </w:r>
      <w:r w:rsidR="006F2ECC">
        <w:t xml:space="preserve">reliably </w:t>
      </w:r>
      <w:r w:rsidR="009C65BA" w:rsidRPr="00145D14">
        <w:t>differentiated on the basis of clinical presentation alone</w:t>
      </w:r>
      <w:r w:rsidR="002608FB" w:rsidRPr="00145D14">
        <w:t xml:space="preserve"> (</w:t>
      </w:r>
      <w:proofErr w:type="spellStart"/>
      <w:r w:rsidR="002608FB" w:rsidRPr="00145D14">
        <w:t>Lasson</w:t>
      </w:r>
      <w:proofErr w:type="spellEnd"/>
      <w:r w:rsidR="002608FB" w:rsidRPr="00145D14">
        <w:t xml:space="preserve"> 2008; </w:t>
      </w:r>
      <w:proofErr w:type="spellStart"/>
      <w:r w:rsidR="002608FB" w:rsidRPr="00145D14">
        <w:t>Chey</w:t>
      </w:r>
      <w:proofErr w:type="spellEnd"/>
      <w:r w:rsidR="002608FB" w:rsidRPr="00145D14">
        <w:t xml:space="preserve"> 2010)</w:t>
      </w:r>
      <w:r w:rsidR="009C65BA" w:rsidRPr="00145D14">
        <w:t>. Since</w:t>
      </w:r>
      <w:r w:rsidRPr="00145D14">
        <w:t xml:space="preserve"> inflammation is</w:t>
      </w:r>
      <w:r w:rsidR="00B64325" w:rsidRPr="00145D14">
        <w:t xml:space="preserve"> the</w:t>
      </w:r>
      <w:r w:rsidRPr="00145D14">
        <w:t xml:space="preserve"> </w:t>
      </w:r>
      <w:r w:rsidR="000079C4">
        <w:t xml:space="preserve">key </w:t>
      </w:r>
      <w:r w:rsidRPr="00145D14">
        <w:t>characteristic</w:t>
      </w:r>
      <w:r w:rsidR="00B64325" w:rsidRPr="00145D14">
        <w:t xml:space="preserve"> that</w:t>
      </w:r>
      <w:r w:rsidR="006F2ECC">
        <w:t xml:space="preserve"> differentiates </w:t>
      </w:r>
      <w:r w:rsidR="00F3340E">
        <w:t>these disorders,</w:t>
      </w:r>
      <w:r w:rsidR="006F2ECC">
        <w:t xml:space="preserve"> </w:t>
      </w:r>
      <w:r w:rsidRPr="00145D14">
        <w:t xml:space="preserve">biomarkers of inflammation </w:t>
      </w:r>
      <w:r w:rsidR="00F3340E">
        <w:t xml:space="preserve">can </w:t>
      </w:r>
      <w:r w:rsidR="00F955B4">
        <w:t xml:space="preserve">be used for </w:t>
      </w:r>
      <w:r w:rsidRPr="00145D14">
        <w:t>distinguishing the two</w:t>
      </w:r>
      <w:r w:rsidR="002A21EB" w:rsidRPr="00145D14">
        <w:t xml:space="preserve"> groups of patients</w:t>
      </w:r>
      <w:r w:rsidR="00F3340E">
        <w:t>.</w:t>
      </w:r>
      <w:r w:rsidR="008E5AF6">
        <w:t xml:space="preserve"> </w:t>
      </w:r>
      <w:r w:rsidR="00F3340E">
        <w:t xml:space="preserve">This protocol concerns </w:t>
      </w:r>
      <w:r w:rsidR="00F955B4">
        <w:t>the</w:t>
      </w:r>
      <w:r w:rsidR="00F3340E">
        <w:t xml:space="preserve"> use of</w:t>
      </w:r>
      <w:r w:rsidR="00F955B4">
        <w:t xml:space="preserve"> </w:t>
      </w:r>
      <w:r w:rsidR="008E5AF6">
        <w:t xml:space="preserve">faecal </w:t>
      </w:r>
      <w:proofErr w:type="spellStart"/>
      <w:r w:rsidR="008E5AF6">
        <w:t>calprotectin</w:t>
      </w:r>
      <w:proofErr w:type="spellEnd"/>
      <w:r w:rsidR="008E5AF6" w:rsidRPr="00145D14">
        <w:t xml:space="preserve"> </w:t>
      </w:r>
      <w:r w:rsidR="00F3340E">
        <w:t>as</w:t>
      </w:r>
      <w:r w:rsidR="00B64325" w:rsidRPr="00145D14">
        <w:t xml:space="preserve"> a marker for intestinal inflammation</w:t>
      </w:r>
      <w:r w:rsidR="008E5AF6">
        <w:t xml:space="preserve"> </w:t>
      </w:r>
      <w:r w:rsidR="00F3340E">
        <w:t>that can be used to differential between inflammatory and functional gut disorders</w:t>
      </w:r>
      <w:r w:rsidR="00F955B4">
        <w:t xml:space="preserve">. </w:t>
      </w:r>
    </w:p>
    <w:p w:rsidR="00927E3E" w:rsidRDefault="0001352F" w:rsidP="00216967">
      <w:r w:rsidRPr="00145D14">
        <w:t xml:space="preserve">Two </w:t>
      </w:r>
      <w:r w:rsidR="00334349">
        <w:t xml:space="preserve">MBS </w:t>
      </w:r>
      <w:r w:rsidRPr="00145D14">
        <w:t xml:space="preserve">listings for the </w:t>
      </w:r>
      <w:r w:rsidR="00334349" w:rsidRPr="00334349">
        <w:t xml:space="preserve">faecal </w:t>
      </w:r>
      <w:proofErr w:type="spellStart"/>
      <w:r w:rsidR="00334349" w:rsidRPr="00334349">
        <w:t>calprotectin</w:t>
      </w:r>
      <w:proofErr w:type="spellEnd"/>
      <w:r w:rsidR="00334349" w:rsidRPr="00334349">
        <w:t xml:space="preserve"> </w:t>
      </w:r>
      <w:r w:rsidRPr="00145D14">
        <w:t>test are proposed:</w:t>
      </w:r>
    </w:p>
    <w:p w:rsidR="00927E3E" w:rsidRDefault="00427A5B" w:rsidP="0035087F">
      <w:pPr>
        <w:pStyle w:val="ListParagraph"/>
        <w:numPr>
          <w:ilvl w:val="0"/>
          <w:numId w:val="47"/>
        </w:numPr>
      </w:pPr>
      <w:r>
        <w:t xml:space="preserve">Faecal </w:t>
      </w:r>
      <w:proofErr w:type="spellStart"/>
      <w:r w:rsidR="00334349">
        <w:t>calprotectin</w:t>
      </w:r>
      <w:proofErr w:type="spellEnd"/>
      <w:r w:rsidR="00334349">
        <w:t xml:space="preserve"> </w:t>
      </w:r>
      <w:r w:rsidR="00F955B4">
        <w:t xml:space="preserve">test for </w:t>
      </w:r>
      <w:r w:rsidR="00C829B8" w:rsidRPr="00C829B8">
        <w:t>differentiating between people with and without current inflammation in the lower gut needing further evaluation (mainly distinguishing between people with IBS and IBD)</w:t>
      </w:r>
      <w:r w:rsidR="00927E3E">
        <w:t>;</w:t>
      </w:r>
      <w:r w:rsidR="00C829B8" w:rsidRPr="00C829B8">
        <w:t xml:space="preserve"> and </w:t>
      </w:r>
    </w:p>
    <w:p w:rsidR="00216967" w:rsidRDefault="00C829B8" w:rsidP="0035087F">
      <w:pPr>
        <w:pStyle w:val="ListParagraph"/>
        <w:numPr>
          <w:ilvl w:val="0"/>
          <w:numId w:val="47"/>
        </w:numPr>
      </w:pPr>
      <w:r w:rsidRPr="00C829B8">
        <w:t xml:space="preserve">Faecal </w:t>
      </w:r>
      <w:proofErr w:type="spellStart"/>
      <w:r w:rsidR="00334349">
        <w:t>c</w:t>
      </w:r>
      <w:r w:rsidRPr="00C829B8">
        <w:t>alprotectin</w:t>
      </w:r>
      <w:proofErr w:type="spellEnd"/>
      <w:r w:rsidRPr="00C829B8">
        <w:t xml:space="preserve"> test for monitoring those patients who are diagnosed with IBD (to determine whether there is current disease activity, and whether it is improving or worsening compared to last measurement). </w:t>
      </w:r>
      <w:r w:rsidR="0001352F" w:rsidRPr="00145D14">
        <w:t xml:space="preserve"> </w:t>
      </w:r>
    </w:p>
    <w:p w:rsidR="00160FDD" w:rsidRDefault="00786CAE" w:rsidP="00786CAE">
      <w:pPr>
        <w:rPr>
          <w:bCs/>
          <w:lang w:eastAsia="de-DE"/>
        </w:rPr>
      </w:pPr>
      <w:r w:rsidRPr="00145D14">
        <w:rPr>
          <w:bCs/>
          <w:lang w:eastAsia="de-DE"/>
        </w:rPr>
        <w:t xml:space="preserve">Two types of </w:t>
      </w:r>
      <w:r w:rsidR="00334349">
        <w:rPr>
          <w:bCs/>
          <w:lang w:eastAsia="de-DE"/>
        </w:rPr>
        <w:t>f</w:t>
      </w:r>
      <w:r w:rsidR="00623790">
        <w:rPr>
          <w:bCs/>
          <w:lang w:eastAsia="de-DE"/>
        </w:rPr>
        <w:t xml:space="preserve">aecal </w:t>
      </w:r>
      <w:proofErr w:type="spellStart"/>
      <w:r w:rsidR="00334349">
        <w:rPr>
          <w:bCs/>
          <w:lang w:eastAsia="de-DE"/>
        </w:rPr>
        <w:t>c</w:t>
      </w:r>
      <w:r w:rsidR="00623790">
        <w:rPr>
          <w:bCs/>
          <w:lang w:eastAsia="de-DE"/>
        </w:rPr>
        <w:t>alprotectin</w:t>
      </w:r>
      <w:proofErr w:type="spellEnd"/>
      <w:r w:rsidR="00623790">
        <w:rPr>
          <w:bCs/>
          <w:lang w:eastAsia="de-DE"/>
        </w:rPr>
        <w:t xml:space="preserve"> </w:t>
      </w:r>
      <w:r w:rsidRPr="00145D14">
        <w:rPr>
          <w:bCs/>
          <w:lang w:eastAsia="de-DE"/>
        </w:rPr>
        <w:t>test exist: point of care test (by benchtop, quantitative lateral flow analyser), and laboratory</w:t>
      </w:r>
      <w:r w:rsidR="00E33006">
        <w:rPr>
          <w:bCs/>
          <w:lang w:eastAsia="de-DE"/>
        </w:rPr>
        <w:t>-based</w:t>
      </w:r>
      <w:r w:rsidRPr="00145D14">
        <w:rPr>
          <w:bCs/>
          <w:lang w:eastAsia="de-DE"/>
        </w:rPr>
        <w:t xml:space="preserve"> test</w:t>
      </w:r>
      <w:r w:rsidR="00E33006">
        <w:rPr>
          <w:bCs/>
          <w:lang w:eastAsia="de-DE"/>
        </w:rPr>
        <w:t>ing</w:t>
      </w:r>
      <w:r w:rsidRPr="00145D14">
        <w:rPr>
          <w:bCs/>
          <w:lang w:eastAsia="de-DE"/>
        </w:rPr>
        <w:t xml:space="preserve"> (</w:t>
      </w:r>
      <w:r w:rsidR="00E33006">
        <w:rPr>
          <w:bCs/>
          <w:lang w:eastAsia="de-DE"/>
        </w:rPr>
        <w:t>e.g.</w:t>
      </w:r>
      <w:r w:rsidRPr="00145D14">
        <w:rPr>
          <w:bCs/>
          <w:lang w:eastAsia="de-DE"/>
        </w:rPr>
        <w:t xml:space="preserve"> enzyme-linked </w:t>
      </w:r>
      <w:proofErr w:type="spellStart"/>
      <w:r w:rsidRPr="00145D14">
        <w:rPr>
          <w:bCs/>
          <w:lang w:eastAsia="de-DE"/>
        </w:rPr>
        <w:t>immunosorbent</w:t>
      </w:r>
      <w:proofErr w:type="spellEnd"/>
      <w:r w:rsidRPr="00145D14">
        <w:rPr>
          <w:bCs/>
          <w:lang w:eastAsia="de-DE"/>
        </w:rPr>
        <w:t xml:space="preserve"> assay</w:t>
      </w:r>
      <w:r w:rsidR="00E33006">
        <w:rPr>
          <w:bCs/>
          <w:lang w:eastAsia="de-DE"/>
        </w:rPr>
        <w:t xml:space="preserve"> (ELI</w:t>
      </w:r>
      <w:r w:rsidR="00E15135">
        <w:rPr>
          <w:bCs/>
          <w:lang w:eastAsia="de-DE"/>
        </w:rPr>
        <w:t>S</w:t>
      </w:r>
      <w:r w:rsidR="00E33006">
        <w:rPr>
          <w:bCs/>
          <w:lang w:eastAsia="de-DE"/>
        </w:rPr>
        <w:t>A)</w:t>
      </w:r>
      <w:r w:rsidRPr="00145D14">
        <w:rPr>
          <w:bCs/>
          <w:lang w:eastAsia="de-DE"/>
        </w:rPr>
        <w:t>). The former is performed at the point of care</w:t>
      </w:r>
      <w:r w:rsidR="001B78DF" w:rsidRPr="00145D14">
        <w:rPr>
          <w:bCs/>
          <w:lang w:eastAsia="de-DE"/>
        </w:rPr>
        <w:t xml:space="preserve"> and has a turnaround time of 20 minutes. </w:t>
      </w:r>
      <w:r w:rsidR="00E33006">
        <w:rPr>
          <w:bCs/>
          <w:lang w:eastAsia="de-DE"/>
        </w:rPr>
        <w:t>Laboratory-based testing</w:t>
      </w:r>
      <w:r w:rsidR="00427656" w:rsidRPr="00145D14">
        <w:rPr>
          <w:bCs/>
          <w:lang w:eastAsia="de-DE"/>
        </w:rPr>
        <w:t xml:space="preserve"> </w:t>
      </w:r>
      <w:r w:rsidR="001B78DF" w:rsidRPr="00145D14">
        <w:rPr>
          <w:bCs/>
          <w:lang w:eastAsia="de-DE"/>
        </w:rPr>
        <w:t>is performed</w:t>
      </w:r>
      <w:r w:rsidRPr="00145D14">
        <w:rPr>
          <w:bCs/>
          <w:lang w:eastAsia="de-DE"/>
        </w:rPr>
        <w:t xml:space="preserve"> in a pathology laboratory</w:t>
      </w:r>
      <w:r w:rsidR="00E33006">
        <w:rPr>
          <w:bCs/>
          <w:lang w:eastAsia="de-DE"/>
        </w:rPr>
        <w:t xml:space="preserve">. The ELISA method is commonly used to assay </w:t>
      </w:r>
      <w:r w:rsidR="00334349">
        <w:rPr>
          <w:bCs/>
          <w:lang w:eastAsia="de-DE"/>
        </w:rPr>
        <w:t>f</w:t>
      </w:r>
      <w:r w:rsidR="00E33006">
        <w:rPr>
          <w:bCs/>
          <w:lang w:eastAsia="de-DE"/>
        </w:rPr>
        <w:t xml:space="preserve">aecal </w:t>
      </w:r>
      <w:proofErr w:type="spellStart"/>
      <w:r w:rsidR="00334349">
        <w:rPr>
          <w:bCs/>
          <w:lang w:eastAsia="de-DE"/>
        </w:rPr>
        <w:t>c</w:t>
      </w:r>
      <w:r w:rsidR="00E33006">
        <w:rPr>
          <w:bCs/>
          <w:lang w:eastAsia="de-DE"/>
        </w:rPr>
        <w:t>alprotectin</w:t>
      </w:r>
      <w:proofErr w:type="spellEnd"/>
      <w:r w:rsidR="00E33006">
        <w:rPr>
          <w:bCs/>
          <w:lang w:eastAsia="de-DE"/>
        </w:rPr>
        <w:t>, but other methods may also be employed.</w:t>
      </w:r>
      <w:r w:rsidR="00447E08">
        <w:rPr>
          <w:bCs/>
          <w:lang w:eastAsia="de-DE"/>
        </w:rPr>
        <w:t xml:space="preserve"> </w:t>
      </w:r>
      <w:r w:rsidR="00DB4E20" w:rsidRPr="00145D14">
        <w:rPr>
          <w:bCs/>
          <w:lang w:eastAsia="de-DE"/>
        </w:rPr>
        <w:t xml:space="preserve">The Applicant proposes that both tests (point of care and </w:t>
      </w:r>
      <w:r w:rsidR="00E33006">
        <w:rPr>
          <w:bCs/>
          <w:lang w:eastAsia="de-DE"/>
        </w:rPr>
        <w:t>laboratory-based</w:t>
      </w:r>
      <w:r w:rsidR="00DB4E20" w:rsidRPr="00145D14">
        <w:rPr>
          <w:bCs/>
          <w:lang w:eastAsia="de-DE"/>
        </w:rPr>
        <w:t xml:space="preserve">) are suitable for differentiating between patients </w:t>
      </w:r>
      <w:r w:rsidR="00E33006">
        <w:rPr>
          <w:bCs/>
          <w:lang w:eastAsia="de-DE"/>
        </w:rPr>
        <w:t xml:space="preserve">with functional and inflammatory gut disorders </w:t>
      </w:r>
      <w:r w:rsidR="00DB4E20" w:rsidRPr="00145D14">
        <w:rPr>
          <w:bCs/>
          <w:lang w:eastAsia="de-DE"/>
        </w:rPr>
        <w:t xml:space="preserve">(proposed listing 1), and for </w:t>
      </w:r>
      <w:r w:rsidR="00E33006" w:rsidRPr="00E33006">
        <w:rPr>
          <w:bCs/>
          <w:lang w:eastAsia="de-DE"/>
        </w:rPr>
        <w:t xml:space="preserve">monitoring </w:t>
      </w:r>
      <w:r w:rsidR="00E33006">
        <w:rPr>
          <w:bCs/>
          <w:lang w:eastAsia="de-DE"/>
        </w:rPr>
        <w:t>disease activity in</w:t>
      </w:r>
      <w:r w:rsidR="00E33006" w:rsidRPr="00E33006">
        <w:rPr>
          <w:bCs/>
          <w:lang w:eastAsia="de-DE"/>
        </w:rPr>
        <w:t xml:space="preserve"> patients </w:t>
      </w:r>
      <w:r w:rsidR="00E33006">
        <w:rPr>
          <w:bCs/>
          <w:lang w:eastAsia="de-DE"/>
        </w:rPr>
        <w:t>with known</w:t>
      </w:r>
      <w:r w:rsidR="00E33006" w:rsidRPr="00E33006">
        <w:rPr>
          <w:bCs/>
          <w:lang w:eastAsia="de-DE"/>
        </w:rPr>
        <w:t xml:space="preserve"> IBD</w:t>
      </w:r>
      <w:r w:rsidR="00DB4E20" w:rsidRPr="00145D14">
        <w:rPr>
          <w:bCs/>
          <w:lang w:eastAsia="de-DE"/>
        </w:rPr>
        <w:t xml:space="preserve"> (proposed listing 2). The choice between which </w:t>
      </w:r>
      <w:r w:rsidR="00E33006">
        <w:rPr>
          <w:bCs/>
          <w:lang w:eastAsia="de-DE"/>
        </w:rPr>
        <w:t>testing method</w:t>
      </w:r>
      <w:r w:rsidR="00E33006" w:rsidRPr="00145D14">
        <w:rPr>
          <w:bCs/>
          <w:lang w:eastAsia="de-DE"/>
        </w:rPr>
        <w:t xml:space="preserve"> </w:t>
      </w:r>
      <w:r w:rsidR="00DB4E20" w:rsidRPr="00145D14">
        <w:rPr>
          <w:bCs/>
          <w:lang w:eastAsia="de-DE"/>
        </w:rPr>
        <w:t xml:space="preserve">is </w:t>
      </w:r>
      <w:r w:rsidR="00E33006">
        <w:rPr>
          <w:bCs/>
          <w:lang w:eastAsia="de-DE"/>
        </w:rPr>
        <w:t>used</w:t>
      </w:r>
      <w:r w:rsidR="00E33006" w:rsidRPr="00145D14">
        <w:rPr>
          <w:bCs/>
          <w:lang w:eastAsia="de-DE"/>
        </w:rPr>
        <w:t xml:space="preserve"> </w:t>
      </w:r>
      <w:r w:rsidR="00DB4E20" w:rsidRPr="00145D14">
        <w:rPr>
          <w:bCs/>
          <w:lang w:eastAsia="de-DE"/>
        </w:rPr>
        <w:t>is</w:t>
      </w:r>
      <w:r w:rsidR="00F955B4">
        <w:rPr>
          <w:bCs/>
          <w:lang w:eastAsia="de-DE"/>
        </w:rPr>
        <w:t xml:space="preserve"> therefore</w:t>
      </w:r>
      <w:r w:rsidR="00DB4E20" w:rsidRPr="00145D14">
        <w:rPr>
          <w:bCs/>
          <w:lang w:eastAsia="de-DE"/>
        </w:rPr>
        <w:t xml:space="preserve"> contingent on: </w:t>
      </w:r>
      <w:r w:rsidR="00E33006">
        <w:rPr>
          <w:bCs/>
          <w:lang w:eastAsia="de-DE"/>
        </w:rPr>
        <w:t xml:space="preserve">the </w:t>
      </w:r>
      <w:r w:rsidR="00334349">
        <w:rPr>
          <w:bCs/>
          <w:lang w:eastAsia="de-DE"/>
        </w:rPr>
        <w:t>clinical</w:t>
      </w:r>
      <w:r w:rsidR="00E33006">
        <w:rPr>
          <w:bCs/>
          <w:lang w:eastAsia="de-DE"/>
        </w:rPr>
        <w:t xml:space="preserve"> setting, </w:t>
      </w:r>
      <w:r w:rsidR="008B120A">
        <w:rPr>
          <w:bCs/>
          <w:lang w:eastAsia="de-DE"/>
        </w:rPr>
        <w:t xml:space="preserve">the </w:t>
      </w:r>
      <w:r w:rsidR="00DB4E20" w:rsidRPr="00145D14">
        <w:rPr>
          <w:bCs/>
          <w:lang w:eastAsia="de-DE"/>
        </w:rPr>
        <w:t xml:space="preserve">laboratory environment, </w:t>
      </w:r>
      <w:r w:rsidR="008B120A">
        <w:rPr>
          <w:bCs/>
          <w:lang w:eastAsia="de-DE"/>
        </w:rPr>
        <w:t xml:space="preserve">the </w:t>
      </w:r>
      <w:r w:rsidR="00DB4E20" w:rsidRPr="00145D14">
        <w:rPr>
          <w:bCs/>
          <w:lang w:eastAsia="de-DE"/>
        </w:rPr>
        <w:t xml:space="preserve">number of tests requested, and the desired time-frame for receipt of test results. </w:t>
      </w:r>
      <w:r w:rsidR="00E26EB1">
        <w:rPr>
          <w:bCs/>
          <w:lang w:eastAsia="de-DE"/>
        </w:rPr>
        <w:t>There is limited data on concordance between the different assays</w:t>
      </w:r>
      <w:r w:rsidR="00160FDD">
        <w:rPr>
          <w:bCs/>
          <w:lang w:eastAsia="de-DE"/>
        </w:rPr>
        <w:t xml:space="preserve"> (ELISA vs POC and comparison between different assays of each class</w:t>
      </w:r>
      <w:r w:rsidR="00FD3EDC">
        <w:rPr>
          <w:bCs/>
          <w:lang w:eastAsia="de-DE"/>
        </w:rPr>
        <w:t>)</w:t>
      </w:r>
      <w:r w:rsidR="00763CD8">
        <w:rPr>
          <w:bCs/>
          <w:lang w:eastAsia="de-DE"/>
        </w:rPr>
        <w:t>, and this requires</w:t>
      </w:r>
      <w:r w:rsidR="00E26EB1">
        <w:rPr>
          <w:bCs/>
          <w:lang w:eastAsia="de-DE"/>
        </w:rPr>
        <w:t xml:space="preserve"> further analysis.</w:t>
      </w:r>
    </w:p>
    <w:p w:rsidR="00E33006" w:rsidRDefault="00E33006" w:rsidP="00E33006">
      <w:pPr>
        <w:rPr>
          <w:bCs/>
          <w:lang w:eastAsia="de-DE"/>
        </w:rPr>
      </w:pPr>
      <w:r w:rsidRPr="00E33006">
        <w:rPr>
          <w:bCs/>
          <w:lang w:eastAsia="de-DE"/>
        </w:rPr>
        <w:t xml:space="preserve">Outside of </w:t>
      </w:r>
      <w:r>
        <w:rPr>
          <w:bCs/>
          <w:lang w:eastAsia="de-DE"/>
        </w:rPr>
        <w:t>NATA</w:t>
      </w:r>
      <w:r w:rsidRPr="00E33006">
        <w:rPr>
          <w:bCs/>
          <w:lang w:eastAsia="de-DE"/>
        </w:rPr>
        <w:t xml:space="preserve"> accredited laboratorie</w:t>
      </w:r>
      <w:r>
        <w:rPr>
          <w:bCs/>
          <w:lang w:eastAsia="de-DE"/>
        </w:rPr>
        <w:t xml:space="preserve">s, </w:t>
      </w:r>
      <w:r w:rsidRPr="00E33006">
        <w:rPr>
          <w:bCs/>
          <w:lang w:eastAsia="de-DE"/>
        </w:rPr>
        <w:t>GESA supports the availability of both tests for specialist gastroenterologists</w:t>
      </w:r>
      <w:r>
        <w:rPr>
          <w:bCs/>
          <w:lang w:eastAsia="de-DE"/>
        </w:rPr>
        <w:t>;</w:t>
      </w:r>
      <w:r w:rsidRPr="00E33006">
        <w:rPr>
          <w:bCs/>
          <w:lang w:eastAsia="de-DE"/>
        </w:rPr>
        <w:t xml:space="preserve"> however, it does not support availability of MBS funding for the benchtop test in GP or </w:t>
      </w:r>
      <w:r w:rsidRPr="00E33006">
        <w:rPr>
          <w:bCs/>
          <w:lang w:eastAsia="de-DE"/>
        </w:rPr>
        <w:lastRenderedPageBreak/>
        <w:t xml:space="preserve">other non-gastroenterology </w:t>
      </w:r>
      <w:r>
        <w:rPr>
          <w:bCs/>
          <w:lang w:eastAsia="de-DE"/>
        </w:rPr>
        <w:t xml:space="preserve">clinicians. </w:t>
      </w:r>
      <w:proofErr w:type="gramStart"/>
      <w:r w:rsidRPr="00E33006">
        <w:rPr>
          <w:bCs/>
          <w:lang w:eastAsia="de-DE"/>
        </w:rPr>
        <w:t>This on the grounds that non-gastroenterologists are unable to reliably differentiate between people who do and do no</w:t>
      </w:r>
      <w:r w:rsidR="008E2338">
        <w:rPr>
          <w:bCs/>
          <w:lang w:eastAsia="de-DE"/>
        </w:rPr>
        <w:t>t need colonoscopy.</w:t>
      </w:r>
      <w:proofErr w:type="gramEnd"/>
      <w:r w:rsidRPr="00E33006">
        <w:rPr>
          <w:bCs/>
          <w:lang w:eastAsia="de-DE"/>
        </w:rPr>
        <w:t xml:space="preserve"> </w:t>
      </w:r>
    </w:p>
    <w:p w:rsidR="007252D5" w:rsidRPr="00145D14" w:rsidRDefault="007252D5">
      <w:pPr>
        <w:pStyle w:val="Heading2"/>
        <w:rPr>
          <w:lang w:val="en-AU"/>
        </w:rPr>
      </w:pPr>
      <w:bookmarkStart w:id="10" w:name="_Toc445384033"/>
      <w:r w:rsidRPr="00145D14">
        <w:rPr>
          <w:lang w:val="en-AU"/>
        </w:rPr>
        <w:t>Administration, dose, frequency of administration, duration of treatment</w:t>
      </w:r>
      <w:bookmarkEnd w:id="10"/>
    </w:p>
    <w:p w:rsidR="0003320C" w:rsidRDefault="00DB4E20" w:rsidP="00E15135">
      <w:pPr>
        <w:keepNext/>
      </w:pPr>
      <w:r w:rsidRPr="00145D14">
        <w:t xml:space="preserve">Two listings for the test are proposed: </w:t>
      </w:r>
    </w:p>
    <w:p w:rsidR="0003320C" w:rsidRDefault="0003320C" w:rsidP="00E15135">
      <w:pPr>
        <w:pStyle w:val="ListParagraph"/>
        <w:numPr>
          <w:ilvl w:val="0"/>
          <w:numId w:val="53"/>
        </w:numPr>
      </w:pPr>
      <w:r>
        <w:t xml:space="preserve">Faecal </w:t>
      </w:r>
      <w:proofErr w:type="spellStart"/>
      <w:r>
        <w:t>Calprotectin</w:t>
      </w:r>
      <w:proofErr w:type="spellEnd"/>
      <w:r>
        <w:t xml:space="preserve"> test for </w:t>
      </w:r>
      <w:r w:rsidRPr="00C829B8">
        <w:t>differentiating between people with and without current inflammation in the lower gut needing further evaluation (mainly distinguishing between people with IBS and IBD)</w:t>
      </w:r>
      <w:r>
        <w:t>;</w:t>
      </w:r>
      <w:r w:rsidRPr="00C829B8">
        <w:t xml:space="preserve"> and </w:t>
      </w:r>
    </w:p>
    <w:p w:rsidR="0003320C" w:rsidRDefault="0003320C" w:rsidP="00E15135">
      <w:pPr>
        <w:pStyle w:val="ListParagraph"/>
        <w:numPr>
          <w:ilvl w:val="0"/>
          <w:numId w:val="53"/>
        </w:numPr>
      </w:pPr>
      <w:r w:rsidRPr="00C829B8">
        <w:t xml:space="preserve">Faecal </w:t>
      </w:r>
      <w:proofErr w:type="spellStart"/>
      <w:r w:rsidRPr="00C829B8">
        <w:t>Calprotectin</w:t>
      </w:r>
      <w:proofErr w:type="spellEnd"/>
      <w:r w:rsidRPr="00C829B8">
        <w:t xml:space="preserve"> test for monitoring those patients who are diagnosed with IBD (to determine whether there is current disease activity, and whether it is improving or worsening compared to last measurement). </w:t>
      </w:r>
    </w:p>
    <w:p w:rsidR="00DB4E20" w:rsidRPr="00145D14" w:rsidRDefault="00427A5B" w:rsidP="00E15135">
      <w:pPr>
        <w:pStyle w:val="Heading3"/>
      </w:pPr>
      <w:r>
        <w:t xml:space="preserve">Faecal </w:t>
      </w:r>
      <w:proofErr w:type="spellStart"/>
      <w:r w:rsidR="008E2338">
        <w:t>calprotectin</w:t>
      </w:r>
      <w:proofErr w:type="spellEnd"/>
      <w:r w:rsidR="008E2338" w:rsidRPr="00145D14">
        <w:t xml:space="preserve"> </w:t>
      </w:r>
      <w:r w:rsidR="00DB4E20" w:rsidRPr="00145D14">
        <w:t xml:space="preserve">test </w:t>
      </w:r>
      <w:r w:rsidR="00F955B4">
        <w:t>for</w:t>
      </w:r>
      <w:r w:rsidR="00DB4E20" w:rsidRPr="00145D14">
        <w:t xml:space="preserve"> differentiating </w:t>
      </w:r>
      <w:r w:rsidR="0003320C">
        <w:t>functional and inflammatory bowel disorders</w:t>
      </w:r>
      <w:r w:rsidR="00CD39DC" w:rsidRPr="00145D14">
        <w:t>:</w:t>
      </w:r>
      <w:r w:rsidR="00DB4E20" w:rsidRPr="00145D14">
        <w:t xml:space="preserve"> </w:t>
      </w:r>
    </w:p>
    <w:p w:rsidR="000C66FB" w:rsidRPr="009708D9" w:rsidRDefault="00DB4E20" w:rsidP="00F955B4">
      <w:r w:rsidRPr="009708D9">
        <w:t xml:space="preserve">The population eligible for </w:t>
      </w:r>
      <w:r w:rsidR="008E2338" w:rsidRPr="009708D9">
        <w:t xml:space="preserve">faecal </w:t>
      </w:r>
      <w:proofErr w:type="spellStart"/>
      <w:r w:rsidRPr="009708D9">
        <w:t>calprotectin</w:t>
      </w:r>
      <w:proofErr w:type="spellEnd"/>
      <w:r w:rsidRPr="009708D9">
        <w:t xml:space="preserve"> test</w:t>
      </w:r>
      <w:r w:rsidR="000079C4" w:rsidRPr="009708D9">
        <w:t>ing</w:t>
      </w:r>
      <w:r w:rsidRPr="009708D9">
        <w:t xml:space="preserve"> would be patients presenting with chronic (more than 6 weeks’ duration) gastrointestinal sy</w:t>
      </w:r>
      <w:r w:rsidR="00DC68D2" w:rsidRPr="009708D9">
        <w:t xml:space="preserve">mptoms which are suggestive of </w:t>
      </w:r>
      <w:r w:rsidRPr="009708D9">
        <w:t xml:space="preserve">either </w:t>
      </w:r>
      <w:r w:rsidR="0003320C" w:rsidRPr="009708D9">
        <w:t>functional or inflammatory bowel disorders</w:t>
      </w:r>
      <w:r w:rsidRPr="009708D9">
        <w:t>, and where infectious causes have been excluded</w:t>
      </w:r>
      <w:r w:rsidR="00A56728" w:rsidRPr="009708D9">
        <w:t xml:space="preserve"> and where there are no sign</w:t>
      </w:r>
      <w:r w:rsidR="0050545F" w:rsidRPr="009708D9">
        <w:t>s or symptoms raising suspicion</w:t>
      </w:r>
      <w:r w:rsidR="00A56728" w:rsidRPr="009708D9">
        <w:t xml:space="preserve"> of malignancy</w:t>
      </w:r>
      <w:r w:rsidR="00F955B4" w:rsidRPr="009708D9">
        <w:t xml:space="preserve">. </w:t>
      </w:r>
      <w:r w:rsidR="00282B7B" w:rsidRPr="009708D9">
        <w:t xml:space="preserve">Faecal </w:t>
      </w:r>
      <w:proofErr w:type="spellStart"/>
      <w:r w:rsidR="008E2338" w:rsidRPr="009708D9">
        <w:t>c</w:t>
      </w:r>
      <w:r w:rsidR="00282B7B" w:rsidRPr="009708D9">
        <w:t>alprotectin</w:t>
      </w:r>
      <w:proofErr w:type="spellEnd"/>
      <w:r w:rsidR="00282B7B" w:rsidRPr="009708D9">
        <w:t xml:space="preserve"> testing would be performed if the patient has</w:t>
      </w:r>
      <w:r w:rsidR="00F955B4" w:rsidRPr="009708D9">
        <w:t xml:space="preserve"> </w:t>
      </w:r>
      <w:r w:rsidR="00282B7B" w:rsidRPr="009708D9">
        <w:t>experienced</w:t>
      </w:r>
      <w:r w:rsidR="008E2338" w:rsidRPr="009708D9">
        <w:t xml:space="preserve"> </w:t>
      </w:r>
      <w:r w:rsidR="0045052A" w:rsidRPr="009708D9">
        <w:t>the</w:t>
      </w:r>
      <w:r w:rsidR="00F955B4" w:rsidRPr="009708D9">
        <w:t xml:space="preserve"> </w:t>
      </w:r>
      <w:r w:rsidRPr="009708D9">
        <w:t>following symptoms for greater than 6 weeks: chronic abdominal pain and discomfort, urgency and bloating, diarrhoea, constipation, alternating bouts of diarrhoea and constipation</w:t>
      </w:r>
      <w:r w:rsidR="00763CD8" w:rsidRPr="009708D9">
        <w:rPr>
          <w:i/>
        </w:rPr>
        <w:t xml:space="preserve">, </w:t>
      </w:r>
      <w:r w:rsidRPr="009708D9">
        <w:t xml:space="preserve">and absence of alarm symptoms such as rectal bleeding or abnormal blood tests. </w:t>
      </w:r>
      <w:r w:rsidR="000A0D0C" w:rsidRPr="009708D9">
        <w:t xml:space="preserve">The Applicant proposes that </w:t>
      </w:r>
      <w:r w:rsidR="00F955B4" w:rsidRPr="009708D9">
        <w:t xml:space="preserve">the test </w:t>
      </w:r>
      <w:r w:rsidR="00282B7B" w:rsidRPr="009708D9">
        <w:t>is suitable for use</w:t>
      </w:r>
      <w:r w:rsidR="00F955B4" w:rsidRPr="009708D9">
        <w:t xml:space="preserve"> in both adults and children</w:t>
      </w:r>
      <w:r w:rsidR="0045052A" w:rsidRPr="009708D9">
        <w:t>,</w:t>
      </w:r>
      <w:r w:rsidR="00F955B4" w:rsidRPr="009708D9">
        <w:t xml:space="preserve"> and that </w:t>
      </w:r>
      <w:r w:rsidR="000A0D0C" w:rsidRPr="009708D9">
        <w:t xml:space="preserve">testing be </w:t>
      </w:r>
      <w:r w:rsidR="00F955B4" w:rsidRPr="009708D9">
        <w:t xml:space="preserve">made </w:t>
      </w:r>
      <w:r w:rsidR="000A0D0C" w:rsidRPr="009708D9">
        <w:t>available to individuals &gt;3 years old</w:t>
      </w:r>
      <w:r w:rsidR="00F955B4" w:rsidRPr="009708D9">
        <w:t>.</w:t>
      </w:r>
      <w:r w:rsidR="0045052A" w:rsidRPr="009708D9">
        <w:rPr>
          <w:rStyle w:val="FootnoteReference"/>
          <w:rFonts w:cs="Tahoma"/>
        </w:rPr>
        <w:footnoteReference w:id="1"/>
      </w:r>
      <w:r w:rsidR="00F955B4" w:rsidRPr="009708D9">
        <w:t xml:space="preserve"> </w:t>
      </w:r>
      <w:r w:rsidR="00FB001B" w:rsidRPr="009708D9">
        <w:t xml:space="preserve">The Applicant proposes that patients </w:t>
      </w:r>
      <w:r w:rsidR="006609AC" w:rsidRPr="009708D9">
        <w:t>be tested once. If the test result</w:t>
      </w:r>
      <w:r w:rsidR="00321CC7" w:rsidRPr="009708D9">
        <w:t xml:space="preserve">s are indeterminate, </w:t>
      </w:r>
      <w:r w:rsidR="006609AC" w:rsidRPr="009708D9">
        <w:t xml:space="preserve">a repeat test </w:t>
      </w:r>
      <w:r w:rsidR="00A62EA2" w:rsidRPr="009708D9">
        <w:t xml:space="preserve">should </w:t>
      </w:r>
      <w:r w:rsidR="006609AC" w:rsidRPr="009708D9">
        <w:t xml:space="preserve">be conducted within 1-2 weeks. </w:t>
      </w:r>
    </w:p>
    <w:p w:rsidR="0015752D" w:rsidRPr="009708D9" w:rsidRDefault="0015752D" w:rsidP="00F955B4">
      <w:pPr>
        <w:rPr>
          <w:i/>
        </w:rPr>
      </w:pPr>
      <w:r w:rsidRPr="009708D9">
        <w:rPr>
          <w:i/>
        </w:rPr>
        <w:t>PASC questioned the evidence relating to the testing of indeterminate patients and requested any justification, including any available clinical guidelines, for this treatment algorithm.</w:t>
      </w:r>
    </w:p>
    <w:p w:rsidR="00CD39DC" w:rsidRPr="00145D14" w:rsidRDefault="00427A5B" w:rsidP="00E15135">
      <w:pPr>
        <w:pStyle w:val="Heading3"/>
      </w:pPr>
      <w:r>
        <w:t xml:space="preserve">Faecal </w:t>
      </w:r>
      <w:proofErr w:type="spellStart"/>
      <w:r w:rsidR="008E2338">
        <w:t>calprotectin</w:t>
      </w:r>
      <w:proofErr w:type="spellEnd"/>
      <w:r w:rsidR="008E2338" w:rsidRPr="00145D14">
        <w:t xml:space="preserve"> </w:t>
      </w:r>
      <w:r w:rsidR="00CD39DC" w:rsidRPr="00145D14">
        <w:t>test for monitoring patients w</w:t>
      </w:r>
      <w:r w:rsidR="00AA3A10">
        <w:t>ith</w:t>
      </w:r>
      <w:r w:rsidR="00282B7B">
        <w:t xml:space="preserve"> known</w:t>
      </w:r>
      <w:r w:rsidR="00CD39DC" w:rsidRPr="00145D14">
        <w:t xml:space="preserve"> IBD: </w:t>
      </w:r>
    </w:p>
    <w:p w:rsidR="000A0D0C" w:rsidRPr="009708D9" w:rsidRDefault="00F955B4" w:rsidP="006609AC">
      <w:r w:rsidRPr="009708D9">
        <w:t xml:space="preserve">The population eligible for monitoring with </w:t>
      </w:r>
      <w:r w:rsidR="00AA57FC" w:rsidRPr="009708D9">
        <w:t xml:space="preserve">faecal </w:t>
      </w:r>
      <w:proofErr w:type="spellStart"/>
      <w:r w:rsidR="00A03751" w:rsidRPr="009708D9">
        <w:t>calprotectin</w:t>
      </w:r>
      <w:proofErr w:type="spellEnd"/>
      <w:r w:rsidR="00A03751" w:rsidRPr="009708D9">
        <w:t xml:space="preserve"> </w:t>
      </w:r>
      <w:r w:rsidRPr="009708D9">
        <w:t xml:space="preserve">test are </w:t>
      </w:r>
      <w:r w:rsidR="00AA236F" w:rsidRPr="009708D9">
        <w:t>patients with an established diagnosis of IBD</w:t>
      </w:r>
      <w:r w:rsidR="00136696" w:rsidRPr="009708D9">
        <w:t>,</w:t>
      </w:r>
      <w:r w:rsidR="00AA236F" w:rsidRPr="009708D9">
        <w:t xml:space="preserve"> such as </w:t>
      </w:r>
      <w:r w:rsidR="00427A5B" w:rsidRPr="009708D9">
        <w:t>U</w:t>
      </w:r>
      <w:r w:rsidR="00AA236F" w:rsidRPr="009708D9">
        <w:t xml:space="preserve">lcerative </w:t>
      </w:r>
      <w:r w:rsidR="00427A5B" w:rsidRPr="009708D9">
        <w:t>C</w:t>
      </w:r>
      <w:r w:rsidR="00AA236F" w:rsidRPr="009708D9">
        <w:t xml:space="preserve">olitis (UC) or Crohn’s disease (CD). The measurement of </w:t>
      </w:r>
      <w:r w:rsidR="00A03751" w:rsidRPr="009708D9">
        <w:t xml:space="preserve">faecal </w:t>
      </w:r>
      <w:proofErr w:type="spellStart"/>
      <w:r w:rsidR="00AA236F" w:rsidRPr="009708D9">
        <w:t>calprotectin</w:t>
      </w:r>
      <w:proofErr w:type="spellEnd"/>
      <w:r w:rsidR="00AA236F" w:rsidRPr="009708D9">
        <w:t xml:space="preserve"> </w:t>
      </w:r>
      <w:r w:rsidR="00136696" w:rsidRPr="009708D9">
        <w:t>would</w:t>
      </w:r>
      <w:r w:rsidR="00AA236F" w:rsidRPr="009708D9">
        <w:t xml:space="preserve"> be used to monitor these patients to evaluate disease activity</w:t>
      </w:r>
      <w:r w:rsidR="003D7BE9" w:rsidRPr="009708D9">
        <w:t xml:space="preserve">, since an incipient relapse can be recognised earlier by monitoring </w:t>
      </w:r>
      <w:proofErr w:type="spellStart"/>
      <w:r w:rsidR="003D7BE9" w:rsidRPr="009708D9">
        <w:t>calprotectin</w:t>
      </w:r>
      <w:proofErr w:type="spellEnd"/>
      <w:r w:rsidR="003D7BE9" w:rsidRPr="009708D9">
        <w:t xml:space="preserve"> level, thus avoiding or ameliorating a recurrent attack through timely therapy adjustment. </w:t>
      </w:r>
      <w:r w:rsidR="0045052A" w:rsidRPr="009708D9">
        <w:t>T</w:t>
      </w:r>
      <w:r w:rsidR="000A0D0C" w:rsidRPr="009708D9">
        <w:t>he Applicant proposes that testing be available to individuals &gt;3 years old.</w:t>
      </w:r>
      <w:r w:rsidR="0045052A" w:rsidRPr="009708D9">
        <w:rPr>
          <w:rStyle w:val="FootnoteReference"/>
          <w:rFonts w:cs="Tahoma"/>
        </w:rPr>
        <w:footnoteReference w:id="2"/>
      </w:r>
    </w:p>
    <w:p w:rsidR="000C66FB" w:rsidRPr="009708D9" w:rsidRDefault="006609AC" w:rsidP="006609AC">
      <w:r w:rsidRPr="009708D9">
        <w:t>The Applicant proposes that patients identified as having IBD may require up to 4 tests per year (every 3 months) for monitoring</w:t>
      </w:r>
      <w:r w:rsidR="00CD4D71" w:rsidRPr="009708D9">
        <w:t xml:space="preserve"> for the lifetime of the patient</w:t>
      </w:r>
      <w:r w:rsidRPr="009708D9">
        <w:t>, and an additional test may be performed if a flare up occurs. For IBD patients who are well-managed, the Applicant proposes that annual testing is sufficient</w:t>
      </w:r>
      <w:r w:rsidR="00E96C9C" w:rsidRPr="009708D9">
        <w:t xml:space="preserve">. </w:t>
      </w:r>
      <w:r w:rsidR="00216967" w:rsidRPr="009708D9">
        <w:t>GESA agrees with this testing frequency.</w:t>
      </w:r>
      <w:r w:rsidR="00DE264A" w:rsidRPr="009708D9">
        <w:t xml:space="preserve"> </w:t>
      </w:r>
    </w:p>
    <w:p w:rsidR="0015752D" w:rsidRPr="009708D9" w:rsidRDefault="0015752D" w:rsidP="006609AC">
      <w:pPr>
        <w:rPr>
          <w:i/>
        </w:rPr>
      </w:pPr>
      <w:r w:rsidRPr="009708D9">
        <w:rPr>
          <w:i/>
        </w:rPr>
        <w:lastRenderedPageBreak/>
        <w:t>PASC questioned the evidence for the proposed monitoring regimen, and requests clarification on whether this implies the use of serum markers of inflammation are not required.</w:t>
      </w:r>
    </w:p>
    <w:p w:rsidR="007252D5" w:rsidRPr="00145D14" w:rsidRDefault="007252D5" w:rsidP="000901A8">
      <w:pPr>
        <w:pStyle w:val="Heading2"/>
        <w:rPr>
          <w:lang w:val="en-AU"/>
        </w:rPr>
      </w:pPr>
      <w:bookmarkStart w:id="11" w:name="_Toc445384034"/>
      <w:r w:rsidRPr="00145D14">
        <w:rPr>
          <w:lang w:val="en-AU"/>
        </w:rPr>
        <w:t>Co-administered interventions</w:t>
      </w:r>
      <w:bookmarkEnd w:id="11"/>
    </w:p>
    <w:p w:rsidR="00220DD2" w:rsidRPr="00145D14" w:rsidRDefault="00220DD2" w:rsidP="00220DD2">
      <w:r w:rsidRPr="00145D14">
        <w:t xml:space="preserve">(1) </w:t>
      </w:r>
      <w:r w:rsidR="00A62EA2">
        <w:t xml:space="preserve">Point of Care Test </w:t>
      </w:r>
      <w:r w:rsidRPr="00145D14">
        <w:t xml:space="preserve"> </w:t>
      </w:r>
    </w:p>
    <w:p w:rsidR="00A62EA2" w:rsidRPr="00145D14" w:rsidRDefault="004A32B6" w:rsidP="004A32B6">
      <w:pPr>
        <w:spacing w:after="0"/>
      </w:pPr>
      <w:r>
        <w:t>Not applicable</w:t>
      </w:r>
    </w:p>
    <w:p w:rsidR="00723E0E" w:rsidRPr="00145D14" w:rsidRDefault="00723E0E" w:rsidP="00723E0E">
      <w:pPr>
        <w:spacing w:after="0"/>
      </w:pPr>
    </w:p>
    <w:p w:rsidR="004A32B6" w:rsidRDefault="00220DD2" w:rsidP="00220DD2">
      <w:r w:rsidRPr="00145D14">
        <w:t xml:space="preserve">(2) </w:t>
      </w:r>
      <w:r w:rsidR="00A62EA2">
        <w:t>Lab</w:t>
      </w:r>
      <w:r w:rsidR="00D146A0">
        <w:t>oratory-based</w:t>
      </w:r>
      <w:r w:rsidR="00A62EA2">
        <w:t xml:space="preserve"> test</w:t>
      </w:r>
    </w:p>
    <w:p w:rsidR="00220DD2" w:rsidRDefault="004A32B6" w:rsidP="00220DD2">
      <w:r>
        <w:t>Not applicable</w:t>
      </w:r>
      <w:r w:rsidR="00A62EA2">
        <w:t xml:space="preserve"> </w:t>
      </w:r>
      <w:r w:rsidR="00220DD2" w:rsidRPr="00145D14">
        <w:t xml:space="preserve"> </w:t>
      </w:r>
    </w:p>
    <w:p w:rsidR="009708D9" w:rsidRPr="009708D9" w:rsidRDefault="009708D9" w:rsidP="009708D9">
      <w:pPr>
        <w:rPr>
          <w:i/>
        </w:rPr>
      </w:pPr>
      <w:r w:rsidRPr="009708D9">
        <w:rPr>
          <w:i/>
        </w:rPr>
        <w:t>PASC advised that:</w:t>
      </w:r>
    </w:p>
    <w:p w:rsidR="009708D9" w:rsidRPr="009708D9" w:rsidRDefault="009708D9" w:rsidP="009708D9">
      <w:pPr>
        <w:pStyle w:val="ListParagraph"/>
        <w:numPr>
          <w:ilvl w:val="0"/>
          <w:numId w:val="60"/>
        </w:numPr>
        <w:rPr>
          <w:i/>
        </w:rPr>
      </w:pPr>
      <w:r w:rsidRPr="009708D9">
        <w:rPr>
          <w:i/>
        </w:rPr>
        <w:t xml:space="preserve">MBS Items 72823 or 72824 (pathology biopsy costs) should be included under Current MBS item descriptors for colonoscopy and endoscopy.  </w:t>
      </w:r>
    </w:p>
    <w:p w:rsidR="009708D9" w:rsidRPr="009708D9" w:rsidRDefault="009708D9" w:rsidP="009708D9">
      <w:pPr>
        <w:pStyle w:val="ListParagraph"/>
        <w:numPr>
          <w:ilvl w:val="0"/>
          <w:numId w:val="60"/>
        </w:numPr>
        <w:rPr>
          <w:i/>
        </w:rPr>
      </w:pPr>
      <w:r w:rsidRPr="009708D9">
        <w:rPr>
          <w:i/>
        </w:rPr>
        <w:t xml:space="preserve">There is limited data on concordance between different assays (ELISA vs POC and comparison between different assays of each class). </w:t>
      </w:r>
    </w:p>
    <w:p w:rsidR="009708D9" w:rsidRPr="009708D9" w:rsidRDefault="009708D9" w:rsidP="009708D9">
      <w:pPr>
        <w:rPr>
          <w:i/>
        </w:rPr>
      </w:pPr>
      <w:r w:rsidRPr="009708D9">
        <w:rPr>
          <w:i/>
        </w:rPr>
        <w:t>The paucity of data was also noted by NICE.</w:t>
      </w:r>
    </w:p>
    <w:p w:rsidR="009708D9" w:rsidRPr="009708D9" w:rsidRDefault="009708D9" w:rsidP="009708D9">
      <w:pPr>
        <w:pStyle w:val="ListParagraph"/>
        <w:numPr>
          <w:ilvl w:val="0"/>
          <w:numId w:val="59"/>
        </w:numPr>
        <w:rPr>
          <w:i/>
        </w:rPr>
      </w:pPr>
      <w:r w:rsidRPr="009708D9">
        <w:rPr>
          <w:i/>
        </w:rPr>
        <w:t>Justification for the cut-off points used of the different assays (POCT and E</w:t>
      </w:r>
      <w:r>
        <w:rPr>
          <w:i/>
        </w:rPr>
        <w:t>LISA</w:t>
      </w:r>
      <w:r w:rsidRPr="009708D9">
        <w:rPr>
          <w:i/>
        </w:rPr>
        <w:t>) needs to be provided.</w:t>
      </w:r>
      <w:r w:rsidR="00264A03">
        <w:rPr>
          <w:i/>
        </w:rPr>
        <w:t xml:space="preserve"> </w:t>
      </w:r>
    </w:p>
    <w:p w:rsidR="009708D9" w:rsidRPr="009708D9" w:rsidRDefault="009708D9" w:rsidP="009708D9">
      <w:pPr>
        <w:pStyle w:val="ListParagraph"/>
        <w:numPr>
          <w:ilvl w:val="0"/>
          <w:numId w:val="59"/>
        </w:numPr>
        <w:rPr>
          <w:i/>
        </w:rPr>
      </w:pPr>
      <w:r w:rsidRPr="009708D9">
        <w:rPr>
          <w:i/>
        </w:rPr>
        <w:t>‘Indeterminate result’ needs to be defined (</w:t>
      </w:r>
      <w:proofErr w:type="spellStart"/>
      <w:r w:rsidRPr="009708D9">
        <w:rPr>
          <w:i/>
        </w:rPr>
        <w:t>eg</w:t>
      </w:r>
      <w:proofErr w:type="spellEnd"/>
      <w:r w:rsidRPr="009708D9">
        <w:rPr>
          <w:i/>
        </w:rPr>
        <w:t xml:space="preserve"> a level between 50 and 100) and the thresholds justified; and the algorithm for re-testing of patients with indeterminate results also needs justification. </w:t>
      </w:r>
    </w:p>
    <w:p w:rsidR="009708D9" w:rsidRPr="009708D9" w:rsidRDefault="009708D9" w:rsidP="009708D9">
      <w:pPr>
        <w:pStyle w:val="ListParagraph"/>
        <w:numPr>
          <w:ilvl w:val="0"/>
          <w:numId w:val="59"/>
        </w:numPr>
        <w:rPr>
          <w:i/>
        </w:rPr>
      </w:pPr>
      <w:r w:rsidRPr="009708D9">
        <w:rPr>
          <w:i/>
        </w:rPr>
        <w:t>Justification for the proposed IBD monitoring algorithm (4x per annum plus if the disease flares) is not provided; any guidelines available should be quoted.</w:t>
      </w:r>
    </w:p>
    <w:p w:rsidR="007252D5" w:rsidRPr="00145D14" w:rsidRDefault="007252D5" w:rsidP="00F360B1">
      <w:pPr>
        <w:pStyle w:val="Heading1"/>
        <w:spacing w:after="0"/>
      </w:pPr>
      <w:bookmarkStart w:id="12" w:name="_Toc445384035"/>
      <w:r w:rsidRPr="00145D14">
        <w:t>Background</w:t>
      </w:r>
      <w:bookmarkEnd w:id="12"/>
    </w:p>
    <w:p w:rsidR="007252D5" w:rsidRPr="00145D14" w:rsidRDefault="007252D5" w:rsidP="00F360B1">
      <w:pPr>
        <w:pStyle w:val="Heading2"/>
        <w:spacing w:before="120" w:after="120"/>
        <w:rPr>
          <w:lang w:val="en-AU"/>
        </w:rPr>
      </w:pPr>
      <w:bookmarkStart w:id="13" w:name="_Toc445384036"/>
      <w:r w:rsidRPr="00145D14">
        <w:rPr>
          <w:lang w:val="en-AU"/>
        </w:rPr>
        <w:t>Current arrangements for public reimbursement</w:t>
      </w:r>
      <w:bookmarkEnd w:id="13"/>
    </w:p>
    <w:p w:rsidR="00AA3A10" w:rsidRPr="00145D14" w:rsidRDefault="00427A5B" w:rsidP="00E15135">
      <w:pPr>
        <w:pStyle w:val="Heading3"/>
      </w:pPr>
      <w:bookmarkStart w:id="14" w:name="_Ref283049171"/>
      <w:r>
        <w:t xml:space="preserve">Faecal </w:t>
      </w:r>
      <w:proofErr w:type="spellStart"/>
      <w:r w:rsidR="009E0767">
        <w:t>calprotectin</w:t>
      </w:r>
      <w:proofErr w:type="spellEnd"/>
      <w:r w:rsidR="009E0767" w:rsidRPr="00145D14">
        <w:t xml:space="preserve"> </w:t>
      </w:r>
      <w:r w:rsidR="00AA3A10" w:rsidRPr="00145D14">
        <w:t xml:space="preserve">test </w:t>
      </w:r>
      <w:r w:rsidR="00AA3A10">
        <w:t>for</w:t>
      </w:r>
      <w:r w:rsidR="00AA3A10" w:rsidRPr="00145D14">
        <w:t xml:space="preserve"> differentiating between </w:t>
      </w:r>
      <w:r w:rsidR="00D146A0" w:rsidRPr="00D146A0">
        <w:t>functional and inflammatory bowel disorders</w:t>
      </w:r>
      <w:r w:rsidR="00AA3A10" w:rsidRPr="00145D14">
        <w:t xml:space="preserve">: </w:t>
      </w:r>
    </w:p>
    <w:p w:rsidR="00847DC7" w:rsidRPr="00145D14" w:rsidRDefault="00673A5C" w:rsidP="0095603B">
      <w:pPr>
        <w:rPr>
          <w:rFonts w:ascii="Arial" w:hAnsi="Arial" w:cs="Arial"/>
        </w:rPr>
      </w:pPr>
      <w:r w:rsidRPr="00145D14">
        <w:t>Currently, patients are dia</w:t>
      </w:r>
      <w:r w:rsidR="0095603B">
        <w:t xml:space="preserve">gnosed with </w:t>
      </w:r>
      <w:r w:rsidR="00D146A0" w:rsidRPr="00D146A0">
        <w:t>inflammatory bowel disorders</w:t>
      </w:r>
      <w:r w:rsidR="0095603B">
        <w:t xml:space="preserve"> on the basis of a combination of: endoscopic tests, history</w:t>
      </w:r>
      <w:r w:rsidR="0018071E">
        <w:t>,</w:t>
      </w:r>
      <w:r w:rsidR="0095603B">
        <w:t xml:space="preserve"> histology</w:t>
      </w:r>
      <w:r w:rsidR="0018071E">
        <w:t xml:space="preserve"> and radiology</w:t>
      </w:r>
      <w:r w:rsidR="0095603B">
        <w:t xml:space="preserve"> </w:t>
      </w:r>
      <w:r w:rsidR="0018071E">
        <w:t>(high-radiation dose computed tomography scan or magnetic resonance imaging; unfunded and variously available.)</w:t>
      </w:r>
    </w:p>
    <w:p w:rsidR="00E96C9C" w:rsidRDefault="00E96C9C" w:rsidP="00E96C9C">
      <w:r w:rsidRPr="00145D14">
        <w:t xml:space="preserve">Current MBS item for </w:t>
      </w:r>
      <w:r w:rsidR="00CE40B3">
        <w:t>colonoscopy and endoscopy</w:t>
      </w:r>
      <w:r w:rsidRPr="00145D14">
        <w:t xml:space="preserve"> include: </w:t>
      </w:r>
    </w:p>
    <w:p w:rsidR="00E96C9C" w:rsidRPr="00145D14" w:rsidRDefault="00E96C9C" w:rsidP="00E96C9C">
      <w:pPr>
        <w:pStyle w:val="Caption"/>
        <w:rPr>
          <w:lang w:val="en-AU"/>
        </w:rPr>
      </w:pPr>
      <w:r w:rsidRPr="00145D14">
        <w:rPr>
          <w:lang w:val="en-AU"/>
        </w:rPr>
        <w:t xml:space="preserve">Table </w:t>
      </w:r>
      <w:r w:rsidRPr="00145D14">
        <w:rPr>
          <w:lang w:val="en-AU"/>
        </w:rPr>
        <w:fldChar w:fldCharType="begin"/>
      </w:r>
      <w:r w:rsidRPr="00145D14">
        <w:rPr>
          <w:lang w:val="en-AU"/>
        </w:rPr>
        <w:instrText xml:space="preserve"> SEQ Table \* ARABIC </w:instrText>
      </w:r>
      <w:r w:rsidRPr="00145D14">
        <w:rPr>
          <w:lang w:val="en-AU"/>
        </w:rPr>
        <w:fldChar w:fldCharType="separate"/>
      </w:r>
      <w:r w:rsidR="00961A66">
        <w:rPr>
          <w:noProof/>
          <w:lang w:val="en-AU"/>
        </w:rPr>
        <w:t>1</w:t>
      </w:r>
      <w:r w:rsidRPr="00145D14">
        <w:rPr>
          <w:noProof/>
          <w:lang w:val="en-AU"/>
        </w:rPr>
        <w:fldChar w:fldCharType="end"/>
      </w:r>
      <w:r w:rsidRPr="00145D14">
        <w:rPr>
          <w:lang w:val="en-AU"/>
        </w:rPr>
        <w:t>:</w:t>
      </w:r>
      <w:r w:rsidRPr="00145D14">
        <w:rPr>
          <w:lang w:val="en-AU"/>
        </w:rPr>
        <w:tab/>
        <w:t xml:space="preserve">Current MBS item descriptors for </w:t>
      </w:r>
      <w:r w:rsidR="00843A6A">
        <w:rPr>
          <w:lang w:val="en-AU"/>
        </w:rPr>
        <w:t>colonoscopy and endoscopy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Current MBS item descriptors for scans of the prostate"/>
        <w:tblDescription w:val="Current MBS item descriptors for scans of the prostate"/>
      </w:tblPr>
      <w:tblGrid>
        <w:gridCol w:w="9134"/>
      </w:tblGrid>
      <w:tr w:rsidR="00E96C9C" w:rsidRPr="00145D14" w:rsidTr="0015752D">
        <w:trPr>
          <w:cantSplit/>
        </w:trPr>
        <w:tc>
          <w:tcPr>
            <w:tcW w:w="9134" w:type="dxa"/>
          </w:tcPr>
          <w:p w:rsidR="00843A6A" w:rsidRDefault="00843A6A" w:rsidP="00843A6A">
            <w:pPr>
              <w:keepNext/>
              <w:spacing w:after="0" w:line="240" w:lineRule="auto"/>
              <w:jc w:val="right"/>
              <w:rPr>
                <w:rFonts w:ascii="Arial Narrow" w:hAnsi="Arial Narrow"/>
                <w:lang w:eastAsia="ja-JP"/>
              </w:rPr>
            </w:pPr>
            <w:r>
              <w:rPr>
                <w:rFonts w:ascii="Arial Narrow" w:hAnsi="Arial Narrow"/>
                <w:lang w:eastAsia="ja-JP"/>
              </w:rPr>
              <w:t xml:space="preserve">Group T8: Surgical Operations </w:t>
            </w:r>
          </w:p>
          <w:p w:rsidR="00E96C9C" w:rsidRPr="00145D14" w:rsidRDefault="00843A6A" w:rsidP="00843A6A">
            <w:pPr>
              <w:keepNext/>
              <w:spacing w:after="0" w:line="240" w:lineRule="auto"/>
              <w:jc w:val="right"/>
              <w:rPr>
                <w:rFonts w:ascii="Arial Narrow" w:hAnsi="Arial Narrow"/>
                <w:lang w:eastAsia="ja-JP"/>
              </w:rPr>
            </w:pPr>
            <w:r>
              <w:rPr>
                <w:rFonts w:ascii="Arial Narrow" w:hAnsi="Arial Narrow"/>
                <w:lang w:eastAsia="ja-JP"/>
              </w:rPr>
              <w:t>Subgroup 2: Colorectal</w:t>
            </w:r>
          </w:p>
        </w:tc>
      </w:tr>
      <w:tr w:rsidR="00E96C9C" w:rsidRPr="00145D14" w:rsidTr="0015752D">
        <w:trPr>
          <w:cantSplit/>
        </w:trPr>
        <w:tc>
          <w:tcPr>
            <w:tcW w:w="9134" w:type="dxa"/>
          </w:tcPr>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MBS item 32084</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FLEXIBLE FIBREOPTIC SIGMOIDOSCOPY or FIBREOPTIC COLONOSCOPY up to the hepatic flexure, WITH or</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WITHOUT BIOPSY (</w:t>
            </w:r>
            <w:proofErr w:type="spellStart"/>
            <w:r w:rsidRPr="00843A6A">
              <w:rPr>
                <w:rFonts w:ascii="Arial Narrow" w:eastAsia="Times New Roman+FPEF" w:hAnsi="Arial Narrow" w:cs="Times New Roman+FPEF"/>
                <w:lang w:eastAsia="en-US"/>
              </w:rPr>
              <w:t>Anaes</w:t>
            </w:r>
            <w:proofErr w:type="spellEnd"/>
            <w:r w:rsidRPr="00843A6A">
              <w:rPr>
                <w:rFonts w:ascii="Arial Narrow" w:eastAsia="Times New Roman+FPEF" w:hAnsi="Arial Narrow" w:cs="Times New Roman+FPEF"/>
                <w:lang w:eastAsia="en-US"/>
              </w:rPr>
              <w:t>.)</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843A6A">
              <w:rPr>
                <w:rFonts w:ascii="Arial Narrow" w:eastAsia="Times New Roman+FPEF" w:hAnsi="Arial Narrow" w:cs="Times New Roman Italic+FPEF"/>
                <w:i/>
                <w:iCs/>
                <w:lang w:eastAsia="en-US"/>
              </w:rPr>
              <w:t>(See para T8.17 of explanatory notes to this Category)</w:t>
            </w:r>
          </w:p>
          <w:p w:rsidR="00E96C9C" w:rsidRPr="00843A6A" w:rsidRDefault="00843A6A" w:rsidP="00843A6A">
            <w:pPr>
              <w:autoSpaceDE w:val="0"/>
              <w:autoSpaceDN w:val="0"/>
              <w:adjustRightInd w:val="0"/>
              <w:spacing w:after="0" w:line="240" w:lineRule="auto"/>
              <w:jc w:val="left"/>
              <w:rPr>
                <w:rFonts w:ascii="Arial Narrow" w:hAnsi="Arial Narrow"/>
                <w:lang w:eastAsia="ja-JP"/>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 xml:space="preserve">$111.35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$83.55 85% = $94.65</w:t>
            </w:r>
          </w:p>
        </w:tc>
      </w:tr>
      <w:tr w:rsidR="00843A6A" w:rsidRPr="00145D14" w:rsidTr="0015752D">
        <w:trPr>
          <w:cantSplit/>
        </w:trPr>
        <w:tc>
          <w:tcPr>
            <w:tcW w:w="9134" w:type="dxa"/>
          </w:tcPr>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lastRenderedPageBreak/>
              <w:t>MBS item 32090</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FIBREOPTIC COLONOSCOPY examination of colon beyond the hepatic flexure WITH or WITHOUT BIOPSY (</w:t>
            </w:r>
            <w:proofErr w:type="spellStart"/>
            <w:r w:rsidRPr="00843A6A">
              <w:rPr>
                <w:rFonts w:ascii="Arial Narrow" w:eastAsia="Times New Roman+FPEF" w:hAnsi="Arial Narrow" w:cs="Times New Roman+FPEF"/>
                <w:lang w:eastAsia="en-US"/>
              </w:rPr>
              <w:t>Anaes</w:t>
            </w:r>
            <w:proofErr w:type="spellEnd"/>
            <w:r w:rsidRPr="00843A6A">
              <w:rPr>
                <w:rFonts w:ascii="Arial Narrow" w:eastAsia="Times New Roman+FPEF" w:hAnsi="Arial Narrow" w:cs="Times New Roman+FPEF"/>
                <w:lang w:eastAsia="en-US"/>
              </w:rPr>
              <w:t>.)</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843A6A">
              <w:rPr>
                <w:rFonts w:ascii="Arial Narrow" w:eastAsia="Times New Roman+FPEF" w:hAnsi="Arial Narrow" w:cs="Times New Roman Italic+FPEF"/>
                <w:i/>
                <w:iCs/>
                <w:lang w:eastAsia="en-US"/>
              </w:rPr>
              <w:t>(See para T8.17 of explanatory notes to this Category)</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 xml:space="preserve">$334.35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$250.80 85% = $284.20</w:t>
            </w:r>
          </w:p>
        </w:tc>
      </w:tr>
      <w:tr w:rsidR="00843A6A" w:rsidRPr="00145D14" w:rsidTr="0015752D">
        <w:trPr>
          <w:cantSplit/>
        </w:trPr>
        <w:tc>
          <w:tcPr>
            <w:tcW w:w="9134" w:type="dxa"/>
          </w:tcPr>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MBS item 32095</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ENDOSCOPIC EXAMINATION of SMALL BOWEL with flexible endoscope passed by stoma, with or without biopsies</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w:t>
            </w:r>
            <w:proofErr w:type="spellStart"/>
            <w:r w:rsidRPr="00843A6A">
              <w:rPr>
                <w:rFonts w:ascii="Arial Narrow" w:eastAsia="Times New Roman+FPEF" w:hAnsi="Arial Narrow" w:cs="Times New Roman+FPEF"/>
                <w:lang w:eastAsia="en-US"/>
              </w:rPr>
              <w:t>Anaes</w:t>
            </w:r>
            <w:proofErr w:type="spellEnd"/>
            <w:r w:rsidRPr="00843A6A">
              <w:rPr>
                <w:rFonts w:ascii="Arial Narrow" w:eastAsia="Times New Roman+FPEF" w:hAnsi="Arial Narrow" w:cs="Times New Roman+FPEF"/>
                <w:lang w:eastAsia="en-US"/>
              </w:rPr>
              <w:t>.)</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843A6A">
              <w:rPr>
                <w:rFonts w:ascii="Arial Narrow" w:eastAsia="Times New Roman+FPEF" w:hAnsi="Arial Narrow" w:cs="Times New Roman Italic+FPEF"/>
                <w:i/>
                <w:iCs/>
                <w:lang w:eastAsia="en-US"/>
              </w:rPr>
              <w:t>(See para T8.17 of explanatory notes to this Category)</w:t>
            </w:r>
          </w:p>
          <w:p w:rsidR="00843A6A" w:rsidRPr="00843A6A" w:rsidRDefault="00843A6A" w:rsidP="00843A6A">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 xml:space="preserve">$127.80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$95.85 85% = $108.65</w:t>
            </w:r>
          </w:p>
        </w:tc>
      </w:tr>
    </w:tbl>
    <w:p w:rsidR="004B17CF" w:rsidRDefault="004B17CF" w:rsidP="004B17CF">
      <w:pPr>
        <w:pStyle w:val="Caption"/>
        <w:spacing w:after="0"/>
        <w:ind w:left="0" w:firstLine="0"/>
      </w:pPr>
    </w:p>
    <w:p w:rsidR="004B17CF" w:rsidRPr="009708D9" w:rsidRDefault="004B17CF" w:rsidP="004B17CF">
      <w:pPr>
        <w:pStyle w:val="Caption"/>
        <w:spacing w:after="0"/>
        <w:ind w:left="0" w:firstLine="0"/>
        <w:rPr>
          <w:rFonts w:ascii="Tahoma" w:hAnsi="Tahoma"/>
          <w:b w:val="0"/>
          <w:i/>
        </w:rPr>
      </w:pPr>
      <w:r w:rsidRPr="009708D9">
        <w:rPr>
          <w:rFonts w:ascii="Tahoma" w:hAnsi="Tahoma"/>
          <w:b w:val="0"/>
          <w:i/>
        </w:rPr>
        <w:t xml:space="preserve">PASC advised costs involved with pathology biopsy should be included in the assessment of differentiating between functional and inflammatory bowel disorders. These costs are shown in </w:t>
      </w:r>
      <w:r w:rsidRPr="009708D9">
        <w:rPr>
          <w:rFonts w:ascii="Tahoma" w:hAnsi="Tahoma"/>
          <w:b w:val="0"/>
          <w:i/>
        </w:rPr>
        <w:fldChar w:fldCharType="begin"/>
      </w:r>
      <w:r w:rsidRPr="009708D9">
        <w:rPr>
          <w:rFonts w:ascii="Tahoma" w:hAnsi="Tahoma"/>
          <w:b w:val="0"/>
          <w:i/>
        </w:rPr>
        <w:instrText xml:space="preserve"> REF _Ref445381630 \h </w:instrText>
      </w:r>
      <w:r w:rsidR="009708D9" w:rsidRPr="009708D9">
        <w:rPr>
          <w:rFonts w:ascii="Tahoma" w:hAnsi="Tahoma"/>
          <w:b w:val="0"/>
          <w:i/>
        </w:rPr>
        <w:instrText xml:space="preserve"> \* MERGEFORMAT </w:instrText>
      </w:r>
      <w:r w:rsidRPr="009708D9">
        <w:rPr>
          <w:rFonts w:ascii="Tahoma" w:hAnsi="Tahoma"/>
          <w:b w:val="0"/>
          <w:i/>
        </w:rPr>
      </w:r>
      <w:r w:rsidRPr="009708D9">
        <w:rPr>
          <w:rFonts w:ascii="Tahoma" w:hAnsi="Tahoma"/>
          <w:b w:val="0"/>
          <w:i/>
        </w:rPr>
        <w:fldChar w:fldCharType="separate"/>
      </w:r>
      <w:r w:rsidR="00961A66" w:rsidRPr="00F360B1">
        <w:rPr>
          <w:rFonts w:ascii="Tahoma" w:hAnsi="Tahoma"/>
          <w:b w:val="0"/>
          <w:i/>
        </w:rPr>
        <w:t xml:space="preserve">Table </w:t>
      </w:r>
      <w:r w:rsidR="00961A66" w:rsidRPr="00F360B1">
        <w:rPr>
          <w:rFonts w:ascii="Tahoma" w:hAnsi="Tahoma"/>
          <w:b w:val="0"/>
          <w:i/>
          <w:noProof/>
        </w:rPr>
        <w:t>2</w:t>
      </w:r>
      <w:r w:rsidRPr="009708D9">
        <w:rPr>
          <w:rFonts w:ascii="Tahoma" w:hAnsi="Tahoma"/>
          <w:b w:val="0"/>
          <w:i/>
        </w:rPr>
        <w:fldChar w:fldCharType="end"/>
      </w:r>
      <w:r w:rsidRPr="009708D9">
        <w:rPr>
          <w:rFonts w:ascii="Tahoma" w:hAnsi="Tahoma"/>
          <w:b w:val="0"/>
          <w:i/>
        </w:rPr>
        <w:t>.</w:t>
      </w:r>
    </w:p>
    <w:p w:rsidR="004B17CF" w:rsidRDefault="004B17CF" w:rsidP="004B17CF">
      <w:pPr>
        <w:pStyle w:val="Caption"/>
      </w:pPr>
    </w:p>
    <w:p w:rsidR="004B17CF" w:rsidRDefault="004B17CF" w:rsidP="004B17CF">
      <w:pPr>
        <w:pStyle w:val="Caption"/>
      </w:pPr>
      <w:bookmarkStart w:id="15" w:name="_Ref445381630"/>
      <w:r>
        <w:t xml:space="preserve">Table </w:t>
      </w:r>
      <w:r>
        <w:fldChar w:fldCharType="begin"/>
      </w:r>
      <w:r>
        <w:instrText xml:space="preserve"> SEQ Table \* ARABIC </w:instrText>
      </w:r>
      <w:r>
        <w:fldChar w:fldCharType="separate"/>
      </w:r>
      <w:r w:rsidR="00961A66">
        <w:rPr>
          <w:noProof/>
        </w:rPr>
        <w:t>2</w:t>
      </w:r>
      <w:r>
        <w:fldChar w:fldCharType="end"/>
      </w:r>
      <w:bookmarkEnd w:id="15"/>
      <w:r>
        <w:t>:</w:t>
      </w:r>
      <w:r>
        <w:tab/>
      </w:r>
      <w:r w:rsidRPr="00145D14">
        <w:rPr>
          <w:lang w:val="en-AU"/>
        </w:rPr>
        <w:t xml:space="preserve">Current MBS item descriptors for </w:t>
      </w:r>
      <w:r>
        <w:rPr>
          <w:lang w:val="en-AU"/>
        </w:rPr>
        <w:t>pathology biopsy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Current MBS item descriptors for scans of the prostate"/>
        <w:tblDescription w:val="Current MBS item descriptors for scans of the prostate"/>
      </w:tblPr>
      <w:tblGrid>
        <w:gridCol w:w="9134"/>
      </w:tblGrid>
      <w:tr w:rsidR="004B17CF" w:rsidRPr="00145D14" w:rsidTr="00772D5F">
        <w:trPr>
          <w:cantSplit/>
        </w:trPr>
        <w:tc>
          <w:tcPr>
            <w:tcW w:w="9134" w:type="dxa"/>
          </w:tcPr>
          <w:p w:rsidR="004B17CF" w:rsidRPr="00145D14" w:rsidRDefault="004B17CF" w:rsidP="00772D5F">
            <w:pPr>
              <w:keepNext/>
              <w:spacing w:after="0" w:line="240" w:lineRule="auto"/>
              <w:jc w:val="right"/>
              <w:rPr>
                <w:rFonts w:ascii="Arial Narrow" w:hAnsi="Arial Narrow"/>
                <w:lang w:eastAsia="ja-JP"/>
              </w:rPr>
            </w:pPr>
            <w:r w:rsidRPr="004B17CF">
              <w:rPr>
                <w:rFonts w:ascii="Arial Narrow" w:hAnsi="Arial Narrow"/>
                <w:lang w:eastAsia="ja-JP"/>
              </w:rPr>
              <w:t>Category 6 - PATHOLOGY SERVICES</w:t>
            </w:r>
          </w:p>
        </w:tc>
      </w:tr>
      <w:tr w:rsidR="004B17CF" w:rsidRPr="00145D14" w:rsidTr="00772D5F">
        <w:trPr>
          <w:cantSplit/>
        </w:trPr>
        <w:tc>
          <w:tcPr>
            <w:tcW w:w="9134" w:type="dxa"/>
          </w:tcPr>
          <w:p w:rsidR="004B17CF" w:rsidRDefault="004B17CF" w:rsidP="00772D5F">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 xml:space="preserve">MBS item </w:t>
            </w:r>
            <w:r>
              <w:rPr>
                <w:rFonts w:ascii="Arial Narrow" w:eastAsia="Times New Roman+FPEF" w:hAnsi="Arial Narrow" w:cs="Times New Roman+FPEF"/>
                <w:lang w:eastAsia="en-US"/>
              </w:rPr>
              <w:t>72823</w:t>
            </w:r>
          </w:p>
          <w:p w:rsidR="004B17CF" w:rsidRDefault="004B17CF" w:rsidP="00772D5F">
            <w:pPr>
              <w:autoSpaceDE w:val="0"/>
              <w:autoSpaceDN w:val="0"/>
              <w:adjustRightInd w:val="0"/>
              <w:spacing w:after="0" w:line="240" w:lineRule="auto"/>
              <w:jc w:val="left"/>
              <w:rPr>
                <w:rFonts w:ascii="Arial Narrow" w:eastAsia="Times New Roman+FPEF" w:hAnsi="Arial Narrow" w:cs="Times New Roman+FPEF"/>
                <w:lang w:eastAsia="en-US"/>
              </w:rPr>
            </w:pPr>
            <w:r w:rsidRPr="004B17CF">
              <w:rPr>
                <w:rFonts w:ascii="Arial Narrow" w:eastAsia="Times New Roman+FPEF" w:hAnsi="Arial Narrow" w:cs="Times New Roman+FPEF"/>
                <w:lang w:eastAsia="en-US"/>
              </w:rPr>
              <w:t>Examination of complexity level 4 biopsy material with 1 or more tissue blocks, including specimen dissection, all tissue processing, staining, light microscopy and professional opinion or opinions - 1 separately identified specimen</w:t>
            </w:r>
          </w:p>
          <w:p w:rsidR="004B17CF" w:rsidRPr="00843A6A" w:rsidRDefault="004B17CF" w:rsidP="00772D5F">
            <w:pPr>
              <w:autoSpaceDE w:val="0"/>
              <w:autoSpaceDN w:val="0"/>
              <w:adjustRightInd w:val="0"/>
              <w:spacing w:after="0" w:line="240" w:lineRule="auto"/>
              <w:jc w:val="left"/>
              <w:rPr>
                <w:rFonts w:ascii="Arial Narrow" w:eastAsia="Times New Roman+FPEF" w:hAnsi="Arial Narrow" w:cs="Times New Roman+FPEF"/>
                <w:lang w:eastAsia="en-US"/>
              </w:rPr>
            </w:pPr>
            <w:r w:rsidRPr="004B17CF">
              <w:rPr>
                <w:rFonts w:ascii="Arial Narrow" w:eastAsia="Times New Roman+FPEF" w:hAnsi="Arial Narrow" w:cs="Times New Roman+FPEF"/>
                <w:lang w:eastAsia="en-US"/>
              </w:rPr>
              <w:t>(Item is subject to rule 13)</w:t>
            </w:r>
          </w:p>
          <w:p w:rsidR="004B17CF" w:rsidRPr="00843A6A" w:rsidRDefault="004B17CF" w:rsidP="004B17CF">
            <w:pPr>
              <w:autoSpaceDE w:val="0"/>
              <w:autoSpaceDN w:val="0"/>
              <w:adjustRightInd w:val="0"/>
              <w:spacing w:after="0" w:line="240" w:lineRule="auto"/>
              <w:jc w:val="left"/>
              <w:rPr>
                <w:rFonts w:ascii="Arial Narrow" w:hAnsi="Arial Narrow"/>
                <w:lang w:eastAsia="ja-JP"/>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w:t>
            </w:r>
            <w:r>
              <w:rPr>
                <w:rFonts w:ascii="Arial Narrow" w:eastAsia="Times New Roman+FPEF" w:hAnsi="Arial Narrow" w:cs="Times New Roman+FPEF"/>
                <w:lang w:eastAsia="en-US"/>
              </w:rPr>
              <w:t xml:space="preserve">97.15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w:t>
            </w:r>
            <w:r>
              <w:rPr>
                <w:rFonts w:ascii="Arial Narrow" w:eastAsia="Times New Roman+FPEF" w:hAnsi="Arial Narrow" w:cs="Times New Roman+FPEF"/>
                <w:lang w:eastAsia="en-US"/>
              </w:rPr>
              <w:t xml:space="preserve"> $72.90</w:t>
            </w:r>
            <w:r w:rsidRPr="00843A6A">
              <w:rPr>
                <w:rFonts w:ascii="Arial Narrow" w:eastAsia="Times New Roman+FPEF" w:hAnsi="Arial Narrow" w:cs="Times New Roman+FPEF"/>
                <w:lang w:eastAsia="en-US"/>
              </w:rPr>
              <w:t xml:space="preserve"> 85% =</w:t>
            </w:r>
            <w:r>
              <w:rPr>
                <w:rFonts w:ascii="Arial Narrow" w:eastAsia="Times New Roman+FPEF" w:hAnsi="Arial Narrow" w:cs="Times New Roman+FPEF"/>
                <w:lang w:eastAsia="en-US"/>
              </w:rPr>
              <w:t xml:space="preserve"> $82.60</w:t>
            </w:r>
            <w:r w:rsidRPr="00843A6A">
              <w:rPr>
                <w:rFonts w:ascii="Arial Narrow" w:eastAsia="Times New Roman+FPEF" w:hAnsi="Arial Narrow" w:cs="Times New Roman+FPEF"/>
                <w:lang w:eastAsia="en-US"/>
              </w:rPr>
              <w:t xml:space="preserve"> </w:t>
            </w:r>
          </w:p>
        </w:tc>
      </w:tr>
      <w:tr w:rsidR="004B17CF" w:rsidRPr="00145D14" w:rsidTr="00772D5F">
        <w:trPr>
          <w:cantSplit/>
        </w:trPr>
        <w:tc>
          <w:tcPr>
            <w:tcW w:w="9134" w:type="dxa"/>
          </w:tcPr>
          <w:p w:rsidR="004B17CF" w:rsidRDefault="004B17CF" w:rsidP="00772D5F">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 xml:space="preserve">MBS item </w:t>
            </w:r>
            <w:r>
              <w:rPr>
                <w:rFonts w:ascii="Arial Narrow" w:eastAsia="Times New Roman+FPEF" w:hAnsi="Arial Narrow" w:cs="Times New Roman+FPEF"/>
                <w:lang w:eastAsia="en-US"/>
              </w:rPr>
              <w:t>72824</w:t>
            </w:r>
          </w:p>
          <w:p w:rsidR="004B17CF" w:rsidRPr="00843A6A" w:rsidRDefault="004B17CF" w:rsidP="00772D5F">
            <w:pPr>
              <w:autoSpaceDE w:val="0"/>
              <w:autoSpaceDN w:val="0"/>
              <w:adjustRightInd w:val="0"/>
              <w:spacing w:after="0" w:line="240" w:lineRule="auto"/>
              <w:jc w:val="left"/>
              <w:rPr>
                <w:rFonts w:ascii="Arial Narrow" w:eastAsia="Times New Roman+FPEF" w:hAnsi="Arial Narrow" w:cs="Times New Roman+FPEF"/>
                <w:lang w:eastAsia="en-US"/>
              </w:rPr>
            </w:pPr>
            <w:r w:rsidRPr="004B17CF">
              <w:rPr>
                <w:rFonts w:ascii="Arial Narrow" w:eastAsia="Times New Roman+FPEF" w:hAnsi="Arial Narrow" w:cs="Times New Roman+FPEF"/>
                <w:lang w:eastAsia="en-US"/>
              </w:rPr>
              <w:t>Examination of complexity level 4 biopsy material with 1 or more tissue blocks, including specimen dissection, all tissue processing, staining, light microscopy and professional opinion or opinions - 2 to 4 separately identified specimens</w:t>
            </w:r>
          </w:p>
          <w:p w:rsidR="004B17CF" w:rsidRPr="00843A6A" w:rsidRDefault="004B17CF" w:rsidP="004B17CF">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w:t>
            </w:r>
            <w:r>
              <w:rPr>
                <w:rFonts w:ascii="Arial Narrow" w:eastAsia="Times New Roman+FPEF" w:hAnsi="Arial Narrow" w:cs="Times New Roman+FPEF"/>
                <w:lang w:eastAsia="en-US"/>
              </w:rPr>
              <w:t>141.35</w:t>
            </w:r>
            <w:r w:rsidRPr="00843A6A">
              <w:rPr>
                <w:rFonts w:ascii="Arial Narrow" w:eastAsia="Times New Roman+FPEF" w:hAnsi="Arial Narrow" w:cs="Times New Roman+FPEF"/>
                <w:lang w:eastAsia="en-US"/>
              </w:rPr>
              <w:t xml:space="preserve">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w:t>
            </w:r>
            <w:r>
              <w:rPr>
                <w:rFonts w:ascii="Arial Narrow" w:eastAsia="Times New Roman+FPEF" w:hAnsi="Arial Narrow" w:cs="Times New Roman+FPEF"/>
                <w:lang w:eastAsia="en-US"/>
              </w:rPr>
              <w:t xml:space="preserve">106.05 </w:t>
            </w:r>
            <w:r w:rsidRPr="00843A6A">
              <w:rPr>
                <w:rFonts w:ascii="Arial Narrow" w:eastAsia="Times New Roman+FPEF" w:hAnsi="Arial Narrow" w:cs="Times New Roman+FPEF"/>
                <w:lang w:eastAsia="en-US"/>
              </w:rPr>
              <w:t>85% = $</w:t>
            </w:r>
            <w:r>
              <w:rPr>
                <w:rFonts w:ascii="Arial Narrow" w:eastAsia="Times New Roman+FPEF" w:hAnsi="Arial Narrow" w:cs="Times New Roman+FPEF"/>
                <w:lang w:eastAsia="en-US"/>
              </w:rPr>
              <w:t>120.15</w:t>
            </w:r>
          </w:p>
        </w:tc>
      </w:tr>
    </w:tbl>
    <w:p w:rsidR="004B17CF" w:rsidRPr="004B17CF" w:rsidRDefault="004B17CF" w:rsidP="00F360B1">
      <w:pPr>
        <w:spacing w:after="0"/>
      </w:pPr>
    </w:p>
    <w:p w:rsidR="00AA3A10" w:rsidRPr="00145D14" w:rsidRDefault="00427A5B" w:rsidP="00E15135">
      <w:pPr>
        <w:pStyle w:val="Heading3"/>
      </w:pPr>
      <w:r>
        <w:t xml:space="preserve">Faecal </w:t>
      </w:r>
      <w:proofErr w:type="spellStart"/>
      <w:r>
        <w:t>Calprotectin</w:t>
      </w:r>
      <w:proofErr w:type="spellEnd"/>
      <w:r w:rsidR="00AA3A10" w:rsidRPr="00145D14">
        <w:t xml:space="preserve"> test for monitoring patients w</w:t>
      </w:r>
      <w:r w:rsidR="00AA3A10">
        <w:t>ith</w:t>
      </w:r>
      <w:r w:rsidR="00AA3A10" w:rsidRPr="00145D14">
        <w:t xml:space="preserve"> </w:t>
      </w:r>
      <w:r w:rsidR="00D146A0">
        <w:t xml:space="preserve">known </w:t>
      </w:r>
      <w:r w:rsidR="00AA3A10" w:rsidRPr="00145D14">
        <w:t xml:space="preserve">IBD: </w:t>
      </w:r>
    </w:p>
    <w:p w:rsidR="001927C3" w:rsidRPr="009708D9" w:rsidRDefault="00CE1EF4" w:rsidP="00216967">
      <w:r w:rsidRPr="009708D9">
        <w:t>The Applicant notes that f</w:t>
      </w:r>
      <w:r w:rsidR="00E67B57" w:rsidRPr="009708D9">
        <w:t>or monitoring</w:t>
      </w:r>
      <w:r w:rsidR="00D146A0" w:rsidRPr="009708D9">
        <w:t xml:space="preserve"> purposes</w:t>
      </w:r>
      <w:r w:rsidR="00E67B57" w:rsidRPr="009708D9">
        <w:t xml:space="preserve">, </w:t>
      </w:r>
      <w:r w:rsidR="00330411" w:rsidRPr="009708D9">
        <w:t xml:space="preserve">colonoscopy, endoscopy and radiology, may </w:t>
      </w:r>
      <w:r w:rsidR="00E67B57" w:rsidRPr="009708D9">
        <w:t xml:space="preserve">be used. However, colonoscopy is invasive, and due to associated risks of perforation, healthcare professionals are hesitant to frequently utilise it as a monitoring tool. The radiation associated with CT, and access and costs around the use of MRI makes these procedures likewise unsuitable for regular monitoring. </w:t>
      </w:r>
      <w:r w:rsidR="00763CD8" w:rsidRPr="009708D9">
        <w:t>Non-specific serum markers of inflammation (CRP/ESR) are variably used in monitoring, but may be discordant with the degree of inflammation in the colon.</w:t>
      </w:r>
    </w:p>
    <w:p w:rsidR="00CE40B3" w:rsidRPr="009708D9" w:rsidRDefault="00CE40B3" w:rsidP="00CE40B3">
      <w:r w:rsidRPr="009708D9">
        <w:t xml:space="preserve">Current MBS item for colonoscopy and endoscopy include: </w:t>
      </w:r>
    </w:p>
    <w:p w:rsidR="00CE40B3" w:rsidRPr="00145D14" w:rsidRDefault="00CE40B3" w:rsidP="00CE40B3">
      <w:pPr>
        <w:pStyle w:val="Caption"/>
        <w:rPr>
          <w:lang w:val="en-AU"/>
        </w:rPr>
      </w:pPr>
      <w:r w:rsidRPr="00145D14">
        <w:rPr>
          <w:lang w:val="en-AU"/>
        </w:rPr>
        <w:t xml:space="preserve">Table </w:t>
      </w:r>
      <w:r w:rsidRPr="00145D14">
        <w:rPr>
          <w:lang w:val="en-AU"/>
        </w:rPr>
        <w:fldChar w:fldCharType="begin"/>
      </w:r>
      <w:r w:rsidRPr="00145D14">
        <w:rPr>
          <w:lang w:val="en-AU"/>
        </w:rPr>
        <w:instrText xml:space="preserve"> SEQ Table \* ARABIC </w:instrText>
      </w:r>
      <w:r w:rsidRPr="00145D14">
        <w:rPr>
          <w:lang w:val="en-AU"/>
        </w:rPr>
        <w:fldChar w:fldCharType="separate"/>
      </w:r>
      <w:r w:rsidR="00961A66">
        <w:rPr>
          <w:noProof/>
          <w:lang w:val="en-AU"/>
        </w:rPr>
        <w:t>3</w:t>
      </w:r>
      <w:r w:rsidRPr="00145D14">
        <w:rPr>
          <w:noProof/>
          <w:lang w:val="en-AU"/>
        </w:rPr>
        <w:fldChar w:fldCharType="end"/>
      </w:r>
      <w:r w:rsidRPr="00145D14">
        <w:rPr>
          <w:lang w:val="en-AU"/>
        </w:rPr>
        <w:t>:</w:t>
      </w:r>
      <w:r w:rsidRPr="00145D14">
        <w:rPr>
          <w:lang w:val="en-AU"/>
        </w:rPr>
        <w:tab/>
        <w:t xml:space="preserve">Current MBS item descriptors for </w:t>
      </w:r>
      <w:r>
        <w:rPr>
          <w:lang w:val="en-AU"/>
        </w:rPr>
        <w:t>colonoscopy and endoscopy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Current MBS item descriptors for scans of the prostate"/>
        <w:tblDescription w:val="Current MBS item descriptors for scans of the prostate"/>
      </w:tblPr>
      <w:tblGrid>
        <w:gridCol w:w="9134"/>
      </w:tblGrid>
      <w:tr w:rsidR="00CE40B3" w:rsidRPr="00145D14" w:rsidTr="00427F46">
        <w:tc>
          <w:tcPr>
            <w:tcW w:w="9134" w:type="dxa"/>
          </w:tcPr>
          <w:p w:rsidR="00CE40B3" w:rsidRDefault="00CE40B3" w:rsidP="00427F46">
            <w:pPr>
              <w:keepNext/>
              <w:spacing w:after="0" w:line="240" w:lineRule="auto"/>
              <w:jc w:val="right"/>
              <w:rPr>
                <w:rFonts w:ascii="Arial Narrow" w:hAnsi="Arial Narrow"/>
                <w:lang w:eastAsia="ja-JP"/>
              </w:rPr>
            </w:pPr>
            <w:r>
              <w:rPr>
                <w:rFonts w:ascii="Arial Narrow" w:hAnsi="Arial Narrow"/>
                <w:lang w:eastAsia="ja-JP"/>
              </w:rPr>
              <w:t xml:space="preserve">Group T8: Surgical Operations </w:t>
            </w:r>
          </w:p>
          <w:p w:rsidR="00CE40B3" w:rsidRPr="00145D14" w:rsidRDefault="00CE40B3" w:rsidP="00427F46">
            <w:pPr>
              <w:keepNext/>
              <w:spacing w:after="0" w:line="240" w:lineRule="auto"/>
              <w:jc w:val="right"/>
              <w:rPr>
                <w:rFonts w:ascii="Arial Narrow" w:hAnsi="Arial Narrow"/>
                <w:lang w:eastAsia="ja-JP"/>
              </w:rPr>
            </w:pPr>
            <w:r>
              <w:rPr>
                <w:rFonts w:ascii="Arial Narrow" w:hAnsi="Arial Narrow"/>
                <w:lang w:eastAsia="ja-JP"/>
              </w:rPr>
              <w:t>Subgroup 2: Colorectal</w:t>
            </w:r>
          </w:p>
        </w:tc>
      </w:tr>
      <w:tr w:rsidR="00CE40B3" w:rsidRPr="00145D14" w:rsidTr="00427F46">
        <w:tc>
          <w:tcPr>
            <w:tcW w:w="9134" w:type="dxa"/>
          </w:tcPr>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MBS item 32084</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FLEXIBLE FIBREOPTIC SIGMOIDOSCOPY or FIBREOPTIC COLONOSCOPY up to the hepatic flexure, WITH or</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WITHOUT BIOPSY (</w:t>
            </w:r>
            <w:proofErr w:type="spellStart"/>
            <w:r w:rsidRPr="00843A6A">
              <w:rPr>
                <w:rFonts w:ascii="Arial Narrow" w:eastAsia="Times New Roman+FPEF" w:hAnsi="Arial Narrow" w:cs="Times New Roman+FPEF"/>
                <w:lang w:eastAsia="en-US"/>
              </w:rPr>
              <w:t>Anaes</w:t>
            </w:r>
            <w:proofErr w:type="spellEnd"/>
            <w:r w:rsidRPr="00843A6A">
              <w:rPr>
                <w:rFonts w:ascii="Arial Narrow" w:eastAsia="Times New Roman+FPEF" w:hAnsi="Arial Narrow" w:cs="Times New Roman+FPEF"/>
                <w:lang w:eastAsia="en-US"/>
              </w:rPr>
              <w:t>.)</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843A6A">
              <w:rPr>
                <w:rFonts w:ascii="Arial Narrow" w:eastAsia="Times New Roman+FPEF" w:hAnsi="Arial Narrow" w:cs="Times New Roman Italic+FPEF"/>
                <w:i/>
                <w:iCs/>
                <w:lang w:eastAsia="en-US"/>
              </w:rPr>
              <w:t>(See para T8.17 of explanatory notes to this Category)</w:t>
            </w:r>
          </w:p>
          <w:p w:rsidR="00CE40B3" w:rsidRPr="00843A6A" w:rsidRDefault="00CE40B3" w:rsidP="00427F46">
            <w:pPr>
              <w:autoSpaceDE w:val="0"/>
              <w:autoSpaceDN w:val="0"/>
              <w:adjustRightInd w:val="0"/>
              <w:spacing w:after="0" w:line="240" w:lineRule="auto"/>
              <w:jc w:val="left"/>
              <w:rPr>
                <w:rFonts w:ascii="Arial Narrow" w:hAnsi="Arial Narrow"/>
                <w:lang w:eastAsia="ja-JP"/>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 xml:space="preserve">$111.35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$83.55 85% = $94.65</w:t>
            </w:r>
          </w:p>
        </w:tc>
      </w:tr>
      <w:tr w:rsidR="00CE40B3" w:rsidRPr="00145D14" w:rsidTr="00427F46">
        <w:tc>
          <w:tcPr>
            <w:tcW w:w="9134" w:type="dxa"/>
          </w:tcPr>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MBS item 32090</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FIBREOPTIC COLONOSCOPY examination of colon beyond the hepatic flexure WITH or WITHOUT BIOPSY (</w:t>
            </w:r>
            <w:proofErr w:type="spellStart"/>
            <w:r w:rsidRPr="00843A6A">
              <w:rPr>
                <w:rFonts w:ascii="Arial Narrow" w:eastAsia="Times New Roman+FPEF" w:hAnsi="Arial Narrow" w:cs="Times New Roman+FPEF"/>
                <w:lang w:eastAsia="en-US"/>
              </w:rPr>
              <w:t>Anaes</w:t>
            </w:r>
            <w:proofErr w:type="spellEnd"/>
            <w:r w:rsidRPr="00843A6A">
              <w:rPr>
                <w:rFonts w:ascii="Arial Narrow" w:eastAsia="Times New Roman+FPEF" w:hAnsi="Arial Narrow" w:cs="Times New Roman+FPEF"/>
                <w:lang w:eastAsia="en-US"/>
              </w:rPr>
              <w:t>.)</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843A6A">
              <w:rPr>
                <w:rFonts w:ascii="Arial Narrow" w:eastAsia="Times New Roman+FPEF" w:hAnsi="Arial Narrow" w:cs="Times New Roman Italic+FPEF"/>
                <w:i/>
                <w:iCs/>
                <w:lang w:eastAsia="en-US"/>
              </w:rPr>
              <w:t>(See para T8.17 of explanatory notes to this Category)</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 xml:space="preserve">$334.35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$250.80 85% = $284.20</w:t>
            </w:r>
          </w:p>
        </w:tc>
      </w:tr>
      <w:tr w:rsidR="00CE40B3" w:rsidRPr="00145D14" w:rsidTr="00427F46">
        <w:tc>
          <w:tcPr>
            <w:tcW w:w="9134" w:type="dxa"/>
          </w:tcPr>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MBS item 32095</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ENDOSCOPIC EXAMINATION of SMALL BOWEL with flexible endoscope passed by stoma, with or without biopsies</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FPEF"/>
                <w:lang w:eastAsia="en-US"/>
              </w:rPr>
              <w:t>(</w:t>
            </w:r>
            <w:proofErr w:type="spellStart"/>
            <w:r w:rsidRPr="00843A6A">
              <w:rPr>
                <w:rFonts w:ascii="Arial Narrow" w:eastAsia="Times New Roman+FPEF" w:hAnsi="Arial Narrow" w:cs="Times New Roman+FPEF"/>
                <w:lang w:eastAsia="en-US"/>
              </w:rPr>
              <w:t>Anaes</w:t>
            </w:r>
            <w:proofErr w:type="spellEnd"/>
            <w:r w:rsidRPr="00843A6A">
              <w:rPr>
                <w:rFonts w:ascii="Arial Narrow" w:eastAsia="Times New Roman+FPEF" w:hAnsi="Arial Narrow" w:cs="Times New Roman+FPEF"/>
                <w:lang w:eastAsia="en-US"/>
              </w:rPr>
              <w:t>.)</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 Italic+FPEF"/>
                <w:i/>
                <w:iCs/>
                <w:lang w:eastAsia="en-US"/>
              </w:rPr>
            </w:pPr>
            <w:r w:rsidRPr="00843A6A">
              <w:rPr>
                <w:rFonts w:ascii="Arial Narrow" w:eastAsia="Times New Roman+FPEF" w:hAnsi="Arial Narrow" w:cs="Times New Roman Italic+FPEF"/>
                <w:i/>
                <w:iCs/>
                <w:lang w:eastAsia="en-US"/>
              </w:rPr>
              <w:t>(See para T8.17 of explanatory notes to this Category)</w:t>
            </w:r>
          </w:p>
          <w:p w:rsidR="00CE40B3" w:rsidRPr="00843A6A" w:rsidRDefault="00CE40B3" w:rsidP="00427F46">
            <w:pPr>
              <w:autoSpaceDE w:val="0"/>
              <w:autoSpaceDN w:val="0"/>
              <w:adjustRightInd w:val="0"/>
              <w:spacing w:after="0" w:line="240" w:lineRule="auto"/>
              <w:jc w:val="left"/>
              <w:rPr>
                <w:rFonts w:ascii="Arial Narrow" w:eastAsia="Times New Roman+FPEF" w:hAnsi="Arial Narrow" w:cs="Times New Roman+FPEF"/>
                <w:lang w:eastAsia="en-US"/>
              </w:rPr>
            </w:pPr>
            <w:r w:rsidRPr="00843A6A">
              <w:rPr>
                <w:rFonts w:ascii="Arial Narrow" w:eastAsia="Times New Roman+FPEF" w:hAnsi="Arial Narrow" w:cs="Times New Roman Bold+FPEF"/>
                <w:b/>
                <w:bCs/>
                <w:lang w:eastAsia="en-US"/>
              </w:rPr>
              <w:t xml:space="preserve">Fee: </w:t>
            </w:r>
            <w:r w:rsidRPr="00843A6A">
              <w:rPr>
                <w:rFonts w:ascii="Arial Narrow" w:eastAsia="Times New Roman+FPEF" w:hAnsi="Arial Narrow" w:cs="Times New Roman+FPEF"/>
                <w:lang w:eastAsia="en-US"/>
              </w:rPr>
              <w:t xml:space="preserve">$127.80 </w:t>
            </w:r>
            <w:r w:rsidRPr="00843A6A">
              <w:rPr>
                <w:rFonts w:ascii="Arial Narrow" w:eastAsia="Times New Roman+FPEF" w:hAnsi="Arial Narrow" w:cs="Times New Roman Bold+FPEF"/>
                <w:b/>
                <w:bCs/>
                <w:lang w:eastAsia="en-US"/>
              </w:rPr>
              <w:t xml:space="preserve">Benefit: </w:t>
            </w:r>
            <w:r w:rsidRPr="00843A6A">
              <w:rPr>
                <w:rFonts w:ascii="Arial Narrow" w:eastAsia="Times New Roman+FPEF" w:hAnsi="Arial Narrow" w:cs="Times New Roman+FPEF"/>
                <w:lang w:eastAsia="en-US"/>
              </w:rPr>
              <w:t>75% = $95.85 85% = $108.65</w:t>
            </w:r>
          </w:p>
        </w:tc>
      </w:tr>
    </w:tbl>
    <w:bookmarkEnd w:id="14"/>
    <w:p w:rsidR="004B17CF" w:rsidRDefault="004B17CF" w:rsidP="004B17CF">
      <w:pPr>
        <w:pStyle w:val="Caption"/>
        <w:spacing w:after="0"/>
        <w:ind w:left="0" w:firstLine="0"/>
      </w:pPr>
      <w:r>
        <w:lastRenderedPageBreak/>
        <w:t xml:space="preserve">PASC advised costs involved with pathology biopsy should be included in the assessment of </w:t>
      </w:r>
      <w:r w:rsidRPr="004B17CF">
        <w:t>monitoring patients with known IBD</w:t>
      </w:r>
      <w:r>
        <w:t xml:space="preserve">. These costs are shown in </w:t>
      </w:r>
      <w:r>
        <w:fldChar w:fldCharType="begin"/>
      </w:r>
      <w:r>
        <w:instrText xml:space="preserve"> REF _Ref445381630 \h </w:instrText>
      </w:r>
      <w:r>
        <w:fldChar w:fldCharType="separate"/>
      </w:r>
      <w:r w:rsidR="00961A66">
        <w:t xml:space="preserve">Table </w:t>
      </w:r>
      <w:r w:rsidR="00961A66">
        <w:rPr>
          <w:noProof/>
        </w:rPr>
        <w:t>2</w:t>
      </w:r>
      <w:r>
        <w:fldChar w:fldCharType="end"/>
      </w:r>
      <w:r>
        <w:t>.</w:t>
      </w:r>
    </w:p>
    <w:p w:rsidR="007252D5" w:rsidRPr="00145D14" w:rsidRDefault="007252D5" w:rsidP="000901A8">
      <w:pPr>
        <w:pStyle w:val="Heading2"/>
        <w:rPr>
          <w:lang w:val="en-AU"/>
        </w:rPr>
      </w:pPr>
      <w:bookmarkStart w:id="16" w:name="_Toc445384037"/>
      <w:r w:rsidRPr="00145D14">
        <w:rPr>
          <w:lang w:val="en-AU"/>
        </w:rPr>
        <w:t>Regulatory status</w:t>
      </w:r>
      <w:bookmarkEnd w:id="16"/>
    </w:p>
    <w:p w:rsidR="00215123" w:rsidRDefault="00335EEC" w:rsidP="001B78DF">
      <w:r w:rsidRPr="00145D14">
        <w:t xml:space="preserve">The Applicant </w:t>
      </w:r>
      <w:r w:rsidR="00215123">
        <w:t xml:space="preserve">and GESA </w:t>
      </w:r>
      <w:r w:rsidRPr="00145D14">
        <w:t xml:space="preserve">propose that </w:t>
      </w:r>
      <w:r w:rsidR="00215123" w:rsidRPr="00215123">
        <w:t>if used in primary care, the test should be sent to NATA accredited lab</w:t>
      </w:r>
      <w:r w:rsidR="00215123">
        <w:t xml:space="preserve"> for laboratory-based testing</w:t>
      </w:r>
      <w:r w:rsidR="00215123" w:rsidRPr="00215123">
        <w:t xml:space="preserve">; if the test is conducted in </w:t>
      </w:r>
      <w:r w:rsidR="00215123">
        <w:t xml:space="preserve">a </w:t>
      </w:r>
      <w:r w:rsidR="00215123" w:rsidRPr="00215123">
        <w:t xml:space="preserve">gastroenterological setting, both benchtop </w:t>
      </w:r>
      <w:r w:rsidR="00215123">
        <w:t>and</w:t>
      </w:r>
      <w:r w:rsidR="00215123" w:rsidRPr="00215123">
        <w:t xml:space="preserve"> lab</w:t>
      </w:r>
      <w:r w:rsidR="00215123">
        <w:t>oratory</w:t>
      </w:r>
      <w:r w:rsidR="00215123" w:rsidRPr="00215123">
        <w:t xml:space="preserve">-based testing </w:t>
      </w:r>
      <w:r w:rsidR="00215123">
        <w:t>are</w:t>
      </w:r>
      <w:r w:rsidR="00215123" w:rsidRPr="00215123">
        <w:t xml:space="preserve"> acceptable.</w:t>
      </w:r>
    </w:p>
    <w:p w:rsidR="00216967" w:rsidRDefault="00215123" w:rsidP="001B78DF">
      <w:r>
        <w:t>Laboratory-based</w:t>
      </w:r>
      <w:r w:rsidRPr="00145D14">
        <w:t xml:space="preserve"> </w:t>
      </w:r>
      <w:r w:rsidR="00335EEC" w:rsidRPr="00145D14">
        <w:t xml:space="preserve">testing </w:t>
      </w:r>
      <w:r>
        <w:t xml:space="preserve">will </w:t>
      </w:r>
      <w:r w:rsidR="00335EEC" w:rsidRPr="00145D14">
        <w:t xml:space="preserve">be </w:t>
      </w:r>
      <w:r w:rsidR="00F359FA">
        <w:t>carried out</w:t>
      </w:r>
      <w:r w:rsidR="00335EEC" w:rsidRPr="00145D14">
        <w:t xml:space="preserve"> in National Association of Testing Authorities (NATA)-accredited pathology laboratories. </w:t>
      </w:r>
      <w:r>
        <w:t>P</w:t>
      </w:r>
      <w:r w:rsidRPr="00145D14">
        <w:t xml:space="preserve">oint of care tests </w:t>
      </w:r>
      <w:r>
        <w:t xml:space="preserve">will only </w:t>
      </w:r>
      <w:r w:rsidRPr="00145D14">
        <w:t>be performed and analysed by gastroenterologists. Testing requires operator training and compliance with the National Pathology Accreditation Advisory Council (NPAAC) guidelines for Point of Care testing.</w:t>
      </w:r>
    </w:p>
    <w:p w:rsidR="0018071E" w:rsidRDefault="00AB29BD" w:rsidP="00F360B1">
      <w:pPr>
        <w:spacing w:after="0"/>
      </w:pPr>
      <w:r>
        <w:t xml:space="preserve">The Applicant notes that Taylor Bio-Medical Pty Ltd – Clinical chemistry-specific protein IVDs (ARTG entry 223904) is the relevant medical device, although PASC expressed preference for a generic listing on the MBS. </w:t>
      </w:r>
      <w:r w:rsidR="00216967" w:rsidRPr="00216967">
        <w:t xml:space="preserve">GESA agrees with generic listing.  </w:t>
      </w:r>
    </w:p>
    <w:p w:rsidR="007252D5" w:rsidRPr="00145D14" w:rsidRDefault="007252D5" w:rsidP="00F360B1">
      <w:pPr>
        <w:pStyle w:val="Heading1"/>
        <w:spacing w:before="240" w:after="120"/>
      </w:pPr>
      <w:bookmarkStart w:id="17" w:name="_Toc445384038"/>
      <w:r w:rsidRPr="00145D14">
        <w:t>Patient population</w:t>
      </w:r>
      <w:bookmarkEnd w:id="17"/>
    </w:p>
    <w:p w:rsidR="007252D5" w:rsidRPr="00145D14" w:rsidRDefault="007252D5" w:rsidP="00F360B1">
      <w:pPr>
        <w:pStyle w:val="Heading2"/>
        <w:spacing w:before="0"/>
        <w:rPr>
          <w:lang w:val="en-AU"/>
        </w:rPr>
      </w:pPr>
      <w:bookmarkStart w:id="18" w:name="_Toc445384039"/>
      <w:r w:rsidRPr="00145D14">
        <w:rPr>
          <w:lang w:val="en-AU"/>
        </w:rPr>
        <w:t>Proposed MBS listing</w:t>
      </w:r>
      <w:bookmarkEnd w:id="18"/>
    </w:p>
    <w:p w:rsidR="00EB5E5C" w:rsidRDefault="00427A5B" w:rsidP="00E15135">
      <w:pPr>
        <w:pStyle w:val="Heading3"/>
      </w:pPr>
      <w:bookmarkStart w:id="19" w:name="_Ref283284346"/>
      <w:r>
        <w:t xml:space="preserve">Faecal </w:t>
      </w:r>
      <w:proofErr w:type="spellStart"/>
      <w:r w:rsidR="009E0767">
        <w:t>calprotectin</w:t>
      </w:r>
      <w:proofErr w:type="spellEnd"/>
      <w:r w:rsidR="009E0767" w:rsidRPr="00145D14">
        <w:t xml:space="preserve"> </w:t>
      </w:r>
      <w:r w:rsidR="00EB5E5C" w:rsidRPr="00145D14">
        <w:t xml:space="preserve">test </w:t>
      </w:r>
      <w:r w:rsidR="00EB5E5C">
        <w:t>for</w:t>
      </w:r>
      <w:r w:rsidR="00EB5E5C" w:rsidRPr="00145D14">
        <w:t xml:space="preserve"> differentiating between </w:t>
      </w:r>
      <w:r w:rsidR="00997605" w:rsidRPr="00D146A0">
        <w:t>functional and inflammatory bowel disorders</w:t>
      </w:r>
    </w:p>
    <w:p w:rsidR="0064190C" w:rsidRPr="00145D14" w:rsidRDefault="0064190C" w:rsidP="0064190C">
      <w:pPr>
        <w:pStyle w:val="Caption"/>
        <w:rPr>
          <w:lang w:val="en-AU"/>
        </w:rPr>
      </w:pPr>
      <w:r w:rsidRPr="00145D14">
        <w:rPr>
          <w:lang w:val="en-AU"/>
        </w:rPr>
        <w:t xml:space="preserve">Table </w:t>
      </w:r>
      <w:r w:rsidRPr="00145D14">
        <w:rPr>
          <w:lang w:val="en-AU"/>
        </w:rPr>
        <w:fldChar w:fldCharType="begin"/>
      </w:r>
      <w:r w:rsidRPr="00145D14">
        <w:rPr>
          <w:lang w:val="en-AU"/>
        </w:rPr>
        <w:instrText xml:space="preserve"> SEQ Table \* ARABIC </w:instrText>
      </w:r>
      <w:r w:rsidRPr="00145D14">
        <w:rPr>
          <w:lang w:val="en-AU"/>
        </w:rPr>
        <w:fldChar w:fldCharType="separate"/>
      </w:r>
      <w:r w:rsidR="00961A66">
        <w:rPr>
          <w:noProof/>
          <w:lang w:val="en-AU"/>
        </w:rPr>
        <w:t>4</w:t>
      </w:r>
      <w:r w:rsidRPr="00145D14">
        <w:rPr>
          <w:noProof/>
          <w:lang w:val="en-AU"/>
        </w:rPr>
        <w:fldChar w:fldCharType="end"/>
      </w:r>
      <w:bookmarkEnd w:id="19"/>
      <w:r w:rsidRPr="00145D14">
        <w:rPr>
          <w:lang w:val="en-AU"/>
        </w:rPr>
        <w:t>:</w:t>
      </w:r>
      <w:r w:rsidRPr="00145D14">
        <w:rPr>
          <w:lang w:val="en-AU"/>
        </w:rPr>
        <w:tab/>
        <w:t>Proposed MBS item descriptor for</w:t>
      </w:r>
      <w:r w:rsidR="00771973" w:rsidRPr="00145D14">
        <w:rPr>
          <w:lang w:val="en-AU"/>
        </w:rPr>
        <w:t xml:space="preserve"> </w:t>
      </w:r>
      <w:r w:rsidR="00427A5B">
        <w:rPr>
          <w:lang w:val="en-AU"/>
        </w:rPr>
        <w:t xml:space="preserve">Faecal </w:t>
      </w:r>
      <w:proofErr w:type="spellStart"/>
      <w:r w:rsidR="00427A5B">
        <w:rPr>
          <w:lang w:val="en-AU"/>
        </w:rPr>
        <w:t>Calprotectin</w:t>
      </w:r>
      <w:proofErr w:type="spellEnd"/>
      <w:r w:rsidR="00EB5E5C">
        <w:rPr>
          <w:lang w:val="en-AU"/>
        </w:rPr>
        <w:t xml:space="preserve"> test for differentiating </w:t>
      </w:r>
      <w:r w:rsidR="00997605" w:rsidRPr="00D146A0">
        <w:t>functional and inflammatory bowel disorders</w:t>
      </w: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Proposed MBS item descriptor for multiparametric MRI (mpMRI) scans of the prostate"/>
        <w:tblDescription w:val="Proposed MBS item descriptor for multiparametric MRI (mpMRI) scans of the prostate"/>
      </w:tblPr>
      <w:tblGrid>
        <w:gridCol w:w="9134"/>
      </w:tblGrid>
      <w:tr w:rsidR="0002772D" w:rsidRPr="00145D14" w:rsidTr="0002772D">
        <w:tc>
          <w:tcPr>
            <w:tcW w:w="9134" w:type="dxa"/>
          </w:tcPr>
          <w:p w:rsidR="0002772D" w:rsidRPr="00145D14" w:rsidRDefault="0002772D" w:rsidP="00CE1EF4">
            <w:pPr>
              <w:spacing w:after="0" w:line="240" w:lineRule="auto"/>
              <w:jc w:val="right"/>
              <w:rPr>
                <w:rFonts w:ascii="Arial Narrow" w:hAnsi="Arial Narrow"/>
                <w:lang w:eastAsia="ja-JP"/>
              </w:rPr>
            </w:pPr>
            <w:r w:rsidRPr="00145D14">
              <w:rPr>
                <w:rFonts w:ascii="Arial Narrow" w:hAnsi="Arial Narrow"/>
                <w:lang w:eastAsia="ja-JP"/>
              </w:rPr>
              <w:t xml:space="preserve">Category </w:t>
            </w:r>
            <w:r w:rsidR="00A26410" w:rsidRPr="00145D14">
              <w:rPr>
                <w:rFonts w:ascii="Arial Narrow" w:hAnsi="Arial Narrow"/>
                <w:lang w:eastAsia="ja-JP"/>
              </w:rPr>
              <w:t>2</w:t>
            </w:r>
            <w:r w:rsidRPr="00145D14">
              <w:rPr>
                <w:rFonts w:ascii="Arial Narrow" w:hAnsi="Arial Narrow"/>
                <w:lang w:eastAsia="ja-JP"/>
              </w:rPr>
              <w:t xml:space="preserve"> – </w:t>
            </w:r>
            <w:r w:rsidR="00A26410" w:rsidRPr="00145D14">
              <w:rPr>
                <w:rFonts w:ascii="Arial Narrow" w:hAnsi="Arial Narrow"/>
                <w:lang w:eastAsia="ja-JP"/>
              </w:rPr>
              <w:t>Diagnostic</w:t>
            </w:r>
          </w:p>
        </w:tc>
      </w:tr>
      <w:tr w:rsidR="0002772D" w:rsidRPr="00145D14" w:rsidTr="0002772D">
        <w:tc>
          <w:tcPr>
            <w:tcW w:w="9134" w:type="dxa"/>
          </w:tcPr>
          <w:p w:rsidR="0002772D" w:rsidRPr="00145D14" w:rsidRDefault="0002772D" w:rsidP="00CE1EF4">
            <w:pPr>
              <w:spacing w:after="0" w:line="240" w:lineRule="auto"/>
              <w:rPr>
                <w:rFonts w:ascii="Arial Narrow" w:hAnsi="Arial Narrow"/>
                <w:lang w:eastAsia="ja-JP"/>
              </w:rPr>
            </w:pPr>
            <w:r w:rsidRPr="00145D14">
              <w:rPr>
                <w:rFonts w:ascii="Arial Narrow" w:hAnsi="Arial Narrow"/>
                <w:lang w:eastAsia="ja-JP"/>
              </w:rPr>
              <w:t>MBS [item number]</w:t>
            </w:r>
          </w:p>
          <w:p w:rsidR="000354A2" w:rsidRDefault="00427A5B" w:rsidP="00CE1EF4">
            <w:pPr>
              <w:spacing w:after="0" w:line="240" w:lineRule="auto"/>
              <w:rPr>
                <w:rFonts w:ascii="Arial Narrow" w:hAnsi="Arial Narrow"/>
              </w:rPr>
            </w:pPr>
            <w:r>
              <w:rPr>
                <w:rFonts w:ascii="Arial Narrow" w:hAnsi="Arial Narrow"/>
              </w:rPr>
              <w:t xml:space="preserve">Faecal </w:t>
            </w:r>
            <w:proofErr w:type="spellStart"/>
            <w:r>
              <w:rPr>
                <w:rFonts w:ascii="Arial Narrow" w:hAnsi="Arial Narrow"/>
              </w:rPr>
              <w:t>Calprotectin</w:t>
            </w:r>
            <w:proofErr w:type="spellEnd"/>
            <w:r w:rsidR="005167AC">
              <w:rPr>
                <w:rFonts w:ascii="Arial Narrow" w:hAnsi="Arial Narrow"/>
              </w:rPr>
              <w:t xml:space="preserve"> p</w:t>
            </w:r>
            <w:r w:rsidR="00737104" w:rsidRPr="00737104">
              <w:rPr>
                <w:rFonts w:ascii="Arial Narrow" w:hAnsi="Arial Narrow"/>
              </w:rPr>
              <w:t xml:space="preserve">oint of </w:t>
            </w:r>
            <w:r w:rsidR="005167AC">
              <w:rPr>
                <w:rFonts w:ascii="Arial Narrow" w:hAnsi="Arial Narrow"/>
              </w:rPr>
              <w:t>c</w:t>
            </w:r>
            <w:r w:rsidR="00737104" w:rsidRPr="00737104">
              <w:rPr>
                <w:rFonts w:ascii="Arial Narrow" w:hAnsi="Arial Narrow"/>
              </w:rPr>
              <w:t xml:space="preserve">are </w:t>
            </w:r>
            <w:r w:rsidR="005167AC">
              <w:rPr>
                <w:rFonts w:ascii="Arial Narrow" w:hAnsi="Arial Narrow"/>
              </w:rPr>
              <w:t>t</w:t>
            </w:r>
            <w:r w:rsidR="00737104" w:rsidRPr="00737104">
              <w:rPr>
                <w:rFonts w:ascii="Arial Narrow" w:hAnsi="Arial Narrow"/>
              </w:rPr>
              <w:t xml:space="preserve">esting of patients </w:t>
            </w:r>
            <w:r w:rsidR="009A5289">
              <w:rPr>
                <w:rFonts w:ascii="Arial Narrow" w:hAnsi="Arial Narrow"/>
                <w:lang w:eastAsia="ja-JP"/>
              </w:rPr>
              <w:t xml:space="preserve">aged 3 years or older </w:t>
            </w:r>
            <w:r w:rsidR="00737104" w:rsidRPr="00737104">
              <w:rPr>
                <w:rFonts w:ascii="Arial Narrow" w:hAnsi="Arial Narrow"/>
              </w:rPr>
              <w:t xml:space="preserve">presenting with chronic (more than 6 weeks’ duration) gastrointestinal symptoms which are suggestive of either </w:t>
            </w:r>
            <w:r w:rsidR="00997605">
              <w:rPr>
                <w:rFonts w:ascii="Arial Narrow" w:hAnsi="Arial Narrow"/>
              </w:rPr>
              <w:t>i</w:t>
            </w:r>
            <w:r w:rsidR="00B373E6">
              <w:rPr>
                <w:rFonts w:ascii="Arial Narrow" w:hAnsi="Arial Narrow"/>
              </w:rPr>
              <w:t xml:space="preserve">nflammatory </w:t>
            </w:r>
            <w:r w:rsidR="00997605">
              <w:rPr>
                <w:rFonts w:ascii="Arial Narrow" w:hAnsi="Arial Narrow"/>
              </w:rPr>
              <w:t>or functional bowel disease</w:t>
            </w:r>
            <w:r w:rsidR="00737104" w:rsidRPr="00737104">
              <w:rPr>
                <w:rFonts w:ascii="Arial Narrow" w:hAnsi="Arial Narrow"/>
              </w:rPr>
              <w:t>, where infect</w:t>
            </w:r>
            <w:r w:rsidR="00E06988">
              <w:rPr>
                <w:rFonts w:ascii="Arial Narrow" w:hAnsi="Arial Narrow"/>
              </w:rPr>
              <w:t>ious causes have been excluded.</w:t>
            </w:r>
          </w:p>
          <w:p w:rsidR="009A5289" w:rsidRDefault="009A5289" w:rsidP="00CE1EF4">
            <w:pPr>
              <w:spacing w:after="0" w:line="240" w:lineRule="auto"/>
              <w:rPr>
                <w:rFonts w:ascii="Arial Narrow" w:hAnsi="Arial Narrow"/>
              </w:rPr>
            </w:pPr>
            <w:r>
              <w:rPr>
                <w:rFonts w:ascii="Arial Narrow" w:hAnsi="Arial Narrow"/>
              </w:rPr>
              <w:t>A maximum of 3 tests may be performed in any 2-year period.</w:t>
            </w:r>
          </w:p>
          <w:p w:rsidR="0002772D" w:rsidRPr="00145D14" w:rsidRDefault="0002772D" w:rsidP="00CE1EF4">
            <w:pPr>
              <w:spacing w:after="0" w:line="240" w:lineRule="auto"/>
              <w:rPr>
                <w:rFonts w:ascii="Arial Narrow" w:hAnsi="Arial Narrow"/>
                <w:lang w:eastAsia="ja-JP"/>
              </w:rPr>
            </w:pPr>
            <w:r w:rsidRPr="00145D14">
              <w:rPr>
                <w:rFonts w:ascii="Arial Narrow" w:hAnsi="Arial Narrow"/>
                <w:lang w:eastAsia="ja-JP"/>
              </w:rPr>
              <w:t>Fee:</w:t>
            </w:r>
            <w:r w:rsidR="005167AC">
              <w:rPr>
                <w:rFonts w:ascii="Arial Narrow" w:hAnsi="Arial Narrow"/>
                <w:lang w:eastAsia="ja-JP"/>
              </w:rPr>
              <w:t xml:space="preserve"> </w:t>
            </w:r>
            <w:r w:rsidR="00BA481A">
              <w:rPr>
                <w:rFonts w:ascii="Arial Narrow" w:hAnsi="Arial Narrow"/>
                <w:lang w:eastAsia="ja-JP"/>
              </w:rPr>
              <w:t>[Applicant proposes a fee of $</w:t>
            </w:r>
            <w:r w:rsidR="009A5289">
              <w:rPr>
                <w:rFonts w:ascii="Arial Narrow" w:hAnsi="Arial Narrow"/>
                <w:lang w:eastAsia="ja-JP"/>
              </w:rPr>
              <w:t xml:space="preserve">80 </w:t>
            </w:r>
            <w:r w:rsidR="00E06988">
              <w:rPr>
                <w:rFonts w:ascii="Arial Narrow" w:hAnsi="Arial Narrow"/>
                <w:lang w:eastAsia="ja-JP"/>
              </w:rPr>
              <w:t>per test]</w:t>
            </w:r>
          </w:p>
          <w:p w:rsidR="0002772D" w:rsidRPr="00145D14" w:rsidRDefault="0002772D" w:rsidP="00CE1EF4">
            <w:pPr>
              <w:spacing w:after="0" w:line="240" w:lineRule="auto"/>
              <w:rPr>
                <w:rFonts w:ascii="Arial Narrow" w:hAnsi="Arial Narrow"/>
                <w:lang w:eastAsia="ja-JP"/>
              </w:rPr>
            </w:pPr>
            <w:r w:rsidRPr="00145D14">
              <w:rPr>
                <w:rFonts w:ascii="Arial Narrow" w:hAnsi="Arial Narrow"/>
                <w:lang w:eastAsia="ja-JP"/>
              </w:rPr>
              <w:t>[Relevant explanatory notes]</w:t>
            </w:r>
          </w:p>
        </w:tc>
      </w:tr>
      <w:tr w:rsidR="00A26410" w:rsidRPr="00145D14" w:rsidTr="00A26410">
        <w:tc>
          <w:tcPr>
            <w:tcW w:w="9134" w:type="dxa"/>
            <w:tcBorders>
              <w:top w:val="single" w:sz="4" w:space="0" w:color="000000"/>
              <w:left w:val="single" w:sz="4" w:space="0" w:color="000000"/>
              <w:bottom w:val="single" w:sz="4" w:space="0" w:color="000000"/>
              <w:right w:val="single" w:sz="4" w:space="0" w:color="000000"/>
            </w:tcBorders>
          </w:tcPr>
          <w:p w:rsidR="00A26410" w:rsidRPr="00145D14" w:rsidRDefault="00A26410" w:rsidP="00CE1EF4">
            <w:pPr>
              <w:spacing w:after="0" w:line="240" w:lineRule="auto"/>
              <w:jc w:val="right"/>
              <w:rPr>
                <w:rFonts w:ascii="Arial Narrow" w:hAnsi="Arial Narrow"/>
                <w:lang w:eastAsia="ja-JP"/>
              </w:rPr>
            </w:pPr>
            <w:r w:rsidRPr="00145D14">
              <w:rPr>
                <w:rFonts w:ascii="Arial Narrow" w:hAnsi="Arial Narrow"/>
                <w:lang w:eastAsia="ja-JP"/>
              </w:rPr>
              <w:t>Category 6 – Pathology</w:t>
            </w:r>
          </w:p>
        </w:tc>
      </w:tr>
      <w:tr w:rsidR="00A26410" w:rsidRPr="00145D14" w:rsidTr="00A26410">
        <w:tc>
          <w:tcPr>
            <w:tcW w:w="9134" w:type="dxa"/>
            <w:tcBorders>
              <w:top w:val="single" w:sz="4" w:space="0" w:color="000000"/>
              <w:left w:val="single" w:sz="4" w:space="0" w:color="000000"/>
              <w:bottom w:val="single" w:sz="4" w:space="0" w:color="000000"/>
              <w:right w:val="single" w:sz="4" w:space="0" w:color="000000"/>
            </w:tcBorders>
          </w:tcPr>
          <w:p w:rsidR="00A26410" w:rsidRPr="00145D14" w:rsidRDefault="00A26410" w:rsidP="00CE1EF4">
            <w:pPr>
              <w:spacing w:after="0" w:line="240" w:lineRule="auto"/>
              <w:rPr>
                <w:rFonts w:ascii="Arial Narrow" w:hAnsi="Arial Narrow"/>
                <w:lang w:eastAsia="ja-JP"/>
              </w:rPr>
            </w:pPr>
            <w:r w:rsidRPr="00145D14">
              <w:rPr>
                <w:rFonts w:ascii="Arial Narrow" w:hAnsi="Arial Narrow"/>
                <w:lang w:eastAsia="ja-JP"/>
              </w:rPr>
              <w:t>MBS [item number]</w:t>
            </w:r>
          </w:p>
          <w:p w:rsidR="009A5289" w:rsidRDefault="00427A5B" w:rsidP="00CE1EF4">
            <w:pPr>
              <w:spacing w:after="0" w:line="240" w:lineRule="auto"/>
              <w:rPr>
                <w:rFonts w:ascii="Arial Narrow" w:hAnsi="Arial Narrow"/>
              </w:rPr>
            </w:pPr>
            <w:r>
              <w:rPr>
                <w:rFonts w:ascii="Arial Narrow" w:hAnsi="Arial Narrow"/>
              </w:rPr>
              <w:t xml:space="preserve">Faecal </w:t>
            </w:r>
            <w:proofErr w:type="spellStart"/>
            <w:r>
              <w:rPr>
                <w:rFonts w:ascii="Arial Narrow" w:hAnsi="Arial Narrow"/>
              </w:rPr>
              <w:t>Calprotectin</w:t>
            </w:r>
            <w:proofErr w:type="spellEnd"/>
            <w:r w:rsidR="005167AC">
              <w:rPr>
                <w:rFonts w:ascii="Arial Narrow" w:hAnsi="Arial Narrow"/>
              </w:rPr>
              <w:t xml:space="preserve"> t</w:t>
            </w:r>
            <w:r w:rsidR="00737104" w:rsidRPr="00737104">
              <w:rPr>
                <w:rFonts w:ascii="Arial Narrow" w:hAnsi="Arial Narrow"/>
              </w:rPr>
              <w:t xml:space="preserve">esting of </w:t>
            </w:r>
            <w:r w:rsidR="00B373E6" w:rsidRPr="00737104">
              <w:rPr>
                <w:rFonts w:ascii="Arial Narrow" w:hAnsi="Arial Narrow"/>
              </w:rPr>
              <w:t xml:space="preserve">patients </w:t>
            </w:r>
            <w:r w:rsidR="009A5289">
              <w:rPr>
                <w:rFonts w:ascii="Arial Narrow" w:hAnsi="Arial Narrow"/>
                <w:lang w:eastAsia="ja-JP"/>
              </w:rPr>
              <w:t xml:space="preserve">aged 3 years or older </w:t>
            </w:r>
            <w:r w:rsidR="00B373E6" w:rsidRPr="00737104">
              <w:rPr>
                <w:rFonts w:ascii="Arial Narrow" w:hAnsi="Arial Narrow"/>
              </w:rPr>
              <w:t xml:space="preserve">presenting with chronic (more than 6 weeks’ duration) gastrointestinal symptoms which are suggestive of either </w:t>
            </w:r>
            <w:r w:rsidR="00997605">
              <w:rPr>
                <w:rFonts w:ascii="Arial Narrow" w:hAnsi="Arial Narrow"/>
              </w:rPr>
              <w:t>inflammatory or functional bowel disease</w:t>
            </w:r>
            <w:r w:rsidR="00B373E6" w:rsidRPr="00737104">
              <w:rPr>
                <w:rFonts w:ascii="Arial Narrow" w:hAnsi="Arial Narrow"/>
              </w:rPr>
              <w:t>, where infectious causes have been excluded.</w:t>
            </w:r>
          </w:p>
          <w:p w:rsidR="00737104" w:rsidRPr="00737104" w:rsidRDefault="009A5289" w:rsidP="00CE1EF4">
            <w:pPr>
              <w:spacing w:after="0" w:line="240" w:lineRule="auto"/>
              <w:rPr>
                <w:rFonts w:ascii="Arial Narrow" w:hAnsi="Arial Narrow"/>
              </w:rPr>
            </w:pPr>
            <w:r>
              <w:rPr>
                <w:rFonts w:ascii="Arial Narrow" w:hAnsi="Arial Narrow"/>
              </w:rPr>
              <w:t>A maximum of 3 tests may be performed in any 2-year period.</w:t>
            </w:r>
            <w:r w:rsidR="00737104" w:rsidRPr="00737104">
              <w:rPr>
                <w:rFonts w:ascii="Arial Narrow" w:hAnsi="Arial Narrow"/>
              </w:rPr>
              <w:t xml:space="preserve"> </w:t>
            </w:r>
          </w:p>
          <w:p w:rsidR="008D7048" w:rsidRPr="00145D14" w:rsidRDefault="008D7048" w:rsidP="00CE1EF4">
            <w:pPr>
              <w:spacing w:after="0" w:line="240" w:lineRule="auto"/>
              <w:rPr>
                <w:rFonts w:ascii="Arial Narrow" w:hAnsi="Arial Narrow"/>
                <w:lang w:eastAsia="ja-JP"/>
              </w:rPr>
            </w:pPr>
            <w:r w:rsidRPr="00145D14">
              <w:rPr>
                <w:rFonts w:ascii="Arial Narrow" w:hAnsi="Arial Narrow"/>
                <w:lang w:eastAsia="ja-JP"/>
              </w:rPr>
              <w:t>Fee:</w:t>
            </w:r>
            <w:r>
              <w:rPr>
                <w:rFonts w:ascii="Arial Narrow" w:hAnsi="Arial Narrow"/>
                <w:lang w:eastAsia="ja-JP"/>
              </w:rPr>
              <w:t xml:space="preserve"> [Applicant proposes a fee of $</w:t>
            </w:r>
            <w:r w:rsidR="009A5289">
              <w:rPr>
                <w:rFonts w:ascii="Arial Narrow" w:hAnsi="Arial Narrow"/>
                <w:lang w:eastAsia="ja-JP"/>
              </w:rPr>
              <w:t xml:space="preserve">80 </w:t>
            </w:r>
            <w:r>
              <w:rPr>
                <w:rFonts w:ascii="Arial Narrow" w:hAnsi="Arial Narrow"/>
                <w:lang w:eastAsia="ja-JP"/>
              </w:rPr>
              <w:t xml:space="preserve">per test] </w:t>
            </w:r>
          </w:p>
          <w:p w:rsidR="00A26410" w:rsidRPr="00145D14" w:rsidRDefault="00A26410" w:rsidP="00CE1EF4">
            <w:pPr>
              <w:spacing w:after="0" w:line="240" w:lineRule="auto"/>
              <w:rPr>
                <w:rFonts w:ascii="Arial Narrow" w:hAnsi="Arial Narrow"/>
                <w:lang w:eastAsia="ja-JP"/>
              </w:rPr>
            </w:pPr>
            <w:r w:rsidRPr="00145D14">
              <w:rPr>
                <w:rFonts w:ascii="Arial Narrow" w:hAnsi="Arial Narrow"/>
                <w:lang w:eastAsia="ja-JP"/>
              </w:rPr>
              <w:t>[Relevant explanatory notes]</w:t>
            </w:r>
          </w:p>
        </w:tc>
      </w:tr>
    </w:tbl>
    <w:p w:rsidR="00B5799E" w:rsidRDefault="00B5799E">
      <w:pPr>
        <w:spacing w:after="0" w:line="240" w:lineRule="auto"/>
        <w:jc w:val="left"/>
      </w:pPr>
    </w:p>
    <w:p w:rsidR="00916195" w:rsidRDefault="004B17CF">
      <w:pPr>
        <w:spacing w:after="0" w:line="240" w:lineRule="auto"/>
        <w:jc w:val="left"/>
      </w:pPr>
      <w:r w:rsidRPr="009708D9">
        <w:rPr>
          <w:i/>
        </w:rPr>
        <w:t xml:space="preserve">PASC advised the proposed MBS descriptor </w:t>
      </w:r>
      <w:r w:rsidR="00916195" w:rsidRPr="009708D9">
        <w:rPr>
          <w:i/>
        </w:rPr>
        <w:t xml:space="preserve">needs to </w:t>
      </w:r>
      <w:r w:rsidR="008935BB">
        <w:rPr>
          <w:i/>
        </w:rPr>
        <w:t xml:space="preserve">indicate </w:t>
      </w:r>
      <w:r w:rsidR="008935BB" w:rsidRPr="00772D5F">
        <w:rPr>
          <w:i/>
        </w:rPr>
        <w:t xml:space="preserve">that the assay is intended to </w:t>
      </w:r>
      <w:r w:rsidR="00916195" w:rsidRPr="00772D5F">
        <w:rPr>
          <w:i/>
        </w:rPr>
        <w:t>distinguish</w:t>
      </w:r>
      <w:r w:rsidR="00916195" w:rsidRPr="009708D9">
        <w:rPr>
          <w:i/>
        </w:rPr>
        <w:t xml:space="preserve"> between </w:t>
      </w:r>
      <w:r w:rsidR="00E06988" w:rsidRPr="009708D9">
        <w:rPr>
          <w:i/>
        </w:rPr>
        <w:t xml:space="preserve">patients who have </w:t>
      </w:r>
      <w:r w:rsidR="00013F0F" w:rsidRPr="00013F0F">
        <w:rPr>
          <w:i/>
        </w:rPr>
        <w:t>IBD and IBS</w:t>
      </w:r>
      <w:r w:rsidR="00E06988" w:rsidRPr="009708D9">
        <w:rPr>
          <w:i/>
        </w:rPr>
        <w:t xml:space="preserve">. PASC also advised the proposed fee of $80 per test requires justification as the cost of the same test in the UK (2013) is only £23. </w:t>
      </w:r>
      <w:r w:rsidR="00916195" w:rsidRPr="009708D9">
        <w:rPr>
          <w:i/>
        </w:rPr>
        <w:t xml:space="preserve"> </w:t>
      </w:r>
      <w:r w:rsidR="00352F84" w:rsidRPr="00352F84">
        <w:rPr>
          <w:i/>
        </w:rPr>
        <w:t xml:space="preserve">Input from the manufacturer </w:t>
      </w:r>
      <w:r w:rsidR="00352F84">
        <w:rPr>
          <w:i/>
        </w:rPr>
        <w:t>notes</w:t>
      </w:r>
      <w:r w:rsidR="00352F84" w:rsidRPr="00352F84">
        <w:rPr>
          <w:i/>
        </w:rPr>
        <w:t xml:space="preserve"> </w:t>
      </w:r>
      <w:r w:rsidR="00352F84">
        <w:rPr>
          <w:i/>
        </w:rPr>
        <w:t>t</w:t>
      </w:r>
      <w:r w:rsidR="00352F84" w:rsidRPr="00352F84">
        <w:rPr>
          <w:i/>
        </w:rPr>
        <w:t xml:space="preserve">here is no official price for </w:t>
      </w:r>
      <w:r w:rsidR="00352F84">
        <w:rPr>
          <w:i/>
        </w:rPr>
        <w:t>the</w:t>
      </w:r>
      <w:r w:rsidR="00352F84" w:rsidRPr="00352F84">
        <w:rPr>
          <w:i/>
        </w:rPr>
        <w:t xml:space="preserve"> test in the UK</w:t>
      </w:r>
      <w:r w:rsidR="00352F84">
        <w:rPr>
          <w:i/>
        </w:rPr>
        <w:t xml:space="preserve"> and the applicant comments that, in comparison with the </w:t>
      </w:r>
      <w:r w:rsidR="00352F84" w:rsidRPr="009708D9">
        <w:rPr>
          <w:i/>
        </w:rPr>
        <w:t>£23</w:t>
      </w:r>
      <w:r w:rsidR="00352F84">
        <w:rPr>
          <w:i/>
        </w:rPr>
        <w:t xml:space="preserve"> figure cited in the 2013 NICE report, </w:t>
      </w:r>
      <w:r w:rsidR="00352F84" w:rsidRPr="00352F84">
        <w:rPr>
          <w:i/>
        </w:rPr>
        <w:t xml:space="preserve">Kings College Hospital </w:t>
      </w:r>
      <w:r w:rsidR="00352F84">
        <w:rPr>
          <w:i/>
        </w:rPr>
        <w:t xml:space="preserve">was charging </w:t>
      </w:r>
      <w:r w:rsidR="00352F84" w:rsidRPr="00352F84">
        <w:rPr>
          <w:i/>
        </w:rPr>
        <w:t>£55 per test</w:t>
      </w:r>
      <w:r w:rsidR="00352F84">
        <w:rPr>
          <w:i/>
        </w:rPr>
        <w:t xml:space="preserve"> in 2013, though </w:t>
      </w:r>
      <w:r w:rsidR="00CF6069">
        <w:rPr>
          <w:i/>
        </w:rPr>
        <w:t>Kings</w:t>
      </w:r>
      <w:r w:rsidR="00352F84">
        <w:rPr>
          <w:i/>
        </w:rPr>
        <w:t xml:space="preserve"> has since lowered its price to </w:t>
      </w:r>
      <w:r w:rsidR="00352F84" w:rsidRPr="00352F84">
        <w:rPr>
          <w:i/>
        </w:rPr>
        <w:t>£35 per test</w:t>
      </w:r>
      <w:r w:rsidR="00CF6069">
        <w:rPr>
          <w:i/>
        </w:rPr>
        <w:t xml:space="preserve">, </w:t>
      </w:r>
      <w:r w:rsidR="00352F84">
        <w:rPr>
          <w:i/>
        </w:rPr>
        <w:t>likely due to competition</w:t>
      </w:r>
      <w:r w:rsidR="00352F84" w:rsidRPr="00352F84">
        <w:rPr>
          <w:i/>
        </w:rPr>
        <w:t xml:space="preserve">. </w:t>
      </w:r>
      <w:r w:rsidR="00352F84">
        <w:rPr>
          <w:i/>
        </w:rPr>
        <w:t xml:space="preserve">Other prices charged by UK laboratories for this test (reported by the applicant) were </w:t>
      </w:r>
      <w:r w:rsidR="00352F84" w:rsidRPr="00352F84">
        <w:rPr>
          <w:i/>
        </w:rPr>
        <w:t>£26, £22 and £19.56</w:t>
      </w:r>
      <w:r w:rsidR="00352F84">
        <w:rPr>
          <w:i/>
        </w:rPr>
        <w:t xml:space="preserve">.  </w:t>
      </w:r>
    </w:p>
    <w:p w:rsidR="00EB5E5C" w:rsidRPr="00145D14" w:rsidRDefault="00427A5B" w:rsidP="00E15135">
      <w:pPr>
        <w:pStyle w:val="Heading3"/>
      </w:pPr>
      <w:r>
        <w:lastRenderedPageBreak/>
        <w:t xml:space="preserve">Faecal </w:t>
      </w:r>
      <w:proofErr w:type="spellStart"/>
      <w:r w:rsidR="009E0767">
        <w:t>calprotectin</w:t>
      </w:r>
      <w:proofErr w:type="spellEnd"/>
      <w:r w:rsidR="009E0767" w:rsidRPr="00145D14">
        <w:t xml:space="preserve"> </w:t>
      </w:r>
      <w:r w:rsidR="00EB5E5C" w:rsidRPr="00145D14">
        <w:t>test for monitoring patients w</w:t>
      </w:r>
      <w:r w:rsidR="00EB5E5C">
        <w:t>ith</w:t>
      </w:r>
      <w:r w:rsidR="00EB5E5C" w:rsidRPr="00145D14">
        <w:t xml:space="preserve"> </w:t>
      </w:r>
      <w:r w:rsidR="00997605">
        <w:t xml:space="preserve">known </w:t>
      </w:r>
      <w:r w:rsidR="00EB5E5C" w:rsidRPr="00145D14">
        <w:t xml:space="preserve">IBD: </w:t>
      </w:r>
    </w:p>
    <w:p w:rsidR="000354A2" w:rsidRPr="00145D14" w:rsidRDefault="000354A2" w:rsidP="009E0767">
      <w:pPr>
        <w:pStyle w:val="Caption"/>
        <w:rPr>
          <w:lang w:val="en-AU"/>
        </w:rPr>
      </w:pPr>
      <w:r w:rsidRPr="00145D14">
        <w:rPr>
          <w:lang w:val="en-AU"/>
        </w:rPr>
        <w:t xml:space="preserve">Table </w:t>
      </w:r>
      <w:r w:rsidRPr="00145D14">
        <w:rPr>
          <w:lang w:val="en-AU"/>
        </w:rPr>
        <w:fldChar w:fldCharType="begin"/>
      </w:r>
      <w:r w:rsidRPr="00145D14">
        <w:rPr>
          <w:lang w:val="en-AU"/>
        </w:rPr>
        <w:instrText xml:space="preserve"> SEQ Table \* ARABIC </w:instrText>
      </w:r>
      <w:r w:rsidRPr="00145D14">
        <w:rPr>
          <w:lang w:val="en-AU"/>
        </w:rPr>
        <w:fldChar w:fldCharType="separate"/>
      </w:r>
      <w:r w:rsidR="00961A66">
        <w:rPr>
          <w:noProof/>
          <w:lang w:val="en-AU"/>
        </w:rPr>
        <w:t>5</w:t>
      </w:r>
      <w:r w:rsidRPr="00145D14">
        <w:rPr>
          <w:noProof/>
          <w:lang w:val="en-AU"/>
        </w:rPr>
        <w:fldChar w:fldCharType="end"/>
      </w:r>
      <w:r w:rsidRPr="00145D14">
        <w:rPr>
          <w:lang w:val="en-AU"/>
        </w:rPr>
        <w:t>:</w:t>
      </w:r>
      <w:r w:rsidRPr="00145D14">
        <w:rPr>
          <w:lang w:val="en-AU"/>
        </w:rPr>
        <w:tab/>
        <w:t xml:space="preserve">Proposed MBS item descriptor for </w:t>
      </w:r>
      <w:r w:rsidR="00427A5B">
        <w:rPr>
          <w:lang w:val="en-AU"/>
        </w:rPr>
        <w:t xml:space="preserve">Faecal </w:t>
      </w:r>
      <w:proofErr w:type="spellStart"/>
      <w:r w:rsidR="00427A5B">
        <w:rPr>
          <w:lang w:val="en-AU"/>
        </w:rPr>
        <w:t>Calprotectin</w:t>
      </w:r>
      <w:proofErr w:type="spellEnd"/>
      <w:r>
        <w:rPr>
          <w:lang w:val="en-AU"/>
        </w:rPr>
        <w:t xml:space="preserve"> test for monitoring patients with IBD</w:t>
      </w: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Proposed MBS item descriptor for multiparametric MRI (mpMRI) scans of the prostate"/>
        <w:tblDescription w:val="Proposed MBS item descriptor for multiparametric MRI (mpMRI) scans of the prostate"/>
      </w:tblPr>
      <w:tblGrid>
        <w:gridCol w:w="9134"/>
      </w:tblGrid>
      <w:tr w:rsidR="00A26410" w:rsidRPr="00145D14" w:rsidTr="00427F46">
        <w:tc>
          <w:tcPr>
            <w:tcW w:w="9134" w:type="dxa"/>
          </w:tcPr>
          <w:p w:rsidR="00A26410" w:rsidRPr="00145D14" w:rsidRDefault="00A26410" w:rsidP="00E15135">
            <w:pPr>
              <w:keepNext/>
              <w:spacing w:after="0" w:line="240" w:lineRule="auto"/>
              <w:jc w:val="right"/>
              <w:rPr>
                <w:rFonts w:ascii="Arial Narrow" w:hAnsi="Arial Narrow"/>
                <w:lang w:eastAsia="ja-JP"/>
              </w:rPr>
            </w:pPr>
            <w:r w:rsidRPr="00145D14">
              <w:rPr>
                <w:rFonts w:ascii="Arial Narrow" w:hAnsi="Arial Narrow"/>
                <w:lang w:eastAsia="ja-JP"/>
              </w:rPr>
              <w:t>Category 2 – Diagnostic</w:t>
            </w:r>
          </w:p>
        </w:tc>
      </w:tr>
      <w:tr w:rsidR="00A26410" w:rsidRPr="00145D14" w:rsidTr="00427F46">
        <w:tc>
          <w:tcPr>
            <w:tcW w:w="9134" w:type="dxa"/>
          </w:tcPr>
          <w:p w:rsidR="00A26410" w:rsidRPr="00145D14" w:rsidRDefault="00A26410" w:rsidP="00E15135">
            <w:pPr>
              <w:keepNext/>
              <w:spacing w:after="0" w:line="240" w:lineRule="auto"/>
              <w:rPr>
                <w:rFonts w:ascii="Arial Narrow" w:hAnsi="Arial Narrow"/>
                <w:lang w:eastAsia="ja-JP"/>
              </w:rPr>
            </w:pPr>
            <w:r w:rsidRPr="00145D14">
              <w:rPr>
                <w:rFonts w:ascii="Arial Narrow" w:hAnsi="Arial Narrow"/>
                <w:lang w:eastAsia="ja-JP"/>
              </w:rPr>
              <w:t>MBS [item number]</w:t>
            </w:r>
          </w:p>
          <w:p w:rsidR="000354A2" w:rsidRDefault="00427A5B" w:rsidP="00E15135">
            <w:pPr>
              <w:keepNext/>
              <w:spacing w:after="0" w:line="240" w:lineRule="auto"/>
              <w:rPr>
                <w:rFonts w:ascii="Arial Narrow" w:hAnsi="Arial Narrow"/>
                <w:lang w:eastAsia="ja-JP"/>
              </w:rPr>
            </w:pPr>
            <w:r>
              <w:rPr>
                <w:rFonts w:ascii="Arial Narrow" w:hAnsi="Arial Narrow"/>
                <w:lang w:eastAsia="ja-JP"/>
              </w:rPr>
              <w:t xml:space="preserve">Faecal </w:t>
            </w:r>
            <w:proofErr w:type="spellStart"/>
            <w:r>
              <w:rPr>
                <w:rFonts w:ascii="Arial Narrow" w:hAnsi="Arial Narrow"/>
                <w:lang w:eastAsia="ja-JP"/>
              </w:rPr>
              <w:t>Calprotectin</w:t>
            </w:r>
            <w:proofErr w:type="spellEnd"/>
            <w:r w:rsidR="00B373E6">
              <w:rPr>
                <w:rFonts w:ascii="Arial Narrow" w:hAnsi="Arial Narrow"/>
                <w:lang w:eastAsia="ja-JP"/>
              </w:rPr>
              <w:t xml:space="preserve"> point of care testing of patients </w:t>
            </w:r>
            <w:r w:rsidR="009A5289">
              <w:rPr>
                <w:rFonts w:ascii="Arial Narrow" w:hAnsi="Arial Narrow"/>
                <w:lang w:eastAsia="ja-JP"/>
              </w:rPr>
              <w:t xml:space="preserve">aged 3 years or older </w:t>
            </w:r>
            <w:r w:rsidR="00B373E6">
              <w:rPr>
                <w:rFonts w:ascii="Arial Narrow" w:hAnsi="Arial Narrow"/>
                <w:lang w:eastAsia="ja-JP"/>
              </w:rPr>
              <w:t xml:space="preserve">with an established Inflammatory Bowel </w:t>
            </w:r>
            <w:r w:rsidR="00997605">
              <w:rPr>
                <w:rFonts w:ascii="Arial Narrow" w:hAnsi="Arial Narrow"/>
                <w:lang w:eastAsia="ja-JP"/>
              </w:rPr>
              <w:t xml:space="preserve">Disease </w:t>
            </w:r>
            <w:r w:rsidR="00B373E6">
              <w:rPr>
                <w:rFonts w:ascii="Arial Narrow" w:hAnsi="Arial Narrow"/>
                <w:lang w:eastAsia="ja-JP"/>
              </w:rPr>
              <w:t xml:space="preserve">diagnosis such as ulcerative colitis or Crohn’s disease, to monitor patients and evaluate disease activity. </w:t>
            </w:r>
          </w:p>
          <w:p w:rsidR="009A5289" w:rsidRDefault="009A5289" w:rsidP="00E15135">
            <w:pPr>
              <w:keepNext/>
              <w:spacing w:after="0" w:line="240" w:lineRule="auto"/>
              <w:rPr>
                <w:rFonts w:ascii="Arial Narrow" w:hAnsi="Arial Narrow"/>
                <w:lang w:eastAsia="ja-JP"/>
              </w:rPr>
            </w:pPr>
            <w:r>
              <w:rPr>
                <w:rFonts w:ascii="Arial Narrow" w:hAnsi="Arial Narrow"/>
                <w:lang w:eastAsia="ja-JP"/>
              </w:rPr>
              <w:t>A maximum of 5 tests per year may be performed.</w:t>
            </w:r>
          </w:p>
          <w:p w:rsidR="00A26410" w:rsidRPr="00145D14" w:rsidRDefault="000354A2" w:rsidP="00E15135">
            <w:pPr>
              <w:keepNext/>
              <w:spacing w:after="0" w:line="240" w:lineRule="auto"/>
              <w:rPr>
                <w:rFonts w:ascii="Arial Narrow" w:hAnsi="Arial Narrow"/>
                <w:lang w:eastAsia="ja-JP"/>
              </w:rPr>
            </w:pPr>
            <w:r w:rsidRPr="00145D14">
              <w:rPr>
                <w:rFonts w:ascii="Arial Narrow" w:hAnsi="Arial Narrow"/>
                <w:lang w:eastAsia="ja-JP"/>
              </w:rPr>
              <w:t>Fee:</w:t>
            </w:r>
            <w:r>
              <w:rPr>
                <w:rFonts w:ascii="Arial Narrow" w:hAnsi="Arial Narrow"/>
                <w:lang w:eastAsia="ja-JP"/>
              </w:rPr>
              <w:t xml:space="preserve"> [Applicant proposes a fee of $</w:t>
            </w:r>
            <w:r w:rsidR="009A5289">
              <w:rPr>
                <w:rFonts w:ascii="Arial Narrow" w:hAnsi="Arial Narrow"/>
                <w:lang w:eastAsia="ja-JP"/>
              </w:rPr>
              <w:t xml:space="preserve">80 </w:t>
            </w:r>
            <w:r>
              <w:rPr>
                <w:rFonts w:ascii="Arial Narrow" w:hAnsi="Arial Narrow"/>
                <w:lang w:eastAsia="ja-JP"/>
              </w:rPr>
              <w:t>per test]</w:t>
            </w:r>
          </w:p>
          <w:p w:rsidR="00A26410" w:rsidRPr="00145D14" w:rsidRDefault="00A26410" w:rsidP="00E15135">
            <w:pPr>
              <w:keepNext/>
              <w:spacing w:after="0" w:line="240" w:lineRule="auto"/>
              <w:rPr>
                <w:rFonts w:ascii="Arial Narrow" w:hAnsi="Arial Narrow"/>
                <w:lang w:eastAsia="ja-JP"/>
              </w:rPr>
            </w:pPr>
            <w:r w:rsidRPr="00145D14">
              <w:rPr>
                <w:rFonts w:ascii="Arial Narrow" w:hAnsi="Arial Narrow"/>
                <w:lang w:eastAsia="ja-JP"/>
              </w:rPr>
              <w:t>[Relevant explanatory notes]</w:t>
            </w:r>
          </w:p>
        </w:tc>
      </w:tr>
      <w:tr w:rsidR="00A26410" w:rsidRPr="00145D14" w:rsidTr="00427F46">
        <w:tc>
          <w:tcPr>
            <w:tcW w:w="9134" w:type="dxa"/>
            <w:tcBorders>
              <w:top w:val="single" w:sz="4" w:space="0" w:color="000000"/>
              <w:left w:val="single" w:sz="4" w:space="0" w:color="000000"/>
              <w:bottom w:val="single" w:sz="4" w:space="0" w:color="000000"/>
              <w:right w:val="single" w:sz="4" w:space="0" w:color="000000"/>
            </w:tcBorders>
          </w:tcPr>
          <w:p w:rsidR="00A26410" w:rsidRPr="00145D14" w:rsidRDefault="00A26410" w:rsidP="00CE1EF4">
            <w:pPr>
              <w:spacing w:after="0" w:line="240" w:lineRule="auto"/>
              <w:jc w:val="right"/>
              <w:rPr>
                <w:rFonts w:ascii="Arial Narrow" w:hAnsi="Arial Narrow"/>
                <w:lang w:eastAsia="ja-JP"/>
              </w:rPr>
            </w:pPr>
            <w:r w:rsidRPr="00145D14">
              <w:rPr>
                <w:rFonts w:ascii="Arial Narrow" w:hAnsi="Arial Narrow"/>
                <w:lang w:eastAsia="ja-JP"/>
              </w:rPr>
              <w:t>Category 6 – Pathology</w:t>
            </w:r>
          </w:p>
        </w:tc>
      </w:tr>
      <w:tr w:rsidR="00A26410" w:rsidRPr="00145D14" w:rsidTr="00427F46">
        <w:tc>
          <w:tcPr>
            <w:tcW w:w="9134" w:type="dxa"/>
            <w:tcBorders>
              <w:top w:val="single" w:sz="4" w:space="0" w:color="000000"/>
              <w:left w:val="single" w:sz="4" w:space="0" w:color="000000"/>
              <w:bottom w:val="single" w:sz="4" w:space="0" w:color="000000"/>
              <w:right w:val="single" w:sz="4" w:space="0" w:color="000000"/>
            </w:tcBorders>
          </w:tcPr>
          <w:p w:rsidR="00A26410" w:rsidRPr="00145D14" w:rsidRDefault="00A26410" w:rsidP="00CE1EF4">
            <w:pPr>
              <w:spacing w:after="0" w:line="240" w:lineRule="auto"/>
              <w:rPr>
                <w:rFonts w:ascii="Arial Narrow" w:hAnsi="Arial Narrow"/>
                <w:lang w:eastAsia="ja-JP"/>
              </w:rPr>
            </w:pPr>
            <w:r w:rsidRPr="00145D14">
              <w:rPr>
                <w:rFonts w:ascii="Arial Narrow" w:hAnsi="Arial Narrow"/>
                <w:lang w:eastAsia="ja-JP"/>
              </w:rPr>
              <w:t>MBS [item number]</w:t>
            </w:r>
          </w:p>
          <w:p w:rsidR="00B373E6" w:rsidRPr="00145D14" w:rsidRDefault="00427A5B" w:rsidP="00CE1EF4">
            <w:pPr>
              <w:spacing w:after="0" w:line="240" w:lineRule="auto"/>
              <w:rPr>
                <w:rFonts w:ascii="Arial Narrow" w:hAnsi="Arial Narrow"/>
                <w:lang w:eastAsia="ja-JP"/>
              </w:rPr>
            </w:pPr>
            <w:r>
              <w:rPr>
                <w:rFonts w:ascii="Arial Narrow" w:hAnsi="Arial Narrow"/>
                <w:lang w:eastAsia="ja-JP"/>
              </w:rPr>
              <w:t xml:space="preserve">Faecal </w:t>
            </w:r>
            <w:proofErr w:type="spellStart"/>
            <w:r>
              <w:rPr>
                <w:rFonts w:ascii="Arial Narrow" w:hAnsi="Arial Narrow"/>
                <w:lang w:eastAsia="ja-JP"/>
              </w:rPr>
              <w:t>Calprotectin</w:t>
            </w:r>
            <w:proofErr w:type="spellEnd"/>
            <w:r w:rsidR="00B373E6">
              <w:rPr>
                <w:rFonts w:ascii="Arial Narrow" w:hAnsi="Arial Narrow"/>
                <w:lang w:eastAsia="ja-JP"/>
              </w:rPr>
              <w:t xml:space="preserve"> testing of patients </w:t>
            </w:r>
            <w:r w:rsidR="009A5289">
              <w:rPr>
                <w:rFonts w:ascii="Arial Narrow" w:hAnsi="Arial Narrow"/>
                <w:lang w:eastAsia="ja-JP"/>
              </w:rPr>
              <w:t xml:space="preserve">aged 3 years or older </w:t>
            </w:r>
            <w:r w:rsidR="00B373E6">
              <w:rPr>
                <w:rFonts w:ascii="Arial Narrow" w:hAnsi="Arial Narrow"/>
                <w:lang w:eastAsia="ja-JP"/>
              </w:rPr>
              <w:t xml:space="preserve">with an established Inflammatory Bowel </w:t>
            </w:r>
            <w:r w:rsidR="00997605">
              <w:rPr>
                <w:rFonts w:ascii="Arial Narrow" w:hAnsi="Arial Narrow"/>
                <w:lang w:eastAsia="ja-JP"/>
              </w:rPr>
              <w:t xml:space="preserve">Disease </w:t>
            </w:r>
            <w:r w:rsidR="00B373E6">
              <w:rPr>
                <w:rFonts w:ascii="Arial Narrow" w:hAnsi="Arial Narrow"/>
                <w:lang w:eastAsia="ja-JP"/>
              </w:rPr>
              <w:t xml:space="preserve">diagnosis such as ulcerative colitis or Crohn’s disease, to monitor patients and evaluate disease activity. </w:t>
            </w:r>
          </w:p>
          <w:p w:rsidR="009A5289" w:rsidRDefault="009A5289" w:rsidP="00CE1EF4">
            <w:pPr>
              <w:spacing w:after="0" w:line="240" w:lineRule="auto"/>
              <w:rPr>
                <w:rFonts w:ascii="Arial Narrow" w:hAnsi="Arial Narrow"/>
                <w:lang w:eastAsia="ja-JP"/>
              </w:rPr>
            </w:pPr>
            <w:r>
              <w:rPr>
                <w:rFonts w:ascii="Arial Narrow" w:hAnsi="Arial Narrow"/>
                <w:lang w:eastAsia="ja-JP"/>
              </w:rPr>
              <w:t>A maximum of 5 tests per year may be performed.</w:t>
            </w:r>
          </w:p>
          <w:p w:rsidR="000354A2" w:rsidRDefault="000354A2" w:rsidP="00CE1EF4">
            <w:pPr>
              <w:spacing w:after="0" w:line="240" w:lineRule="auto"/>
              <w:rPr>
                <w:rFonts w:ascii="Arial Narrow" w:hAnsi="Arial Narrow"/>
                <w:lang w:eastAsia="ja-JP"/>
              </w:rPr>
            </w:pPr>
            <w:r w:rsidRPr="00145D14">
              <w:rPr>
                <w:rFonts w:ascii="Arial Narrow" w:hAnsi="Arial Narrow"/>
                <w:lang w:eastAsia="ja-JP"/>
              </w:rPr>
              <w:t>Fee:</w:t>
            </w:r>
            <w:r>
              <w:rPr>
                <w:rFonts w:ascii="Arial Narrow" w:hAnsi="Arial Narrow"/>
                <w:lang w:eastAsia="ja-JP"/>
              </w:rPr>
              <w:t xml:space="preserve"> [Applicant proposes a fee of $</w:t>
            </w:r>
            <w:r w:rsidR="009A5289">
              <w:rPr>
                <w:rFonts w:ascii="Arial Narrow" w:hAnsi="Arial Narrow"/>
                <w:lang w:eastAsia="ja-JP"/>
              </w:rPr>
              <w:t xml:space="preserve">80 </w:t>
            </w:r>
            <w:r>
              <w:rPr>
                <w:rFonts w:ascii="Arial Narrow" w:hAnsi="Arial Narrow"/>
                <w:lang w:eastAsia="ja-JP"/>
              </w:rPr>
              <w:t xml:space="preserve">per test] </w:t>
            </w:r>
          </w:p>
          <w:p w:rsidR="00A26410" w:rsidRPr="00145D14" w:rsidRDefault="00A26410" w:rsidP="00CE1EF4">
            <w:pPr>
              <w:spacing w:after="0" w:line="240" w:lineRule="auto"/>
              <w:rPr>
                <w:rFonts w:ascii="Arial Narrow" w:hAnsi="Arial Narrow"/>
                <w:lang w:eastAsia="ja-JP"/>
              </w:rPr>
            </w:pPr>
            <w:r w:rsidRPr="00145D14">
              <w:rPr>
                <w:rFonts w:ascii="Arial Narrow" w:hAnsi="Arial Narrow"/>
                <w:lang w:eastAsia="ja-JP"/>
              </w:rPr>
              <w:t>[Relevant explanatory notes]</w:t>
            </w:r>
          </w:p>
        </w:tc>
      </w:tr>
    </w:tbl>
    <w:p w:rsidR="00CE1EF4" w:rsidRDefault="00CE1EF4" w:rsidP="00175CC7">
      <w:pPr>
        <w:spacing w:after="0"/>
        <w:rPr>
          <w:b/>
          <w:i/>
          <w:color w:val="00B050"/>
        </w:rPr>
      </w:pPr>
    </w:p>
    <w:p w:rsidR="004C6895" w:rsidRDefault="004C6895" w:rsidP="004C6895">
      <w:pPr>
        <w:pStyle w:val="Heading2"/>
        <w:rPr>
          <w:lang w:val="en-AU"/>
        </w:rPr>
      </w:pPr>
      <w:bookmarkStart w:id="20" w:name="_Toc445384040"/>
      <w:r w:rsidRPr="00145D14">
        <w:rPr>
          <w:lang w:val="en-AU"/>
        </w:rPr>
        <w:t>Clinical place for proposed intervention</w:t>
      </w:r>
      <w:bookmarkEnd w:id="20"/>
    </w:p>
    <w:p w:rsidR="00C773C1" w:rsidRDefault="00C773C1" w:rsidP="00CE1EF4">
      <w:pPr>
        <w:pStyle w:val="Heading3"/>
        <w:rPr>
          <w:highlight w:val="yellow"/>
        </w:rPr>
      </w:pPr>
      <w:r>
        <w:t xml:space="preserve">Faecal </w:t>
      </w:r>
      <w:proofErr w:type="spellStart"/>
      <w:r w:rsidR="00C67134">
        <w:t>c</w:t>
      </w:r>
      <w:r>
        <w:t>alprotectin</w:t>
      </w:r>
      <w:proofErr w:type="spellEnd"/>
      <w:r w:rsidRPr="00145D14">
        <w:t xml:space="preserve"> test </w:t>
      </w:r>
      <w:r>
        <w:t>for</w:t>
      </w:r>
      <w:r w:rsidRPr="00145D14">
        <w:t xml:space="preserve"> differentiating between </w:t>
      </w:r>
      <w:r w:rsidR="00A311E1" w:rsidRPr="00D146A0">
        <w:t>functional and inflammatory bowel disorders</w:t>
      </w:r>
    </w:p>
    <w:p w:rsidR="002D48C6" w:rsidRDefault="002D48C6" w:rsidP="00E15135">
      <w:pPr>
        <w:pStyle w:val="Heading4"/>
      </w:pPr>
      <w:r>
        <w:t>Current clinical pathway</w:t>
      </w:r>
    </w:p>
    <w:p w:rsidR="00C773C1" w:rsidRDefault="00C773C1" w:rsidP="00C773C1">
      <w:r w:rsidRPr="00C773C1">
        <w:t>The c</w:t>
      </w:r>
      <w:r w:rsidR="00ED0251" w:rsidRPr="00C773C1">
        <w:t xml:space="preserve">urrent clinical pathway for </w:t>
      </w:r>
      <w:r w:rsidRPr="00C773C1">
        <w:t xml:space="preserve">the management of </w:t>
      </w:r>
      <w:r w:rsidR="004C6895" w:rsidRPr="00C773C1">
        <w:t xml:space="preserve">a patient with abdominal symptoms suggestive of either </w:t>
      </w:r>
      <w:r w:rsidR="00A311E1" w:rsidRPr="00D146A0">
        <w:t xml:space="preserve">functional </w:t>
      </w:r>
      <w:r w:rsidR="00A311E1">
        <w:t>or</w:t>
      </w:r>
      <w:r w:rsidR="00A311E1" w:rsidRPr="00D146A0">
        <w:t xml:space="preserve"> inflammatory bowel disorders</w:t>
      </w:r>
      <w:r w:rsidR="009E0767">
        <w:t xml:space="preserve"> </w:t>
      </w:r>
      <w:r w:rsidRPr="00C773C1">
        <w:t xml:space="preserve">is presented in </w:t>
      </w:r>
      <w:r w:rsidR="00D426D9" w:rsidRPr="00C773C1">
        <w:fldChar w:fldCharType="begin"/>
      </w:r>
      <w:r w:rsidR="00D426D9" w:rsidRPr="00C773C1">
        <w:instrText xml:space="preserve"> REF _Ref415474587 \h </w:instrText>
      </w:r>
      <w:r w:rsidR="00CE1EF4" w:rsidRPr="00C773C1">
        <w:instrText xml:space="preserve"> \* MERGEFORMAT </w:instrText>
      </w:r>
      <w:r w:rsidR="00D426D9" w:rsidRPr="00C773C1">
        <w:fldChar w:fldCharType="separate"/>
      </w:r>
      <w:r w:rsidR="00961A66" w:rsidRPr="008F4C42">
        <w:t xml:space="preserve">Figure </w:t>
      </w:r>
      <w:r w:rsidR="00961A66">
        <w:t>1</w:t>
      </w:r>
      <w:r w:rsidR="00D426D9" w:rsidRPr="00C773C1">
        <w:fldChar w:fldCharType="end"/>
      </w:r>
      <w:r w:rsidR="004C6895" w:rsidRPr="00C773C1">
        <w:t>.</w:t>
      </w:r>
      <w:r>
        <w:t xml:space="preserve"> Under the current </w:t>
      </w:r>
      <w:r w:rsidR="005F40B2">
        <w:t>pathway</w:t>
      </w:r>
      <w:r>
        <w:t xml:space="preserve">, a patient with </w:t>
      </w:r>
      <w:r w:rsidRPr="00C773C1">
        <w:t xml:space="preserve">abdominal symptoms and bowel habit disturbance </w:t>
      </w:r>
      <w:r>
        <w:t xml:space="preserve">lasting longer than </w:t>
      </w:r>
      <w:r w:rsidRPr="00C773C1">
        <w:t>6 weeks</w:t>
      </w:r>
      <w:r>
        <w:t xml:space="preserve"> will present to their GP. The GP will take a medical history for alarm features and may order blood tests and stool tests. If the patient has no alarm features, no abnormal tests, and they and the GP are not worried, the symptoms will be managed by the GP. If the symptoms are ongoing, the GP may reassess the patient at a later date. If the patient does have </w:t>
      </w:r>
      <w:r w:rsidRPr="00C773C1">
        <w:t xml:space="preserve">alarm features, </w:t>
      </w:r>
      <w:r>
        <w:t xml:space="preserve">has abnormal tests, or </w:t>
      </w:r>
      <w:r w:rsidRPr="00C773C1">
        <w:t>they and the GP are worried</w:t>
      </w:r>
      <w:r>
        <w:t>, the patient will be referred to a specialist gastroenterologist. The specialist will perform a further clinical assessment, which may include assessment of</w:t>
      </w:r>
      <w:r w:rsidRPr="00C773C1">
        <w:t xml:space="preserve"> </w:t>
      </w:r>
      <w:r>
        <w:t>risk factors and</w:t>
      </w:r>
      <w:r w:rsidRPr="00C773C1">
        <w:t xml:space="preserve"> </w:t>
      </w:r>
      <w:r>
        <w:t>tests to date,</w:t>
      </w:r>
      <w:r w:rsidRPr="00C773C1">
        <w:t xml:space="preserve"> </w:t>
      </w:r>
      <w:r>
        <w:t xml:space="preserve">endoscopy, colonoscopy, and radiology depending on age. GESA advises that once a patient has been referred to a specialist, </w:t>
      </w:r>
      <w:r w:rsidR="00C863F5">
        <w:t>i</w:t>
      </w:r>
      <w:r>
        <w:t>t is very</w:t>
      </w:r>
      <w:r w:rsidR="00432586">
        <w:t xml:space="preserve"> common that they will undergo </w:t>
      </w:r>
      <w:r w:rsidRPr="00C773C1">
        <w:t xml:space="preserve">gastroscopy </w:t>
      </w:r>
      <w:r>
        <w:t>and</w:t>
      </w:r>
      <w:r w:rsidRPr="00C773C1">
        <w:t xml:space="preserve"> colonoscopy</w:t>
      </w:r>
    </w:p>
    <w:p w:rsidR="004C6895" w:rsidRPr="00145D14" w:rsidRDefault="004C6895" w:rsidP="004C6895">
      <w:pPr>
        <w:pStyle w:val="Caption"/>
        <w:spacing w:after="240"/>
        <w:rPr>
          <w:lang w:val="en-AU"/>
        </w:rPr>
      </w:pPr>
      <w:bookmarkStart w:id="21" w:name="_Ref415474587"/>
      <w:r w:rsidRPr="008F4C42">
        <w:rPr>
          <w:lang w:val="en-AU"/>
        </w:rPr>
        <w:lastRenderedPageBreak/>
        <w:t xml:space="preserve">Figure </w:t>
      </w:r>
      <w:r w:rsidRPr="008F4C42">
        <w:rPr>
          <w:lang w:val="en-AU"/>
        </w:rPr>
        <w:fldChar w:fldCharType="begin"/>
      </w:r>
      <w:r w:rsidRPr="008F4C42">
        <w:rPr>
          <w:lang w:val="en-AU"/>
        </w:rPr>
        <w:instrText xml:space="preserve"> SEQ Figure \* ARABIC </w:instrText>
      </w:r>
      <w:r w:rsidRPr="008F4C42">
        <w:rPr>
          <w:lang w:val="en-AU"/>
        </w:rPr>
        <w:fldChar w:fldCharType="separate"/>
      </w:r>
      <w:r w:rsidR="00961A66">
        <w:rPr>
          <w:noProof/>
          <w:lang w:val="en-AU"/>
        </w:rPr>
        <w:t>1</w:t>
      </w:r>
      <w:r w:rsidRPr="008F4C42">
        <w:rPr>
          <w:lang w:val="en-AU"/>
        </w:rPr>
        <w:fldChar w:fldCharType="end"/>
      </w:r>
      <w:bookmarkEnd w:id="21"/>
      <w:r w:rsidRPr="008F4C42">
        <w:rPr>
          <w:lang w:val="en-AU"/>
        </w:rPr>
        <w:t xml:space="preserve">: </w:t>
      </w:r>
      <w:r w:rsidR="006C1D5B">
        <w:rPr>
          <w:lang w:val="en-AU"/>
        </w:rPr>
        <w:t xml:space="preserve">Current </w:t>
      </w:r>
      <w:r w:rsidR="0055215D">
        <w:rPr>
          <w:lang w:val="en-AU"/>
        </w:rPr>
        <w:t>clinical</w:t>
      </w:r>
      <w:r w:rsidR="006C1D5B">
        <w:rPr>
          <w:lang w:val="en-AU"/>
        </w:rPr>
        <w:t xml:space="preserve"> pathway for a clinical presentation of a patient with abdominal symptoms </w:t>
      </w:r>
      <w:r w:rsidR="00A65253">
        <w:rPr>
          <w:lang w:val="en-AU"/>
        </w:rPr>
        <w:t>and bowel habit disturbance &gt;6 weeks*</w:t>
      </w:r>
    </w:p>
    <w:p w:rsidR="004C6895" w:rsidRDefault="00A65253" w:rsidP="00ED0BC0">
      <w:pPr>
        <w:pBdr>
          <w:top w:val="single" w:sz="4" w:space="1" w:color="auto"/>
          <w:left w:val="single" w:sz="4" w:space="4" w:color="auto"/>
          <w:bottom w:val="single" w:sz="4" w:space="1" w:color="auto"/>
          <w:right w:val="single" w:sz="4" w:space="4" w:color="auto"/>
        </w:pBdr>
        <w:spacing w:before="120" w:after="0"/>
        <w:rPr>
          <w:rFonts w:ascii="Arial" w:hAnsi="Arial" w:cs="Arial"/>
        </w:rPr>
      </w:pPr>
      <w:r>
        <w:rPr>
          <w:rFonts w:ascii="Arial" w:hAnsi="Arial" w:cs="Arial"/>
          <w:noProof/>
          <w:lang w:eastAsia="en-AU"/>
        </w:rPr>
        <w:drawing>
          <wp:inline distT="0" distB="0" distL="0" distR="0" wp14:anchorId="455308BF" wp14:editId="1D836234">
            <wp:extent cx="5731510" cy="3164840"/>
            <wp:effectExtent l="0" t="0" r="2540" b="0"/>
            <wp:docPr id="6" name="Picture 6" title="Current clinical pathway for a clinical presentation of a patient with abdominal symptoms and bowel habit disturbance &gt;6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diagnostic algorithm.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164840"/>
                    </a:xfrm>
                    <a:prstGeom prst="rect">
                      <a:avLst/>
                    </a:prstGeom>
                  </pic:spPr>
                </pic:pic>
              </a:graphicData>
            </a:graphic>
          </wp:inline>
        </w:drawing>
      </w:r>
    </w:p>
    <w:p w:rsidR="00C773C1" w:rsidRPr="00E555A3" w:rsidRDefault="00C773C1" w:rsidP="00ED0BC0">
      <w:pPr>
        <w:spacing w:after="0"/>
        <w:rPr>
          <w:rFonts w:ascii="Arial" w:hAnsi="Arial" w:cs="Arial"/>
          <w:sz w:val="16"/>
          <w:szCs w:val="16"/>
        </w:rPr>
      </w:pPr>
      <w:r w:rsidRPr="00E555A3">
        <w:rPr>
          <w:rFonts w:ascii="Arial" w:hAnsi="Arial" w:cs="Arial"/>
          <w:sz w:val="16"/>
          <w:szCs w:val="16"/>
        </w:rPr>
        <w:t>Algorithm supplied by GESA.</w:t>
      </w:r>
    </w:p>
    <w:p w:rsidR="00A65253" w:rsidRPr="00E555A3" w:rsidRDefault="00A65253" w:rsidP="00ED0BC0">
      <w:pPr>
        <w:spacing w:after="0"/>
        <w:rPr>
          <w:rFonts w:ascii="Arial" w:hAnsi="Arial" w:cs="Arial"/>
          <w:sz w:val="16"/>
          <w:szCs w:val="16"/>
        </w:rPr>
      </w:pPr>
      <w:r w:rsidRPr="00E555A3">
        <w:rPr>
          <w:rFonts w:ascii="Arial" w:hAnsi="Arial" w:cs="Arial"/>
          <w:sz w:val="16"/>
          <w:szCs w:val="16"/>
        </w:rPr>
        <w:t xml:space="preserve">*Note that GESA advises that this algorithm represents </w:t>
      </w:r>
      <w:r w:rsidR="00ED0BC0" w:rsidRPr="00E555A3">
        <w:rPr>
          <w:rFonts w:ascii="Arial" w:hAnsi="Arial" w:cs="Arial"/>
          <w:sz w:val="16"/>
          <w:szCs w:val="16"/>
        </w:rPr>
        <w:t>an ideal</w:t>
      </w:r>
      <w:r w:rsidRPr="00E555A3">
        <w:rPr>
          <w:rFonts w:ascii="Arial" w:hAnsi="Arial" w:cs="Arial"/>
          <w:sz w:val="16"/>
          <w:szCs w:val="16"/>
        </w:rPr>
        <w:t xml:space="preserve"> management pathway, and that there is some variation in</w:t>
      </w:r>
      <w:r w:rsidR="00ED0BC0" w:rsidRPr="00E555A3">
        <w:rPr>
          <w:rFonts w:ascii="Arial" w:hAnsi="Arial" w:cs="Arial"/>
          <w:sz w:val="16"/>
          <w:szCs w:val="16"/>
        </w:rPr>
        <w:t xml:space="preserve"> real world practice.</w:t>
      </w:r>
    </w:p>
    <w:p w:rsidR="00A65253" w:rsidRPr="00E555A3" w:rsidRDefault="00A65253" w:rsidP="00ED0BC0">
      <w:pPr>
        <w:spacing w:after="0"/>
        <w:rPr>
          <w:rFonts w:ascii="Arial" w:hAnsi="Arial" w:cs="Arial"/>
          <w:sz w:val="16"/>
          <w:szCs w:val="16"/>
        </w:rPr>
      </w:pPr>
      <w:r w:rsidRPr="00E555A3">
        <w:rPr>
          <w:rFonts w:ascii="Arial" w:hAnsi="Arial" w:cs="Arial"/>
          <w:sz w:val="16"/>
          <w:szCs w:val="16"/>
        </w:rPr>
        <w:t xml:space="preserve">^ </w:t>
      </w:r>
      <w:proofErr w:type="gramStart"/>
      <w:r w:rsidRPr="00E555A3">
        <w:rPr>
          <w:rFonts w:ascii="Arial" w:hAnsi="Arial" w:cs="Arial"/>
          <w:sz w:val="16"/>
          <w:szCs w:val="16"/>
        </w:rPr>
        <w:t>common</w:t>
      </w:r>
      <w:proofErr w:type="gramEnd"/>
      <w:r w:rsidRPr="00E555A3">
        <w:rPr>
          <w:rFonts w:ascii="Arial" w:hAnsi="Arial" w:cs="Arial"/>
          <w:sz w:val="16"/>
          <w:szCs w:val="16"/>
        </w:rPr>
        <w:t xml:space="preserve"> tests FBC, CRP, ESR. </w:t>
      </w:r>
      <w:r w:rsidR="00ED0BC0" w:rsidRPr="00E555A3">
        <w:rPr>
          <w:rFonts w:ascii="Arial" w:hAnsi="Arial" w:cs="Arial"/>
          <w:sz w:val="16"/>
          <w:szCs w:val="16"/>
        </w:rPr>
        <w:t xml:space="preserve">GESA advises that GPs should </w:t>
      </w:r>
      <w:r w:rsidRPr="00E555A3">
        <w:rPr>
          <w:rFonts w:ascii="Arial" w:hAnsi="Arial" w:cs="Arial"/>
          <w:sz w:val="16"/>
          <w:szCs w:val="16"/>
        </w:rPr>
        <w:t xml:space="preserve">also do </w:t>
      </w:r>
      <w:proofErr w:type="gramStart"/>
      <w:r w:rsidRPr="00E555A3">
        <w:rPr>
          <w:rFonts w:ascii="Arial" w:hAnsi="Arial" w:cs="Arial"/>
          <w:sz w:val="16"/>
          <w:szCs w:val="16"/>
        </w:rPr>
        <w:t>Coeliac</w:t>
      </w:r>
      <w:proofErr w:type="gramEnd"/>
      <w:r w:rsidRPr="00E555A3">
        <w:rPr>
          <w:rFonts w:ascii="Arial" w:hAnsi="Arial" w:cs="Arial"/>
          <w:sz w:val="16"/>
          <w:szCs w:val="16"/>
        </w:rPr>
        <w:t xml:space="preserve"> serology and iron studies if FBC </w:t>
      </w:r>
      <w:r w:rsidR="00ED0BC0" w:rsidRPr="00E555A3">
        <w:rPr>
          <w:rFonts w:ascii="Arial" w:hAnsi="Arial" w:cs="Arial"/>
          <w:sz w:val="16"/>
          <w:szCs w:val="16"/>
        </w:rPr>
        <w:t>results are suggestive.</w:t>
      </w:r>
    </w:p>
    <w:p w:rsidR="00A65253" w:rsidRPr="00E555A3" w:rsidRDefault="00A65253" w:rsidP="00ED0BC0">
      <w:pPr>
        <w:spacing w:after="0"/>
        <w:rPr>
          <w:rFonts w:ascii="Arial" w:hAnsi="Arial" w:cs="Arial"/>
          <w:sz w:val="16"/>
          <w:szCs w:val="16"/>
        </w:rPr>
      </w:pPr>
      <w:r w:rsidRPr="00E555A3">
        <w:rPr>
          <w:rFonts w:ascii="Arial" w:hAnsi="Arial" w:cs="Arial"/>
          <w:sz w:val="16"/>
          <w:szCs w:val="16"/>
        </w:rPr>
        <w:t xml:space="preserve"># </w:t>
      </w:r>
      <w:r w:rsidR="00ED0BC0" w:rsidRPr="00E555A3">
        <w:rPr>
          <w:rFonts w:ascii="Arial" w:hAnsi="Arial" w:cs="Arial"/>
          <w:sz w:val="16"/>
          <w:szCs w:val="16"/>
        </w:rPr>
        <w:t xml:space="preserve">GESA advises that </w:t>
      </w:r>
      <w:r w:rsidRPr="00E555A3">
        <w:rPr>
          <w:rFonts w:ascii="Arial" w:hAnsi="Arial" w:cs="Arial"/>
          <w:sz w:val="16"/>
          <w:szCs w:val="16"/>
        </w:rPr>
        <w:t xml:space="preserve">many people are referred </w:t>
      </w:r>
      <w:r w:rsidR="00ED0BC0" w:rsidRPr="00E555A3">
        <w:rPr>
          <w:rFonts w:ascii="Arial" w:hAnsi="Arial" w:cs="Arial"/>
          <w:sz w:val="16"/>
          <w:szCs w:val="16"/>
        </w:rPr>
        <w:t>because of their level of concern about their symptoms, even in the</w:t>
      </w:r>
      <w:r w:rsidRPr="00E555A3">
        <w:rPr>
          <w:rFonts w:ascii="Arial" w:hAnsi="Arial" w:cs="Arial"/>
          <w:sz w:val="16"/>
          <w:szCs w:val="16"/>
        </w:rPr>
        <w:t xml:space="preserve"> </w:t>
      </w:r>
      <w:r w:rsidR="00ED0BC0" w:rsidRPr="00E555A3">
        <w:rPr>
          <w:rFonts w:ascii="Arial" w:hAnsi="Arial" w:cs="Arial"/>
          <w:sz w:val="16"/>
          <w:szCs w:val="16"/>
        </w:rPr>
        <w:t xml:space="preserve">absence of </w:t>
      </w:r>
      <w:r w:rsidRPr="00E555A3">
        <w:rPr>
          <w:rFonts w:ascii="Arial" w:hAnsi="Arial" w:cs="Arial"/>
          <w:sz w:val="16"/>
          <w:szCs w:val="16"/>
        </w:rPr>
        <w:t>alarm features or to abnormal bloods</w:t>
      </w:r>
      <w:r w:rsidR="00ED0BC0" w:rsidRPr="00E555A3">
        <w:rPr>
          <w:rFonts w:ascii="Arial" w:hAnsi="Arial" w:cs="Arial"/>
          <w:sz w:val="16"/>
          <w:szCs w:val="16"/>
        </w:rPr>
        <w:t xml:space="preserve">. In this situation, the faecal </w:t>
      </w:r>
      <w:proofErr w:type="spellStart"/>
      <w:r w:rsidR="00ED0BC0" w:rsidRPr="00E555A3">
        <w:rPr>
          <w:rFonts w:ascii="Arial" w:hAnsi="Arial" w:cs="Arial"/>
          <w:sz w:val="16"/>
          <w:szCs w:val="16"/>
        </w:rPr>
        <w:t>calprotectin</w:t>
      </w:r>
      <w:proofErr w:type="spellEnd"/>
      <w:r w:rsidR="00ED0BC0" w:rsidRPr="00E555A3">
        <w:rPr>
          <w:rFonts w:ascii="Arial" w:hAnsi="Arial" w:cs="Arial"/>
          <w:sz w:val="16"/>
          <w:szCs w:val="16"/>
        </w:rPr>
        <w:t xml:space="preserve"> test may </w:t>
      </w:r>
      <w:r w:rsidRPr="00E555A3">
        <w:rPr>
          <w:rFonts w:ascii="Arial" w:hAnsi="Arial" w:cs="Arial"/>
          <w:sz w:val="16"/>
          <w:szCs w:val="16"/>
        </w:rPr>
        <w:t>allay non-specific worry of “missing” something</w:t>
      </w:r>
      <w:r w:rsidR="00ED0BC0" w:rsidRPr="00E555A3">
        <w:rPr>
          <w:rFonts w:ascii="Arial" w:hAnsi="Arial" w:cs="Arial"/>
          <w:sz w:val="16"/>
          <w:szCs w:val="16"/>
        </w:rPr>
        <w:t>.</w:t>
      </w:r>
    </w:p>
    <w:p w:rsidR="00ED0BC0" w:rsidRPr="00E555A3" w:rsidRDefault="00A65253" w:rsidP="00ED0BC0">
      <w:pPr>
        <w:spacing w:after="0"/>
        <w:rPr>
          <w:rFonts w:ascii="Arial" w:hAnsi="Arial" w:cs="Arial"/>
          <w:sz w:val="16"/>
          <w:szCs w:val="16"/>
        </w:rPr>
      </w:pPr>
      <w:r w:rsidRPr="00E555A3">
        <w:rPr>
          <w:rFonts w:ascii="Arial" w:hAnsi="Arial" w:cs="Arial"/>
          <w:sz w:val="16"/>
          <w:szCs w:val="16"/>
        </w:rPr>
        <w:t xml:space="preserve">@ </w:t>
      </w:r>
      <w:r w:rsidR="00ED0BC0" w:rsidRPr="00E555A3">
        <w:rPr>
          <w:rFonts w:ascii="Arial" w:hAnsi="Arial" w:cs="Arial"/>
          <w:sz w:val="16"/>
          <w:szCs w:val="16"/>
        </w:rPr>
        <w:t>GESA advises</w:t>
      </w:r>
      <w:r w:rsidRPr="00E555A3">
        <w:rPr>
          <w:rFonts w:ascii="Arial" w:hAnsi="Arial" w:cs="Arial"/>
          <w:sz w:val="16"/>
          <w:szCs w:val="16"/>
        </w:rPr>
        <w:t xml:space="preserve"> that many people who should be referred are not, as </w:t>
      </w:r>
      <w:r w:rsidR="00ED0BC0" w:rsidRPr="008F5521">
        <w:rPr>
          <w:rFonts w:ascii="Arial" w:hAnsi="Arial" w:cs="Arial"/>
          <w:sz w:val="16"/>
          <w:szCs w:val="16"/>
        </w:rPr>
        <w:t>the</w:t>
      </w:r>
      <w:r w:rsidR="00410C16" w:rsidRPr="008F5521">
        <w:rPr>
          <w:rFonts w:ascii="Arial" w:hAnsi="Arial" w:cs="Arial"/>
          <w:sz w:val="16"/>
          <w:szCs w:val="16"/>
        </w:rPr>
        <w:t xml:space="preserve"> </w:t>
      </w:r>
      <w:r w:rsidRPr="008F5521">
        <w:rPr>
          <w:rFonts w:ascii="Arial" w:hAnsi="Arial" w:cs="Arial"/>
          <w:sz w:val="16"/>
          <w:szCs w:val="16"/>
        </w:rPr>
        <w:t xml:space="preserve">tests </w:t>
      </w:r>
      <w:r w:rsidRPr="00E555A3">
        <w:rPr>
          <w:rFonts w:ascii="Arial" w:hAnsi="Arial" w:cs="Arial"/>
          <w:sz w:val="16"/>
          <w:szCs w:val="16"/>
        </w:rPr>
        <w:t xml:space="preserve">weren’t ordered, or they and/or </w:t>
      </w:r>
      <w:r w:rsidR="00ED0BC0" w:rsidRPr="00E555A3">
        <w:rPr>
          <w:rFonts w:ascii="Arial" w:hAnsi="Arial" w:cs="Arial"/>
          <w:sz w:val="16"/>
          <w:szCs w:val="16"/>
        </w:rPr>
        <w:t xml:space="preserve">the </w:t>
      </w:r>
      <w:r w:rsidRPr="00E555A3">
        <w:rPr>
          <w:rFonts w:ascii="Arial" w:hAnsi="Arial" w:cs="Arial"/>
          <w:sz w:val="16"/>
          <w:szCs w:val="16"/>
        </w:rPr>
        <w:t xml:space="preserve">GP did not perceive </w:t>
      </w:r>
      <w:r w:rsidR="00ED0BC0" w:rsidRPr="00E555A3">
        <w:rPr>
          <w:rFonts w:ascii="Arial" w:hAnsi="Arial" w:cs="Arial"/>
          <w:sz w:val="16"/>
          <w:szCs w:val="16"/>
        </w:rPr>
        <w:t xml:space="preserve">the </w:t>
      </w:r>
      <w:r w:rsidRPr="00E555A3">
        <w:rPr>
          <w:rFonts w:ascii="Arial" w:hAnsi="Arial" w:cs="Arial"/>
          <w:sz w:val="16"/>
          <w:szCs w:val="16"/>
        </w:rPr>
        <w:t>severity</w:t>
      </w:r>
      <w:r w:rsidR="00ED0BC0" w:rsidRPr="00E555A3">
        <w:rPr>
          <w:rFonts w:ascii="Arial" w:hAnsi="Arial" w:cs="Arial"/>
          <w:sz w:val="16"/>
          <w:szCs w:val="16"/>
        </w:rPr>
        <w:t>.</w:t>
      </w:r>
      <w:r w:rsidR="00ED0BC0" w:rsidRPr="00E555A3">
        <w:rPr>
          <w:sz w:val="16"/>
          <w:szCs w:val="16"/>
        </w:rPr>
        <w:t xml:space="preserve"> </w:t>
      </w:r>
      <w:r w:rsidR="00ED0BC0" w:rsidRPr="00E555A3">
        <w:rPr>
          <w:rFonts w:ascii="Arial" w:hAnsi="Arial" w:cs="Arial"/>
          <w:sz w:val="16"/>
          <w:szCs w:val="16"/>
        </w:rPr>
        <w:t>In this situation,</w:t>
      </w:r>
      <w:r w:rsidRPr="00E555A3">
        <w:rPr>
          <w:rFonts w:ascii="Arial" w:hAnsi="Arial" w:cs="Arial"/>
          <w:sz w:val="16"/>
          <w:szCs w:val="16"/>
        </w:rPr>
        <w:t xml:space="preserve"> </w:t>
      </w:r>
      <w:proofErr w:type="spellStart"/>
      <w:r w:rsidRPr="00E555A3">
        <w:rPr>
          <w:rFonts w:ascii="Arial" w:hAnsi="Arial" w:cs="Arial"/>
          <w:sz w:val="16"/>
          <w:szCs w:val="16"/>
        </w:rPr>
        <w:t>calprotectin</w:t>
      </w:r>
      <w:proofErr w:type="spellEnd"/>
      <w:r w:rsidR="00ED0BC0" w:rsidRPr="00E555A3">
        <w:rPr>
          <w:sz w:val="16"/>
          <w:szCs w:val="16"/>
        </w:rPr>
        <w:t xml:space="preserve"> </w:t>
      </w:r>
      <w:r w:rsidR="00ED0BC0" w:rsidRPr="00E555A3">
        <w:rPr>
          <w:rFonts w:ascii="Arial" w:hAnsi="Arial" w:cs="Arial"/>
          <w:sz w:val="16"/>
          <w:szCs w:val="16"/>
        </w:rPr>
        <w:t>may aid in picking up those needing referral.</w:t>
      </w:r>
    </w:p>
    <w:p w:rsidR="00ED0BC0" w:rsidRPr="00E555A3" w:rsidRDefault="00ED0BC0" w:rsidP="00ED0BC0">
      <w:pPr>
        <w:spacing w:after="0" w:line="240" w:lineRule="auto"/>
        <w:rPr>
          <w:sz w:val="16"/>
          <w:szCs w:val="16"/>
        </w:rPr>
      </w:pPr>
      <w:r w:rsidRPr="00E555A3">
        <w:rPr>
          <w:rFonts w:ascii="Arial" w:hAnsi="Arial" w:cs="Arial"/>
          <w:sz w:val="16"/>
          <w:szCs w:val="16"/>
        </w:rPr>
        <w:t>Abbreviations:</w:t>
      </w:r>
      <w:r w:rsidRPr="00E555A3">
        <w:rPr>
          <w:sz w:val="16"/>
          <w:szCs w:val="16"/>
        </w:rPr>
        <w:t xml:space="preserve"> FBC=full blood count; CRP=C-reactive protein; ESR=Erythrocyte sedimentation rate (with or without a stool specimen).</w:t>
      </w:r>
    </w:p>
    <w:p w:rsidR="00A65253" w:rsidRPr="00A65253" w:rsidRDefault="00A65253" w:rsidP="00A65253">
      <w:pPr>
        <w:rPr>
          <w:rFonts w:ascii="Arial" w:hAnsi="Arial" w:cs="Arial"/>
          <w:sz w:val="18"/>
          <w:szCs w:val="18"/>
        </w:rPr>
      </w:pPr>
    </w:p>
    <w:p w:rsidR="002D48C6" w:rsidRDefault="002D48C6" w:rsidP="00E15135">
      <w:pPr>
        <w:pStyle w:val="Heading4"/>
      </w:pPr>
      <w:r>
        <w:t>Proposed clinical pathway</w:t>
      </w:r>
    </w:p>
    <w:p w:rsidR="004C6895" w:rsidRPr="009708D9" w:rsidRDefault="005F40B2" w:rsidP="004C6895">
      <w:pPr>
        <w:spacing w:before="120" w:after="120"/>
      </w:pPr>
      <w:r w:rsidRPr="009708D9">
        <w:t>The p</w:t>
      </w:r>
      <w:r w:rsidR="004C6895" w:rsidRPr="009708D9">
        <w:t>roposed pathway</w:t>
      </w:r>
      <w:r w:rsidR="0055215D" w:rsidRPr="009708D9">
        <w:t>s</w:t>
      </w:r>
      <w:r w:rsidR="004C6895" w:rsidRPr="009708D9">
        <w:t xml:space="preserve"> for patient</w:t>
      </w:r>
      <w:r w:rsidR="00FD60C3" w:rsidRPr="009708D9">
        <w:t>s</w:t>
      </w:r>
      <w:r w:rsidR="004C6895" w:rsidRPr="009708D9">
        <w:t xml:space="preserve"> with abdominal symptoms suggestive of either </w:t>
      </w:r>
      <w:r w:rsidR="00C863F5" w:rsidRPr="009708D9">
        <w:t>functional or inflammatory bowel disorders</w:t>
      </w:r>
      <w:r w:rsidRPr="009708D9">
        <w:t>,</w:t>
      </w:r>
      <w:r w:rsidR="00D426D9" w:rsidRPr="009708D9">
        <w:t xml:space="preserve"> where testing is ordered by a general practitioner</w:t>
      </w:r>
      <w:r w:rsidRPr="009708D9">
        <w:t xml:space="preserve"> </w:t>
      </w:r>
      <w:r w:rsidR="00D426D9" w:rsidRPr="009708D9">
        <w:t xml:space="preserve">or by a specialist </w:t>
      </w:r>
      <w:r w:rsidRPr="009708D9">
        <w:t>are presented in</w:t>
      </w:r>
      <w:r w:rsidR="007C5A71" w:rsidRPr="009708D9">
        <w:t xml:space="preserve"> </w:t>
      </w:r>
      <w:r w:rsidRPr="009708D9">
        <w:fldChar w:fldCharType="begin"/>
      </w:r>
      <w:r w:rsidRPr="009708D9">
        <w:instrText xml:space="preserve"> REF _Ref415474646 \h  \* MERGEFORMAT </w:instrText>
      </w:r>
      <w:r w:rsidRPr="009708D9">
        <w:fldChar w:fldCharType="separate"/>
      </w:r>
      <w:r w:rsidR="00961A66" w:rsidRPr="008F4C42">
        <w:rPr>
          <w:noProof/>
        </w:rPr>
        <w:t>Figure</w:t>
      </w:r>
      <w:r w:rsidR="00961A66" w:rsidRPr="008F4C42">
        <w:t xml:space="preserve"> </w:t>
      </w:r>
      <w:r w:rsidR="00961A66">
        <w:rPr>
          <w:noProof/>
        </w:rPr>
        <w:t>2</w:t>
      </w:r>
      <w:r w:rsidRPr="009708D9">
        <w:fldChar w:fldCharType="end"/>
      </w:r>
      <w:r w:rsidRPr="009708D9">
        <w:t xml:space="preserve"> and </w:t>
      </w:r>
      <w:r w:rsidRPr="009708D9">
        <w:fldChar w:fldCharType="begin"/>
      </w:r>
      <w:r w:rsidRPr="009708D9">
        <w:instrText xml:space="preserve"> REF _Ref415474660 \h  \* MERGEFORMAT </w:instrText>
      </w:r>
      <w:r w:rsidRPr="009708D9">
        <w:fldChar w:fldCharType="separate"/>
      </w:r>
      <w:r w:rsidR="00961A66" w:rsidRPr="008F4C42">
        <w:t xml:space="preserve">Figure </w:t>
      </w:r>
      <w:r w:rsidR="00961A66">
        <w:rPr>
          <w:noProof/>
        </w:rPr>
        <w:t>3</w:t>
      </w:r>
      <w:r w:rsidRPr="009708D9">
        <w:fldChar w:fldCharType="end"/>
      </w:r>
      <w:r w:rsidRPr="009708D9">
        <w:t>, respectively</w:t>
      </w:r>
      <w:r w:rsidR="00C863F5" w:rsidRPr="009708D9">
        <w:t>.</w:t>
      </w:r>
    </w:p>
    <w:p w:rsidR="005D10E8" w:rsidRPr="009708D9" w:rsidRDefault="005F40B2" w:rsidP="004C6895">
      <w:pPr>
        <w:spacing w:before="120" w:after="120"/>
      </w:pPr>
      <w:r w:rsidRPr="009708D9">
        <w:t xml:space="preserve">Where testing is used by a GP, the faecal </w:t>
      </w:r>
      <w:proofErr w:type="spellStart"/>
      <w:r w:rsidRPr="009708D9">
        <w:t>calprotectin</w:t>
      </w:r>
      <w:proofErr w:type="spellEnd"/>
      <w:r w:rsidRPr="009708D9">
        <w:t xml:space="preserve"> test will be ordered together with other initial testing in presenting patients. Patients with an abnormal faecal </w:t>
      </w:r>
      <w:proofErr w:type="spellStart"/>
      <w:r w:rsidRPr="009708D9">
        <w:t>calprotectin</w:t>
      </w:r>
      <w:proofErr w:type="spellEnd"/>
      <w:r w:rsidRPr="009708D9">
        <w:t xml:space="preserve"> level will be referred to a specialist gastroenterologist, where they will be managed in the same way as under the current clinical pathway. Patients who do not have an abnormal faecal </w:t>
      </w:r>
      <w:proofErr w:type="spellStart"/>
      <w:r w:rsidRPr="009708D9">
        <w:t>calprotectin</w:t>
      </w:r>
      <w:proofErr w:type="spellEnd"/>
      <w:r w:rsidRPr="009708D9">
        <w:t xml:space="preserve"> level may be managed by their GP, as per the current clinical pathway; however, these patients may still be referred to a specialist if they have alarm features, have other abnormal tests, or if they or their GP are worried.</w:t>
      </w:r>
    </w:p>
    <w:p w:rsidR="005F40B2" w:rsidRPr="009708D9" w:rsidRDefault="005F40B2" w:rsidP="00E15135">
      <w:pPr>
        <w:keepNext/>
        <w:spacing w:before="120" w:after="120"/>
      </w:pPr>
      <w:r w:rsidRPr="009708D9">
        <w:t>GESA advises that:</w:t>
      </w:r>
    </w:p>
    <w:p w:rsidR="005F40B2" w:rsidRPr="009708D9" w:rsidRDefault="005F40B2" w:rsidP="00E15135">
      <w:pPr>
        <w:pStyle w:val="ListParagraph"/>
        <w:numPr>
          <w:ilvl w:val="0"/>
          <w:numId w:val="49"/>
        </w:numPr>
        <w:spacing w:before="120" w:after="120"/>
      </w:pPr>
      <w:r w:rsidRPr="009708D9">
        <w:t xml:space="preserve">Many people are referred to specialists because of their level of concern about their symptoms, even in the absence of alarm features or to abnormal bloods. In this situation, the faecal </w:t>
      </w:r>
      <w:proofErr w:type="spellStart"/>
      <w:r w:rsidRPr="009708D9">
        <w:t>calprotectin</w:t>
      </w:r>
      <w:proofErr w:type="spellEnd"/>
      <w:r w:rsidRPr="009708D9">
        <w:t xml:space="preserve"> test may allay non-specific worry of “missing” something.</w:t>
      </w:r>
    </w:p>
    <w:p w:rsidR="005F40B2" w:rsidRPr="009708D9" w:rsidRDefault="005F40B2" w:rsidP="00E15135">
      <w:pPr>
        <w:pStyle w:val="ListParagraph"/>
        <w:numPr>
          <w:ilvl w:val="0"/>
          <w:numId w:val="49"/>
        </w:numPr>
        <w:spacing w:before="120" w:after="120"/>
      </w:pPr>
      <w:r w:rsidRPr="009708D9">
        <w:lastRenderedPageBreak/>
        <w:t xml:space="preserve">Many people who should be referred to specialists are not, as the tests weren’t ordered, or they and/or the GP did not perceive the severity. In this situation, </w:t>
      </w:r>
      <w:proofErr w:type="spellStart"/>
      <w:r w:rsidRPr="009708D9">
        <w:t>calprotectin</w:t>
      </w:r>
      <w:proofErr w:type="spellEnd"/>
      <w:r w:rsidRPr="009708D9">
        <w:t xml:space="preserve"> may aid in picking up those needing referral.</w:t>
      </w:r>
    </w:p>
    <w:p w:rsidR="006338F9" w:rsidRPr="009708D9" w:rsidRDefault="006338F9" w:rsidP="00E15135">
      <w:pPr>
        <w:pStyle w:val="ListParagraph"/>
        <w:numPr>
          <w:ilvl w:val="0"/>
          <w:numId w:val="49"/>
        </w:numPr>
        <w:spacing w:before="120" w:after="120"/>
      </w:pPr>
      <w:r w:rsidRPr="009708D9">
        <w:t xml:space="preserve">GPs need to be mindful that faecal </w:t>
      </w:r>
      <w:proofErr w:type="spellStart"/>
      <w:r w:rsidRPr="009708D9">
        <w:t>calprotectin</w:t>
      </w:r>
      <w:proofErr w:type="spellEnd"/>
      <w:r w:rsidRPr="009708D9">
        <w:t xml:space="preserve"> testing will not replace community screening recommendations for colorectal cancer with FHH testing in people aged over 50 years.</w:t>
      </w:r>
    </w:p>
    <w:p w:rsidR="009E0767" w:rsidRPr="00E15135" w:rsidRDefault="009E0767" w:rsidP="00E15135">
      <w:pPr>
        <w:spacing w:before="120" w:after="120"/>
        <w:rPr>
          <w:rFonts w:ascii="Arial" w:hAnsi="Arial" w:cs="Arial"/>
        </w:rPr>
      </w:pPr>
    </w:p>
    <w:p w:rsidR="004C6895" w:rsidRDefault="004C6895" w:rsidP="004C6895">
      <w:pPr>
        <w:pStyle w:val="Caption"/>
        <w:spacing w:after="240"/>
        <w:rPr>
          <w:lang w:val="en-AU"/>
        </w:rPr>
      </w:pPr>
      <w:bookmarkStart w:id="22" w:name="_Ref415474646"/>
      <w:r w:rsidRPr="008F4C42">
        <w:rPr>
          <w:lang w:val="en-AU"/>
        </w:rPr>
        <w:t xml:space="preserve">Figure </w:t>
      </w:r>
      <w:r w:rsidRPr="008F4C42">
        <w:rPr>
          <w:lang w:val="en-AU"/>
        </w:rPr>
        <w:fldChar w:fldCharType="begin"/>
      </w:r>
      <w:r w:rsidRPr="008F4C42">
        <w:rPr>
          <w:lang w:val="en-AU"/>
        </w:rPr>
        <w:instrText xml:space="preserve"> SEQ Figure \* ARABIC </w:instrText>
      </w:r>
      <w:r w:rsidRPr="008F4C42">
        <w:rPr>
          <w:lang w:val="en-AU"/>
        </w:rPr>
        <w:fldChar w:fldCharType="separate"/>
      </w:r>
      <w:r w:rsidR="00961A66">
        <w:rPr>
          <w:noProof/>
          <w:lang w:val="en-AU"/>
        </w:rPr>
        <w:t>2</w:t>
      </w:r>
      <w:r w:rsidRPr="008F4C42">
        <w:rPr>
          <w:lang w:val="en-AU"/>
        </w:rPr>
        <w:fldChar w:fldCharType="end"/>
      </w:r>
      <w:bookmarkEnd w:id="22"/>
      <w:r w:rsidRPr="008F4C42">
        <w:rPr>
          <w:lang w:val="en-AU"/>
        </w:rPr>
        <w:t xml:space="preserve">: </w:t>
      </w:r>
      <w:r w:rsidR="006C1D5B">
        <w:rPr>
          <w:lang w:val="en-AU"/>
        </w:rPr>
        <w:t xml:space="preserve">Proposed </w:t>
      </w:r>
      <w:r w:rsidR="00AC35B5">
        <w:rPr>
          <w:lang w:val="en-AU"/>
        </w:rPr>
        <w:t>clinical</w:t>
      </w:r>
      <w:r w:rsidR="006C1D5B">
        <w:rPr>
          <w:lang w:val="en-AU"/>
        </w:rPr>
        <w:t xml:space="preserve"> pathway for a patient with abdominal symptoms </w:t>
      </w:r>
      <w:r w:rsidR="007E5B74" w:rsidRPr="007E5B74">
        <w:rPr>
          <w:lang w:val="en-AU"/>
        </w:rPr>
        <w:t>and b</w:t>
      </w:r>
      <w:r w:rsidR="007E5B74">
        <w:rPr>
          <w:lang w:val="en-AU"/>
        </w:rPr>
        <w:t>owel habit disturbance &gt;6 weeks</w:t>
      </w:r>
      <w:r w:rsidR="006C1D5B">
        <w:rPr>
          <w:lang w:val="en-AU"/>
        </w:rPr>
        <w:t xml:space="preserve"> </w:t>
      </w:r>
      <w:r>
        <w:rPr>
          <w:lang w:val="en-AU"/>
        </w:rPr>
        <w:t xml:space="preserve">– </w:t>
      </w:r>
      <w:r w:rsidR="006C1D5B">
        <w:rPr>
          <w:lang w:val="en-AU"/>
        </w:rPr>
        <w:t xml:space="preserve">where </w:t>
      </w:r>
      <w:r w:rsidR="00D426D9">
        <w:rPr>
          <w:lang w:val="en-AU"/>
        </w:rPr>
        <w:t xml:space="preserve">a </w:t>
      </w:r>
      <w:r w:rsidR="006C1D5B">
        <w:rPr>
          <w:lang w:val="en-AU"/>
        </w:rPr>
        <w:t xml:space="preserve">General Practitioner orders the </w:t>
      </w:r>
      <w:r w:rsidR="00427A5B">
        <w:rPr>
          <w:lang w:val="en-AU"/>
        </w:rPr>
        <w:t xml:space="preserve">Faecal </w:t>
      </w:r>
      <w:proofErr w:type="spellStart"/>
      <w:r w:rsidR="00427A5B">
        <w:rPr>
          <w:lang w:val="en-AU"/>
        </w:rPr>
        <w:t>Calprotectin</w:t>
      </w:r>
      <w:proofErr w:type="spellEnd"/>
      <w:r w:rsidR="006C1D5B">
        <w:rPr>
          <w:lang w:val="en-AU"/>
        </w:rPr>
        <w:t xml:space="preserve"> test </w:t>
      </w:r>
      <w:r w:rsidR="00DF188B">
        <w:rPr>
          <w:lang w:val="en-AU"/>
        </w:rPr>
        <w:t>(lab test)</w:t>
      </w:r>
    </w:p>
    <w:p w:rsidR="004C6895" w:rsidRDefault="007E5B74" w:rsidP="007E5B74">
      <w:pPr>
        <w:pBdr>
          <w:top w:val="single" w:sz="4" w:space="1" w:color="auto"/>
          <w:left w:val="single" w:sz="4" w:space="4" w:color="auto"/>
          <w:bottom w:val="single" w:sz="4" w:space="1" w:color="auto"/>
          <w:right w:val="single" w:sz="4" w:space="4" w:color="auto"/>
        </w:pBdr>
        <w:spacing w:before="120" w:after="0"/>
        <w:rPr>
          <w:rFonts w:ascii="Arial" w:hAnsi="Arial" w:cs="Arial"/>
        </w:rPr>
      </w:pPr>
      <w:r>
        <w:rPr>
          <w:rFonts w:ascii="Arial" w:hAnsi="Arial" w:cs="Arial"/>
          <w:noProof/>
          <w:lang w:eastAsia="en-AU"/>
        </w:rPr>
        <w:drawing>
          <wp:inline distT="0" distB="0" distL="0" distR="0" wp14:anchorId="15E43307" wp14:editId="6E864179">
            <wp:extent cx="5731510" cy="3308350"/>
            <wp:effectExtent l="0" t="0" r="2540" b="6350"/>
            <wp:docPr id="7" name="Picture 7" title="Proposed clinical pathway for a patient with abdominal symptoms and bowel habit disturbance &gt;6 weeks – where a General Practitioner orders the Faecal Calprotectin test (lab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diagnostic algorithm.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308350"/>
                    </a:xfrm>
                    <a:prstGeom prst="rect">
                      <a:avLst/>
                    </a:prstGeom>
                  </pic:spPr>
                </pic:pic>
              </a:graphicData>
            </a:graphic>
          </wp:inline>
        </w:drawing>
      </w:r>
    </w:p>
    <w:p w:rsidR="00066F6C" w:rsidRPr="00E555A3" w:rsidRDefault="00066F6C" w:rsidP="007E5B74">
      <w:pPr>
        <w:spacing w:after="0"/>
        <w:rPr>
          <w:rFonts w:ascii="Arial" w:hAnsi="Arial" w:cs="Arial"/>
          <w:sz w:val="16"/>
          <w:szCs w:val="16"/>
        </w:rPr>
      </w:pPr>
      <w:r w:rsidRPr="00E555A3">
        <w:rPr>
          <w:rFonts w:ascii="Arial" w:hAnsi="Arial" w:cs="Arial"/>
          <w:sz w:val="16"/>
          <w:szCs w:val="16"/>
        </w:rPr>
        <w:t>Algorithm supplied by GESA.</w:t>
      </w:r>
    </w:p>
    <w:p w:rsidR="007E5B74" w:rsidRPr="00E555A3" w:rsidRDefault="007E5B74" w:rsidP="007E5B74">
      <w:pPr>
        <w:spacing w:after="0"/>
        <w:rPr>
          <w:rFonts w:ascii="Arial" w:hAnsi="Arial" w:cs="Arial"/>
          <w:sz w:val="16"/>
          <w:szCs w:val="16"/>
        </w:rPr>
      </w:pPr>
      <w:r w:rsidRPr="00E555A3">
        <w:rPr>
          <w:rFonts w:ascii="Arial" w:hAnsi="Arial" w:cs="Arial"/>
          <w:sz w:val="16"/>
          <w:szCs w:val="16"/>
        </w:rPr>
        <w:t xml:space="preserve">^ </w:t>
      </w:r>
      <w:proofErr w:type="gramStart"/>
      <w:r w:rsidRPr="00E555A3">
        <w:rPr>
          <w:rFonts w:ascii="Arial" w:hAnsi="Arial" w:cs="Arial"/>
          <w:sz w:val="16"/>
          <w:szCs w:val="16"/>
        </w:rPr>
        <w:t>common</w:t>
      </w:r>
      <w:proofErr w:type="gramEnd"/>
      <w:r w:rsidRPr="00E555A3">
        <w:rPr>
          <w:rFonts w:ascii="Arial" w:hAnsi="Arial" w:cs="Arial"/>
          <w:sz w:val="16"/>
          <w:szCs w:val="16"/>
        </w:rPr>
        <w:t xml:space="preserve"> tests FBC, CRP, ESR. GESA advises that GPs should also do </w:t>
      </w:r>
      <w:proofErr w:type="gramStart"/>
      <w:r w:rsidRPr="00E555A3">
        <w:rPr>
          <w:rFonts w:ascii="Arial" w:hAnsi="Arial" w:cs="Arial"/>
          <w:sz w:val="16"/>
          <w:szCs w:val="16"/>
        </w:rPr>
        <w:t>Coeliac</w:t>
      </w:r>
      <w:proofErr w:type="gramEnd"/>
      <w:r w:rsidRPr="00E555A3">
        <w:rPr>
          <w:rFonts w:ascii="Arial" w:hAnsi="Arial" w:cs="Arial"/>
          <w:sz w:val="16"/>
          <w:szCs w:val="16"/>
        </w:rPr>
        <w:t xml:space="preserve"> serology and iron studies if FBC results are suggestive.</w:t>
      </w:r>
    </w:p>
    <w:p w:rsidR="007E5B74" w:rsidRPr="00E555A3" w:rsidRDefault="007E5B74" w:rsidP="007E5B74">
      <w:pPr>
        <w:spacing w:after="0"/>
        <w:rPr>
          <w:rFonts w:ascii="Arial" w:hAnsi="Arial" w:cs="Arial"/>
          <w:sz w:val="16"/>
          <w:szCs w:val="16"/>
        </w:rPr>
      </w:pPr>
      <w:r w:rsidRPr="00E555A3">
        <w:rPr>
          <w:rFonts w:ascii="Arial" w:hAnsi="Arial" w:cs="Arial"/>
          <w:sz w:val="16"/>
          <w:szCs w:val="16"/>
        </w:rPr>
        <w:t xml:space="preserve"># GESA advises that many people are referred because of their level of concern about their symptoms, even in the absence of alarm features or to abnormal bloods. In this situation, the faecal </w:t>
      </w:r>
      <w:proofErr w:type="spellStart"/>
      <w:r w:rsidRPr="00E555A3">
        <w:rPr>
          <w:rFonts w:ascii="Arial" w:hAnsi="Arial" w:cs="Arial"/>
          <w:sz w:val="16"/>
          <w:szCs w:val="16"/>
        </w:rPr>
        <w:t>calprotectin</w:t>
      </w:r>
      <w:proofErr w:type="spellEnd"/>
      <w:r w:rsidRPr="00E555A3">
        <w:rPr>
          <w:rFonts w:ascii="Arial" w:hAnsi="Arial" w:cs="Arial"/>
          <w:sz w:val="16"/>
          <w:szCs w:val="16"/>
        </w:rPr>
        <w:t xml:space="preserve"> test may allay non-specific worry of “missing” something.</w:t>
      </w:r>
    </w:p>
    <w:p w:rsidR="007E5B74" w:rsidRPr="00E555A3" w:rsidRDefault="007E5B74" w:rsidP="007E5B74">
      <w:pPr>
        <w:spacing w:after="0"/>
        <w:rPr>
          <w:rFonts w:ascii="Arial" w:hAnsi="Arial" w:cs="Arial"/>
          <w:sz w:val="16"/>
          <w:szCs w:val="16"/>
        </w:rPr>
      </w:pPr>
      <w:r w:rsidRPr="00E555A3">
        <w:rPr>
          <w:rFonts w:ascii="Arial" w:hAnsi="Arial" w:cs="Arial"/>
          <w:sz w:val="16"/>
          <w:szCs w:val="16"/>
        </w:rPr>
        <w:t>@ GESA advises that many people who should be referred are not, as the</w:t>
      </w:r>
      <w:r w:rsidR="005F40B2" w:rsidRPr="00E555A3">
        <w:rPr>
          <w:rFonts w:ascii="Arial" w:hAnsi="Arial" w:cs="Arial"/>
          <w:sz w:val="16"/>
          <w:szCs w:val="16"/>
        </w:rPr>
        <w:t xml:space="preserve"> </w:t>
      </w:r>
      <w:r w:rsidRPr="00E555A3">
        <w:rPr>
          <w:rFonts w:ascii="Arial" w:hAnsi="Arial" w:cs="Arial"/>
          <w:sz w:val="16"/>
          <w:szCs w:val="16"/>
        </w:rPr>
        <w:t>tests weren’t ordered, or they and/or the GP did not perceive the severity.</w:t>
      </w:r>
      <w:r w:rsidRPr="00E555A3">
        <w:rPr>
          <w:sz w:val="16"/>
          <w:szCs w:val="16"/>
        </w:rPr>
        <w:t xml:space="preserve"> </w:t>
      </w:r>
      <w:r w:rsidRPr="00E555A3">
        <w:rPr>
          <w:rFonts w:ascii="Arial" w:hAnsi="Arial" w:cs="Arial"/>
          <w:sz w:val="16"/>
          <w:szCs w:val="16"/>
        </w:rPr>
        <w:t xml:space="preserve">In this situation, </w:t>
      </w:r>
      <w:proofErr w:type="spellStart"/>
      <w:r w:rsidRPr="00E555A3">
        <w:rPr>
          <w:rFonts w:ascii="Arial" w:hAnsi="Arial" w:cs="Arial"/>
          <w:sz w:val="16"/>
          <w:szCs w:val="16"/>
        </w:rPr>
        <w:t>calprotectin</w:t>
      </w:r>
      <w:proofErr w:type="spellEnd"/>
      <w:r w:rsidRPr="00E555A3">
        <w:rPr>
          <w:sz w:val="16"/>
          <w:szCs w:val="16"/>
        </w:rPr>
        <w:t xml:space="preserve"> </w:t>
      </w:r>
      <w:r w:rsidRPr="00E555A3">
        <w:rPr>
          <w:rFonts w:ascii="Arial" w:hAnsi="Arial" w:cs="Arial"/>
          <w:sz w:val="16"/>
          <w:szCs w:val="16"/>
        </w:rPr>
        <w:t>may aid in picking up those needing referral.</w:t>
      </w:r>
    </w:p>
    <w:p w:rsidR="007E5B74" w:rsidRPr="00E555A3" w:rsidRDefault="007E5B74" w:rsidP="007E5B74">
      <w:pPr>
        <w:spacing w:after="0" w:line="240" w:lineRule="auto"/>
        <w:rPr>
          <w:sz w:val="16"/>
          <w:szCs w:val="16"/>
        </w:rPr>
      </w:pPr>
      <w:r w:rsidRPr="00E555A3">
        <w:rPr>
          <w:rFonts w:ascii="Arial" w:hAnsi="Arial" w:cs="Arial"/>
          <w:sz w:val="16"/>
          <w:szCs w:val="16"/>
        </w:rPr>
        <w:t>Abbreviations:</w:t>
      </w:r>
      <w:r w:rsidRPr="00E555A3">
        <w:rPr>
          <w:sz w:val="16"/>
          <w:szCs w:val="16"/>
        </w:rPr>
        <w:t xml:space="preserve"> FBC=full blood count; </w:t>
      </w:r>
      <w:r w:rsidR="0037688C" w:rsidRPr="00E555A3">
        <w:rPr>
          <w:sz w:val="16"/>
          <w:szCs w:val="16"/>
        </w:rPr>
        <w:t xml:space="preserve">FC = faecal </w:t>
      </w:r>
      <w:proofErr w:type="spellStart"/>
      <w:r w:rsidR="0037688C" w:rsidRPr="00E555A3">
        <w:rPr>
          <w:sz w:val="16"/>
          <w:szCs w:val="16"/>
        </w:rPr>
        <w:t>calprotectin</w:t>
      </w:r>
      <w:proofErr w:type="spellEnd"/>
      <w:r w:rsidR="0037688C" w:rsidRPr="00E555A3">
        <w:rPr>
          <w:sz w:val="16"/>
          <w:szCs w:val="16"/>
        </w:rPr>
        <w:t xml:space="preserve">; </w:t>
      </w:r>
      <w:r w:rsidRPr="00E555A3">
        <w:rPr>
          <w:sz w:val="16"/>
          <w:szCs w:val="16"/>
        </w:rPr>
        <w:t>CRP=C-reactive protein; ESR=Erythrocyte sedimentation rate (with or without a stool specimen).</w:t>
      </w:r>
    </w:p>
    <w:p w:rsidR="007E5B74" w:rsidRDefault="007E5B74" w:rsidP="00D426D9">
      <w:pPr>
        <w:spacing w:after="0" w:line="240" w:lineRule="auto"/>
        <w:rPr>
          <w:rFonts w:ascii="Arial" w:hAnsi="Arial" w:cs="Arial"/>
          <w:sz w:val="18"/>
        </w:rPr>
      </w:pPr>
    </w:p>
    <w:p w:rsidR="007E5B74" w:rsidRPr="00ED0BC0" w:rsidRDefault="00066F6C" w:rsidP="00ED0BC0">
      <w:r>
        <w:t xml:space="preserve">If the GP has not performed </w:t>
      </w:r>
      <w:proofErr w:type="spellStart"/>
      <w:r>
        <w:t>calprotectin</w:t>
      </w:r>
      <w:proofErr w:type="spellEnd"/>
      <w:r>
        <w:t xml:space="preserve"> testing prior referring a patient, then this testing will be performed by the specialist gastroenterologist. If the patient has a faecal </w:t>
      </w:r>
      <w:proofErr w:type="spellStart"/>
      <w:r>
        <w:t>calprotectin</w:t>
      </w:r>
      <w:proofErr w:type="spellEnd"/>
      <w:r>
        <w:t xml:space="preserve"> level of &lt;50</w:t>
      </w:r>
      <w:r w:rsidR="00E555A3">
        <w:t xml:space="preserve">, then no action will be taken. The specialist will provide reassurance and return the patient to their GP for management. If the patient has a </w:t>
      </w:r>
      <w:r w:rsidR="00E555A3" w:rsidRPr="00E555A3">
        <w:t xml:space="preserve">faecal </w:t>
      </w:r>
      <w:proofErr w:type="spellStart"/>
      <w:r w:rsidR="00E555A3" w:rsidRPr="00E555A3">
        <w:t>calprotectin</w:t>
      </w:r>
      <w:proofErr w:type="spellEnd"/>
      <w:r w:rsidR="00E555A3" w:rsidRPr="00E555A3">
        <w:t xml:space="preserve"> level </w:t>
      </w:r>
      <w:r w:rsidR="00E555A3">
        <w:t>between 50 and 100, the specialist will re-test the patient in two weeks and reassess the clinical scenario at that time.</w:t>
      </w:r>
      <w:r w:rsidR="00410C16">
        <w:t xml:space="preserve"> </w:t>
      </w:r>
      <w:r w:rsidR="00EB3548" w:rsidRPr="009708D9">
        <w:rPr>
          <w:i/>
        </w:rPr>
        <w:t>Evidence supporting these thresholds would be required in the assessment.</w:t>
      </w:r>
      <w:r w:rsidR="00E555A3" w:rsidRPr="00E555A3">
        <w:t xml:space="preserve"> If the patient has a faecal </w:t>
      </w:r>
      <w:proofErr w:type="spellStart"/>
      <w:r w:rsidR="00E555A3" w:rsidRPr="00E555A3">
        <w:t>calprotectin</w:t>
      </w:r>
      <w:proofErr w:type="spellEnd"/>
      <w:r w:rsidR="00E555A3" w:rsidRPr="00E555A3">
        <w:t xml:space="preserve"> level of</w:t>
      </w:r>
      <w:r w:rsidR="00CF6069">
        <w:t xml:space="preserve"> &gt;</w:t>
      </w:r>
      <w:r w:rsidR="00E555A3">
        <w:t>100, the specialist will undertake further investigations, as per the current clinical pathway.</w:t>
      </w:r>
      <w:r w:rsidR="0016441A">
        <w:t xml:space="preserve"> </w:t>
      </w:r>
      <w:r w:rsidR="004A523A">
        <w:t>The applicant has indicated</w:t>
      </w:r>
      <w:r w:rsidR="00491B76">
        <w:t xml:space="preserve"> that</w:t>
      </w:r>
      <w:r w:rsidR="004A523A">
        <w:t xml:space="preserve"> the cut-off values follow the findings of the </w:t>
      </w:r>
      <w:proofErr w:type="spellStart"/>
      <w:r w:rsidR="004A523A" w:rsidRPr="004A523A">
        <w:t>Pavlidis</w:t>
      </w:r>
      <w:proofErr w:type="spellEnd"/>
      <w:r w:rsidR="004A523A" w:rsidRPr="004A523A">
        <w:t xml:space="preserve"> 2013</w:t>
      </w:r>
      <w:r w:rsidR="004A523A">
        <w:rPr>
          <w:i/>
        </w:rPr>
        <w:t xml:space="preserve"> </w:t>
      </w:r>
      <w:r w:rsidR="004A523A">
        <w:t>study</w:t>
      </w:r>
      <w:r w:rsidR="004A523A">
        <w:rPr>
          <w:i/>
        </w:rPr>
        <w:t xml:space="preserve">, </w:t>
      </w:r>
      <w:r w:rsidR="004A523A">
        <w:t>and that</w:t>
      </w:r>
      <w:r w:rsidR="004A523A" w:rsidRPr="0016441A">
        <w:t xml:space="preserve"> values </w:t>
      </w:r>
      <w:r w:rsidR="004A523A">
        <w:t>in the range &gt;</w:t>
      </w:r>
      <w:r w:rsidR="004A523A" w:rsidRPr="0016441A">
        <w:t>50µg/g &lt;100 µg/g</w:t>
      </w:r>
      <w:r w:rsidR="004A523A">
        <w:t xml:space="preserve"> require further investigation depending on the clinical treatment setting</w:t>
      </w:r>
      <w:r w:rsidR="004A523A" w:rsidRPr="0016441A">
        <w:t>.</w:t>
      </w:r>
    </w:p>
    <w:p w:rsidR="00E555A3" w:rsidRPr="00C863F5" w:rsidRDefault="00FF59B9" w:rsidP="00C863F5">
      <w:r>
        <w:rPr>
          <w:lang w:val="en-US"/>
        </w:rPr>
        <w:lastRenderedPageBreak/>
        <w:t xml:space="preserve">In ideal clinical practice, this </w:t>
      </w:r>
      <w:r w:rsidR="00E555A3" w:rsidRPr="0037688C">
        <w:rPr>
          <w:lang w:val="en-US"/>
        </w:rPr>
        <w:t xml:space="preserve">pathway </w:t>
      </w:r>
      <w:r w:rsidRPr="0037688C">
        <w:rPr>
          <w:lang w:val="en-US"/>
        </w:rPr>
        <w:t>should</w:t>
      </w:r>
      <w:r w:rsidR="00E555A3" w:rsidRPr="0037688C">
        <w:rPr>
          <w:lang w:val="en-US"/>
        </w:rPr>
        <w:t xml:space="preserve"> be used less frequently than the</w:t>
      </w:r>
      <w:r>
        <w:t xml:space="preserve"> </w:t>
      </w:r>
      <w:r>
        <w:rPr>
          <w:lang w:val="en-US"/>
        </w:rPr>
        <w:t>previous pathway</w:t>
      </w:r>
      <w:r w:rsidR="00E555A3" w:rsidRPr="0037688C">
        <w:rPr>
          <w:lang w:val="en-US"/>
        </w:rPr>
        <w:t xml:space="preserve"> where </w:t>
      </w:r>
      <w:r>
        <w:rPr>
          <w:lang w:val="en-US"/>
        </w:rPr>
        <w:t xml:space="preserve">the </w:t>
      </w:r>
      <w:r w:rsidR="00E555A3" w:rsidRPr="0037688C">
        <w:rPr>
          <w:lang w:val="en-US"/>
        </w:rPr>
        <w:t xml:space="preserve">GP </w:t>
      </w:r>
      <w:r>
        <w:rPr>
          <w:lang w:val="en-US"/>
        </w:rPr>
        <w:t>orders</w:t>
      </w:r>
      <w:r w:rsidR="00E555A3" w:rsidRPr="0037688C">
        <w:rPr>
          <w:lang w:val="en-US"/>
        </w:rPr>
        <w:t xml:space="preserve"> </w:t>
      </w:r>
      <w:proofErr w:type="spellStart"/>
      <w:r w:rsidRPr="00FF59B9">
        <w:rPr>
          <w:lang w:val="en-US"/>
        </w:rPr>
        <w:t>faecal</w:t>
      </w:r>
      <w:proofErr w:type="spellEnd"/>
      <w:r w:rsidRPr="00FF59B9">
        <w:rPr>
          <w:lang w:val="en-US"/>
        </w:rPr>
        <w:t xml:space="preserve"> </w:t>
      </w:r>
      <w:proofErr w:type="spellStart"/>
      <w:r w:rsidRPr="00FF59B9">
        <w:rPr>
          <w:lang w:val="en-US"/>
        </w:rPr>
        <w:t>calprotectin</w:t>
      </w:r>
      <w:proofErr w:type="spellEnd"/>
      <w:r w:rsidRPr="00FF59B9">
        <w:rPr>
          <w:lang w:val="en-US"/>
        </w:rPr>
        <w:t xml:space="preserve"> </w:t>
      </w:r>
      <w:r>
        <w:rPr>
          <w:lang w:val="en-US"/>
        </w:rPr>
        <w:t>testing prior to</w:t>
      </w:r>
      <w:r w:rsidR="00E555A3" w:rsidRPr="0037688C">
        <w:rPr>
          <w:lang w:val="en-US"/>
        </w:rPr>
        <w:t xml:space="preserve"> referral</w:t>
      </w:r>
      <w:r>
        <w:rPr>
          <w:lang w:val="en-US"/>
        </w:rPr>
        <w:t xml:space="preserve">, </w:t>
      </w:r>
      <w:r w:rsidR="00E555A3" w:rsidRPr="0037688C">
        <w:rPr>
          <w:lang w:val="en-US"/>
        </w:rPr>
        <w:t xml:space="preserve">unless </w:t>
      </w:r>
      <w:r>
        <w:rPr>
          <w:lang w:val="en-US"/>
        </w:rPr>
        <w:t xml:space="preserve">the </w:t>
      </w:r>
      <w:r w:rsidR="00E555A3" w:rsidRPr="0037688C">
        <w:rPr>
          <w:lang w:val="en-US"/>
        </w:rPr>
        <w:t xml:space="preserve">GP has </w:t>
      </w:r>
      <w:r w:rsidRPr="0037688C">
        <w:rPr>
          <w:lang w:val="en-US"/>
        </w:rPr>
        <w:t>already</w:t>
      </w:r>
      <w:r w:rsidR="00E555A3" w:rsidRPr="0037688C">
        <w:rPr>
          <w:lang w:val="en-US"/>
        </w:rPr>
        <w:t xml:space="preserve"> identified a </w:t>
      </w:r>
      <w:r w:rsidR="00E555A3" w:rsidRPr="00C863F5">
        <w:rPr>
          <w:lang w:val="en-US"/>
        </w:rPr>
        <w:t xml:space="preserve">need to refer based on </w:t>
      </w:r>
      <w:r w:rsidRPr="00C863F5">
        <w:rPr>
          <w:lang w:val="en-US"/>
        </w:rPr>
        <w:t>alarm features.</w:t>
      </w:r>
    </w:p>
    <w:p w:rsidR="00E555A3" w:rsidRPr="00E15135" w:rsidRDefault="00FF59B9" w:rsidP="00E15135">
      <w:r w:rsidRPr="00E15135">
        <w:rPr>
          <w:lang w:val="en-US"/>
        </w:rPr>
        <w:t xml:space="preserve">GESA advises that </w:t>
      </w:r>
      <w:r w:rsidRPr="00E15135">
        <w:t>m</w:t>
      </w:r>
      <w:r w:rsidR="00E555A3" w:rsidRPr="00E15135">
        <w:rPr>
          <w:lang w:val="en-US"/>
        </w:rPr>
        <w:t xml:space="preserve">any </w:t>
      </w:r>
      <w:r w:rsidRPr="00E15135">
        <w:rPr>
          <w:lang w:val="en-US"/>
        </w:rPr>
        <w:t xml:space="preserve">of the </w:t>
      </w:r>
      <w:r w:rsidR="00E555A3" w:rsidRPr="00E15135">
        <w:rPr>
          <w:lang w:val="en-US"/>
        </w:rPr>
        <w:t xml:space="preserve">people referred will not need </w:t>
      </w:r>
      <w:proofErr w:type="spellStart"/>
      <w:r w:rsidRPr="00E15135">
        <w:rPr>
          <w:lang w:val="en-US"/>
        </w:rPr>
        <w:t>faecal</w:t>
      </w:r>
      <w:proofErr w:type="spellEnd"/>
      <w:r w:rsidRPr="00E15135">
        <w:rPr>
          <w:lang w:val="en-US"/>
        </w:rPr>
        <w:t xml:space="preserve"> </w:t>
      </w:r>
      <w:proofErr w:type="spellStart"/>
      <w:r w:rsidRPr="00E15135">
        <w:rPr>
          <w:lang w:val="en-US"/>
        </w:rPr>
        <w:t>calprotectin</w:t>
      </w:r>
      <w:proofErr w:type="spellEnd"/>
      <w:r w:rsidRPr="00E15135">
        <w:rPr>
          <w:lang w:val="en-US"/>
        </w:rPr>
        <w:t xml:space="preserve"> testing</w:t>
      </w:r>
      <w:r w:rsidR="00E555A3" w:rsidRPr="00E15135">
        <w:rPr>
          <w:lang w:val="en-US"/>
        </w:rPr>
        <w:t>, as they will clearly need endoscopic or radiologic investigations</w:t>
      </w:r>
      <w:r w:rsidRPr="00E15135">
        <w:rPr>
          <w:lang w:val="en-US"/>
        </w:rPr>
        <w:t>. However, in</w:t>
      </w:r>
      <w:r w:rsidR="00E555A3" w:rsidRPr="00E15135">
        <w:rPr>
          <w:lang w:val="en-US"/>
        </w:rPr>
        <w:t xml:space="preserve"> </w:t>
      </w:r>
      <w:r w:rsidRPr="00E15135">
        <w:rPr>
          <w:lang w:val="en-US"/>
        </w:rPr>
        <w:t xml:space="preserve">patients aged </w:t>
      </w:r>
      <w:proofErr w:type="gramStart"/>
      <w:r w:rsidRPr="00E15135">
        <w:rPr>
          <w:lang w:val="en-US"/>
        </w:rPr>
        <w:t>under</w:t>
      </w:r>
      <w:proofErr w:type="gramEnd"/>
      <w:r w:rsidRPr="00E15135">
        <w:rPr>
          <w:lang w:val="en-US"/>
        </w:rPr>
        <w:t xml:space="preserve"> 50</w:t>
      </w:r>
      <w:r w:rsidR="00E555A3" w:rsidRPr="00E15135">
        <w:rPr>
          <w:lang w:val="en-US"/>
        </w:rPr>
        <w:t xml:space="preserve"> without alarm features, </w:t>
      </w:r>
      <w:proofErr w:type="spellStart"/>
      <w:r w:rsidRPr="00E15135">
        <w:rPr>
          <w:lang w:val="en-US"/>
        </w:rPr>
        <w:t>faecal</w:t>
      </w:r>
      <w:proofErr w:type="spellEnd"/>
      <w:r w:rsidRPr="00E15135">
        <w:rPr>
          <w:lang w:val="en-US"/>
        </w:rPr>
        <w:t xml:space="preserve"> </w:t>
      </w:r>
      <w:proofErr w:type="spellStart"/>
      <w:r w:rsidRPr="00E15135">
        <w:rPr>
          <w:lang w:val="en-US"/>
        </w:rPr>
        <w:t>calprotectin</w:t>
      </w:r>
      <w:proofErr w:type="spellEnd"/>
      <w:r w:rsidRPr="00E15135">
        <w:rPr>
          <w:lang w:val="en-US"/>
        </w:rPr>
        <w:t xml:space="preserve"> testing</w:t>
      </w:r>
      <w:r w:rsidRPr="00E15135">
        <w:t xml:space="preserve"> </w:t>
      </w:r>
      <w:r w:rsidR="00E555A3" w:rsidRPr="00E15135">
        <w:rPr>
          <w:lang w:val="en-US"/>
        </w:rPr>
        <w:t xml:space="preserve">will allow the </w:t>
      </w:r>
      <w:r w:rsidRPr="00E15135">
        <w:rPr>
          <w:lang w:val="en-US"/>
        </w:rPr>
        <w:t>gastroenterologist</w:t>
      </w:r>
      <w:r w:rsidR="00E555A3" w:rsidRPr="00E15135">
        <w:rPr>
          <w:lang w:val="en-US"/>
        </w:rPr>
        <w:t xml:space="preserve"> to </w:t>
      </w:r>
      <w:r w:rsidRPr="00E15135">
        <w:rPr>
          <w:lang w:val="en-US"/>
        </w:rPr>
        <w:t xml:space="preserve">provide </w:t>
      </w:r>
      <w:r w:rsidR="00E555A3" w:rsidRPr="00E15135">
        <w:rPr>
          <w:lang w:val="en-US"/>
        </w:rPr>
        <w:t>reassu</w:t>
      </w:r>
      <w:r w:rsidRPr="00E15135">
        <w:rPr>
          <w:lang w:val="en-US"/>
        </w:rPr>
        <w:t>rance</w:t>
      </w:r>
      <w:r w:rsidR="00E555A3" w:rsidRPr="00E15135">
        <w:rPr>
          <w:lang w:val="en-US"/>
        </w:rPr>
        <w:t xml:space="preserve"> and send </w:t>
      </w:r>
      <w:r w:rsidR="00C863F5">
        <w:rPr>
          <w:lang w:val="en-US"/>
        </w:rPr>
        <w:t xml:space="preserve">the </w:t>
      </w:r>
      <w:r w:rsidR="00E555A3" w:rsidRPr="00E15135">
        <w:rPr>
          <w:lang w:val="en-US"/>
        </w:rPr>
        <w:t xml:space="preserve">patient back to </w:t>
      </w:r>
      <w:r w:rsidRPr="00E15135">
        <w:rPr>
          <w:lang w:val="en-US"/>
        </w:rPr>
        <w:t xml:space="preserve">the </w:t>
      </w:r>
      <w:r w:rsidR="00E555A3" w:rsidRPr="00E15135">
        <w:rPr>
          <w:lang w:val="en-US"/>
        </w:rPr>
        <w:t>GP without invasive</w:t>
      </w:r>
      <w:r w:rsidRPr="00E15135">
        <w:rPr>
          <w:lang w:val="en-US"/>
        </w:rPr>
        <w:t xml:space="preserve"> and </w:t>
      </w:r>
      <w:r w:rsidR="00E555A3" w:rsidRPr="00E15135">
        <w:rPr>
          <w:lang w:val="en-US"/>
        </w:rPr>
        <w:t>expensive tests.</w:t>
      </w:r>
    </w:p>
    <w:p w:rsidR="004C6895" w:rsidRDefault="004C6895" w:rsidP="004C6895">
      <w:pPr>
        <w:pStyle w:val="Caption"/>
        <w:spacing w:after="240"/>
        <w:rPr>
          <w:lang w:val="en-AU"/>
        </w:rPr>
      </w:pPr>
      <w:bookmarkStart w:id="23" w:name="_Ref415474660"/>
      <w:r w:rsidRPr="008F4C42">
        <w:rPr>
          <w:lang w:val="en-AU"/>
        </w:rPr>
        <w:t xml:space="preserve">Figure </w:t>
      </w:r>
      <w:r w:rsidRPr="008F4C42">
        <w:rPr>
          <w:lang w:val="en-AU"/>
        </w:rPr>
        <w:fldChar w:fldCharType="begin"/>
      </w:r>
      <w:r w:rsidRPr="008F4C42">
        <w:rPr>
          <w:lang w:val="en-AU"/>
        </w:rPr>
        <w:instrText xml:space="preserve"> SEQ Figure \* ARABIC </w:instrText>
      </w:r>
      <w:r w:rsidRPr="008F4C42">
        <w:rPr>
          <w:lang w:val="en-AU"/>
        </w:rPr>
        <w:fldChar w:fldCharType="separate"/>
      </w:r>
      <w:r w:rsidR="00961A66">
        <w:rPr>
          <w:noProof/>
          <w:lang w:val="en-AU"/>
        </w:rPr>
        <w:t>3</w:t>
      </w:r>
      <w:r w:rsidRPr="008F4C42">
        <w:rPr>
          <w:lang w:val="en-AU"/>
        </w:rPr>
        <w:fldChar w:fldCharType="end"/>
      </w:r>
      <w:bookmarkEnd w:id="23"/>
      <w:r w:rsidRPr="008F4C42">
        <w:rPr>
          <w:lang w:val="en-AU"/>
        </w:rPr>
        <w:t xml:space="preserve">: </w:t>
      </w:r>
      <w:r w:rsidR="006C1D5B">
        <w:rPr>
          <w:lang w:val="en-AU"/>
        </w:rPr>
        <w:t xml:space="preserve">Proposed </w:t>
      </w:r>
      <w:r w:rsidR="00AC35B5">
        <w:rPr>
          <w:lang w:val="en-AU"/>
        </w:rPr>
        <w:t>clinical</w:t>
      </w:r>
      <w:r w:rsidR="006C1D5B">
        <w:rPr>
          <w:lang w:val="en-AU"/>
        </w:rPr>
        <w:t xml:space="preserve"> pathway for a patient with abdominal symptoms </w:t>
      </w:r>
      <w:r w:rsidR="0037688C" w:rsidRPr="0037688C">
        <w:rPr>
          <w:lang w:val="en-AU"/>
        </w:rPr>
        <w:t>and bowel habit disturbance &gt;6 weeks</w:t>
      </w:r>
      <w:r w:rsidR="006C1D5B">
        <w:rPr>
          <w:lang w:val="en-AU"/>
        </w:rPr>
        <w:t xml:space="preserve"> – where </w:t>
      </w:r>
      <w:r w:rsidR="00D426D9">
        <w:rPr>
          <w:lang w:val="en-AU"/>
        </w:rPr>
        <w:t xml:space="preserve">a </w:t>
      </w:r>
      <w:r w:rsidR="0037688C">
        <w:rPr>
          <w:lang w:val="en-AU"/>
        </w:rPr>
        <w:t xml:space="preserve">GP has not done FC testing and the </w:t>
      </w:r>
      <w:r w:rsidR="00D426D9">
        <w:rPr>
          <w:lang w:val="en-AU"/>
        </w:rPr>
        <w:t>s</w:t>
      </w:r>
      <w:r w:rsidR="00DF188B">
        <w:rPr>
          <w:lang w:val="en-AU"/>
        </w:rPr>
        <w:t>pecialist performs Point of Care Testing</w:t>
      </w:r>
    </w:p>
    <w:p w:rsidR="004C6895" w:rsidRDefault="0037688C" w:rsidP="0037688C">
      <w:pPr>
        <w:pBdr>
          <w:top w:val="single" w:sz="4" w:space="1" w:color="auto"/>
          <w:left w:val="single" w:sz="4" w:space="4" w:color="auto"/>
          <w:bottom w:val="single" w:sz="4" w:space="1" w:color="auto"/>
          <w:right w:val="single" w:sz="4" w:space="4" w:color="auto"/>
        </w:pBdr>
        <w:spacing w:before="120" w:after="0"/>
      </w:pPr>
      <w:r>
        <w:rPr>
          <w:noProof/>
          <w:lang w:eastAsia="en-AU"/>
        </w:rPr>
        <w:drawing>
          <wp:inline distT="0" distB="0" distL="0" distR="0" wp14:anchorId="1D8D65AD" wp14:editId="5482639B">
            <wp:extent cx="5731510" cy="3151505"/>
            <wp:effectExtent l="0" t="0" r="2540" b="0"/>
            <wp:docPr id="8" name="Picture 8" title="Proposed clinical pathway for a patient with abdominal symptoms and bowel habit disturbance &gt;6 weeks – where a GP has not done FC testing and the specialist performs Point of Care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diagnostic algorithm specialist POC.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151505"/>
                    </a:xfrm>
                    <a:prstGeom prst="rect">
                      <a:avLst/>
                    </a:prstGeom>
                  </pic:spPr>
                </pic:pic>
              </a:graphicData>
            </a:graphic>
          </wp:inline>
        </w:drawing>
      </w:r>
    </w:p>
    <w:p w:rsidR="00066F6C" w:rsidRPr="00B9329D" w:rsidRDefault="00066F6C" w:rsidP="00066F6C">
      <w:pPr>
        <w:spacing w:after="0"/>
        <w:rPr>
          <w:rFonts w:ascii="Arial" w:hAnsi="Arial" w:cs="Arial"/>
          <w:sz w:val="16"/>
          <w:szCs w:val="16"/>
        </w:rPr>
      </w:pPr>
      <w:r w:rsidRPr="00B9329D">
        <w:rPr>
          <w:rFonts w:ascii="Arial" w:hAnsi="Arial" w:cs="Arial"/>
          <w:sz w:val="16"/>
          <w:szCs w:val="16"/>
        </w:rPr>
        <w:t>Algorithm supplied by GESA.</w:t>
      </w:r>
    </w:p>
    <w:p w:rsidR="0037688C" w:rsidRPr="00B9329D" w:rsidRDefault="0037688C" w:rsidP="0037688C">
      <w:pPr>
        <w:spacing w:after="0"/>
        <w:rPr>
          <w:rFonts w:ascii="Arial" w:hAnsi="Arial" w:cs="Arial"/>
          <w:sz w:val="16"/>
          <w:szCs w:val="16"/>
        </w:rPr>
      </w:pPr>
      <w:r w:rsidRPr="00B9329D">
        <w:rPr>
          <w:rFonts w:ascii="Arial" w:hAnsi="Arial" w:cs="Arial"/>
          <w:sz w:val="16"/>
          <w:szCs w:val="16"/>
        </w:rPr>
        <w:t xml:space="preserve">^ </w:t>
      </w:r>
      <w:proofErr w:type="gramStart"/>
      <w:r w:rsidRPr="00B9329D">
        <w:rPr>
          <w:rFonts w:ascii="Arial" w:hAnsi="Arial" w:cs="Arial"/>
          <w:sz w:val="16"/>
          <w:szCs w:val="16"/>
        </w:rPr>
        <w:t>common</w:t>
      </w:r>
      <w:proofErr w:type="gramEnd"/>
      <w:r w:rsidRPr="00B9329D">
        <w:rPr>
          <w:rFonts w:ascii="Arial" w:hAnsi="Arial" w:cs="Arial"/>
          <w:sz w:val="16"/>
          <w:szCs w:val="16"/>
        </w:rPr>
        <w:t xml:space="preserve"> tests FBC, CRP, ESR. GESA advises that GPs should also do </w:t>
      </w:r>
      <w:proofErr w:type="gramStart"/>
      <w:r w:rsidRPr="00B9329D">
        <w:rPr>
          <w:rFonts w:ascii="Arial" w:hAnsi="Arial" w:cs="Arial"/>
          <w:sz w:val="16"/>
          <w:szCs w:val="16"/>
        </w:rPr>
        <w:t>Coeliac</w:t>
      </w:r>
      <w:proofErr w:type="gramEnd"/>
      <w:r w:rsidRPr="00B9329D">
        <w:rPr>
          <w:rFonts w:ascii="Arial" w:hAnsi="Arial" w:cs="Arial"/>
          <w:sz w:val="16"/>
          <w:szCs w:val="16"/>
        </w:rPr>
        <w:t xml:space="preserve"> serology and iron studies if FBC results are suggestive.</w:t>
      </w:r>
    </w:p>
    <w:p w:rsidR="0037688C" w:rsidRPr="00B9329D" w:rsidRDefault="0037688C" w:rsidP="0037688C">
      <w:pPr>
        <w:spacing w:after="0"/>
        <w:rPr>
          <w:rFonts w:ascii="Arial" w:hAnsi="Arial" w:cs="Arial"/>
          <w:sz w:val="16"/>
          <w:szCs w:val="16"/>
        </w:rPr>
      </w:pPr>
      <w:r w:rsidRPr="00B9329D">
        <w:rPr>
          <w:rFonts w:ascii="Arial" w:hAnsi="Arial" w:cs="Arial"/>
          <w:sz w:val="16"/>
          <w:szCs w:val="16"/>
        </w:rPr>
        <w:t xml:space="preserve"># GESA advises that many people are referred because of their level of concern about their symptoms, even in the absence of alarm features or to abnormal bloods. In this situation, the faecal </w:t>
      </w:r>
      <w:proofErr w:type="spellStart"/>
      <w:r w:rsidRPr="00B9329D">
        <w:rPr>
          <w:rFonts w:ascii="Arial" w:hAnsi="Arial" w:cs="Arial"/>
          <w:sz w:val="16"/>
          <w:szCs w:val="16"/>
        </w:rPr>
        <w:t>calprotectin</w:t>
      </w:r>
      <w:proofErr w:type="spellEnd"/>
      <w:r w:rsidRPr="00B9329D">
        <w:rPr>
          <w:rFonts w:ascii="Arial" w:hAnsi="Arial" w:cs="Arial"/>
          <w:sz w:val="16"/>
          <w:szCs w:val="16"/>
        </w:rPr>
        <w:t xml:space="preserve"> test may allay non-specific worry of “missing” something.</w:t>
      </w:r>
    </w:p>
    <w:p w:rsidR="0037688C" w:rsidRPr="00B9329D" w:rsidRDefault="0037688C" w:rsidP="0037688C">
      <w:pPr>
        <w:spacing w:after="0"/>
        <w:rPr>
          <w:rFonts w:ascii="Arial" w:hAnsi="Arial" w:cs="Arial"/>
          <w:sz w:val="16"/>
          <w:szCs w:val="16"/>
        </w:rPr>
      </w:pPr>
      <w:r w:rsidRPr="00B9329D">
        <w:rPr>
          <w:rFonts w:ascii="Arial" w:hAnsi="Arial" w:cs="Arial"/>
          <w:sz w:val="16"/>
          <w:szCs w:val="16"/>
        </w:rPr>
        <w:t xml:space="preserve">@ GESA advises that many people who should be referred are </w:t>
      </w:r>
      <w:r w:rsidRPr="009708D9">
        <w:rPr>
          <w:rFonts w:ascii="Arial" w:hAnsi="Arial" w:cs="Arial"/>
          <w:sz w:val="16"/>
          <w:szCs w:val="16"/>
        </w:rPr>
        <w:t>not, as the</w:t>
      </w:r>
      <w:r w:rsidR="00410C16" w:rsidRPr="009708D9">
        <w:rPr>
          <w:rFonts w:ascii="Arial" w:hAnsi="Arial" w:cs="Arial"/>
          <w:sz w:val="16"/>
          <w:szCs w:val="16"/>
        </w:rPr>
        <w:t xml:space="preserve"> </w:t>
      </w:r>
      <w:r w:rsidRPr="009708D9">
        <w:rPr>
          <w:rFonts w:ascii="Arial" w:hAnsi="Arial" w:cs="Arial"/>
          <w:sz w:val="16"/>
          <w:szCs w:val="16"/>
        </w:rPr>
        <w:t xml:space="preserve">tests </w:t>
      </w:r>
      <w:r w:rsidRPr="00B9329D">
        <w:rPr>
          <w:rFonts w:ascii="Arial" w:hAnsi="Arial" w:cs="Arial"/>
          <w:sz w:val="16"/>
          <w:szCs w:val="16"/>
        </w:rPr>
        <w:t>weren’t ordered, or they and/or the GP did not perceive the severity.</w:t>
      </w:r>
      <w:r w:rsidRPr="00B9329D">
        <w:rPr>
          <w:sz w:val="16"/>
          <w:szCs w:val="16"/>
        </w:rPr>
        <w:t xml:space="preserve"> </w:t>
      </w:r>
      <w:r w:rsidRPr="00B9329D">
        <w:rPr>
          <w:rFonts w:ascii="Arial" w:hAnsi="Arial" w:cs="Arial"/>
          <w:sz w:val="16"/>
          <w:szCs w:val="16"/>
        </w:rPr>
        <w:t xml:space="preserve">In this situation, </w:t>
      </w:r>
      <w:proofErr w:type="spellStart"/>
      <w:r w:rsidRPr="00B9329D">
        <w:rPr>
          <w:rFonts w:ascii="Arial" w:hAnsi="Arial" w:cs="Arial"/>
          <w:sz w:val="16"/>
          <w:szCs w:val="16"/>
        </w:rPr>
        <w:t>calprotectin</w:t>
      </w:r>
      <w:proofErr w:type="spellEnd"/>
      <w:r w:rsidRPr="00B9329D">
        <w:rPr>
          <w:sz w:val="16"/>
          <w:szCs w:val="16"/>
        </w:rPr>
        <w:t xml:space="preserve"> </w:t>
      </w:r>
      <w:r w:rsidRPr="00B9329D">
        <w:rPr>
          <w:rFonts w:ascii="Arial" w:hAnsi="Arial" w:cs="Arial"/>
          <w:sz w:val="16"/>
          <w:szCs w:val="16"/>
        </w:rPr>
        <w:t>may aid in picking up those needing referral.</w:t>
      </w:r>
    </w:p>
    <w:p w:rsidR="0037688C" w:rsidRPr="00B9329D" w:rsidRDefault="0037688C" w:rsidP="0037688C">
      <w:pPr>
        <w:spacing w:after="0" w:line="240" w:lineRule="auto"/>
        <w:rPr>
          <w:sz w:val="16"/>
          <w:szCs w:val="16"/>
        </w:rPr>
      </w:pPr>
      <w:r w:rsidRPr="00B9329D">
        <w:rPr>
          <w:rFonts w:ascii="Arial" w:hAnsi="Arial" w:cs="Arial"/>
          <w:sz w:val="16"/>
          <w:szCs w:val="16"/>
        </w:rPr>
        <w:t>Abbreviations:</w:t>
      </w:r>
      <w:r w:rsidRPr="00B9329D">
        <w:rPr>
          <w:sz w:val="16"/>
          <w:szCs w:val="16"/>
        </w:rPr>
        <w:t xml:space="preserve"> FBC=full blood count; FC = faecal </w:t>
      </w:r>
      <w:proofErr w:type="spellStart"/>
      <w:r w:rsidRPr="00B9329D">
        <w:rPr>
          <w:sz w:val="16"/>
          <w:szCs w:val="16"/>
        </w:rPr>
        <w:t>calprotectin</w:t>
      </w:r>
      <w:proofErr w:type="spellEnd"/>
      <w:r w:rsidRPr="00B9329D">
        <w:rPr>
          <w:sz w:val="16"/>
          <w:szCs w:val="16"/>
        </w:rPr>
        <w:t>; CRP=C-reactive protein; ESR=Erythrocyte sedimentation rate (with or without a stool specimen).</w:t>
      </w:r>
    </w:p>
    <w:p w:rsidR="0037688C" w:rsidRDefault="0037688C" w:rsidP="0037688C">
      <w:pPr>
        <w:spacing w:after="0" w:line="240" w:lineRule="auto"/>
        <w:jc w:val="left"/>
        <w:rPr>
          <w:rFonts w:ascii="Arial" w:hAnsi="Arial" w:cs="Arial"/>
          <w:sz w:val="18"/>
        </w:rPr>
      </w:pPr>
    </w:p>
    <w:p w:rsidR="0037688C" w:rsidRDefault="0037688C" w:rsidP="0037688C">
      <w:pPr>
        <w:spacing w:after="0" w:line="240" w:lineRule="auto"/>
        <w:jc w:val="left"/>
        <w:rPr>
          <w:rFonts w:ascii="Arial" w:hAnsi="Arial" w:cs="Arial"/>
          <w:sz w:val="18"/>
        </w:rPr>
      </w:pPr>
    </w:p>
    <w:p w:rsidR="00E555A3" w:rsidRPr="009708D9" w:rsidRDefault="00E555A3" w:rsidP="00E15135">
      <w:pPr>
        <w:rPr>
          <w:i/>
        </w:rPr>
      </w:pPr>
      <w:r w:rsidRPr="00E15135">
        <w:t>GESA advise</w:t>
      </w:r>
      <w:r w:rsidR="00216967" w:rsidRPr="00E15135">
        <w:t>s</w:t>
      </w:r>
      <w:r w:rsidRPr="00E15135">
        <w:t xml:space="preserve"> that where a test result is indeterminate, and a subsequent re-test is also indeterminate, the patient will be referred to a gastroenterologist who will determine the subsequent course of action</w:t>
      </w:r>
      <w:r w:rsidRPr="009708D9">
        <w:rPr>
          <w:i/>
        </w:rPr>
        <w:t xml:space="preserve">. </w:t>
      </w:r>
      <w:r w:rsidR="00EB3548" w:rsidRPr="009708D9">
        <w:rPr>
          <w:i/>
        </w:rPr>
        <w:t>The definition of an indeterminate result would need to be clarified in the assessment.</w:t>
      </w:r>
    </w:p>
    <w:p w:rsidR="00C946B2" w:rsidRPr="00E15135" w:rsidRDefault="00E555A3" w:rsidP="00E15135">
      <w:r w:rsidRPr="00E15135">
        <w:t xml:space="preserve">GESA suggests using the threshold of either &lt;30 or &lt;50 for the best negative predictive value. These values will need to be substantiated with evidence from the literature during the systematic review of evidence. </w:t>
      </w:r>
      <w:r w:rsidR="00486394">
        <w:t>Data relating to the predictive value of the assay at different ages is required in view of the varying incidences of IBD and likely impact of confounding diseases.</w:t>
      </w:r>
    </w:p>
    <w:p w:rsidR="00296765" w:rsidRDefault="00296765">
      <w:pPr>
        <w:spacing w:after="0" w:line="240" w:lineRule="auto"/>
        <w:jc w:val="left"/>
        <w:rPr>
          <w:color w:val="41A7BF"/>
        </w:rPr>
      </w:pPr>
      <w:r>
        <w:br w:type="page"/>
      </w:r>
    </w:p>
    <w:p w:rsidR="00C946B2" w:rsidRDefault="00C946B2" w:rsidP="00C946B2">
      <w:pPr>
        <w:pStyle w:val="Heading3"/>
        <w:rPr>
          <w:highlight w:val="yellow"/>
        </w:rPr>
      </w:pPr>
      <w:r>
        <w:lastRenderedPageBreak/>
        <w:t xml:space="preserve">Faecal </w:t>
      </w:r>
      <w:proofErr w:type="spellStart"/>
      <w:r>
        <w:t>calprotectin</w:t>
      </w:r>
      <w:proofErr w:type="spellEnd"/>
      <w:r w:rsidRPr="00145D14">
        <w:t xml:space="preserve"> test </w:t>
      </w:r>
      <w:r>
        <w:t>for</w:t>
      </w:r>
      <w:r w:rsidRPr="00145D14">
        <w:t xml:space="preserve"> </w:t>
      </w:r>
      <w:r w:rsidRPr="00C946B2">
        <w:t xml:space="preserve">monitoring patients with </w:t>
      </w:r>
      <w:r w:rsidR="00C863F5">
        <w:t xml:space="preserve">known </w:t>
      </w:r>
      <w:r w:rsidRPr="00C946B2">
        <w:t>IBD</w:t>
      </w:r>
    </w:p>
    <w:p w:rsidR="002D48C6" w:rsidRDefault="002D48C6" w:rsidP="00E15135">
      <w:pPr>
        <w:pStyle w:val="Heading4"/>
        <w:numPr>
          <w:ilvl w:val="3"/>
          <w:numId w:val="50"/>
        </w:numPr>
      </w:pPr>
      <w:r>
        <w:t>Current clinical pathway</w:t>
      </w:r>
    </w:p>
    <w:p w:rsidR="00ED0BC0" w:rsidRPr="009708D9" w:rsidRDefault="00593541" w:rsidP="00593541">
      <w:r w:rsidRPr="009708D9">
        <w:t>The c</w:t>
      </w:r>
      <w:r w:rsidR="00ED0BC0" w:rsidRPr="009708D9">
        <w:t xml:space="preserve">urrent clinical pathway for </w:t>
      </w:r>
      <w:r w:rsidRPr="009708D9">
        <w:t xml:space="preserve">GP </w:t>
      </w:r>
      <w:r w:rsidR="00ED0BC0" w:rsidRPr="009708D9">
        <w:t xml:space="preserve">monitoring </w:t>
      </w:r>
      <w:r w:rsidRPr="009708D9">
        <w:t xml:space="preserve">of </w:t>
      </w:r>
      <w:r w:rsidR="00ED0BC0" w:rsidRPr="009708D9">
        <w:t xml:space="preserve">a patient diagnosed with IBD </w:t>
      </w:r>
      <w:r w:rsidRPr="009708D9">
        <w:t xml:space="preserve">is presented in </w:t>
      </w:r>
      <w:r w:rsidR="00ED0BC0" w:rsidRPr="009708D9">
        <w:fldChar w:fldCharType="begin"/>
      </w:r>
      <w:r w:rsidR="00ED0BC0" w:rsidRPr="009708D9">
        <w:instrText xml:space="preserve"> REF _Ref415474613 \h </w:instrText>
      </w:r>
      <w:r w:rsidR="00557BC8" w:rsidRPr="009708D9">
        <w:instrText xml:space="preserve"> \* MERGEFORMAT </w:instrText>
      </w:r>
      <w:r w:rsidR="00ED0BC0" w:rsidRPr="009708D9">
        <w:fldChar w:fldCharType="separate"/>
      </w:r>
      <w:r w:rsidR="00961A66" w:rsidRPr="008F4C42">
        <w:t xml:space="preserve">Figure </w:t>
      </w:r>
      <w:r w:rsidR="00961A66">
        <w:rPr>
          <w:noProof/>
        </w:rPr>
        <w:t>4</w:t>
      </w:r>
      <w:r w:rsidR="00ED0BC0" w:rsidRPr="009708D9">
        <w:fldChar w:fldCharType="end"/>
      </w:r>
      <w:r w:rsidRPr="009708D9">
        <w:t>. This pathway is based on the current Australian guidelines for GPs and physicians for the management of Inflammatory Bowel Disease which were developed by GESA (2013)</w:t>
      </w:r>
      <w:r w:rsidR="007B44BA" w:rsidRPr="009708D9">
        <w:t xml:space="preserve"> and direct advice from GESA</w:t>
      </w:r>
      <w:r w:rsidRPr="009708D9">
        <w:t>. IBD patients who are not on immunosuppressive therapies will be assessed annually by their GP, including a clinical history and blood and biochemistry testing</w:t>
      </w:r>
      <w:r w:rsidR="00F72CDD" w:rsidRPr="009708D9">
        <w:t xml:space="preserve">. </w:t>
      </w:r>
      <w:r w:rsidRPr="009708D9">
        <w:t xml:space="preserve">IBD patients on immunosuppressive therapies will undergo blood </w:t>
      </w:r>
      <w:r w:rsidR="007B44BA" w:rsidRPr="009708D9">
        <w:t xml:space="preserve">and biochemistry </w:t>
      </w:r>
      <w:r w:rsidRPr="009708D9">
        <w:t>tests every 3 months and have a formal evaluation with their GP every 6 months.</w:t>
      </w:r>
      <w:r w:rsidR="00F72CDD" w:rsidRPr="009708D9">
        <w:t xml:space="preserve"> For either group, if the patient has had symptomatic periods in the prior year or their test results are concerning, the GP </w:t>
      </w:r>
      <w:r w:rsidR="007B44BA" w:rsidRPr="009708D9">
        <w:t>will refer the patient to a specialist for immediate review</w:t>
      </w:r>
      <w:r w:rsidR="00F72CDD" w:rsidRPr="009708D9">
        <w:t>.</w:t>
      </w:r>
    </w:p>
    <w:p w:rsidR="00D43C64" w:rsidRPr="009708D9" w:rsidRDefault="00D43C64" w:rsidP="00E15135">
      <w:r w:rsidRPr="009708D9">
        <w:t>GESA advises that IBD patients on Immunosuppression are recommended to be under specialist care and to have a review 3-6 monthly with the specialist, although this can be shared with the GP by agreement.</w:t>
      </w:r>
    </w:p>
    <w:p w:rsidR="00ED0BC0" w:rsidRPr="00145D14" w:rsidRDefault="00ED0BC0" w:rsidP="00ED0BC0">
      <w:pPr>
        <w:pStyle w:val="Caption"/>
        <w:spacing w:after="240"/>
        <w:rPr>
          <w:lang w:val="en-AU"/>
        </w:rPr>
      </w:pPr>
      <w:bookmarkStart w:id="24" w:name="_Ref415474613"/>
      <w:r w:rsidRPr="008F4C42">
        <w:rPr>
          <w:lang w:val="en-AU"/>
        </w:rPr>
        <w:t xml:space="preserve">Figure </w:t>
      </w:r>
      <w:r w:rsidRPr="008F4C42">
        <w:rPr>
          <w:lang w:val="en-AU"/>
        </w:rPr>
        <w:fldChar w:fldCharType="begin"/>
      </w:r>
      <w:r w:rsidRPr="008F4C42">
        <w:rPr>
          <w:lang w:val="en-AU"/>
        </w:rPr>
        <w:instrText xml:space="preserve"> SEQ Figure \* ARABIC </w:instrText>
      </w:r>
      <w:r w:rsidRPr="008F4C42">
        <w:rPr>
          <w:lang w:val="en-AU"/>
        </w:rPr>
        <w:fldChar w:fldCharType="separate"/>
      </w:r>
      <w:r w:rsidR="00961A66">
        <w:rPr>
          <w:noProof/>
          <w:lang w:val="en-AU"/>
        </w:rPr>
        <w:t>4</w:t>
      </w:r>
      <w:r w:rsidRPr="008F4C42">
        <w:rPr>
          <w:lang w:val="en-AU"/>
        </w:rPr>
        <w:fldChar w:fldCharType="end"/>
      </w:r>
      <w:bookmarkEnd w:id="24"/>
      <w:r w:rsidRPr="008F4C42">
        <w:rPr>
          <w:lang w:val="en-AU"/>
        </w:rPr>
        <w:t xml:space="preserve">: Current clinical </w:t>
      </w:r>
      <w:r w:rsidR="00AC35B5">
        <w:rPr>
          <w:lang w:val="en-AU"/>
        </w:rPr>
        <w:t>pathway</w:t>
      </w:r>
      <w:r w:rsidRPr="00145D14">
        <w:rPr>
          <w:lang w:val="en-AU"/>
        </w:rPr>
        <w:t xml:space="preserve"> </w:t>
      </w:r>
      <w:r>
        <w:rPr>
          <w:lang w:val="en-AU"/>
        </w:rPr>
        <w:t>for GP monitoring of IBD patients</w:t>
      </w:r>
    </w:p>
    <w:p w:rsidR="00ED0BC0" w:rsidRDefault="007B44BA" w:rsidP="00593541">
      <w:pPr>
        <w:pBdr>
          <w:top w:val="single" w:sz="4" w:space="1" w:color="auto"/>
          <w:left w:val="single" w:sz="4" w:space="4" w:color="auto"/>
          <w:bottom w:val="single" w:sz="4" w:space="1" w:color="auto"/>
          <w:right w:val="single" w:sz="4" w:space="4" w:color="auto"/>
        </w:pBdr>
        <w:spacing w:before="120" w:after="120" w:line="276" w:lineRule="auto"/>
        <w:jc w:val="center"/>
        <w:rPr>
          <w:highlight w:val="yellow"/>
        </w:rPr>
      </w:pPr>
      <w:r>
        <w:rPr>
          <w:noProof/>
          <w:lang w:eastAsia="en-AU"/>
        </w:rPr>
        <w:drawing>
          <wp:inline distT="0" distB="0" distL="0" distR="0" wp14:anchorId="77594D34" wp14:editId="37F3BCAD">
            <wp:extent cx="3931920" cy="4077546"/>
            <wp:effectExtent l="0" t="0" r="0" b="0"/>
            <wp:docPr id="9" name="Picture 9" title="Current clinical pathway for GP monitoring of IB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GP IBD management algorithm.jpg"/>
                    <pic:cNvPicPr/>
                  </pic:nvPicPr>
                  <pic:blipFill>
                    <a:blip r:embed="rId12">
                      <a:extLst>
                        <a:ext uri="{28A0092B-C50C-407E-A947-70E740481C1C}">
                          <a14:useLocalDpi xmlns:a14="http://schemas.microsoft.com/office/drawing/2010/main" val="0"/>
                        </a:ext>
                      </a:extLst>
                    </a:blip>
                    <a:stretch>
                      <a:fillRect/>
                    </a:stretch>
                  </pic:blipFill>
                  <pic:spPr>
                    <a:xfrm>
                      <a:off x="0" y="0"/>
                      <a:ext cx="3930620" cy="4076198"/>
                    </a:xfrm>
                    <a:prstGeom prst="rect">
                      <a:avLst/>
                    </a:prstGeom>
                  </pic:spPr>
                </pic:pic>
              </a:graphicData>
            </a:graphic>
          </wp:inline>
        </w:drawing>
      </w:r>
    </w:p>
    <w:p w:rsidR="007C3B0A" w:rsidRPr="00B9329D" w:rsidRDefault="007C3B0A" w:rsidP="007C3B0A">
      <w:pPr>
        <w:spacing w:after="0" w:line="240" w:lineRule="auto"/>
        <w:rPr>
          <w:sz w:val="16"/>
          <w:szCs w:val="16"/>
        </w:rPr>
      </w:pPr>
      <w:r w:rsidRPr="00B9329D">
        <w:rPr>
          <w:rFonts w:ascii="Arial" w:hAnsi="Arial" w:cs="Arial"/>
          <w:sz w:val="16"/>
          <w:szCs w:val="16"/>
        </w:rPr>
        <w:t>Abbreviations:</w:t>
      </w:r>
      <w:r w:rsidRPr="00B9329D">
        <w:rPr>
          <w:sz w:val="16"/>
          <w:szCs w:val="16"/>
        </w:rPr>
        <w:t xml:space="preserve"> FBC=full blood count; FC = faecal </w:t>
      </w:r>
      <w:proofErr w:type="spellStart"/>
      <w:r w:rsidRPr="00B9329D">
        <w:rPr>
          <w:sz w:val="16"/>
          <w:szCs w:val="16"/>
        </w:rPr>
        <w:t>calprotectin</w:t>
      </w:r>
      <w:proofErr w:type="spellEnd"/>
      <w:r w:rsidRPr="00B9329D">
        <w:rPr>
          <w:sz w:val="16"/>
          <w:szCs w:val="16"/>
        </w:rPr>
        <w:t xml:space="preserve">; </w:t>
      </w:r>
      <w:r w:rsidR="00B1685E" w:rsidRPr="00B9329D">
        <w:rPr>
          <w:sz w:val="16"/>
          <w:szCs w:val="16"/>
        </w:rPr>
        <w:t xml:space="preserve">CD = Crohn's disease; </w:t>
      </w:r>
      <w:r w:rsidRPr="00B9329D">
        <w:rPr>
          <w:sz w:val="16"/>
          <w:szCs w:val="16"/>
        </w:rPr>
        <w:t>CRP=C-reactive protein; ESR=Erythrocyte sedimentation rate (with or without a stool specimen); GP = general practitioner; IBD = inflammatory bowel disease; LFT = liver function tests</w:t>
      </w:r>
      <w:r w:rsidR="00B1685E" w:rsidRPr="00B9329D">
        <w:rPr>
          <w:sz w:val="16"/>
          <w:szCs w:val="16"/>
        </w:rPr>
        <w:t xml:space="preserve">; MBA-20 = Multi Biochemical Analysis 20; UC = ulcerative </w:t>
      </w:r>
      <w:r w:rsidR="00B1685E" w:rsidRPr="00E15135">
        <w:rPr>
          <w:sz w:val="16"/>
          <w:szCs w:val="16"/>
        </w:rPr>
        <w:t>colitis</w:t>
      </w:r>
      <w:r w:rsidRPr="00B9329D">
        <w:rPr>
          <w:sz w:val="16"/>
          <w:szCs w:val="16"/>
        </w:rPr>
        <w:t>.</w:t>
      </w:r>
    </w:p>
    <w:p w:rsidR="00ED0BC0" w:rsidRDefault="00ED0BC0" w:rsidP="00ED0BC0">
      <w:pPr>
        <w:spacing w:after="0" w:line="240" w:lineRule="auto"/>
        <w:jc w:val="left"/>
        <w:rPr>
          <w:highlight w:val="green"/>
        </w:rPr>
      </w:pPr>
    </w:p>
    <w:p w:rsidR="002D48C6" w:rsidRDefault="002D48C6" w:rsidP="00E15135">
      <w:pPr>
        <w:pStyle w:val="Heading4"/>
      </w:pPr>
      <w:r>
        <w:t>Proposed clinical pathway</w:t>
      </w:r>
    </w:p>
    <w:p w:rsidR="007C5A71" w:rsidRDefault="00AC35B5" w:rsidP="00AC35B5">
      <w:r>
        <w:t>The p</w:t>
      </w:r>
      <w:r w:rsidR="00EF46AA" w:rsidRPr="00D426D9">
        <w:t xml:space="preserve">roposed </w:t>
      </w:r>
      <w:r w:rsidR="00EF46AA">
        <w:t>clinical</w:t>
      </w:r>
      <w:r w:rsidR="00EF46AA" w:rsidRPr="00D426D9">
        <w:t xml:space="preserve"> pathway for</w:t>
      </w:r>
      <w:r>
        <w:t xml:space="preserve"> faecal </w:t>
      </w:r>
      <w:proofErr w:type="spellStart"/>
      <w:r w:rsidRPr="00AC35B5">
        <w:t>calprotectin</w:t>
      </w:r>
      <w:proofErr w:type="spellEnd"/>
      <w:r w:rsidRPr="00AC35B5">
        <w:t xml:space="preserve"> testing </w:t>
      </w:r>
      <w:r>
        <w:t>for GP</w:t>
      </w:r>
      <w:r w:rsidR="00EF46AA" w:rsidRPr="00D426D9">
        <w:t xml:space="preserve"> </w:t>
      </w:r>
      <w:r w:rsidR="00EF46AA">
        <w:t xml:space="preserve">monitoring of patients with IBD </w:t>
      </w:r>
      <w:r>
        <w:t xml:space="preserve">is presented in </w:t>
      </w:r>
      <w:r w:rsidR="00EF46AA">
        <w:fldChar w:fldCharType="begin"/>
      </w:r>
      <w:r w:rsidR="00EF46AA">
        <w:instrText xml:space="preserve"> REF _Ref415475703 \h </w:instrText>
      </w:r>
      <w:r w:rsidR="009F2E5E">
        <w:instrText xml:space="preserve"> \* MERGEFORMAT </w:instrText>
      </w:r>
      <w:r w:rsidR="00EF46AA">
        <w:fldChar w:fldCharType="separate"/>
      </w:r>
      <w:r w:rsidR="00961A66" w:rsidRPr="008F4C42">
        <w:t xml:space="preserve">Figure </w:t>
      </w:r>
      <w:r w:rsidR="00961A66">
        <w:rPr>
          <w:noProof/>
        </w:rPr>
        <w:t>5</w:t>
      </w:r>
      <w:r w:rsidR="00EF46AA">
        <w:fldChar w:fldCharType="end"/>
      </w:r>
      <w:r>
        <w:t>.</w:t>
      </w:r>
      <w:r w:rsidR="003E457D">
        <w:t xml:space="preserve"> Under the proposed pathway, </w:t>
      </w:r>
      <w:r w:rsidR="000E0378">
        <w:t xml:space="preserve">patients diagnosed with IBD would have quarterly faecal </w:t>
      </w:r>
      <w:proofErr w:type="spellStart"/>
      <w:r w:rsidR="000E0378">
        <w:t>calprotectin</w:t>
      </w:r>
      <w:proofErr w:type="spellEnd"/>
      <w:r w:rsidR="000E0378">
        <w:t xml:space="preserve"> testing ordered by their GP</w:t>
      </w:r>
      <w:r w:rsidR="00EB3548">
        <w:t>, regardless of whether the patient is on immunosuppression.</w:t>
      </w:r>
      <w:r w:rsidR="000E0378">
        <w:t xml:space="preserve"> </w:t>
      </w:r>
      <w:r w:rsidR="000E0378">
        <w:lastRenderedPageBreak/>
        <w:t xml:space="preserve">If the test result is lower than or equal to previous results, the current management strategy will be continued. </w:t>
      </w:r>
      <w:r w:rsidR="000E0378" w:rsidRPr="000E0378">
        <w:t xml:space="preserve">If the test result is </w:t>
      </w:r>
      <w:r w:rsidR="000E0378">
        <w:t>higher</w:t>
      </w:r>
      <w:r w:rsidR="000E0378" w:rsidRPr="000E0378">
        <w:t xml:space="preserve"> than previous results</w:t>
      </w:r>
      <w:r w:rsidR="000E0378">
        <w:t>, the patient will be referred to a specialist for review.</w:t>
      </w:r>
    </w:p>
    <w:p w:rsidR="004C6895" w:rsidRPr="00145D14" w:rsidRDefault="004C6895" w:rsidP="00EF46AA">
      <w:pPr>
        <w:pStyle w:val="Caption"/>
        <w:spacing w:after="240"/>
        <w:rPr>
          <w:lang w:val="en-AU"/>
        </w:rPr>
      </w:pPr>
      <w:bookmarkStart w:id="25" w:name="_Ref415475703"/>
      <w:r w:rsidRPr="008F4C42">
        <w:rPr>
          <w:lang w:val="en-AU"/>
        </w:rPr>
        <w:t xml:space="preserve">Figure </w:t>
      </w:r>
      <w:r w:rsidRPr="008F4C42">
        <w:rPr>
          <w:lang w:val="en-AU"/>
        </w:rPr>
        <w:fldChar w:fldCharType="begin"/>
      </w:r>
      <w:r w:rsidRPr="008F4C42">
        <w:rPr>
          <w:lang w:val="en-AU"/>
        </w:rPr>
        <w:instrText xml:space="preserve"> SEQ Figure \* ARABIC </w:instrText>
      </w:r>
      <w:r w:rsidRPr="008F4C42">
        <w:rPr>
          <w:lang w:val="en-AU"/>
        </w:rPr>
        <w:fldChar w:fldCharType="separate"/>
      </w:r>
      <w:r w:rsidR="00961A66">
        <w:rPr>
          <w:noProof/>
          <w:lang w:val="en-AU"/>
        </w:rPr>
        <w:t>5</w:t>
      </w:r>
      <w:r w:rsidRPr="008F4C42">
        <w:rPr>
          <w:lang w:val="en-AU"/>
        </w:rPr>
        <w:fldChar w:fldCharType="end"/>
      </w:r>
      <w:bookmarkEnd w:id="25"/>
      <w:r w:rsidRPr="008F4C42">
        <w:rPr>
          <w:lang w:val="en-AU"/>
        </w:rPr>
        <w:t xml:space="preserve">: </w:t>
      </w:r>
      <w:r w:rsidR="003E457D">
        <w:rPr>
          <w:lang w:val="en-AU"/>
        </w:rPr>
        <w:t>Proposed c</w:t>
      </w:r>
      <w:r w:rsidRPr="008F4C42">
        <w:rPr>
          <w:lang w:val="en-AU"/>
        </w:rPr>
        <w:t xml:space="preserve">linical </w:t>
      </w:r>
      <w:r w:rsidR="00AC35B5">
        <w:rPr>
          <w:lang w:val="en-AU"/>
        </w:rPr>
        <w:t>pathway</w:t>
      </w:r>
      <w:r w:rsidRPr="00145D14">
        <w:rPr>
          <w:lang w:val="en-AU"/>
        </w:rPr>
        <w:t xml:space="preserve"> </w:t>
      </w:r>
      <w:r w:rsidR="00EF46AA">
        <w:rPr>
          <w:lang w:val="en-AU"/>
        </w:rPr>
        <w:t>for</w:t>
      </w:r>
      <w:r w:rsidR="003E457D">
        <w:rPr>
          <w:lang w:val="en-AU"/>
        </w:rPr>
        <w:t xml:space="preserve"> GP</w:t>
      </w:r>
      <w:r w:rsidR="00EF46AA">
        <w:rPr>
          <w:lang w:val="en-AU"/>
        </w:rPr>
        <w:t xml:space="preserve"> monitoring of patients with IBD </w:t>
      </w:r>
    </w:p>
    <w:p w:rsidR="004C6895" w:rsidRDefault="000E0378" w:rsidP="00AC35B5">
      <w:pPr>
        <w:pStyle w:val="NoSpacing"/>
        <w:pBdr>
          <w:top w:val="single" w:sz="4" w:space="1" w:color="auto"/>
          <w:left w:val="single" w:sz="4" w:space="4" w:color="auto"/>
          <w:bottom w:val="single" w:sz="4" w:space="1" w:color="auto"/>
          <w:right w:val="single" w:sz="4" w:space="4" w:color="auto"/>
        </w:pBdr>
        <w:jc w:val="center"/>
        <w:rPr>
          <w:rFonts w:ascii="Arial Narrow" w:hAnsi="Arial Narrow"/>
          <w:sz w:val="20"/>
          <w:lang w:val="en-AU"/>
        </w:rPr>
      </w:pPr>
      <w:r>
        <w:rPr>
          <w:rFonts w:ascii="Arial Narrow" w:hAnsi="Arial Narrow"/>
          <w:noProof/>
          <w:sz w:val="20"/>
          <w:lang w:val="en-AU" w:eastAsia="en-AU"/>
        </w:rPr>
        <w:drawing>
          <wp:inline distT="0" distB="0" distL="0" distR="0" wp14:anchorId="74387988" wp14:editId="359B4154">
            <wp:extent cx="3566160" cy="2896431"/>
            <wp:effectExtent l="0" t="0" r="0" b="0"/>
            <wp:docPr id="10" name="Picture 10" title="Proposed clinical pathway for GP monitoring of patients with IB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GP IBD management algorithm.jpg"/>
                    <pic:cNvPicPr/>
                  </pic:nvPicPr>
                  <pic:blipFill>
                    <a:blip r:embed="rId13">
                      <a:extLst>
                        <a:ext uri="{28A0092B-C50C-407E-A947-70E740481C1C}">
                          <a14:useLocalDpi xmlns:a14="http://schemas.microsoft.com/office/drawing/2010/main" val="0"/>
                        </a:ext>
                      </a:extLst>
                    </a:blip>
                    <a:stretch>
                      <a:fillRect/>
                    </a:stretch>
                  </pic:blipFill>
                  <pic:spPr>
                    <a:xfrm>
                      <a:off x="0" y="0"/>
                      <a:ext cx="3569024" cy="2898757"/>
                    </a:xfrm>
                    <a:prstGeom prst="rect">
                      <a:avLst/>
                    </a:prstGeom>
                  </pic:spPr>
                </pic:pic>
              </a:graphicData>
            </a:graphic>
          </wp:inline>
        </w:drawing>
      </w:r>
    </w:p>
    <w:p w:rsidR="00AC35B5" w:rsidRDefault="00AC35B5" w:rsidP="00AC35B5">
      <w:pPr>
        <w:spacing w:after="0" w:line="240" w:lineRule="auto"/>
        <w:jc w:val="left"/>
      </w:pPr>
    </w:p>
    <w:p w:rsidR="00AC35B5" w:rsidRPr="00E15135" w:rsidRDefault="002D48C6" w:rsidP="00E15135">
      <w:r w:rsidRPr="00E15135">
        <w:t xml:space="preserve">A </w:t>
      </w:r>
      <w:r w:rsidR="00AC35B5" w:rsidRPr="00E15135">
        <w:t xml:space="preserve">variety of values for predicting relapse are used in the literature (e.g. </w:t>
      </w:r>
      <w:proofErr w:type="spellStart"/>
      <w:r w:rsidR="00AC35B5" w:rsidRPr="00E15135">
        <w:t>D’Haens</w:t>
      </w:r>
      <w:proofErr w:type="spellEnd"/>
      <w:r w:rsidR="00AC35B5" w:rsidRPr="00E15135">
        <w:t xml:space="preserve"> 2012; Naismith 2014), with different values used for POCT and the lab-based test (see, e.g. Ortega 2013). GESA advises that there is currently no data suggesting a specific cut-off value but note that a normal value (&lt;30 or &lt;50) indicates remission. </w:t>
      </w:r>
      <w:r>
        <w:t>They</w:t>
      </w:r>
      <w:r w:rsidRPr="00E15135">
        <w:t xml:space="preserve"> </w:t>
      </w:r>
      <w:r w:rsidR="00AC35B5" w:rsidRPr="00E15135">
        <w:t>suggest that because rising value suggests relapse</w:t>
      </w:r>
      <w:r>
        <w:t>,</w:t>
      </w:r>
      <w:r w:rsidR="00AC35B5" w:rsidRPr="00E15135">
        <w:t xml:space="preserve"> while a falling value shows a decrease in inflammation, trend over time </w:t>
      </w:r>
      <w:r>
        <w:t>may be</w:t>
      </w:r>
      <w:r w:rsidRPr="00E15135">
        <w:t xml:space="preserve"> </w:t>
      </w:r>
      <w:r w:rsidR="00AC35B5" w:rsidRPr="00E15135">
        <w:t xml:space="preserve">more informative. </w:t>
      </w:r>
    </w:p>
    <w:p w:rsidR="000E0378" w:rsidRPr="00E15135" w:rsidRDefault="00AC35B5" w:rsidP="00E15135">
      <w:r w:rsidRPr="00E15135">
        <w:t xml:space="preserve">The Applicant advises that in therapy monitoring, they </w:t>
      </w:r>
      <w:r w:rsidR="002D48C6">
        <w:t>suggest</w:t>
      </w:r>
      <w:r w:rsidR="002D48C6" w:rsidRPr="00E15135">
        <w:t xml:space="preserve"> </w:t>
      </w:r>
      <w:r w:rsidRPr="00E15135">
        <w:t xml:space="preserve">the following values: &lt;100 as healthy, 100-300 as normal and &gt;300 as high with an elevated risk of relapse. These discrepancies </w:t>
      </w:r>
      <w:r w:rsidR="002D48C6">
        <w:t xml:space="preserve">will </w:t>
      </w:r>
      <w:r w:rsidRPr="00E15135">
        <w:t>need to be reconciled</w:t>
      </w:r>
      <w:r w:rsidR="002D48C6">
        <w:t xml:space="preserve"> based on the evidence reviewed during the development of the assessment</w:t>
      </w:r>
      <w:r w:rsidRPr="00E15135">
        <w:t>.</w:t>
      </w:r>
    </w:p>
    <w:p w:rsidR="000E0378" w:rsidRDefault="000E0378" w:rsidP="000E0378">
      <w:r w:rsidRPr="000E0378">
        <w:t>The proposed</w:t>
      </w:r>
      <w:r w:rsidR="00AC35B5" w:rsidRPr="000E0378">
        <w:t xml:space="preserve"> </w:t>
      </w:r>
      <w:r w:rsidRPr="000E0378">
        <w:t xml:space="preserve">clinical pathway for faecal </w:t>
      </w:r>
      <w:proofErr w:type="spellStart"/>
      <w:r w:rsidRPr="000E0378">
        <w:t>calprotectin</w:t>
      </w:r>
      <w:proofErr w:type="spellEnd"/>
      <w:r w:rsidRPr="000E0378">
        <w:t xml:space="preserve"> testing for </w:t>
      </w:r>
      <w:r>
        <w:t>specialist</w:t>
      </w:r>
      <w:r w:rsidRPr="000E0378">
        <w:t xml:space="preserve"> monitoring of patients with IBD is presented in</w:t>
      </w:r>
      <w:r w:rsidRPr="000E0378">
        <w:rPr>
          <w:b/>
          <w:bCs/>
          <w:color w:val="215868"/>
          <w:sz w:val="24"/>
          <w:szCs w:val="32"/>
        </w:rPr>
        <w:t xml:space="preserve"> </w:t>
      </w:r>
      <w:r w:rsidR="00B9329D" w:rsidRPr="00432586">
        <w:fldChar w:fldCharType="begin"/>
      </w:r>
      <w:r w:rsidR="00B9329D" w:rsidRPr="00432586">
        <w:instrText xml:space="preserve"> REF _Ref432075374 \h </w:instrText>
      </w:r>
      <w:r w:rsidR="00432586">
        <w:instrText xml:space="preserve"> \* MERGEFORMAT </w:instrText>
      </w:r>
      <w:r w:rsidR="00B9329D" w:rsidRPr="00432586">
        <w:fldChar w:fldCharType="separate"/>
      </w:r>
      <w:r w:rsidR="00961A66" w:rsidRPr="008F4C42">
        <w:t xml:space="preserve">Figure </w:t>
      </w:r>
      <w:r w:rsidR="00961A66">
        <w:t>6</w:t>
      </w:r>
      <w:r w:rsidR="00B9329D" w:rsidRPr="00432586">
        <w:fldChar w:fldCharType="end"/>
      </w:r>
      <w:r w:rsidR="00B9329D" w:rsidRPr="00432586">
        <w:t>.</w:t>
      </w:r>
      <w:r w:rsidR="00432586">
        <w:t xml:space="preserve"> Under the proposed clinical pathway, patients will undergo regular faecal </w:t>
      </w:r>
      <w:proofErr w:type="spellStart"/>
      <w:r w:rsidR="00432586">
        <w:t>calprotectin</w:t>
      </w:r>
      <w:proofErr w:type="spellEnd"/>
      <w:r w:rsidR="00432586">
        <w:t xml:space="preserve"> testing, with the frequency of testing based on the patient’s current disease status. Patients with a </w:t>
      </w:r>
      <w:r w:rsidR="00432586" w:rsidRPr="000E0378">
        <w:t xml:space="preserve">faecal </w:t>
      </w:r>
      <w:proofErr w:type="spellStart"/>
      <w:r w:rsidR="00432586" w:rsidRPr="000E0378">
        <w:t>calprotectin</w:t>
      </w:r>
      <w:proofErr w:type="spellEnd"/>
      <w:r w:rsidR="00432586">
        <w:t xml:space="preserve"> level below 200 and stable disease would have no change to their treatment. </w:t>
      </w:r>
      <w:r w:rsidR="00432586" w:rsidRPr="00432586">
        <w:t xml:space="preserve">Patients with a faecal </w:t>
      </w:r>
      <w:proofErr w:type="spellStart"/>
      <w:r w:rsidR="00432586">
        <w:t>calprotectin</w:t>
      </w:r>
      <w:proofErr w:type="spellEnd"/>
      <w:r w:rsidR="00432586">
        <w:t xml:space="preserve"> level below 200, but where the level is rising would be re-tested in two weeks or may undergo other investigative procedures, including endoscopy, colonoscopy, or radiology. Patients </w:t>
      </w:r>
      <w:r w:rsidR="00432586" w:rsidRPr="00432586">
        <w:t xml:space="preserve">with a faecal </w:t>
      </w:r>
      <w:proofErr w:type="spellStart"/>
      <w:r w:rsidR="00432586">
        <w:t>calprotectin</w:t>
      </w:r>
      <w:proofErr w:type="spellEnd"/>
      <w:r w:rsidR="00432586">
        <w:t xml:space="preserve"> level</w:t>
      </w:r>
      <w:r w:rsidR="00636980">
        <w:t xml:space="preserve"> above 200 will </w:t>
      </w:r>
      <w:r w:rsidR="00636980" w:rsidRPr="00636980">
        <w:t>undergo other investigative procedures, including endoscopy, colonoscopy, or radiology.</w:t>
      </w:r>
    </w:p>
    <w:p w:rsidR="00203E9C" w:rsidRPr="00E15135" w:rsidRDefault="00203E9C" w:rsidP="00E15135">
      <w:r w:rsidRPr="00E15135">
        <w:t xml:space="preserve">GESA notes that faecal </w:t>
      </w:r>
      <w:proofErr w:type="spellStart"/>
      <w:r w:rsidRPr="00E15135">
        <w:t>calprotectin</w:t>
      </w:r>
      <w:proofErr w:type="spellEnd"/>
      <w:r w:rsidRPr="00E15135">
        <w:t xml:space="preserve"> testing may also be used to check compliance with increased therapy, as the most common cause of increased disease activity is non-adherence to prescribed medications.</w:t>
      </w:r>
    </w:p>
    <w:p w:rsidR="000E0378" w:rsidRPr="000E0378" w:rsidRDefault="000E0378" w:rsidP="000E0378">
      <w:pPr>
        <w:pStyle w:val="Caption"/>
        <w:spacing w:after="240"/>
        <w:rPr>
          <w:lang w:val="en-AU"/>
        </w:rPr>
      </w:pPr>
      <w:bookmarkStart w:id="26" w:name="_Ref432075374"/>
      <w:r w:rsidRPr="008F4C42">
        <w:rPr>
          <w:lang w:val="en-AU"/>
        </w:rPr>
        <w:lastRenderedPageBreak/>
        <w:t xml:space="preserve">Figure </w:t>
      </w:r>
      <w:r w:rsidRPr="008F4C42">
        <w:rPr>
          <w:lang w:val="en-AU"/>
        </w:rPr>
        <w:fldChar w:fldCharType="begin"/>
      </w:r>
      <w:r w:rsidRPr="008F4C42">
        <w:rPr>
          <w:lang w:val="en-AU"/>
        </w:rPr>
        <w:instrText xml:space="preserve"> SEQ Figure \* ARABIC </w:instrText>
      </w:r>
      <w:r w:rsidRPr="008F4C42">
        <w:rPr>
          <w:lang w:val="en-AU"/>
        </w:rPr>
        <w:fldChar w:fldCharType="separate"/>
      </w:r>
      <w:r w:rsidR="00961A66">
        <w:rPr>
          <w:noProof/>
          <w:lang w:val="en-AU"/>
        </w:rPr>
        <w:t>6</w:t>
      </w:r>
      <w:r w:rsidRPr="008F4C42">
        <w:rPr>
          <w:lang w:val="en-AU"/>
        </w:rPr>
        <w:fldChar w:fldCharType="end"/>
      </w:r>
      <w:bookmarkEnd w:id="26"/>
      <w:r w:rsidRPr="008F4C42">
        <w:rPr>
          <w:lang w:val="en-AU"/>
        </w:rPr>
        <w:t xml:space="preserve">: </w:t>
      </w:r>
      <w:r>
        <w:rPr>
          <w:lang w:val="en-AU"/>
        </w:rPr>
        <w:t>Proposed c</w:t>
      </w:r>
      <w:r w:rsidRPr="008F4C42">
        <w:rPr>
          <w:lang w:val="en-AU"/>
        </w:rPr>
        <w:t xml:space="preserve">linical </w:t>
      </w:r>
      <w:r>
        <w:rPr>
          <w:lang w:val="en-AU"/>
        </w:rPr>
        <w:t>pathway</w:t>
      </w:r>
      <w:r w:rsidRPr="00145D14">
        <w:rPr>
          <w:lang w:val="en-AU"/>
        </w:rPr>
        <w:t xml:space="preserve"> </w:t>
      </w:r>
      <w:r>
        <w:rPr>
          <w:lang w:val="en-AU"/>
        </w:rPr>
        <w:t xml:space="preserve">for specialist monitoring of patients with IBD </w:t>
      </w:r>
    </w:p>
    <w:p w:rsidR="000E0378" w:rsidRDefault="000E0378" w:rsidP="000E0378">
      <w:pPr>
        <w:pBdr>
          <w:top w:val="single" w:sz="4" w:space="1" w:color="auto"/>
          <w:left w:val="single" w:sz="4" w:space="4" w:color="auto"/>
          <w:bottom w:val="single" w:sz="4" w:space="1" w:color="auto"/>
          <w:right w:val="single" w:sz="4" w:space="4" w:color="auto"/>
        </w:pBdr>
        <w:spacing w:after="0"/>
        <w:rPr>
          <w:b/>
          <w:bCs/>
          <w:color w:val="215868"/>
          <w:sz w:val="24"/>
          <w:szCs w:val="32"/>
        </w:rPr>
      </w:pPr>
      <w:r>
        <w:rPr>
          <w:b/>
          <w:bCs/>
          <w:noProof/>
          <w:color w:val="215868"/>
          <w:sz w:val="24"/>
          <w:szCs w:val="32"/>
          <w:lang w:eastAsia="en-AU"/>
        </w:rPr>
        <w:drawing>
          <wp:inline distT="0" distB="0" distL="0" distR="0" wp14:anchorId="5A96BC9D" wp14:editId="63CEC752">
            <wp:extent cx="5731510" cy="3508375"/>
            <wp:effectExtent l="0" t="0" r="2540" b="0"/>
            <wp:docPr id="11" name="Picture 11" title="Proposed clinical pathway for specialist monitoring of patients with IB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specialist IBD management algorithm.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3508375"/>
                    </a:xfrm>
                    <a:prstGeom prst="rect">
                      <a:avLst/>
                    </a:prstGeom>
                  </pic:spPr>
                </pic:pic>
              </a:graphicData>
            </a:graphic>
          </wp:inline>
        </w:drawing>
      </w:r>
    </w:p>
    <w:p w:rsidR="00B9329D" w:rsidRPr="00B9329D" w:rsidRDefault="00B9329D" w:rsidP="00B9329D">
      <w:pPr>
        <w:spacing w:after="0"/>
        <w:rPr>
          <w:rFonts w:ascii="Arial" w:hAnsi="Arial" w:cs="Arial"/>
          <w:sz w:val="16"/>
          <w:szCs w:val="16"/>
        </w:rPr>
      </w:pPr>
      <w:r w:rsidRPr="00B9329D">
        <w:rPr>
          <w:rFonts w:ascii="Arial" w:hAnsi="Arial" w:cs="Arial"/>
          <w:sz w:val="16"/>
          <w:szCs w:val="16"/>
        </w:rPr>
        <w:t>Algorithm supplied by GESA.</w:t>
      </w:r>
    </w:p>
    <w:p w:rsidR="00B9329D" w:rsidRPr="00B9329D" w:rsidRDefault="00B9329D" w:rsidP="00B9329D">
      <w:pPr>
        <w:spacing w:after="0"/>
        <w:rPr>
          <w:rFonts w:ascii="Arial" w:hAnsi="Arial" w:cs="Arial"/>
          <w:sz w:val="16"/>
          <w:szCs w:val="16"/>
        </w:rPr>
      </w:pPr>
      <w:r w:rsidRPr="00B9329D">
        <w:rPr>
          <w:rFonts w:ascii="Arial" w:hAnsi="Arial" w:cs="Arial"/>
          <w:sz w:val="16"/>
          <w:szCs w:val="16"/>
        </w:rPr>
        <w:t>Note: If patients have substantial colonic disease &gt;8 years, they will be having regular colonoscopy as per surveillance guidelines (NHMRC Dec 2011)</w:t>
      </w:r>
    </w:p>
    <w:p w:rsidR="00B9329D" w:rsidRPr="00B9329D" w:rsidRDefault="00B9329D" w:rsidP="00B9329D">
      <w:pPr>
        <w:spacing w:after="0"/>
        <w:rPr>
          <w:rFonts w:ascii="Arial" w:hAnsi="Arial" w:cs="Arial"/>
          <w:sz w:val="16"/>
          <w:szCs w:val="16"/>
        </w:rPr>
      </w:pPr>
      <w:r w:rsidRPr="00B9329D">
        <w:rPr>
          <w:rFonts w:ascii="Arial" w:hAnsi="Arial" w:cs="Arial"/>
          <w:sz w:val="16"/>
          <w:szCs w:val="16"/>
        </w:rPr>
        <w:t xml:space="preserve">* if annual FC done by GP in stable low risk IBD patient, </w:t>
      </w:r>
      <w:r>
        <w:rPr>
          <w:rFonts w:ascii="Arial" w:hAnsi="Arial" w:cs="Arial"/>
          <w:sz w:val="16"/>
          <w:szCs w:val="16"/>
        </w:rPr>
        <w:t xml:space="preserve">the </w:t>
      </w:r>
      <w:r w:rsidRPr="00B9329D">
        <w:rPr>
          <w:rFonts w:ascii="Arial" w:hAnsi="Arial" w:cs="Arial"/>
          <w:sz w:val="16"/>
          <w:szCs w:val="16"/>
        </w:rPr>
        <w:t xml:space="preserve">result must be sent to </w:t>
      </w:r>
      <w:r>
        <w:rPr>
          <w:rFonts w:ascii="Arial" w:hAnsi="Arial" w:cs="Arial"/>
          <w:sz w:val="16"/>
          <w:szCs w:val="16"/>
        </w:rPr>
        <w:t xml:space="preserve">a </w:t>
      </w:r>
      <w:r w:rsidRPr="00B9329D">
        <w:rPr>
          <w:rFonts w:ascii="Arial" w:hAnsi="Arial" w:cs="Arial"/>
          <w:sz w:val="16"/>
          <w:szCs w:val="16"/>
        </w:rPr>
        <w:t>specialist and if in orange or red categorie</w:t>
      </w:r>
      <w:r>
        <w:rPr>
          <w:rFonts w:ascii="Arial" w:hAnsi="Arial" w:cs="Arial"/>
          <w:sz w:val="16"/>
          <w:szCs w:val="16"/>
        </w:rPr>
        <w:t>s, the patient should be reassessed by a gastroenterologist.</w:t>
      </w:r>
    </w:p>
    <w:p w:rsidR="00B9329D" w:rsidRPr="00B9329D" w:rsidRDefault="000E0378" w:rsidP="000E0378">
      <w:pPr>
        <w:rPr>
          <w:rFonts w:ascii="Arial" w:hAnsi="Arial" w:cs="Arial"/>
          <w:sz w:val="16"/>
          <w:szCs w:val="16"/>
        </w:rPr>
      </w:pPr>
      <w:r w:rsidRPr="00B9329D">
        <w:rPr>
          <w:rFonts w:ascii="Arial" w:hAnsi="Arial" w:cs="Arial"/>
          <w:sz w:val="16"/>
          <w:szCs w:val="16"/>
        </w:rPr>
        <w:t>Abbreviations</w:t>
      </w:r>
      <w:r w:rsidR="00B9329D" w:rsidRPr="00B9329D">
        <w:rPr>
          <w:rFonts w:ascii="Arial" w:hAnsi="Arial" w:cs="Arial"/>
          <w:sz w:val="16"/>
          <w:szCs w:val="16"/>
        </w:rPr>
        <w:t xml:space="preserve">: 5ASA = 5-aminosalicylic acid; C = colonoscopy; E = endoscopy; FC = faecal </w:t>
      </w:r>
      <w:proofErr w:type="spellStart"/>
      <w:r w:rsidR="00B9329D" w:rsidRPr="00B9329D">
        <w:rPr>
          <w:rFonts w:ascii="Arial" w:hAnsi="Arial" w:cs="Arial"/>
          <w:sz w:val="16"/>
          <w:szCs w:val="16"/>
        </w:rPr>
        <w:t>calprotectin</w:t>
      </w:r>
      <w:proofErr w:type="spellEnd"/>
      <w:r w:rsidR="00B9329D" w:rsidRPr="00B9329D">
        <w:rPr>
          <w:rFonts w:ascii="Arial" w:hAnsi="Arial" w:cs="Arial"/>
          <w:sz w:val="16"/>
          <w:szCs w:val="16"/>
        </w:rPr>
        <w:t xml:space="preserve">; GP = general practitioner; </w:t>
      </w:r>
      <w:proofErr w:type="spellStart"/>
      <w:proofErr w:type="gramStart"/>
      <w:r w:rsidR="00B9329D" w:rsidRPr="00B9329D">
        <w:rPr>
          <w:rFonts w:ascii="Arial" w:hAnsi="Arial" w:cs="Arial"/>
          <w:sz w:val="16"/>
          <w:szCs w:val="16"/>
        </w:rPr>
        <w:t>Tx</w:t>
      </w:r>
      <w:proofErr w:type="spellEnd"/>
      <w:proofErr w:type="gramEnd"/>
      <w:r w:rsidR="00B9329D" w:rsidRPr="00B9329D">
        <w:rPr>
          <w:rFonts w:ascii="Arial" w:hAnsi="Arial" w:cs="Arial"/>
          <w:sz w:val="16"/>
          <w:szCs w:val="16"/>
        </w:rPr>
        <w:t xml:space="preserve"> = treatment. </w:t>
      </w:r>
    </w:p>
    <w:p w:rsidR="009708D9" w:rsidRPr="009708D9" w:rsidRDefault="009708D9" w:rsidP="009708D9">
      <w:pPr>
        <w:spacing w:after="0"/>
        <w:rPr>
          <w:i/>
        </w:rPr>
      </w:pPr>
      <w:r w:rsidRPr="009708D9">
        <w:rPr>
          <w:i/>
        </w:rPr>
        <w:t>PASC advised that:</w:t>
      </w:r>
    </w:p>
    <w:p w:rsidR="009708D9" w:rsidRPr="009708D9" w:rsidRDefault="009708D9" w:rsidP="009708D9">
      <w:pPr>
        <w:pStyle w:val="ListParagraph"/>
        <w:numPr>
          <w:ilvl w:val="0"/>
          <w:numId w:val="58"/>
        </w:numPr>
        <w:spacing w:after="0"/>
        <w:rPr>
          <w:i/>
        </w:rPr>
      </w:pPr>
      <w:r w:rsidRPr="009708D9">
        <w:rPr>
          <w:i/>
        </w:rPr>
        <w:t>The patient population needs to have clarified that infection must be excluded and there be no “alert” signs/symptoms raising suspicion of cancer.</w:t>
      </w:r>
    </w:p>
    <w:p w:rsidR="009708D9" w:rsidRPr="009708D9" w:rsidRDefault="009708D9" w:rsidP="009708D9">
      <w:pPr>
        <w:pStyle w:val="ListParagraph"/>
        <w:numPr>
          <w:ilvl w:val="0"/>
          <w:numId w:val="58"/>
        </w:numPr>
        <w:spacing w:after="0"/>
        <w:rPr>
          <w:i/>
        </w:rPr>
      </w:pPr>
      <w:r w:rsidRPr="009708D9">
        <w:rPr>
          <w:i/>
        </w:rPr>
        <w:t xml:space="preserve">Patient populations found to be the most efficacious for economic modelling by NICE (IBD vs IBS in adults, IBD vs “other” in children) have not been specifically adopted. </w:t>
      </w:r>
    </w:p>
    <w:p w:rsidR="009708D9" w:rsidRPr="009708D9" w:rsidRDefault="009708D9" w:rsidP="009708D9">
      <w:pPr>
        <w:pStyle w:val="ListParagraph"/>
        <w:numPr>
          <w:ilvl w:val="0"/>
          <w:numId w:val="58"/>
        </w:numPr>
        <w:spacing w:after="0"/>
        <w:rPr>
          <w:i/>
        </w:rPr>
      </w:pPr>
      <w:r w:rsidRPr="009708D9">
        <w:rPr>
          <w:i/>
        </w:rPr>
        <w:t>Data relating to the predictive value of the assay at different ages is required in view of the varying incidences of IBD and likely impact of confounding diseases.</w:t>
      </w:r>
    </w:p>
    <w:p w:rsidR="007252D5" w:rsidRPr="00145D14" w:rsidRDefault="007252D5" w:rsidP="000901A8">
      <w:pPr>
        <w:pStyle w:val="Heading1"/>
      </w:pPr>
      <w:bookmarkStart w:id="27" w:name="_Toc445384041"/>
      <w:r w:rsidRPr="00145D14">
        <w:t>Comparator</w:t>
      </w:r>
      <w:bookmarkEnd w:id="27"/>
    </w:p>
    <w:p w:rsidR="004C1456" w:rsidRPr="009708D9" w:rsidRDefault="004C1456" w:rsidP="004C1456">
      <w:r w:rsidRPr="009708D9">
        <w:t xml:space="preserve">(1) </w:t>
      </w:r>
      <w:r w:rsidR="00427A5B" w:rsidRPr="009708D9">
        <w:t xml:space="preserve">Faecal </w:t>
      </w:r>
      <w:proofErr w:type="spellStart"/>
      <w:r w:rsidR="00AF1EF4" w:rsidRPr="009708D9">
        <w:t>calprotectin</w:t>
      </w:r>
      <w:proofErr w:type="spellEnd"/>
      <w:r w:rsidR="00AF1EF4" w:rsidRPr="009708D9">
        <w:t xml:space="preserve"> </w:t>
      </w:r>
      <w:r w:rsidRPr="009708D9">
        <w:t xml:space="preserve">test for differentiating between </w:t>
      </w:r>
      <w:r w:rsidR="002D48C6" w:rsidRPr="009708D9">
        <w:t>functional and inflammatory bowel disorders</w:t>
      </w:r>
      <w:r w:rsidRPr="009708D9">
        <w:t xml:space="preserve">: </w:t>
      </w:r>
    </w:p>
    <w:p w:rsidR="001E11D8" w:rsidRPr="009708D9" w:rsidRDefault="004C1456" w:rsidP="001E11D8">
      <w:r w:rsidRPr="009708D9">
        <w:t>T</w:t>
      </w:r>
      <w:r w:rsidR="001E11D8" w:rsidRPr="009708D9">
        <w:t xml:space="preserve">he comparator for patients presenting with symptoms suggestive of either </w:t>
      </w:r>
      <w:r w:rsidR="002D48C6" w:rsidRPr="009708D9">
        <w:t>functional or inflammatory bowel disorders</w:t>
      </w:r>
      <w:r w:rsidR="00410C16" w:rsidRPr="009708D9">
        <w:t xml:space="preserve"> </w:t>
      </w:r>
      <w:r w:rsidR="001E11D8" w:rsidRPr="009708D9">
        <w:t>is colonoscopy</w:t>
      </w:r>
      <w:r w:rsidR="002508EB" w:rsidRPr="009708D9">
        <w:t>/endoscopy</w:t>
      </w:r>
      <w:r w:rsidR="00410C16" w:rsidRPr="009708D9">
        <w:t xml:space="preserve"> and biopsy</w:t>
      </w:r>
      <w:r w:rsidR="001E11D8" w:rsidRPr="009708D9">
        <w:t>, which would be performed only once.</w:t>
      </w:r>
      <w:r w:rsidRPr="009708D9">
        <w:t xml:space="preserve"> </w:t>
      </w:r>
    </w:p>
    <w:p w:rsidR="004C1456" w:rsidRPr="009708D9" w:rsidRDefault="004C1456" w:rsidP="004C1456">
      <w:r w:rsidRPr="009708D9">
        <w:t xml:space="preserve">(2) </w:t>
      </w:r>
      <w:r w:rsidR="00427A5B" w:rsidRPr="009708D9">
        <w:t xml:space="preserve">Faecal </w:t>
      </w:r>
      <w:proofErr w:type="spellStart"/>
      <w:r w:rsidR="00AF1EF4" w:rsidRPr="009708D9">
        <w:t>calprotectin</w:t>
      </w:r>
      <w:proofErr w:type="spellEnd"/>
      <w:r w:rsidR="00AF1EF4" w:rsidRPr="009708D9">
        <w:t xml:space="preserve"> </w:t>
      </w:r>
      <w:r w:rsidRPr="009708D9">
        <w:t xml:space="preserve">test for monitoring those patients with </w:t>
      </w:r>
      <w:r w:rsidR="002D48C6" w:rsidRPr="009708D9">
        <w:t xml:space="preserve">known </w:t>
      </w:r>
      <w:r w:rsidRPr="009708D9">
        <w:t xml:space="preserve">IBD: </w:t>
      </w:r>
    </w:p>
    <w:p w:rsidR="00216967" w:rsidRDefault="004C1456" w:rsidP="004C1456">
      <w:r w:rsidRPr="009708D9">
        <w:t xml:space="preserve">The </w:t>
      </w:r>
      <w:r w:rsidR="001E11D8" w:rsidRPr="009708D9">
        <w:t>comparator for monitoring patients with known IBD</w:t>
      </w:r>
      <w:r w:rsidRPr="009708D9">
        <w:t xml:space="preserve"> is</w:t>
      </w:r>
      <w:r w:rsidR="001E11D8" w:rsidRPr="009708D9">
        <w:t xml:space="preserve"> a combination of colonoscopy, </w:t>
      </w:r>
      <w:r w:rsidR="002D48C6" w:rsidRPr="009708D9">
        <w:t>ESR and/or CRP, and radiology (CT +/- MRI).</w:t>
      </w:r>
      <w:r w:rsidR="00216967" w:rsidRPr="009708D9">
        <w:rPr>
          <w:color w:val="FF0000"/>
        </w:rPr>
        <w:t xml:space="preserve"> </w:t>
      </w:r>
      <w:r w:rsidR="00EB3548" w:rsidRPr="009708D9">
        <w:t xml:space="preserve">The </w:t>
      </w:r>
      <w:proofErr w:type="gramStart"/>
      <w:r w:rsidR="00EB3548" w:rsidRPr="009708D9">
        <w:t>frequency of these tests need</w:t>
      </w:r>
      <w:proofErr w:type="gramEnd"/>
      <w:r w:rsidR="00EB3548" w:rsidRPr="009708D9">
        <w:t xml:space="preserve"> to be clarified as each test would not occur on a quarterly basis.</w:t>
      </w:r>
    </w:p>
    <w:p w:rsidR="009708D9" w:rsidRPr="009708D9" w:rsidRDefault="009708D9" w:rsidP="009708D9">
      <w:pPr>
        <w:rPr>
          <w:i/>
        </w:rPr>
      </w:pPr>
      <w:r w:rsidRPr="009708D9">
        <w:rPr>
          <w:i/>
        </w:rPr>
        <w:lastRenderedPageBreak/>
        <w:t xml:space="preserve">PASC noted that the comparator for faecal </w:t>
      </w:r>
      <w:proofErr w:type="spellStart"/>
      <w:r w:rsidRPr="009708D9">
        <w:rPr>
          <w:i/>
        </w:rPr>
        <w:t>calprotectin</w:t>
      </w:r>
      <w:proofErr w:type="spellEnd"/>
      <w:r w:rsidRPr="009708D9">
        <w:rPr>
          <w:i/>
        </w:rPr>
        <w:t xml:space="preserve"> testing in the diagnostic algorithm (IBD vs IBS) was given as colonoscopy.  PASC advised that the comparator should be colonoscopy/endoscopy and biopsy. </w:t>
      </w:r>
    </w:p>
    <w:p w:rsidR="009708D9" w:rsidRPr="009708D9" w:rsidRDefault="009708D9" w:rsidP="009708D9">
      <w:pPr>
        <w:rPr>
          <w:i/>
        </w:rPr>
      </w:pPr>
      <w:r w:rsidRPr="009708D9">
        <w:rPr>
          <w:i/>
        </w:rPr>
        <w:t xml:space="preserve">Determining the comparator for the second patient group (monitoring patients with known IBD) is more problematic. PASC agreed that the comparator would include some combination of colonoscopy (and biopsy), ESR/CPR and imaging (CT/MRI), but these tests would not all be done quarterly as routine monitoring, and some would only be done in the context of a disease flare or complications. </w:t>
      </w:r>
    </w:p>
    <w:p w:rsidR="009708D9" w:rsidRPr="00491B76" w:rsidRDefault="009708D9" w:rsidP="009708D9">
      <w:r w:rsidRPr="009708D9">
        <w:rPr>
          <w:i/>
        </w:rPr>
        <w:t xml:space="preserve">PASC advised that with respect to GP monitoring of IBD patients, the comparator for quarterly monitoring by faecal </w:t>
      </w:r>
      <w:proofErr w:type="spellStart"/>
      <w:r w:rsidRPr="009708D9">
        <w:rPr>
          <w:i/>
        </w:rPr>
        <w:t>calprotectin</w:t>
      </w:r>
      <w:proofErr w:type="spellEnd"/>
      <w:r w:rsidRPr="009708D9">
        <w:rPr>
          <w:i/>
        </w:rPr>
        <w:t xml:space="preserve"> suggested by Figures 4 and 5 would be routine blood tests (FBC/MBA-20, CRP/ESR +/- iron/B12 studies) performed 3-12 monthly depending on clinical circumstance. </w:t>
      </w:r>
      <w:r w:rsidR="00491B76">
        <w:t xml:space="preserve">The Applicant notes that regular pathology monitoring of IBD patients is required. </w:t>
      </w:r>
    </w:p>
    <w:p w:rsidR="009708D9" w:rsidRPr="009708D9" w:rsidRDefault="009708D9" w:rsidP="009708D9">
      <w:pPr>
        <w:rPr>
          <w:i/>
        </w:rPr>
      </w:pPr>
      <w:r w:rsidRPr="009708D9">
        <w:rPr>
          <w:i/>
        </w:rPr>
        <w:t>PASC advised that with respect to specialist monitoring of IBD patients (presumed to be the less stable patients), the comparator would be endoscopy/colonoscopy (and biopsy) +/- CT/MRI. Data on the current utilization of radiology in this cohort of patients would be of assistance in defining the most likely to be replaced comparator and should be sought from specialist bodies.</w:t>
      </w:r>
    </w:p>
    <w:p w:rsidR="007252D5" w:rsidRPr="00145D14" w:rsidRDefault="007252D5" w:rsidP="00E06988">
      <w:pPr>
        <w:pStyle w:val="Heading1"/>
      </w:pPr>
      <w:bookmarkStart w:id="28" w:name="_Toc445384042"/>
      <w:r w:rsidRPr="00145D14">
        <w:t>Clinical claim</w:t>
      </w:r>
      <w:bookmarkEnd w:id="28"/>
    </w:p>
    <w:p w:rsidR="00EC700F" w:rsidRPr="00145D14" w:rsidRDefault="00EC700F" w:rsidP="00E06988">
      <w:pPr>
        <w:keepNext/>
      </w:pPr>
      <w:r w:rsidRPr="00145D14">
        <w:t xml:space="preserve">(1) </w:t>
      </w:r>
      <w:r w:rsidR="00427A5B">
        <w:t xml:space="preserve">Faecal </w:t>
      </w:r>
      <w:proofErr w:type="spellStart"/>
      <w:r w:rsidR="00AF1EF4">
        <w:t>calprotectin</w:t>
      </w:r>
      <w:proofErr w:type="spellEnd"/>
      <w:r w:rsidR="00AF1EF4" w:rsidRPr="00145D14">
        <w:t xml:space="preserve"> </w:t>
      </w:r>
      <w:r w:rsidRPr="00145D14">
        <w:t xml:space="preserve">test </w:t>
      </w:r>
      <w:r>
        <w:t>for</w:t>
      </w:r>
      <w:r w:rsidRPr="00145D14">
        <w:t xml:space="preserve"> differentiating between </w:t>
      </w:r>
      <w:r w:rsidR="002D48C6" w:rsidRPr="002D48C6">
        <w:t>functional and inflammatory bowel disorders</w:t>
      </w:r>
      <w:r w:rsidRPr="00145D14">
        <w:t xml:space="preserve">: </w:t>
      </w:r>
    </w:p>
    <w:p w:rsidR="00EC700F" w:rsidRDefault="00125292" w:rsidP="00E06988">
      <w:pPr>
        <w:keepNext/>
      </w:pPr>
      <w:r w:rsidRPr="00145D14">
        <w:t xml:space="preserve">The claim is that </w:t>
      </w:r>
      <w:r w:rsidR="00EC700F">
        <w:t xml:space="preserve">testing with </w:t>
      </w:r>
      <w:r w:rsidR="00AF1EF4">
        <w:t xml:space="preserve">faecal </w:t>
      </w:r>
      <w:proofErr w:type="spellStart"/>
      <w:r w:rsidR="00AF1EF4">
        <w:t>calprotectin</w:t>
      </w:r>
      <w:proofErr w:type="spellEnd"/>
      <w:r w:rsidR="00AF1EF4">
        <w:t xml:space="preserve"> </w:t>
      </w:r>
      <w:r w:rsidR="00EC700F">
        <w:t xml:space="preserve">is </w:t>
      </w:r>
      <w:r w:rsidR="003B7FA1">
        <w:t xml:space="preserve">cheaper, </w:t>
      </w:r>
      <w:r w:rsidR="00EC700F">
        <w:t>safer</w:t>
      </w:r>
      <w:r w:rsidR="00821CF1">
        <w:t xml:space="preserve"> and more effective</w:t>
      </w:r>
      <w:r w:rsidR="00EC700F">
        <w:t xml:space="preserve"> than the present alternative</w:t>
      </w:r>
      <w:r w:rsidR="003B7FA1">
        <w:t xml:space="preserve"> (performing colonoscopy)</w:t>
      </w:r>
      <w:r w:rsidR="00EC700F">
        <w:t xml:space="preserve">. </w:t>
      </w:r>
      <w:r w:rsidRPr="00145D14">
        <w:t xml:space="preserve">In the event that claims of superior efficacy and safety are supported by the literature, either a cost-utility or a cost-effectiveness analysis would be appropriate, as per </w:t>
      </w:r>
      <w:r w:rsidR="00EC700F">
        <w:fldChar w:fldCharType="begin"/>
      </w:r>
      <w:r w:rsidR="00EC700F">
        <w:instrText xml:space="preserve"> REF _Ref283288109 \h </w:instrText>
      </w:r>
      <w:r w:rsidR="00EC700F">
        <w:fldChar w:fldCharType="separate"/>
      </w:r>
      <w:r w:rsidR="00961A66" w:rsidRPr="00145D14">
        <w:t xml:space="preserve">Table </w:t>
      </w:r>
      <w:r w:rsidR="00961A66">
        <w:rPr>
          <w:noProof/>
        </w:rPr>
        <w:t>6</w:t>
      </w:r>
      <w:r w:rsidR="00EC700F">
        <w:fldChar w:fldCharType="end"/>
      </w:r>
      <w:r w:rsidR="00EC700F">
        <w:t xml:space="preserve">, below. </w:t>
      </w:r>
    </w:p>
    <w:p w:rsidR="00296765" w:rsidRDefault="00296765">
      <w:pPr>
        <w:spacing w:after="0" w:line="240" w:lineRule="auto"/>
        <w:jc w:val="left"/>
      </w:pPr>
      <w:r>
        <w:br w:type="page"/>
      </w:r>
    </w:p>
    <w:p w:rsidR="00EC700F" w:rsidRPr="00145D14" w:rsidRDefault="00EC700F" w:rsidP="00EC700F">
      <w:r w:rsidRPr="00145D14">
        <w:lastRenderedPageBreak/>
        <w:t xml:space="preserve">(2) </w:t>
      </w:r>
      <w:r w:rsidR="00427A5B">
        <w:t xml:space="preserve">Faecal </w:t>
      </w:r>
      <w:proofErr w:type="spellStart"/>
      <w:r w:rsidR="00AF1EF4">
        <w:t>calprotectin</w:t>
      </w:r>
      <w:proofErr w:type="spellEnd"/>
      <w:r w:rsidR="00AF1EF4" w:rsidRPr="00145D14">
        <w:t xml:space="preserve"> </w:t>
      </w:r>
      <w:r w:rsidRPr="00145D14">
        <w:t>test for monitoring those patients w</w:t>
      </w:r>
      <w:r>
        <w:t>ith</w:t>
      </w:r>
      <w:r w:rsidRPr="00145D14">
        <w:t xml:space="preserve"> IBD: </w:t>
      </w:r>
    </w:p>
    <w:p w:rsidR="00EC700F" w:rsidRDefault="00EC700F" w:rsidP="00EC700F">
      <w:r w:rsidRPr="00145D14">
        <w:t xml:space="preserve">The claim is that </w:t>
      </w:r>
      <w:r>
        <w:t xml:space="preserve">testing with </w:t>
      </w:r>
      <w:r w:rsidR="00AF1EF4">
        <w:t xml:space="preserve">faecal </w:t>
      </w:r>
      <w:proofErr w:type="spellStart"/>
      <w:r w:rsidR="00AF1EF4">
        <w:t>calprotectin</w:t>
      </w:r>
      <w:proofErr w:type="spellEnd"/>
      <w:r w:rsidR="00AF1EF4">
        <w:t xml:space="preserve"> </w:t>
      </w:r>
      <w:r>
        <w:t xml:space="preserve">is safer </w:t>
      </w:r>
      <w:r w:rsidR="00821CF1">
        <w:t xml:space="preserve">and more effective </w:t>
      </w:r>
      <w:r>
        <w:t xml:space="preserve">than the present alternative. </w:t>
      </w:r>
      <w:r w:rsidRPr="00145D14">
        <w:t xml:space="preserve">In the event that claims of superior efficacy and safety are supported by the literature, either a cost-utility or a cost-effectiveness analysis would be appropriate, as per </w:t>
      </w:r>
      <w:r>
        <w:fldChar w:fldCharType="begin"/>
      </w:r>
      <w:r>
        <w:instrText xml:space="preserve"> REF _Ref283288109 \h </w:instrText>
      </w:r>
      <w:r>
        <w:fldChar w:fldCharType="separate"/>
      </w:r>
      <w:r w:rsidR="00961A66" w:rsidRPr="00145D14">
        <w:t xml:space="preserve">Table </w:t>
      </w:r>
      <w:r w:rsidR="00961A66">
        <w:rPr>
          <w:noProof/>
        </w:rPr>
        <w:t>6</w:t>
      </w:r>
      <w:r>
        <w:fldChar w:fldCharType="end"/>
      </w:r>
      <w:r>
        <w:t xml:space="preserve">, below. </w:t>
      </w:r>
    </w:p>
    <w:p w:rsidR="007252D5" w:rsidRPr="00145D14" w:rsidRDefault="007252D5" w:rsidP="00A96F9C">
      <w:pPr>
        <w:pStyle w:val="Caption"/>
        <w:rPr>
          <w:lang w:val="en-AU"/>
        </w:rPr>
      </w:pPr>
      <w:bookmarkStart w:id="29" w:name="_Ref283288109"/>
      <w:r w:rsidRPr="00145D14">
        <w:rPr>
          <w:lang w:val="en-AU"/>
        </w:rPr>
        <w:t xml:space="preserve">Table </w:t>
      </w:r>
      <w:r w:rsidR="005009BC" w:rsidRPr="00145D14">
        <w:rPr>
          <w:lang w:val="en-AU"/>
        </w:rPr>
        <w:fldChar w:fldCharType="begin"/>
      </w:r>
      <w:r w:rsidR="005009BC" w:rsidRPr="00145D14">
        <w:rPr>
          <w:lang w:val="en-AU"/>
        </w:rPr>
        <w:instrText xml:space="preserve"> SEQ Table \* ARABIC </w:instrText>
      </w:r>
      <w:r w:rsidR="005009BC" w:rsidRPr="00145D14">
        <w:rPr>
          <w:lang w:val="en-AU"/>
        </w:rPr>
        <w:fldChar w:fldCharType="separate"/>
      </w:r>
      <w:r w:rsidR="00961A66">
        <w:rPr>
          <w:noProof/>
          <w:lang w:val="en-AU"/>
        </w:rPr>
        <w:t>6</w:t>
      </w:r>
      <w:r w:rsidR="005009BC" w:rsidRPr="00145D14">
        <w:rPr>
          <w:noProof/>
          <w:lang w:val="en-AU"/>
        </w:rPr>
        <w:fldChar w:fldCharType="end"/>
      </w:r>
      <w:bookmarkEnd w:id="29"/>
      <w:r w:rsidRPr="00145D14">
        <w:rPr>
          <w:lang w:val="en-AU"/>
        </w:rPr>
        <w:t>:</w:t>
      </w:r>
      <w:r w:rsidRPr="00145D14">
        <w:rPr>
          <w:lang w:val="en-AU"/>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7252D5" w:rsidRPr="00145D14" w:rsidTr="00FE705C">
        <w:tc>
          <w:tcPr>
            <w:tcW w:w="1756" w:type="dxa"/>
            <w:gridSpan w:val="2"/>
            <w:vMerge w:val="restart"/>
          </w:tcPr>
          <w:p w:rsidR="007252D5" w:rsidRPr="00145D14" w:rsidRDefault="007252D5" w:rsidP="00FE705C">
            <w:pPr>
              <w:keepNext/>
              <w:tabs>
                <w:tab w:val="left" w:pos="2835"/>
              </w:tabs>
              <w:spacing w:after="0" w:line="240" w:lineRule="auto"/>
              <w:rPr>
                <w:rFonts w:ascii="Arial Narrow" w:hAnsi="Arial Narrow"/>
                <w:lang w:eastAsia="ja-JP"/>
              </w:rPr>
            </w:pPr>
          </w:p>
        </w:tc>
        <w:tc>
          <w:tcPr>
            <w:tcW w:w="7384" w:type="dxa"/>
            <w:gridSpan w:val="5"/>
          </w:tcPr>
          <w:p w:rsidR="007252D5" w:rsidRPr="00145D14" w:rsidRDefault="007252D5" w:rsidP="00FE705C">
            <w:pPr>
              <w:keepNext/>
              <w:tabs>
                <w:tab w:val="left" w:pos="2835"/>
              </w:tabs>
              <w:spacing w:after="0" w:line="240" w:lineRule="auto"/>
              <w:jc w:val="center"/>
              <w:rPr>
                <w:rFonts w:ascii="Arial Narrow" w:hAnsi="Arial Narrow"/>
                <w:b/>
                <w:lang w:eastAsia="ja-JP"/>
              </w:rPr>
            </w:pPr>
            <w:r w:rsidRPr="00145D14">
              <w:rPr>
                <w:rFonts w:ascii="Arial Narrow" w:hAnsi="Arial Narrow"/>
                <w:b/>
                <w:lang w:eastAsia="ja-JP"/>
              </w:rPr>
              <w:t>Comparative effectiveness versus comparator</w:t>
            </w:r>
          </w:p>
        </w:tc>
      </w:tr>
      <w:tr w:rsidR="007252D5" w:rsidRPr="00145D14" w:rsidTr="00FE705C">
        <w:tc>
          <w:tcPr>
            <w:tcW w:w="1756" w:type="dxa"/>
            <w:gridSpan w:val="2"/>
            <w:vMerge/>
          </w:tcPr>
          <w:p w:rsidR="007252D5" w:rsidRPr="00145D14" w:rsidRDefault="007252D5" w:rsidP="00FE705C">
            <w:pPr>
              <w:keepNext/>
              <w:tabs>
                <w:tab w:val="left" w:pos="2835"/>
              </w:tabs>
              <w:spacing w:after="0" w:line="240" w:lineRule="auto"/>
              <w:rPr>
                <w:rFonts w:ascii="Arial Narrow" w:hAnsi="Arial Narrow"/>
                <w:lang w:eastAsia="ja-JP"/>
              </w:rPr>
            </w:pPr>
          </w:p>
        </w:tc>
        <w:tc>
          <w:tcPr>
            <w:tcW w:w="2560" w:type="dxa"/>
            <w:gridSpan w:val="2"/>
            <w:vAlign w:val="center"/>
          </w:tcPr>
          <w:p w:rsidR="007252D5" w:rsidRPr="00145D14" w:rsidRDefault="007252D5" w:rsidP="00FE705C">
            <w:pPr>
              <w:keepNext/>
              <w:tabs>
                <w:tab w:val="left" w:pos="2835"/>
              </w:tabs>
              <w:spacing w:after="0" w:line="240" w:lineRule="auto"/>
              <w:jc w:val="center"/>
              <w:rPr>
                <w:rFonts w:ascii="Arial Narrow" w:hAnsi="Arial Narrow"/>
                <w:u w:val="single"/>
                <w:lang w:eastAsia="ja-JP"/>
              </w:rPr>
            </w:pPr>
            <w:r w:rsidRPr="00145D14">
              <w:rPr>
                <w:rFonts w:ascii="Arial Narrow" w:hAnsi="Arial Narrow"/>
                <w:u w:val="single"/>
                <w:lang w:eastAsia="ja-JP"/>
              </w:rPr>
              <w:t>Superior</w:t>
            </w:r>
          </w:p>
        </w:tc>
        <w:tc>
          <w:tcPr>
            <w:tcW w:w="2369" w:type="dxa"/>
            <w:vAlign w:val="center"/>
          </w:tcPr>
          <w:p w:rsidR="007252D5" w:rsidRPr="00145D14" w:rsidRDefault="007252D5" w:rsidP="00FE705C">
            <w:pPr>
              <w:keepNext/>
              <w:tabs>
                <w:tab w:val="left" w:pos="2835"/>
              </w:tabs>
              <w:spacing w:after="0" w:line="240" w:lineRule="auto"/>
              <w:jc w:val="center"/>
              <w:rPr>
                <w:rFonts w:ascii="Arial Narrow" w:hAnsi="Arial Narrow"/>
                <w:u w:val="single"/>
                <w:lang w:eastAsia="ja-JP"/>
              </w:rPr>
            </w:pPr>
            <w:r w:rsidRPr="00145D14">
              <w:rPr>
                <w:rFonts w:ascii="Arial Narrow" w:hAnsi="Arial Narrow"/>
                <w:u w:val="single"/>
                <w:lang w:eastAsia="ja-JP"/>
              </w:rPr>
              <w:t>Non-inferior</w:t>
            </w:r>
          </w:p>
        </w:tc>
        <w:tc>
          <w:tcPr>
            <w:tcW w:w="2455" w:type="dxa"/>
            <w:gridSpan w:val="2"/>
            <w:vAlign w:val="center"/>
          </w:tcPr>
          <w:p w:rsidR="007252D5" w:rsidRPr="00145D14" w:rsidRDefault="007252D5" w:rsidP="00FE705C">
            <w:pPr>
              <w:keepNext/>
              <w:tabs>
                <w:tab w:val="left" w:pos="2835"/>
              </w:tabs>
              <w:spacing w:after="0" w:line="240" w:lineRule="auto"/>
              <w:jc w:val="center"/>
              <w:rPr>
                <w:rFonts w:ascii="Arial Narrow" w:hAnsi="Arial Narrow"/>
                <w:u w:val="single"/>
                <w:lang w:eastAsia="ja-JP"/>
              </w:rPr>
            </w:pPr>
            <w:r w:rsidRPr="00145D14">
              <w:rPr>
                <w:rFonts w:ascii="Arial Narrow" w:hAnsi="Arial Narrow"/>
                <w:u w:val="single"/>
                <w:lang w:eastAsia="ja-JP"/>
              </w:rPr>
              <w:t>Inferior</w:t>
            </w:r>
          </w:p>
        </w:tc>
      </w:tr>
      <w:tr w:rsidR="007252D5" w:rsidRPr="00145D14" w:rsidTr="00FE705C">
        <w:trPr>
          <w:cantSplit/>
          <w:trHeight w:val="20"/>
        </w:trPr>
        <w:tc>
          <w:tcPr>
            <w:tcW w:w="671" w:type="dxa"/>
            <w:vMerge w:val="restart"/>
            <w:textDirection w:val="btLr"/>
            <w:vAlign w:val="center"/>
          </w:tcPr>
          <w:p w:rsidR="007252D5" w:rsidRPr="00145D14" w:rsidRDefault="007252D5" w:rsidP="00FE705C">
            <w:pPr>
              <w:keepNext/>
              <w:tabs>
                <w:tab w:val="left" w:pos="2835"/>
              </w:tabs>
              <w:spacing w:after="0" w:line="240" w:lineRule="auto"/>
              <w:ind w:left="113" w:right="113"/>
              <w:jc w:val="center"/>
              <w:rPr>
                <w:rFonts w:ascii="Arial Narrow" w:hAnsi="Arial Narrow"/>
                <w:b/>
                <w:lang w:eastAsia="ja-JP"/>
              </w:rPr>
            </w:pPr>
            <w:r w:rsidRPr="00145D14">
              <w:rPr>
                <w:rFonts w:ascii="Arial Narrow" w:hAnsi="Arial Narrow"/>
                <w:b/>
                <w:lang w:eastAsia="ja-JP"/>
              </w:rPr>
              <w:t>Comparative safety versus comparator</w:t>
            </w:r>
          </w:p>
        </w:tc>
        <w:tc>
          <w:tcPr>
            <w:tcW w:w="1085" w:type="dxa"/>
            <w:vMerge w:val="restart"/>
            <w:vAlign w:val="center"/>
          </w:tcPr>
          <w:p w:rsidR="007252D5" w:rsidRPr="00145D14" w:rsidRDefault="007252D5" w:rsidP="00FE705C">
            <w:pPr>
              <w:keepNext/>
              <w:tabs>
                <w:tab w:val="left" w:pos="2835"/>
              </w:tabs>
              <w:spacing w:after="0" w:line="240" w:lineRule="auto"/>
              <w:jc w:val="left"/>
              <w:rPr>
                <w:rFonts w:ascii="Arial Narrow" w:hAnsi="Arial Narrow"/>
                <w:u w:val="single"/>
                <w:lang w:eastAsia="ja-JP"/>
              </w:rPr>
            </w:pPr>
            <w:r w:rsidRPr="00145D14">
              <w:rPr>
                <w:rFonts w:ascii="Arial Narrow" w:hAnsi="Arial Narrow"/>
                <w:u w:val="single"/>
                <w:lang w:eastAsia="ja-JP"/>
              </w:rPr>
              <w:t>Superior</w:t>
            </w:r>
          </w:p>
        </w:tc>
        <w:tc>
          <w:tcPr>
            <w:tcW w:w="2560" w:type="dxa"/>
            <w:gridSpan w:val="2"/>
            <w:vMerge w:val="restart"/>
            <w:vAlign w:val="center"/>
          </w:tcPr>
          <w:p w:rsidR="007252D5" w:rsidRPr="00145D14" w:rsidRDefault="007252D5" w:rsidP="00FE705C">
            <w:pPr>
              <w:keepNext/>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c>
          <w:tcPr>
            <w:tcW w:w="2369" w:type="dxa"/>
            <w:vMerge w:val="restart"/>
            <w:vAlign w:val="center"/>
          </w:tcPr>
          <w:p w:rsidR="007252D5" w:rsidRPr="00145D14" w:rsidRDefault="007252D5" w:rsidP="00FE705C">
            <w:pPr>
              <w:keepNext/>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c>
          <w:tcPr>
            <w:tcW w:w="1548" w:type="dxa"/>
          </w:tcPr>
          <w:p w:rsidR="007252D5" w:rsidRPr="00145D14" w:rsidRDefault="007252D5" w:rsidP="00FE705C">
            <w:pPr>
              <w:keepNext/>
              <w:tabs>
                <w:tab w:val="left" w:pos="2835"/>
              </w:tabs>
              <w:spacing w:after="0" w:line="240" w:lineRule="auto"/>
              <w:rPr>
                <w:rFonts w:ascii="Arial Narrow" w:hAnsi="Arial Narrow"/>
                <w:u w:val="single"/>
                <w:lang w:eastAsia="ja-JP"/>
              </w:rPr>
            </w:pPr>
            <w:r w:rsidRPr="00145D14">
              <w:rPr>
                <w:rFonts w:ascii="Arial Narrow" w:hAnsi="Arial Narrow"/>
                <w:u w:val="single"/>
                <w:lang w:eastAsia="ja-JP"/>
              </w:rPr>
              <w:t>Net clinical benefit</w:t>
            </w:r>
          </w:p>
        </w:tc>
        <w:tc>
          <w:tcPr>
            <w:tcW w:w="907" w:type="dxa"/>
            <w:vAlign w:val="center"/>
          </w:tcPr>
          <w:p w:rsidR="007252D5" w:rsidRPr="00145D14" w:rsidRDefault="007252D5" w:rsidP="00FE705C">
            <w:pPr>
              <w:keepNext/>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r>
      <w:tr w:rsidR="007252D5" w:rsidRPr="00145D14" w:rsidTr="00FE705C">
        <w:trPr>
          <w:cantSplit/>
          <w:trHeight w:val="20"/>
        </w:trPr>
        <w:tc>
          <w:tcPr>
            <w:tcW w:w="671"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085" w:type="dxa"/>
            <w:vMerge/>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7252D5" w:rsidRPr="00145D14" w:rsidRDefault="007252D5" w:rsidP="00FE705C">
            <w:pPr>
              <w:tabs>
                <w:tab w:val="left" w:pos="2835"/>
              </w:tabs>
              <w:spacing w:after="0" w:line="240" w:lineRule="auto"/>
              <w:jc w:val="center"/>
              <w:rPr>
                <w:rFonts w:ascii="Arial Narrow" w:hAnsi="Arial Narrow"/>
                <w:lang w:eastAsia="ja-JP"/>
              </w:rPr>
            </w:pPr>
          </w:p>
        </w:tc>
        <w:tc>
          <w:tcPr>
            <w:tcW w:w="2369" w:type="dxa"/>
            <w:vMerge/>
            <w:vAlign w:val="center"/>
          </w:tcPr>
          <w:p w:rsidR="007252D5" w:rsidRPr="00145D14" w:rsidRDefault="007252D5" w:rsidP="00FE705C">
            <w:pPr>
              <w:tabs>
                <w:tab w:val="left" w:pos="2835"/>
              </w:tabs>
              <w:spacing w:after="0" w:line="240" w:lineRule="auto"/>
              <w:jc w:val="center"/>
              <w:rPr>
                <w:rFonts w:ascii="Arial Narrow" w:hAnsi="Arial Narrow"/>
                <w:lang w:eastAsia="ja-JP"/>
              </w:rPr>
            </w:pPr>
          </w:p>
        </w:tc>
        <w:tc>
          <w:tcPr>
            <w:tcW w:w="1548" w:type="dxa"/>
          </w:tcPr>
          <w:p w:rsidR="007252D5" w:rsidRPr="00145D14" w:rsidRDefault="007252D5" w:rsidP="00FE705C">
            <w:pPr>
              <w:tabs>
                <w:tab w:val="left" w:pos="2835"/>
              </w:tabs>
              <w:spacing w:after="0" w:line="240" w:lineRule="auto"/>
              <w:rPr>
                <w:rFonts w:ascii="Arial Narrow" w:hAnsi="Arial Narrow"/>
                <w:u w:val="single"/>
                <w:lang w:eastAsia="ja-JP"/>
              </w:rPr>
            </w:pPr>
            <w:r w:rsidRPr="00145D14">
              <w:rPr>
                <w:rFonts w:ascii="Arial Narrow" w:hAnsi="Arial Narrow"/>
                <w:u w:val="single"/>
                <w:lang w:eastAsia="ja-JP"/>
              </w:rPr>
              <w:t>Neutral benefit</w:t>
            </w:r>
          </w:p>
        </w:tc>
        <w:tc>
          <w:tcPr>
            <w:tcW w:w="907" w:type="dxa"/>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r>
      <w:tr w:rsidR="007252D5" w:rsidRPr="00145D14" w:rsidTr="00FE705C">
        <w:trPr>
          <w:cantSplit/>
          <w:trHeight w:val="20"/>
        </w:trPr>
        <w:tc>
          <w:tcPr>
            <w:tcW w:w="671"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085" w:type="dxa"/>
            <w:vMerge/>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7252D5" w:rsidRPr="00145D14" w:rsidRDefault="007252D5" w:rsidP="00FE705C">
            <w:pPr>
              <w:tabs>
                <w:tab w:val="left" w:pos="2835"/>
              </w:tabs>
              <w:spacing w:after="0" w:line="240" w:lineRule="auto"/>
              <w:jc w:val="center"/>
              <w:rPr>
                <w:rFonts w:ascii="Arial Narrow" w:hAnsi="Arial Narrow"/>
                <w:lang w:eastAsia="ja-JP"/>
              </w:rPr>
            </w:pPr>
          </w:p>
        </w:tc>
        <w:tc>
          <w:tcPr>
            <w:tcW w:w="2369" w:type="dxa"/>
            <w:vMerge/>
            <w:vAlign w:val="center"/>
          </w:tcPr>
          <w:p w:rsidR="007252D5" w:rsidRPr="00145D14" w:rsidRDefault="007252D5" w:rsidP="00FE705C">
            <w:pPr>
              <w:tabs>
                <w:tab w:val="left" w:pos="2835"/>
              </w:tabs>
              <w:spacing w:after="0" w:line="240" w:lineRule="auto"/>
              <w:jc w:val="center"/>
              <w:rPr>
                <w:rFonts w:ascii="Arial Narrow" w:hAnsi="Arial Narrow"/>
                <w:lang w:eastAsia="ja-JP"/>
              </w:rPr>
            </w:pPr>
          </w:p>
        </w:tc>
        <w:tc>
          <w:tcPr>
            <w:tcW w:w="1548" w:type="dxa"/>
          </w:tcPr>
          <w:p w:rsidR="007252D5" w:rsidRPr="00145D14" w:rsidRDefault="007252D5" w:rsidP="00FE705C">
            <w:pPr>
              <w:tabs>
                <w:tab w:val="left" w:pos="2835"/>
              </w:tabs>
              <w:spacing w:after="0" w:line="240" w:lineRule="auto"/>
              <w:rPr>
                <w:rFonts w:ascii="Arial Narrow" w:hAnsi="Arial Narrow"/>
                <w:u w:val="single"/>
                <w:lang w:eastAsia="ja-JP"/>
              </w:rPr>
            </w:pPr>
            <w:r w:rsidRPr="00145D14">
              <w:rPr>
                <w:rFonts w:ascii="Arial Narrow" w:hAnsi="Arial Narrow"/>
                <w:u w:val="single"/>
                <w:lang w:eastAsia="ja-JP"/>
              </w:rPr>
              <w:t>Net harms</w:t>
            </w:r>
          </w:p>
        </w:tc>
        <w:tc>
          <w:tcPr>
            <w:tcW w:w="907" w:type="dxa"/>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None^</w:t>
            </w:r>
          </w:p>
        </w:tc>
      </w:tr>
      <w:tr w:rsidR="007252D5" w:rsidRPr="00145D14" w:rsidTr="00FE705C">
        <w:trPr>
          <w:cantSplit/>
          <w:trHeight w:val="750"/>
        </w:trPr>
        <w:tc>
          <w:tcPr>
            <w:tcW w:w="671"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085" w:type="dxa"/>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r w:rsidRPr="00145D14">
              <w:rPr>
                <w:rFonts w:ascii="Arial Narrow" w:hAnsi="Arial Narrow"/>
                <w:u w:val="single"/>
                <w:lang w:eastAsia="ja-JP"/>
              </w:rPr>
              <w:t>Non-inferior</w:t>
            </w:r>
          </w:p>
        </w:tc>
        <w:tc>
          <w:tcPr>
            <w:tcW w:w="2560" w:type="dxa"/>
            <w:gridSpan w:val="2"/>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c>
          <w:tcPr>
            <w:tcW w:w="2369" w:type="dxa"/>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c>
          <w:tcPr>
            <w:tcW w:w="2455" w:type="dxa"/>
            <w:gridSpan w:val="2"/>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None^</w:t>
            </w:r>
          </w:p>
        </w:tc>
      </w:tr>
      <w:tr w:rsidR="007252D5" w:rsidRPr="00145D14" w:rsidTr="00FE705C">
        <w:trPr>
          <w:cantSplit/>
          <w:trHeight w:val="20"/>
        </w:trPr>
        <w:tc>
          <w:tcPr>
            <w:tcW w:w="671"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085" w:type="dxa"/>
            <w:vMerge w:val="restart"/>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r w:rsidRPr="00145D14">
              <w:rPr>
                <w:rFonts w:ascii="Arial Narrow" w:hAnsi="Arial Narrow"/>
                <w:u w:val="single"/>
                <w:lang w:eastAsia="ja-JP"/>
              </w:rPr>
              <w:t>Inferior</w:t>
            </w:r>
          </w:p>
        </w:tc>
        <w:tc>
          <w:tcPr>
            <w:tcW w:w="1583" w:type="dxa"/>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r w:rsidRPr="00145D14">
              <w:rPr>
                <w:rFonts w:ascii="Arial Narrow" w:hAnsi="Arial Narrow"/>
                <w:u w:val="single"/>
                <w:lang w:eastAsia="ja-JP"/>
              </w:rPr>
              <w:t>Net clinical benefit</w:t>
            </w:r>
          </w:p>
        </w:tc>
        <w:tc>
          <w:tcPr>
            <w:tcW w:w="977" w:type="dxa"/>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c>
          <w:tcPr>
            <w:tcW w:w="2369" w:type="dxa"/>
            <w:vMerge w:val="restart"/>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None^</w:t>
            </w:r>
          </w:p>
        </w:tc>
        <w:tc>
          <w:tcPr>
            <w:tcW w:w="2455" w:type="dxa"/>
            <w:gridSpan w:val="2"/>
            <w:vMerge w:val="restart"/>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None^</w:t>
            </w:r>
          </w:p>
        </w:tc>
      </w:tr>
      <w:tr w:rsidR="007252D5" w:rsidRPr="00145D14" w:rsidTr="00FE705C">
        <w:trPr>
          <w:trHeight w:val="20"/>
        </w:trPr>
        <w:tc>
          <w:tcPr>
            <w:tcW w:w="671"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085"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583" w:type="dxa"/>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r w:rsidRPr="00145D14">
              <w:rPr>
                <w:rFonts w:ascii="Arial Narrow" w:hAnsi="Arial Narrow"/>
                <w:u w:val="single"/>
                <w:lang w:eastAsia="ja-JP"/>
              </w:rPr>
              <w:t>Neutral benefit</w:t>
            </w:r>
          </w:p>
        </w:tc>
        <w:tc>
          <w:tcPr>
            <w:tcW w:w="977" w:type="dxa"/>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CEA/CUA*</w:t>
            </w:r>
          </w:p>
        </w:tc>
        <w:tc>
          <w:tcPr>
            <w:tcW w:w="2369" w:type="dxa"/>
            <w:vMerge/>
            <w:vAlign w:val="center"/>
          </w:tcPr>
          <w:p w:rsidR="007252D5" w:rsidRPr="00145D14" w:rsidRDefault="007252D5" w:rsidP="00FE705C">
            <w:pPr>
              <w:tabs>
                <w:tab w:val="left" w:pos="2835"/>
              </w:tabs>
              <w:spacing w:after="0" w:line="240" w:lineRule="auto"/>
              <w:jc w:val="center"/>
              <w:rPr>
                <w:rFonts w:ascii="Arial Narrow" w:hAnsi="Arial Narrow"/>
                <w:lang w:eastAsia="ja-JP"/>
              </w:rPr>
            </w:pPr>
          </w:p>
        </w:tc>
        <w:tc>
          <w:tcPr>
            <w:tcW w:w="2455" w:type="dxa"/>
            <w:gridSpan w:val="2"/>
            <w:vMerge/>
          </w:tcPr>
          <w:p w:rsidR="007252D5" w:rsidRPr="00145D14" w:rsidRDefault="007252D5" w:rsidP="00FE705C">
            <w:pPr>
              <w:tabs>
                <w:tab w:val="left" w:pos="2835"/>
              </w:tabs>
              <w:spacing w:after="0" w:line="240" w:lineRule="auto"/>
              <w:rPr>
                <w:rFonts w:ascii="Arial Narrow" w:hAnsi="Arial Narrow"/>
                <w:lang w:eastAsia="ja-JP"/>
              </w:rPr>
            </w:pPr>
          </w:p>
        </w:tc>
      </w:tr>
      <w:tr w:rsidR="007252D5" w:rsidRPr="00145D14" w:rsidTr="00FE705C">
        <w:trPr>
          <w:trHeight w:val="20"/>
        </w:trPr>
        <w:tc>
          <w:tcPr>
            <w:tcW w:w="671"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085" w:type="dxa"/>
            <w:vMerge/>
          </w:tcPr>
          <w:p w:rsidR="007252D5" w:rsidRPr="00145D14" w:rsidRDefault="007252D5" w:rsidP="00FE705C">
            <w:pPr>
              <w:tabs>
                <w:tab w:val="left" w:pos="2835"/>
              </w:tabs>
              <w:spacing w:after="0" w:line="240" w:lineRule="auto"/>
              <w:rPr>
                <w:rFonts w:ascii="Arial Narrow" w:hAnsi="Arial Narrow"/>
                <w:lang w:eastAsia="ja-JP"/>
              </w:rPr>
            </w:pPr>
          </w:p>
        </w:tc>
        <w:tc>
          <w:tcPr>
            <w:tcW w:w="1583" w:type="dxa"/>
            <w:vAlign w:val="center"/>
          </w:tcPr>
          <w:p w:rsidR="007252D5" w:rsidRPr="00145D14" w:rsidRDefault="007252D5" w:rsidP="00FE705C">
            <w:pPr>
              <w:tabs>
                <w:tab w:val="left" w:pos="2835"/>
              </w:tabs>
              <w:spacing w:after="0" w:line="240" w:lineRule="auto"/>
              <w:jc w:val="left"/>
              <w:rPr>
                <w:rFonts w:ascii="Arial Narrow" w:hAnsi="Arial Narrow"/>
                <w:u w:val="single"/>
                <w:lang w:eastAsia="ja-JP"/>
              </w:rPr>
            </w:pPr>
            <w:r w:rsidRPr="00145D14">
              <w:rPr>
                <w:rFonts w:ascii="Arial Narrow" w:hAnsi="Arial Narrow"/>
                <w:u w:val="single"/>
                <w:lang w:eastAsia="ja-JP"/>
              </w:rPr>
              <w:t>Net harms</w:t>
            </w:r>
          </w:p>
        </w:tc>
        <w:tc>
          <w:tcPr>
            <w:tcW w:w="977" w:type="dxa"/>
            <w:vAlign w:val="center"/>
          </w:tcPr>
          <w:p w:rsidR="007252D5" w:rsidRPr="00145D14" w:rsidRDefault="007252D5" w:rsidP="00FE705C">
            <w:pPr>
              <w:tabs>
                <w:tab w:val="left" w:pos="2835"/>
              </w:tabs>
              <w:spacing w:after="0" w:line="240" w:lineRule="auto"/>
              <w:jc w:val="center"/>
              <w:rPr>
                <w:rFonts w:ascii="Arial Narrow" w:hAnsi="Arial Narrow"/>
                <w:lang w:eastAsia="ja-JP"/>
              </w:rPr>
            </w:pPr>
            <w:r w:rsidRPr="00145D14">
              <w:rPr>
                <w:rFonts w:ascii="Arial Narrow" w:hAnsi="Arial Narrow"/>
                <w:lang w:eastAsia="ja-JP"/>
              </w:rPr>
              <w:t>None^</w:t>
            </w:r>
          </w:p>
        </w:tc>
        <w:tc>
          <w:tcPr>
            <w:tcW w:w="2369" w:type="dxa"/>
            <w:vMerge/>
            <w:vAlign w:val="center"/>
          </w:tcPr>
          <w:p w:rsidR="007252D5" w:rsidRPr="00145D14" w:rsidRDefault="007252D5" w:rsidP="00FE705C">
            <w:pPr>
              <w:tabs>
                <w:tab w:val="left" w:pos="2835"/>
              </w:tabs>
              <w:spacing w:after="0" w:line="240" w:lineRule="auto"/>
              <w:jc w:val="center"/>
              <w:rPr>
                <w:rFonts w:ascii="Arial Narrow" w:hAnsi="Arial Narrow"/>
                <w:lang w:eastAsia="ja-JP"/>
              </w:rPr>
            </w:pPr>
          </w:p>
        </w:tc>
        <w:tc>
          <w:tcPr>
            <w:tcW w:w="2455" w:type="dxa"/>
            <w:gridSpan w:val="2"/>
            <w:vMerge/>
          </w:tcPr>
          <w:p w:rsidR="007252D5" w:rsidRPr="00145D14" w:rsidRDefault="007252D5" w:rsidP="00FE705C">
            <w:pPr>
              <w:tabs>
                <w:tab w:val="left" w:pos="2835"/>
              </w:tabs>
              <w:spacing w:after="0" w:line="240" w:lineRule="auto"/>
              <w:rPr>
                <w:rFonts w:ascii="Arial Narrow" w:hAnsi="Arial Narrow"/>
                <w:lang w:eastAsia="ja-JP"/>
              </w:rPr>
            </w:pPr>
          </w:p>
        </w:tc>
      </w:tr>
    </w:tbl>
    <w:p w:rsidR="007252D5" w:rsidRPr="00E15135" w:rsidRDefault="007252D5" w:rsidP="00A96F9C">
      <w:pPr>
        <w:tabs>
          <w:tab w:val="left" w:pos="284"/>
        </w:tabs>
        <w:spacing w:after="0" w:line="240" w:lineRule="auto"/>
        <w:ind w:left="284" w:hanging="284"/>
        <w:rPr>
          <w:rFonts w:ascii="Arial Narrow" w:hAnsi="Arial Narrow"/>
          <w:sz w:val="18"/>
          <w:szCs w:val="18"/>
          <w:lang w:eastAsia="ja-JP"/>
        </w:rPr>
      </w:pPr>
      <w:r w:rsidRPr="00E15135">
        <w:rPr>
          <w:rFonts w:ascii="Arial Narrow" w:hAnsi="Arial Narrow"/>
          <w:sz w:val="18"/>
          <w:szCs w:val="18"/>
          <w:lang w:eastAsia="ja-JP"/>
        </w:rPr>
        <w:t>Abbreviations:  CEA = cost-effectiveness analysis; CUA = cost-utility analysis</w:t>
      </w:r>
    </w:p>
    <w:p w:rsidR="007252D5" w:rsidRPr="00E15135" w:rsidRDefault="007252D5" w:rsidP="00A96F9C">
      <w:pPr>
        <w:tabs>
          <w:tab w:val="left" w:pos="284"/>
        </w:tabs>
        <w:spacing w:after="0" w:line="240" w:lineRule="auto"/>
        <w:ind w:left="284" w:hanging="284"/>
        <w:rPr>
          <w:rFonts w:ascii="Arial Narrow" w:hAnsi="Arial Narrow"/>
          <w:sz w:val="18"/>
          <w:szCs w:val="18"/>
          <w:lang w:eastAsia="ja-JP"/>
        </w:rPr>
      </w:pPr>
      <w:r w:rsidRPr="00E15135">
        <w:rPr>
          <w:rFonts w:ascii="Arial Narrow" w:hAnsi="Arial Narrow"/>
          <w:sz w:val="18"/>
          <w:szCs w:val="18"/>
          <w:lang w:eastAsia="ja-JP"/>
        </w:rPr>
        <w:t>*</w:t>
      </w:r>
      <w:r w:rsidRPr="00E15135">
        <w:rPr>
          <w:rFonts w:ascii="Arial Narrow" w:hAnsi="Arial Narrow"/>
          <w:sz w:val="18"/>
          <w:szCs w:val="18"/>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7252D5" w:rsidRPr="00E15135" w:rsidRDefault="007252D5" w:rsidP="0013313A">
      <w:pPr>
        <w:tabs>
          <w:tab w:val="left" w:pos="284"/>
        </w:tabs>
        <w:spacing w:after="0" w:line="240" w:lineRule="auto"/>
        <w:rPr>
          <w:rFonts w:ascii="Arial Narrow" w:hAnsi="Arial Narrow"/>
          <w:sz w:val="18"/>
          <w:szCs w:val="18"/>
          <w:lang w:eastAsia="ja-JP"/>
        </w:rPr>
      </w:pPr>
      <w:r w:rsidRPr="00E15135">
        <w:rPr>
          <w:rFonts w:ascii="Arial Narrow" w:hAnsi="Arial Narrow"/>
          <w:sz w:val="18"/>
          <w:szCs w:val="18"/>
          <w:lang w:eastAsia="ja-JP"/>
        </w:rPr>
        <w:t>^</w:t>
      </w:r>
      <w:r w:rsidRPr="00E15135">
        <w:rPr>
          <w:rFonts w:ascii="Arial Narrow" w:hAnsi="Arial Narrow"/>
          <w:sz w:val="18"/>
          <w:szCs w:val="18"/>
          <w:lang w:eastAsia="ja-JP"/>
        </w:rPr>
        <w:tab/>
        <w:t>No economic evaluation needs to be presented; MSAC is unlikely to recommend government subsidy of this intervention</w:t>
      </w:r>
    </w:p>
    <w:p w:rsidR="005B4A1F" w:rsidRPr="00145D14" w:rsidRDefault="005B4A1F" w:rsidP="005B4A1F">
      <w:pPr>
        <w:pStyle w:val="Heading1"/>
      </w:pPr>
      <w:bookmarkStart w:id="30" w:name="_Toc445384043"/>
      <w:r>
        <w:t>Reference Standard</w:t>
      </w:r>
      <w:bookmarkEnd w:id="30"/>
    </w:p>
    <w:p w:rsidR="00216967" w:rsidRPr="009708D9" w:rsidRDefault="00A62EA2" w:rsidP="00A62EA2">
      <w:r w:rsidRPr="009708D9">
        <w:t xml:space="preserve">The reference standard for both </w:t>
      </w:r>
      <w:r w:rsidR="00EC700F" w:rsidRPr="009708D9">
        <w:t xml:space="preserve">proposed indications is </w:t>
      </w:r>
      <w:r w:rsidRPr="009708D9">
        <w:t>colonoscopy</w:t>
      </w:r>
      <w:r w:rsidR="0015752D" w:rsidRPr="009708D9">
        <w:t>/endoscopy and</w:t>
      </w:r>
      <w:r w:rsidR="004E162B" w:rsidRPr="009708D9">
        <w:t xml:space="preserve"> biopsy</w:t>
      </w:r>
      <w:r w:rsidRPr="009708D9">
        <w:t xml:space="preserve">. </w:t>
      </w:r>
    </w:p>
    <w:p w:rsidR="00A62EA2" w:rsidRPr="009708D9" w:rsidRDefault="005C49FB" w:rsidP="00E15135">
      <w:r w:rsidRPr="009708D9">
        <w:t>The</w:t>
      </w:r>
      <w:r w:rsidR="00216967" w:rsidRPr="009708D9">
        <w:t xml:space="preserve"> </w:t>
      </w:r>
      <w:r w:rsidRPr="009708D9">
        <w:t xml:space="preserve">other </w:t>
      </w:r>
      <w:r w:rsidR="00216967" w:rsidRPr="009708D9">
        <w:t>reference standard for IBD (especially Crohn’s Disease) is MRI.</w:t>
      </w:r>
    </w:p>
    <w:p w:rsidR="007252D5" w:rsidRDefault="007252D5" w:rsidP="00E06988">
      <w:pPr>
        <w:pStyle w:val="Heading1"/>
      </w:pPr>
      <w:bookmarkStart w:id="31" w:name="_Toc445384044"/>
      <w:r w:rsidRPr="00145D14">
        <w:t>Outcomes and health care resources affected by introduction of proposed intervention</w:t>
      </w:r>
      <w:bookmarkEnd w:id="31"/>
    </w:p>
    <w:p w:rsidR="007252D5" w:rsidRPr="00145D14" w:rsidRDefault="007252D5" w:rsidP="00E06988">
      <w:pPr>
        <w:pStyle w:val="Heading2"/>
        <w:rPr>
          <w:lang w:val="en-AU"/>
        </w:rPr>
      </w:pPr>
      <w:bookmarkStart w:id="32" w:name="_Toc445384045"/>
      <w:r w:rsidRPr="00145D14">
        <w:rPr>
          <w:lang w:val="en-AU"/>
        </w:rPr>
        <w:t>Outcomes</w:t>
      </w:r>
      <w:bookmarkEnd w:id="32"/>
    </w:p>
    <w:p w:rsidR="00EC700F" w:rsidRPr="00145D14" w:rsidRDefault="00EC700F" w:rsidP="00E06988">
      <w:pPr>
        <w:keepNext/>
      </w:pPr>
      <w:r w:rsidRPr="00145D14">
        <w:t xml:space="preserve">(1) </w:t>
      </w:r>
      <w:r w:rsidR="00427A5B">
        <w:t xml:space="preserve">Faecal </w:t>
      </w:r>
      <w:proofErr w:type="spellStart"/>
      <w:r w:rsidR="00427A5B">
        <w:t>Calprotectin</w:t>
      </w:r>
      <w:proofErr w:type="spellEnd"/>
      <w:r w:rsidRPr="00145D14">
        <w:t xml:space="preserve"> test </w:t>
      </w:r>
      <w:r>
        <w:t>for</w:t>
      </w:r>
      <w:r w:rsidRPr="00145D14">
        <w:t xml:space="preserve"> differentiating between </w:t>
      </w:r>
      <w:r w:rsidR="00F164D0" w:rsidRPr="00F164D0">
        <w:t>functional and inflammatory bowel disorders</w:t>
      </w:r>
      <w:r w:rsidRPr="00145D14">
        <w:t xml:space="preserve">: </w:t>
      </w:r>
    </w:p>
    <w:p w:rsidR="0065563D" w:rsidRPr="00145D14" w:rsidRDefault="0065563D" w:rsidP="00E06988">
      <w:pPr>
        <w:pStyle w:val="ListParagraph"/>
        <w:keepNext/>
        <w:numPr>
          <w:ilvl w:val="0"/>
          <w:numId w:val="22"/>
        </w:numPr>
        <w:rPr>
          <w:lang w:eastAsia="ja-JP"/>
        </w:rPr>
      </w:pPr>
      <w:r w:rsidRPr="00145D14">
        <w:rPr>
          <w:lang w:eastAsia="ja-JP"/>
        </w:rPr>
        <w:t xml:space="preserve">Effectiveness </w:t>
      </w:r>
    </w:p>
    <w:p w:rsidR="00CD7A3A" w:rsidRDefault="00EC700F" w:rsidP="00E06988">
      <w:pPr>
        <w:pStyle w:val="ListParagraph"/>
        <w:keepNext/>
        <w:numPr>
          <w:ilvl w:val="1"/>
          <w:numId w:val="22"/>
        </w:numPr>
        <w:rPr>
          <w:lang w:eastAsia="ja-JP"/>
        </w:rPr>
      </w:pPr>
      <w:r>
        <w:rPr>
          <w:lang w:eastAsia="ja-JP"/>
        </w:rPr>
        <w:t>Diagnostic accuracy: sensitivity, specificity, NPV, PPV, AROC, additional true positives, additional true negatives</w:t>
      </w:r>
      <w:r w:rsidR="00B13CF7">
        <w:rPr>
          <w:lang w:eastAsia="ja-JP"/>
        </w:rPr>
        <w:t>,</w:t>
      </w:r>
      <w:r w:rsidR="00410ACF">
        <w:rPr>
          <w:lang w:eastAsia="ja-JP"/>
        </w:rPr>
        <w:t xml:space="preserve"> </w:t>
      </w:r>
      <w:r w:rsidR="00B13CF7" w:rsidRPr="00B13CF7">
        <w:rPr>
          <w:lang w:eastAsia="ja-JP"/>
        </w:rPr>
        <w:t xml:space="preserve">test reproducibility </w:t>
      </w:r>
      <w:r w:rsidR="00486394">
        <w:rPr>
          <w:lang w:eastAsia="ja-JP"/>
        </w:rPr>
        <w:t xml:space="preserve">(with and between assays) </w:t>
      </w:r>
      <w:r w:rsidR="00B13CF7" w:rsidRPr="00B13CF7">
        <w:rPr>
          <w:lang w:eastAsia="ja-JP"/>
        </w:rPr>
        <w:t>and repeatability</w:t>
      </w:r>
    </w:p>
    <w:p w:rsidR="00B13CF7" w:rsidRDefault="00B13CF7">
      <w:pPr>
        <w:pStyle w:val="ListParagraph"/>
        <w:numPr>
          <w:ilvl w:val="1"/>
          <w:numId w:val="22"/>
        </w:numPr>
        <w:rPr>
          <w:lang w:eastAsia="ja-JP"/>
        </w:rPr>
      </w:pPr>
      <w:r>
        <w:rPr>
          <w:lang w:eastAsia="ja-JP"/>
        </w:rPr>
        <w:t>Time to diagnosis</w:t>
      </w:r>
      <w:r w:rsidR="00AF1EF4">
        <w:rPr>
          <w:lang w:eastAsia="ja-JP"/>
        </w:rPr>
        <w:t xml:space="preserve"> and t</w:t>
      </w:r>
      <w:r>
        <w:rPr>
          <w:lang w:eastAsia="ja-JP"/>
        </w:rPr>
        <w:t>ime to commencement of therapy</w:t>
      </w:r>
    </w:p>
    <w:p w:rsidR="00EC700F" w:rsidRDefault="00EC700F" w:rsidP="001E11D8">
      <w:pPr>
        <w:pStyle w:val="ListParagraph"/>
        <w:numPr>
          <w:ilvl w:val="1"/>
          <w:numId w:val="22"/>
        </w:numPr>
        <w:rPr>
          <w:lang w:eastAsia="ja-JP"/>
        </w:rPr>
      </w:pPr>
      <w:r>
        <w:rPr>
          <w:lang w:eastAsia="ja-JP"/>
        </w:rPr>
        <w:t>Change in patient management: colonoscopies avoided, delay in diagnosis due to false negatives</w:t>
      </w:r>
    </w:p>
    <w:p w:rsidR="00EC700F" w:rsidRDefault="00EC700F" w:rsidP="001E11D8">
      <w:pPr>
        <w:pStyle w:val="ListParagraph"/>
        <w:numPr>
          <w:ilvl w:val="1"/>
          <w:numId w:val="22"/>
        </w:numPr>
        <w:rPr>
          <w:lang w:eastAsia="ja-JP"/>
        </w:rPr>
      </w:pPr>
      <w:r>
        <w:rPr>
          <w:lang w:eastAsia="ja-JP"/>
        </w:rPr>
        <w:t xml:space="preserve">Other: disease-specific </w:t>
      </w:r>
      <w:r w:rsidR="00532878">
        <w:rPr>
          <w:lang w:eastAsia="ja-JP"/>
        </w:rPr>
        <w:t>morbidity</w:t>
      </w:r>
      <w:r>
        <w:rPr>
          <w:lang w:eastAsia="ja-JP"/>
        </w:rPr>
        <w:t>, disease progression, quality of life, impact on colonoscopy demand</w:t>
      </w:r>
    </w:p>
    <w:p w:rsidR="00B13CF7" w:rsidRPr="00145D14" w:rsidRDefault="00B13CF7" w:rsidP="001E11D8">
      <w:pPr>
        <w:pStyle w:val="ListParagraph"/>
        <w:numPr>
          <w:ilvl w:val="1"/>
          <w:numId w:val="22"/>
        </w:numPr>
        <w:rPr>
          <w:lang w:eastAsia="ja-JP"/>
        </w:rPr>
      </w:pPr>
      <w:r>
        <w:rPr>
          <w:lang w:eastAsia="ja-JP"/>
        </w:rPr>
        <w:t>Reduction in referrals to specialists</w:t>
      </w:r>
    </w:p>
    <w:p w:rsidR="00CD7A3A" w:rsidRPr="00145D14" w:rsidRDefault="00CD7A3A" w:rsidP="0065563D">
      <w:pPr>
        <w:pStyle w:val="ListParagraph"/>
        <w:numPr>
          <w:ilvl w:val="0"/>
          <w:numId w:val="22"/>
        </w:numPr>
        <w:rPr>
          <w:lang w:eastAsia="ja-JP"/>
        </w:rPr>
      </w:pPr>
      <w:r w:rsidRPr="00145D14">
        <w:rPr>
          <w:lang w:eastAsia="ja-JP"/>
        </w:rPr>
        <w:t>Safety</w:t>
      </w:r>
    </w:p>
    <w:p w:rsidR="00CD7A3A" w:rsidRPr="00145D14" w:rsidRDefault="00EC700F" w:rsidP="00CD7A3A">
      <w:pPr>
        <w:pStyle w:val="ListParagraph"/>
        <w:numPr>
          <w:ilvl w:val="1"/>
          <w:numId w:val="22"/>
        </w:numPr>
        <w:rPr>
          <w:lang w:eastAsia="ja-JP"/>
        </w:rPr>
      </w:pPr>
      <w:r>
        <w:rPr>
          <w:lang w:eastAsia="ja-JP"/>
        </w:rPr>
        <w:t>Adverse events: perforations avoided, bleeding</w:t>
      </w:r>
    </w:p>
    <w:p w:rsidR="00EC700F" w:rsidRDefault="001E11D8" w:rsidP="00EC700F">
      <w:pPr>
        <w:pStyle w:val="ListParagraph"/>
        <w:numPr>
          <w:ilvl w:val="0"/>
          <w:numId w:val="22"/>
        </w:numPr>
        <w:rPr>
          <w:lang w:eastAsia="ja-JP"/>
        </w:rPr>
      </w:pPr>
      <w:r w:rsidRPr="00145D14">
        <w:rPr>
          <w:lang w:eastAsia="ja-JP"/>
        </w:rPr>
        <w:lastRenderedPageBreak/>
        <w:t>Economic</w:t>
      </w:r>
    </w:p>
    <w:p w:rsidR="00B13CF7" w:rsidRDefault="00EC700F" w:rsidP="00EC700F">
      <w:pPr>
        <w:pStyle w:val="ListParagraph"/>
        <w:numPr>
          <w:ilvl w:val="1"/>
          <w:numId w:val="22"/>
        </w:numPr>
        <w:rPr>
          <w:lang w:eastAsia="ja-JP"/>
        </w:rPr>
      </w:pPr>
      <w:r>
        <w:t>C</w:t>
      </w:r>
      <w:r w:rsidRPr="00145D14">
        <w:t>ost-utility or a cost-effectiveness analysis</w:t>
      </w:r>
    </w:p>
    <w:p w:rsidR="00216967" w:rsidRPr="00216967" w:rsidRDefault="00B13CF7" w:rsidP="00EC700F">
      <w:pPr>
        <w:pStyle w:val="ListParagraph"/>
        <w:numPr>
          <w:ilvl w:val="1"/>
          <w:numId w:val="22"/>
        </w:numPr>
        <w:rPr>
          <w:lang w:eastAsia="ja-JP"/>
        </w:rPr>
      </w:pPr>
      <w:r>
        <w:t>Time lost from work</w:t>
      </w:r>
      <w:r w:rsidR="00216967" w:rsidRPr="00216967">
        <w:rPr>
          <w:color w:val="FF0000"/>
        </w:rPr>
        <w:t xml:space="preserve"> </w:t>
      </w:r>
    </w:p>
    <w:p w:rsidR="00EC700F" w:rsidRPr="00145D14" w:rsidRDefault="00EC700F" w:rsidP="00EC700F">
      <w:r w:rsidRPr="00145D14">
        <w:t xml:space="preserve">(2) </w:t>
      </w:r>
      <w:r w:rsidR="00427A5B">
        <w:t xml:space="preserve">Faecal </w:t>
      </w:r>
      <w:proofErr w:type="spellStart"/>
      <w:r w:rsidR="00427A5B">
        <w:t>Calprotectin</w:t>
      </w:r>
      <w:proofErr w:type="spellEnd"/>
      <w:r w:rsidRPr="00145D14">
        <w:t xml:space="preserve"> test for monitoring those patients w</w:t>
      </w:r>
      <w:r>
        <w:t>ith</w:t>
      </w:r>
      <w:r w:rsidRPr="00145D14">
        <w:t xml:space="preserve"> IBD: </w:t>
      </w:r>
    </w:p>
    <w:p w:rsidR="00EC700F" w:rsidRPr="00145D14" w:rsidRDefault="00EC700F" w:rsidP="00EC700F">
      <w:pPr>
        <w:pStyle w:val="ListParagraph"/>
        <w:numPr>
          <w:ilvl w:val="0"/>
          <w:numId w:val="22"/>
        </w:numPr>
        <w:rPr>
          <w:lang w:eastAsia="ja-JP"/>
        </w:rPr>
      </w:pPr>
      <w:r w:rsidRPr="00145D14">
        <w:rPr>
          <w:lang w:eastAsia="ja-JP"/>
        </w:rPr>
        <w:t xml:space="preserve">Effectiveness </w:t>
      </w:r>
    </w:p>
    <w:p w:rsidR="004619A2" w:rsidRDefault="004619A2" w:rsidP="004619A2">
      <w:pPr>
        <w:pStyle w:val="ListParagraph"/>
        <w:numPr>
          <w:ilvl w:val="1"/>
          <w:numId w:val="22"/>
        </w:numPr>
        <w:rPr>
          <w:lang w:eastAsia="ja-JP"/>
        </w:rPr>
      </w:pPr>
      <w:r>
        <w:rPr>
          <w:lang w:eastAsia="ja-JP"/>
        </w:rPr>
        <w:t>Test reproducibility and repeatability (</w:t>
      </w:r>
      <w:r w:rsidRPr="004619A2">
        <w:rPr>
          <w:lang w:eastAsia="ja-JP"/>
        </w:rPr>
        <w:t>coefficient of variance</w:t>
      </w:r>
      <w:r>
        <w:rPr>
          <w:lang w:eastAsia="ja-JP"/>
        </w:rPr>
        <w:t>)</w:t>
      </w:r>
    </w:p>
    <w:p w:rsidR="00EC700F" w:rsidRDefault="00EC700F" w:rsidP="00410ACF">
      <w:pPr>
        <w:pStyle w:val="ListParagraph"/>
        <w:numPr>
          <w:ilvl w:val="1"/>
          <w:numId w:val="22"/>
        </w:numPr>
        <w:rPr>
          <w:lang w:eastAsia="ja-JP"/>
        </w:rPr>
      </w:pPr>
      <w:r>
        <w:rPr>
          <w:lang w:eastAsia="ja-JP"/>
        </w:rPr>
        <w:t>Diagnostic accuracy: sensitivity, specificity, NPV, PPV, AROC, additional true positives, additional true negatives</w:t>
      </w:r>
      <w:r w:rsidR="00791799">
        <w:rPr>
          <w:lang w:eastAsia="ja-JP"/>
        </w:rPr>
        <w:t>, assay cut-offs for severity of acute inflammation</w:t>
      </w:r>
      <w:r w:rsidR="00410ACF">
        <w:rPr>
          <w:lang w:eastAsia="ja-JP"/>
        </w:rPr>
        <w:t xml:space="preserve">, longitudinal correlation of faecal </w:t>
      </w:r>
      <w:proofErr w:type="spellStart"/>
      <w:r w:rsidR="00410ACF">
        <w:rPr>
          <w:lang w:eastAsia="ja-JP"/>
        </w:rPr>
        <w:t>calprotectin</w:t>
      </w:r>
      <w:proofErr w:type="spellEnd"/>
      <w:r w:rsidR="00410ACF">
        <w:rPr>
          <w:lang w:eastAsia="ja-JP"/>
        </w:rPr>
        <w:t xml:space="preserve"> levels and disease activity</w:t>
      </w:r>
      <w:r>
        <w:rPr>
          <w:lang w:eastAsia="ja-JP"/>
        </w:rPr>
        <w:t xml:space="preserve"> </w:t>
      </w:r>
    </w:p>
    <w:p w:rsidR="00EC700F" w:rsidRDefault="00EC700F" w:rsidP="004619A2">
      <w:pPr>
        <w:pStyle w:val="ListParagraph"/>
        <w:numPr>
          <w:ilvl w:val="1"/>
          <w:numId w:val="22"/>
        </w:numPr>
        <w:rPr>
          <w:lang w:eastAsia="ja-JP"/>
        </w:rPr>
      </w:pPr>
      <w:r>
        <w:rPr>
          <w:lang w:eastAsia="ja-JP"/>
        </w:rPr>
        <w:t xml:space="preserve">Change in patient management: colonoscopies </w:t>
      </w:r>
      <w:r w:rsidR="004619A2">
        <w:rPr>
          <w:lang w:eastAsia="ja-JP"/>
        </w:rPr>
        <w:t xml:space="preserve">and hospitalisations </w:t>
      </w:r>
      <w:r>
        <w:rPr>
          <w:lang w:eastAsia="ja-JP"/>
        </w:rPr>
        <w:t>avoided</w:t>
      </w:r>
      <w:r w:rsidR="004619A2">
        <w:rPr>
          <w:lang w:eastAsia="ja-JP"/>
        </w:rPr>
        <w:t xml:space="preserve">; </w:t>
      </w:r>
      <w:r w:rsidR="00410ACF">
        <w:rPr>
          <w:lang w:eastAsia="ja-JP"/>
        </w:rPr>
        <w:t xml:space="preserve">reduced use of imaging, reduced use of serum inflammatory markers, reduced specialist referrals for monitoring patient on immunotherapy, </w:t>
      </w:r>
      <w:r w:rsidR="004619A2" w:rsidRPr="004619A2">
        <w:rPr>
          <w:lang w:eastAsia="ja-JP"/>
        </w:rPr>
        <w:t>reduce</w:t>
      </w:r>
      <w:r w:rsidR="004619A2">
        <w:rPr>
          <w:lang w:eastAsia="ja-JP"/>
        </w:rPr>
        <w:t>d</w:t>
      </w:r>
      <w:r w:rsidR="004619A2" w:rsidRPr="004619A2">
        <w:rPr>
          <w:lang w:eastAsia="ja-JP"/>
        </w:rPr>
        <w:t xml:space="preserve"> need for biological therapies and surgery</w:t>
      </w:r>
      <w:r w:rsidR="00791799">
        <w:rPr>
          <w:lang w:eastAsia="ja-JP"/>
        </w:rPr>
        <w:t xml:space="preserve">, how changes in </w:t>
      </w:r>
      <w:proofErr w:type="spellStart"/>
      <w:r w:rsidR="00791799">
        <w:rPr>
          <w:lang w:eastAsia="ja-JP"/>
        </w:rPr>
        <w:t>calprotectin</w:t>
      </w:r>
      <w:proofErr w:type="spellEnd"/>
      <w:r w:rsidR="00791799">
        <w:rPr>
          <w:lang w:eastAsia="ja-JP"/>
        </w:rPr>
        <w:t xml:space="preserve"> levels will influence patient management</w:t>
      </w:r>
      <w:r w:rsidR="00410ACF">
        <w:rPr>
          <w:lang w:eastAsia="ja-JP"/>
        </w:rPr>
        <w:t xml:space="preserve">, </w:t>
      </w:r>
    </w:p>
    <w:p w:rsidR="00EC700F" w:rsidRPr="00145D14" w:rsidRDefault="00EC700F" w:rsidP="00EC700F">
      <w:pPr>
        <w:pStyle w:val="ListParagraph"/>
        <w:numPr>
          <w:ilvl w:val="1"/>
          <w:numId w:val="22"/>
        </w:numPr>
        <w:rPr>
          <w:lang w:eastAsia="ja-JP"/>
        </w:rPr>
      </w:pPr>
      <w:r>
        <w:rPr>
          <w:lang w:eastAsia="ja-JP"/>
        </w:rPr>
        <w:t xml:space="preserve">Other: disease-specific </w:t>
      </w:r>
      <w:r w:rsidR="00532878">
        <w:rPr>
          <w:lang w:eastAsia="ja-JP"/>
        </w:rPr>
        <w:t>morbidity</w:t>
      </w:r>
      <w:r>
        <w:rPr>
          <w:lang w:eastAsia="ja-JP"/>
        </w:rPr>
        <w:t>, disease progression, quality of life, impact on colonoscopy demand</w:t>
      </w:r>
      <w:r w:rsidR="00791799">
        <w:rPr>
          <w:lang w:eastAsia="ja-JP"/>
        </w:rPr>
        <w:t xml:space="preserve">, confounding effect of other inflammatory GE disorders, longitudinal changes in </w:t>
      </w:r>
      <w:proofErr w:type="spellStart"/>
      <w:r w:rsidR="00791799">
        <w:rPr>
          <w:lang w:eastAsia="ja-JP"/>
        </w:rPr>
        <w:t>calprotectin</w:t>
      </w:r>
      <w:proofErr w:type="spellEnd"/>
      <w:r w:rsidR="00791799">
        <w:rPr>
          <w:lang w:eastAsia="ja-JP"/>
        </w:rPr>
        <w:t xml:space="preserve"> levels and correlation with symptoms and histological evidence of active inflammation</w:t>
      </w:r>
      <w:r w:rsidR="00410ACF">
        <w:rPr>
          <w:lang w:eastAsia="ja-JP"/>
        </w:rPr>
        <w:t>,</w:t>
      </w:r>
      <w:r w:rsidR="0050545F">
        <w:rPr>
          <w:lang w:eastAsia="ja-JP"/>
        </w:rPr>
        <w:t xml:space="preserve"> </w:t>
      </w:r>
      <w:r w:rsidR="00410ACF">
        <w:rPr>
          <w:lang w:eastAsia="ja-JP"/>
        </w:rPr>
        <w:t>utilization of the assays between gastroenterologist and GP</w:t>
      </w:r>
    </w:p>
    <w:p w:rsidR="00EC700F" w:rsidRPr="00145D14" w:rsidRDefault="00EC700F" w:rsidP="00EC700F">
      <w:pPr>
        <w:pStyle w:val="ListParagraph"/>
        <w:numPr>
          <w:ilvl w:val="0"/>
          <w:numId w:val="22"/>
        </w:numPr>
        <w:rPr>
          <w:lang w:eastAsia="ja-JP"/>
        </w:rPr>
      </w:pPr>
      <w:r w:rsidRPr="00145D14">
        <w:rPr>
          <w:lang w:eastAsia="ja-JP"/>
        </w:rPr>
        <w:t>Safety</w:t>
      </w:r>
    </w:p>
    <w:p w:rsidR="00EC700F" w:rsidRPr="00145D14" w:rsidRDefault="00EC700F" w:rsidP="00EC700F">
      <w:pPr>
        <w:pStyle w:val="ListParagraph"/>
        <w:numPr>
          <w:ilvl w:val="1"/>
          <w:numId w:val="22"/>
        </w:numPr>
        <w:rPr>
          <w:lang w:eastAsia="ja-JP"/>
        </w:rPr>
      </w:pPr>
      <w:r>
        <w:rPr>
          <w:lang w:eastAsia="ja-JP"/>
        </w:rPr>
        <w:t>Adverse events: perforations avoided, bleeding</w:t>
      </w:r>
    </w:p>
    <w:p w:rsidR="00EC700F" w:rsidRDefault="00EC700F" w:rsidP="008F5521">
      <w:pPr>
        <w:pStyle w:val="ListParagraph"/>
        <w:keepNext/>
        <w:numPr>
          <w:ilvl w:val="0"/>
          <w:numId w:val="22"/>
        </w:numPr>
        <w:ind w:hanging="357"/>
        <w:rPr>
          <w:lang w:eastAsia="ja-JP"/>
        </w:rPr>
      </w:pPr>
      <w:r w:rsidRPr="00145D14">
        <w:rPr>
          <w:lang w:eastAsia="ja-JP"/>
        </w:rPr>
        <w:t>Economic</w:t>
      </w:r>
    </w:p>
    <w:p w:rsidR="00EC700F" w:rsidRDefault="00EC700F" w:rsidP="008F5521">
      <w:pPr>
        <w:pStyle w:val="ListParagraph"/>
        <w:keepNext/>
        <w:numPr>
          <w:ilvl w:val="1"/>
          <w:numId w:val="22"/>
        </w:numPr>
        <w:ind w:hanging="357"/>
        <w:rPr>
          <w:lang w:eastAsia="ja-JP"/>
        </w:rPr>
      </w:pPr>
      <w:r>
        <w:t>C</w:t>
      </w:r>
      <w:r w:rsidRPr="00145D14">
        <w:t>ost-utility or a cost-effectiveness analysis</w:t>
      </w:r>
    </w:p>
    <w:p w:rsidR="00B13CF7" w:rsidRDefault="00B13CF7" w:rsidP="008F5521">
      <w:pPr>
        <w:pStyle w:val="ListParagraph"/>
        <w:keepNext/>
        <w:numPr>
          <w:ilvl w:val="1"/>
          <w:numId w:val="22"/>
        </w:numPr>
        <w:ind w:hanging="357"/>
        <w:rPr>
          <w:lang w:eastAsia="ja-JP"/>
        </w:rPr>
      </w:pPr>
      <w:r>
        <w:t>Time lost from work</w:t>
      </w:r>
    </w:p>
    <w:p w:rsidR="004619A2" w:rsidRDefault="004619A2" w:rsidP="008444F5">
      <w:pPr>
        <w:rPr>
          <w:lang w:eastAsia="ja-JP"/>
        </w:rPr>
      </w:pPr>
      <w:r>
        <w:rPr>
          <w:lang w:eastAsia="ja-JP"/>
        </w:rPr>
        <w:t xml:space="preserve">The PASC has </w:t>
      </w:r>
      <w:r w:rsidR="008444F5">
        <w:rPr>
          <w:lang w:eastAsia="ja-JP"/>
        </w:rPr>
        <w:t>provided guidance</w:t>
      </w:r>
      <w:r>
        <w:rPr>
          <w:lang w:eastAsia="ja-JP"/>
        </w:rPr>
        <w:t xml:space="preserve"> on the information that should be presented in the assessment report to establish the validity of </w:t>
      </w:r>
      <w:proofErr w:type="spellStart"/>
      <w:r>
        <w:rPr>
          <w:lang w:eastAsia="ja-JP"/>
        </w:rPr>
        <w:t>calprotectin</w:t>
      </w:r>
      <w:proofErr w:type="spellEnd"/>
      <w:r>
        <w:rPr>
          <w:lang w:eastAsia="ja-JP"/>
        </w:rPr>
        <w:t xml:space="preserve"> testing in each of the requested </w:t>
      </w:r>
      <w:r w:rsidR="008444F5">
        <w:rPr>
          <w:lang w:eastAsia="ja-JP"/>
        </w:rPr>
        <w:t>populations</w:t>
      </w:r>
      <w:r>
        <w:rPr>
          <w:lang w:eastAsia="ja-JP"/>
        </w:rPr>
        <w:t xml:space="preserve">. This information is presented </w:t>
      </w:r>
      <w:r w:rsidRPr="00F64922">
        <w:rPr>
          <w:lang w:eastAsia="ja-JP"/>
        </w:rPr>
        <w:t xml:space="preserve">in Appendix </w:t>
      </w:r>
      <w:r w:rsidR="008444F5" w:rsidRPr="00F64922">
        <w:rPr>
          <w:lang w:eastAsia="ja-JP"/>
        </w:rPr>
        <w:t>1, below</w:t>
      </w:r>
      <w:r w:rsidRPr="00F64922">
        <w:rPr>
          <w:lang w:eastAsia="ja-JP"/>
        </w:rPr>
        <w:t>.</w:t>
      </w:r>
    </w:p>
    <w:p w:rsidR="006F5C89" w:rsidRDefault="006F5C89" w:rsidP="008444F5">
      <w:pPr>
        <w:rPr>
          <w:lang w:eastAsia="ja-JP"/>
        </w:rPr>
      </w:pPr>
      <w:r>
        <w:rPr>
          <w:lang w:eastAsia="ja-JP"/>
        </w:rPr>
        <w:t>The PASC noted that the predictive value of the assay</w:t>
      </w:r>
      <w:r w:rsidR="00172556">
        <w:rPr>
          <w:lang w:eastAsia="ja-JP"/>
        </w:rPr>
        <w:t xml:space="preserve"> (PPV, NPV)</w:t>
      </w:r>
      <w:r>
        <w:rPr>
          <w:lang w:eastAsia="ja-JP"/>
        </w:rPr>
        <w:t xml:space="preserve"> will be affected by</w:t>
      </w:r>
      <w:r w:rsidR="00A2166D">
        <w:rPr>
          <w:lang w:eastAsia="ja-JP"/>
        </w:rPr>
        <w:t>:</w:t>
      </w:r>
      <w:r>
        <w:rPr>
          <w:lang w:eastAsia="ja-JP"/>
        </w:rPr>
        <w:t xml:space="preserve"> confounding non-infectious conditions</w:t>
      </w:r>
      <w:r w:rsidR="00A2166D">
        <w:rPr>
          <w:lang w:eastAsia="ja-JP"/>
        </w:rPr>
        <w:t xml:space="preserve"> (e.g. diverticular disease, microscopic colitis, coeliac disease, and non-steroidal anti-inflammatory drugs)</w:t>
      </w:r>
      <w:r w:rsidR="00410ACF">
        <w:rPr>
          <w:lang w:eastAsia="ja-JP"/>
        </w:rPr>
        <w:t xml:space="preserve">, </w:t>
      </w:r>
      <w:r>
        <w:rPr>
          <w:lang w:eastAsia="ja-JP"/>
        </w:rPr>
        <w:t>the age of the patient</w:t>
      </w:r>
      <w:r w:rsidR="00A2166D">
        <w:rPr>
          <w:lang w:eastAsia="ja-JP"/>
        </w:rPr>
        <w:t>,</w:t>
      </w:r>
      <w:r>
        <w:rPr>
          <w:lang w:eastAsia="ja-JP"/>
        </w:rPr>
        <w:t xml:space="preserve"> and the prevalence of IBD, IBS and other conditions that vary with age. </w:t>
      </w:r>
    </w:p>
    <w:p w:rsidR="009708D9" w:rsidRDefault="009708D9" w:rsidP="008444F5">
      <w:pPr>
        <w:rPr>
          <w:lang w:eastAsia="ja-JP"/>
        </w:rPr>
      </w:pPr>
    </w:p>
    <w:p w:rsidR="0013313A" w:rsidRDefault="0013313A">
      <w:pPr>
        <w:spacing w:after="0" w:line="240" w:lineRule="auto"/>
        <w:jc w:val="left"/>
        <w:rPr>
          <w:lang w:eastAsia="ja-JP"/>
        </w:rPr>
      </w:pPr>
      <w:r>
        <w:rPr>
          <w:lang w:eastAsia="ja-JP"/>
        </w:rPr>
        <w:br w:type="page"/>
      </w:r>
    </w:p>
    <w:p w:rsidR="00955CF5" w:rsidRDefault="00AA57FC" w:rsidP="00E3295E">
      <w:pPr>
        <w:pStyle w:val="Heading2"/>
        <w:spacing w:before="0" w:after="0"/>
        <w:rPr>
          <w:lang w:val="en-AU"/>
        </w:rPr>
      </w:pPr>
      <w:bookmarkStart w:id="33" w:name="_Toc445384046"/>
      <w:r>
        <w:rPr>
          <w:lang w:val="en-AU"/>
        </w:rPr>
        <w:lastRenderedPageBreak/>
        <w:t xml:space="preserve">Summary of the PICO criteria for the </w:t>
      </w:r>
      <w:r w:rsidR="008F5521">
        <w:rPr>
          <w:lang w:val="en-AU"/>
        </w:rPr>
        <w:t>assessment</w:t>
      </w:r>
      <w:bookmarkEnd w:id="33"/>
    </w:p>
    <w:p w:rsidR="00377E9B" w:rsidRDefault="00377E9B" w:rsidP="00E3295E">
      <w:pPr>
        <w:spacing w:after="0"/>
        <w:rPr>
          <w:lang w:eastAsia="ja-JP"/>
        </w:rPr>
      </w:pPr>
      <w:r>
        <w:rPr>
          <w:lang w:eastAsia="ja-JP"/>
        </w:rPr>
        <w:t xml:space="preserve">Once the discrepancies identified above are resolved, the PPICO table, below, will be revised. </w:t>
      </w:r>
    </w:p>
    <w:p w:rsidR="00E3295E" w:rsidRPr="00E3295E" w:rsidRDefault="00E3295E" w:rsidP="00E3295E">
      <w:pPr>
        <w:spacing w:after="0"/>
        <w:rPr>
          <w:sz w:val="10"/>
          <w:lang w:eastAsia="ja-JP"/>
        </w:rPr>
      </w:pPr>
    </w:p>
    <w:p w:rsidR="00955CF5" w:rsidRPr="00145D14" w:rsidRDefault="00955CF5" w:rsidP="00955CF5">
      <w:pPr>
        <w:pStyle w:val="Caption"/>
        <w:rPr>
          <w:lang w:val="en-AU"/>
        </w:rPr>
      </w:pPr>
      <w:bookmarkStart w:id="34" w:name="_Ref283297696"/>
      <w:r w:rsidRPr="00145D14">
        <w:rPr>
          <w:lang w:val="en-AU"/>
        </w:rPr>
        <w:t xml:space="preserve">Table </w:t>
      </w:r>
      <w:bookmarkEnd w:id="34"/>
      <w:r w:rsidRPr="00145D14">
        <w:rPr>
          <w:lang w:val="en-AU"/>
        </w:rPr>
        <w:t>3: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3:  Summary of extended PICO to define research question that assessment will investigate"/>
      </w:tblPr>
      <w:tblGrid>
        <w:gridCol w:w="1809"/>
        <w:gridCol w:w="1134"/>
        <w:gridCol w:w="1465"/>
        <w:gridCol w:w="1512"/>
        <w:gridCol w:w="3322"/>
      </w:tblGrid>
      <w:tr w:rsidR="00DC68D2" w:rsidRPr="00145D14" w:rsidTr="008F5521">
        <w:tc>
          <w:tcPr>
            <w:tcW w:w="1809" w:type="dxa"/>
          </w:tcPr>
          <w:p w:rsidR="00DC68D2" w:rsidRPr="00145D14" w:rsidRDefault="00DC68D2" w:rsidP="00511C7E">
            <w:pPr>
              <w:spacing w:after="0" w:line="240" w:lineRule="auto"/>
              <w:jc w:val="center"/>
              <w:rPr>
                <w:rFonts w:ascii="Arial Narrow" w:hAnsi="Arial Narrow"/>
                <w:b/>
              </w:rPr>
            </w:pPr>
            <w:r w:rsidRPr="00145D14">
              <w:rPr>
                <w:rFonts w:ascii="Arial Narrow" w:hAnsi="Arial Narrow"/>
                <w:b/>
              </w:rPr>
              <w:t>Patients</w:t>
            </w:r>
          </w:p>
        </w:tc>
        <w:tc>
          <w:tcPr>
            <w:tcW w:w="1134" w:type="dxa"/>
          </w:tcPr>
          <w:p w:rsidR="00DC68D2" w:rsidRPr="00145D14" w:rsidRDefault="00DC68D2" w:rsidP="00511C7E">
            <w:pPr>
              <w:spacing w:after="0" w:line="240" w:lineRule="auto"/>
              <w:jc w:val="center"/>
              <w:rPr>
                <w:rFonts w:ascii="Arial Narrow" w:hAnsi="Arial Narrow"/>
                <w:b/>
              </w:rPr>
            </w:pPr>
            <w:r>
              <w:rPr>
                <w:rFonts w:ascii="Arial Narrow" w:hAnsi="Arial Narrow"/>
                <w:b/>
              </w:rPr>
              <w:t>Prior test</w:t>
            </w:r>
          </w:p>
        </w:tc>
        <w:tc>
          <w:tcPr>
            <w:tcW w:w="1465" w:type="dxa"/>
          </w:tcPr>
          <w:p w:rsidR="00DC68D2" w:rsidRPr="00145D14" w:rsidRDefault="00DC68D2" w:rsidP="00511C7E">
            <w:pPr>
              <w:spacing w:after="0" w:line="240" w:lineRule="auto"/>
              <w:jc w:val="center"/>
              <w:rPr>
                <w:rFonts w:ascii="Arial Narrow" w:hAnsi="Arial Narrow"/>
                <w:b/>
              </w:rPr>
            </w:pPr>
            <w:r w:rsidRPr="00145D14">
              <w:rPr>
                <w:rFonts w:ascii="Arial Narrow" w:hAnsi="Arial Narrow"/>
                <w:b/>
              </w:rPr>
              <w:t>Intervention</w:t>
            </w:r>
          </w:p>
        </w:tc>
        <w:tc>
          <w:tcPr>
            <w:tcW w:w="1512" w:type="dxa"/>
          </w:tcPr>
          <w:p w:rsidR="00DC68D2" w:rsidRPr="00145D14" w:rsidRDefault="00DC68D2" w:rsidP="00511C7E">
            <w:pPr>
              <w:spacing w:after="0" w:line="240" w:lineRule="auto"/>
              <w:jc w:val="center"/>
              <w:rPr>
                <w:rFonts w:ascii="Arial Narrow" w:hAnsi="Arial Narrow"/>
                <w:b/>
              </w:rPr>
            </w:pPr>
            <w:r w:rsidRPr="00145D14">
              <w:rPr>
                <w:rFonts w:ascii="Arial Narrow" w:hAnsi="Arial Narrow"/>
                <w:b/>
              </w:rPr>
              <w:t>Comparator</w:t>
            </w:r>
          </w:p>
        </w:tc>
        <w:tc>
          <w:tcPr>
            <w:tcW w:w="3322" w:type="dxa"/>
          </w:tcPr>
          <w:p w:rsidR="00DC68D2" w:rsidRPr="00145D14" w:rsidRDefault="00DC68D2" w:rsidP="00511C7E">
            <w:pPr>
              <w:spacing w:after="0" w:line="240" w:lineRule="auto"/>
              <w:jc w:val="center"/>
              <w:rPr>
                <w:rFonts w:ascii="Arial Narrow" w:hAnsi="Arial Narrow"/>
                <w:b/>
              </w:rPr>
            </w:pPr>
            <w:r w:rsidRPr="00145D14">
              <w:rPr>
                <w:rFonts w:ascii="Arial Narrow" w:hAnsi="Arial Narrow"/>
                <w:b/>
              </w:rPr>
              <w:t>Outcomes to be assessed</w:t>
            </w:r>
          </w:p>
        </w:tc>
      </w:tr>
      <w:tr w:rsidR="00DC68D2" w:rsidRPr="00145D14" w:rsidTr="008F5521">
        <w:tc>
          <w:tcPr>
            <w:tcW w:w="1809" w:type="dxa"/>
          </w:tcPr>
          <w:p w:rsidR="00DC68D2" w:rsidRPr="002340F0" w:rsidRDefault="002340F0" w:rsidP="00135220">
            <w:pPr>
              <w:spacing w:after="0" w:line="240" w:lineRule="auto"/>
              <w:jc w:val="left"/>
              <w:rPr>
                <w:rFonts w:ascii="Arial Narrow" w:hAnsi="Arial Narrow"/>
              </w:rPr>
            </w:pPr>
            <w:r>
              <w:rPr>
                <w:rFonts w:ascii="Arial Narrow" w:hAnsi="Arial Narrow"/>
              </w:rPr>
              <w:t>P</w:t>
            </w:r>
            <w:r w:rsidR="00EC700F" w:rsidRPr="002340F0">
              <w:rPr>
                <w:rFonts w:ascii="Arial Narrow" w:hAnsi="Arial Narrow"/>
              </w:rPr>
              <w:t xml:space="preserve">atients presenting with chronic (more than 6 weeks’ duration) gastrointestinal symptoms which are suggestive of either </w:t>
            </w:r>
            <w:r w:rsidR="00510EEA" w:rsidRPr="00510EEA">
              <w:rPr>
                <w:rFonts w:ascii="Arial Narrow" w:hAnsi="Arial Narrow"/>
              </w:rPr>
              <w:t>functional and inflammatory bowel disorders</w:t>
            </w:r>
            <w:r w:rsidR="00EC700F" w:rsidRPr="002340F0">
              <w:rPr>
                <w:rFonts w:ascii="Arial Narrow" w:hAnsi="Arial Narrow"/>
              </w:rPr>
              <w:t>, and where infectious causes have been excluded</w:t>
            </w:r>
            <w:r w:rsidR="004E162B">
              <w:rPr>
                <w:rFonts w:ascii="Arial Narrow" w:hAnsi="Arial Narrow"/>
              </w:rPr>
              <w:t xml:space="preserve"> and there are no signs suggestive of malignancy</w:t>
            </w:r>
          </w:p>
        </w:tc>
        <w:tc>
          <w:tcPr>
            <w:tcW w:w="1134" w:type="dxa"/>
          </w:tcPr>
          <w:p w:rsidR="00DC68D2" w:rsidRPr="00145D14" w:rsidRDefault="00DC68D2" w:rsidP="00135220">
            <w:pPr>
              <w:spacing w:after="0" w:line="240" w:lineRule="auto"/>
              <w:jc w:val="left"/>
              <w:rPr>
                <w:rFonts w:ascii="Arial Narrow" w:hAnsi="Arial Narrow"/>
              </w:rPr>
            </w:pPr>
            <w:r>
              <w:rPr>
                <w:rFonts w:ascii="Arial Narrow" w:hAnsi="Arial Narrow"/>
              </w:rPr>
              <w:t>N/A</w:t>
            </w:r>
          </w:p>
        </w:tc>
        <w:tc>
          <w:tcPr>
            <w:tcW w:w="1465" w:type="dxa"/>
          </w:tcPr>
          <w:p w:rsidR="00DC68D2" w:rsidRPr="00145D14" w:rsidRDefault="00427A5B">
            <w:pPr>
              <w:spacing w:after="0" w:line="240" w:lineRule="auto"/>
              <w:jc w:val="left"/>
              <w:rPr>
                <w:rFonts w:ascii="Arial Narrow" w:hAnsi="Arial Narrow"/>
              </w:rPr>
            </w:pPr>
            <w:r>
              <w:rPr>
                <w:rFonts w:ascii="Arial Narrow" w:hAnsi="Arial Narrow"/>
              </w:rPr>
              <w:t xml:space="preserve">Faecal </w:t>
            </w:r>
            <w:proofErr w:type="spellStart"/>
            <w:r w:rsidR="00AF1EF4">
              <w:rPr>
                <w:rFonts w:ascii="Arial Narrow" w:hAnsi="Arial Narrow"/>
              </w:rPr>
              <w:t>calprotectin</w:t>
            </w:r>
            <w:proofErr w:type="spellEnd"/>
            <w:r w:rsidR="00AF1EF4">
              <w:rPr>
                <w:rFonts w:ascii="Arial Narrow" w:hAnsi="Arial Narrow"/>
              </w:rPr>
              <w:t xml:space="preserve"> </w:t>
            </w:r>
            <w:r w:rsidR="002340F0">
              <w:rPr>
                <w:rFonts w:ascii="Arial Narrow" w:hAnsi="Arial Narrow"/>
              </w:rPr>
              <w:t xml:space="preserve">test (POCT or </w:t>
            </w:r>
            <w:r w:rsidR="00B13CF7">
              <w:rPr>
                <w:rFonts w:ascii="Arial Narrow" w:hAnsi="Arial Narrow"/>
              </w:rPr>
              <w:t>laboratory-based</w:t>
            </w:r>
            <w:r w:rsidR="002340F0">
              <w:rPr>
                <w:rFonts w:ascii="Arial Narrow" w:hAnsi="Arial Narrow"/>
              </w:rPr>
              <w:t>)</w:t>
            </w:r>
          </w:p>
        </w:tc>
        <w:tc>
          <w:tcPr>
            <w:tcW w:w="1512" w:type="dxa"/>
          </w:tcPr>
          <w:p w:rsidR="00DC68D2" w:rsidRPr="00145D14" w:rsidRDefault="00DC68D2" w:rsidP="00135220">
            <w:pPr>
              <w:spacing w:after="0" w:line="240" w:lineRule="auto"/>
              <w:jc w:val="left"/>
              <w:rPr>
                <w:rFonts w:ascii="Arial Narrow" w:hAnsi="Arial Narrow"/>
              </w:rPr>
            </w:pPr>
            <w:r>
              <w:rPr>
                <w:rFonts w:ascii="Arial Narrow" w:hAnsi="Arial Narrow"/>
              </w:rPr>
              <w:t>Colonoscopy</w:t>
            </w:r>
            <w:r w:rsidR="009D03C1">
              <w:rPr>
                <w:rFonts w:ascii="Arial Narrow" w:hAnsi="Arial Narrow"/>
              </w:rPr>
              <w:t xml:space="preserve"> and biopsy</w:t>
            </w:r>
          </w:p>
        </w:tc>
        <w:tc>
          <w:tcPr>
            <w:tcW w:w="3322" w:type="dxa"/>
          </w:tcPr>
          <w:p w:rsidR="00CD3FF1" w:rsidRPr="00EC700F" w:rsidRDefault="00CD3FF1" w:rsidP="00CD3FF1">
            <w:pPr>
              <w:spacing w:after="0" w:line="240" w:lineRule="auto"/>
              <w:jc w:val="left"/>
              <w:rPr>
                <w:rFonts w:ascii="Arial Narrow" w:hAnsi="Arial Narrow"/>
                <w:i/>
                <w:u w:val="single"/>
                <w:lang w:eastAsia="ja-JP"/>
              </w:rPr>
            </w:pPr>
            <w:r w:rsidRPr="00EC700F">
              <w:rPr>
                <w:rFonts w:ascii="Arial Narrow" w:hAnsi="Arial Narrow"/>
                <w:i/>
                <w:u w:val="single"/>
                <w:lang w:eastAsia="ja-JP"/>
              </w:rPr>
              <w:t xml:space="preserve">Effectiveness </w:t>
            </w:r>
          </w:p>
          <w:p w:rsidR="00B13CF7" w:rsidRDefault="00B13CF7" w:rsidP="00CD3FF1">
            <w:pPr>
              <w:pStyle w:val="ListParagraph"/>
              <w:numPr>
                <w:ilvl w:val="1"/>
                <w:numId w:val="22"/>
              </w:numPr>
              <w:spacing w:after="0" w:line="240" w:lineRule="auto"/>
              <w:ind w:left="401"/>
              <w:jc w:val="left"/>
              <w:rPr>
                <w:rFonts w:ascii="Arial Narrow" w:hAnsi="Arial Narrow"/>
                <w:lang w:eastAsia="ja-JP"/>
              </w:rPr>
            </w:pPr>
            <w:r w:rsidRPr="00CD3FF1">
              <w:rPr>
                <w:rFonts w:ascii="Arial Narrow" w:hAnsi="Arial Narrow"/>
                <w:lang w:eastAsia="ja-JP"/>
              </w:rPr>
              <w:t>Test reproducibility and repeatability</w:t>
            </w:r>
          </w:p>
          <w:p w:rsidR="00CD3FF1" w:rsidRDefault="00CD3FF1" w:rsidP="00CD3FF1">
            <w:pPr>
              <w:pStyle w:val="ListParagraph"/>
              <w:numPr>
                <w:ilvl w:val="1"/>
                <w:numId w:val="22"/>
              </w:numPr>
              <w:spacing w:after="0" w:line="240" w:lineRule="auto"/>
              <w:ind w:left="401"/>
              <w:jc w:val="left"/>
              <w:rPr>
                <w:rFonts w:ascii="Arial Narrow" w:hAnsi="Arial Narrow"/>
                <w:lang w:eastAsia="ja-JP"/>
              </w:rPr>
            </w:pPr>
            <w:r w:rsidRPr="00EC700F">
              <w:rPr>
                <w:rFonts w:ascii="Arial Narrow" w:hAnsi="Arial Narrow"/>
                <w:lang w:eastAsia="ja-JP"/>
              </w:rPr>
              <w:t xml:space="preserve">Diagnostic accuracy: sensitivity, specificity, NPV, PPV, AROC, additional true positives, additional true negatives </w:t>
            </w:r>
          </w:p>
          <w:p w:rsidR="00B13CF7" w:rsidRPr="00EC700F" w:rsidRDefault="00B13CF7" w:rsidP="00CD3FF1">
            <w:pPr>
              <w:pStyle w:val="ListParagraph"/>
              <w:numPr>
                <w:ilvl w:val="1"/>
                <w:numId w:val="22"/>
              </w:numPr>
              <w:spacing w:after="0" w:line="240" w:lineRule="auto"/>
              <w:ind w:left="401"/>
              <w:jc w:val="left"/>
              <w:rPr>
                <w:rFonts w:ascii="Arial Narrow" w:hAnsi="Arial Narrow"/>
                <w:lang w:eastAsia="ja-JP"/>
              </w:rPr>
            </w:pPr>
            <w:r>
              <w:rPr>
                <w:rFonts w:ascii="Arial Narrow" w:hAnsi="Arial Narrow"/>
                <w:lang w:eastAsia="ja-JP"/>
              </w:rPr>
              <w:t>Time to diagnosis and time to commencement of therapy</w:t>
            </w:r>
          </w:p>
          <w:p w:rsidR="00CD3FF1" w:rsidRPr="00EC700F" w:rsidRDefault="00CD3FF1" w:rsidP="00CD3FF1">
            <w:pPr>
              <w:pStyle w:val="ListParagraph"/>
              <w:numPr>
                <w:ilvl w:val="1"/>
                <w:numId w:val="22"/>
              </w:numPr>
              <w:spacing w:after="0" w:line="240" w:lineRule="auto"/>
              <w:ind w:left="401"/>
              <w:jc w:val="left"/>
              <w:rPr>
                <w:rFonts w:ascii="Arial Narrow" w:hAnsi="Arial Narrow"/>
                <w:lang w:eastAsia="ja-JP"/>
              </w:rPr>
            </w:pPr>
            <w:r w:rsidRPr="00EC700F">
              <w:rPr>
                <w:rFonts w:ascii="Arial Narrow" w:hAnsi="Arial Narrow"/>
                <w:lang w:eastAsia="ja-JP"/>
              </w:rPr>
              <w:t>Change in patient management: colonoscopies avoided, delay in diagnosis due to false negatives</w:t>
            </w:r>
          </w:p>
          <w:p w:rsidR="00CD3FF1" w:rsidRDefault="00CD3FF1" w:rsidP="00CD3FF1">
            <w:pPr>
              <w:pStyle w:val="ListParagraph"/>
              <w:numPr>
                <w:ilvl w:val="1"/>
                <w:numId w:val="22"/>
              </w:numPr>
              <w:spacing w:after="0" w:line="240" w:lineRule="auto"/>
              <w:ind w:left="401"/>
              <w:jc w:val="left"/>
              <w:rPr>
                <w:rFonts w:ascii="Arial Narrow" w:hAnsi="Arial Narrow"/>
                <w:lang w:eastAsia="ja-JP"/>
              </w:rPr>
            </w:pPr>
            <w:r w:rsidRPr="00EC700F">
              <w:rPr>
                <w:rFonts w:ascii="Arial Narrow" w:hAnsi="Arial Narrow"/>
                <w:lang w:eastAsia="ja-JP"/>
              </w:rPr>
              <w:t xml:space="preserve">Other: disease-specific </w:t>
            </w:r>
            <w:r w:rsidR="00377E9B">
              <w:rPr>
                <w:rFonts w:ascii="Arial Narrow" w:hAnsi="Arial Narrow"/>
                <w:lang w:eastAsia="ja-JP"/>
              </w:rPr>
              <w:t>morbidity</w:t>
            </w:r>
            <w:r w:rsidR="00377E9B">
              <w:rPr>
                <w:rStyle w:val="CommentReference"/>
              </w:rPr>
              <w:t xml:space="preserve">, </w:t>
            </w:r>
            <w:r w:rsidRPr="00EC700F">
              <w:rPr>
                <w:rFonts w:ascii="Arial Narrow" w:hAnsi="Arial Narrow"/>
                <w:lang w:eastAsia="ja-JP"/>
              </w:rPr>
              <w:t>disease progression, quality of life, impact on colonoscopy demand</w:t>
            </w:r>
          </w:p>
          <w:p w:rsidR="00B13CF7" w:rsidRPr="00EC700F" w:rsidRDefault="00B13CF7" w:rsidP="00CD3FF1">
            <w:pPr>
              <w:pStyle w:val="ListParagraph"/>
              <w:numPr>
                <w:ilvl w:val="1"/>
                <w:numId w:val="22"/>
              </w:numPr>
              <w:spacing w:after="0" w:line="240" w:lineRule="auto"/>
              <w:ind w:left="401"/>
              <w:jc w:val="left"/>
              <w:rPr>
                <w:rFonts w:ascii="Arial Narrow" w:hAnsi="Arial Narrow"/>
                <w:lang w:eastAsia="ja-JP"/>
              </w:rPr>
            </w:pPr>
            <w:r>
              <w:rPr>
                <w:rFonts w:ascii="Arial Narrow" w:hAnsi="Arial Narrow"/>
                <w:lang w:eastAsia="ja-JP"/>
              </w:rPr>
              <w:t>Reduction in referrals to specialists</w:t>
            </w:r>
          </w:p>
          <w:p w:rsidR="00CD3FF1" w:rsidRPr="00EC700F" w:rsidRDefault="00CD3FF1" w:rsidP="00CD3FF1">
            <w:pPr>
              <w:spacing w:after="0" w:line="240" w:lineRule="auto"/>
              <w:ind w:left="41"/>
              <w:jc w:val="left"/>
              <w:rPr>
                <w:rFonts w:ascii="Arial Narrow" w:hAnsi="Arial Narrow"/>
                <w:i/>
                <w:u w:val="single"/>
                <w:lang w:eastAsia="ja-JP"/>
              </w:rPr>
            </w:pPr>
            <w:r w:rsidRPr="00EC700F">
              <w:rPr>
                <w:rFonts w:ascii="Arial Narrow" w:hAnsi="Arial Narrow"/>
                <w:i/>
                <w:u w:val="single"/>
                <w:lang w:eastAsia="ja-JP"/>
              </w:rPr>
              <w:t>Safety</w:t>
            </w:r>
          </w:p>
          <w:p w:rsidR="00CD3FF1" w:rsidRPr="00EC700F" w:rsidRDefault="00CD3FF1" w:rsidP="00CD3FF1">
            <w:pPr>
              <w:pStyle w:val="ListParagraph"/>
              <w:numPr>
                <w:ilvl w:val="1"/>
                <w:numId w:val="22"/>
              </w:numPr>
              <w:spacing w:after="0" w:line="240" w:lineRule="auto"/>
              <w:ind w:left="401"/>
              <w:jc w:val="left"/>
              <w:rPr>
                <w:rFonts w:ascii="Arial Narrow" w:hAnsi="Arial Narrow"/>
                <w:lang w:eastAsia="ja-JP"/>
              </w:rPr>
            </w:pPr>
            <w:r w:rsidRPr="00EC700F">
              <w:rPr>
                <w:rFonts w:ascii="Arial Narrow" w:hAnsi="Arial Narrow"/>
                <w:lang w:eastAsia="ja-JP"/>
              </w:rPr>
              <w:t>Adverse events: perforations avoided, bleeding</w:t>
            </w:r>
          </w:p>
          <w:p w:rsidR="00CD3FF1" w:rsidRPr="00EC700F" w:rsidRDefault="00CD3FF1" w:rsidP="00CD3FF1">
            <w:pPr>
              <w:spacing w:after="0" w:line="240" w:lineRule="auto"/>
              <w:ind w:left="41"/>
              <w:jc w:val="left"/>
              <w:rPr>
                <w:rFonts w:ascii="Arial Narrow" w:hAnsi="Arial Narrow"/>
                <w:i/>
                <w:u w:val="single"/>
                <w:lang w:eastAsia="ja-JP"/>
              </w:rPr>
            </w:pPr>
            <w:r w:rsidRPr="00EC700F">
              <w:rPr>
                <w:rFonts w:ascii="Arial Narrow" w:hAnsi="Arial Narrow"/>
                <w:i/>
                <w:u w:val="single"/>
                <w:lang w:eastAsia="ja-JP"/>
              </w:rPr>
              <w:t>Economic</w:t>
            </w:r>
          </w:p>
          <w:p w:rsidR="00DC68D2" w:rsidRDefault="00CD3FF1" w:rsidP="00CD3FF1">
            <w:pPr>
              <w:pStyle w:val="ListParagraph"/>
              <w:numPr>
                <w:ilvl w:val="1"/>
                <w:numId w:val="22"/>
              </w:numPr>
              <w:spacing w:after="0" w:line="240" w:lineRule="auto"/>
              <w:ind w:left="401"/>
              <w:jc w:val="left"/>
              <w:rPr>
                <w:rFonts w:ascii="Arial Narrow" w:hAnsi="Arial Narrow"/>
                <w:lang w:eastAsia="ja-JP"/>
              </w:rPr>
            </w:pPr>
            <w:r w:rsidRPr="00EC700F">
              <w:rPr>
                <w:rFonts w:ascii="Arial Narrow" w:hAnsi="Arial Narrow"/>
              </w:rPr>
              <w:t>Cost-utility or a cost-effectiveness analysis</w:t>
            </w:r>
          </w:p>
          <w:p w:rsidR="00B13CF7" w:rsidRPr="00CD3FF1" w:rsidRDefault="00B13CF7" w:rsidP="00CD3FF1">
            <w:pPr>
              <w:pStyle w:val="ListParagraph"/>
              <w:numPr>
                <w:ilvl w:val="1"/>
                <w:numId w:val="22"/>
              </w:numPr>
              <w:spacing w:after="0" w:line="240" w:lineRule="auto"/>
              <w:ind w:left="401"/>
              <w:jc w:val="left"/>
              <w:rPr>
                <w:rFonts w:ascii="Arial Narrow" w:hAnsi="Arial Narrow"/>
                <w:lang w:eastAsia="ja-JP"/>
              </w:rPr>
            </w:pPr>
            <w:r>
              <w:rPr>
                <w:rFonts w:ascii="Arial Narrow" w:hAnsi="Arial Narrow"/>
              </w:rPr>
              <w:t>Time lost from work</w:t>
            </w:r>
          </w:p>
        </w:tc>
      </w:tr>
      <w:tr w:rsidR="00DC68D2" w:rsidRPr="00145D14" w:rsidTr="008F5521">
        <w:tc>
          <w:tcPr>
            <w:tcW w:w="1809" w:type="dxa"/>
          </w:tcPr>
          <w:p w:rsidR="00DC68D2" w:rsidRPr="002340F0" w:rsidRDefault="002340F0" w:rsidP="00DC68D2">
            <w:pPr>
              <w:spacing w:after="0" w:line="240" w:lineRule="auto"/>
              <w:jc w:val="left"/>
              <w:rPr>
                <w:rFonts w:ascii="Arial Narrow" w:hAnsi="Arial Narrow"/>
              </w:rPr>
            </w:pPr>
            <w:r>
              <w:rPr>
                <w:rFonts w:ascii="Arial Narrow" w:hAnsi="Arial Narrow" w:cs="Arial"/>
              </w:rPr>
              <w:t>P</w:t>
            </w:r>
            <w:r w:rsidR="00DC68D2" w:rsidRPr="002340F0">
              <w:rPr>
                <w:rFonts w:ascii="Arial Narrow" w:hAnsi="Arial Narrow" w:cs="Arial"/>
              </w:rPr>
              <w:t xml:space="preserve">atients with an established diagnosis of IBD such as ulcerative colitis (UC) or Crohn’s disease (CD). </w:t>
            </w:r>
          </w:p>
        </w:tc>
        <w:tc>
          <w:tcPr>
            <w:tcW w:w="1134" w:type="dxa"/>
          </w:tcPr>
          <w:p w:rsidR="00DC68D2" w:rsidRPr="00F64922" w:rsidRDefault="00DC68D2" w:rsidP="00F64922">
            <w:pPr>
              <w:spacing w:after="0" w:line="240" w:lineRule="auto"/>
              <w:jc w:val="left"/>
              <w:rPr>
                <w:rFonts w:ascii="Arial Narrow" w:hAnsi="Arial Narrow"/>
              </w:rPr>
            </w:pPr>
            <w:r w:rsidRPr="00F64922">
              <w:rPr>
                <w:rFonts w:ascii="Arial Narrow" w:hAnsi="Arial Narrow"/>
              </w:rPr>
              <w:t>Established diagnosis of IBD</w:t>
            </w:r>
            <w:r w:rsidR="002340F0" w:rsidRPr="00F64922">
              <w:rPr>
                <w:rFonts w:ascii="Arial Narrow" w:hAnsi="Arial Narrow"/>
              </w:rPr>
              <w:t xml:space="preserve"> </w:t>
            </w:r>
            <w:r w:rsidR="00F64922" w:rsidRPr="00F64922">
              <w:rPr>
                <w:rFonts w:ascii="Arial Narrow" w:hAnsi="Arial Narrow"/>
              </w:rPr>
              <w:t>(endoscopy)</w:t>
            </w:r>
          </w:p>
        </w:tc>
        <w:tc>
          <w:tcPr>
            <w:tcW w:w="1465" w:type="dxa"/>
          </w:tcPr>
          <w:p w:rsidR="00DC68D2" w:rsidRPr="00145D14" w:rsidRDefault="00427A5B">
            <w:pPr>
              <w:spacing w:after="0" w:line="240" w:lineRule="auto"/>
              <w:jc w:val="left"/>
              <w:rPr>
                <w:rFonts w:ascii="Arial Narrow" w:hAnsi="Arial Narrow"/>
              </w:rPr>
            </w:pPr>
            <w:r>
              <w:rPr>
                <w:rFonts w:ascii="Arial Narrow" w:hAnsi="Arial Narrow"/>
              </w:rPr>
              <w:t xml:space="preserve">Faecal </w:t>
            </w:r>
            <w:proofErr w:type="spellStart"/>
            <w:r w:rsidR="00AF1EF4">
              <w:rPr>
                <w:rFonts w:ascii="Arial Narrow" w:hAnsi="Arial Narrow"/>
              </w:rPr>
              <w:t>calprotectin</w:t>
            </w:r>
            <w:proofErr w:type="spellEnd"/>
            <w:r w:rsidR="00AF1EF4">
              <w:rPr>
                <w:rFonts w:ascii="Arial Narrow" w:hAnsi="Arial Narrow"/>
              </w:rPr>
              <w:t xml:space="preserve"> </w:t>
            </w:r>
            <w:r w:rsidR="002340F0">
              <w:rPr>
                <w:rFonts w:ascii="Arial Narrow" w:hAnsi="Arial Narrow"/>
              </w:rPr>
              <w:t xml:space="preserve">test (POCT or </w:t>
            </w:r>
            <w:r w:rsidR="00B13CF7">
              <w:rPr>
                <w:rFonts w:ascii="Arial Narrow" w:hAnsi="Arial Narrow"/>
              </w:rPr>
              <w:t>laboratory based</w:t>
            </w:r>
            <w:r w:rsidR="002340F0">
              <w:rPr>
                <w:rFonts w:ascii="Arial Narrow" w:hAnsi="Arial Narrow"/>
              </w:rPr>
              <w:t>)</w:t>
            </w:r>
          </w:p>
        </w:tc>
        <w:tc>
          <w:tcPr>
            <w:tcW w:w="1512" w:type="dxa"/>
          </w:tcPr>
          <w:p w:rsidR="00DC68D2" w:rsidRPr="002340F0" w:rsidRDefault="002340F0" w:rsidP="00B13CF7">
            <w:pPr>
              <w:spacing w:after="0" w:line="240" w:lineRule="auto"/>
              <w:jc w:val="left"/>
              <w:rPr>
                <w:rFonts w:ascii="Arial Narrow" w:hAnsi="Arial Narrow"/>
              </w:rPr>
            </w:pPr>
            <w:r>
              <w:rPr>
                <w:rFonts w:ascii="Arial Narrow" w:hAnsi="Arial Narrow" w:cs="Arial"/>
              </w:rPr>
              <w:t>C</w:t>
            </w:r>
            <w:r w:rsidR="00DC68D2" w:rsidRPr="002340F0">
              <w:rPr>
                <w:rFonts w:ascii="Arial Narrow" w:hAnsi="Arial Narrow" w:cs="Arial"/>
              </w:rPr>
              <w:t xml:space="preserve">ombination of colonoscopy, </w:t>
            </w:r>
            <w:r w:rsidR="00B13CF7" w:rsidRPr="00B13CF7">
              <w:rPr>
                <w:rFonts w:ascii="Arial Narrow" w:hAnsi="Arial Narrow" w:cs="Arial"/>
              </w:rPr>
              <w:t>ESR and/or CRP, and radiology (CT +/- MRI)</w:t>
            </w:r>
            <w:r w:rsidR="00B13CF7" w:rsidRPr="002340F0" w:rsidDel="00B13CF7">
              <w:rPr>
                <w:rFonts w:ascii="Arial Narrow" w:hAnsi="Arial Narrow" w:cs="Arial"/>
              </w:rPr>
              <w:t xml:space="preserve"> </w:t>
            </w:r>
          </w:p>
        </w:tc>
        <w:tc>
          <w:tcPr>
            <w:tcW w:w="3322" w:type="dxa"/>
          </w:tcPr>
          <w:p w:rsidR="00CD3FF1" w:rsidRPr="00CD3FF1" w:rsidRDefault="00CD3FF1" w:rsidP="00CD3FF1">
            <w:pPr>
              <w:spacing w:after="0" w:line="240" w:lineRule="auto"/>
              <w:jc w:val="left"/>
              <w:rPr>
                <w:rFonts w:ascii="Arial Narrow" w:hAnsi="Arial Narrow"/>
                <w:i/>
                <w:u w:val="single"/>
                <w:lang w:eastAsia="ja-JP"/>
              </w:rPr>
            </w:pPr>
            <w:r w:rsidRPr="00CD3FF1">
              <w:rPr>
                <w:rFonts w:ascii="Arial Narrow" w:hAnsi="Arial Narrow"/>
                <w:i/>
                <w:u w:val="single"/>
                <w:lang w:eastAsia="ja-JP"/>
              </w:rPr>
              <w:t xml:space="preserve">Effectiveness </w:t>
            </w:r>
          </w:p>
          <w:p w:rsidR="00CD3FF1" w:rsidRPr="00CD3FF1" w:rsidRDefault="00CD3FF1" w:rsidP="00CD3FF1">
            <w:pPr>
              <w:pStyle w:val="ListParagraph"/>
              <w:numPr>
                <w:ilvl w:val="1"/>
                <w:numId w:val="22"/>
              </w:numPr>
              <w:spacing w:after="0" w:line="240" w:lineRule="auto"/>
              <w:ind w:left="401"/>
              <w:jc w:val="left"/>
              <w:rPr>
                <w:rFonts w:ascii="Arial Narrow" w:hAnsi="Arial Narrow"/>
                <w:lang w:eastAsia="ja-JP"/>
              </w:rPr>
            </w:pPr>
            <w:r w:rsidRPr="00CD3FF1">
              <w:rPr>
                <w:rFonts w:ascii="Arial Narrow" w:hAnsi="Arial Narrow"/>
                <w:lang w:eastAsia="ja-JP"/>
              </w:rPr>
              <w:t>Test reproducibility and repeatability (coefficient of variance)</w:t>
            </w:r>
          </w:p>
          <w:p w:rsidR="00CD3FF1" w:rsidRPr="00CD3FF1" w:rsidRDefault="00CD3FF1" w:rsidP="00CD3FF1">
            <w:pPr>
              <w:pStyle w:val="ListParagraph"/>
              <w:numPr>
                <w:ilvl w:val="1"/>
                <w:numId w:val="22"/>
              </w:numPr>
              <w:spacing w:after="0" w:line="240" w:lineRule="auto"/>
              <w:ind w:left="401"/>
              <w:jc w:val="left"/>
              <w:rPr>
                <w:rFonts w:ascii="Arial Narrow" w:hAnsi="Arial Narrow"/>
                <w:lang w:eastAsia="ja-JP"/>
              </w:rPr>
            </w:pPr>
            <w:r w:rsidRPr="00CD3FF1">
              <w:rPr>
                <w:rFonts w:ascii="Arial Narrow" w:hAnsi="Arial Narrow"/>
                <w:lang w:eastAsia="ja-JP"/>
              </w:rPr>
              <w:t xml:space="preserve">Diagnostic accuracy: sensitivity, specificity, NPV, PPV, AROC, additional true positives, additional true negatives, assay cut-offs for severity of acute inflammation </w:t>
            </w:r>
          </w:p>
          <w:p w:rsidR="00CD3FF1" w:rsidRPr="00CD3FF1" w:rsidRDefault="00CD3FF1" w:rsidP="00CD3FF1">
            <w:pPr>
              <w:pStyle w:val="ListParagraph"/>
              <w:numPr>
                <w:ilvl w:val="1"/>
                <w:numId w:val="22"/>
              </w:numPr>
              <w:spacing w:after="0" w:line="240" w:lineRule="auto"/>
              <w:ind w:left="401"/>
              <w:jc w:val="left"/>
              <w:rPr>
                <w:rFonts w:ascii="Arial Narrow" w:hAnsi="Arial Narrow"/>
                <w:lang w:eastAsia="ja-JP"/>
              </w:rPr>
            </w:pPr>
            <w:r w:rsidRPr="00CD3FF1">
              <w:rPr>
                <w:rFonts w:ascii="Arial Narrow" w:hAnsi="Arial Narrow"/>
                <w:lang w:eastAsia="ja-JP"/>
              </w:rPr>
              <w:t xml:space="preserve">Change in patient management: colonoscopies avoided; reduced need for biological therapies and surgery, how changes in </w:t>
            </w:r>
            <w:proofErr w:type="spellStart"/>
            <w:r w:rsidRPr="00CD3FF1">
              <w:rPr>
                <w:rFonts w:ascii="Arial Narrow" w:hAnsi="Arial Narrow"/>
                <w:lang w:eastAsia="ja-JP"/>
              </w:rPr>
              <w:t>calprotectin</w:t>
            </w:r>
            <w:proofErr w:type="spellEnd"/>
            <w:r w:rsidRPr="00CD3FF1">
              <w:rPr>
                <w:rFonts w:ascii="Arial Narrow" w:hAnsi="Arial Narrow"/>
                <w:lang w:eastAsia="ja-JP"/>
              </w:rPr>
              <w:t xml:space="preserve"> levels will influence patient management</w:t>
            </w:r>
          </w:p>
          <w:p w:rsidR="00CD3FF1" w:rsidRPr="00CD3FF1" w:rsidRDefault="00CD3FF1" w:rsidP="00CD3FF1">
            <w:pPr>
              <w:pStyle w:val="ListParagraph"/>
              <w:numPr>
                <w:ilvl w:val="1"/>
                <w:numId w:val="22"/>
              </w:numPr>
              <w:spacing w:after="0" w:line="240" w:lineRule="auto"/>
              <w:ind w:left="401"/>
              <w:jc w:val="left"/>
              <w:rPr>
                <w:rFonts w:ascii="Arial Narrow" w:hAnsi="Arial Narrow"/>
                <w:lang w:eastAsia="ja-JP"/>
              </w:rPr>
            </w:pPr>
            <w:r w:rsidRPr="00CD3FF1">
              <w:rPr>
                <w:rFonts w:ascii="Arial Narrow" w:hAnsi="Arial Narrow"/>
                <w:lang w:eastAsia="ja-JP"/>
              </w:rPr>
              <w:t xml:space="preserve">Other: disease-specific </w:t>
            </w:r>
            <w:r w:rsidR="00377E9B">
              <w:rPr>
                <w:rFonts w:ascii="Arial Narrow" w:hAnsi="Arial Narrow"/>
                <w:lang w:eastAsia="ja-JP"/>
              </w:rPr>
              <w:t xml:space="preserve">morbidity, </w:t>
            </w:r>
            <w:r w:rsidRPr="00CD3FF1">
              <w:rPr>
                <w:rFonts w:ascii="Arial Narrow" w:hAnsi="Arial Narrow"/>
                <w:lang w:eastAsia="ja-JP"/>
              </w:rPr>
              <w:t xml:space="preserve">disease progression, quality of life, impact on colonoscopy demand, confounding effect of other inflammatory GE disorders, longitudinal changes in </w:t>
            </w:r>
            <w:proofErr w:type="spellStart"/>
            <w:r w:rsidRPr="00CD3FF1">
              <w:rPr>
                <w:rFonts w:ascii="Arial Narrow" w:hAnsi="Arial Narrow"/>
                <w:lang w:eastAsia="ja-JP"/>
              </w:rPr>
              <w:t>calprotectin</w:t>
            </w:r>
            <w:proofErr w:type="spellEnd"/>
            <w:r w:rsidRPr="00CD3FF1">
              <w:rPr>
                <w:rFonts w:ascii="Arial Narrow" w:hAnsi="Arial Narrow"/>
                <w:lang w:eastAsia="ja-JP"/>
              </w:rPr>
              <w:t xml:space="preserve"> levels and correlation with symptoms and histological evidence of active inflammation</w:t>
            </w:r>
          </w:p>
          <w:p w:rsidR="00CD3FF1" w:rsidRPr="00CD3FF1" w:rsidRDefault="00CD3FF1" w:rsidP="00CD3FF1">
            <w:pPr>
              <w:spacing w:after="0" w:line="240" w:lineRule="auto"/>
              <w:ind w:left="41"/>
              <w:jc w:val="left"/>
              <w:rPr>
                <w:rFonts w:ascii="Arial Narrow" w:hAnsi="Arial Narrow"/>
                <w:i/>
                <w:u w:val="single"/>
                <w:lang w:eastAsia="ja-JP"/>
              </w:rPr>
            </w:pPr>
            <w:r w:rsidRPr="00CD3FF1">
              <w:rPr>
                <w:rFonts w:ascii="Arial Narrow" w:hAnsi="Arial Narrow"/>
                <w:i/>
                <w:u w:val="single"/>
                <w:lang w:eastAsia="ja-JP"/>
              </w:rPr>
              <w:t>Safety</w:t>
            </w:r>
          </w:p>
          <w:p w:rsidR="00CD3FF1" w:rsidRPr="00CD3FF1" w:rsidRDefault="00CD3FF1" w:rsidP="00CD3FF1">
            <w:pPr>
              <w:pStyle w:val="ListParagraph"/>
              <w:numPr>
                <w:ilvl w:val="1"/>
                <w:numId w:val="22"/>
              </w:numPr>
              <w:spacing w:after="0" w:line="240" w:lineRule="auto"/>
              <w:ind w:left="401"/>
              <w:jc w:val="left"/>
              <w:rPr>
                <w:rFonts w:ascii="Arial Narrow" w:hAnsi="Arial Narrow"/>
                <w:lang w:eastAsia="ja-JP"/>
              </w:rPr>
            </w:pPr>
            <w:r w:rsidRPr="00CD3FF1">
              <w:rPr>
                <w:rFonts w:ascii="Arial Narrow" w:hAnsi="Arial Narrow"/>
                <w:lang w:eastAsia="ja-JP"/>
              </w:rPr>
              <w:t>Adverse events: perforations avoided, bleeding</w:t>
            </w:r>
          </w:p>
          <w:p w:rsidR="00CD3FF1" w:rsidRPr="00CD3FF1" w:rsidRDefault="00CD3FF1" w:rsidP="00CD3FF1">
            <w:pPr>
              <w:spacing w:after="0" w:line="240" w:lineRule="auto"/>
              <w:ind w:left="41"/>
              <w:jc w:val="left"/>
              <w:rPr>
                <w:rFonts w:ascii="Arial Narrow" w:hAnsi="Arial Narrow"/>
                <w:i/>
                <w:u w:val="single"/>
                <w:lang w:eastAsia="ja-JP"/>
              </w:rPr>
            </w:pPr>
            <w:r w:rsidRPr="00CD3FF1">
              <w:rPr>
                <w:rFonts w:ascii="Arial Narrow" w:hAnsi="Arial Narrow"/>
                <w:i/>
                <w:u w:val="single"/>
                <w:lang w:eastAsia="ja-JP"/>
              </w:rPr>
              <w:t>Economic</w:t>
            </w:r>
          </w:p>
          <w:p w:rsidR="00DC68D2" w:rsidRPr="008F5521" w:rsidRDefault="00CD3FF1" w:rsidP="008F5521">
            <w:pPr>
              <w:pStyle w:val="ListParagraph"/>
              <w:numPr>
                <w:ilvl w:val="0"/>
                <w:numId w:val="52"/>
              </w:numPr>
              <w:spacing w:after="0"/>
              <w:jc w:val="left"/>
              <w:rPr>
                <w:rFonts w:ascii="Arial Narrow" w:hAnsi="Arial Narrow"/>
              </w:rPr>
            </w:pPr>
            <w:r w:rsidRPr="008F5521">
              <w:rPr>
                <w:rFonts w:ascii="Arial Narrow" w:hAnsi="Arial Narrow"/>
              </w:rPr>
              <w:t>Cost-utility or a cost-effectiveness</w:t>
            </w:r>
          </w:p>
          <w:p w:rsidR="00B13CF7" w:rsidRPr="008F5521" w:rsidRDefault="00B13CF7" w:rsidP="008F5521">
            <w:pPr>
              <w:pStyle w:val="ListParagraph"/>
              <w:numPr>
                <w:ilvl w:val="0"/>
                <w:numId w:val="52"/>
              </w:numPr>
              <w:spacing w:after="0"/>
              <w:jc w:val="left"/>
              <w:rPr>
                <w:rFonts w:ascii="Arial Narrow" w:hAnsi="Arial Narrow"/>
                <w:lang w:eastAsia="ja-JP"/>
              </w:rPr>
            </w:pPr>
            <w:r w:rsidRPr="008F5521">
              <w:rPr>
                <w:rFonts w:ascii="Arial Narrow" w:hAnsi="Arial Narrow"/>
              </w:rPr>
              <w:t>Time lost from work</w:t>
            </w:r>
          </w:p>
        </w:tc>
      </w:tr>
    </w:tbl>
    <w:p w:rsidR="009708D9" w:rsidRDefault="009708D9" w:rsidP="009708D9">
      <w:bookmarkStart w:id="35" w:name="_Toc411240142"/>
    </w:p>
    <w:p w:rsidR="00013F0F" w:rsidRPr="00013F0F" w:rsidRDefault="00013F0F" w:rsidP="00013F0F">
      <w:pPr>
        <w:rPr>
          <w:i/>
        </w:rPr>
      </w:pPr>
      <w:r w:rsidRPr="00013F0F">
        <w:rPr>
          <w:i/>
        </w:rPr>
        <w:t xml:space="preserve">PASC noted that the outcomes have been updated in light of previous PASC and GESA recommendations.  </w:t>
      </w:r>
    </w:p>
    <w:p w:rsidR="009708D9" w:rsidRPr="00013F0F" w:rsidRDefault="009708D9" w:rsidP="009708D9">
      <w:pPr>
        <w:rPr>
          <w:i/>
        </w:rPr>
      </w:pPr>
      <w:r w:rsidRPr="00013F0F">
        <w:rPr>
          <w:i/>
        </w:rPr>
        <w:lastRenderedPageBreak/>
        <w:t>PASC advised the following amendments (in bold) to the outcomes:</w:t>
      </w:r>
    </w:p>
    <w:p w:rsidR="009708D9" w:rsidRPr="00013F0F" w:rsidRDefault="009708D9" w:rsidP="009708D9">
      <w:pPr>
        <w:pStyle w:val="ListParagraph"/>
        <w:numPr>
          <w:ilvl w:val="0"/>
          <w:numId w:val="61"/>
        </w:numPr>
        <w:rPr>
          <w:i/>
        </w:rPr>
      </w:pPr>
      <w:r w:rsidRPr="00013F0F">
        <w:rPr>
          <w:i/>
        </w:rPr>
        <w:t xml:space="preserve">Faecal </w:t>
      </w:r>
      <w:proofErr w:type="spellStart"/>
      <w:r w:rsidRPr="00013F0F">
        <w:rPr>
          <w:i/>
        </w:rPr>
        <w:t>calprotectin</w:t>
      </w:r>
      <w:proofErr w:type="spellEnd"/>
      <w:r w:rsidRPr="00013F0F">
        <w:rPr>
          <w:i/>
        </w:rPr>
        <w:t xml:space="preserve"> test for differentiating between functional and inflammatory bowel disorders:</w:t>
      </w:r>
    </w:p>
    <w:p w:rsidR="009708D9" w:rsidRPr="00013F0F" w:rsidRDefault="009708D9" w:rsidP="009708D9">
      <w:pPr>
        <w:pStyle w:val="ListParagraph"/>
        <w:numPr>
          <w:ilvl w:val="0"/>
          <w:numId w:val="56"/>
        </w:numPr>
        <w:rPr>
          <w:i/>
        </w:rPr>
      </w:pPr>
      <w:r w:rsidRPr="00013F0F">
        <w:rPr>
          <w:i/>
        </w:rPr>
        <w:t xml:space="preserve">Effectiveness </w:t>
      </w:r>
    </w:p>
    <w:p w:rsidR="009708D9" w:rsidRPr="00013F0F" w:rsidRDefault="009708D9" w:rsidP="009708D9">
      <w:pPr>
        <w:pStyle w:val="ListParagraph"/>
        <w:numPr>
          <w:ilvl w:val="1"/>
          <w:numId w:val="56"/>
        </w:numPr>
        <w:rPr>
          <w:i/>
        </w:rPr>
      </w:pPr>
      <w:r w:rsidRPr="00013F0F">
        <w:rPr>
          <w:i/>
        </w:rPr>
        <w:t>Diagnostic accuracy: sensitivity, specificity, NPV, PPV, AROC, additional true positives, additional true negatives, test reproducibility (</w:t>
      </w:r>
      <w:r w:rsidRPr="00013F0F">
        <w:rPr>
          <w:b/>
          <w:i/>
        </w:rPr>
        <w:t>within and between assays</w:t>
      </w:r>
      <w:r w:rsidRPr="00013F0F">
        <w:rPr>
          <w:i/>
        </w:rPr>
        <w:t>) and repeatability</w:t>
      </w:r>
    </w:p>
    <w:p w:rsidR="009708D9" w:rsidRPr="00013F0F" w:rsidRDefault="009708D9" w:rsidP="009708D9">
      <w:pPr>
        <w:pStyle w:val="ListParagraph"/>
        <w:numPr>
          <w:ilvl w:val="1"/>
          <w:numId w:val="56"/>
        </w:numPr>
        <w:rPr>
          <w:i/>
        </w:rPr>
      </w:pPr>
      <w:r w:rsidRPr="00013F0F">
        <w:rPr>
          <w:i/>
        </w:rPr>
        <w:t>Time to diagnosis and time to commencement of therapy</w:t>
      </w:r>
    </w:p>
    <w:p w:rsidR="009708D9" w:rsidRPr="00013F0F" w:rsidRDefault="009708D9" w:rsidP="009708D9">
      <w:pPr>
        <w:pStyle w:val="ListParagraph"/>
        <w:numPr>
          <w:ilvl w:val="1"/>
          <w:numId w:val="56"/>
        </w:numPr>
        <w:rPr>
          <w:i/>
        </w:rPr>
      </w:pPr>
      <w:r w:rsidRPr="00013F0F">
        <w:rPr>
          <w:i/>
        </w:rPr>
        <w:t>Change in patient management: colonoscopies avoided, delay in diagnosis due to false negatives</w:t>
      </w:r>
    </w:p>
    <w:p w:rsidR="009708D9" w:rsidRPr="00013F0F" w:rsidRDefault="009708D9" w:rsidP="009708D9">
      <w:pPr>
        <w:pStyle w:val="ListParagraph"/>
        <w:numPr>
          <w:ilvl w:val="1"/>
          <w:numId w:val="56"/>
        </w:numPr>
        <w:rPr>
          <w:i/>
        </w:rPr>
      </w:pPr>
      <w:r w:rsidRPr="00013F0F">
        <w:rPr>
          <w:i/>
        </w:rPr>
        <w:t>Other: disease-specific morbidity, disease progression, quality of life, impact on colonoscopy demand</w:t>
      </w:r>
    </w:p>
    <w:p w:rsidR="009708D9" w:rsidRPr="00013F0F" w:rsidRDefault="009708D9" w:rsidP="009708D9">
      <w:pPr>
        <w:pStyle w:val="ListParagraph"/>
        <w:numPr>
          <w:ilvl w:val="1"/>
          <w:numId w:val="56"/>
        </w:numPr>
        <w:rPr>
          <w:i/>
        </w:rPr>
      </w:pPr>
      <w:r w:rsidRPr="00013F0F">
        <w:rPr>
          <w:i/>
        </w:rPr>
        <w:t>Reduction in referrals to specialists</w:t>
      </w:r>
    </w:p>
    <w:p w:rsidR="009708D9" w:rsidRPr="00013F0F" w:rsidRDefault="009708D9" w:rsidP="009708D9">
      <w:pPr>
        <w:pStyle w:val="ListParagraph"/>
        <w:numPr>
          <w:ilvl w:val="0"/>
          <w:numId w:val="56"/>
        </w:numPr>
        <w:rPr>
          <w:i/>
        </w:rPr>
      </w:pPr>
      <w:r w:rsidRPr="00013F0F">
        <w:rPr>
          <w:i/>
        </w:rPr>
        <w:t>Safety</w:t>
      </w:r>
    </w:p>
    <w:p w:rsidR="009708D9" w:rsidRPr="00013F0F" w:rsidRDefault="009708D9" w:rsidP="009708D9">
      <w:pPr>
        <w:pStyle w:val="ListParagraph"/>
        <w:numPr>
          <w:ilvl w:val="1"/>
          <w:numId w:val="56"/>
        </w:numPr>
        <w:rPr>
          <w:i/>
        </w:rPr>
      </w:pPr>
      <w:r w:rsidRPr="00013F0F">
        <w:rPr>
          <w:i/>
        </w:rPr>
        <w:t>Adverse events: perforations avoided, bleeding</w:t>
      </w:r>
    </w:p>
    <w:p w:rsidR="009708D9" w:rsidRPr="00013F0F" w:rsidRDefault="009708D9" w:rsidP="009708D9">
      <w:pPr>
        <w:pStyle w:val="ListParagraph"/>
        <w:numPr>
          <w:ilvl w:val="0"/>
          <w:numId w:val="56"/>
        </w:numPr>
        <w:rPr>
          <w:i/>
        </w:rPr>
      </w:pPr>
      <w:r w:rsidRPr="00013F0F">
        <w:rPr>
          <w:i/>
        </w:rPr>
        <w:t>Economic</w:t>
      </w:r>
    </w:p>
    <w:p w:rsidR="009708D9" w:rsidRPr="00013F0F" w:rsidRDefault="009708D9" w:rsidP="009708D9">
      <w:pPr>
        <w:pStyle w:val="ListParagraph"/>
        <w:numPr>
          <w:ilvl w:val="1"/>
          <w:numId w:val="56"/>
        </w:numPr>
        <w:rPr>
          <w:i/>
        </w:rPr>
      </w:pPr>
      <w:r w:rsidRPr="00013F0F">
        <w:rPr>
          <w:i/>
        </w:rPr>
        <w:t>Cost-utility or a cost-effectiveness analysis</w:t>
      </w:r>
    </w:p>
    <w:p w:rsidR="009708D9" w:rsidRPr="00013F0F" w:rsidRDefault="009708D9" w:rsidP="009708D9">
      <w:pPr>
        <w:pStyle w:val="ListParagraph"/>
        <w:numPr>
          <w:ilvl w:val="1"/>
          <w:numId w:val="56"/>
        </w:numPr>
        <w:rPr>
          <w:i/>
        </w:rPr>
      </w:pPr>
      <w:r w:rsidRPr="00013F0F">
        <w:rPr>
          <w:i/>
        </w:rPr>
        <w:t>Time lost from work’</w:t>
      </w:r>
    </w:p>
    <w:p w:rsidR="009708D9" w:rsidRPr="00013F0F" w:rsidRDefault="009708D9" w:rsidP="009708D9">
      <w:pPr>
        <w:pStyle w:val="ListParagraph"/>
        <w:numPr>
          <w:ilvl w:val="0"/>
          <w:numId w:val="61"/>
        </w:numPr>
        <w:rPr>
          <w:i/>
        </w:rPr>
      </w:pPr>
      <w:r w:rsidRPr="00013F0F">
        <w:rPr>
          <w:i/>
        </w:rPr>
        <w:t xml:space="preserve">Faecal </w:t>
      </w:r>
      <w:proofErr w:type="spellStart"/>
      <w:r w:rsidRPr="00013F0F">
        <w:rPr>
          <w:i/>
        </w:rPr>
        <w:t>calprotectin</w:t>
      </w:r>
      <w:proofErr w:type="spellEnd"/>
      <w:r w:rsidRPr="00013F0F">
        <w:rPr>
          <w:i/>
        </w:rPr>
        <w:t xml:space="preserve"> test for monitoring those patients with IBD: </w:t>
      </w:r>
    </w:p>
    <w:p w:rsidR="009708D9" w:rsidRPr="00013F0F" w:rsidRDefault="009708D9" w:rsidP="009708D9">
      <w:pPr>
        <w:pStyle w:val="ListParagraph"/>
        <w:numPr>
          <w:ilvl w:val="1"/>
          <w:numId w:val="61"/>
        </w:numPr>
        <w:rPr>
          <w:i/>
        </w:rPr>
      </w:pPr>
      <w:r w:rsidRPr="00013F0F">
        <w:rPr>
          <w:i/>
        </w:rPr>
        <w:t xml:space="preserve">Effectiveness </w:t>
      </w:r>
    </w:p>
    <w:p w:rsidR="009708D9" w:rsidRPr="00013F0F" w:rsidRDefault="009708D9" w:rsidP="009708D9">
      <w:pPr>
        <w:pStyle w:val="ListParagraph"/>
        <w:numPr>
          <w:ilvl w:val="2"/>
          <w:numId w:val="61"/>
        </w:numPr>
        <w:rPr>
          <w:i/>
        </w:rPr>
      </w:pPr>
      <w:r w:rsidRPr="00013F0F">
        <w:rPr>
          <w:i/>
        </w:rPr>
        <w:t>Test reproducibility (</w:t>
      </w:r>
      <w:r w:rsidRPr="00013F0F">
        <w:rPr>
          <w:b/>
          <w:i/>
        </w:rPr>
        <w:t>within and between assays</w:t>
      </w:r>
      <w:r w:rsidRPr="00013F0F">
        <w:rPr>
          <w:i/>
        </w:rPr>
        <w:t>) and repeatability (coefficient of variance)</w:t>
      </w:r>
    </w:p>
    <w:p w:rsidR="009708D9" w:rsidRPr="00013F0F" w:rsidRDefault="009708D9" w:rsidP="009708D9">
      <w:pPr>
        <w:pStyle w:val="ListParagraph"/>
        <w:numPr>
          <w:ilvl w:val="2"/>
          <w:numId w:val="61"/>
        </w:numPr>
        <w:rPr>
          <w:i/>
        </w:rPr>
      </w:pPr>
      <w:r w:rsidRPr="00013F0F">
        <w:rPr>
          <w:i/>
        </w:rPr>
        <w:t xml:space="preserve">Diagnostic accuracy: sensitivity, specificity, NPV, PPV, AROC, additional true positives, additional true negatives, assay cut-offs for severity of acute inflammation, </w:t>
      </w:r>
      <w:r w:rsidRPr="00013F0F">
        <w:rPr>
          <w:b/>
          <w:i/>
        </w:rPr>
        <w:t xml:space="preserve">longitudinal correlation of faecal </w:t>
      </w:r>
      <w:proofErr w:type="spellStart"/>
      <w:r w:rsidRPr="00013F0F">
        <w:rPr>
          <w:b/>
          <w:i/>
        </w:rPr>
        <w:t>calprotectin</w:t>
      </w:r>
      <w:proofErr w:type="spellEnd"/>
      <w:r w:rsidRPr="00013F0F">
        <w:rPr>
          <w:b/>
          <w:i/>
        </w:rPr>
        <w:t xml:space="preserve"> levels and disease activity</w:t>
      </w:r>
      <w:r w:rsidRPr="00013F0F">
        <w:rPr>
          <w:i/>
        </w:rPr>
        <w:t xml:space="preserve"> </w:t>
      </w:r>
    </w:p>
    <w:p w:rsidR="009708D9" w:rsidRPr="00013F0F" w:rsidRDefault="009708D9" w:rsidP="009708D9">
      <w:pPr>
        <w:pStyle w:val="ListParagraph"/>
        <w:numPr>
          <w:ilvl w:val="2"/>
          <w:numId w:val="61"/>
        </w:numPr>
        <w:rPr>
          <w:i/>
        </w:rPr>
      </w:pPr>
      <w:r w:rsidRPr="00013F0F">
        <w:rPr>
          <w:i/>
        </w:rPr>
        <w:t xml:space="preserve">Change in patient management: colonoscopies and hospitalisations avoided; </w:t>
      </w:r>
      <w:r w:rsidRPr="00013F0F">
        <w:rPr>
          <w:b/>
          <w:i/>
        </w:rPr>
        <w:t>reduced use of imaging, reduced use of serum inflammatory markers, reduced specialist referrals for monitoring patient on immunotherapy</w:t>
      </w:r>
      <w:r w:rsidRPr="00013F0F">
        <w:rPr>
          <w:i/>
        </w:rPr>
        <w:t xml:space="preserve">, reduced need for biological therapies and surgery, how changes in </w:t>
      </w:r>
      <w:proofErr w:type="spellStart"/>
      <w:r w:rsidRPr="00013F0F">
        <w:rPr>
          <w:i/>
        </w:rPr>
        <w:t>calprotectin</w:t>
      </w:r>
      <w:proofErr w:type="spellEnd"/>
      <w:r w:rsidRPr="00013F0F">
        <w:rPr>
          <w:i/>
        </w:rPr>
        <w:t xml:space="preserve"> levels will influence patient management, </w:t>
      </w:r>
    </w:p>
    <w:p w:rsidR="009708D9" w:rsidRPr="00013F0F" w:rsidRDefault="009708D9" w:rsidP="009708D9">
      <w:pPr>
        <w:pStyle w:val="ListParagraph"/>
        <w:numPr>
          <w:ilvl w:val="2"/>
          <w:numId w:val="61"/>
        </w:numPr>
        <w:rPr>
          <w:i/>
        </w:rPr>
      </w:pPr>
      <w:r w:rsidRPr="00013F0F">
        <w:rPr>
          <w:i/>
        </w:rPr>
        <w:t xml:space="preserve">Other: disease-specific morbidity, disease progression, quality of life, impact on colonoscopy demand, confounding effect of other inflammatory GE disorders, longitudinal changes in </w:t>
      </w:r>
      <w:proofErr w:type="spellStart"/>
      <w:r w:rsidRPr="00013F0F">
        <w:rPr>
          <w:i/>
        </w:rPr>
        <w:t>calprotectin</w:t>
      </w:r>
      <w:proofErr w:type="spellEnd"/>
      <w:r w:rsidRPr="00013F0F">
        <w:rPr>
          <w:i/>
        </w:rPr>
        <w:t xml:space="preserve"> levels and correlation with symptoms and histological evidence of active inflammation, </w:t>
      </w:r>
      <w:r w:rsidRPr="00013F0F">
        <w:rPr>
          <w:b/>
          <w:i/>
        </w:rPr>
        <w:t>utilization of the assays between gastroenterologist and GP.</w:t>
      </w:r>
    </w:p>
    <w:p w:rsidR="009708D9" w:rsidRPr="00013F0F" w:rsidRDefault="009708D9" w:rsidP="009708D9">
      <w:pPr>
        <w:pStyle w:val="ListParagraph"/>
        <w:numPr>
          <w:ilvl w:val="1"/>
          <w:numId w:val="61"/>
        </w:numPr>
        <w:rPr>
          <w:i/>
        </w:rPr>
      </w:pPr>
      <w:r w:rsidRPr="00013F0F">
        <w:rPr>
          <w:i/>
        </w:rPr>
        <w:t>Safety</w:t>
      </w:r>
    </w:p>
    <w:p w:rsidR="009708D9" w:rsidRDefault="009708D9" w:rsidP="009708D9">
      <w:pPr>
        <w:pStyle w:val="ListParagraph"/>
        <w:numPr>
          <w:ilvl w:val="2"/>
          <w:numId w:val="61"/>
        </w:numPr>
        <w:rPr>
          <w:i/>
        </w:rPr>
      </w:pPr>
      <w:r w:rsidRPr="00013F0F">
        <w:rPr>
          <w:i/>
        </w:rPr>
        <w:t>Adverse events: perforations avoided, bleeding</w:t>
      </w:r>
    </w:p>
    <w:p w:rsidR="00296765" w:rsidRPr="00013F0F" w:rsidRDefault="00296765" w:rsidP="00296765">
      <w:pPr>
        <w:pStyle w:val="ListParagraph"/>
        <w:ind w:left="2160"/>
        <w:rPr>
          <w:i/>
        </w:rPr>
      </w:pPr>
    </w:p>
    <w:p w:rsidR="009708D9" w:rsidRPr="00013F0F" w:rsidRDefault="009708D9" w:rsidP="009708D9">
      <w:pPr>
        <w:pStyle w:val="ListParagraph"/>
        <w:numPr>
          <w:ilvl w:val="1"/>
          <w:numId w:val="61"/>
        </w:numPr>
        <w:rPr>
          <w:i/>
        </w:rPr>
      </w:pPr>
      <w:r w:rsidRPr="00013F0F">
        <w:rPr>
          <w:i/>
        </w:rPr>
        <w:t>Economic</w:t>
      </w:r>
    </w:p>
    <w:p w:rsidR="009708D9" w:rsidRPr="00013F0F" w:rsidRDefault="009708D9" w:rsidP="009708D9">
      <w:pPr>
        <w:pStyle w:val="ListParagraph"/>
        <w:numPr>
          <w:ilvl w:val="2"/>
          <w:numId w:val="61"/>
        </w:numPr>
        <w:rPr>
          <w:i/>
        </w:rPr>
      </w:pPr>
      <w:r w:rsidRPr="00013F0F">
        <w:rPr>
          <w:i/>
        </w:rPr>
        <w:t>Cost-utility or a cost-effectiveness analysis</w:t>
      </w:r>
    </w:p>
    <w:p w:rsidR="009708D9" w:rsidRPr="00013F0F" w:rsidRDefault="009708D9" w:rsidP="009708D9">
      <w:pPr>
        <w:pStyle w:val="ListParagraph"/>
        <w:numPr>
          <w:ilvl w:val="2"/>
          <w:numId w:val="61"/>
        </w:numPr>
        <w:rPr>
          <w:i/>
        </w:rPr>
      </w:pPr>
      <w:r w:rsidRPr="00013F0F">
        <w:rPr>
          <w:i/>
        </w:rPr>
        <w:t>Time lost from work</w:t>
      </w:r>
    </w:p>
    <w:p w:rsidR="00955CF5" w:rsidRPr="00145D14" w:rsidRDefault="00955CF5" w:rsidP="00955CF5">
      <w:pPr>
        <w:pStyle w:val="Heading1"/>
      </w:pPr>
      <w:bookmarkStart w:id="36" w:name="_Toc445384047"/>
      <w:r w:rsidRPr="00145D14">
        <w:lastRenderedPageBreak/>
        <w:t>References</w:t>
      </w:r>
      <w:bookmarkEnd w:id="35"/>
      <w:bookmarkEnd w:id="36"/>
    </w:p>
    <w:p w:rsidR="00E813F3" w:rsidRPr="00B033D8" w:rsidRDefault="00E813F3" w:rsidP="00F22C9E">
      <w:pPr>
        <w:pStyle w:val="NoSpacing"/>
        <w:spacing w:after="240"/>
        <w:rPr>
          <w:rFonts w:ascii="Tahoma" w:hAnsi="Tahoma" w:cs="Tahoma"/>
          <w:sz w:val="20"/>
        </w:rPr>
      </w:pPr>
      <w:r w:rsidRPr="00B033D8">
        <w:rPr>
          <w:rFonts w:ascii="Tahoma" w:hAnsi="Tahoma" w:cs="Tahoma"/>
          <w:sz w:val="20"/>
        </w:rPr>
        <w:t xml:space="preserve">Access Economics (2007) </w:t>
      </w:r>
      <w:r w:rsidRPr="00B033D8">
        <w:rPr>
          <w:rFonts w:ascii="Tahoma" w:eastAsia="Calibri" w:hAnsi="Tahoma" w:cs="Tahoma"/>
          <w:sz w:val="20"/>
        </w:rPr>
        <w:t xml:space="preserve">The Economic Costs of Crohn's Disease and Ulcerative Colitis. </w:t>
      </w:r>
      <w:r w:rsidR="00B033D8">
        <w:rPr>
          <w:rFonts w:ascii="Tahoma" w:eastAsia="Calibri" w:hAnsi="Tahoma" w:cs="Tahoma"/>
          <w:sz w:val="20"/>
        </w:rPr>
        <w:t xml:space="preserve">Available at: </w:t>
      </w:r>
      <w:r w:rsidR="00B033D8" w:rsidRPr="00B033D8">
        <w:rPr>
          <w:rFonts w:ascii="Tahoma" w:eastAsia="Calibri" w:hAnsi="Tahoma" w:cs="Tahoma"/>
          <w:sz w:val="20"/>
        </w:rPr>
        <w:t>https://www.crohnsandcolitis.com.au/site/wp-content/uploads/Deloitte-Access-Economics-Report.pdf</w:t>
      </w:r>
    </w:p>
    <w:p w:rsidR="00427A5B" w:rsidRPr="00FD60C3" w:rsidRDefault="00427A5B" w:rsidP="00F22C9E">
      <w:pPr>
        <w:pStyle w:val="NoSpacing"/>
        <w:spacing w:after="240"/>
        <w:rPr>
          <w:rFonts w:ascii="Tahoma" w:hAnsi="Tahoma" w:cs="Tahoma"/>
          <w:sz w:val="20"/>
          <w:szCs w:val="20"/>
        </w:rPr>
      </w:pPr>
      <w:proofErr w:type="gramStart"/>
      <w:r w:rsidRPr="00FD60C3">
        <w:rPr>
          <w:rFonts w:ascii="Tahoma" w:hAnsi="Tahoma" w:cs="Tahoma"/>
          <w:sz w:val="20"/>
          <w:szCs w:val="20"/>
        </w:rPr>
        <w:t>AIHW (2012) Australia’s Health 2012.</w:t>
      </w:r>
      <w:proofErr w:type="gramEnd"/>
      <w:r w:rsidRPr="00FD60C3">
        <w:rPr>
          <w:rFonts w:ascii="Tahoma" w:hAnsi="Tahoma" w:cs="Tahoma"/>
          <w:sz w:val="20"/>
          <w:szCs w:val="20"/>
        </w:rPr>
        <w:t xml:space="preserve"> </w:t>
      </w:r>
    </w:p>
    <w:p w:rsidR="0013313A" w:rsidRPr="00FD60C3" w:rsidRDefault="0013313A" w:rsidP="00F22C9E">
      <w:pPr>
        <w:pStyle w:val="NoSpacing"/>
        <w:spacing w:after="240"/>
        <w:rPr>
          <w:rFonts w:ascii="Tahoma" w:hAnsi="Tahoma" w:cs="Tahoma"/>
          <w:sz w:val="20"/>
          <w:szCs w:val="20"/>
        </w:rPr>
      </w:pPr>
      <w:r w:rsidRPr="00FD60C3">
        <w:rPr>
          <w:rFonts w:ascii="Tahoma" w:hAnsi="Tahoma" w:cs="Tahoma"/>
          <w:sz w:val="20"/>
          <w:szCs w:val="20"/>
        </w:rPr>
        <w:t xml:space="preserve">Andrews JM et al (2010). Un-promoted issues in inflammatory bowel disease: opportunities to </w:t>
      </w:r>
      <w:proofErr w:type="spellStart"/>
      <w:r w:rsidRPr="00FD60C3">
        <w:rPr>
          <w:rFonts w:ascii="Tahoma" w:hAnsi="Tahoma" w:cs="Tahoma"/>
          <w:sz w:val="20"/>
          <w:szCs w:val="20"/>
        </w:rPr>
        <w:t>optimise</w:t>
      </w:r>
      <w:proofErr w:type="spellEnd"/>
      <w:r w:rsidRPr="00FD60C3">
        <w:rPr>
          <w:rFonts w:ascii="Tahoma" w:hAnsi="Tahoma" w:cs="Tahoma"/>
          <w:sz w:val="20"/>
          <w:szCs w:val="20"/>
        </w:rPr>
        <w:t xml:space="preserve"> care. Intern Med J 40(3): 173-82. </w:t>
      </w:r>
    </w:p>
    <w:p w:rsidR="0013313A" w:rsidRPr="00FD60C3" w:rsidRDefault="0013313A" w:rsidP="00F22C9E">
      <w:pPr>
        <w:pStyle w:val="NoSpacing"/>
        <w:spacing w:after="240"/>
        <w:rPr>
          <w:rFonts w:ascii="Tahoma" w:hAnsi="Tahoma" w:cs="Tahoma"/>
          <w:sz w:val="20"/>
          <w:szCs w:val="20"/>
        </w:rPr>
      </w:pPr>
      <w:proofErr w:type="spellStart"/>
      <w:r w:rsidRPr="00FD60C3">
        <w:rPr>
          <w:rFonts w:ascii="Tahoma" w:hAnsi="Tahoma" w:cs="Tahoma"/>
          <w:sz w:val="20"/>
          <w:szCs w:val="20"/>
        </w:rPr>
        <w:t>Chey</w:t>
      </w:r>
      <w:proofErr w:type="spellEnd"/>
      <w:r w:rsidRPr="00FD60C3">
        <w:rPr>
          <w:rFonts w:ascii="Tahoma" w:hAnsi="Tahoma" w:cs="Tahoma"/>
          <w:sz w:val="20"/>
          <w:szCs w:val="20"/>
        </w:rPr>
        <w:t xml:space="preserve"> WD et al (2010) </w:t>
      </w:r>
      <w:proofErr w:type="gramStart"/>
      <w:r w:rsidRPr="00FD60C3">
        <w:rPr>
          <w:rFonts w:ascii="Tahoma" w:hAnsi="Tahoma" w:cs="Tahoma"/>
          <w:sz w:val="20"/>
          <w:szCs w:val="20"/>
        </w:rPr>
        <w:t>The</w:t>
      </w:r>
      <w:proofErr w:type="gramEnd"/>
      <w:r w:rsidRPr="00FD60C3">
        <w:rPr>
          <w:rFonts w:ascii="Tahoma" w:hAnsi="Tahoma" w:cs="Tahoma"/>
          <w:sz w:val="20"/>
          <w:szCs w:val="20"/>
        </w:rPr>
        <w:t xml:space="preserve"> yield of colonoscopy in patients with non-constipated irritable bowel syndrome: results from a prospective, controlled US trial. Am J </w:t>
      </w:r>
      <w:proofErr w:type="spellStart"/>
      <w:r w:rsidRPr="00FD60C3">
        <w:rPr>
          <w:rFonts w:ascii="Tahoma" w:hAnsi="Tahoma" w:cs="Tahoma"/>
          <w:sz w:val="20"/>
          <w:szCs w:val="20"/>
        </w:rPr>
        <w:t>Gastroenterol</w:t>
      </w:r>
      <w:proofErr w:type="spellEnd"/>
      <w:r w:rsidRPr="00FD60C3">
        <w:rPr>
          <w:rFonts w:ascii="Tahoma" w:hAnsi="Tahoma" w:cs="Tahoma"/>
          <w:sz w:val="20"/>
          <w:szCs w:val="20"/>
        </w:rPr>
        <w:t xml:space="preserve"> 105(4): 859-</w:t>
      </w:r>
      <w:proofErr w:type="gramStart"/>
      <w:r w:rsidRPr="00FD60C3">
        <w:rPr>
          <w:rFonts w:ascii="Tahoma" w:hAnsi="Tahoma" w:cs="Tahoma"/>
          <w:sz w:val="20"/>
          <w:szCs w:val="20"/>
        </w:rPr>
        <w:t>65</w:t>
      </w:r>
      <w:proofErr w:type="gramEnd"/>
    </w:p>
    <w:p w:rsidR="00821CF1" w:rsidRPr="00FD60C3" w:rsidRDefault="00821CF1" w:rsidP="00F22C9E">
      <w:pPr>
        <w:pStyle w:val="NoSpacing"/>
        <w:spacing w:after="240"/>
        <w:rPr>
          <w:rFonts w:ascii="Tahoma" w:hAnsi="Tahoma" w:cs="Tahoma"/>
          <w:sz w:val="20"/>
          <w:szCs w:val="20"/>
        </w:rPr>
      </w:pPr>
      <w:proofErr w:type="spellStart"/>
      <w:r w:rsidRPr="00FD60C3">
        <w:rPr>
          <w:rFonts w:ascii="Tahoma" w:hAnsi="Tahoma" w:cs="Tahoma"/>
          <w:sz w:val="20"/>
          <w:szCs w:val="20"/>
        </w:rPr>
        <w:t>D’Haens</w:t>
      </w:r>
      <w:proofErr w:type="spellEnd"/>
      <w:r w:rsidRPr="00FD60C3">
        <w:rPr>
          <w:rFonts w:ascii="Tahoma" w:hAnsi="Tahoma" w:cs="Tahoma"/>
          <w:sz w:val="20"/>
          <w:szCs w:val="20"/>
        </w:rPr>
        <w:t xml:space="preserve"> et al (2012). </w:t>
      </w:r>
      <w:proofErr w:type="spellStart"/>
      <w:r w:rsidRPr="00FD60C3">
        <w:rPr>
          <w:rFonts w:ascii="Tahoma" w:hAnsi="Tahoma" w:cs="Tahoma"/>
          <w:sz w:val="20"/>
          <w:szCs w:val="20"/>
        </w:rPr>
        <w:t>Faecal</w:t>
      </w:r>
      <w:proofErr w:type="spellEnd"/>
      <w:r w:rsidRPr="00FD60C3">
        <w:rPr>
          <w:rFonts w:ascii="Tahoma" w:hAnsi="Tahoma" w:cs="Tahoma"/>
          <w:sz w:val="20"/>
          <w:szCs w:val="20"/>
        </w:rPr>
        <w:t xml:space="preserve"> </w:t>
      </w:r>
      <w:proofErr w:type="spellStart"/>
      <w:r w:rsidRPr="00FD60C3">
        <w:rPr>
          <w:rFonts w:ascii="Tahoma" w:hAnsi="Tahoma" w:cs="Tahoma"/>
          <w:sz w:val="20"/>
          <w:szCs w:val="20"/>
        </w:rPr>
        <w:t>calprotectin</w:t>
      </w:r>
      <w:proofErr w:type="spellEnd"/>
      <w:r w:rsidRPr="00FD60C3">
        <w:rPr>
          <w:rFonts w:ascii="Tahoma" w:hAnsi="Tahoma" w:cs="Tahoma"/>
          <w:sz w:val="20"/>
          <w:szCs w:val="20"/>
        </w:rPr>
        <w:t xml:space="preserve"> is a surrogate marker for endoscopic lesions in inflammatory bowel disease. Inflammatory Bowel Diseases 18(12): 2218-2224</w:t>
      </w:r>
    </w:p>
    <w:p w:rsidR="00F22C9E" w:rsidRDefault="00A65C34" w:rsidP="00F22C9E">
      <w:pPr>
        <w:pStyle w:val="NoSpacing"/>
        <w:spacing w:after="240"/>
        <w:rPr>
          <w:rFonts w:ascii="Tahoma" w:hAnsi="Tahoma" w:cs="Tahoma"/>
          <w:sz w:val="20"/>
          <w:szCs w:val="20"/>
        </w:rPr>
      </w:pPr>
      <w:proofErr w:type="spellStart"/>
      <w:proofErr w:type="gramStart"/>
      <w:r w:rsidRPr="00FD60C3">
        <w:rPr>
          <w:rFonts w:ascii="Tahoma" w:hAnsi="Tahoma" w:cs="Tahoma"/>
          <w:sz w:val="20"/>
          <w:szCs w:val="20"/>
        </w:rPr>
        <w:t>Gastroenterologocial</w:t>
      </w:r>
      <w:proofErr w:type="spellEnd"/>
      <w:r w:rsidRPr="00FD60C3">
        <w:rPr>
          <w:rFonts w:ascii="Tahoma" w:hAnsi="Tahoma" w:cs="Tahoma"/>
          <w:sz w:val="20"/>
          <w:szCs w:val="20"/>
        </w:rPr>
        <w:t xml:space="preserve"> Society of Australia (GESA) (2013) Australian Guidelines for General Practitioners and Physicians: Inflammatory Bowel Disease (IBD).</w:t>
      </w:r>
      <w:proofErr w:type="gramEnd"/>
      <w:r w:rsidRPr="00FD60C3">
        <w:rPr>
          <w:rFonts w:ascii="Tahoma" w:hAnsi="Tahoma" w:cs="Tahoma"/>
          <w:sz w:val="20"/>
          <w:szCs w:val="20"/>
        </w:rPr>
        <w:t xml:space="preserve"> </w:t>
      </w:r>
    </w:p>
    <w:p w:rsidR="0013313A" w:rsidRPr="00FD60C3" w:rsidRDefault="0013313A" w:rsidP="00F22C9E">
      <w:pPr>
        <w:pStyle w:val="NoSpacing"/>
        <w:spacing w:after="240"/>
        <w:rPr>
          <w:rFonts w:ascii="Tahoma" w:hAnsi="Tahoma" w:cs="Tahoma"/>
          <w:sz w:val="20"/>
          <w:szCs w:val="20"/>
        </w:rPr>
      </w:pPr>
      <w:proofErr w:type="spellStart"/>
      <w:proofErr w:type="gramStart"/>
      <w:r w:rsidRPr="00FD60C3">
        <w:rPr>
          <w:rFonts w:ascii="Tahoma" w:hAnsi="Tahoma" w:cs="Tahoma"/>
          <w:sz w:val="20"/>
          <w:szCs w:val="20"/>
        </w:rPr>
        <w:t>Lasson</w:t>
      </w:r>
      <w:proofErr w:type="spellEnd"/>
      <w:r w:rsidRPr="00FD60C3">
        <w:rPr>
          <w:rFonts w:ascii="Tahoma" w:hAnsi="Tahoma" w:cs="Tahoma"/>
          <w:sz w:val="20"/>
          <w:szCs w:val="20"/>
        </w:rPr>
        <w:t xml:space="preserve"> A et al (2008) Diagnostic yield of colonoscopy based on symptoms.</w:t>
      </w:r>
      <w:proofErr w:type="gramEnd"/>
      <w:r w:rsidRPr="00FD60C3">
        <w:rPr>
          <w:rFonts w:ascii="Tahoma" w:hAnsi="Tahoma" w:cs="Tahoma"/>
          <w:sz w:val="20"/>
          <w:szCs w:val="20"/>
        </w:rPr>
        <w:t xml:space="preserve"> </w:t>
      </w:r>
      <w:proofErr w:type="spellStart"/>
      <w:r w:rsidRPr="00FD60C3">
        <w:rPr>
          <w:rFonts w:ascii="Tahoma" w:hAnsi="Tahoma" w:cs="Tahoma"/>
          <w:sz w:val="20"/>
          <w:szCs w:val="20"/>
        </w:rPr>
        <w:t>Scand</w:t>
      </w:r>
      <w:proofErr w:type="spellEnd"/>
      <w:r w:rsidRPr="00FD60C3">
        <w:rPr>
          <w:rFonts w:ascii="Tahoma" w:hAnsi="Tahoma" w:cs="Tahoma"/>
          <w:sz w:val="20"/>
          <w:szCs w:val="20"/>
        </w:rPr>
        <w:t xml:space="preserve"> J </w:t>
      </w:r>
      <w:proofErr w:type="spellStart"/>
      <w:r w:rsidRPr="00FD60C3">
        <w:rPr>
          <w:rFonts w:ascii="Tahoma" w:hAnsi="Tahoma" w:cs="Tahoma"/>
          <w:sz w:val="20"/>
          <w:szCs w:val="20"/>
        </w:rPr>
        <w:t>Gastroenterol</w:t>
      </w:r>
      <w:proofErr w:type="spellEnd"/>
      <w:r w:rsidRPr="00FD60C3">
        <w:rPr>
          <w:rFonts w:ascii="Tahoma" w:hAnsi="Tahoma" w:cs="Tahoma"/>
          <w:sz w:val="20"/>
          <w:szCs w:val="20"/>
        </w:rPr>
        <w:t xml:space="preserve"> 43(3): 356-62</w:t>
      </w:r>
    </w:p>
    <w:p w:rsidR="000B4AA4" w:rsidRPr="00FD60C3" w:rsidRDefault="000B4AA4" w:rsidP="00F22C9E">
      <w:pPr>
        <w:pStyle w:val="NoSpacing"/>
        <w:spacing w:after="240"/>
        <w:rPr>
          <w:rFonts w:ascii="Tahoma" w:hAnsi="Tahoma" w:cs="Tahoma"/>
          <w:sz w:val="20"/>
          <w:szCs w:val="20"/>
        </w:rPr>
      </w:pPr>
      <w:r w:rsidRPr="00FD60C3">
        <w:rPr>
          <w:rFonts w:ascii="Tahoma" w:hAnsi="Tahoma" w:cs="Tahoma"/>
          <w:sz w:val="20"/>
          <w:szCs w:val="20"/>
        </w:rPr>
        <w:t xml:space="preserve">Naismith et al (2014). </w:t>
      </w:r>
      <w:proofErr w:type="gramStart"/>
      <w:r w:rsidRPr="00FD60C3">
        <w:rPr>
          <w:rFonts w:ascii="Tahoma" w:hAnsi="Tahoma" w:cs="Tahoma"/>
          <w:sz w:val="20"/>
          <w:szCs w:val="20"/>
        </w:rPr>
        <w:t xml:space="preserve">A prospective evaluation of the predictive value of </w:t>
      </w:r>
      <w:proofErr w:type="spellStart"/>
      <w:r w:rsidRPr="00FD60C3">
        <w:rPr>
          <w:rFonts w:ascii="Tahoma" w:hAnsi="Tahoma" w:cs="Tahoma"/>
          <w:sz w:val="20"/>
          <w:szCs w:val="20"/>
        </w:rPr>
        <w:t>faecal</w:t>
      </w:r>
      <w:proofErr w:type="spellEnd"/>
      <w:r w:rsidRPr="00FD60C3">
        <w:rPr>
          <w:rFonts w:ascii="Tahoma" w:hAnsi="Tahoma" w:cs="Tahoma"/>
          <w:sz w:val="20"/>
          <w:szCs w:val="20"/>
        </w:rPr>
        <w:t xml:space="preserve"> </w:t>
      </w:r>
      <w:proofErr w:type="spellStart"/>
      <w:r w:rsidRPr="00FD60C3">
        <w:rPr>
          <w:rFonts w:ascii="Tahoma" w:hAnsi="Tahoma" w:cs="Tahoma"/>
          <w:sz w:val="20"/>
          <w:szCs w:val="20"/>
        </w:rPr>
        <w:t>calprotectin</w:t>
      </w:r>
      <w:proofErr w:type="spellEnd"/>
      <w:r w:rsidRPr="00FD60C3">
        <w:rPr>
          <w:rFonts w:ascii="Tahoma" w:hAnsi="Tahoma" w:cs="Tahoma"/>
          <w:sz w:val="20"/>
          <w:szCs w:val="20"/>
        </w:rPr>
        <w:t xml:space="preserve"> in quiescent Crohn's disease.</w:t>
      </w:r>
      <w:proofErr w:type="gramEnd"/>
      <w:r w:rsidRPr="00FD60C3">
        <w:rPr>
          <w:rFonts w:ascii="Tahoma" w:hAnsi="Tahoma" w:cs="Tahoma"/>
          <w:sz w:val="20"/>
          <w:szCs w:val="20"/>
        </w:rPr>
        <w:t xml:space="preserve"> J </w:t>
      </w:r>
      <w:proofErr w:type="spellStart"/>
      <w:r w:rsidRPr="00FD60C3">
        <w:rPr>
          <w:rFonts w:ascii="Tahoma" w:hAnsi="Tahoma" w:cs="Tahoma"/>
          <w:sz w:val="20"/>
          <w:szCs w:val="20"/>
        </w:rPr>
        <w:t>Crohns</w:t>
      </w:r>
      <w:proofErr w:type="spellEnd"/>
      <w:r w:rsidRPr="00FD60C3">
        <w:rPr>
          <w:rFonts w:ascii="Tahoma" w:hAnsi="Tahoma" w:cs="Tahoma"/>
          <w:sz w:val="20"/>
          <w:szCs w:val="20"/>
        </w:rPr>
        <w:t xml:space="preserve"> Colitis 8(9):1022-29. </w:t>
      </w:r>
    </w:p>
    <w:p w:rsidR="00F22C9E" w:rsidRDefault="00A65C34" w:rsidP="00F22C9E">
      <w:pPr>
        <w:pStyle w:val="NoSpacing"/>
        <w:spacing w:after="240"/>
        <w:rPr>
          <w:rFonts w:ascii="Tahoma" w:hAnsi="Tahoma" w:cs="Tahoma"/>
          <w:sz w:val="20"/>
          <w:szCs w:val="20"/>
        </w:rPr>
      </w:pPr>
      <w:proofErr w:type="gramStart"/>
      <w:r w:rsidRPr="00FD60C3">
        <w:rPr>
          <w:rFonts w:ascii="Tahoma" w:hAnsi="Tahoma" w:cs="Tahoma"/>
          <w:sz w:val="20"/>
          <w:szCs w:val="20"/>
        </w:rPr>
        <w:t xml:space="preserve">National </w:t>
      </w:r>
      <w:r w:rsidR="00B033D8" w:rsidRPr="00FD60C3">
        <w:rPr>
          <w:rFonts w:ascii="Tahoma" w:hAnsi="Tahoma" w:cs="Tahoma"/>
          <w:sz w:val="20"/>
          <w:szCs w:val="20"/>
        </w:rPr>
        <w:t>Institute</w:t>
      </w:r>
      <w:r w:rsidRPr="00FD60C3">
        <w:rPr>
          <w:rFonts w:ascii="Tahoma" w:hAnsi="Tahoma" w:cs="Tahoma"/>
          <w:sz w:val="20"/>
          <w:szCs w:val="20"/>
        </w:rPr>
        <w:t xml:space="preserve"> for Health and Care Excellence</w:t>
      </w:r>
      <w:r w:rsidR="00B033D8">
        <w:rPr>
          <w:rFonts w:ascii="Tahoma" w:hAnsi="Tahoma" w:cs="Tahoma"/>
          <w:sz w:val="20"/>
          <w:szCs w:val="20"/>
        </w:rPr>
        <w:t xml:space="preserve"> - NICE</w:t>
      </w:r>
      <w:r w:rsidRPr="00FD60C3">
        <w:rPr>
          <w:rFonts w:ascii="Tahoma" w:hAnsi="Tahoma" w:cs="Tahoma"/>
          <w:sz w:val="20"/>
          <w:szCs w:val="20"/>
        </w:rPr>
        <w:t xml:space="preserve"> (2013).</w:t>
      </w:r>
      <w:proofErr w:type="gramEnd"/>
      <w:r w:rsidRPr="00FD60C3">
        <w:rPr>
          <w:rFonts w:ascii="Tahoma" w:hAnsi="Tahoma" w:cs="Tahoma"/>
          <w:sz w:val="20"/>
          <w:szCs w:val="20"/>
        </w:rPr>
        <w:t xml:space="preserve"> </w:t>
      </w:r>
      <w:proofErr w:type="spellStart"/>
      <w:proofErr w:type="gramStart"/>
      <w:r w:rsidR="00427A5B" w:rsidRPr="00FD60C3">
        <w:rPr>
          <w:rFonts w:ascii="Tahoma" w:hAnsi="Tahoma" w:cs="Tahoma"/>
          <w:sz w:val="20"/>
          <w:szCs w:val="20"/>
        </w:rPr>
        <w:t>Faecal</w:t>
      </w:r>
      <w:proofErr w:type="spellEnd"/>
      <w:r w:rsidR="00427A5B" w:rsidRPr="00FD60C3">
        <w:rPr>
          <w:rFonts w:ascii="Tahoma" w:hAnsi="Tahoma" w:cs="Tahoma"/>
          <w:sz w:val="20"/>
          <w:szCs w:val="20"/>
        </w:rPr>
        <w:t xml:space="preserve"> </w:t>
      </w:r>
      <w:proofErr w:type="spellStart"/>
      <w:r w:rsidR="00427A5B" w:rsidRPr="00FD60C3">
        <w:rPr>
          <w:rFonts w:ascii="Tahoma" w:hAnsi="Tahoma" w:cs="Tahoma"/>
          <w:sz w:val="20"/>
          <w:szCs w:val="20"/>
        </w:rPr>
        <w:t>Calprotectin</w:t>
      </w:r>
      <w:proofErr w:type="spellEnd"/>
      <w:r w:rsidRPr="00FD60C3">
        <w:rPr>
          <w:rFonts w:ascii="Tahoma" w:hAnsi="Tahoma" w:cs="Tahoma"/>
          <w:sz w:val="20"/>
          <w:szCs w:val="20"/>
        </w:rPr>
        <w:t xml:space="preserve"> diagnostic tests for inflammatory diseases of the bowel.</w:t>
      </w:r>
      <w:proofErr w:type="gramEnd"/>
      <w:r w:rsidRPr="00FD60C3">
        <w:rPr>
          <w:rFonts w:ascii="Tahoma" w:hAnsi="Tahoma" w:cs="Tahoma"/>
          <w:sz w:val="20"/>
          <w:szCs w:val="20"/>
        </w:rPr>
        <w:t xml:space="preserve"> NICE diagnostics guidance 11. </w:t>
      </w:r>
      <w:r w:rsidR="00B033D8">
        <w:rPr>
          <w:rFonts w:ascii="Tahoma" w:hAnsi="Tahoma" w:cs="Tahoma"/>
          <w:sz w:val="20"/>
          <w:szCs w:val="20"/>
        </w:rPr>
        <w:t xml:space="preserve">Available at: </w:t>
      </w:r>
      <w:r w:rsidR="00B033D8" w:rsidRPr="00B033D8">
        <w:rPr>
          <w:rFonts w:ascii="Tahoma" w:hAnsi="Tahoma" w:cs="Tahoma"/>
          <w:sz w:val="20"/>
          <w:szCs w:val="20"/>
        </w:rPr>
        <w:t>https://www.nice.org.uk/guidance/dg11</w:t>
      </w:r>
    </w:p>
    <w:p w:rsidR="00F22C9E" w:rsidRDefault="002E7BF5" w:rsidP="00F22C9E">
      <w:pPr>
        <w:pStyle w:val="NoSpacing"/>
        <w:spacing w:after="240"/>
        <w:rPr>
          <w:rFonts w:ascii="Tahoma" w:hAnsi="Tahoma" w:cs="Tahoma"/>
          <w:sz w:val="20"/>
          <w:szCs w:val="20"/>
        </w:rPr>
      </w:pPr>
      <w:r w:rsidRPr="00FD60C3">
        <w:rPr>
          <w:rFonts w:ascii="Tahoma" w:hAnsi="Tahoma" w:cs="Tahoma"/>
          <w:sz w:val="20"/>
          <w:szCs w:val="20"/>
        </w:rPr>
        <w:t>Ortega et al (2013). A new rapid test for FC predicts mucosal healing in Ulcerative Colitis.</w:t>
      </w:r>
    </w:p>
    <w:p w:rsidR="004A523A" w:rsidRDefault="004A523A" w:rsidP="00F22C9E">
      <w:pPr>
        <w:pStyle w:val="NoSpacing"/>
        <w:spacing w:after="240"/>
        <w:rPr>
          <w:rFonts w:ascii="Tahoma" w:hAnsi="Tahoma" w:cs="Tahoma"/>
          <w:sz w:val="20"/>
          <w:szCs w:val="20"/>
        </w:rPr>
      </w:pPr>
      <w:proofErr w:type="spellStart"/>
      <w:r w:rsidRPr="004A523A">
        <w:rPr>
          <w:rFonts w:ascii="Tahoma" w:hAnsi="Tahoma" w:cs="Tahoma"/>
          <w:sz w:val="20"/>
          <w:szCs w:val="20"/>
        </w:rPr>
        <w:t>Pavlidis</w:t>
      </w:r>
      <w:proofErr w:type="spellEnd"/>
      <w:r w:rsidRPr="004A523A">
        <w:rPr>
          <w:rFonts w:ascii="Tahoma" w:hAnsi="Tahoma" w:cs="Tahoma"/>
          <w:sz w:val="20"/>
          <w:szCs w:val="20"/>
        </w:rPr>
        <w:t xml:space="preserve"> P1, </w:t>
      </w:r>
      <w:proofErr w:type="spellStart"/>
      <w:r w:rsidRPr="004A523A">
        <w:rPr>
          <w:rFonts w:ascii="Tahoma" w:hAnsi="Tahoma" w:cs="Tahoma"/>
          <w:sz w:val="20"/>
          <w:szCs w:val="20"/>
        </w:rPr>
        <w:t>Chedgy</w:t>
      </w:r>
      <w:proofErr w:type="spellEnd"/>
      <w:r w:rsidRPr="004A523A">
        <w:rPr>
          <w:rFonts w:ascii="Tahoma" w:hAnsi="Tahoma" w:cs="Tahoma"/>
          <w:sz w:val="20"/>
          <w:szCs w:val="20"/>
        </w:rPr>
        <w:t xml:space="preserve"> FJ, </w:t>
      </w:r>
      <w:proofErr w:type="spellStart"/>
      <w:r w:rsidRPr="004A523A">
        <w:rPr>
          <w:rFonts w:ascii="Tahoma" w:hAnsi="Tahoma" w:cs="Tahoma"/>
          <w:sz w:val="20"/>
          <w:szCs w:val="20"/>
        </w:rPr>
        <w:t>Tibble</w:t>
      </w:r>
      <w:proofErr w:type="spellEnd"/>
      <w:r w:rsidRPr="004A523A">
        <w:rPr>
          <w:rFonts w:ascii="Tahoma" w:hAnsi="Tahoma" w:cs="Tahoma"/>
          <w:sz w:val="20"/>
          <w:szCs w:val="20"/>
        </w:rPr>
        <w:t xml:space="preserve"> JA</w:t>
      </w:r>
      <w:r>
        <w:rPr>
          <w:rFonts w:ascii="Tahoma" w:hAnsi="Tahoma" w:cs="Tahoma"/>
          <w:sz w:val="20"/>
          <w:szCs w:val="20"/>
        </w:rPr>
        <w:t xml:space="preserve"> (2013)</w:t>
      </w:r>
      <w:r w:rsidRPr="004A523A">
        <w:rPr>
          <w:rFonts w:ascii="Tahoma" w:hAnsi="Tahoma" w:cs="Tahoma"/>
          <w:sz w:val="20"/>
          <w:szCs w:val="20"/>
        </w:rPr>
        <w:t>.</w:t>
      </w:r>
      <w:r>
        <w:rPr>
          <w:rFonts w:ascii="Tahoma" w:hAnsi="Tahoma" w:cs="Tahoma"/>
          <w:sz w:val="20"/>
          <w:szCs w:val="20"/>
        </w:rPr>
        <w:t xml:space="preserve"> </w:t>
      </w:r>
      <w:proofErr w:type="gramStart"/>
      <w:r w:rsidRPr="004A523A">
        <w:rPr>
          <w:rFonts w:ascii="Tahoma" w:hAnsi="Tahoma" w:cs="Tahoma"/>
          <w:sz w:val="20"/>
          <w:szCs w:val="20"/>
        </w:rPr>
        <w:t xml:space="preserve">Diagnostic accuracy and clinical application of </w:t>
      </w:r>
      <w:proofErr w:type="spellStart"/>
      <w:r w:rsidRPr="004A523A">
        <w:rPr>
          <w:rFonts w:ascii="Tahoma" w:hAnsi="Tahoma" w:cs="Tahoma"/>
          <w:sz w:val="20"/>
          <w:szCs w:val="20"/>
        </w:rPr>
        <w:t>faecal</w:t>
      </w:r>
      <w:proofErr w:type="spellEnd"/>
      <w:r w:rsidRPr="004A523A">
        <w:rPr>
          <w:rFonts w:ascii="Tahoma" w:hAnsi="Tahoma" w:cs="Tahoma"/>
          <w:sz w:val="20"/>
          <w:szCs w:val="20"/>
        </w:rPr>
        <w:t xml:space="preserve"> </w:t>
      </w:r>
      <w:proofErr w:type="spellStart"/>
      <w:r w:rsidRPr="004A523A">
        <w:rPr>
          <w:rFonts w:ascii="Tahoma" w:hAnsi="Tahoma" w:cs="Tahoma"/>
          <w:sz w:val="20"/>
          <w:szCs w:val="20"/>
        </w:rPr>
        <w:t>calprotectin</w:t>
      </w:r>
      <w:proofErr w:type="spellEnd"/>
      <w:r w:rsidRPr="004A523A">
        <w:rPr>
          <w:rFonts w:ascii="Tahoma" w:hAnsi="Tahoma" w:cs="Tahoma"/>
          <w:sz w:val="20"/>
          <w:szCs w:val="20"/>
        </w:rPr>
        <w:t xml:space="preserve"> in adult patients presenting with gastrointestinal symptoms in primary care.</w:t>
      </w:r>
      <w:proofErr w:type="gramEnd"/>
      <w:r>
        <w:rPr>
          <w:rFonts w:ascii="Tahoma" w:hAnsi="Tahoma" w:cs="Tahoma"/>
          <w:sz w:val="20"/>
          <w:szCs w:val="20"/>
        </w:rPr>
        <w:t xml:space="preserve">  </w:t>
      </w:r>
      <w:proofErr w:type="spellStart"/>
      <w:r w:rsidRPr="004A523A">
        <w:rPr>
          <w:rFonts w:ascii="Tahoma" w:hAnsi="Tahoma" w:cs="Tahoma"/>
          <w:sz w:val="20"/>
          <w:szCs w:val="20"/>
        </w:rPr>
        <w:t>Scand</w:t>
      </w:r>
      <w:proofErr w:type="spellEnd"/>
      <w:r w:rsidRPr="004A523A">
        <w:rPr>
          <w:rFonts w:ascii="Tahoma" w:hAnsi="Tahoma" w:cs="Tahoma"/>
          <w:sz w:val="20"/>
          <w:szCs w:val="20"/>
        </w:rPr>
        <w:t xml:space="preserve"> J </w:t>
      </w:r>
      <w:proofErr w:type="spellStart"/>
      <w:r w:rsidRPr="004A523A">
        <w:rPr>
          <w:rFonts w:ascii="Tahoma" w:hAnsi="Tahoma" w:cs="Tahoma"/>
          <w:sz w:val="20"/>
          <w:szCs w:val="20"/>
        </w:rPr>
        <w:t>Gastroenterol</w:t>
      </w:r>
      <w:proofErr w:type="spellEnd"/>
      <w:r w:rsidRPr="004A523A">
        <w:rPr>
          <w:rFonts w:ascii="Tahoma" w:hAnsi="Tahoma" w:cs="Tahoma"/>
          <w:sz w:val="20"/>
          <w:szCs w:val="20"/>
        </w:rPr>
        <w:t>. 2013 Sep</w:t>
      </w:r>
      <w:proofErr w:type="gramStart"/>
      <w:r w:rsidRPr="004A523A">
        <w:rPr>
          <w:rFonts w:ascii="Tahoma" w:hAnsi="Tahoma" w:cs="Tahoma"/>
          <w:sz w:val="20"/>
          <w:szCs w:val="20"/>
        </w:rPr>
        <w:t>;48</w:t>
      </w:r>
      <w:proofErr w:type="gramEnd"/>
      <w:r w:rsidRPr="004A523A">
        <w:rPr>
          <w:rFonts w:ascii="Tahoma" w:hAnsi="Tahoma" w:cs="Tahoma"/>
          <w:sz w:val="20"/>
          <w:szCs w:val="20"/>
        </w:rPr>
        <w:t>(9):1048-54</w:t>
      </w:r>
      <w:r>
        <w:rPr>
          <w:rFonts w:ascii="Tahoma" w:hAnsi="Tahoma" w:cs="Tahoma"/>
          <w:sz w:val="20"/>
          <w:szCs w:val="20"/>
        </w:rPr>
        <w:t>.</w:t>
      </w:r>
    </w:p>
    <w:p w:rsidR="00E813F3" w:rsidRDefault="00E813F3" w:rsidP="00F22C9E">
      <w:pPr>
        <w:pStyle w:val="NoSpacing"/>
        <w:spacing w:after="240"/>
        <w:rPr>
          <w:rFonts w:ascii="Tahoma" w:hAnsi="Tahoma" w:cs="Tahoma"/>
          <w:sz w:val="20"/>
          <w:szCs w:val="20"/>
        </w:rPr>
      </w:pPr>
      <w:proofErr w:type="spellStart"/>
      <w:r>
        <w:rPr>
          <w:rFonts w:ascii="Tahoma" w:hAnsi="Tahoma" w:cs="Tahoma"/>
          <w:sz w:val="20"/>
          <w:szCs w:val="20"/>
        </w:rPr>
        <w:t>Siew</w:t>
      </w:r>
      <w:proofErr w:type="spellEnd"/>
      <w:r>
        <w:rPr>
          <w:rFonts w:ascii="Tahoma" w:hAnsi="Tahoma" w:cs="Tahoma"/>
          <w:sz w:val="20"/>
          <w:szCs w:val="20"/>
        </w:rPr>
        <w:t xml:space="preserve"> CN et al (2013) Incidence and Phenotype of Inflammatory Bowel Disease Based on Results </w:t>
      </w:r>
      <w:proofErr w:type="gramStart"/>
      <w:r>
        <w:rPr>
          <w:rFonts w:ascii="Tahoma" w:hAnsi="Tahoma" w:cs="Tahoma"/>
          <w:sz w:val="20"/>
          <w:szCs w:val="20"/>
        </w:rPr>
        <w:t>From</w:t>
      </w:r>
      <w:proofErr w:type="gramEnd"/>
      <w:r>
        <w:rPr>
          <w:rFonts w:ascii="Tahoma" w:hAnsi="Tahoma" w:cs="Tahoma"/>
          <w:sz w:val="20"/>
          <w:szCs w:val="20"/>
        </w:rPr>
        <w:t xml:space="preserve"> the Asia-Pacific Crohn’s and Colitis Epidemiology Study. Gastroenterology 145:158-65. </w:t>
      </w:r>
    </w:p>
    <w:p w:rsidR="0091669D" w:rsidRPr="0013313A" w:rsidRDefault="0091669D" w:rsidP="00F22C9E">
      <w:pPr>
        <w:jc w:val="left"/>
      </w:pPr>
      <w:r>
        <w:t xml:space="preserve">Wilson J et al (2010) High incidence of inflammatory bowel disease in Australia: a prospective population-based Australian incidence study. </w:t>
      </w:r>
      <w:proofErr w:type="spellStart"/>
      <w:r>
        <w:t>Inflamm</w:t>
      </w:r>
      <w:proofErr w:type="spellEnd"/>
      <w:r>
        <w:t xml:space="preserve"> Bowel Dis 16(9):1550-56. </w:t>
      </w:r>
    </w:p>
    <w:p w:rsidR="00145D14" w:rsidRPr="0013313A" w:rsidRDefault="00145D14" w:rsidP="00145D14"/>
    <w:p w:rsidR="00145D14" w:rsidRPr="0013313A" w:rsidRDefault="00145D14">
      <w:pPr>
        <w:spacing w:after="0" w:line="240" w:lineRule="auto"/>
        <w:jc w:val="left"/>
      </w:pPr>
      <w:r w:rsidRPr="0013313A">
        <w:br w:type="page"/>
      </w:r>
    </w:p>
    <w:p w:rsidR="00145D14" w:rsidRPr="00145D14" w:rsidRDefault="008444F5" w:rsidP="00145D14">
      <w:pPr>
        <w:pStyle w:val="Heading1"/>
      </w:pPr>
      <w:bookmarkStart w:id="37" w:name="_Toc445384048"/>
      <w:r>
        <w:lastRenderedPageBreak/>
        <w:t xml:space="preserve">Appendix 1: </w:t>
      </w:r>
      <w:r w:rsidR="00145D14" w:rsidRPr="00145D14">
        <w:t>Issues to consider in the Assessment Report</w:t>
      </w:r>
      <w:bookmarkEnd w:id="37"/>
    </w:p>
    <w:p w:rsidR="00145D14" w:rsidRPr="00145D14" w:rsidRDefault="00145D14" w:rsidP="00145D14">
      <w:r w:rsidRPr="00145D14">
        <w:t xml:space="preserve">At its December 2014 meeting, PASC noted that the following issues need to be addressed in the assessment report. </w:t>
      </w:r>
    </w:p>
    <w:p w:rsidR="00737104" w:rsidRPr="00145D14" w:rsidRDefault="00737104" w:rsidP="00737104">
      <w:r w:rsidRPr="00145D14">
        <w:t xml:space="preserve">(1) </w:t>
      </w:r>
      <w:proofErr w:type="spellStart"/>
      <w:r w:rsidRPr="00145D14">
        <w:t>Calprotectin</w:t>
      </w:r>
      <w:proofErr w:type="spellEnd"/>
      <w:r w:rsidRPr="00145D14">
        <w:t xml:space="preserve"> test as a means of differentiating between IBS and IBD patients: </w:t>
      </w:r>
    </w:p>
    <w:p w:rsidR="00145D14" w:rsidRPr="00145D14" w:rsidRDefault="00145D14" w:rsidP="00145D14">
      <w:pPr>
        <w:pStyle w:val="ListParagraph"/>
        <w:numPr>
          <w:ilvl w:val="1"/>
          <w:numId w:val="37"/>
        </w:numPr>
        <w:spacing w:after="120" w:line="240" w:lineRule="auto"/>
        <w:jc w:val="left"/>
      </w:pPr>
      <w:r w:rsidRPr="00145D14">
        <w:t>Applicant needs to indicate whether the intended population is IBD vs IBS or inflammatory vs non-inflammatory or organic vs functional disease. (NB: the present protocol assumes that the intended population is IBD vs. IBS)</w:t>
      </w:r>
    </w:p>
    <w:p w:rsidR="00145D14" w:rsidRPr="00145D14" w:rsidRDefault="00145D14" w:rsidP="00145D14">
      <w:pPr>
        <w:pStyle w:val="ListParagraph"/>
        <w:numPr>
          <w:ilvl w:val="1"/>
          <w:numId w:val="37"/>
        </w:numPr>
        <w:spacing w:after="120" w:line="240" w:lineRule="auto"/>
        <w:ind w:hanging="357"/>
        <w:jc w:val="left"/>
      </w:pPr>
      <w:r w:rsidRPr="00145D14">
        <w:t>Provide evidence for the proposed 50 and 150 </w:t>
      </w:r>
      <w:proofErr w:type="spellStart"/>
      <w:r w:rsidRPr="00145D14">
        <w:t>μg</w:t>
      </w:r>
      <w:proofErr w:type="spellEnd"/>
      <w:r w:rsidRPr="00145D14">
        <w:t>/g thresholds for the assays, and the basis for resolving an intermediate score between these thresholds.</w:t>
      </w:r>
    </w:p>
    <w:p w:rsidR="00145D14" w:rsidRPr="00145D14" w:rsidRDefault="00145D14" w:rsidP="00145D14">
      <w:pPr>
        <w:pStyle w:val="ListParagraph"/>
        <w:numPr>
          <w:ilvl w:val="1"/>
          <w:numId w:val="37"/>
        </w:numPr>
        <w:spacing w:after="120" w:line="240" w:lineRule="auto"/>
        <w:ind w:hanging="357"/>
        <w:jc w:val="left"/>
      </w:pPr>
      <w:r w:rsidRPr="00145D14">
        <w:t>Analyse the impact of confounding (e.g. diverticular disease, microscopic colitis, coeliac disease, reflux esophagitis, gastritis and non-steroidal anti-inflammatory drugs) on the assay’s accuracy in ruling in or out gastrointestinal inflammation in the proposed population.</w:t>
      </w:r>
    </w:p>
    <w:p w:rsidR="00145D14" w:rsidRPr="00145D14" w:rsidRDefault="00145D14" w:rsidP="00145D14">
      <w:pPr>
        <w:pStyle w:val="ListParagraph"/>
        <w:numPr>
          <w:ilvl w:val="1"/>
          <w:numId w:val="37"/>
        </w:numPr>
        <w:spacing w:after="120" w:line="240" w:lineRule="auto"/>
        <w:ind w:hanging="357"/>
        <w:jc w:val="left"/>
      </w:pPr>
      <w:r w:rsidRPr="00145D14">
        <w:t>Discuss how the prevalence of inflammatory/organic disease (IBD) vs non-inflammatory/functional disease (IBS), and other confounding diseases in different age groups, affects the assay’s predictive value and clinical and economic consequences.</w:t>
      </w:r>
    </w:p>
    <w:p w:rsidR="00145D14" w:rsidRPr="00145D14" w:rsidRDefault="00145D14" w:rsidP="00145D14">
      <w:pPr>
        <w:pStyle w:val="ListParagraph"/>
        <w:numPr>
          <w:ilvl w:val="1"/>
          <w:numId w:val="37"/>
        </w:numPr>
        <w:spacing w:after="120" w:line="240" w:lineRule="auto"/>
        <w:ind w:hanging="357"/>
        <w:jc w:val="left"/>
      </w:pPr>
      <w:r w:rsidRPr="00145D14">
        <w:t>Provide data regarding the assay’s performance (e.g. sensitivity, specificity, PPV, NPV) in the intended population and use this information in the economic evaluation.</w:t>
      </w:r>
    </w:p>
    <w:p w:rsidR="00145D14" w:rsidRDefault="00145D14" w:rsidP="00145D14">
      <w:pPr>
        <w:pStyle w:val="ListParagraph"/>
        <w:numPr>
          <w:ilvl w:val="1"/>
          <w:numId w:val="37"/>
        </w:numPr>
        <w:spacing w:line="240" w:lineRule="auto"/>
        <w:jc w:val="left"/>
      </w:pPr>
      <w:r w:rsidRPr="00145D14">
        <w:t>Provide sufficient data for the economic evaluation, accounting for management and health outcomes of true positives, false positives (over-investigation and over-treatment), true negatives, false negatives (delayed diagnosis and under-treatment) and confounding diseases.</w:t>
      </w:r>
    </w:p>
    <w:p w:rsidR="00145D14" w:rsidRPr="00145D14" w:rsidRDefault="00145D14" w:rsidP="00145D14">
      <w:r w:rsidRPr="00145D14">
        <w:t>PASC also noted a number of additional research questions that should be addressed in the assessment report.</w:t>
      </w:r>
    </w:p>
    <w:p w:rsidR="00145D14" w:rsidRPr="00145D14" w:rsidRDefault="00145D14" w:rsidP="00145D14">
      <w:pPr>
        <w:pStyle w:val="ListParagraph"/>
        <w:numPr>
          <w:ilvl w:val="1"/>
          <w:numId w:val="38"/>
        </w:numPr>
        <w:spacing w:after="120" w:line="240" w:lineRule="auto"/>
        <w:ind w:hanging="357"/>
        <w:jc w:val="left"/>
      </w:pPr>
      <w:r>
        <w:t>C</w:t>
      </w:r>
      <w:r w:rsidRPr="00145D14">
        <w:t>alculate PPV and NPV and colonoscopy costs for each scenario taking into account disease prevalence at different ages (IBD&gt;IBS in children, IBS&gt;IBD in middle age, colorectal cancer and diverticular disease more common in elderly).</w:t>
      </w:r>
    </w:p>
    <w:p w:rsidR="00145D14" w:rsidRPr="00145D14" w:rsidRDefault="00145D14" w:rsidP="00145D14">
      <w:pPr>
        <w:pStyle w:val="ListParagraph"/>
        <w:numPr>
          <w:ilvl w:val="1"/>
          <w:numId w:val="38"/>
        </w:numPr>
        <w:spacing w:after="120" w:line="240" w:lineRule="auto"/>
        <w:ind w:hanging="357"/>
        <w:jc w:val="left"/>
      </w:pPr>
      <w:r>
        <w:t>Provide</w:t>
      </w:r>
      <w:r w:rsidRPr="00145D14">
        <w:t xml:space="preserve"> evidence for the claim that a test returning &lt;50 </w:t>
      </w:r>
      <w:proofErr w:type="spellStart"/>
      <w:r w:rsidRPr="00145D14">
        <w:t>μg</w:t>
      </w:r>
      <w:proofErr w:type="spellEnd"/>
      <w:r w:rsidRPr="00145D14">
        <w:t>/g where no colonoscopy is performed results in cost savings.</w:t>
      </w:r>
    </w:p>
    <w:p w:rsidR="00145D14" w:rsidRPr="00145D14" w:rsidRDefault="00145D14" w:rsidP="00145D14">
      <w:pPr>
        <w:pStyle w:val="ListParagraph"/>
        <w:numPr>
          <w:ilvl w:val="1"/>
          <w:numId w:val="38"/>
        </w:numPr>
        <w:spacing w:line="240" w:lineRule="auto"/>
        <w:jc w:val="left"/>
      </w:pPr>
      <w:r>
        <w:t>Provide</w:t>
      </w:r>
      <w:r w:rsidRPr="00145D14">
        <w:t xml:space="preserve"> additional clinical management guidelines.</w:t>
      </w:r>
    </w:p>
    <w:p w:rsidR="00145D14" w:rsidRDefault="00145D14" w:rsidP="00145D14">
      <w:pPr>
        <w:spacing w:after="120" w:line="240" w:lineRule="auto"/>
        <w:jc w:val="left"/>
      </w:pPr>
    </w:p>
    <w:p w:rsidR="00737104" w:rsidRPr="00737104" w:rsidRDefault="00737104" w:rsidP="00737104">
      <w:pPr>
        <w:rPr>
          <w:rFonts w:ascii="Arial" w:hAnsi="Arial" w:cs="Arial"/>
        </w:rPr>
      </w:pPr>
      <w:r w:rsidRPr="00145D14">
        <w:t xml:space="preserve">(2) </w:t>
      </w:r>
      <w:proofErr w:type="spellStart"/>
      <w:r w:rsidRPr="00145D14">
        <w:t>Calprotectin</w:t>
      </w:r>
      <w:proofErr w:type="spellEnd"/>
      <w:r w:rsidRPr="00145D14">
        <w:t xml:space="preserve"> test for monitoring those patients who are identified as having IBD:</w:t>
      </w:r>
    </w:p>
    <w:p w:rsidR="00145D14" w:rsidRPr="00145D14" w:rsidRDefault="00145D14" w:rsidP="00145D14">
      <w:pPr>
        <w:pStyle w:val="ListParagraph"/>
        <w:numPr>
          <w:ilvl w:val="1"/>
          <w:numId w:val="37"/>
        </w:numPr>
        <w:spacing w:after="120" w:line="240" w:lineRule="auto"/>
        <w:ind w:left="1434" w:hanging="357"/>
        <w:jc w:val="left"/>
      </w:pPr>
      <w:r w:rsidRPr="00145D14">
        <w:t xml:space="preserve">No clinical guidelines are available for use of </w:t>
      </w:r>
      <w:r w:rsidR="00427A5B">
        <w:t xml:space="preserve">Faecal </w:t>
      </w:r>
      <w:proofErr w:type="spellStart"/>
      <w:r w:rsidR="00427A5B">
        <w:t>Calprotectin</w:t>
      </w:r>
      <w:proofErr w:type="spellEnd"/>
      <w:r w:rsidRPr="00145D14">
        <w:t xml:space="preserve"> testing.</w:t>
      </w:r>
    </w:p>
    <w:p w:rsidR="00145D14" w:rsidRPr="00145D14" w:rsidRDefault="00145D14" w:rsidP="00145D14">
      <w:pPr>
        <w:pStyle w:val="ListParagraph"/>
        <w:numPr>
          <w:ilvl w:val="1"/>
          <w:numId w:val="37"/>
        </w:numPr>
        <w:spacing w:after="120" w:line="240" w:lineRule="auto"/>
        <w:ind w:left="1434" w:hanging="357"/>
        <w:jc w:val="left"/>
      </w:pPr>
      <w:r w:rsidRPr="00145D14">
        <w:t xml:space="preserve">Provide data regarding </w:t>
      </w:r>
      <w:proofErr w:type="spellStart"/>
      <w:r w:rsidRPr="00145D14">
        <w:t>biovariability</w:t>
      </w:r>
      <w:proofErr w:type="spellEnd"/>
      <w:r w:rsidRPr="00145D14">
        <w:t xml:space="preserve"> and the assay’s reproducibility and repeatability.</w:t>
      </w:r>
    </w:p>
    <w:p w:rsidR="00145D14" w:rsidRPr="00145D14" w:rsidRDefault="00145D14" w:rsidP="00145D14">
      <w:pPr>
        <w:pStyle w:val="ListParagraph"/>
        <w:numPr>
          <w:ilvl w:val="1"/>
          <w:numId w:val="37"/>
        </w:numPr>
        <w:spacing w:after="120" w:line="240" w:lineRule="auto"/>
        <w:ind w:left="1434" w:hanging="357"/>
        <w:jc w:val="left"/>
      </w:pPr>
      <w:r w:rsidRPr="00145D14">
        <w:t xml:space="preserve">Provide data to show longitudinal correlation of </w:t>
      </w:r>
      <w:r w:rsidR="00427A5B">
        <w:t xml:space="preserve">Faecal </w:t>
      </w:r>
      <w:proofErr w:type="spellStart"/>
      <w:r w:rsidR="00427A5B">
        <w:t>Calprotectin</w:t>
      </w:r>
      <w:proofErr w:type="spellEnd"/>
      <w:r w:rsidRPr="00145D14">
        <w:t xml:space="preserve"> levels with disease activity.</w:t>
      </w:r>
    </w:p>
    <w:p w:rsidR="00145D14" w:rsidRPr="00145D14" w:rsidRDefault="00145D14" w:rsidP="00145D14">
      <w:pPr>
        <w:pStyle w:val="ListParagraph"/>
        <w:numPr>
          <w:ilvl w:val="1"/>
          <w:numId w:val="37"/>
        </w:numPr>
        <w:spacing w:after="120" w:line="240" w:lineRule="auto"/>
        <w:ind w:left="1434" w:hanging="357"/>
        <w:jc w:val="left"/>
      </w:pPr>
      <w:r w:rsidRPr="00145D14">
        <w:t xml:space="preserve">Provide data to indicate what a significant increase is in </w:t>
      </w:r>
      <w:r w:rsidR="00427A5B">
        <w:t xml:space="preserve">Faecal </w:t>
      </w:r>
      <w:proofErr w:type="spellStart"/>
      <w:r w:rsidR="00427A5B">
        <w:t>Calprotectin</w:t>
      </w:r>
      <w:proofErr w:type="spellEnd"/>
      <w:r w:rsidRPr="00145D14">
        <w:t xml:space="preserve"> above patient baseline or last measurement.</w:t>
      </w:r>
    </w:p>
    <w:p w:rsidR="00145D14" w:rsidRPr="00145D14" w:rsidRDefault="00145D14" w:rsidP="00145D14">
      <w:pPr>
        <w:pStyle w:val="ListParagraph"/>
        <w:numPr>
          <w:ilvl w:val="1"/>
          <w:numId w:val="37"/>
        </w:numPr>
        <w:spacing w:after="120" w:line="240" w:lineRule="auto"/>
        <w:ind w:left="1434" w:hanging="357"/>
        <w:jc w:val="left"/>
      </w:pPr>
      <w:r w:rsidRPr="00145D14">
        <w:t>Provide data to justify testing intervals.</w:t>
      </w:r>
    </w:p>
    <w:p w:rsidR="00145D14" w:rsidRPr="00145D14" w:rsidRDefault="00145D14" w:rsidP="00145D14">
      <w:pPr>
        <w:pStyle w:val="ListParagraph"/>
        <w:numPr>
          <w:ilvl w:val="1"/>
          <w:numId w:val="37"/>
        </w:numPr>
        <w:spacing w:after="120" w:line="240" w:lineRule="auto"/>
        <w:ind w:left="1434" w:hanging="357"/>
        <w:jc w:val="left"/>
      </w:pPr>
      <w:r w:rsidRPr="00145D14">
        <w:t xml:space="preserve">Provide data to estimate the proportion of patients with a significant increase in </w:t>
      </w:r>
      <w:r w:rsidR="00427A5B">
        <w:t xml:space="preserve">Faecal </w:t>
      </w:r>
      <w:proofErr w:type="spellStart"/>
      <w:r w:rsidR="00427A5B">
        <w:t>Calprotectin</w:t>
      </w:r>
      <w:proofErr w:type="spellEnd"/>
      <w:r w:rsidRPr="00145D14">
        <w:t xml:space="preserve"> who will proceed to colonoscopy.</w:t>
      </w:r>
    </w:p>
    <w:p w:rsidR="00145D14" w:rsidRPr="00145D14" w:rsidRDefault="00145D14" w:rsidP="00145D14">
      <w:pPr>
        <w:pStyle w:val="ListParagraph"/>
        <w:numPr>
          <w:ilvl w:val="1"/>
          <w:numId w:val="37"/>
        </w:numPr>
        <w:spacing w:after="120" w:line="240" w:lineRule="auto"/>
        <w:ind w:left="1434" w:hanging="357"/>
        <w:jc w:val="left"/>
      </w:pPr>
      <w:r w:rsidRPr="00145D14">
        <w:t>Provide evidence to show the split of the assay use between GP and gastroenterologist.</w:t>
      </w:r>
    </w:p>
    <w:p w:rsidR="00145D14" w:rsidRPr="00145D14" w:rsidRDefault="00145D14" w:rsidP="00145D14">
      <w:pPr>
        <w:pStyle w:val="ListParagraph"/>
        <w:numPr>
          <w:ilvl w:val="1"/>
          <w:numId w:val="37"/>
        </w:numPr>
        <w:spacing w:after="120" w:line="240" w:lineRule="auto"/>
        <w:ind w:left="1434" w:hanging="357"/>
        <w:jc w:val="left"/>
      </w:pPr>
      <w:r w:rsidRPr="00145D14">
        <w:t>Provide data to show improvement in quality of life.</w:t>
      </w:r>
    </w:p>
    <w:p w:rsidR="00145D14" w:rsidRPr="00145D14" w:rsidRDefault="00145D14" w:rsidP="00145D14">
      <w:pPr>
        <w:pStyle w:val="ListParagraph"/>
        <w:numPr>
          <w:ilvl w:val="1"/>
          <w:numId w:val="37"/>
        </w:numPr>
        <w:spacing w:line="240" w:lineRule="auto"/>
        <w:jc w:val="left"/>
      </w:pPr>
      <w:r w:rsidRPr="00145D14">
        <w:t>Provide sufficient data for the economic evaluation.</w:t>
      </w:r>
    </w:p>
    <w:p w:rsidR="00145D14" w:rsidRDefault="00145D14" w:rsidP="00145D14">
      <w:pPr>
        <w:spacing w:line="240" w:lineRule="auto"/>
        <w:jc w:val="left"/>
      </w:pPr>
    </w:p>
    <w:p w:rsidR="00145D14" w:rsidRPr="00145D14" w:rsidRDefault="00145D14" w:rsidP="00145D14">
      <w:r w:rsidRPr="00145D14">
        <w:t>PASC also noted a number of additional research questions that should be addressed in the assessment report.</w:t>
      </w:r>
    </w:p>
    <w:p w:rsidR="00145D14" w:rsidRPr="00145D14" w:rsidRDefault="00145D14" w:rsidP="00145D14">
      <w:pPr>
        <w:pStyle w:val="ListParagraph"/>
        <w:numPr>
          <w:ilvl w:val="1"/>
          <w:numId w:val="38"/>
        </w:numPr>
        <w:spacing w:after="120" w:line="240" w:lineRule="auto"/>
        <w:ind w:left="1418" w:hanging="284"/>
        <w:jc w:val="left"/>
      </w:pPr>
      <w:r w:rsidRPr="00145D14">
        <w:lastRenderedPageBreak/>
        <w:t xml:space="preserve">Need coefficient of variance data for assay reproducibility and repeatability for serial </w:t>
      </w:r>
      <w:r w:rsidR="00427A5B">
        <w:t xml:space="preserve">Faecal </w:t>
      </w:r>
      <w:proofErr w:type="spellStart"/>
      <w:r w:rsidR="00427A5B">
        <w:t>Calprotectin</w:t>
      </w:r>
      <w:proofErr w:type="spellEnd"/>
      <w:r w:rsidRPr="00145D14">
        <w:t xml:space="preserve"> measurements.</w:t>
      </w:r>
    </w:p>
    <w:p w:rsidR="00145D14" w:rsidRPr="00145D14" w:rsidRDefault="00145D14" w:rsidP="00145D14">
      <w:pPr>
        <w:pStyle w:val="ListParagraph"/>
        <w:numPr>
          <w:ilvl w:val="1"/>
          <w:numId w:val="38"/>
        </w:numPr>
        <w:spacing w:after="120" w:line="240" w:lineRule="auto"/>
        <w:ind w:left="1418" w:hanging="284"/>
        <w:jc w:val="left"/>
      </w:pPr>
      <w:r w:rsidRPr="00145D14">
        <w:t xml:space="preserve">Need </w:t>
      </w:r>
      <w:proofErr w:type="spellStart"/>
      <w:r w:rsidRPr="00145D14">
        <w:t>biovariability</w:t>
      </w:r>
      <w:proofErr w:type="spellEnd"/>
      <w:r w:rsidRPr="00145D14">
        <w:t xml:space="preserve"> data for </w:t>
      </w:r>
      <w:r w:rsidR="00427A5B">
        <w:t xml:space="preserve">Faecal </w:t>
      </w:r>
      <w:proofErr w:type="spellStart"/>
      <w:r w:rsidR="00427A5B">
        <w:t>Calprotectin</w:t>
      </w:r>
      <w:proofErr w:type="spellEnd"/>
      <w:r w:rsidRPr="00145D14">
        <w:t xml:space="preserve"> measurements in longitudinal studies of healthy and IBD subjects.</w:t>
      </w:r>
    </w:p>
    <w:p w:rsidR="00145D14" w:rsidRPr="00145D14" w:rsidRDefault="00145D14" w:rsidP="00145D14">
      <w:pPr>
        <w:pStyle w:val="ListParagraph"/>
        <w:numPr>
          <w:ilvl w:val="1"/>
          <w:numId w:val="38"/>
        </w:numPr>
        <w:spacing w:after="120" w:line="240" w:lineRule="auto"/>
        <w:ind w:left="1434" w:hanging="357"/>
        <w:jc w:val="left"/>
      </w:pPr>
      <w:r w:rsidRPr="00145D14">
        <w:t xml:space="preserve">Need clear </w:t>
      </w:r>
      <w:r w:rsidR="00427A5B">
        <w:t xml:space="preserve">Faecal </w:t>
      </w:r>
      <w:proofErr w:type="spellStart"/>
      <w:r w:rsidR="00427A5B">
        <w:t>Calprotectin</w:t>
      </w:r>
      <w:proofErr w:type="spellEnd"/>
      <w:r w:rsidRPr="00145D14">
        <w:t xml:space="preserve"> values that indicate mucosal healing, deep remission, relapse and flare in patients with CD and UC.</w:t>
      </w:r>
    </w:p>
    <w:p w:rsidR="00145D14" w:rsidRPr="00145D14" w:rsidRDefault="00145D14" w:rsidP="00145D14">
      <w:pPr>
        <w:pStyle w:val="ListParagraph"/>
        <w:numPr>
          <w:ilvl w:val="1"/>
          <w:numId w:val="38"/>
        </w:numPr>
        <w:spacing w:after="120" w:line="240" w:lineRule="auto"/>
        <w:ind w:left="1434" w:hanging="357"/>
        <w:jc w:val="left"/>
      </w:pPr>
      <w:r w:rsidRPr="00145D14">
        <w:t xml:space="preserve">Need data correlating </w:t>
      </w:r>
      <w:r w:rsidR="00427A5B">
        <w:t xml:space="preserve">Faecal </w:t>
      </w:r>
      <w:proofErr w:type="spellStart"/>
      <w:r w:rsidR="00427A5B">
        <w:t>Calprotectin</w:t>
      </w:r>
      <w:proofErr w:type="spellEnd"/>
      <w:r w:rsidRPr="00145D14">
        <w:t xml:space="preserve"> concentrations with disease activity (symptoms), degree of inflammation (histology), markers of inflammation (ESR, CRP) and therapeutic responses over time in individual patients with CD and UC.</w:t>
      </w:r>
    </w:p>
    <w:p w:rsidR="00145D14" w:rsidRPr="00145D14" w:rsidRDefault="00145D14" w:rsidP="00145D14">
      <w:pPr>
        <w:pStyle w:val="ListParagraph"/>
        <w:numPr>
          <w:ilvl w:val="1"/>
          <w:numId w:val="38"/>
        </w:numPr>
        <w:spacing w:after="120" w:line="240" w:lineRule="auto"/>
        <w:ind w:left="1434" w:hanging="357"/>
        <w:jc w:val="left"/>
      </w:pPr>
      <w:r w:rsidRPr="00145D14">
        <w:t>Need data showing correlation between measurement intervals and ability to predict relapse and/or flare.</w:t>
      </w:r>
    </w:p>
    <w:p w:rsidR="00145D14" w:rsidRPr="00145D14" w:rsidRDefault="00145D14" w:rsidP="00145D14">
      <w:pPr>
        <w:pStyle w:val="ListParagraph"/>
        <w:numPr>
          <w:ilvl w:val="1"/>
          <w:numId w:val="38"/>
        </w:numPr>
        <w:spacing w:after="120" w:line="240" w:lineRule="auto"/>
        <w:ind w:left="1434" w:hanging="357"/>
        <w:jc w:val="left"/>
      </w:pPr>
      <w:r w:rsidRPr="00145D14">
        <w:t xml:space="preserve">Need data showing that regular monitoring improves quality of life, reduces number of colonoscopies and hospitalisations, </w:t>
      </w:r>
      <w:proofErr w:type="gramStart"/>
      <w:r w:rsidRPr="00145D14">
        <w:t>reduces</w:t>
      </w:r>
      <w:proofErr w:type="gramEnd"/>
      <w:r w:rsidRPr="00145D14">
        <w:t xml:space="preserve"> need for biological therapies and surgery.</w:t>
      </w:r>
    </w:p>
    <w:p w:rsidR="00145D14" w:rsidRPr="00145D14" w:rsidRDefault="00145D14" w:rsidP="00145D14">
      <w:pPr>
        <w:pStyle w:val="ListParagraph"/>
        <w:numPr>
          <w:ilvl w:val="1"/>
          <w:numId w:val="38"/>
        </w:numPr>
        <w:spacing w:line="240" w:lineRule="auto"/>
        <w:ind w:left="1434" w:hanging="357"/>
        <w:jc w:val="left"/>
      </w:pPr>
      <w:r w:rsidRPr="00145D14">
        <w:t xml:space="preserve">Need clinical guidelines for use of </w:t>
      </w:r>
      <w:r w:rsidR="00427A5B">
        <w:t xml:space="preserve">Faecal </w:t>
      </w:r>
      <w:proofErr w:type="spellStart"/>
      <w:r w:rsidR="00427A5B">
        <w:t>Calprotectin</w:t>
      </w:r>
      <w:proofErr w:type="spellEnd"/>
      <w:r w:rsidRPr="00145D14">
        <w:t xml:space="preserve"> in IBD.</w:t>
      </w:r>
    </w:p>
    <w:p w:rsidR="00145D14" w:rsidRPr="00145D14" w:rsidRDefault="00145D14" w:rsidP="00145D14"/>
    <w:sectPr w:rsidR="00145D14" w:rsidRPr="00145D14" w:rsidSect="00EB6F40">
      <w:headerReference w:type="default" r:id="rId15"/>
      <w:footerReference w:type="default" r:id="rId16"/>
      <w:pgSz w:w="11906" w:h="16838"/>
      <w:pgMar w:top="303" w:right="1077" w:bottom="1077" w:left="119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7B" w:rsidRDefault="000B437B" w:rsidP="000901A8">
      <w:r>
        <w:separator/>
      </w:r>
    </w:p>
  </w:endnote>
  <w:endnote w:type="continuationSeparator" w:id="0">
    <w:p w:rsidR="000B437B" w:rsidRDefault="000B437B"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Italic+FPEF">
    <w:panose1 w:val="00000000000000000000"/>
    <w:charset w:val="00"/>
    <w:family w:val="auto"/>
    <w:notTrueType/>
    <w:pitch w:val="default"/>
    <w:sig w:usb0="00000003" w:usb1="00000000" w:usb2="00000000" w:usb3="00000000" w:csb0="00000001" w:csb1="00000000"/>
  </w:font>
  <w:font w:name="Times New Roman Bold+FPE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892"/>
      <w:docPartObj>
        <w:docPartGallery w:val="Page Numbers (Bottom of Page)"/>
        <w:docPartUnique/>
      </w:docPartObj>
    </w:sdtPr>
    <w:sdtEndPr>
      <w:rPr>
        <w:noProof/>
      </w:rPr>
    </w:sdtEndPr>
    <w:sdtContent>
      <w:p w:rsidR="000B437B" w:rsidRDefault="000B437B">
        <w:pPr>
          <w:pStyle w:val="Footer"/>
          <w:jc w:val="right"/>
        </w:pPr>
        <w:r>
          <w:fldChar w:fldCharType="begin"/>
        </w:r>
        <w:r>
          <w:instrText xml:space="preserve"> PAGE   \* MERGEFORMAT </w:instrText>
        </w:r>
        <w:r>
          <w:fldChar w:fldCharType="separate"/>
        </w:r>
        <w:r w:rsidR="00E8337E">
          <w:rPr>
            <w:noProof/>
          </w:rPr>
          <w:t>26</w:t>
        </w:r>
        <w:r>
          <w:rPr>
            <w:noProof/>
          </w:rPr>
          <w:fldChar w:fldCharType="end"/>
        </w:r>
      </w:p>
    </w:sdtContent>
  </w:sdt>
  <w:p w:rsidR="000B437B" w:rsidRDefault="000B4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7B" w:rsidRDefault="000B437B" w:rsidP="000901A8">
      <w:r>
        <w:separator/>
      </w:r>
    </w:p>
  </w:footnote>
  <w:footnote w:type="continuationSeparator" w:id="0">
    <w:p w:rsidR="000B437B" w:rsidRDefault="000B437B" w:rsidP="000901A8">
      <w:r>
        <w:continuationSeparator/>
      </w:r>
    </w:p>
  </w:footnote>
  <w:footnote w:id="1">
    <w:p w:rsidR="000B437B" w:rsidRDefault="000B437B" w:rsidP="0045052A">
      <w:pPr>
        <w:pStyle w:val="FootnoteText"/>
        <w:spacing w:after="0"/>
      </w:pPr>
      <w:r w:rsidRPr="0045052A">
        <w:rPr>
          <w:rStyle w:val="FootnoteReference"/>
          <w:rFonts w:ascii="Tahoma" w:hAnsi="Tahoma" w:cs="Tahoma"/>
          <w:sz w:val="18"/>
          <w:szCs w:val="18"/>
        </w:rPr>
        <w:footnoteRef/>
      </w:r>
      <w:r w:rsidRPr="0045052A">
        <w:rPr>
          <w:rFonts w:ascii="Tahoma" w:hAnsi="Tahoma"/>
          <w:sz w:val="18"/>
          <w:szCs w:val="18"/>
        </w:rPr>
        <w:t xml:space="preserve"> The PASC noted The Royal College of Pathologists of Australasia advice that data in children is not as compelling as in adults, and requires clarification.</w:t>
      </w:r>
    </w:p>
  </w:footnote>
  <w:footnote w:id="2">
    <w:p w:rsidR="000B437B" w:rsidRPr="0045052A" w:rsidRDefault="000B437B" w:rsidP="0045052A">
      <w:pPr>
        <w:pStyle w:val="FootnoteText"/>
        <w:spacing w:after="0"/>
        <w:rPr>
          <w:rFonts w:ascii="Tahoma" w:hAnsi="Tahoma"/>
          <w:sz w:val="18"/>
          <w:szCs w:val="18"/>
        </w:rPr>
      </w:pPr>
      <w:r w:rsidRPr="0045052A">
        <w:rPr>
          <w:rStyle w:val="FootnoteReference"/>
          <w:rFonts w:ascii="Tahoma" w:hAnsi="Tahoma" w:cs="Tahoma"/>
          <w:sz w:val="18"/>
          <w:szCs w:val="18"/>
        </w:rPr>
        <w:footnoteRef/>
      </w:r>
      <w:r w:rsidRPr="0045052A">
        <w:rPr>
          <w:rFonts w:ascii="Tahoma" w:hAnsi="Tahoma"/>
          <w:sz w:val="18"/>
          <w:szCs w:val="18"/>
        </w:rPr>
        <w:t xml:space="preserve"> </w:t>
      </w:r>
      <w:r>
        <w:rPr>
          <w:rFonts w:ascii="Tahoma" w:hAnsi="Tahoma"/>
          <w:sz w:val="18"/>
          <w:szCs w:val="18"/>
        </w:rPr>
        <w:t xml:space="preserve">As above, the data in children </w:t>
      </w:r>
      <w:r w:rsidRPr="0045052A">
        <w:rPr>
          <w:rFonts w:ascii="Tahoma" w:hAnsi="Tahoma"/>
          <w:sz w:val="18"/>
          <w:szCs w:val="18"/>
        </w:rPr>
        <w:t>requires clarification.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7B" w:rsidRDefault="000B437B">
    <w:pPr>
      <w:pStyle w:val="Header"/>
    </w:pPr>
    <w:r>
      <w:t xml:space="preserve">30 May 2017 – Ratified post-PASC Protocol (this application was lodged prior to 2016 MSAC reforms, so remains in </w:t>
    </w:r>
    <w:r>
      <w:br/>
      <w:t xml:space="preserve">pre-reform document format)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585"/>
    <w:multiLevelType w:val="hybridMultilevel"/>
    <w:tmpl w:val="E68C196E"/>
    <w:lvl w:ilvl="0" w:tplc="0AEA1E6E">
      <w:start w:val="1"/>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nsid w:val="038C4222"/>
    <w:multiLevelType w:val="multilevel"/>
    <w:tmpl w:val="AF3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B1CA1"/>
    <w:multiLevelType w:val="hybridMultilevel"/>
    <w:tmpl w:val="28C2F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D14A43"/>
    <w:multiLevelType w:val="hybridMultilevel"/>
    <w:tmpl w:val="7AA46C1E"/>
    <w:lvl w:ilvl="0" w:tplc="0C090003">
      <w:start w:val="1"/>
      <w:numFmt w:val="bullet"/>
      <w:lvlText w:val="o"/>
      <w:lvlJc w:val="left"/>
      <w:pPr>
        <w:ind w:left="401" w:hanging="360"/>
      </w:pPr>
      <w:rPr>
        <w:rFonts w:ascii="Courier New" w:hAnsi="Courier New" w:cs="Courier New" w:hint="default"/>
      </w:rPr>
    </w:lvl>
    <w:lvl w:ilvl="1" w:tplc="0C090003" w:tentative="1">
      <w:start w:val="1"/>
      <w:numFmt w:val="bullet"/>
      <w:lvlText w:val="o"/>
      <w:lvlJc w:val="left"/>
      <w:pPr>
        <w:ind w:left="1121" w:hanging="360"/>
      </w:pPr>
      <w:rPr>
        <w:rFonts w:ascii="Courier New" w:hAnsi="Courier New" w:cs="Courier New" w:hint="default"/>
      </w:rPr>
    </w:lvl>
    <w:lvl w:ilvl="2" w:tplc="0C090005" w:tentative="1">
      <w:start w:val="1"/>
      <w:numFmt w:val="bullet"/>
      <w:lvlText w:val=""/>
      <w:lvlJc w:val="left"/>
      <w:pPr>
        <w:ind w:left="1841" w:hanging="360"/>
      </w:pPr>
      <w:rPr>
        <w:rFonts w:ascii="Wingdings" w:hAnsi="Wingdings" w:hint="default"/>
      </w:rPr>
    </w:lvl>
    <w:lvl w:ilvl="3" w:tplc="0C090001" w:tentative="1">
      <w:start w:val="1"/>
      <w:numFmt w:val="bullet"/>
      <w:lvlText w:val=""/>
      <w:lvlJc w:val="left"/>
      <w:pPr>
        <w:ind w:left="2561" w:hanging="360"/>
      </w:pPr>
      <w:rPr>
        <w:rFonts w:ascii="Symbol" w:hAnsi="Symbol" w:hint="default"/>
      </w:rPr>
    </w:lvl>
    <w:lvl w:ilvl="4" w:tplc="0C090003" w:tentative="1">
      <w:start w:val="1"/>
      <w:numFmt w:val="bullet"/>
      <w:lvlText w:val="o"/>
      <w:lvlJc w:val="left"/>
      <w:pPr>
        <w:ind w:left="3281" w:hanging="360"/>
      </w:pPr>
      <w:rPr>
        <w:rFonts w:ascii="Courier New" w:hAnsi="Courier New" w:cs="Courier New" w:hint="default"/>
      </w:rPr>
    </w:lvl>
    <w:lvl w:ilvl="5" w:tplc="0C090005" w:tentative="1">
      <w:start w:val="1"/>
      <w:numFmt w:val="bullet"/>
      <w:lvlText w:val=""/>
      <w:lvlJc w:val="left"/>
      <w:pPr>
        <w:ind w:left="4001" w:hanging="360"/>
      </w:pPr>
      <w:rPr>
        <w:rFonts w:ascii="Wingdings" w:hAnsi="Wingdings" w:hint="default"/>
      </w:rPr>
    </w:lvl>
    <w:lvl w:ilvl="6" w:tplc="0C090001" w:tentative="1">
      <w:start w:val="1"/>
      <w:numFmt w:val="bullet"/>
      <w:lvlText w:val=""/>
      <w:lvlJc w:val="left"/>
      <w:pPr>
        <w:ind w:left="4721" w:hanging="360"/>
      </w:pPr>
      <w:rPr>
        <w:rFonts w:ascii="Symbol" w:hAnsi="Symbol" w:hint="default"/>
      </w:rPr>
    </w:lvl>
    <w:lvl w:ilvl="7" w:tplc="0C090003" w:tentative="1">
      <w:start w:val="1"/>
      <w:numFmt w:val="bullet"/>
      <w:lvlText w:val="o"/>
      <w:lvlJc w:val="left"/>
      <w:pPr>
        <w:ind w:left="5441" w:hanging="360"/>
      </w:pPr>
      <w:rPr>
        <w:rFonts w:ascii="Courier New" w:hAnsi="Courier New" w:cs="Courier New" w:hint="default"/>
      </w:rPr>
    </w:lvl>
    <w:lvl w:ilvl="8" w:tplc="0C090005" w:tentative="1">
      <w:start w:val="1"/>
      <w:numFmt w:val="bullet"/>
      <w:lvlText w:val=""/>
      <w:lvlJc w:val="left"/>
      <w:pPr>
        <w:ind w:left="6161" w:hanging="360"/>
      </w:pPr>
      <w:rPr>
        <w:rFonts w:ascii="Wingdings" w:hAnsi="Wingdings" w:hint="default"/>
      </w:rPr>
    </w:lvl>
  </w:abstractNum>
  <w:abstractNum w:abstractNumId="4">
    <w:nsid w:val="0A951CB8"/>
    <w:multiLevelType w:val="hybridMultilevel"/>
    <w:tmpl w:val="F2B0D504"/>
    <w:lvl w:ilvl="0" w:tplc="498C1870">
      <w:start w:val="1"/>
      <w:numFmt w:val="bullet"/>
      <w:lvlText w:val="•"/>
      <w:lvlJc w:val="left"/>
      <w:pPr>
        <w:tabs>
          <w:tab w:val="num" w:pos="720"/>
        </w:tabs>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nsid w:val="0AF75C27"/>
    <w:multiLevelType w:val="hybridMultilevel"/>
    <w:tmpl w:val="AA760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A11D3"/>
    <w:multiLevelType w:val="hybridMultilevel"/>
    <w:tmpl w:val="82AC77B2"/>
    <w:lvl w:ilvl="0" w:tplc="459CD2F4">
      <w:start w:val="1"/>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D61A52"/>
    <w:multiLevelType w:val="hybridMultilevel"/>
    <w:tmpl w:val="382AF08C"/>
    <w:lvl w:ilvl="0" w:tplc="7D9AFEC4">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18451C"/>
    <w:multiLevelType w:val="hybridMultilevel"/>
    <w:tmpl w:val="FA7868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057E72"/>
    <w:multiLevelType w:val="hybridMultilevel"/>
    <w:tmpl w:val="3AE018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1A433D66"/>
    <w:multiLevelType w:val="hybridMultilevel"/>
    <w:tmpl w:val="417EC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005FE2"/>
    <w:multiLevelType w:val="hybridMultilevel"/>
    <w:tmpl w:val="BCEA0A70"/>
    <w:lvl w:ilvl="0" w:tplc="D7348A36">
      <w:start w:val="1"/>
      <w:numFmt w:val="decimal"/>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121B35"/>
    <w:multiLevelType w:val="hybridMultilevel"/>
    <w:tmpl w:val="CB62F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23397E"/>
    <w:multiLevelType w:val="hybridMultilevel"/>
    <w:tmpl w:val="90F4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149C9"/>
    <w:multiLevelType w:val="hybridMultilevel"/>
    <w:tmpl w:val="EA66ECAA"/>
    <w:lvl w:ilvl="0" w:tplc="675A5C72">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E54493"/>
    <w:multiLevelType w:val="hybridMultilevel"/>
    <w:tmpl w:val="56743308"/>
    <w:lvl w:ilvl="0" w:tplc="5FE2ECF0">
      <w:start w:val="1"/>
      <w:numFmt w:val="decimal"/>
      <w:lvlText w:val="%1."/>
      <w:lvlJc w:val="left"/>
      <w:pPr>
        <w:ind w:left="794" w:hanging="360"/>
      </w:pPr>
      <w:rPr>
        <w:rFonts w:ascii="Arial" w:hAnsi="Arial" w:cs="Arial" w:hint="default"/>
      </w:rPr>
    </w:lvl>
    <w:lvl w:ilvl="1" w:tplc="0C090019" w:tentative="1">
      <w:start w:val="1"/>
      <w:numFmt w:val="lowerLetter"/>
      <w:lvlText w:val="%2."/>
      <w:lvlJc w:val="left"/>
      <w:pPr>
        <w:ind w:left="1514" w:hanging="360"/>
      </w:pPr>
    </w:lvl>
    <w:lvl w:ilvl="2" w:tplc="0C09001B" w:tentative="1">
      <w:start w:val="1"/>
      <w:numFmt w:val="lowerRoman"/>
      <w:lvlText w:val="%3."/>
      <w:lvlJc w:val="right"/>
      <w:pPr>
        <w:ind w:left="2234" w:hanging="180"/>
      </w:pPr>
    </w:lvl>
    <w:lvl w:ilvl="3" w:tplc="0C09000F" w:tentative="1">
      <w:start w:val="1"/>
      <w:numFmt w:val="decimal"/>
      <w:lvlText w:val="%4."/>
      <w:lvlJc w:val="left"/>
      <w:pPr>
        <w:ind w:left="2954" w:hanging="360"/>
      </w:pPr>
    </w:lvl>
    <w:lvl w:ilvl="4" w:tplc="0C090019" w:tentative="1">
      <w:start w:val="1"/>
      <w:numFmt w:val="lowerLetter"/>
      <w:lvlText w:val="%5."/>
      <w:lvlJc w:val="left"/>
      <w:pPr>
        <w:ind w:left="3674" w:hanging="360"/>
      </w:pPr>
    </w:lvl>
    <w:lvl w:ilvl="5" w:tplc="0C09001B" w:tentative="1">
      <w:start w:val="1"/>
      <w:numFmt w:val="lowerRoman"/>
      <w:lvlText w:val="%6."/>
      <w:lvlJc w:val="right"/>
      <w:pPr>
        <w:ind w:left="4394" w:hanging="180"/>
      </w:pPr>
    </w:lvl>
    <w:lvl w:ilvl="6" w:tplc="0C09000F" w:tentative="1">
      <w:start w:val="1"/>
      <w:numFmt w:val="decimal"/>
      <w:lvlText w:val="%7."/>
      <w:lvlJc w:val="left"/>
      <w:pPr>
        <w:ind w:left="5114" w:hanging="360"/>
      </w:pPr>
    </w:lvl>
    <w:lvl w:ilvl="7" w:tplc="0C090019" w:tentative="1">
      <w:start w:val="1"/>
      <w:numFmt w:val="lowerLetter"/>
      <w:lvlText w:val="%8."/>
      <w:lvlJc w:val="left"/>
      <w:pPr>
        <w:ind w:left="5834" w:hanging="360"/>
      </w:pPr>
    </w:lvl>
    <w:lvl w:ilvl="8" w:tplc="0C09001B" w:tentative="1">
      <w:start w:val="1"/>
      <w:numFmt w:val="lowerRoman"/>
      <w:lvlText w:val="%9."/>
      <w:lvlJc w:val="right"/>
      <w:pPr>
        <w:ind w:left="6554" w:hanging="180"/>
      </w:pPr>
    </w:lvl>
  </w:abstractNum>
  <w:abstractNum w:abstractNumId="16">
    <w:nsid w:val="202E2E0E"/>
    <w:multiLevelType w:val="hybridMultilevel"/>
    <w:tmpl w:val="F9D02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1A43BBF"/>
    <w:multiLevelType w:val="hybridMultilevel"/>
    <w:tmpl w:val="B5947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9">
    <w:nsid w:val="2C877786"/>
    <w:multiLevelType w:val="hybridMultilevel"/>
    <w:tmpl w:val="67E66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D15283"/>
    <w:multiLevelType w:val="hybridMultilevel"/>
    <w:tmpl w:val="7864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2C28FF"/>
    <w:multiLevelType w:val="hybridMultilevel"/>
    <w:tmpl w:val="D47ADE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C61597"/>
    <w:multiLevelType w:val="hybridMultilevel"/>
    <w:tmpl w:val="098E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6D6D4F"/>
    <w:multiLevelType w:val="hybridMultilevel"/>
    <w:tmpl w:val="1B8C403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B">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7E0402"/>
    <w:multiLevelType w:val="multilevel"/>
    <w:tmpl w:val="DEC8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F47219"/>
    <w:multiLevelType w:val="hybridMultilevel"/>
    <w:tmpl w:val="1E5C212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3AB14A9B"/>
    <w:multiLevelType w:val="hybridMultilevel"/>
    <w:tmpl w:val="CB62F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F2D690B"/>
    <w:multiLevelType w:val="hybridMultilevel"/>
    <w:tmpl w:val="34585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C05239"/>
    <w:multiLevelType w:val="hybridMultilevel"/>
    <w:tmpl w:val="1CC0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2F44EEF"/>
    <w:multiLevelType w:val="hybridMultilevel"/>
    <w:tmpl w:val="1AC8AB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nsid w:val="430727B5"/>
    <w:multiLevelType w:val="hybridMultilevel"/>
    <w:tmpl w:val="EABA7C68"/>
    <w:lvl w:ilvl="0" w:tplc="91141AB4">
      <w:start w:val="14"/>
      <w:numFmt w:val="bullet"/>
      <w:lvlText w:val="-"/>
      <w:lvlJc w:val="left"/>
      <w:pPr>
        <w:ind w:left="720" w:hanging="360"/>
      </w:pPr>
      <w:rPr>
        <w:rFonts w:ascii="Tahoma" w:eastAsia="SimSu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481FC5"/>
    <w:multiLevelType w:val="hybridMultilevel"/>
    <w:tmpl w:val="F974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CA2076"/>
    <w:multiLevelType w:val="hybridMultilevel"/>
    <w:tmpl w:val="1CCAD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A7D6214"/>
    <w:multiLevelType w:val="hybridMultilevel"/>
    <w:tmpl w:val="A462D5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A7D747D"/>
    <w:multiLevelType w:val="hybridMultilevel"/>
    <w:tmpl w:val="7D1E7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BFD61AB"/>
    <w:multiLevelType w:val="hybridMultilevel"/>
    <w:tmpl w:val="31AAC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C85525D"/>
    <w:multiLevelType w:val="multilevel"/>
    <w:tmpl w:val="1A6E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452267"/>
    <w:multiLevelType w:val="hybridMultilevel"/>
    <w:tmpl w:val="185CDBF4"/>
    <w:lvl w:ilvl="0" w:tplc="D7348A36">
      <w:start w:val="1"/>
      <w:numFmt w:val="decimal"/>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0B033A8"/>
    <w:multiLevelType w:val="hybridMultilevel"/>
    <w:tmpl w:val="09AA2FF4"/>
    <w:lvl w:ilvl="0" w:tplc="3B38287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486531A"/>
    <w:multiLevelType w:val="hybridMultilevel"/>
    <w:tmpl w:val="3A0428A4"/>
    <w:lvl w:ilvl="0" w:tplc="9312B6D2">
      <w:numFmt w:val="bullet"/>
      <w:lvlText w:val="-"/>
      <w:lvlJc w:val="left"/>
      <w:pPr>
        <w:ind w:left="720" w:hanging="360"/>
      </w:pPr>
      <w:rPr>
        <w:rFonts w:ascii="Tahoma" w:eastAsia="SimSu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BBB5E4C"/>
    <w:multiLevelType w:val="hybridMultilevel"/>
    <w:tmpl w:val="886AE41A"/>
    <w:lvl w:ilvl="0" w:tplc="3AEA91FA">
      <w:numFmt w:val="bullet"/>
      <w:lvlText w:val="-"/>
      <w:lvlJc w:val="left"/>
      <w:pPr>
        <w:ind w:left="720" w:hanging="360"/>
      </w:pPr>
      <w:rPr>
        <w:rFonts w:ascii="Tahoma" w:eastAsia="SimSu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44">
    <w:nsid w:val="62145515"/>
    <w:multiLevelType w:val="hybridMultilevel"/>
    <w:tmpl w:val="3C54B20A"/>
    <w:lvl w:ilvl="0" w:tplc="3DFC7828">
      <w:start w:val="1"/>
      <w:numFmt w:val="lowerRoman"/>
      <w:lvlText w:val="(%1)"/>
      <w:lvlJc w:val="left"/>
      <w:pPr>
        <w:ind w:left="1154" w:hanging="720"/>
      </w:pPr>
      <w:rPr>
        <w:rFonts w:hint="default"/>
      </w:rPr>
    </w:lvl>
    <w:lvl w:ilvl="1" w:tplc="0C090019" w:tentative="1">
      <w:start w:val="1"/>
      <w:numFmt w:val="lowerLetter"/>
      <w:lvlText w:val="%2."/>
      <w:lvlJc w:val="left"/>
      <w:pPr>
        <w:ind w:left="1514" w:hanging="360"/>
      </w:pPr>
    </w:lvl>
    <w:lvl w:ilvl="2" w:tplc="0C09001B" w:tentative="1">
      <w:start w:val="1"/>
      <w:numFmt w:val="lowerRoman"/>
      <w:lvlText w:val="%3."/>
      <w:lvlJc w:val="right"/>
      <w:pPr>
        <w:ind w:left="2234" w:hanging="180"/>
      </w:pPr>
    </w:lvl>
    <w:lvl w:ilvl="3" w:tplc="0C09000F" w:tentative="1">
      <w:start w:val="1"/>
      <w:numFmt w:val="decimal"/>
      <w:lvlText w:val="%4."/>
      <w:lvlJc w:val="left"/>
      <w:pPr>
        <w:ind w:left="2954" w:hanging="360"/>
      </w:pPr>
    </w:lvl>
    <w:lvl w:ilvl="4" w:tplc="0C090019" w:tentative="1">
      <w:start w:val="1"/>
      <w:numFmt w:val="lowerLetter"/>
      <w:lvlText w:val="%5."/>
      <w:lvlJc w:val="left"/>
      <w:pPr>
        <w:ind w:left="3674" w:hanging="360"/>
      </w:pPr>
    </w:lvl>
    <w:lvl w:ilvl="5" w:tplc="0C09001B" w:tentative="1">
      <w:start w:val="1"/>
      <w:numFmt w:val="lowerRoman"/>
      <w:lvlText w:val="%6."/>
      <w:lvlJc w:val="right"/>
      <w:pPr>
        <w:ind w:left="4394" w:hanging="180"/>
      </w:pPr>
    </w:lvl>
    <w:lvl w:ilvl="6" w:tplc="0C09000F" w:tentative="1">
      <w:start w:val="1"/>
      <w:numFmt w:val="decimal"/>
      <w:lvlText w:val="%7."/>
      <w:lvlJc w:val="left"/>
      <w:pPr>
        <w:ind w:left="5114" w:hanging="360"/>
      </w:pPr>
    </w:lvl>
    <w:lvl w:ilvl="7" w:tplc="0C090019" w:tentative="1">
      <w:start w:val="1"/>
      <w:numFmt w:val="lowerLetter"/>
      <w:lvlText w:val="%8."/>
      <w:lvlJc w:val="left"/>
      <w:pPr>
        <w:ind w:left="5834" w:hanging="360"/>
      </w:pPr>
    </w:lvl>
    <w:lvl w:ilvl="8" w:tplc="0C09001B" w:tentative="1">
      <w:start w:val="1"/>
      <w:numFmt w:val="lowerRoman"/>
      <w:lvlText w:val="%9."/>
      <w:lvlJc w:val="right"/>
      <w:pPr>
        <w:ind w:left="6554" w:hanging="180"/>
      </w:pPr>
    </w:lvl>
  </w:abstractNum>
  <w:abstractNum w:abstractNumId="45">
    <w:nsid w:val="6491487D"/>
    <w:multiLevelType w:val="hybridMultilevel"/>
    <w:tmpl w:val="F9BE7D08"/>
    <w:lvl w:ilvl="0" w:tplc="3DCAF42C">
      <w:start w:val="1"/>
      <w:numFmt w:val="bullet"/>
      <w:lvlText w:val="-"/>
      <w:lvlJc w:val="left"/>
      <w:pPr>
        <w:ind w:left="720" w:hanging="360"/>
      </w:pPr>
      <w:rPr>
        <w:rFonts w:ascii="Tahoma" w:eastAsia="SimSu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6E3614E"/>
    <w:multiLevelType w:val="hybridMultilevel"/>
    <w:tmpl w:val="1B8C403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B">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48">
    <w:nsid w:val="693275BA"/>
    <w:multiLevelType w:val="hybridMultilevel"/>
    <w:tmpl w:val="8FBA373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nsid w:val="6E3C3032"/>
    <w:multiLevelType w:val="hybridMultilevel"/>
    <w:tmpl w:val="ADE4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3142019"/>
    <w:multiLevelType w:val="hybridMultilevel"/>
    <w:tmpl w:val="91F4CA5A"/>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6E73BA7"/>
    <w:multiLevelType w:val="hybridMultilevel"/>
    <w:tmpl w:val="3A5ADA76"/>
    <w:lvl w:ilvl="0" w:tplc="7DF8F6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A2A6D38"/>
    <w:multiLevelType w:val="hybridMultilevel"/>
    <w:tmpl w:val="964ED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56">
    <w:nsid w:val="7AF142DE"/>
    <w:multiLevelType w:val="hybridMultilevel"/>
    <w:tmpl w:val="FBAA3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BC32D76"/>
    <w:multiLevelType w:val="hybridMultilevel"/>
    <w:tmpl w:val="9E50D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D347D7B"/>
    <w:multiLevelType w:val="hybridMultilevel"/>
    <w:tmpl w:val="35427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E8B731A"/>
    <w:multiLevelType w:val="hybridMultilevel"/>
    <w:tmpl w:val="F2903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18"/>
  </w:num>
  <w:num w:numId="3">
    <w:abstractNumId w:val="41"/>
  </w:num>
  <w:num w:numId="4">
    <w:abstractNumId w:val="43"/>
  </w:num>
  <w:num w:numId="5">
    <w:abstractNumId w:val="47"/>
  </w:num>
  <w:num w:numId="6">
    <w:abstractNumId w:val="53"/>
  </w:num>
  <w:num w:numId="7">
    <w:abstractNumId w:val="22"/>
  </w:num>
  <w:num w:numId="8">
    <w:abstractNumId w:val="44"/>
  </w:num>
  <w:num w:numId="9">
    <w:abstractNumId w:val="12"/>
  </w:num>
  <w:num w:numId="10">
    <w:abstractNumId w:val="7"/>
  </w:num>
  <w:num w:numId="11">
    <w:abstractNumId w:val="27"/>
  </w:num>
  <w:num w:numId="12">
    <w:abstractNumId w:val="52"/>
  </w:num>
  <w:num w:numId="13">
    <w:abstractNumId w:val="15"/>
  </w:num>
  <w:num w:numId="14">
    <w:abstractNumId w:val="39"/>
  </w:num>
  <w:num w:numId="15">
    <w:abstractNumId w:val="51"/>
  </w:num>
  <w:num w:numId="16">
    <w:abstractNumId w:val="0"/>
  </w:num>
  <w:num w:numId="17">
    <w:abstractNumId w:val="45"/>
  </w:num>
  <w:num w:numId="18">
    <w:abstractNumId w:val="13"/>
  </w:num>
  <w:num w:numId="19">
    <w:abstractNumId w:val="23"/>
  </w:num>
  <w:num w:numId="20">
    <w:abstractNumId w:val="57"/>
  </w:num>
  <w:num w:numId="21">
    <w:abstractNumId w:val="9"/>
  </w:num>
  <w:num w:numId="22">
    <w:abstractNumId w:val="17"/>
  </w:num>
  <w:num w:numId="23">
    <w:abstractNumId w:val="20"/>
  </w:num>
  <w:num w:numId="24">
    <w:abstractNumId w:val="54"/>
  </w:num>
  <w:num w:numId="25">
    <w:abstractNumId w:val="59"/>
  </w:num>
  <w:num w:numId="26">
    <w:abstractNumId w:val="58"/>
  </w:num>
  <w:num w:numId="27">
    <w:abstractNumId w:val="5"/>
  </w:num>
  <w:num w:numId="28">
    <w:abstractNumId w:val="25"/>
  </w:num>
  <w:num w:numId="29">
    <w:abstractNumId w:val="1"/>
  </w:num>
  <w:num w:numId="30">
    <w:abstractNumId w:val="33"/>
  </w:num>
  <w:num w:numId="31">
    <w:abstractNumId w:val="35"/>
  </w:num>
  <w:num w:numId="32">
    <w:abstractNumId w:val="31"/>
  </w:num>
  <w:num w:numId="33">
    <w:abstractNumId w:val="4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4"/>
  </w:num>
  <w:num w:numId="3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 w:numId="41">
    <w:abstractNumId w:val="40"/>
  </w:num>
  <w:num w:numId="42">
    <w:abstractNumId w:val="56"/>
  </w:num>
  <w:num w:numId="43">
    <w:abstractNumId w:val="4"/>
  </w:num>
  <w:num w:numId="44">
    <w:abstractNumId w:val="6"/>
  </w:num>
  <w:num w:numId="45">
    <w:abstractNumId w:val="37"/>
  </w:num>
  <w:num w:numId="46">
    <w:abstractNumId w:val="16"/>
  </w:num>
  <w:num w:numId="47">
    <w:abstractNumId w:val="38"/>
  </w:num>
  <w:num w:numId="48">
    <w:abstractNumId w:val="11"/>
  </w:num>
  <w:num w:numId="49">
    <w:abstractNumId w:val="28"/>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3"/>
  </w:num>
  <w:num w:numId="53">
    <w:abstractNumId w:val="34"/>
  </w:num>
  <w:num w:numId="54">
    <w:abstractNumId w:val="49"/>
  </w:num>
  <w:num w:numId="55">
    <w:abstractNumId w:val="24"/>
  </w:num>
  <w:num w:numId="56">
    <w:abstractNumId w:val="50"/>
  </w:num>
  <w:num w:numId="57">
    <w:abstractNumId w:val="8"/>
  </w:num>
  <w:num w:numId="58">
    <w:abstractNumId w:val="36"/>
  </w:num>
  <w:num w:numId="59">
    <w:abstractNumId w:val="32"/>
  </w:num>
  <w:num w:numId="60">
    <w:abstractNumId w:val="29"/>
  </w:num>
  <w:num w:numId="61">
    <w:abstractNumId w:val="4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Morey">
    <w15:presenceInfo w15:providerId="Windows Live" w15:userId="4a2200df5b79d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wNjY0NbM0sjQ1MLBU0lEKTi0uzszPAykwqgUAnB5irCwAAAA="/>
  </w:docVars>
  <w:rsids>
    <w:rsidRoot w:val="00B4562F"/>
    <w:rsid w:val="000011AF"/>
    <w:rsid w:val="00001623"/>
    <w:rsid w:val="0000223A"/>
    <w:rsid w:val="000048E6"/>
    <w:rsid w:val="00006244"/>
    <w:rsid w:val="00007033"/>
    <w:rsid w:val="000079C4"/>
    <w:rsid w:val="00011316"/>
    <w:rsid w:val="00012ABD"/>
    <w:rsid w:val="00013267"/>
    <w:rsid w:val="0001352F"/>
    <w:rsid w:val="00013F0F"/>
    <w:rsid w:val="00016FE2"/>
    <w:rsid w:val="0002264E"/>
    <w:rsid w:val="00022DB0"/>
    <w:rsid w:val="000265FA"/>
    <w:rsid w:val="00026F52"/>
    <w:rsid w:val="0002772D"/>
    <w:rsid w:val="0003320C"/>
    <w:rsid w:val="000335B8"/>
    <w:rsid w:val="00033DE1"/>
    <w:rsid w:val="00035410"/>
    <w:rsid w:val="000354A2"/>
    <w:rsid w:val="00041DF8"/>
    <w:rsid w:val="00043B0E"/>
    <w:rsid w:val="000440B1"/>
    <w:rsid w:val="00046A93"/>
    <w:rsid w:val="000537C6"/>
    <w:rsid w:val="00060A3D"/>
    <w:rsid w:val="0006263C"/>
    <w:rsid w:val="00062CD5"/>
    <w:rsid w:val="00063E7D"/>
    <w:rsid w:val="00066F6C"/>
    <w:rsid w:val="00067E0B"/>
    <w:rsid w:val="000717CA"/>
    <w:rsid w:val="0007200C"/>
    <w:rsid w:val="00073BCB"/>
    <w:rsid w:val="00073C17"/>
    <w:rsid w:val="0007470C"/>
    <w:rsid w:val="00087CB9"/>
    <w:rsid w:val="0009013C"/>
    <w:rsid w:val="000901A8"/>
    <w:rsid w:val="00090218"/>
    <w:rsid w:val="00092191"/>
    <w:rsid w:val="0009279E"/>
    <w:rsid w:val="00095471"/>
    <w:rsid w:val="00095A41"/>
    <w:rsid w:val="000963CD"/>
    <w:rsid w:val="000A0D0C"/>
    <w:rsid w:val="000A3BED"/>
    <w:rsid w:val="000A3D96"/>
    <w:rsid w:val="000A3F06"/>
    <w:rsid w:val="000A6059"/>
    <w:rsid w:val="000A6B75"/>
    <w:rsid w:val="000A717E"/>
    <w:rsid w:val="000A7698"/>
    <w:rsid w:val="000A7F4E"/>
    <w:rsid w:val="000B2EF5"/>
    <w:rsid w:val="000B2F3E"/>
    <w:rsid w:val="000B42D6"/>
    <w:rsid w:val="000B437B"/>
    <w:rsid w:val="000B4390"/>
    <w:rsid w:val="000B4AA4"/>
    <w:rsid w:val="000B5199"/>
    <w:rsid w:val="000C0D42"/>
    <w:rsid w:val="000C3CF1"/>
    <w:rsid w:val="000C66FB"/>
    <w:rsid w:val="000C6834"/>
    <w:rsid w:val="000C7AD6"/>
    <w:rsid w:val="000D3036"/>
    <w:rsid w:val="000D5115"/>
    <w:rsid w:val="000E0378"/>
    <w:rsid w:val="000E037B"/>
    <w:rsid w:val="000E32B2"/>
    <w:rsid w:val="000E54CC"/>
    <w:rsid w:val="000F6301"/>
    <w:rsid w:val="000F696A"/>
    <w:rsid w:val="000F7ADF"/>
    <w:rsid w:val="001037FA"/>
    <w:rsid w:val="00104A9C"/>
    <w:rsid w:val="00111DC4"/>
    <w:rsid w:val="00113A8A"/>
    <w:rsid w:val="00113E4E"/>
    <w:rsid w:val="001143F6"/>
    <w:rsid w:val="001208B9"/>
    <w:rsid w:val="00121DF4"/>
    <w:rsid w:val="00122315"/>
    <w:rsid w:val="00123B6C"/>
    <w:rsid w:val="00125292"/>
    <w:rsid w:val="00125CE8"/>
    <w:rsid w:val="0012700F"/>
    <w:rsid w:val="00127656"/>
    <w:rsid w:val="00131F86"/>
    <w:rsid w:val="0013313A"/>
    <w:rsid w:val="00135220"/>
    <w:rsid w:val="00136696"/>
    <w:rsid w:val="00136A7A"/>
    <w:rsid w:val="00136C8A"/>
    <w:rsid w:val="00143F02"/>
    <w:rsid w:val="001452A2"/>
    <w:rsid w:val="00145D14"/>
    <w:rsid w:val="001474E7"/>
    <w:rsid w:val="0015099D"/>
    <w:rsid w:val="00152811"/>
    <w:rsid w:val="001537A4"/>
    <w:rsid w:val="00153845"/>
    <w:rsid w:val="0015752D"/>
    <w:rsid w:val="00160FDD"/>
    <w:rsid w:val="001610CA"/>
    <w:rsid w:val="00163040"/>
    <w:rsid w:val="0016441A"/>
    <w:rsid w:val="0016659A"/>
    <w:rsid w:val="00166AC8"/>
    <w:rsid w:val="00172556"/>
    <w:rsid w:val="00172E53"/>
    <w:rsid w:val="00175CC7"/>
    <w:rsid w:val="00176D27"/>
    <w:rsid w:val="00177B15"/>
    <w:rsid w:val="0018071E"/>
    <w:rsid w:val="0018099E"/>
    <w:rsid w:val="00180D66"/>
    <w:rsid w:val="0018136E"/>
    <w:rsid w:val="001927C3"/>
    <w:rsid w:val="00192B9C"/>
    <w:rsid w:val="0019349E"/>
    <w:rsid w:val="0019457A"/>
    <w:rsid w:val="00194CC1"/>
    <w:rsid w:val="001951AA"/>
    <w:rsid w:val="00195718"/>
    <w:rsid w:val="0019733A"/>
    <w:rsid w:val="001A02E3"/>
    <w:rsid w:val="001A1D85"/>
    <w:rsid w:val="001A28EA"/>
    <w:rsid w:val="001A3EAC"/>
    <w:rsid w:val="001A7A50"/>
    <w:rsid w:val="001B1416"/>
    <w:rsid w:val="001B1EDD"/>
    <w:rsid w:val="001B31BA"/>
    <w:rsid w:val="001B78DF"/>
    <w:rsid w:val="001C1186"/>
    <w:rsid w:val="001C2913"/>
    <w:rsid w:val="001C7E7A"/>
    <w:rsid w:val="001D02F3"/>
    <w:rsid w:val="001D0C3A"/>
    <w:rsid w:val="001D209C"/>
    <w:rsid w:val="001D46F6"/>
    <w:rsid w:val="001D4D5A"/>
    <w:rsid w:val="001D53DA"/>
    <w:rsid w:val="001D7077"/>
    <w:rsid w:val="001D7FDD"/>
    <w:rsid w:val="001E11D8"/>
    <w:rsid w:val="001E12DF"/>
    <w:rsid w:val="001E3986"/>
    <w:rsid w:val="001E5CAF"/>
    <w:rsid w:val="001F06F4"/>
    <w:rsid w:val="001F0ECE"/>
    <w:rsid w:val="001F13F9"/>
    <w:rsid w:val="001F2ECB"/>
    <w:rsid w:val="001F35B6"/>
    <w:rsid w:val="00201625"/>
    <w:rsid w:val="00203E9C"/>
    <w:rsid w:val="002068D5"/>
    <w:rsid w:val="00206A04"/>
    <w:rsid w:val="00207A8E"/>
    <w:rsid w:val="00215123"/>
    <w:rsid w:val="00215EAE"/>
    <w:rsid w:val="0021641E"/>
    <w:rsid w:val="00216967"/>
    <w:rsid w:val="00216A02"/>
    <w:rsid w:val="00217B4D"/>
    <w:rsid w:val="00220DD2"/>
    <w:rsid w:val="00221866"/>
    <w:rsid w:val="00222DF3"/>
    <w:rsid w:val="00223662"/>
    <w:rsid w:val="0022429F"/>
    <w:rsid w:val="0022463A"/>
    <w:rsid w:val="002340F0"/>
    <w:rsid w:val="002342BF"/>
    <w:rsid w:val="00235E38"/>
    <w:rsid w:val="0023603A"/>
    <w:rsid w:val="002368B0"/>
    <w:rsid w:val="002373D7"/>
    <w:rsid w:val="00240059"/>
    <w:rsid w:val="0024413D"/>
    <w:rsid w:val="002462CE"/>
    <w:rsid w:val="002470F5"/>
    <w:rsid w:val="002508EB"/>
    <w:rsid w:val="00253CD6"/>
    <w:rsid w:val="00254B1C"/>
    <w:rsid w:val="00256D80"/>
    <w:rsid w:val="0025787C"/>
    <w:rsid w:val="00257CAE"/>
    <w:rsid w:val="002608FB"/>
    <w:rsid w:val="00260D69"/>
    <w:rsid w:val="00264A03"/>
    <w:rsid w:val="00265367"/>
    <w:rsid w:val="002675F1"/>
    <w:rsid w:val="002812C4"/>
    <w:rsid w:val="0028194B"/>
    <w:rsid w:val="00282B7B"/>
    <w:rsid w:val="0028338E"/>
    <w:rsid w:val="00292C0D"/>
    <w:rsid w:val="00296765"/>
    <w:rsid w:val="002A1CEE"/>
    <w:rsid w:val="002A21EB"/>
    <w:rsid w:val="002A3638"/>
    <w:rsid w:val="002A56DE"/>
    <w:rsid w:val="002A6116"/>
    <w:rsid w:val="002A6980"/>
    <w:rsid w:val="002B3851"/>
    <w:rsid w:val="002B40B0"/>
    <w:rsid w:val="002B4DCB"/>
    <w:rsid w:val="002B549C"/>
    <w:rsid w:val="002B564A"/>
    <w:rsid w:val="002B6CAB"/>
    <w:rsid w:val="002C117A"/>
    <w:rsid w:val="002C2221"/>
    <w:rsid w:val="002C764D"/>
    <w:rsid w:val="002D4461"/>
    <w:rsid w:val="002D48C6"/>
    <w:rsid w:val="002D4CA7"/>
    <w:rsid w:val="002D7933"/>
    <w:rsid w:val="002E1F3A"/>
    <w:rsid w:val="002E2D84"/>
    <w:rsid w:val="002E4A8E"/>
    <w:rsid w:val="002E4CF0"/>
    <w:rsid w:val="002E6E60"/>
    <w:rsid w:val="002E7BF5"/>
    <w:rsid w:val="002F0A01"/>
    <w:rsid w:val="002F2CC4"/>
    <w:rsid w:val="002F3191"/>
    <w:rsid w:val="002F5B32"/>
    <w:rsid w:val="00301DEC"/>
    <w:rsid w:val="0030226A"/>
    <w:rsid w:val="0030420F"/>
    <w:rsid w:val="00304AFE"/>
    <w:rsid w:val="00304D5F"/>
    <w:rsid w:val="0031112E"/>
    <w:rsid w:val="003115F9"/>
    <w:rsid w:val="00311E4D"/>
    <w:rsid w:val="00312862"/>
    <w:rsid w:val="00313EC8"/>
    <w:rsid w:val="00314BE5"/>
    <w:rsid w:val="00316BAA"/>
    <w:rsid w:val="00316D1E"/>
    <w:rsid w:val="00320E6C"/>
    <w:rsid w:val="00320E92"/>
    <w:rsid w:val="00321CC7"/>
    <w:rsid w:val="003251C0"/>
    <w:rsid w:val="003251F5"/>
    <w:rsid w:val="003268D5"/>
    <w:rsid w:val="00327FAF"/>
    <w:rsid w:val="00330411"/>
    <w:rsid w:val="003307BD"/>
    <w:rsid w:val="003313FE"/>
    <w:rsid w:val="00331D60"/>
    <w:rsid w:val="00334349"/>
    <w:rsid w:val="0033554E"/>
    <w:rsid w:val="00335EEC"/>
    <w:rsid w:val="003367C6"/>
    <w:rsid w:val="003373F9"/>
    <w:rsid w:val="003434E3"/>
    <w:rsid w:val="00344556"/>
    <w:rsid w:val="00344D45"/>
    <w:rsid w:val="00346E90"/>
    <w:rsid w:val="0035018C"/>
    <w:rsid w:val="0035087F"/>
    <w:rsid w:val="003525DF"/>
    <w:rsid w:val="0035272F"/>
    <w:rsid w:val="00352F84"/>
    <w:rsid w:val="003533BD"/>
    <w:rsid w:val="00354110"/>
    <w:rsid w:val="00357FB8"/>
    <w:rsid w:val="0036071C"/>
    <w:rsid w:val="00361AC9"/>
    <w:rsid w:val="00363CB8"/>
    <w:rsid w:val="00364316"/>
    <w:rsid w:val="00366BBE"/>
    <w:rsid w:val="003676F8"/>
    <w:rsid w:val="00370B4A"/>
    <w:rsid w:val="00372170"/>
    <w:rsid w:val="0037688C"/>
    <w:rsid w:val="00376953"/>
    <w:rsid w:val="003769E6"/>
    <w:rsid w:val="00376A99"/>
    <w:rsid w:val="00376B62"/>
    <w:rsid w:val="00377E9B"/>
    <w:rsid w:val="00380D12"/>
    <w:rsid w:val="00382A47"/>
    <w:rsid w:val="00383F37"/>
    <w:rsid w:val="0038439A"/>
    <w:rsid w:val="00387FDA"/>
    <w:rsid w:val="00390BDC"/>
    <w:rsid w:val="00391E64"/>
    <w:rsid w:val="0039271D"/>
    <w:rsid w:val="00393A5A"/>
    <w:rsid w:val="003940F7"/>
    <w:rsid w:val="0039553A"/>
    <w:rsid w:val="003A2411"/>
    <w:rsid w:val="003A46EA"/>
    <w:rsid w:val="003A4ABC"/>
    <w:rsid w:val="003A51D1"/>
    <w:rsid w:val="003B1BD4"/>
    <w:rsid w:val="003B232A"/>
    <w:rsid w:val="003B2FD8"/>
    <w:rsid w:val="003B37A9"/>
    <w:rsid w:val="003B386B"/>
    <w:rsid w:val="003B7FA1"/>
    <w:rsid w:val="003C09CE"/>
    <w:rsid w:val="003C257E"/>
    <w:rsid w:val="003C3BAF"/>
    <w:rsid w:val="003C4B17"/>
    <w:rsid w:val="003C5413"/>
    <w:rsid w:val="003C57A1"/>
    <w:rsid w:val="003D4723"/>
    <w:rsid w:val="003D560D"/>
    <w:rsid w:val="003D7BE9"/>
    <w:rsid w:val="003D7C0A"/>
    <w:rsid w:val="003D7D19"/>
    <w:rsid w:val="003E2A89"/>
    <w:rsid w:val="003E2B35"/>
    <w:rsid w:val="003E457D"/>
    <w:rsid w:val="003E4C9A"/>
    <w:rsid w:val="003E61E6"/>
    <w:rsid w:val="003E6D10"/>
    <w:rsid w:val="003E76CB"/>
    <w:rsid w:val="003E792A"/>
    <w:rsid w:val="003F1C4E"/>
    <w:rsid w:val="003F588F"/>
    <w:rsid w:val="003F5D96"/>
    <w:rsid w:val="00405592"/>
    <w:rsid w:val="004073C0"/>
    <w:rsid w:val="00410287"/>
    <w:rsid w:val="004103E0"/>
    <w:rsid w:val="00410ACF"/>
    <w:rsid w:val="00410C16"/>
    <w:rsid w:val="004120EF"/>
    <w:rsid w:val="004131F0"/>
    <w:rsid w:val="00415A84"/>
    <w:rsid w:val="00417B0A"/>
    <w:rsid w:val="0042242D"/>
    <w:rsid w:val="0042273B"/>
    <w:rsid w:val="004237ED"/>
    <w:rsid w:val="00424524"/>
    <w:rsid w:val="00425634"/>
    <w:rsid w:val="00427656"/>
    <w:rsid w:val="00427A5B"/>
    <w:rsid w:val="00427F46"/>
    <w:rsid w:val="004306AC"/>
    <w:rsid w:val="004308F6"/>
    <w:rsid w:val="00430F2D"/>
    <w:rsid w:val="0043207B"/>
    <w:rsid w:val="00432586"/>
    <w:rsid w:val="00435C56"/>
    <w:rsid w:val="00441613"/>
    <w:rsid w:val="004416AB"/>
    <w:rsid w:val="004421D9"/>
    <w:rsid w:val="00442E24"/>
    <w:rsid w:val="00443540"/>
    <w:rsid w:val="00444E8D"/>
    <w:rsid w:val="00445CC5"/>
    <w:rsid w:val="00447E08"/>
    <w:rsid w:val="00447F67"/>
    <w:rsid w:val="0045052A"/>
    <w:rsid w:val="004512D3"/>
    <w:rsid w:val="004516CE"/>
    <w:rsid w:val="00453830"/>
    <w:rsid w:val="004573C1"/>
    <w:rsid w:val="004577EF"/>
    <w:rsid w:val="004619A2"/>
    <w:rsid w:val="00470F93"/>
    <w:rsid w:val="00471693"/>
    <w:rsid w:val="00471F2A"/>
    <w:rsid w:val="00472AF3"/>
    <w:rsid w:val="0047485D"/>
    <w:rsid w:val="00476C69"/>
    <w:rsid w:val="00477329"/>
    <w:rsid w:val="00480148"/>
    <w:rsid w:val="004801BC"/>
    <w:rsid w:val="00482CAF"/>
    <w:rsid w:val="00484D5D"/>
    <w:rsid w:val="004856C2"/>
    <w:rsid w:val="00485C3A"/>
    <w:rsid w:val="00485DCD"/>
    <w:rsid w:val="00486394"/>
    <w:rsid w:val="0048657A"/>
    <w:rsid w:val="004869DF"/>
    <w:rsid w:val="00487CAB"/>
    <w:rsid w:val="00490191"/>
    <w:rsid w:val="00491B76"/>
    <w:rsid w:val="00493B4E"/>
    <w:rsid w:val="00497750"/>
    <w:rsid w:val="004A32B6"/>
    <w:rsid w:val="004A3F6E"/>
    <w:rsid w:val="004A5009"/>
    <w:rsid w:val="004A523A"/>
    <w:rsid w:val="004A5C22"/>
    <w:rsid w:val="004A6BFF"/>
    <w:rsid w:val="004A7AE9"/>
    <w:rsid w:val="004B063B"/>
    <w:rsid w:val="004B0747"/>
    <w:rsid w:val="004B17CF"/>
    <w:rsid w:val="004B2BD5"/>
    <w:rsid w:val="004B5E64"/>
    <w:rsid w:val="004C1456"/>
    <w:rsid w:val="004C1624"/>
    <w:rsid w:val="004C3340"/>
    <w:rsid w:val="004C547B"/>
    <w:rsid w:val="004C6737"/>
    <w:rsid w:val="004C6895"/>
    <w:rsid w:val="004C6B65"/>
    <w:rsid w:val="004D595C"/>
    <w:rsid w:val="004E162B"/>
    <w:rsid w:val="004E35D9"/>
    <w:rsid w:val="004E3874"/>
    <w:rsid w:val="004E3A9C"/>
    <w:rsid w:val="004E599B"/>
    <w:rsid w:val="004E684C"/>
    <w:rsid w:val="004E7C5C"/>
    <w:rsid w:val="004F2233"/>
    <w:rsid w:val="004F6B43"/>
    <w:rsid w:val="004F798A"/>
    <w:rsid w:val="005009BC"/>
    <w:rsid w:val="0050320C"/>
    <w:rsid w:val="005044E6"/>
    <w:rsid w:val="0050545F"/>
    <w:rsid w:val="005073A3"/>
    <w:rsid w:val="00510EEA"/>
    <w:rsid w:val="005115D8"/>
    <w:rsid w:val="00511C7E"/>
    <w:rsid w:val="005167AC"/>
    <w:rsid w:val="00517FE1"/>
    <w:rsid w:val="00522A4D"/>
    <w:rsid w:val="00530E66"/>
    <w:rsid w:val="00532878"/>
    <w:rsid w:val="00534AF4"/>
    <w:rsid w:val="00535C59"/>
    <w:rsid w:val="00536583"/>
    <w:rsid w:val="00536CBD"/>
    <w:rsid w:val="005426DD"/>
    <w:rsid w:val="0054431F"/>
    <w:rsid w:val="00544777"/>
    <w:rsid w:val="005506E9"/>
    <w:rsid w:val="00550A24"/>
    <w:rsid w:val="005518EC"/>
    <w:rsid w:val="00551F6A"/>
    <w:rsid w:val="0055215D"/>
    <w:rsid w:val="005555C0"/>
    <w:rsid w:val="00556F5E"/>
    <w:rsid w:val="00557BC8"/>
    <w:rsid w:val="00560023"/>
    <w:rsid w:val="00562B96"/>
    <w:rsid w:val="00563E2A"/>
    <w:rsid w:val="00566BE5"/>
    <w:rsid w:val="00566ECF"/>
    <w:rsid w:val="00566FB9"/>
    <w:rsid w:val="005674A9"/>
    <w:rsid w:val="00567B76"/>
    <w:rsid w:val="00567E45"/>
    <w:rsid w:val="00570982"/>
    <w:rsid w:val="00574DDF"/>
    <w:rsid w:val="0057687C"/>
    <w:rsid w:val="00576CDD"/>
    <w:rsid w:val="0058062C"/>
    <w:rsid w:val="005825FD"/>
    <w:rsid w:val="00585C4E"/>
    <w:rsid w:val="00591341"/>
    <w:rsid w:val="00593541"/>
    <w:rsid w:val="00593560"/>
    <w:rsid w:val="00593A54"/>
    <w:rsid w:val="00594712"/>
    <w:rsid w:val="00596580"/>
    <w:rsid w:val="005A0D0A"/>
    <w:rsid w:val="005A334B"/>
    <w:rsid w:val="005A6A6A"/>
    <w:rsid w:val="005A6BBA"/>
    <w:rsid w:val="005B1DC4"/>
    <w:rsid w:val="005B31E9"/>
    <w:rsid w:val="005B3941"/>
    <w:rsid w:val="005B4087"/>
    <w:rsid w:val="005B4A1F"/>
    <w:rsid w:val="005B6E9F"/>
    <w:rsid w:val="005C2025"/>
    <w:rsid w:val="005C4367"/>
    <w:rsid w:val="005C49FB"/>
    <w:rsid w:val="005C545C"/>
    <w:rsid w:val="005C5E14"/>
    <w:rsid w:val="005C6E80"/>
    <w:rsid w:val="005C76F9"/>
    <w:rsid w:val="005D10E8"/>
    <w:rsid w:val="005D2670"/>
    <w:rsid w:val="005E0042"/>
    <w:rsid w:val="005E5BAD"/>
    <w:rsid w:val="005F165A"/>
    <w:rsid w:val="005F1F16"/>
    <w:rsid w:val="005F40B2"/>
    <w:rsid w:val="005F4AE7"/>
    <w:rsid w:val="00601B13"/>
    <w:rsid w:val="0060444D"/>
    <w:rsid w:val="0060473B"/>
    <w:rsid w:val="00604CD1"/>
    <w:rsid w:val="0061323A"/>
    <w:rsid w:val="00620681"/>
    <w:rsid w:val="00621904"/>
    <w:rsid w:val="00623790"/>
    <w:rsid w:val="006241DA"/>
    <w:rsid w:val="00625E98"/>
    <w:rsid w:val="00626E92"/>
    <w:rsid w:val="00627609"/>
    <w:rsid w:val="006334E2"/>
    <w:rsid w:val="006338F9"/>
    <w:rsid w:val="00636980"/>
    <w:rsid w:val="0064190C"/>
    <w:rsid w:val="00641D56"/>
    <w:rsid w:val="006431A4"/>
    <w:rsid w:val="00644701"/>
    <w:rsid w:val="0065047F"/>
    <w:rsid w:val="006528C8"/>
    <w:rsid w:val="0065563D"/>
    <w:rsid w:val="00655756"/>
    <w:rsid w:val="00655E42"/>
    <w:rsid w:val="00656000"/>
    <w:rsid w:val="006560E2"/>
    <w:rsid w:val="006609AC"/>
    <w:rsid w:val="00665286"/>
    <w:rsid w:val="00666B27"/>
    <w:rsid w:val="0067172B"/>
    <w:rsid w:val="006732CA"/>
    <w:rsid w:val="00673A5C"/>
    <w:rsid w:val="00675D3B"/>
    <w:rsid w:val="00676E13"/>
    <w:rsid w:val="00677522"/>
    <w:rsid w:val="00680AAB"/>
    <w:rsid w:val="00681262"/>
    <w:rsid w:val="00682444"/>
    <w:rsid w:val="00684997"/>
    <w:rsid w:val="006868B8"/>
    <w:rsid w:val="00691416"/>
    <w:rsid w:val="00692B45"/>
    <w:rsid w:val="00693AF5"/>
    <w:rsid w:val="00696C42"/>
    <w:rsid w:val="006A099B"/>
    <w:rsid w:val="006A0A83"/>
    <w:rsid w:val="006A20A4"/>
    <w:rsid w:val="006A4AFC"/>
    <w:rsid w:val="006A4E17"/>
    <w:rsid w:val="006A6FCD"/>
    <w:rsid w:val="006A77BD"/>
    <w:rsid w:val="006B02B6"/>
    <w:rsid w:val="006B3F06"/>
    <w:rsid w:val="006B5572"/>
    <w:rsid w:val="006B583A"/>
    <w:rsid w:val="006B7240"/>
    <w:rsid w:val="006B7416"/>
    <w:rsid w:val="006C1D5B"/>
    <w:rsid w:val="006C222C"/>
    <w:rsid w:val="006C22EC"/>
    <w:rsid w:val="006C41D7"/>
    <w:rsid w:val="006C47BE"/>
    <w:rsid w:val="006C683B"/>
    <w:rsid w:val="006D3103"/>
    <w:rsid w:val="006D3DA5"/>
    <w:rsid w:val="006D621B"/>
    <w:rsid w:val="006D7ABD"/>
    <w:rsid w:val="006E1C7F"/>
    <w:rsid w:val="006E304B"/>
    <w:rsid w:val="006E3B7B"/>
    <w:rsid w:val="006E7113"/>
    <w:rsid w:val="006F0A87"/>
    <w:rsid w:val="006F2166"/>
    <w:rsid w:val="006F2ECC"/>
    <w:rsid w:val="006F39A0"/>
    <w:rsid w:val="006F5817"/>
    <w:rsid w:val="006F5C12"/>
    <w:rsid w:val="006F5C89"/>
    <w:rsid w:val="00703C13"/>
    <w:rsid w:val="00704801"/>
    <w:rsid w:val="00705340"/>
    <w:rsid w:val="00706175"/>
    <w:rsid w:val="00706593"/>
    <w:rsid w:val="0071068F"/>
    <w:rsid w:val="007135A8"/>
    <w:rsid w:val="00713A67"/>
    <w:rsid w:val="0071585B"/>
    <w:rsid w:val="00716D3F"/>
    <w:rsid w:val="00723AD3"/>
    <w:rsid w:val="00723E0E"/>
    <w:rsid w:val="007252D5"/>
    <w:rsid w:val="0072564B"/>
    <w:rsid w:val="00725AD2"/>
    <w:rsid w:val="00725BEC"/>
    <w:rsid w:val="00725C90"/>
    <w:rsid w:val="00730693"/>
    <w:rsid w:val="0073147F"/>
    <w:rsid w:val="007328EC"/>
    <w:rsid w:val="00737104"/>
    <w:rsid w:val="00737E35"/>
    <w:rsid w:val="00744C85"/>
    <w:rsid w:val="00747FB7"/>
    <w:rsid w:val="00751FA0"/>
    <w:rsid w:val="007563E9"/>
    <w:rsid w:val="007573E5"/>
    <w:rsid w:val="00761D2A"/>
    <w:rsid w:val="00762D1A"/>
    <w:rsid w:val="00763658"/>
    <w:rsid w:val="00763CD8"/>
    <w:rsid w:val="00771973"/>
    <w:rsid w:val="007728AC"/>
    <w:rsid w:val="00772A7A"/>
    <w:rsid w:val="00772D5F"/>
    <w:rsid w:val="00775685"/>
    <w:rsid w:val="007757DA"/>
    <w:rsid w:val="00776897"/>
    <w:rsid w:val="00777C27"/>
    <w:rsid w:val="007802A9"/>
    <w:rsid w:val="007827AF"/>
    <w:rsid w:val="00783CA9"/>
    <w:rsid w:val="0078582A"/>
    <w:rsid w:val="00786CAE"/>
    <w:rsid w:val="00790BCC"/>
    <w:rsid w:val="00791799"/>
    <w:rsid w:val="00791BB0"/>
    <w:rsid w:val="007924F1"/>
    <w:rsid w:val="00797C9A"/>
    <w:rsid w:val="007A0778"/>
    <w:rsid w:val="007A40DE"/>
    <w:rsid w:val="007A4293"/>
    <w:rsid w:val="007A766D"/>
    <w:rsid w:val="007B137D"/>
    <w:rsid w:val="007B37A1"/>
    <w:rsid w:val="007B44BA"/>
    <w:rsid w:val="007B5296"/>
    <w:rsid w:val="007B6D96"/>
    <w:rsid w:val="007C0A56"/>
    <w:rsid w:val="007C1E7A"/>
    <w:rsid w:val="007C2C21"/>
    <w:rsid w:val="007C355E"/>
    <w:rsid w:val="007C3B0A"/>
    <w:rsid w:val="007C5A71"/>
    <w:rsid w:val="007D025C"/>
    <w:rsid w:val="007D17EE"/>
    <w:rsid w:val="007D260E"/>
    <w:rsid w:val="007D4C35"/>
    <w:rsid w:val="007D4F82"/>
    <w:rsid w:val="007D7C81"/>
    <w:rsid w:val="007E0D8B"/>
    <w:rsid w:val="007E1EBF"/>
    <w:rsid w:val="007E3EA1"/>
    <w:rsid w:val="007E572E"/>
    <w:rsid w:val="007E5B74"/>
    <w:rsid w:val="007F01EA"/>
    <w:rsid w:val="007F10EF"/>
    <w:rsid w:val="007F41E3"/>
    <w:rsid w:val="007F53CA"/>
    <w:rsid w:val="007F710D"/>
    <w:rsid w:val="007F7AB7"/>
    <w:rsid w:val="007F7B9F"/>
    <w:rsid w:val="007F7D93"/>
    <w:rsid w:val="00802312"/>
    <w:rsid w:val="00802E90"/>
    <w:rsid w:val="0080494B"/>
    <w:rsid w:val="00806A1F"/>
    <w:rsid w:val="0081236B"/>
    <w:rsid w:val="008151A1"/>
    <w:rsid w:val="00815C33"/>
    <w:rsid w:val="00815F9D"/>
    <w:rsid w:val="0081702E"/>
    <w:rsid w:val="0082042F"/>
    <w:rsid w:val="00821CF1"/>
    <w:rsid w:val="00823405"/>
    <w:rsid w:val="00825484"/>
    <w:rsid w:val="00830243"/>
    <w:rsid w:val="00831C2D"/>
    <w:rsid w:val="00831FD2"/>
    <w:rsid w:val="00836D69"/>
    <w:rsid w:val="00836DC2"/>
    <w:rsid w:val="008406EE"/>
    <w:rsid w:val="00840AEB"/>
    <w:rsid w:val="00841850"/>
    <w:rsid w:val="00843A6A"/>
    <w:rsid w:val="008444F5"/>
    <w:rsid w:val="008457AE"/>
    <w:rsid w:val="008476B9"/>
    <w:rsid w:val="00847DC7"/>
    <w:rsid w:val="00851BE2"/>
    <w:rsid w:val="00851CD3"/>
    <w:rsid w:val="00851EB3"/>
    <w:rsid w:val="0085293D"/>
    <w:rsid w:val="00853947"/>
    <w:rsid w:val="008548D1"/>
    <w:rsid w:val="00855A0F"/>
    <w:rsid w:val="00857219"/>
    <w:rsid w:val="0086269F"/>
    <w:rsid w:val="00862E6A"/>
    <w:rsid w:val="00863328"/>
    <w:rsid w:val="0087149E"/>
    <w:rsid w:val="00872BBC"/>
    <w:rsid w:val="00873AA4"/>
    <w:rsid w:val="00876072"/>
    <w:rsid w:val="00882200"/>
    <w:rsid w:val="008826D8"/>
    <w:rsid w:val="00885A77"/>
    <w:rsid w:val="008872E6"/>
    <w:rsid w:val="00892444"/>
    <w:rsid w:val="00892A9A"/>
    <w:rsid w:val="008934FA"/>
    <w:rsid w:val="008935BB"/>
    <w:rsid w:val="00894708"/>
    <w:rsid w:val="00894C35"/>
    <w:rsid w:val="00897410"/>
    <w:rsid w:val="008A128B"/>
    <w:rsid w:val="008A1615"/>
    <w:rsid w:val="008A1AF9"/>
    <w:rsid w:val="008A7249"/>
    <w:rsid w:val="008A7FA6"/>
    <w:rsid w:val="008B0C32"/>
    <w:rsid w:val="008B120A"/>
    <w:rsid w:val="008C1895"/>
    <w:rsid w:val="008C2A10"/>
    <w:rsid w:val="008C3AD5"/>
    <w:rsid w:val="008C48DC"/>
    <w:rsid w:val="008C4B13"/>
    <w:rsid w:val="008C7218"/>
    <w:rsid w:val="008C788C"/>
    <w:rsid w:val="008C7E2F"/>
    <w:rsid w:val="008D148D"/>
    <w:rsid w:val="008D23C6"/>
    <w:rsid w:val="008D2C4D"/>
    <w:rsid w:val="008D6E56"/>
    <w:rsid w:val="008D7048"/>
    <w:rsid w:val="008D7C0E"/>
    <w:rsid w:val="008E2338"/>
    <w:rsid w:val="008E2A57"/>
    <w:rsid w:val="008E3807"/>
    <w:rsid w:val="008E4327"/>
    <w:rsid w:val="008E5AF6"/>
    <w:rsid w:val="008E5D09"/>
    <w:rsid w:val="008F1829"/>
    <w:rsid w:val="008F2C95"/>
    <w:rsid w:val="008F5521"/>
    <w:rsid w:val="008F6AA3"/>
    <w:rsid w:val="009001A4"/>
    <w:rsid w:val="00902E65"/>
    <w:rsid w:val="0090489D"/>
    <w:rsid w:val="00904985"/>
    <w:rsid w:val="00905A20"/>
    <w:rsid w:val="00906D81"/>
    <w:rsid w:val="00906FA8"/>
    <w:rsid w:val="00907C5B"/>
    <w:rsid w:val="0091098F"/>
    <w:rsid w:val="0091243F"/>
    <w:rsid w:val="00914697"/>
    <w:rsid w:val="00914B14"/>
    <w:rsid w:val="00916195"/>
    <w:rsid w:val="0091669D"/>
    <w:rsid w:val="00920EA8"/>
    <w:rsid w:val="00921C84"/>
    <w:rsid w:val="00922950"/>
    <w:rsid w:val="0092310C"/>
    <w:rsid w:val="0092336E"/>
    <w:rsid w:val="00925A7C"/>
    <w:rsid w:val="00925CF6"/>
    <w:rsid w:val="00925DDF"/>
    <w:rsid w:val="00927E3E"/>
    <w:rsid w:val="009309BA"/>
    <w:rsid w:val="00930F28"/>
    <w:rsid w:val="00931436"/>
    <w:rsid w:val="0093575E"/>
    <w:rsid w:val="009370CB"/>
    <w:rsid w:val="00937520"/>
    <w:rsid w:val="0094078F"/>
    <w:rsid w:val="00945A1E"/>
    <w:rsid w:val="00946F41"/>
    <w:rsid w:val="00947922"/>
    <w:rsid w:val="00952A04"/>
    <w:rsid w:val="00954B03"/>
    <w:rsid w:val="00955637"/>
    <w:rsid w:val="00955CF5"/>
    <w:rsid w:val="0095603B"/>
    <w:rsid w:val="0096178B"/>
    <w:rsid w:val="00961A66"/>
    <w:rsid w:val="00966024"/>
    <w:rsid w:val="0096673A"/>
    <w:rsid w:val="009708D9"/>
    <w:rsid w:val="009708DE"/>
    <w:rsid w:val="00974F63"/>
    <w:rsid w:val="009822AB"/>
    <w:rsid w:val="00982970"/>
    <w:rsid w:val="00982A2C"/>
    <w:rsid w:val="009843E1"/>
    <w:rsid w:val="0099432E"/>
    <w:rsid w:val="009957F6"/>
    <w:rsid w:val="00996F1B"/>
    <w:rsid w:val="00997605"/>
    <w:rsid w:val="009A1A4D"/>
    <w:rsid w:val="009A43DD"/>
    <w:rsid w:val="009A5289"/>
    <w:rsid w:val="009A54E9"/>
    <w:rsid w:val="009B16FB"/>
    <w:rsid w:val="009B4E73"/>
    <w:rsid w:val="009B59B7"/>
    <w:rsid w:val="009B6E40"/>
    <w:rsid w:val="009C1F4F"/>
    <w:rsid w:val="009C335C"/>
    <w:rsid w:val="009C53EC"/>
    <w:rsid w:val="009C65BA"/>
    <w:rsid w:val="009C7C7D"/>
    <w:rsid w:val="009D03C1"/>
    <w:rsid w:val="009D0E88"/>
    <w:rsid w:val="009D1831"/>
    <w:rsid w:val="009D1C46"/>
    <w:rsid w:val="009D7B0D"/>
    <w:rsid w:val="009E0767"/>
    <w:rsid w:val="009E0790"/>
    <w:rsid w:val="009E08BB"/>
    <w:rsid w:val="009E0DC9"/>
    <w:rsid w:val="009E3898"/>
    <w:rsid w:val="009E4296"/>
    <w:rsid w:val="009E530B"/>
    <w:rsid w:val="009E5357"/>
    <w:rsid w:val="009E6D39"/>
    <w:rsid w:val="009F02E3"/>
    <w:rsid w:val="009F2162"/>
    <w:rsid w:val="009F2E5E"/>
    <w:rsid w:val="009F3D33"/>
    <w:rsid w:val="009F51C9"/>
    <w:rsid w:val="009F7DB8"/>
    <w:rsid w:val="00A012FA"/>
    <w:rsid w:val="00A03751"/>
    <w:rsid w:val="00A04644"/>
    <w:rsid w:val="00A0477B"/>
    <w:rsid w:val="00A0605A"/>
    <w:rsid w:val="00A07939"/>
    <w:rsid w:val="00A129A6"/>
    <w:rsid w:val="00A12D70"/>
    <w:rsid w:val="00A142B0"/>
    <w:rsid w:val="00A14FA9"/>
    <w:rsid w:val="00A16757"/>
    <w:rsid w:val="00A2166D"/>
    <w:rsid w:val="00A21E5F"/>
    <w:rsid w:val="00A2427E"/>
    <w:rsid w:val="00A24873"/>
    <w:rsid w:val="00A25114"/>
    <w:rsid w:val="00A25E27"/>
    <w:rsid w:val="00A26410"/>
    <w:rsid w:val="00A311E1"/>
    <w:rsid w:val="00A32E13"/>
    <w:rsid w:val="00A34E9C"/>
    <w:rsid w:val="00A3557D"/>
    <w:rsid w:val="00A35BC1"/>
    <w:rsid w:val="00A35ECE"/>
    <w:rsid w:val="00A3674F"/>
    <w:rsid w:val="00A3741F"/>
    <w:rsid w:val="00A37F0F"/>
    <w:rsid w:val="00A4103E"/>
    <w:rsid w:val="00A42F0E"/>
    <w:rsid w:val="00A47110"/>
    <w:rsid w:val="00A53200"/>
    <w:rsid w:val="00A56728"/>
    <w:rsid w:val="00A56FDA"/>
    <w:rsid w:val="00A603D9"/>
    <w:rsid w:val="00A616D6"/>
    <w:rsid w:val="00A62DE3"/>
    <w:rsid w:val="00A62EA2"/>
    <w:rsid w:val="00A65253"/>
    <w:rsid w:val="00A652FB"/>
    <w:rsid w:val="00A65955"/>
    <w:rsid w:val="00A65C34"/>
    <w:rsid w:val="00A65F7D"/>
    <w:rsid w:val="00A705E8"/>
    <w:rsid w:val="00A71335"/>
    <w:rsid w:val="00A72B4D"/>
    <w:rsid w:val="00A73E9E"/>
    <w:rsid w:val="00A74188"/>
    <w:rsid w:val="00A743EB"/>
    <w:rsid w:val="00A77043"/>
    <w:rsid w:val="00A84D72"/>
    <w:rsid w:val="00A87199"/>
    <w:rsid w:val="00A87770"/>
    <w:rsid w:val="00A96B86"/>
    <w:rsid w:val="00A96ED1"/>
    <w:rsid w:val="00A96F9C"/>
    <w:rsid w:val="00A97063"/>
    <w:rsid w:val="00A97BB3"/>
    <w:rsid w:val="00AA0C6F"/>
    <w:rsid w:val="00AA1DB3"/>
    <w:rsid w:val="00AA236F"/>
    <w:rsid w:val="00AA3A10"/>
    <w:rsid w:val="00AA4597"/>
    <w:rsid w:val="00AA57FC"/>
    <w:rsid w:val="00AA704B"/>
    <w:rsid w:val="00AA73D2"/>
    <w:rsid w:val="00AA7750"/>
    <w:rsid w:val="00AA78AA"/>
    <w:rsid w:val="00AB08C8"/>
    <w:rsid w:val="00AB26E9"/>
    <w:rsid w:val="00AB29BD"/>
    <w:rsid w:val="00AC26C1"/>
    <w:rsid w:val="00AC35B5"/>
    <w:rsid w:val="00AC4985"/>
    <w:rsid w:val="00AC65F1"/>
    <w:rsid w:val="00AD4669"/>
    <w:rsid w:val="00AD6A9D"/>
    <w:rsid w:val="00AE0ED7"/>
    <w:rsid w:val="00AE39BD"/>
    <w:rsid w:val="00AE4AF6"/>
    <w:rsid w:val="00AE5070"/>
    <w:rsid w:val="00AE5DA1"/>
    <w:rsid w:val="00AF0495"/>
    <w:rsid w:val="00AF1483"/>
    <w:rsid w:val="00AF1EF4"/>
    <w:rsid w:val="00AF64DA"/>
    <w:rsid w:val="00B0205B"/>
    <w:rsid w:val="00B02B3C"/>
    <w:rsid w:val="00B033D8"/>
    <w:rsid w:val="00B04E9B"/>
    <w:rsid w:val="00B061AD"/>
    <w:rsid w:val="00B0651C"/>
    <w:rsid w:val="00B07B99"/>
    <w:rsid w:val="00B1061F"/>
    <w:rsid w:val="00B10EFC"/>
    <w:rsid w:val="00B13CF7"/>
    <w:rsid w:val="00B1685E"/>
    <w:rsid w:val="00B228D4"/>
    <w:rsid w:val="00B234EF"/>
    <w:rsid w:val="00B25BF0"/>
    <w:rsid w:val="00B32CE2"/>
    <w:rsid w:val="00B33407"/>
    <w:rsid w:val="00B33BD1"/>
    <w:rsid w:val="00B36692"/>
    <w:rsid w:val="00B373E6"/>
    <w:rsid w:val="00B376E6"/>
    <w:rsid w:val="00B41FC1"/>
    <w:rsid w:val="00B426CD"/>
    <w:rsid w:val="00B4562F"/>
    <w:rsid w:val="00B45B12"/>
    <w:rsid w:val="00B46CD6"/>
    <w:rsid w:val="00B46DDB"/>
    <w:rsid w:val="00B47436"/>
    <w:rsid w:val="00B50FD6"/>
    <w:rsid w:val="00B51313"/>
    <w:rsid w:val="00B5323D"/>
    <w:rsid w:val="00B53491"/>
    <w:rsid w:val="00B546CA"/>
    <w:rsid w:val="00B54DB3"/>
    <w:rsid w:val="00B55738"/>
    <w:rsid w:val="00B5581F"/>
    <w:rsid w:val="00B57442"/>
    <w:rsid w:val="00B5799E"/>
    <w:rsid w:val="00B57C3E"/>
    <w:rsid w:val="00B60BA8"/>
    <w:rsid w:val="00B64325"/>
    <w:rsid w:val="00B64538"/>
    <w:rsid w:val="00B66239"/>
    <w:rsid w:val="00B666FF"/>
    <w:rsid w:val="00B678CD"/>
    <w:rsid w:val="00B67E3E"/>
    <w:rsid w:val="00B70095"/>
    <w:rsid w:val="00B7098A"/>
    <w:rsid w:val="00B768D0"/>
    <w:rsid w:val="00B8210E"/>
    <w:rsid w:val="00B8247D"/>
    <w:rsid w:val="00B8444D"/>
    <w:rsid w:val="00B849A0"/>
    <w:rsid w:val="00B8733A"/>
    <w:rsid w:val="00B906BA"/>
    <w:rsid w:val="00B9329D"/>
    <w:rsid w:val="00B93EAF"/>
    <w:rsid w:val="00BA0D2D"/>
    <w:rsid w:val="00BA0E95"/>
    <w:rsid w:val="00BA2ADF"/>
    <w:rsid w:val="00BA2BEE"/>
    <w:rsid w:val="00BA45A3"/>
    <w:rsid w:val="00BA481A"/>
    <w:rsid w:val="00BB4960"/>
    <w:rsid w:val="00BB63E0"/>
    <w:rsid w:val="00BD3231"/>
    <w:rsid w:val="00BD35B4"/>
    <w:rsid w:val="00BD5485"/>
    <w:rsid w:val="00BD6339"/>
    <w:rsid w:val="00BD6912"/>
    <w:rsid w:val="00BE6A02"/>
    <w:rsid w:val="00BE7108"/>
    <w:rsid w:val="00BE7AED"/>
    <w:rsid w:val="00BF1353"/>
    <w:rsid w:val="00BF223A"/>
    <w:rsid w:val="00BF4016"/>
    <w:rsid w:val="00BF5FF3"/>
    <w:rsid w:val="00BF6045"/>
    <w:rsid w:val="00BF790B"/>
    <w:rsid w:val="00C02C70"/>
    <w:rsid w:val="00C0346A"/>
    <w:rsid w:val="00C0712A"/>
    <w:rsid w:val="00C0738D"/>
    <w:rsid w:val="00C10445"/>
    <w:rsid w:val="00C14DC4"/>
    <w:rsid w:val="00C1614A"/>
    <w:rsid w:val="00C210F5"/>
    <w:rsid w:val="00C22D7E"/>
    <w:rsid w:val="00C23F87"/>
    <w:rsid w:val="00C24134"/>
    <w:rsid w:val="00C24286"/>
    <w:rsid w:val="00C3095A"/>
    <w:rsid w:val="00C30FED"/>
    <w:rsid w:val="00C314EB"/>
    <w:rsid w:val="00C316FD"/>
    <w:rsid w:val="00C317DE"/>
    <w:rsid w:val="00C3188F"/>
    <w:rsid w:val="00C33F06"/>
    <w:rsid w:val="00C3401A"/>
    <w:rsid w:val="00C342BF"/>
    <w:rsid w:val="00C347A3"/>
    <w:rsid w:val="00C34997"/>
    <w:rsid w:val="00C34B62"/>
    <w:rsid w:val="00C36829"/>
    <w:rsid w:val="00C36E9E"/>
    <w:rsid w:val="00C401FF"/>
    <w:rsid w:val="00C4020D"/>
    <w:rsid w:val="00C45B6C"/>
    <w:rsid w:val="00C45BD4"/>
    <w:rsid w:val="00C51BDF"/>
    <w:rsid w:val="00C5499E"/>
    <w:rsid w:val="00C54B68"/>
    <w:rsid w:val="00C6032F"/>
    <w:rsid w:val="00C62251"/>
    <w:rsid w:val="00C638B5"/>
    <w:rsid w:val="00C638E5"/>
    <w:rsid w:val="00C66C78"/>
    <w:rsid w:val="00C67134"/>
    <w:rsid w:val="00C762F6"/>
    <w:rsid w:val="00C773C1"/>
    <w:rsid w:val="00C80417"/>
    <w:rsid w:val="00C81F2E"/>
    <w:rsid w:val="00C824B8"/>
    <w:rsid w:val="00C829B8"/>
    <w:rsid w:val="00C863F5"/>
    <w:rsid w:val="00C873D8"/>
    <w:rsid w:val="00C919DB"/>
    <w:rsid w:val="00C91B24"/>
    <w:rsid w:val="00C928E9"/>
    <w:rsid w:val="00C93077"/>
    <w:rsid w:val="00C930B2"/>
    <w:rsid w:val="00C940B3"/>
    <w:rsid w:val="00C946B2"/>
    <w:rsid w:val="00C9497E"/>
    <w:rsid w:val="00CA1878"/>
    <w:rsid w:val="00CA78BD"/>
    <w:rsid w:val="00CB46E2"/>
    <w:rsid w:val="00CB502A"/>
    <w:rsid w:val="00CB605A"/>
    <w:rsid w:val="00CB6BE0"/>
    <w:rsid w:val="00CB7632"/>
    <w:rsid w:val="00CC32AD"/>
    <w:rsid w:val="00CC5F3A"/>
    <w:rsid w:val="00CD2273"/>
    <w:rsid w:val="00CD2E24"/>
    <w:rsid w:val="00CD39DC"/>
    <w:rsid w:val="00CD3FF1"/>
    <w:rsid w:val="00CD4D71"/>
    <w:rsid w:val="00CD6415"/>
    <w:rsid w:val="00CD7A3A"/>
    <w:rsid w:val="00CE0F4A"/>
    <w:rsid w:val="00CE1EF4"/>
    <w:rsid w:val="00CE370E"/>
    <w:rsid w:val="00CE40B3"/>
    <w:rsid w:val="00CE46A7"/>
    <w:rsid w:val="00CE4952"/>
    <w:rsid w:val="00CE4A30"/>
    <w:rsid w:val="00CE6E5C"/>
    <w:rsid w:val="00CE7EDA"/>
    <w:rsid w:val="00CF5F88"/>
    <w:rsid w:val="00CF602D"/>
    <w:rsid w:val="00CF6069"/>
    <w:rsid w:val="00D00A8A"/>
    <w:rsid w:val="00D025C2"/>
    <w:rsid w:val="00D04791"/>
    <w:rsid w:val="00D0506F"/>
    <w:rsid w:val="00D0615F"/>
    <w:rsid w:val="00D11C15"/>
    <w:rsid w:val="00D13AED"/>
    <w:rsid w:val="00D146A0"/>
    <w:rsid w:val="00D150CF"/>
    <w:rsid w:val="00D170FD"/>
    <w:rsid w:val="00D202F7"/>
    <w:rsid w:val="00D25ACA"/>
    <w:rsid w:val="00D270B2"/>
    <w:rsid w:val="00D321E8"/>
    <w:rsid w:val="00D361C6"/>
    <w:rsid w:val="00D4107F"/>
    <w:rsid w:val="00D426D9"/>
    <w:rsid w:val="00D43C64"/>
    <w:rsid w:val="00D449CA"/>
    <w:rsid w:val="00D453FF"/>
    <w:rsid w:val="00D45ED1"/>
    <w:rsid w:val="00D5182D"/>
    <w:rsid w:val="00D51E04"/>
    <w:rsid w:val="00D52045"/>
    <w:rsid w:val="00D52B6C"/>
    <w:rsid w:val="00D54B7F"/>
    <w:rsid w:val="00D54CC1"/>
    <w:rsid w:val="00D54CF5"/>
    <w:rsid w:val="00D56047"/>
    <w:rsid w:val="00D568CB"/>
    <w:rsid w:val="00D56E13"/>
    <w:rsid w:val="00D61C4E"/>
    <w:rsid w:val="00D62DF3"/>
    <w:rsid w:val="00D67551"/>
    <w:rsid w:val="00D723C5"/>
    <w:rsid w:val="00D7288E"/>
    <w:rsid w:val="00D72BBF"/>
    <w:rsid w:val="00D73922"/>
    <w:rsid w:val="00D756A4"/>
    <w:rsid w:val="00D775CB"/>
    <w:rsid w:val="00D80306"/>
    <w:rsid w:val="00D84796"/>
    <w:rsid w:val="00D84ED9"/>
    <w:rsid w:val="00D8506E"/>
    <w:rsid w:val="00D914F2"/>
    <w:rsid w:val="00D91D3B"/>
    <w:rsid w:val="00D92417"/>
    <w:rsid w:val="00D941E4"/>
    <w:rsid w:val="00D94FCF"/>
    <w:rsid w:val="00D964EE"/>
    <w:rsid w:val="00D97711"/>
    <w:rsid w:val="00DA01F3"/>
    <w:rsid w:val="00DA2A20"/>
    <w:rsid w:val="00DA488C"/>
    <w:rsid w:val="00DB2C13"/>
    <w:rsid w:val="00DB4E20"/>
    <w:rsid w:val="00DB5883"/>
    <w:rsid w:val="00DB5B11"/>
    <w:rsid w:val="00DC12A8"/>
    <w:rsid w:val="00DC13F0"/>
    <w:rsid w:val="00DC2106"/>
    <w:rsid w:val="00DC35F2"/>
    <w:rsid w:val="00DC3CF0"/>
    <w:rsid w:val="00DC68D2"/>
    <w:rsid w:val="00DC6ABB"/>
    <w:rsid w:val="00DD13F5"/>
    <w:rsid w:val="00DD3434"/>
    <w:rsid w:val="00DE264A"/>
    <w:rsid w:val="00DE31F7"/>
    <w:rsid w:val="00DE5465"/>
    <w:rsid w:val="00DE6EEF"/>
    <w:rsid w:val="00DE7E7C"/>
    <w:rsid w:val="00DF188B"/>
    <w:rsid w:val="00DF1EC4"/>
    <w:rsid w:val="00DF4767"/>
    <w:rsid w:val="00DF5B0D"/>
    <w:rsid w:val="00DF6315"/>
    <w:rsid w:val="00DF685B"/>
    <w:rsid w:val="00E024E1"/>
    <w:rsid w:val="00E02A43"/>
    <w:rsid w:val="00E05775"/>
    <w:rsid w:val="00E0665A"/>
    <w:rsid w:val="00E06988"/>
    <w:rsid w:val="00E075CE"/>
    <w:rsid w:val="00E123BA"/>
    <w:rsid w:val="00E1415C"/>
    <w:rsid w:val="00E15135"/>
    <w:rsid w:val="00E174F6"/>
    <w:rsid w:val="00E2098C"/>
    <w:rsid w:val="00E20B77"/>
    <w:rsid w:val="00E24F51"/>
    <w:rsid w:val="00E2519C"/>
    <w:rsid w:val="00E26EB1"/>
    <w:rsid w:val="00E3295E"/>
    <w:rsid w:val="00E33006"/>
    <w:rsid w:val="00E34B85"/>
    <w:rsid w:val="00E34B9B"/>
    <w:rsid w:val="00E3538B"/>
    <w:rsid w:val="00E36001"/>
    <w:rsid w:val="00E36737"/>
    <w:rsid w:val="00E4071E"/>
    <w:rsid w:val="00E41C14"/>
    <w:rsid w:val="00E41F30"/>
    <w:rsid w:val="00E42304"/>
    <w:rsid w:val="00E42D98"/>
    <w:rsid w:val="00E443DE"/>
    <w:rsid w:val="00E46C04"/>
    <w:rsid w:val="00E5065A"/>
    <w:rsid w:val="00E51753"/>
    <w:rsid w:val="00E51EAA"/>
    <w:rsid w:val="00E52159"/>
    <w:rsid w:val="00E555A3"/>
    <w:rsid w:val="00E56F06"/>
    <w:rsid w:val="00E60B6E"/>
    <w:rsid w:val="00E6561C"/>
    <w:rsid w:val="00E6726F"/>
    <w:rsid w:val="00E67B57"/>
    <w:rsid w:val="00E72C79"/>
    <w:rsid w:val="00E76849"/>
    <w:rsid w:val="00E80478"/>
    <w:rsid w:val="00E81136"/>
    <w:rsid w:val="00E813F3"/>
    <w:rsid w:val="00E8337E"/>
    <w:rsid w:val="00E851FE"/>
    <w:rsid w:val="00E85FCA"/>
    <w:rsid w:val="00E86499"/>
    <w:rsid w:val="00E86524"/>
    <w:rsid w:val="00E86CD2"/>
    <w:rsid w:val="00E92610"/>
    <w:rsid w:val="00E939B9"/>
    <w:rsid w:val="00E94190"/>
    <w:rsid w:val="00E9530B"/>
    <w:rsid w:val="00E955FE"/>
    <w:rsid w:val="00E96C9C"/>
    <w:rsid w:val="00EA3102"/>
    <w:rsid w:val="00EB0024"/>
    <w:rsid w:val="00EB17FA"/>
    <w:rsid w:val="00EB2F7E"/>
    <w:rsid w:val="00EB3548"/>
    <w:rsid w:val="00EB3D32"/>
    <w:rsid w:val="00EB5E5C"/>
    <w:rsid w:val="00EB6F40"/>
    <w:rsid w:val="00EC1AAF"/>
    <w:rsid w:val="00EC1C27"/>
    <w:rsid w:val="00EC23D3"/>
    <w:rsid w:val="00EC423C"/>
    <w:rsid w:val="00EC700F"/>
    <w:rsid w:val="00ED0251"/>
    <w:rsid w:val="00ED0BC0"/>
    <w:rsid w:val="00ED1C70"/>
    <w:rsid w:val="00ED209E"/>
    <w:rsid w:val="00ED32DE"/>
    <w:rsid w:val="00ED76A9"/>
    <w:rsid w:val="00ED7A91"/>
    <w:rsid w:val="00EE0CED"/>
    <w:rsid w:val="00EE1DEA"/>
    <w:rsid w:val="00EE30CD"/>
    <w:rsid w:val="00EE5CF8"/>
    <w:rsid w:val="00EE7E10"/>
    <w:rsid w:val="00EF0778"/>
    <w:rsid w:val="00EF3640"/>
    <w:rsid w:val="00EF4181"/>
    <w:rsid w:val="00EF46AA"/>
    <w:rsid w:val="00EF4B92"/>
    <w:rsid w:val="00EF5EE4"/>
    <w:rsid w:val="00EF709D"/>
    <w:rsid w:val="00F111B9"/>
    <w:rsid w:val="00F1391A"/>
    <w:rsid w:val="00F164D0"/>
    <w:rsid w:val="00F170EF"/>
    <w:rsid w:val="00F17897"/>
    <w:rsid w:val="00F20487"/>
    <w:rsid w:val="00F21AD4"/>
    <w:rsid w:val="00F2219D"/>
    <w:rsid w:val="00F22C9E"/>
    <w:rsid w:val="00F255B0"/>
    <w:rsid w:val="00F3005F"/>
    <w:rsid w:val="00F31521"/>
    <w:rsid w:val="00F32730"/>
    <w:rsid w:val="00F3280C"/>
    <w:rsid w:val="00F3340E"/>
    <w:rsid w:val="00F3418E"/>
    <w:rsid w:val="00F359FA"/>
    <w:rsid w:val="00F360B1"/>
    <w:rsid w:val="00F364DA"/>
    <w:rsid w:val="00F42366"/>
    <w:rsid w:val="00F4575C"/>
    <w:rsid w:val="00F46FCA"/>
    <w:rsid w:val="00F501CB"/>
    <w:rsid w:val="00F543C6"/>
    <w:rsid w:val="00F54B41"/>
    <w:rsid w:val="00F600BA"/>
    <w:rsid w:val="00F61CF3"/>
    <w:rsid w:val="00F63772"/>
    <w:rsid w:val="00F63E62"/>
    <w:rsid w:val="00F64922"/>
    <w:rsid w:val="00F6696C"/>
    <w:rsid w:val="00F72CDD"/>
    <w:rsid w:val="00F7500C"/>
    <w:rsid w:val="00F769EC"/>
    <w:rsid w:val="00F77FF5"/>
    <w:rsid w:val="00F80197"/>
    <w:rsid w:val="00F81362"/>
    <w:rsid w:val="00F81F36"/>
    <w:rsid w:val="00F824C2"/>
    <w:rsid w:val="00F825DD"/>
    <w:rsid w:val="00F84286"/>
    <w:rsid w:val="00F871FA"/>
    <w:rsid w:val="00F9146A"/>
    <w:rsid w:val="00F9530D"/>
    <w:rsid w:val="00F955B4"/>
    <w:rsid w:val="00F95688"/>
    <w:rsid w:val="00FA0391"/>
    <w:rsid w:val="00FA04CA"/>
    <w:rsid w:val="00FA4014"/>
    <w:rsid w:val="00FA42EE"/>
    <w:rsid w:val="00FA6DBE"/>
    <w:rsid w:val="00FB001B"/>
    <w:rsid w:val="00FB1012"/>
    <w:rsid w:val="00FB306E"/>
    <w:rsid w:val="00FB3F7D"/>
    <w:rsid w:val="00FB41BF"/>
    <w:rsid w:val="00FC0F34"/>
    <w:rsid w:val="00FC1E82"/>
    <w:rsid w:val="00FC3A2B"/>
    <w:rsid w:val="00FD3EDC"/>
    <w:rsid w:val="00FD4BF5"/>
    <w:rsid w:val="00FD4D49"/>
    <w:rsid w:val="00FD5BB4"/>
    <w:rsid w:val="00FD60C3"/>
    <w:rsid w:val="00FE5732"/>
    <w:rsid w:val="00FE5AD5"/>
    <w:rsid w:val="00FE6257"/>
    <w:rsid w:val="00FE700D"/>
    <w:rsid w:val="00FE705C"/>
    <w:rsid w:val="00FE755D"/>
    <w:rsid w:val="00FF0748"/>
    <w:rsid w:val="00FF59B9"/>
    <w:rsid w:val="00FF5C45"/>
    <w:rsid w:val="00FF7702"/>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qFormat="1"/>
    <w:lsdException w:name="table of figures" w:locked="1" w:uiPriority="0"/>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uiPriority="0"/>
    <w:lsdException w:name="No List" w:locked="1" w:uiPriority="0"/>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1"/>
    <w:qFormat/>
    <w:rsid w:val="00A32E13"/>
    <w:rPr>
      <w:rFonts w:eastAsia="Times New Roman"/>
    </w:rPr>
  </w:style>
  <w:style w:type="character" w:customStyle="1" w:styleId="NoSpacingChar">
    <w:name w:val="No Spacing Char"/>
    <w:basedOn w:val="DefaultParagraphFont"/>
    <w:link w:val="NoSpacing"/>
    <w:uiPriority w:val="1"/>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19733A"/>
    <w:pPr>
      <w:autoSpaceDE w:val="0"/>
      <w:autoSpaceDN w:val="0"/>
      <w:adjustRightInd w:val="0"/>
    </w:pPr>
    <w:rPr>
      <w:rFonts w:ascii="Times New Roman" w:eastAsiaTheme="minorHAnsi" w:hAnsi="Times New Roman"/>
      <w:color w:val="000000"/>
      <w:sz w:val="24"/>
      <w:szCs w:val="24"/>
      <w:lang w:val="en-AU"/>
    </w:rPr>
  </w:style>
  <w:style w:type="paragraph" w:styleId="NormalWeb">
    <w:name w:val="Normal (Web)"/>
    <w:basedOn w:val="Normal"/>
    <w:uiPriority w:val="99"/>
    <w:unhideWhenUsed/>
    <w:rsid w:val="00B666FF"/>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articledetails">
    <w:name w:val="articledetails"/>
    <w:basedOn w:val="Normal"/>
    <w:rsid w:val="00821CF1"/>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maintitle">
    <w:name w:val="maintitle"/>
    <w:basedOn w:val="DefaultParagraphFont"/>
    <w:rsid w:val="00821CF1"/>
  </w:style>
  <w:style w:type="paragraph" w:styleId="PlainText">
    <w:name w:val="Plain Text"/>
    <w:basedOn w:val="Normal"/>
    <w:link w:val="PlainTextChar"/>
    <w:uiPriority w:val="99"/>
    <w:semiHidden/>
    <w:unhideWhenUsed/>
    <w:rsid w:val="00954B03"/>
    <w:pPr>
      <w:spacing w:after="0" w:line="240" w:lineRule="auto"/>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954B03"/>
    <w:rPr>
      <w:rFonts w:ascii="Consolas" w:eastAsiaTheme="minorHAnsi" w:hAnsi="Consolas" w:cstheme="minorBidi"/>
      <w:sz w:val="21"/>
      <w:szCs w:val="21"/>
      <w:lang w:val="en-AU"/>
    </w:rPr>
  </w:style>
  <w:style w:type="character" w:styleId="Strong">
    <w:name w:val="Strong"/>
    <w:basedOn w:val="DefaultParagraphFont"/>
    <w:qFormat/>
    <w:locked/>
    <w:rsid w:val="00E813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qFormat="1"/>
    <w:lsdException w:name="table of figures" w:locked="1" w:uiPriority="0"/>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uiPriority="0"/>
    <w:lsdException w:name="No List" w:locked="1" w:uiPriority="0"/>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1"/>
    <w:qFormat/>
    <w:rsid w:val="00A32E13"/>
    <w:rPr>
      <w:rFonts w:eastAsia="Times New Roman"/>
    </w:rPr>
  </w:style>
  <w:style w:type="character" w:customStyle="1" w:styleId="NoSpacingChar">
    <w:name w:val="No Spacing Char"/>
    <w:basedOn w:val="DefaultParagraphFont"/>
    <w:link w:val="NoSpacing"/>
    <w:uiPriority w:val="1"/>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19733A"/>
    <w:pPr>
      <w:autoSpaceDE w:val="0"/>
      <w:autoSpaceDN w:val="0"/>
      <w:adjustRightInd w:val="0"/>
    </w:pPr>
    <w:rPr>
      <w:rFonts w:ascii="Times New Roman" w:eastAsiaTheme="minorHAnsi" w:hAnsi="Times New Roman"/>
      <w:color w:val="000000"/>
      <w:sz w:val="24"/>
      <w:szCs w:val="24"/>
      <w:lang w:val="en-AU"/>
    </w:rPr>
  </w:style>
  <w:style w:type="paragraph" w:styleId="NormalWeb">
    <w:name w:val="Normal (Web)"/>
    <w:basedOn w:val="Normal"/>
    <w:uiPriority w:val="99"/>
    <w:unhideWhenUsed/>
    <w:rsid w:val="00B666FF"/>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articledetails">
    <w:name w:val="articledetails"/>
    <w:basedOn w:val="Normal"/>
    <w:rsid w:val="00821CF1"/>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maintitle">
    <w:name w:val="maintitle"/>
    <w:basedOn w:val="DefaultParagraphFont"/>
    <w:rsid w:val="00821CF1"/>
  </w:style>
  <w:style w:type="paragraph" w:styleId="PlainText">
    <w:name w:val="Plain Text"/>
    <w:basedOn w:val="Normal"/>
    <w:link w:val="PlainTextChar"/>
    <w:uiPriority w:val="99"/>
    <w:semiHidden/>
    <w:unhideWhenUsed/>
    <w:rsid w:val="00954B03"/>
    <w:pPr>
      <w:spacing w:after="0" w:line="240" w:lineRule="auto"/>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954B03"/>
    <w:rPr>
      <w:rFonts w:ascii="Consolas" w:eastAsiaTheme="minorHAnsi" w:hAnsi="Consolas" w:cstheme="minorBidi"/>
      <w:sz w:val="21"/>
      <w:szCs w:val="21"/>
      <w:lang w:val="en-AU"/>
    </w:rPr>
  </w:style>
  <w:style w:type="character" w:styleId="Strong">
    <w:name w:val="Strong"/>
    <w:basedOn w:val="DefaultParagraphFont"/>
    <w:qFormat/>
    <w:locked/>
    <w:rsid w:val="00E81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3645">
      <w:bodyDiv w:val="1"/>
      <w:marLeft w:val="0"/>
      <w:marRight w:val="0"/>
      <w:marTop w:val="0"/>
      <w:marBottom w:val="0"/>
      <w:divBdr>
        <w:top w:val="none" w:sz="0" w:space="0" w:color="auto"/>
        <w:left w:val="none" w:sz="0" w:space="0" w:color="auto"/>
        <w:bottom w:val="none" w:sz="0" w:space="0" w:color="auto"/>
        <w:right w:val="none" w:sz="0" w:space="0" w:color="auto"/>
      </w:divBdr>
    </w:div>
    <w:div w:id="493451471">
      <w:bodyDiv w:val="1"/>
      <w:marLeft w:val="0"/>
      <w:marRight w:val="0"/>
      <w:marTop w:val="0"/>
      <w:marBottom w:val="0"/>
      <w:divBdr>
        <w:top w:val="none" w:sz="0" w:space="0" w:color="auto"/>
        <w:left w:val="none" w:sz="0" w:space="0" w:color="auto"/>
        <w:bottom w:val="none" w:sz="0" w:space="0" w:color="auto"/>
        <w:right w:val="none" w:sz="0" w:space="0" w:color="auto"/>
      </w:divBdr>
    </w:div>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6076">
      <w:bodyDiv w:val="1"/>
      <w:marLeft w:val="0"/>
      <w:marRight w:val="0"/>
      <w:marTop w:val="0"/>
      <w:marBottom w:val="0"/>
      <w:divBdr>
        <w:top w:val="none" w:sz="0" w:space="0" w:color="auto"/>
        <w:left w:val="none" w:sz="0" w:space="0" w:color="auto"/>
        <w:bottom w:val="none" w:sz="0" w:space="0" w:color="auto"/>
        <w:right w:val="none" w:sz="0" w:space="0" w:color="auto"/>
      </w:divBdr>
      <w:divsChild>
        <w:div w:id="1403259205">
          <w:marLeft w:val="0"/>
          <w:marRight w:val="1"/>
          <w:marTop w:val="0"/>
          <w:marBottom w:val="0"/>
          <w:divBdr>
            <w:top w:val="none" w:sz="0" w:space="0" w:color="auto"/>
            <w:left w:val="none" w:sz="0" w:space="0" w:color="auto"/>
            <w:bottom w:val="none" w:sz="0" w:space="0" w:color="auto"/>
            <w:right w:val="none" w:sz="0" w:space="0" w:color="auto"/>
          </w:divBdr>
          <w:divsChild>
            <w:div w:id="1594119269">
              <w:marLeft w:val="0"/>
              <w:marRight w:val="0"/>
              <w:marTop w:val="0"/>
              <w:marBottom w:val="0"/>
              <w:divBdr>
                <w:top w:val="none" w:sz="0" w:space="0" w:color="auto"/>
                <w:left w:val="none" w:sz="0" w:space="0" w:color="auto"/>
                <w:bottom w:val="none" w:sz="0" w:space="0" w:color="auto"/>
                <w:right w:val="none" w:sz="0" w:space="0" w:color="auto"/>
              </w:divBdr>
              <w:divsChild>
                <w:div w:id="1306618102">
                  <w:marLeft w:val="0"/>
                  <w:marRight w:val="1"/>
                  <w:marTop w:val="0"/>
                  <w:marBottom w:val="0"/>
                  <w:divBdr>
                    <w:top w:val="none" w:sz="0" w:space="0" w:color="auto"/>
                    <w:left w:val="none" w:sz="0" w:space="0" w:color="auto"/>
                    <w:bottom w:val="none" w:sz="0" w:space="0" w:color="auto"/>
                    <w:right w:val="none" w:sz="0" w:space="0" w:color="auto"/>
                  </w:divBdr>
                  <w:divsChild>
                    <w:div w:id="1711682756">
                      <w:marLeft w:val="0"/>
                      <w:marRight w:val="0"/>
                      <w:marTop w:val="0"/>
                      <w:marBottom w:val="0"/>
                      <w:divBdr>
                        <w:top w:val="none" w:sz="0" w:space="0" w:color="auto"/>
                        <w:left w:val="none" w:sz="0" w:space="0" w:color="auto"/>
                        <w:bottom w:val="none" w:sz="0" w:space="0" w:color="auto"/>
                        <w:right w:val="none" w:sz="0" w:space="0" w:color="auto"/>
                      </w:divBdr>
                      <w:divsChild>
                        <w:div w:id="1323007111">
                          <w:marLeft w:val="0"/>
                          <w:marRight w:val="0"/>
                          <w:marTop w:val="0"/>
                          <w:marBottom w:val="0"/>
                          <w:divBdr>
                            <w:top w:val="none" w:sz="0" w:space="0" w:color="auto"/>
                            <w:left w:val="none" w:sz="0" w:space="0" w:color="auto"/>
                            <w:bottom w:val="none" w:sz="0" w:space="0" w:color="auto"/>
                            <w:right w:val="none" w:sz="0" w:space="0" w:color="auto"/>
                          </w:divBdr>
                          <w:divsChild>
                            <w:div w:id="699162132">
                              <w:marLeft w:val="0"/>
                              <w:marRight w:val="0"/>
                              <w:marTop w:val="120"/>
                              <w:marBottom w:val="360"/>
                              <w:divBdr>
                                <w:top w:val="none" w:sz="0" w:space="0" w:color="auto"/>
                                <w:left w:val="none" w:sz="0" w:space="0" w:color="auto"/>
                                <w:bottom w:val="none" w:sz="0" w:space="0" w:color="auto"/>
                                <w:right w:val="none" w:sz="0" w:space="0" w:color="auto"/>
                              </w:divBdr>
                              <w:divsChild>
                                <w:div w:id="727845708">
                                  <w:marLeft w:val="0"/>
                                  <w:marRight w:val="0"/>
                                  <w:marTop w:val="0"/>
                                  <w:marBottom w:val="0"/>
                                  <w:divBdr>
                                    <w:top w:val="none" w:sz="0" w:space="0" w:color="auto"/>
                                    <w:left w:val="none" w:sz="0" w:space="0" w:color="auto"/>
                                    <w:bottom w:val="none" w:sz="0" w:space="0" w:color="auto"/>
                                    <w:right w:val="none" w:sz="0" w:space="0" w:color="auto"/>
                                  </w:divBdr>
                                </w:div>
                                <w:div w:id="18455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500219">
      <w:bodyDiv w:val="1"/>
      <w:marLeft w:val="0"/>
      <w:marRight w:val="0"/>
      <w:marTop w:val="0"/>
      <w:marBottom w:val="0"/>
      <w:divBdr>
        <w:top w:val="none" w:sz="0" w:space="0" w:color="auto"/>
        <w:left w:val="none" w:sz="0" w:space="0" w:color="auto"/>
        <w:bottom w:val="none" w:sz="0" w:space="0" w:color="auto"/>
        <w:right w:val="none" w:sz="0" w:space="0" w:color="auto"/>
      </w:divBdr>
    </w:div>
    <w:div w:id="618294317">
      <w:bodyDiv w:val="1"/>
      <w:marLeft w:val="0"/>
      <w:marRight w:val="0"/>
      <w:marTop w:val="0"/>
      <w:marBottom w:val="0"/>
      <w:divBdr>
        <w:top w:val="none" w:sz="0" w:space="0" w:color="auto"/>
        <w:left w:val="none" w:sz="0" w:space="0" w:color="auto"/>
        <w:bottom w:val="none" w:sz="0" w:space="0" w:color="auto"/>
        <w:right w:val="none" w:sz="0" w:space="0" w:color="auto"/>
      </w:divBdr>
    </w:div>
    <w:div w:id="883256322">
      <w:bodyDiv w:val="1"/>
      <w:marLeft w:val="0"/>
      <w:marRight w:val="0"/>
      <w:marTop w:val="0"/>
      <w:marBottom w:val="0"/>
      <w:divBdr>
        <w:top w:val="none" w:sz="0" w:space="0" w:color="auto"/>
        <w:left w:val="none" w:sz="0" w:space="0" w:color="auto"/>
        <w:bottom w:val="none" w:sz="0" w:space="0" w:color="auto"/>
        <w:right w:val="none" w:sz="0" w:space="0" w:color="auto"/>
      </w:divBdr>
      <w:divsChild>
        <w:div w:id="1516773786">
          <w:marLeft w:val="0"/>
          <w:marRight w:val="1"/>
          <w:marTop w:val="0"/>
          <w:marBottom w:val="0"/>
          <w:divBdr>
            <w:top w:val="none" w:sz="0" w:space="0" w:color="auto"/>
            <w:left w:val="none" w:sz="0" w:space="0" w:color="auto"/>
            <w:bottom w:val="none" w:sz="0" w:space="0" w:color="auto"/>
            <w:right w:val="none" w:sz="0" w:space="0" w:color="auto"/>
          </w:divBdr>
          <w:divsChild>
            <w:div w:id="126242317">
              <w:marLeft w:val="0"/>
              <w:marRight w:val="0"/>
              <w:marTop w:val="0"/>
              <w:marBottom w:val="0"/>
              <w:divBdr>
                <w:top w:val="none" w:sz="0" w:space="0" w:color="auto"/>
                <w:left w:val="none" w:sz="0" w:space="0" w:color="auto"/>
                <w:bottom w:val="none" w:sz="0" w:space="0" w:color="auto"/>
                <w:right w:val="none" w:sz="0" w:space="0" w:color="auto"/>
              </w:divBdr>
              <w:divsChild>
                <w:div w:id="1948466117">
                  <w:marLeft w:val="0"/>
                  <w:marRight w:val="1"/>
                  <w:marTop w:val="0"/>
                  <w:marBottom w:val="0"/>
                  <w:divBdr>
                    <w:top w:val="none" w:sz="0" w:space="0" w:color="auto"/>
                    <w:left w:val="none" w:sz="0" w:space="0" w:color="auto"/>
                    <w:bottom w:val="none" w:sz="0" w:space="0" w:color="auto"/>
                    <w:right w:val="none" w:sz="0" w:space="0" w:color="auto"/>
                  </w:divBdr>
                  <w:divsChild>
                    <w:div w:id="1004355221">
                      <w:marLeft w:val="0"/>
                      <w:marRight w:val="0"/>
                      <w:marTop w:val="0"/>
                      <w:marBottom w:val="0"/>
                      <w:divBdr>
                        <w:top w:val="none" w:sz="0" w:space="0" w:color="auto"/>
                        <w:left w:val="none" w:sz="0" w:space="0" w:color="auto"/>
                        <w:bottom w:val="none" w:sz="0" w:space="0" w:color="auto"/>
                        <w:right w:val="none" w:sz="0" w:space="0" w:color="auto"/>
                      </w:divBdr>
                      <w:divsChild>
                        <w:div w:id="784082077">
                          <w:marLeft w:val="0"/>
                          <w:marRight w:val="0"/>
                          <w:marTop w:val="0"/>
                          <w:marBottom w:val="0"/>
                          <w:divBdr>
                            <w:top w:val="none" w:sz="0" w:space="0" w:color="auto"/>
                            <w:left w:val="none" w:sz="0" w:space="0" w:color="auto"/>
                            <w:bottom w:val="none" w:sz="0" w:space="0" w:color="auto"/>
                            <w:right w:val="none" w:sz="0" w:space="0" w:color="auto"/>
                          </w:divBdr>
                          <w:divsChild>
                            <w:div w:id="397554279">
                              <w:marLeft w:val="0"/>
                              <w:marRight w:val="0"/>
                              <w:marTop w:val="0"/>
                              <w:marBottom w:val="0"/>
                              <w:divBdr>
                                <w:top w:val="none" w:sz="0" w:space="0" w:color="auto"/>
                                <w:left w:val="none" w:sz="0" w:space="0" w:color="auto"/>
                                <w:bottom w:val="none" w:sz="0" w:space="0" w:color="auto"/>
                                <w:right w:val="none" w:sz="0" w:space="0" w:color="auto"/>
                              </w:divBdr>
                            </w:div>
                          </w:divsChild>
                        </w:div>
                        <w:div w:id="1590188450">
                          <w:marLeft w:val="0"/>
                          <w:marRight w:val="0"/>
                          <w:marTop w:val="0"/>
                          <w:marBottom w:val="0"/>
                          <w:divBdr>
                            <w:top w:val="none" w:sz="0" w:space="0" w:color="auto"/>
                            <w:left w:val="none" w:sz="0" w:space="0" w:color="auto"/>
                            <w:bottom w:val="none" w:sz="0" w:space="0" w:color="auto"/>
                            <w:right w:val="none" w:sz="0" w:space="0" w:color="auto"/>
                          </w:divBdr>
                          <w:divsChild>
                            <w:div w:id="1975283642">
                              <w:marLeft w:val="0"/>
                              <w:marRight w:val="0"/>
                              <w:marTop w:val="120"/>
                              <w:marBottom w:val="360"/>
                              <w:divBdr>
                                <w:top w:val="none" w:sz="0" w:space="0" w:color="auto"/>
                                <w:left w:val="none" w:sz="0" w:space="0" w:color="auto"/>
                                <w:bottom w:val="none" w:sz="0" w:space="0" w:color="auto"/>
                                <w:right w:val="none" w:sz="0" w:space="0" w:color="auto"/>
                              </w:divBdr>
                              <w:divsChild>
                                <w:div w:id="896084227">
                                  <w:marLeft w:val="0"/>
                                  <w:marRight w:val="0"/>
                                  <w:marTop w:val="0"/>
                                  <w:marBottom w:val="0"/>
                                  <w:divBdr>
                                    <w:top w:val="none" w:sz="0" w:space="0" w:color="auto"/>
                                    <w:left w:val="none" w:sz="0" w:space="0" w:color="auto"/>
                                    <w:bottom w:val="none" w:sz="0" w:space="0" w:color="auto"/>
                                    <w:right w:val="none" w:sz="0" w:space="0" w:color="auto"/>
                                  </w:divBdr>
                                </w:div>
                                <w:div w:id="16604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1239">
      <w:bodyDiv w:val="1"/>
      <w:marLeft w:val="0"/>
      <w:marRight w:val="0"/>
      <w:marTop w:val="0"/>
      <w:marBottom w:val="0"/>
      <w:divBdr>
        <w:top w:val="none" w:sz="0" w:space="0" w:color="auto"/>
        <w:left w:val="none" w:sz="0" w:space="0" w:color="auto"/>
        <w:bottom w:val="none" w:sz="0" w:space="0" w:color="auto"/>
        <w:right w:val="none" w:sz="0" w:space="0" w:color="auto"/>
      </w:divBdr>
    </w:div>
    <w:div w:id="1138768263">
      <w:bodyDiv w:val="1"/>
      <w:marLeft w:val="0"/>
      <w:marRight w:val="0"/>
      <w:marTop w:val="0"/>
      <w:marBottom w:val="0"/>
      <w:divBdr>
        <w:top w:val="none" w:sz="0" w:space="0" w:color="auto"/>
        <w:left w:val="none" w:sz="0" w:space="0" w:color="auto"/>
        <w:bottom w:val="none" w:sz="0" w:space="0" w:color="auto"/>
        <w:right w:val="none" w:sz="0" w:space="0" w:color="auto"/>
      </w:divBdr>
    </w:div>
    <w:div w:id="1156651841">
      <w:bodyDiv w:val="1"/>
      <w:marLeft w:val="0"/>
      <w:marRight w:val="0"/>
      <w:marTop w:val="0"/>
      <w:marBottom w:val="0"/>
      <w:divBdr>
        <w:top w:val="none" w:sz="0" w:space="0" w:color="auto"/>
        <w:left w:val="none" w:sz="0" w:space="0" w:color="auto"/>
        <w:bottom w:val="none" w:sz="0" w:space="0" w:color="auto"/>
        <w:right w:val="none" w:sz="0" w:space="0" w:color="auto"/>
      </w:divBdr>
    </w:div>
    <w:div w:id="1201698426">
      <w:bodyDiv w:val="1"/>
      <w:marLeft w:val="0"/>
      <w:marRight w:val="0"/>
      <w:marTop w:val="0"/>
      <w:marBottom w:val="0"/>
      <w:divBdr>
        <w:top w:val="none" w:sz="0" w:space="0" w:color="auto"/>
        <w:left w:val="none" w:sz="0" w:space="0" w:color="auto"/>
        <w:bottom w:val="none" w:sz="0" w:space="0" w:color="auto"/>
        <w:right w:val="none" w:sz="0" w:space="0" w:color="auto"/>
      </w:divBdr>
      <w:divsChild>
        <w:div w:id="747651675">
          <w:marLeft w:val="0"/>
          <w:marRight w:val="0"/>
          <w:marTop w:val="0"/>
          <w:marBottom w:val="0"/>
          <w:divBdr>
            <w:top w:val="none" w:sz="0" w:space="0" w:color="auto"/>
            <w:left w:val="none" w:sz="0" w:space="0" w:color="auto"/>
            <w:bottom w:val="none" w:sz="0" w:space="0" w:color="auto"/>
            <w:right w:val="none" w:sz="0" w:space="0" w:color="auto"/>
          </w:divBdr>
          <w:divsChild>
            <w:div w:id="1721828567">
              <w:marLeft w:val="0"/>
              <w:marRight w:val="0"/>
              <w:marTop w:val="0"/>
              <w:marBottom w:val="0"/>
              <w:divBdr>
                <w:top w:val="none" w:sz="0" w:space="0" w:color="auto"/>
                <w:left w:val="none" w:sz="0" w:space="0" w:color="auto"/>
                <w:bottom w:val="none" w:sz="0" w:space="0" w:color="auto"/>
                <w:right w:val="none" w:sz="0" w:space="0" w:color="auto"/>
              </w:divBdr>
              <w:divsChild>
                <w:div w:id="5207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99008">
      <w:bodyDiv w:val="1"/>
      <w:marLeft w:val="0"/>
      <w:marRight w:val="0"/>
      <w:marTop w:val="0"/>
      <w:marBottom w:val="0"/>
      <w:divBdr>
        <w:top w:val="none" w:sz="0" w:space="0" w:color="auto"/>
        <w:left w:val="none" w:sz="0" w:space="0" w:color="auto"/>
        <w:bottom w:val="none" w:sz="0" w:space="0" w:color="auto"/>
        <w:right w:val="none" w:sz="0" w:space="0" w:color="auto"/>
      </w:divBdr>
    </w:div>
    <w:div w:id="1397967781">
      <w:bodyDiv w:val="1"/>
      <w:marLeft w:val="0"/>
      <w:marRight w:val="0"/>
      <w:marTop w:val="0"/>
      <w:marBottom w:val="0"/>
      <w:divBdr>
        <w:top w:val="none" w:sz="0" w:space="0" w:color="auto"/>
        <w:left w:val="none" w:sz="0" w:space="0" w:color="auto"/>
        <w:bottom w:val="none" w:sz="0" w:space="0" w:color="auto"/>
        <w:right w:val="none" w:sz="0" w:space="0" w:color="auto"/>
      </w:divBdr>
      <w:divsChild>
        <w:div w:id="1415319238">
          <w:marLeft w:val="0"/>
          <w:marRight w:val="0"/>
          <w:marTop w:val="240"/>
          <w:marBottom w:val="480"/>
          <w:divBdr>
            <w:top w:val="none" w:sz="0" w:space="0" w:color="auto"/>
            <w:left w:val="none" w:sz="0" w:space="0" w:color="auto"/>
            <w:bottom w:val="none" w:sz="0" w:space="0" w:color="auto"/>
            <w:right w:val="none" w:sz="0" w:space="0" w:color="auto"/>
          </w:divBdr>
          <w:divsChild>
            <w:div w:id="464349984">
              <w:marLeft w:val="0"/>
              <w:marRight w:val="0"/>
              <w:marTop w:val="0"/>
              <w:marBottom w:val="0"/>
              <w:divBdr>
                <w:top w:val="none" w:sz="0" w:space="0" w:color="auto"/>
                <w:left w:val="none" w:sz="0" w:space="0" w:color="auto"/>
                <w:bottom w:val="none" w:sz="0" w:space="0" w:color="auto"/>
                <w:right w:val="none" w:sz="0" w:space="0" w:color="auto"/>
              </w:divBdr>
              <w:divsChild>
                <w:div w:id="1051684889">
                  <w:marLeft w:val="0"/>
                  <w:marRight w:val="0"/>
                  <w:marTop w:val="0"/>
                  <w:marBottom w:val="0"/>
                  <w:divBdr>
                    <w:top w:val="none" w:sz="0" w:space="0" w:color="auto"/>
                    <w:left w:val="none" w:sz="0" w:space="0" w:color="auto"/>
                    <w:bottom w:val="none" w:sz="0" w:space="0" w:color="auto"/>
                    <w:right w:val="none" w:sz="0" w:space="0" w:color="auto"/>
                  </w:divBdr>
                  <w:divsChild>
                    <w:div w:id="825509664">
                      <w:marLeft w:val="0"/>
                      <w:marRight w:val="0"/>
                      <w:marTop w:val="0"/>
                      <w:marBottom w:val="0"/>
                      <w:divBdr>
                        <w:top w:val="none" w:sz="0" w:space="0" w:color="auto"/>
                        <w:left w:val="none" w:sz="0" w:space="0" w:color="auto"/>
                        <w:bottom w:val="none" w:sz="0" w:space="0" w:color="auto"/>
                        <w:right w:val="none" w:sz="0" w:space="0" w:color="auto"/>
                      </w:divBdr>
                      <w:divsChild>
                        <w:div w:id="778060689">
                          <w:marLeft w:val="0"/>
                          <w:marRight w:val="0"/>
                          <w:marTop w:val="0"/>
                          <w:marBottom w:val="0"/>
                          <w:divBdr>
                            <w:top w:val="none" w:sz="0" w:space="0" w:color="auto"/>
                            <w:left w:val="none" w:sz="0" w:space="0" w:color="auto"/>
                            <w:bottom w:val="none" w:sz="0" w:space="0" w:color="auto"/>
                            <w:right w:val="none" w:sz="0" w:space="0" w:color="auto"/>
                          </w:divBdr>
                          <w:divsChild>
                            <w:div w:id="1516532308">
                              <w:marLeft w:val="0"/>
                              <w:marRight w:val="0"/>
                              <w:marTop w:val="0"/>
                              <w:marBottom w:val="0"/>
                              <w:divBdr>
                                <w:top w:val="none" w:sz="0" w:space="0" w:color="auto"/>
                                <w:left w:val="none" w:sz="0" w:space="0" w:color="auto"/>
                                <w:bottom w:val="none" w:sz="0" w:space="0" w:color="auto"/>
                                <w:right w:val="none" w:sz="0" w:space="0" w:color="auto"/>
                              </w:divBdr>
                              <w:divsChild>
                                <w:div w:id="932935113">
                                  <w:marLeft w:val="0"/>
                                  <w:marRight w:val="0"/>
                                  <w:marTop w:val="150"/>
                                  <w:marBottom w:val="150"/>
                                  <w:divBdr>
                                    <w:top w:val="none" w:sz="0" w:space="0" w:color="auto"/>
                                    <w:left w:val="none" w:sz="0" w:space="0" w:color="auto"/>
                                    <w:bottom w:val="none" w:sz="0" w:space="0" w:color="auto"/>
                                    <w:right w:val="none" w:sz="0" w:space="0" w:color="auto"/>
                                  </w:divBdr>
                                  <w:divsChild>
                                    <w:div w:id="481191988">
                                      <w:marLeft w:val="0"/>
                                      <w:marRight w:val="0"/>
                                      <w:marTop w:val="0"/>
                                      <w:marBottom w:val="0"/>
                                      <w:divBdr>
                                        <w:top w:val="none" w:sz="0" w:space="0" w:color="auto"/>
                                        <w:left w:val="none" w:sz="0" w:space="0" w:color="auto"/>
                                        <w:bottom w:val="none" w:sz="0" w:space="0" w:color="auto"/>
                                        <w:right w:val="none" w:sz="0" w:space="0" w:color="auto"/>
                                      </w:divBdr>
                                      <w:divsChild>
                                        <w:div w:id="1901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183187">
      <w:bodyDiv w:val="1"/>
      <w:marLeft w:val="0"/>
      <w:marRight w:val="0"/>
      <w:marTop w:val="0"/>
      <w:marBottom w:val="0"/>
      <w:divBdr>
        <w:top w:val="none" w:sz="0" w:space="0" w:color="auto"/>
        <w:left w:val="none" w:sz="0" w:space="0" w:color="auto"/>
        <w:bottom w:val="none" w:sz="0" w:space="0" w:color="auto"/>
        <w:right w:val="none" w:sz="0" w:space="0" w:color="auto"/>
      </w:divBdr>
    </w:div>
    <w:div w:id="1475753134">
      <w:bodyDiv w:val="1"/>
      <w:marLeft w:val="0"/>
      <w:marRight w:val="0"/>
      <w:marTop w:val="0"/>
      <w:marBottom w:val="0"/>
      <w:divBdr>
        <w:top w:val="none" w:sz="0" w:space="0" w:color="auto"/>
        <w:left w:val="none" w:sz="0" w:space="0" w:color="auto"/>
        <w:bottom w:val="none" w:sz="0" w:space="0" w:color="auto"/>
        <w:right w:val="none" w:sz="0" w:space="0" w:color="auto"/>
      </w:divBdr>
    </w:div>
    <w:div w:id="1552839087">
      <w:bodyDiv w:val="1"/>
      <w:marLeft w:val="0"/>
      <w:marRight w:val="0"/>
      <w:marTop w:val="0"/>
      <w:marBottom w:val="0"/>
      <w:divBdr>
        <w:top w:val="none" w:sz="0" w:space="0" w:color="auto"/>
        <w:left w:val="none" w:sz="0" w:space="0" w:color="auto"/>
        <w:bottom w:val="none" w:sz="0" w:space="0" w:color="auto"/>
        <w:right w:val="none" w:sz="0" w:space="0" w:color="auto"/>
      </w:divBdr>
    </w:div>
    <w:div w:id="1901868523">
      <w:bodyDiv w:val="1"/>
      <w:marLeft w:val="0"/>
      <w:marRight w:val="0"/>
      <w:marTop w:val="0"/>
      <w:marBottom w:val="0"/>
      <w:divBdr>
        <w:top w:val="none" w:sz="0" w:space="0" w:color="auto"/>
        <w:left w:val="none" w:sz="0" w:space="0" w:color="auto"/>
        <w:bottom w:val="none" w:sz="0" w:space="0" w:color="auto"/>
        <w:right w:val="none" w:sz="0" w:space="0" w:color="auto"/>
      </w:divBdr>
    </w:div>
    <w:div w:id="1931115829">
      <w:bodyDiv w:val="1"/>
      <w:marLeft w:val="0"/>
      <w:marRight w:val="0"/>
      <w:marTop w:val="0"/>
      <w:marBottom w:val="0"/>
      <w:divBdr>
        <w:top w:val="none" w:sz="0" w:space="0" w:color="auto"/>
        <w:left w:val="none" w:sz="0" w:space="0" w:color="auto"/>
        <w:bottom w:val="none" w:sz="0" w:space="0" w:color="auto"/>
        <w:right w:val="none" w:sz="0" w:space="0" w:color="auto"/>
      </w:divBdr>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306321673">
          <w:marLeft w:val="0"/>
          <w:marRight w:val="0"/>
          <w:marTop w:val="0"/>
          <w:marBottom w:val="0"/>
          <w:divBdr>
            <w:top w:val="none" w:sz="0" w:space="0" w:color="auto"/>
            <w:left w:val="none" w:sz="0" w:space="0" w:color="auto"/>
            <w:bottom w:val="none" w:sz="0" w:space="0" w:color="auto"/>
            <w:right w:val="none" w:sz="0" w:space="0" w:color="auto"/>
          </w:divBdr>
          <w:divsChild>
            <w:div w:id="1597784633">
              <w:marLeft w:val="0"/>
              <w:marRight w:val="0"/>
              <w:marTop w:val="0"/>
              <w:marBottom w:val="4500"/>
              <w:divBdr>
                <w:top w:val="none" w:sz="0" w:space="0" w:color="auto"/>
                <w:left w:val="none" w:sz="0" w:space="0" w:color="auto"/>
                <w:bottom w:val="none" w:sz="0" w:space="0" w:color="auto"/>
                <w:right w:val="none" w:sz="0" w:space="0" w:color="auto"/>
              </w:divBdr>
              <w:divsChild>
                <w:div w:id="1801149866">
                  <w:marLeft w:val="0"/>
                  <w:marRight w:val="0"/>
                  <w:marTop w:val="0"/>
                  <w:marBottom w:val="0"/>
                  <w:divBdr>
                    <w:top w:val="none" w:sz="0" w:space="0" w:color="auto"/>
                    <w:left w:val="none" w:sz="0" w:space="0" w:color="auto"/>
                    <w:bottom w:val="none" w:sz="0" w:space="0" w:color="auto"/>
                    <w:right w:val="none" w:sz="0" w:space="0" w:color="auto"/>
                  </w:divBdr>
                  <w:divsChild>
                    <w:div w:id="266499890">
                      <w:marLeft w:val="0"/>
                      <w:marRight w:val="0"/>
                      <w:marTop w:val="0"/>
                      <w:marBottom w:val="0"/>
                      <w:divBdr>
                        <w:top w:val="none" w:sz="0" w:space="0" w:color="auto"/>
                        <w:left w:val="none" w:sz="0" w:space="0" w:color="auto"/>
                        <w:bottom w:val="none" w:sz="0" w:space="0" w:color="auto"/>
                        <w:right w:val="none" w:sz="0" w:space="0" w:color="auto"/>
                      </w:divBdr>
                      <w:divsChild>
                        <w:div w:id="270823362">
                          <w:marLeft w:val="0"/>
                          <w:marRight w:val="0"/>
                          <w:marTop w:val="0"/>
                          <w:marBottom w:val="0"/>
                          <w:divBdr>
                            <w:top w:val="none" w:sz="0" w:space="0" w:color="auto"/>
                            <w:left w:val="none" w:sz="0" w:space="0" w:color="auto"/>
                            <w:bottom w:val="none" w:sz="0" w:space="0" w:color="auto"/>
                            <w:right w:val="none" w:sz="0" w:space="0" w:color="auto"/>
                          </w:divBdr>
                          <w:divsChild>
                            <w:div w:id="8863384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59470">
      <w:bodyDiv w:val="1"/>
      <w:marLeft w:val="0"/>
      <w:marRight w:val="0"/>
      <w:marTop w:val="0"/>
      <w:marBottom w:val="0"/>
      <w:divBdr>
        <w:top w:val="none" w:sz="0" w:space="0" w:color="auto"/>
        <w:left w:val="none" w:sz="0" w:space="0" w:color="auto"/>
        <w:bottom w:val="none" w:sz="0" w:space="0" w:color="auto"/>
        <w:right w:val="none" w:sz="0" w:space="0" w:color="auto"/>
      </w:divBdr>
      <w:divsChild>
        <w:div w:id="1901860762">
          <w:marLeft w:val="0"/>
          <w:marRight w:val="0"/>
          <w:marTop w:val="0"/>
          <w:marBottom w:val="0"/>
          <w:divBdr>
            <w:top w:val="none" w:sz="0" w:space="0" w:color="auto"/>
            <w:left w:val="none" w:sz="0" w:space="0" w:color="auto"/>
            <w:bottom w:val="none" w:sz="0" w:space="0" w:color="auto"/>
            <w:right w:val="none" w:sz="0" w:space="0" w:color="auto"/>
          </w:divBdr>
          <w:divsChild>
            <w:div w:id="1703551475">
              <w:marLeft w:val="0"/>
              <w:marRight w:val="0"/>
              <w:marTop w:val="0"/>
              <w:marBottom w:val="0"/>
              <w:divBdr>
                <w:top w:val="none" w:sz="0" w:space="0" w:color="auto"/>
                <w:left w:val="none" w:sz="0" w:space="0" w:color="auto"/>
                <w:bottom w:val="none" w:sz="0" w:space="0" w:color="auto"/>
                <w:right w:val="none" w:sz="0" w:space="0" w:color="auto"/>
              </w:divBdr>
              <w:divsChild>
                <w:div w:id="881791980">
                  <w:marLeft w:val="0"/>
                  <w:marRight w:val="0"/>
                  <w:marTop w:val="0"/>
                  <w:marBottom w:val="0"/>
                  <w:divBdr>
                    <w:top w:val="none" w:sz="0" w:space="0" w:color="auto"/>
                    <w:left w:val="none" w:sz="0" w:space="0" w:color="auto"/>
                    <w:bottom w:val="none" w:sz="0" w:space="0" w:color="auto"/>
                    <w:right w:val="none" w:sz="0" w:space="0" w:color="auto"/>
                  </w:divBdr>
                  <w:divsChild>
                    <w:div w:id="1124349987">
                      <w:marLeft w:val="0"/>
                      <w:marRight w:val="0"/>
                      <w:marTop w:val="0"/>
                      <w:marBottom w:val="0"/>
                      <w:divBdr>
                        <w:top w:val="none" w:sz="0" w:space="0" w:color="auto"/>
                        <w:left w:val="none" w:sz="0" w:space="0" w:color="auto"/>
                        <w:bottom w:val="none" w:sz="0" w:space="0" w:color="auto"/>
                        <w:right w:val="none" w:sz="0" w:space="0" w:color="auto"/>
                      </w:divBdr>
                      <w:divsChild>
                        <w:div w:id="1659648302">
                          <w:marLeft w:val="0"/>
                          <w:marRight w:val="0"/>
                          <w:marTop w:val="0"/>
                          <w:marBottom w:val="0"/>
                          <w:divBdr>
                            <w:top w:val="none" w:sz="0" w:space="0" w:color="auto"/>
                            <w:left w:val="none" w:sz="0" w:space="0" w:color="auto"/>
                            <w:bottom w:val="none" w:sz="0" w:space="0" w:color="auto"/>
                            <w:right w:val="none" w:sz="0" w:space="0" w:color="auto"/>
                          </w:divBdr>
                          <w:divsChild>
                            <w:div w:id="154493401">
                              <w:marLeft w:val="0"/>
                              <w:marRight w:val="0"/>
                              <w:marTop w:val="0"/>
                              <w:marBottom w:val="0"/>
                              <w:divBdr>
                                <w:top w:val="none" w:sz="0" w:space="0" w:color="auto"/>
                                <w:left w:val="none" w:sz="0" w:space="0" w:color="auto"/>
                                <w:bottom w:val="none" w:sz="0" w:space="0" w:color="auto"/>
                                <w:right w:val="none" w:sz="0" w:space="0" w:color="auto"/>
                              </w:divBdr>
                              <w:divsChild>
                                <w:div w:id="246425696">
                                  <w:marLeft w:val="0"/>
                                  <w:marRight w:val="0"/>
                                  <w:marTop w:val="0"/>
                                  <w:marBottom w:val="0"/>
                                  <w:divBdr>
                                    <w:top w:val="none" w:sz="0" w:space="0" w:color="auto"/>
                                    <w:left w:val="none" w:sz="0" w:space="0" w:color="auto"/>
                                    <w:bottom w:val="none" w:sz="0" w:space="0" w:color="auto"/>
                                    <w:right w:val="none" w:sz="0" w:space="0" w:color="auto"/>
                                  </w:divBdr>
                                  <w:divsChild>
                                    <w:div w:id="2005233180">
                                      <w:marLeft w:val="0"/>
                                      <w:marRight w:val="0"/>
                                      <w:marTop w:val="0"/>
                                      <w:marBottom w:val="0"/>
                                      <w:divBdr>
                                        <w:top w:val="none" w:sz="0" w:space="0" w:color="auto"/>
                                        <w:left w:val="none" w:sz="0" w:space="0" w:color="auto"/>
                                        <w:bottom w:val="none" w:sz="0" w:space="0" w:color="auto"/>
                                        <w:right w:val="none" w:sz="0" w:space="0" w:color="auto"/>
                                      </w:divBdr>
                                    </w:div>
                                    <w:div w:id="4108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6076">
      <w:bodyDiv w:val="1"/>
      <w:marLeft w:val="0"/>
      <w:marRight w:val="0"/>
      <w:marTop w:val="0"/>
      <w:marBottom w:val="0"/>
      <w:divBdr>
        <w:top w:val="none" w:sz="0" w:space="0" w:color="auto"/>
        <w:left w:val="none" w:sz="0" w:space="0" w:color="auto"/>
        <w:bottom w:val="none" w:sz="0" w:space="0" w:color="auto"/>
        <w:right w:val="none" w:sz="0" w:space="0" w:color="auto"/>
      </w:divBdr>
    </w:div>
    <w:div w:id="2064521887">
      <w:bodyDiv w:val="1"/>
      <w:marLeft w:val="0"/>
      <w:marRight w:val="0"/>
      <w:marTop w:val="0"/>
      <w:marBottom w:val="0"/>
      <w:divBdr>
        <w:top w:val="none" w:sz="0" w:space="0" w:color="auto"/>
        <w:left w:val="none" w:sz="0" w:space="0" w:color="auto"/>
        <w:bottom w:val="none" w:sz="0" w:space="0" w:color="auto"/>
        <w:right w:val="none" w:sz="0" w:space="0" w:color="auto"/>
      </w:divBdr>
      <w:divsChild>
        <w:div w:id="350955940">
          <w:marLeft w:val="0"/>
          <w:marRight w:val="0"/>
          <w:marTop w:val="0"/>
          <w:marBottom w:val="0"/>
          <w:divBdr>
            <w:top w:val="none" w:sz="0" w:space="0" w:color="auto"/>
            <w:left w:val="none" w:sz="0" w:space="0" w:color="auto"/>
            <w:bottom w:val="none" w:sz="0" w:space="0" w:color="auto"/>
            <w:right w:val="none" w:sz="0" w:space="0" w:color="auto"/>
          </w:divBdr>
          <w:divsChild>
            <w:div w:id="415328517">
              <w:marLeft w:val="0"/>
              <w:marRight w:val="0"/>
              <w:marTop w:val="0"/>
              <w:marBottom w:val="0"/>
              <w:divBdr>
                <w:top w:val="none" w:sz="0" w:space="0" w:color="auto"/>
                <w:left w:val="none" w:sz="0" w:space="0" w:color="auto"/>
                <w:bottom w:val="none" w:sz="0" w:space="0" w:color="auto"/>
                <w:right w:val="none" w:sz="0" w:space="0" w:color="auto"/>
              </w:divBdr>
              <w:divsChild>
                <w:div w:id="800264397">
                  <w:marLeft w:val="0"/>
                  <w:marRight w:val="0"/>
                  <w:marTop w:val="0"/>
                  <w:marBottom w:val="0"/>
                  <w:divBdr>
                    <w:top w:val="none" w:sz="0" w:space="0" w:color="auto"/>
                    <w:left w:val="none" w:sz="0" w:space="0" w:color="auto"/>
                    <w:bottom w:val="none" w:sz="0" w:space="0" w:color="auto"/>
                    <w:right w:val="none" w:sz="0" w:space="0" w:color="auto"/>
                  </w:divBdr>
                  <w:divsChild>
                    <w:div w:id="336932635">
                      <w:marLeft w:val="0"/>
                      <w:marRight w:val="0"/>
                      <w:marTop w:val="0"/>
                      <w:marBottom w:val="0"/>
                      <w:divBdr>
                        <w:top w:val="none" w:sz="0" w:space="0" w:color="auto"/>
                        <w:left w:val="none" w:sz="0" w:space="0" w:color="auto"/>
                        <w:bottom w:val="none" w:sz="0" w:space="0" w:color="auto"/>
                        <w:right w:val="none" w:sz="0" w:space="0" w:color="auto"/>
                      </w:divBdr>
                      <w:divsChild>
                        <w:div w:id="300043156">
                          <w:marLeft w:val="0"/>
                          <w:marRight w:val="0"/>
                          <w:marTop w:val="0"/>
                          <w:marBottom w:val="0"/>
                          <w:divBdr>
                            <w:top w:val="none" w:sz="0" w:space="0" w:color="auto"/>
                            <w:left w:val="none" w:sz="0" w:space="0" w:color="auto"/>
                            <w:bottom w:val="none" w:sz="0" w:space="0" w:color="auto"/>
                            <w:right w:val="none" w:sz="0" w:space="0" w:color="auto"/>
                          </w:divBdr>
                          <w:divsChild>
                            <w:div w:id="273678370">
                              <w:marLeft w:val="0"/>
                              <w:marRight w:val="0"/>
                              <w:marTop w:val="0"/>
                              <w:marBottom w:val="0"/>
                              <w:divBdr>
                                <w:top w:val="none" w:sz="0" w:space="0" w:color="auto"/>
                                <w:left w:val="none" w:sz="0" w:space="0" w:color="auto"/>
                                <w:bottom w:val="none" w:sz="0" w:space="0" w:color="auto"/>
                                <w:right w:val="none" w:sz="0" w:space="0" w:color="auto"/>
                              </w:divBdr>
                              <w:divsChild>
                                <w:div w:id="168838026">
                                  <w:marLeft w:val="0"/>
                                  <w:marRight w:val="0"/>
                                  <w:marTop w:val="0"/>
                                  <w:marBottom w:val="0"/>
                                  <w:divBdr>
                                    <w:top w:val="none" w:sz="0" w:space="0" w:color="auto"/>
                                    <w:left w:val="none" w:sz="0" w:space="0" w:color="auto"/>
                                    <w:bottom w:val="none" w:sz="0" w:space="0" w:color="auto"/>
                                    <w:right w:val="none" w:sz="0" w:space="0" w:color="auto"/>
                                  </w:divBdr>
                                  <w:divsChild>
                                    <w:div w:id="258368242">
                                      <w:marLeft w:val="0"/>
                                      <w:marRight w:val="0"/>
                                      <w:marTop w:val="0"/>
                                      <w:marBottom w:val="0"/>
                                      <w:divBdr>
                                        <w:top w:val="none" w:sz="0" w:space="0" w:color="auto"/>
                                        <w:left w:val="none" w:sz="0" w:space="0" w:color="auto"/>
                                        <w:bottom w:val="none" w:sz="0" w:space="0" w:color="auto"/>
                                        <w:right w:val="none" w:sz="0" w:space="0" w:color="auto"/>
                                      </w:divBdr>
                                      <w:divsChild>
                                        <w:div w:id="1576238800">
                                          <w:marLeft w:val="0"/>
                                          <w:marRight w:val="0"/>
                                          <w:marTop w:val="0"/>
                                          <w:marBottom w:val="0"/>
                                          <w:divBdr>
                                            <w:top w:val="none" w:sz="0" w:space="0" w:color="auto"/>
                                            <w:left w:val="none" w:sz="0" w:space="0" w:color="auto"/>
                                            <w:bottom w:val="none" w:sz="0" w:space="0" w:color="auto"/>
                                            <w:right w:val="none" w:sz="0" w:space="0" w:color="auto"/>
                                          </w:divBdr>
                                          <w:divsChild>
                                            <w:div w:id="7861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5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0197-F562-4BDA-8A75-0CB6E874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8448</Words>
  <Characters>51606</Characters>
  <Application>Microsoft Office Word</Application>
  <DocSecurity>0</DocSecurity>
  <Lines>430</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protocol to guide the assessment of  [name of intervention]</vt:lpstr>
      <vt:lpstr>Draft protocol to guide the assessment of  [name of intervention]</vt:lpstr>
    </vt:vector>
  </TitlesOfParts>
  <Company>University of Sydney</Company>
  <LinksUpToDate>false</LinksUpToDate>
  <CharactersWithSpaces>59935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[name of intervention]</dc:title>
  <dc:creator>Liliana Bulfone</dc:creator>
  <cp:lastModifiedBy>Gosewinckel Sally</cp:lastModifiedBy>
  <cp:revision>8</cp:revision>
  <cp:lastPrinted>2017-05-30T04:43:00Z</cp:lastPrinted>
  <dcterms:created xsi:type="dcterms:W3CDTF">2017-05-30T06:30:00Z</dcterms:created>
  <dcterms:modified xsi:type="dcterms:W3CDTF">2017-05-30T07:47:00Z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