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98" w:rsidRPr="003141CC" w:rsidRDefault="00711298" w:rsidP="003141CC">
      <w:pPr>
        <w:pStyle w:val="AB-podstawowy"/>
      </w:pPr>
    </w:p>
    <w:p w:rsidR="00A42CAD" w:rsidRDefault="00711298" w:rsidP="00E25CE4">
      <w:pPr>
        <w:jc w:val="center"/>
        <w:rPr>
          <w:rFonts w:cs="Arial"/>
          <w:b/>
          <w:sz w:val="48"/>
          <w:szCs w:val="48"/>
        </w:rPr>
      </w:pPr>
      <w:r w:rsidRPr="003D062F">
        <w:rPr>
          <w:rFonts w:cs="Arial"/>
          <w:b/>
          <w:sz w:val="48"/>
          <w:szCs w:val="48"/>
        </w:rPr>
        <w:t>Applicant Submitted Protocol</w:t>
      </w:r>
    </w:p>
    <w:p w:rsidR="00732394" w:rsidRPr="003D062F" w:rsidRDefault="001C6178" w:rsidP="00E25CE4">
      <w:pPr>
        <w:jc w:val="center"/>
        <w:rPr>
          <w:rFonts w:cs="Arial"/>
          <w:b/>
          <w:sz w:val="48"/>
          <w:szCs w:val="48"/>
        </w:rPr>
      </w:pPr>
      <w:proofErr w:type="gramStart"/>
      <w:r w:rsidRPr="003D062F">
        <w:rPr>
          <w:rFonts w:cs="Arial"/>
          <w:b/>
          <w:sz w:val="48"/>
          <w:szCs w:val="48"/>
        </w:rPr>
        <w:t>f</w:t>
      </w:r>
      <w:r w:rsidR="00711298" w:rsidRPr="003D062F">
        <w:rPr>
          <w:rFonts w:cs="Arial"/>
          <w:b/>
          <w:sz w:val="48"/>
          <w:szCs w:val="48"/>
        </w:rPr>
        <w:t>or</w:t>
      </w:r>
      <w:proofErr w:type="gramEnd"/>
    </w:p>
    <w:p w:rsidR="00732394" w:rsidRDefault="000C3A0F" w:rsidP="00E25CE4">
      <w:pPr>
        <w:jc w:val="center"/>
        <w:rPr>
          <w:rFonts w:cs="Arial"/>
          <w:b/>
          <w:sz w:val="48"/>
          <w:szCs w:val="48"/>
        </w:rPr>
      </w:pPr>
      <w:r w:rsidRPr="000C3A0F">
        <w:rPr>
          <w:rFonts w:cs="Arial"/>
          <w:b/>
          <w:sz w:val="48"/>
          <w:szCs w:val="48"/>
        </w:rPr>
        <w:t>Gastric Contractility Modulation (GCM) therapy for patients with Type 2 Diabetes with Obesity</w:t>
      </w:r>
    </w:p>
    <w:p w:rsidR="00A42CAD" w:rsidRDefault="00A42CAD" w:rsidP="00E25CE4">
      <w:pPr>
        <w:jc w:val="center"/>
        <w:rPr>
          <w:rFonts w:cs="Arial"/>
          <w:b/>
          <w:sz w:val="48"/>
          <w:szCs w:val="48"/>
        </w:rPr>
      </w:pPr>
    </w:p>
    <w:p w:rsidR="00732394" w:rsidRPr="003D062F" w:rsidRDefault="00732394" w:rsidP="00E25CE4">
      <w:pPr>
        <w:jc w:val="center"/>
        <w:rPr>
          <w:rFonts w:cs="Arial"/>
          <w:b/>
          <w:sz w:val="48"/>
          <w:szCs w:val="48"/>
        </w:rPr>
      </w:pPr>
    </w:p>
    <w:p w:rsidR="00732394" w:rsidRPr="003D062F" w:rsidRDefault="001C6178" w:rsidP="00E25CE4">
      <w:pPr>
        <w:jc w:val="center"/>
        <w:rPr>
          <w:rFonts w:cs="Arial"/>
          <w:b/>
          <w:sz w:val="48"/>
          <w:szCs w:val="48"/>
        </w:rPr>
      </w:pPr>
      <w:r w:rsidRPr="003D062F">
        <w:rPr>
          <w:rFonts w:cs="Arial"/>
          <w:b/>
          <w:sz w:val="48"/>
          <w:szCs w:val="48"/>
        </w:rPr>
        <w:t>Medical Services Advisory Committee</w:t>
      </w:r>
    </w:p>
    <w:p w:rsidR="008B5AB2" w:rsidRPr="003D062F" w:rsidRDefault="001C6178" w:rsidP="00E25CE4">
      <w:pPr>
        <w:jc w:val="center"/>
        <w:rPr>
          <w:rFonts w:cs="Arial"/>
          <w:b/>
          <w:sz w:val="48"/>
          <w:szCs w:val="48"/>
        </w:rPr>
      </w:pPr>
      <w:r w:rsidRPr="003D062F">
        <w:rPr>
          <w:rFonts w:cs="Arial"/>
          <w:b/>
          <w:sz w:val="48"/>
          <w:szCs w:val="48"/>
        </w:rPr>
        <w:t xml:space="preserve">Application </w:t>
      </w:r>
      <w:r w:rsidR="000C3A0F">
        <w:rPr>
          <w:rFonts w:cs="Arial"/>
          <w:b/>
          <w:sz w:val="48"/>
          <w:szCs w:val="48"/>
        </w:rPr>
        <w:t>1386</w:t>
      </w:r>
    </w:p>
    <w:p w:rsidR="001C6178" w:rsidRPr="003D062F" w:rsidRDefault="001C6178" w:rsidP="00E25CE4">
      <w:pPr>
        <w:jc w:val="center"/>
        <w:rPr>
          <w:rFonts w:cs="Arial"/>
          <w:b/>
          <w:sz w:val="48"/>
          <w:szCs w:val="48"/>
        </w:rPr>
      </w:pPr>
    </w:p>
    <w:p w:rsidR="001C6178" w:rsidRPr="003D062F" w:rsidRDefault="001C6178" w:rsidP="00E25CE4">
      <w:pPr>
        <w:jc w:val="center"/>
        <w:rPr>
          <w:rFonts w:cs="Arial"/>
          <w:b/>
          <w:sz w:val="48"/>
          <w:szCs w:val="48"/>
        </w:rPr>
      </w:pPr>
      <w:r w:rsidRPr="003D062F">
        <w:rPr>
          <w:rFonts w:cs="Arial"/>
          <w:b/>
          <w:sz w:val="48"/>
          <w:szCs w:val="48"/>
        </w:rPr>
        <w:t xml:space="preserve">For </w:t>
      </w:r>
      <w:r w:rsidR="00F6075B">
        <w:rPr>
          <w:rFonts w:cs="Arial"/>
          <w:b/>
          <w:sz w:val="48"/>
          <w:szCs w:val="48"/>
        </w:rPr>
        <w:t>C</w:t>
      </w:r>
      <w:r w:rsidRPr="003D062F">
        <w:rPr>
          <w:rFonts w:cs="Arial"/>
          <w:b/>
          <w:sz w:val="48"/>
          <w:szCs w:val="48"/>
        </w:rPr>
        <w:t>onsideration by the</w:t>
      </w:r>
    </w:p>
    <w:p w:rsidR="001C6178" w:rsidRPr="003D062F" w:rsidRDefault="001C6178" w:rsidP="00E25CE4">
      <w:pPr>
        <w:jc w:val="center"/>
        <w:rPr>
          <w:rFonts w:cs="Arial"/>
          <w:b/>
          <w:sz w:val="48"/>
          <w:szCs w:val="48"/>
        </w:rPr>
      </w:pPr>
      <w:r w:rsidRPr="003D062F">
        <w:rPr>
          <w:rFonts w:cs="Arial"/>
          <w:b/>
          <w:sz w:val="48"/>
          <w:szCs w:val="48"/>
        </w:rPr>
        <w:t>Protocol Advisory Sub-Committee (PASC)</w:t>
      </w:r>
    </w:p>
    <w:p w:rsidR="00732394" w:rsidRPr="003D062F" w:rsidRDefault="00732394" w:rsidP="00E25CE4">
      <w:pPr>
        <w:jc w:val="center"/>
        <w:rPr>
          <w:sz w:val="24"/>
          <w:szCs w:val="24"/>
        </w:rPr>
      </w:pPr>
    </w:p>
    <w:p w:rsidR="00543268" w:rsidRDefault="00B44B57" w:rsidP="00E25CE4">
      <w:pPr>
        <w:jc w:val="center"/>
        <w:rPr>
          <w:rFonts w:cs="Arial"/>
          <w:b/>
          <w:sz w:val="48"/>
          <w:szCs w:val="48"/>
        </w:rPr>
      </w:pPr>
      <w:r>
        <w:rPr>
          <w:rFonts w:cs="Arial"/>
          <w:b/>
          <w:sz w:val="48"/>
          <w:szCs w:val="48"/>
        </w:rPr>
        <w:t>February 2015</w:t>
      </w:r>
    </w:p>
    <w:p w:rsidR="00E25CE4" w:rsidRDefault="00E25CE4" w:rsidP="00902269">
      <w:pPr>
        <w:jc w:val="center"/>
        <w:outlineLvl w:val="0"/>
        <w:rPr>
          <w:rFonts w:ascii="Arial" w:hAnsi="Arial" w:cs="Arial"/>
          <w:b/>
          <w:sz w:val="48"/>
          <w:szCs w:val="48"/>
        </w:rPr>
        <w:sectPr w:rsidR="00E25CE4" w:rsidSect="003D4BB3">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276" w:left="1418" w:header="708" w:footer="708" w:gutter="0"/>
          <w:cols w:space="708"/>
          <w:titlePg/>
          <w:docGrid w:linePitch="360"/>
        </w:sectPr>
      </w:pPr>
    </w:p>
    <w:sdt>
      <w:sdtPr>
        <w:rPr>
          <w:rFonts w:asciiTheme="minorHAnsi" w:eastAsiaTheme="minorHAnsi" w:hAnsiTheme="minorHAnsi" w:cstheme="minorBidi"/>
          <w:b w:val="0"/>
          <w:bCs w:val="0"/>
          <w:color w:val="auto"/>
          <w:sz w:val="22"/>
          <w:szCs w:val="22"/>
          <w:lang w:val="en-AU" w:eastAsia="en-US"/>
        </w:rPr>
        <w:id w:val="-746347146"/>
        <w:docPartObj>
          <w:docPartGallery w:val="Table of Contents"/>
          <w:docPartUnique/>
        </w:docPartObj>
      </w:sdtPr>
      <w:sdtEndPr>
        <w:rPr>
          <w:noProof/>
        </w:rPr>
      </w:sdtEndPr>
      <w:sdtContent>
        <w:p w:rsidR="003D4BB3" w:rsidRDefault="003D4BB3">
          <w:pPr>
            <w:pStyle w:val="TOCHeading"/>
          </w:pPr>
          <w:r>
            <w:t>Table of Contents</w:t>
          </w:r>
        </w:p>
        <w:p w:rsidR="006A3EB8" w:rsidRDefault="0052566B">
          <w:pPr>
            <w:pStyle w:val="TOC1"/>
            <w:tabs>
              <w:tab w:val="left" w:pos="440"/>
              <w:tab w:val="right" w:leader="dot" w:pos="9038"/>
            </w:tabs>
            <w:rPr>
              <w:rFonts w:eastAsiaTheme="minorEastAsia"/>
              <w:noProof/>
              <w:lang w:eastAsia="en-AU"/>
            </w:rPr>
          </w:pPr>
          <w:r>
            <w:fldChar w:fldCharType="begin"/>
          </w:r>
          <w:r w:rsidR="003D4BB3">
            <w:instrText xml:space="preserve"> TOC \o "1-3" \h \z \u </w:instrText>
          </w:r>
          <w:r>
            <w:fldChar w:fldCharType="separate"/>
          </w:r>
          <w:hyperlink w:anchor="_Toc398209593" w:history="1">
            <w:r w:rsidR="006A3EB8" w:rsidRPr="00F8798A">
              <w:rPr>
                <w:rStyle w:val="Hyperlink"/>
                <w:noProof/>
              </w:rPr>
              <w:t>1)</w:t>
            </w:r>
            <w:r w:rsidR="006A3EB8">
              <w:rPr>
                <w:rFonts w:eastAsiaTheme="minorEastAsia"/>
                <w:noProof/>
                <w:lang w:eastAsia="en-AU"/>
              </w:rPr>
              <w:tab/>
            </w:r>
            <w:r w:rsidR="006A3EB8" w:rsidRPr="00F8798A">
              <w:rPr>
                <w:rStyle w:val="Hyperlink"/>
                <w:noProof/>
              </w:rPr>
              <w:t>Title of Application</w:t>
            </w:r>
            <w:r w:rsidR="006A3EB8">
              <w:rPr>
                <w:noProof/>
                <w:webHidden/>
              </w:rPr>
              <w:tab/>
            </w:r>
            <w:r w:rsidR="006A3EB8">
              <w:rPr>
                <w:noProof/>
                <w:webHidden/>
              </w:rPr>
              <w:fldChar w:fldCharType="begin"/>
            </w:r>
            <w:r w:rsidR="006A3EB8">
              <w:rPr>
                <w:noProof/>
                <w:webHidden/>
              </w:rPr>
              <w:instrText xml:space="preserve"> PAGEREF _Toc398209593 \h </w:instrText>
            </w:r>
            <w:r w:rsidR="006A3EB8">
              <w:rPr>
                <w:noProof/>
                <w:webHidden/>
              </w:rPr>
            </w:r>
            <w:r w:rsidR="006A3EB8">
              <w:rPr>
                <w:noProof/>
                <w:webHidden/>
              </w:rPr>
              <w:fldChar w:fldCharType="separate"/>
            </w:r>
            <w:r w:rsidR="008B567B">
              <w:rPr>
                <w:noProof/>
                <w:webHidden/>
              </w:rPr>
              <w:t>1</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594" w:history="1">
            <w:r w:rsidR="006A3EB8" w:rsidRPr="00F8798A">
              <w:rPr>
                <w:rStyle w:val="Hyperlink"/>
                <w:noProof/>
              </w:rPr>
              <w:t>2)</w:t>
            </w:r>
            <w:r w:rsidR="006A3EB8">
              <w:rPr>
                <w:rFonts w:eastAsiaTheme="minorEastAsia"/>
                <w:noProof/>
                <w:lang w:eastAsia="en-AU"/>
              </w:rPr>
              <w:tab/>
            </w:r>
            <w:r w:rsidR="006A3EB8" w:rsidRPr="00F8798A">
              <w:rPr>
                <w:rStyle w:val="Hyperlink"/>
                <w:noProof/>
              </w:rPr>
              <w:t>Purpose of application</w:t>
            </w:r>
            <w:r w:rsidR="006A3EB8">
              <w:rPr>
                <w:noProof/>
                <w:webHidden/>
              </w:rPr>
              <w:tab/>
            </w:r>
            <w:r w:rsidR="006A3EB8">
              <w:rPr>
                <w:noProof/>
                <w:webHidden/>
              </w:rPr>
              <w:fldChar w:fldCharType="begin"/>
            </w:r>
            <w:r w:rsidR="006A3EB8">
              <w:rPr>
                <w:noProof/>
                <w:webHidden/>
              </w:rPr>
              <w:instrText xml:space="preserve"> PAGEREF _Toc398209594 \h </w:instrText>
            </w:r>
            <w:r w:rsidR="006A3EB8">
              <w:rPr>
                <w:noProof/>
                <w:webHidden/>
              </w:rPr>
            </w:r>
            <w:r w:rsidR="006A3EB8">
              <w:rPr>
                <w:noProof/>
                <w:webHidden/>
              </w:rPr>
              <w:fldChar w:fldCharType="separate"/>
            </w:r>
            <w:r w:rsidR="008B567B">
              <w:rPr>
                <w:noProof/>
                <w:webHidden/>
              </w:rPr>
              <w:t>1</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595" w:history="1">
            <w:r w:rsidR="006A3EB8" w:rsidRPr="00F8798A">
              <w:rPr>
                <w:rStyle w:val="Hyperlink"/>
                <w:noProof/>
              </w:rPr>
              <w:t>3)</w:t>
            </w:r>
            <w:r w:rsidR="006A3EB8">
              <w:rPr>
                <w:rFonts w:eastAsiaTheme="minorEastAsia"/>
                <w:noProof/>
                <w:lang w:eastAsia="en-AU"/>
              </w:rPr>
              <w:tab/>
            </w:r>
            <w:r w:rsidR="006A3EB8" w:rsidRPr="00F8798A">
              <w:rPr>
                <w:rStyle w:val="Hyperlink"/>
                <w:noProof/>
              </w:rPr>
              <w:t>Population and medical condition eligible for the proposed medical services</w:t>
            </w:r>
            <w:r w:rsidR="006A3EB8">
              <w:rPr>
                <w:noProof/>
                <w:webHidden/>
              </w:rPr>
              <w:tab/>
            </w:r>
            <w:r w:rsidR="006A3EB8">
              <w:rPr>
                <w:noProof/>
                <w:webHidden/>
              </w:rPr>
              <w:fldChar w:fldCharType="begin"/>
            </w:r>
            <w:r w:rsidR="006A3EB8">
              <w:rPr>
                <w:noProof/>
                <w:webHidden/>
              </w:rPr>
              <w:instrText xml:space="preserve"> PAGEREF _Toc398209595 \h </w:instrText>
            </w:r>
            <w:r w:rsidR="006A3EB8">
              <w:rPr>
                <w:noProof/>
                <w:webHidden/>
              </w:rPr>
            </w:r>
            <w:r w:rsidR="006A3EB8">
              <w:rPr>
                <w:noProof/>
                <w:webHidden/>
              </w:rPr>
              <w:fldChar w:fldCharType="separate"/>
            </w:r>
            <w:r w:rsidR="008B567B">
              <w:rPr>
                <w:noProof/>
                <w:webHidden/>
              </w:rPr>
              <w:t>3</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596" w:history="1">
            <w:r w:rsidR="006A3EB8" w:rsidRPr="00F8798A">
              <w:rPr>
                <w:rStyle w:val="Hyperlink"/>
                <w:noProof/>
              </w:rPr>
              <w:t>4)</w:t>
            </w:r>
            <w:r w:rsidR="006A3EB8">
              <w:rPr>
                <w:rFonts w:eastAsiaTheme="minorEastAsia"/>
                <w:noProof/>
                <w:lang w:eastAsia="en-AU"/>
              </w:rPr>
              <w:tab/>
            </w:r>
            <w:r w:rsidR="006A3EB8" w:rsidRPr="00F8798A">
              <w:rPr>
                <w:rStyle w:val="Hyperlink"/>
                <w:noProof/>
              </w:rPr>
              <w:t>Intervention – proposed medical service</w:t>
            </w:r>
            <w:r w:rsidR="006A3EB8">
              <w:rPr>
                <w:noProof/>
                <w:webHidden/>
              </w:rPr>
              <w:tab/>
            </w:r>
            <w:r w:rsidR="006A3EB8">
              <w:rPr>
                <w:noProof/>
                <w:webHidden/>
              </w:rPr>
              <w:fldChar w:fldCharType="begin"/>
            </w:r>
            <w:r w:rsidR="006A3EB8">
              <w:rPr>
                <w:noProof/>
                <w:webHidden/>
              </w:rPr>
              <w:instrText xml:space="preserve"> PAGEREF _Toc398209596 \h </w:instrText>
            </w:r>
            <w:r w:rsidR="006A3EB8">
              <w:rPr>
                <w:noProof/>
                <w:webHidden/>
              </w:rPr>
            </w:r>
            <w:r w:rsidR="006A3EB8">
              <w:rPr>
                <w:noProof/>
                <w:webHidden/>
              </w:rPr>
              <w:fldChar w:fldCharType="separate"/>
            </w:r>
            <w:r w:rsidR="008B567B">
              <w:rPr>
                <w:noProof/>
                <w:webHidden/>
              </w:rPr>
              <w:t>7</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597" w:history="1">
            <w:r w:rsidR="006A3EB8" w:rsidRPr="00F8798A">
              <w:rPr>
                <w:rStyle w:val="Hyperlink"/>
                <w:noProof/>
              </w:rPr>
              <w:t>5)</w:t>
            </w:r>
            <w:r w:rsidR="006A3EB8">
              <w:rPr>
                <w:rFonts w:eastAsiaTheme="minorEastAsia"/>
                <w:noProof/>
                <w:lang w:eastAsia="en-AU"/>
              </w:rPr>
              <w:tab/>
            </w:r>
            <w:r w:rsidR="006A3EB8" w:rsidRPr="00F8798A">
              <w:rPr>
                <w:rStyle w:val="Hyperlink"/>
                <w:noProof/>
              </w:rPr>
              <w:t>Co-dependent information (if not a co-dependent application go to Section 6)</w:t>
            </w:r>
            <w:r w:rsidR="006A3EB8">
              <w:rPr>
                <w:noProof/>
                <w:webHidden/>
              </w:rPr>
              <w:tab/>
            </w:r>
            <w:r w:rsidR="006A3EB8">
              <w:rPr>
                <w:noProof/>
                <w:webHidden/>
              </w:rPr>
              <w:fldChar w:fldCharType="begin"/>
            </w:r>
            <w:r w:rsidR="006A3EB8">
              <w:rPr>
                <w:noProof/>
                <w:webHidden/>
              </w:rPr>
              <w:instrText xml:space="preserve"> PAGEREF _Toc398209597 \h </w:instrText>
            </w:r>
            <w:r w:rsidR="006A3EB8">
              <w:rPr>
                <w:noProof/>
                <w:webHidden/>
              </w:rPr>
            </w:r>
            <w:r w:rsidR="006A3EB8">
              <w:rPr>
                <w:noProof/>
                <w:webHidden/>
              </w:rPr>
              <w:fldChar w:fldCharType="separate"/>
            </w:r>
            <w:r w:rsidR="008B567B">
              <w:rPr>
                <w:noProof/>
                <w:webHidden/>
              </w:rPr>
              <w:t>4</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598" w:history="1">
            <w:r w:rsidR="006A3EB8" w:rsidRPr="00F8798A">
              <w:rPr>
                <w:rStyle w:val="Hyperlink"/>
                <w:noProof/>
              </w:rPr>
              <w:t>6)</w:t>
            </w:r>
            <w:r w:rsidR="006A3EB8">
              <w:rPr>
                <w:rFonts w:eastAsiaTheme="minorEastAsia"/>
                <w:noProof/>
                <w:lang w:eastAsia="en-AU"/>
              </w:rPr>
              <w:tab/>
            </w:r>
            <w:r w:rsidR="006A3EB8" w:rsidRPr="00F8798A">
              <w:rPr>
                <w:rStyle w:val="Hyperlink"/>
                <w:noProof/>
              </w:rPr>
              <w:t>Comparator – clinical claim for the proposed medical service</w:t>
            </w:r>
            <w:r w:rsidR="006A3EB8">
              <w:rPr>
                <w:noProof/>
                <w:webHidden/>
              </w:rPr>
              <w:tab/>
            </w:r>
            <w:r w:rsidR="006A3EB8">
              <w:rPr>
                <w:noProof/>
                <w:webHidden/>
              </w:rPr>
              <w:fldChar w:fldCharType="begin"/>
            </w:r>
            <w:r w:rsidR="006A3EB8">
              <w:rPr>
                <w:noProof/>
                <w:webHidden/>
              </w:rPr>
              <w:instrText xml:space="preserve"> PAGEREF _Toc398209598 \h </w:instrText>
            </w:r>
            <w:r w:rsidR="006A3EB8">
              <w:rPr>
                <w:noProof/>
                <w:webHidden/>
              </w:rPr>
            </w:r>
            <w:r w:rsidR="006A3EB8">
              <w:rPr>
                <w:noProof/>
                <w:webHidden/>
              </w:rPr>
              <w:fldChar w:fldCharType="separate"/>
            </w:r>
            <w:r w:rsidR="008B567B">
              <w:rPr>
                <w:noProof/>
                <w:webHidden/>
              </w:rPr>
              <w:t>5</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599" w:history="1">
            <w:r w:rsidR="006A3EB8" w:rsidRPr="00F8798A">
              <w:rPr>
                <w:rStyle w:val="Hyperlink"/>
                <w:noProof/>
              </w:rPr>
              <w:t>7)</w:t>
            </w:r>
            <w:r w:rsidR="006A3EB8">
              <w:rPr>
                <w:rFonts w:eastAsiaTheme="minorEastAsia"/>
                <w:noProof/>
                <w:lang w:eastAsia="en-AU"/>
              </w:rPr>
              <w:tab/>
            </w:r>
            <w:r w:rsidR="006A3EB8" w:rsidRPr="00F8798A">
              <w:rPr>
                <w:rStyle w:val="Hyperlink"/>
                <w:noProof/>
              </w:rPr>
              <w:t>Expected health outcomes relating to the medical service</w:t>
            </w:r>
            <w:r w:rsidR="006A3EB8">
              <w:rPr>
                <w:noProof/>
                <w:webHidden/>
              </w:rPr>
              <w:tab/>
            </w:r>
            <w:r w:rsidR="006A3EB8">
              <w:rPr>
                <w:noProof/>
                <w:webHidden/>
              </w:rPr>
              <w:fldChar w:fldCharType="begin"/>
            </w:r>
            <w:r w:rsidR="006A3EB8">
              <w:rPr>
                <w:noProof/>
                <w:webHidden/>
              </w:rPr>
              <w:instrText xml:space="preserve"> PAGEREF _Toc398209599 \h </w:instrText>
            </w:r>
            <w:r w:rsidR="006A3EB8">
              <w:rPr>
                <w:noProof/>
                <w:webHidden/>
              </w:rPr>
            </w:r>
            <w:r w:rsidR="006A3EB8">
              <w:rPr>
                <w:noProof/>
                <w:webHidden/>
              </w:rPr>
              <w:fldChar w:fldCharType="separate"/>
            </w:r>
            <w:r w:rsidR="008B567B">
              <w:rPr>
                <w:noProof/>
                <w:webHidden/>
              </w:rPr>
              <w:t>5</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600" w:history="1">
            <w:r w:rsidR="006A3EB8" w:rsidRPr="00F8798A">
              <w:rPr>
                <w:rStyle w:val="Hyperlink"/>
                <w:noProof/>
              </w:rPr>
              <w:t>8)</w:t>
            </w:r>
            <w:r w:rsidR="006A3EB8">
              <w:rPr>
                <w:rFonts w:eastAsiaTheme="minorEastAsia"/>
                <w:noProof/>
                <w:lang w:eastAsia="en-AU"/>
              </w:rPr>
              <w:tab/>
            </w:r>
            <w:r w:rsidR="006A3EB8" w:rsidRPr="00F8798A">
              <w:rPr>
                <w:rStyle w:val="Hyperlink"/>
                <w:noProof/>
              </w:rPr>
              <w:t>Fee for the proposed medical service</w:t>
            </w:r>
            <w:r w:rsidR="006A3EB8">
              <w:rPr>
                <w:noProof/>
                <w:webHidden/>
              </w:rPr>
              <w:tab/>
            </w:r>
            <w:r w:rsidR="006A3EB8">
              <w:rPr>
                <w:noProof/>
                <w:webHidden/>
              </w:rPr>
              <w:fldChar w:fldCharType="begin"/>
            </w:r>
            <w:r w:rsidR="006A3EB8">
              <w:rPr>
                <w:noProof/>
                <w:webHidden/>
              </w:rPr>
              <w:instrText xml:space="preserve"> PAGEREF _Toc398209600 \h </w:instrText>
            </w:r>
            <w:r w:rsidR="006A3EB8">
              <w:rPr>
                <w:noProof/>
                <w:webHidden/>
              </w:rPr>
            </w:r>
            <w:r w:rsidR="006A3EB8">
              <w:rPr>
                <w:noProof/>
                <w:webHidden/>
              </w:rPr>
              <w:fldChar w:fldCharType="separate"/>
            </w:r>
            <w:r w:rsidR="008B567B">
              <w:rPr>
                <w:noProof/>
                <w:webHidden/>
              </w:rPr>
              <w:t>7</w:t>
            </w:r>
            <w:r w:rsidR="006A3EB8">
              <w:rPr>
                <w:noProof/>
                <w:webHidden/>
              </w:rPr>
              <w:fldChar w:fldCharType="end"/>
            </w:r>
          </w:hyperlink>
        </w:p>
        <w:p w:rsidR="006A3EB8" w:rsidRDefault="004C169B">
          <w:pPr>
            <w:pStyle w:val="TOC1"/>
            <w:tabs>
              <w:tab w:val="left" w:pos="440"/>
              <w:tab w:val="right" w:leader="dot" w:pos="9038"/>
            </w:tabs>
            <w:rPr>
              <w:rFonts w:eastAsiaTheme="minorEastAsia"/>
              <w:noProof/>
              <w:lang w:eastAsia="en-AU"/>
            </w:rPr>
          </w:pPr>
          <w:hyperlink w:anchor="_Toc398209601" w:history="1">
            <w:r w:rsidR="006A3EB8" w:rsidRPr="00F8798A">
              <w:rPr>
                <w:rStyle w:val="Hyperlink"/>
                <w:noProof/>
              </w:rPr>
              <w:t>9)</w:t>
            </w:r>
            <w:r w:rsidR="006A3EB8">
              <w:rPr>
                <w:rFonts w:eastAsiaTheme="minorEastAsia"/>
                <w:noProof/>
                <w:lang w:eastAsia="en-AU"/>
              </w:rPr>
              <w:tab/>
            </w:r>
            <w:r w:rsidR="006A3EB8" w:rsidRPr="00F8798A">
              <w:rPr>
                <w:rStyle w:val="Hyperlink"/>
                <w:noProof/>
              </w:rPr>
              <w:t>Clinical Management Algorithm - clinical place for the proposed intervention</w:t>
            </w:r>
            <w:r w:rsidR="006A3EB8">
              <w:rPr>
                <w:noProof/>
                <w:webHidden/>
              </w:rPr>
              <w:tab/>
            </w:r>
            <w:r w:rsidR="006A3EB8">
              <w:rPr>
                <w:noProof/>
                <w:webHidden/>
              </w:rPr>
              <w:fldChar w:fldCharType="begin"/>
            </w:r>
            <w:r w:rsidR="006A3EB8">
              <w:rPr>
                <w:noProof/>
                <w:webHidden/>
              </w:rPr>
              <w:instrText xml:space="preserve"> PAGEREF _Toc398209601 \h </w:instrText>
            </w:r>
            <w:r w:rsidR="006A3EB8">
              <w:rPr>
                <w:noProof/>
                <w:webHidden/>
              </w:rPr>
            </w:r>
            <w:r w:rsidR="006A3EB8">
              <w:rPr>
                <w:noProof/>
                <w:webHidden/>
              </w:rPr>
              <w:fldChar w:fldCharType="separate"/>
            </w:r>
            <w:r w:rsidR="008B567B">
              <w:rPr>
                <w:noProof/>
                <w:webHidden/>
              </w:rPr>
              <w:t>11</w:t>
            </w:r>
            <w:r w:rsidR="006A3EB8">
              <w:rPr>
                <w:noProof/>
                <w:webHidden/>
              </w:rPr>
              <w:fldChar w:fldCharType="end"/>
            </w:r>
          </w:hyperlink>
        </w:p>
        <w:p w:rsidR="006A3EB8" w:rsidRDefault="004C169B">
          <w:pPr>
            <w:pStyle w:val="TOC1"/>
            <w:tabs>
              <w:tab w:val="left" w:pos="660"/>
              <w:tab w:val="right" w:leader="dot" w:pos="9038"/>
            </w:tabs>
            <w:rPr>
              <w:rFonts w:eastAsiaTheme="minorEastAsia"/>
              <w:noProof/>
              <w:lang w:eastAsia="en-AU"/>
            </w:rPr>
          </w:pPr>
          <w:hyperlink w:anchor="_Toc398209602" w:history="1">
            <w:r w:rsidR="006A3EB8" w:rsidRPr="00F8798A">
              <w:rPr>
                <w:rStyle w:val="Hyperlink"/>
                <w:noProof/>
              </w:rPr>
              <w:t>10)</w:t>
            </w:r>
            <w:r w:rsidR="006A3EB8">
              <w:rPr>
                <w:rFonts w:eastAsiaTheme="minorEastAsia"/>
                <w:noProof/>
                <w:lang w:eastAsia="en-AU"/>
              </w:rPr>
              <w:tab/>
            </w:r>
            <w:r w:rsidR="006A3EB8" w:rsidRPr="00F8798A">
              <w:rPr>
                <w:rStyle w:val="Hyperlink"/>
                <w:noProof/>
              </w:rPr>
              <w:t>Regulatory Information</w:t>
            </w:r>
            <w:r w:rsidR="006A3EB8">
              <w:rPr>
                <w:noProof/>
                <w:webHidden/>
              </w:rPr>
              <w:tab/>
            </w:r>
            <w:r w:rsidR="006A3EB8">
              <w:rPr>
                <w:noProof/>
                <w:webHidden/>
              </w:rPr>
              <w:fldChar w:fldCharType="begin"/>
            </w:r>
            <w:r w:rsidR="006A3EB8">
              <w:rPr>
                <w:noProof/>
                <w:webHidden/>
              </w:rPr>
              <w:instrText xml:space="preserve"> PAGEREF _Toc398209602 \h </w:instrText>
            </w:r>
            <w:r w:rsidR="006A3EB8">
              <w:rPr>
                <w:noProof/>
                <w:webHidden/>
              </w:rPr>
            </w:r>
            <w:r w:rsidR="006A3EB8">
              <w:rPr>
                <w:noProof/>
                <w:webHidden/>
              </w:rPr>
              <w:fldChar w:fldCharType="separate"/>
            </w:r>
            <w:r w:rsidR="008B567B">
              <w:rPr>
                <w:noProof/>
                <w:webHidden/>
              </w:rPr>
              <w:t>12</w:t>
            </w:r>
            <w:r w:rsidR="006A3EB8">
              <w:rPr>
                <w:noProof/>
                <w:webHidden/>
              </w:rPr>
              <w:fldChar w:fldCharType="end"/>
            </w:r>
          </w:hyperlink>
        </w:p>
        <w:p w:rsidR="006A3EB8" w:rsidRDefault="004C169B">
          <w:pPr>
            <w:pStyle w:val="TOC1"/>
            <w:tabs>
              <w:tab w:val="left" w:pos="660"/>
              <w:tab w:val="right" w:leader="dot" w:pos="9038"/>
            </w:tabs>
            <w:rPr>
              <w:rFonts w:eastAsiaTheme="minorEastAsia"/>
              <w:noProof/>
              <w:lang w:eastAsia="en-AU"/>
            </w:rPr>
          </w:pPr>
          <w:hyperlink w:anchor="_Toc398209603" w:history="1">
            <w:r w:rsidR="006A3EB8" w:rsidRPr="00F8798A">
              <w:rPr>
                <w:rStyle w:val="Hyperlink"/>
                <w:noProof/>
              </w:rPr>
              <w:t>11)</w:t>
            </w:r>
            <w:r w:rsidR="006A3EB8">
              <w:rPr>
                <w:rFonts w:eastAsiaTheme="minorEastAsia"/>
                <w:noProof/>
                <w:lang w:eastAsia="en-AU"/>
              </w:rPr>
              <w:tab/>
            </w:r>
            <w:r w:rsidR="006A3EB8" w:rsidRPr="00F8798A">
              <w:rPr>
                <w:rStyle w:val="Hyperlink"/>
                <w:noProof/>
              </w:rPr>
              <w:t>Decision analytic</w:t>
            </w:r>
            <w:r w:rsidR="006A3EB8">
              <w:rPr>
                <w:noProof/>
                <w:webHidden/>
              </w:rPr>
              <w:tab/>
            </w:r>
            <w:r w:rsidR="006A3EB8">
              <w:rPr>
                <w:noProof/>
                <w:webHidden/>
              </w:rPr>
              <w:fldChar w:fldCharType="begin"/>
            </w:r>
            <w:r w:rsidR="006A3EB8">
              <w:rPr>
                <w:noProof/>
                <w:webHidden/>
              </w:rPr>
              <w:instrText xml:space="preserve"> PAGEREF _Toc398209603 \h </w:instrText>
            </w:r>
            <w:r w:rsidR="006A3EB8">
              <w:rPr>
                <w:noProof/>
                <w:webHidden/>
              </w:rPr>
            </w:r>
            <w:r w:rsidR="006A3EB8">
              <w:rPr>
                <w:noProof/>
                <w:webHidden/>
              </w:rPr>
              <w:fldChar w:fldCharType="separate"/>
            </w:r>
            <w:r w:rsidR="008B567B">
              <w:rPr>
                <w:noProof/>
                <w:webHidden/>
              </w:rPr>
              <w:t>12</w:t>
            </w:r>
            <w:r w:rsidR="006A3EB8">
              <w:rPr>
                <w:noProof/>
                <w:webHidden/>
              </w:rPr>
              <w:fldChar w:fldCharType="end"/>
            </w:r>
          </w:hyperlink>
        </w:p>
        <w:p w:rsidR="006A3EB8" w:rsidRDefault="004C169B">
          <w:pPr>
            <w:pStyle w:val="TOC1"/>
            <w:tabs>
              <w:tab w:val="left" w:pos="660"/>
              <w:tab w:val="right" w:leader="dot" w:pos="9038"/>
            </w:tabs>
            <w:rPr>
              <w:rFonts w:eastAsiaTheme="minorEastAsia"/>
              <w:noProof/>
              <w:lang w:eastAsia="en-AU"/>
            </w:rPr>
          </w:pPr>
          <w:hyperlink w:anchor="_Toc398209604" w:history="1">
            <w:r w:rsidR="006A3EB8" w:rsidRPr="00F8798A">
              <w:rPr>
                <w:rStyle w:val="Hyperlink"/>
                <w:noProof/>
              </w:rPr>
              <w:t>12)</w:t>
            </w:r>
            <w:r w:rsidR="006A3EB8">
              <w:rPr>
                <w:rFonts w:eastAsiaTheme="minorEastAsia"/>
                <w:noProof/>
                <w:lang w:eastAsia="en-AU"/>
              </w:rPr>
              <w:tab/>
            </w:r>
            <w:r w:rsidR="006A3EB8" w:rsidRPr="00F8798A">
              <w:rPr>
                <w:rStyle w:val="Hyperlink"/>
                <w:noProof/>
              </w:rPr>
              <w:t>Healthcare resources</w:t>
            </w:r>
            <w:r w:rsidR="006A3EB8">
              <w:rPr>
                <w:noProof/>
                <w:webHidden/>
              </w:rPr>
              <w:tab/>
            </w:r>
            <w:r w:rsidR="006A3EB8">
              <w:rPr>
                <w:noProof/>
                <w:webHidden/>
              </w:rPr>
              <w:fldChar w:fldCharType="begin"/>
            </w:r>
            <w:r w:rsidR="006A3EB8">
              <w:rPr>
                <w:noProof/>
                <w:webHidden/>
              </w:rPr>
              <w:instrText xml:space="preserve"> PAGEREF _Toc398209604 \h </w:instrText>
            </w:r>
            <w:r w:rsidR="006A3EB8">
              <w:rPr>
                <w:noProof/>
                <w:webHidden/>
              </w:rPr>
            </w:r>
            <w:r w:rsidR="006A3EB8">
              <w:rPr>
                <w:noProof/>
                <w:webHidden/>
              </w:rPr>
              <w:fldChar w:fldCharType="separate"/>
            </w:r>
            <w:r w:rsidR="008B567B">
              <w:rPr>
                <w:noProof/>
                <w:webHidden/>
              </w:rPr>
              <w:t>13</w:t>
            </w:r>
            <w:r w:rsidR="006A3EB8">
              <w:rPr>
                <w:noProof/>
                <w:webHidden/>
              </w:rPr>
              <w:fldChar w:fldCharType="end"/>
            </w:r>
          </w:hyperlink>
        </w:p>
        <w:p w:rsidR="006A3EB8" w:rsidRDefault="006A3EB8">
          <w:pPr>
            <w:pStyle w:val="TOC1"/>
            <w:tabs>
              <w:tab w:val="left" w:pos="660"/>
              <w:tab w:val="right" w:leader="dot" w:pos="9038"/>
            </w:tabs>
            <w:rPr>
              <w:rFonts w:eastAsiaTheme="minorEastAsia"/>
              <w:noProof/>
              <w:lang w:eastAsia="en-AU"/>
            </w:rPr>
          </w:pPr>
        </w:p>
        <w:p w:rsidR="003D4BB3" w:rsidRDefault="0052566B">
          <w:r>
            <w:rPr>
              <w:b/>
              <w:bCs/>
              <w:noProof/>
            </w:rPr>
            <w:fldChar w:fldCharType="end"/>
          </w:r>
        </w:p>
      </w:sdtContent>
    </w:sdt>
    <w:p w:rsidR="003D4BB3" w:rsidRDefault="003D4BB3" w:rsidP="00902269">
      <w:pPr>
        <w:jc w:val="center"/>
        <w:outlineLvl w:val="0"/>
        <w:rPr>
          <w:rFonts w:ascii="Arial" w:hAnsi="Arial" w:cs="Arial"/>
          <w:b/>
          <w:sz w:val="48"/>
          <w:szCs w:val="48"/>
        </w:rPr>
        <w:sectPr w:rsidR="003D4BB3" w:rsidSect="003D4BB3">
          <w:pgSz w:w="11906" w:h="16838"/>
          <w:pgMar w:top="993" w:right="1440" w:bottom="1276" w:left="1418" w:header="708" w:footer="708" w:gutter="0"/>
          <w:pgNumType w:fmt="lowerRoman" w:start="1"/>
          <w:cols w:space="708"/>
          <w:docGrid w:linePitch="360"/>
        </w:sectPr>
      </w:pPr>
    </w:p>
    <w:p w:rsidR="00BC4EFE" w:rsidRPr="008F6F75" w:rsidRDefault="00BC4EFE" w:rsidP="008F6F75">
      <w:pPr>
        <w:pStyle w:val="Heading1"/>
      </w:pPr>
      <w:bookmarkStart w:id="0" w:name="_Toc398046783"/>
      <w:bookmarkStart w:id="1" w:name="_Toc398209593"/>
      <w:r w:rsidRPr="008F6F75">
        <w:lastRenderedPageBreak/>
        <w:t>Title of Application</w:t>
      </w:r>
      <w:bookmarkEnd w:id="0"/>
      <w:bookmarkEnd w:id="1"/>
    </w:p>
    <w:p w:rsidR="000C3A0F" w:rsidRPr="008F6F75" w:rsidRDefault="000C3A0F" w:rsidP="008F6F75">
      <w:pPr>
        <w:spacing w:after="240"/>
      </w:pPr>
      <w:proofErr w:type="gramStart"/>
      <w:r w:rsidRPr="008F6F75">
        <w:t>Gastric Contractility Modulation (GCM) therapy for pa</w:t>
      </w:r>
      <w:r w:rsidR="00B3295D" w:rsidRPr="008F6F75">
        <w:t>tients with Type 2 Diabetes with</w:t>
      </w:r>
      <w:r w:rsidRPr="008F6F75">
        <w:t xml:space="preserve"> Obesity.</w:t>
      </w:r>
      <w:proofErr w:type="gramEnd"/>
    </w:p>
    <w:p w:rsidR="00BC4EFE" w:rsidRPr="008F6F75" w:rsidRDefault="00BC4EFE" w:rsidP="008F6F75">
      <w:pPr>
        <w:pStyle w:val="Heading1"/>
      </w:pPr>
      <w:bookmarkStart w:id="2" w:name="_Toc398046784"/>
      <w:bookmarkStart w:id="3" w:name="_Toc398209594"/>
      <w:r w:rsidRPr="008F6F75">
        <w:t>Purpose of application</w:t>
      </w:r>
      <w:bookmarkEnd w:id="2"/>
      <w:bookmarkEnd w:id="3"/>
    </w:p>
    <w:p w:rsidR="00F11440" w:rsidRPr="008F6F75" w:rsidRDefault="00BC4EFE" w:rsidP="008F6F75">
      <w:pPr>
        <w:pStyle w:val="Quote"/>
        <w:spacing w:line="276" w:lineRule="auto"/>
        <w:rPr>
          <w:szCs w:val="22"/>
        </w:rPr>
      </w:pPr>
      <w:r w:rsidRPr="008F6F75">
        <w:rPr>
          <w:szCs w:val="22"/>
        </w:rPr>
        <w:t>Please indicate the rationale for the application and provide one abstract or systematic review that will provide background.</w:t>
      </w:r>
    </w:p>
    <w:p w:rsidR="000C3A0F" w:rsidRPr="008F6F75" w:rsidRDefault="000C3A0F" w:rsidP="008F6F75">
      <w:r w:rsidRPr="008F6F75">
        <w:t xml:space="preserve">This application requests the MBS listing of Gastric Contractility Modulation (GCM) therapy for the treatment of </w:t>
      </w:r>
      <w:r w:rsidR="007A4A9F">
        <w:t xml:space="preserve">Type 2 Diabetes Mellitus (T2DM) </w:t>
      </w:r>
      <w:r w:rsidRPr="008F6F75">
        <w:t>patients with obesity, who are inadequately controlled on standard oral glucose lowering (anti-diabetic) therapy, aged ≥ 18 years, have normal triglyceride levels (fasting plasma triglycerides ≤1.7mmol/l</w:t>
      </w:r>
      <w:r w:rsidRPr="008F6F75">
        <w:rPr>
          <w:vertAlign w:val="superscript"/>
        </w:rPr>
        <w:footnoteReference w:id="1"/>
      </w:r>
      <w:r w:rsidRPr="008F6F75">
        <w:t>)</w:t>
      </w:r>
      <w:r w:rsidR="002B1DCA">
        <w:t>,</w:t>
      </w:r>
      <w:r w:rsidRPr="008F6F75">
        <w:t xml:space="preserve"> HbA1c ≥ 7.5%</w:t>
      </w:r>
      <w:r w:rsidR="002B1DCA">
        <w:t xml:space="preserve"> and </w:t>
      </w:r>
      <w:r w:rsidR="002B1DCA" w:rsidRPr="00E73915">
        <w:rPr>
          <w:u w:val="single"/>
        </w:rPr>
        <w:t>&lt;</w:t>
      </w:r>
      <w:r w:rsidR="002B1DCA">
        <w:t>10%</w:t>
      </w:r>
      <w:r w:rsidRPr="008F6F75">
        <w:t xml:space="preserve">. </w:t>
      </w:r>
    </w:p>
    <w:p w:rsidR="00865E84" w:rsidRPr="008F6F75" w:rsidRDefault="00865E84" w:rsidP="008F6F75">
      <w:r w:rsidRPr="008F6F75">
        <w:t xml:space="preserve">The </w:t>
      </w:r>
      <w:r w:rsidR="00AE4C08" w:rsidRPr="008F6F75">
        <w:t>objective</w:t>
      </w:r>
      <w:r w:rsidRPr="008F6F75">
        <w:t xml:space="preserve"> of the submission based assessment (SBA) will be to demonstrate the clinical and cost effectiveness of </w:t>
      </w:r>
      <w:r w:rsidR="00AE4C08" w:rsidRPr="008F6F75">
        <w:t xml:space="preserve">GCM </w:t>
      </w:r>
      <w:r w:rsidR="00B3295D" w:rsidRPr="008F6F75">
        <w:t xml:space="preserve">therapy </w:t>
      </w:r>
      <w:r w:rsidRPr="008F6F75">
        <w:t>in the treatme</w:t>
      </w:r>
      <w:r w:rsidR="00AE4C08" w:rsidRPr="008F6F75">
        <w:t>nt of Type 2 Diabetes with Obesity</w:t>
      </w:r>
      <w:r w:rsidRPr="008F6F75">
        <w:t>.</w:t>
      </w:r>
    </w:p>
    <w:p w:rsidR="0056507B" w:rsidRDefault="00AE4C08" w:rsidP="0056507B">
      <w:r w:rsidRPr="008F6F75">
        <w:t xml:space="preserve">There are currently no published systematic reviews which provide background information on GCM therapy in the proposed population, as </w:t>
      </w:r>
      <w:r w:rsidR="00F807E1" w:rsidRPr="008F6F75">
        <w:t xml:space="preserve">GCM </w:t>
      </w:r>
      <w:r w:rsidRPr="008F6F75">
        <w:t>therapy is</w:t>
      </w:r>
      <w:r w:rsidR="004D0DAD" w:rsidRPr="008F6F75">
        <w:t xml:space="preserve"> a novel treatment</w:t>
      </w:r>
      <w:r w:rsidR="00B3295D" w:rsidRPr="008F6F75">
        <w:t xml:space="preserve">. </w:t>
      </w:r>
      <w:r w:rsidR="0095304C">
        <w:t>It is anticipated that two important studies</w:t>
      </w:r>
      <w:r w:rsidR="00A4174C">
        <w:t xml:space="preserve"> will</w:t>
      </w:r>
      <w:r w:rsidR="0056507B">
        <w:t xml:space="preserve"> be published and therefore be</w:t>
      </w:r>
      <w:r w:rsidR="00A4174C">
        <w:t xml:space="preserve"> available over the </w:t>
      </w:r>
      <w:r w:rsidR="0056507B">
        <w:t>coming</w:t>
      </w:r>
      <w:r w:rsidR="00A4174C">
        <w:t xml:space="preserve"> months</w:t>
      </w:r>
      <w:r w:rsidR="0056507B">
        <w:t xml:space="preserve">. These publications include: (1) a randomised, blinded, 12-month cross over trial; and (2) a 3 year long term extension trial. </w:t>
      </w:r>
      <w:proofErr w:type="spellStart"/>
      <w:r w:rsidR="00A4174C">
        <w:t>MetaCure</w:t>
      </w:r>
      <w:proofErr w:type="spellEnd"/>
      <w:r w:rsidR="00A4174C">
        <w:t xml:space="preserve"> </w:t>
      </w:r>
      <w:r w:rsidR="00A4174C" w:rsidRPr="008F6F75">
        <w:t>Australia Pty Ltd (</w:t>
      </w:r>
      <w:proofErr w:type="spellStart"/>
      <w:r w:rsidR="00A4174C" w:rsidRPr="008F6F75">
        <w:t>MetaCure</w:t>
      </w:r>
      <w:proofErr w:type="spellEnd"/>
      <w:r w:rsidR="00A4174C" w:rsidRPr="008F6F75">
        <w:t>) will ensure that relevant documents are forwarded to the Medical Services Advisory Committee (MSAC)</w:t>
      </w:r>
      <w:r w:rsidR="0056507B">
        <w:t xml:space="preserve"> when they are available</w:t>
      </w:r>
      <w:r w:rsidR="00A4174C" w:rsidRPr="008F6F75">
        <w:t xml:space="preserve">. </w:t>
      </w:r>
    </w:p>
    <w:p w:rsidR="00811AFF" w:rsidRDefault="00D42DB1" w:rsidP="0056507B">
      <w:r>
        <w:t>Original</w:t>
      </w:r>
      <w:r w:rsidR="00811AFF">
        <w:t>ly</w:t>
      </w:r>
      <w:r>
        <w:t xml:space="preserve"> </w:t>
      </w:r>
      <w:r w:rsidR="00026DF8">
        <w:t xml:space="preserve">this </w:t>
      </w:r>
      <w:r>
        <w:t xml:space="preserve">GCM therapy was named </w:t>
      </w:r>
      <w:r w:rsidRPr="00D70F14">
        <w:t>TANTALUS®</w:t>
      </w:r>
      <w:r>
        <w:t xml:space="preserve"> and th</w:t>
      </w:r>
      <w:r w:rsidR="00026DF8">
        <w:t>is</w:t>
      </w:r>
      <w:r>
        <w:t xml:space="preserve"> name is reflected in the early publications. Subsequently, </w:t>
      </w:r>
      <w:r w:rsidR="00026DF8" w:rsidRPr="00D70F14">
        <w:t>TANTALUS®</w:t>
      </w:r>
      <w:r w:rsidR="00026DF8">
        <w:t xml:space="preserve"> </w:t>
      </w:r>
      <w:r>
        <w:t xml:space="preserve">was renamed and approved in Australia as the </w:t>
      </w:r>
      <w:r w:rsidRPr="00E73915">
        <w:rPr>
          <w:i/>
        </w:rPr>
        <w:t>“</w:t>
      </w:r>
      <w:r w:rsidR="006807D4" w:rsidRPr="00E73915">
        <w:rPr>
          <w:i/>
        </w:rPr>
        <w:t>DIAMOND</w:t>
      </w:r>
      <w:r w:rsidRPr="00E73915">
        <w:rPr>
          <w:i/>
        </w:rPr>
        <w:t xml:space="preserve"> (TANTALUS) Gastric Implantable Pulse Generator (IPG) and Charge Coil</w:t>
      </w:r>
      <w:r w:rsidR="006807D4" w:rsidRPr="00E73915">
        <w:rPr>
          <w:i/>
        </w:rPr>
        <w:t xml:space="preserve"> </w:t>
      </w:r>
      <w:r w:rsidRPr="00E73915">
        <w:rPr>
          <w:i/>
        </w:rPr>
        <w:t>(CC) – Gastric contractility modulation system pulse generator”</w:t>
      </w:r>
      <w:r>
        <w:t>. For simplicity</w:t>
      </w:r>
      <w:r w:rsidR="00811AFF">
        <w:t>,</w:t>
      </w:r>
      <w:r>
        <w:t xml:space="preserve"> </w:t>
      </w:r>
      <w:r w:rsidR="00811AFF">
        <w:t xml:space="preserve">the term DIAMOND™ system is used </w:t>
      </w:r>
      <w:r w:rsidR="00026DF8">
        <w:t xml:space="preserve">throughout this DAP </w:t>
      </w:r>
      <w:r w:rsidR="00811AFF">
        <w:t>to describe the device. Th</w:t>
      </w:r>
      <w:r w:rsidR="00026DF8">
        <w:t>is means that</w:t>
      </w:r>
      <w:r w:rsidR="00811AFF">
        <w:t xml:space="preserve"> any publication which in</w:t>
      </w:r>
      <w:r w:rsidR="00026DF8">
        <w:t xml:space="preserve">cludes </w:t>
      </w:r>
      <w:r w:rsidR="00811AFF">
        <w:t xml:space="preserve">any of these names refers to the same device. The name </w:t>
      </w:r>
      <w:r w:rsidR="00811AFF" w:rsidRPr="00E73915">
        <w:t xml:space="preserve">DIAMOND is an acronym for </w:t>
      </w:r>
      <w:r w:rsidR="00811AFF" w:rsidRPr="00E73915">
        <w:rPr>
          <w:i/>
        </w:rPr>
        <w:t>“</w:t>
      </w:r>
      <w:r w:rsidR="00811AFF" w:rsidRPr="00E73915">
        <w:rPr>
          <w:b/>
          <w:i/>
        </w:rPr>
        <w:t>D</w:t>
      </w:r>
      <w:r w:rsidR="00811AFF" w:rsidRPr="00811AFF">
        <w:rPr>
          <w:i/>
        </w:rPr>
        <w:t xml:space="preserve">iabetes </w:t>
      </w:r>
      <w:r w:rsidR="00811AFF" w:rsidRPr="00E73915">
        <w:rPr>
          <w:b/>
          <w:i/>
        </w:rPr>
        <w:t>I</w:t>
      </w:r>
      <w:r w:rsidR="00811AFF" w:rsidRPr="00811AFF">
        <w:rPr>
          <w:i/>
        </w:rPr>
        <w:t xml:space="preserve">mprovement </w:t>
      </w:r>
      <w:proofErr w:type="gramStart"/>
      <w:r w:rsidR="00811AFF" w:rsidRPr="00E73915">
        <w:rPr>
          <w:b/>
          <w:i/>
        </w:rPr>
        <w:t>A</w:t>
      </w:r>
      <w:r w:rsidR="00811AFF" w:rsidRPr="00811AFF">
        <w:rPr>
          <w:i/>
        </w:rPr>
        <w:t>nd</w:t>
      </w:r>
      <w:proofErr w:type="gramEnd"/>
      <w:r w:rsidR="00811AFF" w:rsidRPr="00811AFF">
        <w:rPr>
          <w:i/>
        </w:rPr>
        <w:t xml:space="preserve"> </w:t>
      </w:r>
      <w:proofErr w:type="spellStart"/>
      <w:r w:rsidR="00811AFF" w:rsidRPr="00E73915">
        <w:rPr>
          <w:b/>
          <w:i/>
        </w:rPr>
        <w:t>M</w:t>
      </w:r>
      <w:r w:rsidR="00811AFF" w:rsidRPr="00811AFF">
        <w:rPr>
          <w:i/>
        </w:rPr>
        <w:t>etab</w:t>
      </w:r>
      <w:r w:rsidR="00811AFF" w:rsidRPr="00E73915">
        <w:rPr>
          <w:b/>
          <w:i/>
        </w:rPr>
        <w:t>O</w:t>
      </w:r>
      <w:r w:rsidR="00811AFF" w:rsidRPr="00811AFF">
        <w:rPr>
          <w:i/>
        </w:rPr>
        <w:t>lic</w:t>
      </w:r>
      <w:proofErr w:type="spellEnd"/>
      <w:r w:rsidR="00811AFF" w:rsidRPr="00811AFF">
        <w:rPr>
          <w:i/>
        </w:rPr>
        <w:t xml:space="preserve"> </w:t>
      </w:r>
      <w:r w:rsidR="00811AFF" w:rsidRPr="00E73915">
        <w:rPr>
          <w:b/>
          <w:i/>
        </w:rPr>
        <w:t>N</w:t>
      </w:r>
      <w:r w:rsidR="00811AFF" w:rsidRPr="00811AFF">
        <w:rPr>
          <w:i/>
        </w:rPr>
        <w:t xml:space="preserve">ormalisation </w:t>
      </w:r>
      <w:r w:rsidR="00811AFF" w:rsidRPr="00E73915">
        <w:rPr>
          <w:b/>
          <w:i/>
        </w:rPr>
        <w:t>D</w:t>
      </w:r>
      <w:r w:rsidR="00811AFF" w:rsidRPr="00811AFF">
        <w:rPr>
          <w:i/>
        </w:rPr>
        <w:t>evice</w:t>
      </w:r>
      <w:r w:rsidR="00811AFF" w:rsidRPr="00E73915">
        <w:rPr>
          <w:i/>
        </w:rPr>
        <w:t>”</w:t>
      </w:r>
      <w:r w:rsidR="00811AFF">
        <w:t>.</w:t>
      </w:r>
    </w:p>
    <w:p w:rsidR="00FC11FD" w:rsidRDefault="00D4737D" w:rsidP="0056507B">
      <w:r>
        <w:t xml:space="preserve">The understanding of the mechanism of action and optimal patient targeting of the DIAMOND™ system has evolved over time. In the initial stages of development and clinical research the DIAMOND™ system was viewed as a treatment for weight loss in an obese population. This is reflected in early animal and human studies. </w:t>
      </w:r>
    </w:p>
    <w:p w:rsidR="00FC11FD" w:rsidRDefault="00026DF8" w:rsidP="0056507B">
      <w:r>
        <w:t>Recently,</w:t>
      </w:r>
      <w:r w:rsidR="00D4737D">
        <w:t xml:space="preserve"> the mechanism of action of the </w:t>
      </w:r>
      <w:r>
        <w:t xml:space="preserve">DIAMOND™ </w:t>
      </w:r>
      <w:r w:rsidR="00D4737D">
        <w:t xml:space="preserve">system </w:t>
      </w:r>
      <w:r w:rsidR="00FC11FD">
        <w:t>has become more clearly understood</w:t>
      </w:r>
      <w:r w:rsidR="00A833D1">
        <w:t>. T</w:t>
      </w:r>
      <w:r w:rsidR="00FC11FD">
        <w:t xml:space="preserve">his has improved the understanding of the optimal </w:t>
      </w:r>
      <w:r w:rsidR="00D4737D">
        <w:t>target patient</w:t>
      </w:r>
      <w:r w:rsidR="00FC11FD">
        <w:t xml:space="preserve"> population who will </w:t>
      </w:r>
      <w:r w:rsidR="00D4737D">
        <w:t xml:space="preserve">gain </w:t>
      </w:r>
      <w:r w:rsidR="00FC11FD">
        <w:t xml:space="preserve">the greatest </w:t>
      </w:r>
      <w:r w:rsidR="00D4737D">
        <w:t xml:space="preserve">clinical benefit. </w:t>
      </w:r>
    </w:p>
    <w:p w:rsidR="00FC11FD" w:rsidRDefault="00D4737D" w:rsidP="0056507B">
      <w:r>
        <w:t xml:space="preserve">The DIAMOND™ system is now viewed as a treatment for diabetes in patients with a </w:t>
      </w:r>
      <w:r w:rsidR="00FC11FD">
        <w:t xml:space="preserve">defined </w:t>
      </w:r>
      <w:r>
        <w:t xml:space="preserve">set of risk factors. The focus of treatment is </w:t>
      </w:r>
      <w:r w:rsidR="00FC11FD">
        <w:t xml:space="preserve">to </w:t>
      </w:r>
      <w:r>
        <w:t xml:space="preserve">reduce HbA1c in </w:t>
      </w:r>
      <w:r w:rsidR="00964820">
        <w:t xml:space="preserve">adult </w:t>
      </w:r>
      <w:r>
        <w:t>patients</w:t>
      </w:r>
      <w:r w:rsidR="00FC11FD">
        <w:t>,</w:t>
      </w:r>
      <w:r>
        <w:t xml:space="preserve"> </w:t>
      </w:r>
      <w:r w:rsidR="00FC11FD">
        <w:t>with</w:t>
      </w:r>
      <w:r w:rsidR="000538D0">
        <w:t xml:space="preserve"> elevated HbA1c</w:t>
      </w:r>
      <w:r w:rsidR="00FC11FD">
        <w:t xml:space="preserve">; who have failed </w:t>
      </w:r>
      <w:r w:rsidR="000538D0">
        <w:t xml:space="preserve">oral </w:t>
      </w:r>
      <w:proofErr w:type="spellStart"/>
      <w:r w:rsidR="000538D0">
        <w:t>antidiabetic</w:t>
      </w:r>
      <w:proofErr w:type="spellEnd"/>
      <w:r w:rsidR="000538D0">
        <w:t xml:space="preserve"> treatment;</w:t>
      </w:r>
      <w:r>
        <w:t xml:space="preserve"> have a BMI </w:t>
      </w:r>
      <w:r w:rsidR="00811B00">
        <w:rPr>
          <w:u w:val="single"/>
        </w:rPr>
        <w:t>&gt;</w:t>
      </w:r>
      <w:r>
        <w:t>30</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t xml:space="preserve"> and</w:t>
      </w:r>
      <w:r w:rsidR="000538D0">
        <w:t>;</w:t>
      </w:r>
      <w:r>
        <w:t xml:space="preserve"> have normal triglycerides. With the exception of patients with normal triglycerides, the more recently completed </w:t>
      </w:r>
      <w:r>
        <w:lastRenderedPageBreak/>
        <w:t>pivotal studies specifically enrol this patient population. The additional be</w:t>
      </w:r>
      <w:r w:rsidR="00964820">
        <w:t>n</w:t>
      </w:r>
      <w:r>
        <w:t>efits to patients with normal triglycerides have be</w:t>
      </w:r>
      <w:r w:rsidR="00964820">
        <w:t>en identified in sub</w:t>
      </w:r>
      <w:r w:rsidR="00FC11FD">
        <w:t>-</w:t>
      </w:r>
      <w:r w:rsidR="00964820">
        <w:t>group analys</w:t>
      </w:r>
      <w:r w:rsidR="00E732FF">
        <w:t>e</w:t>
      </w:r>
      <w:r w:rsidR="00964820">
        <w:t>s</w:t>
      </w:r>
      <w:r>
        <w:t>.</w:t>
      </w:r>
      <w:r w:rsidR="00964820">
        <w:t xml:space="preserve"> The primary endpoint in the recent studies</w:t>
      </w:r>
      <w:r w:rsidR="00FC11FD">
        <w:t xml:space="preserve"> is </w:t>
      </w:r>
      <w:r w:rsidR="000538D0">
        <w:t>HbA1c</w:t>
      </w:r>
      <w:r w:rsidR="00FC11FD">
        <w:t>. This is</w:t>
      </w:r>
      <w:r w:rsidR="0087690B">
        <w:t xml:space="preserve"> well recognised as </w:t>
      </w:r>
      <w:r w:rsidR="00FC11FD">
        <w:t xml:space="preserve">the goal of </w:t>
      </w:r>
      <w:r w:rsidR="00964820">
        <w:t>diabetes management.</w:t>
      </w:r>
      <w:r w:rsidR="000538D0">
        <w:t xml:space="preserve"> </w:t>
      </w:r>
    </w:p>
    <w:p w:rsidR="00F93955" w:rsidRDefault="0087690B" w:rsidP="000900B2">
      <w:r>
        <w:t xml:space="preserve">Alternate devices which have </w:t>
      </w:r>
      <w:r w:rsidR="000900B2">
        <w:t>already</w:t>
      </w:r>
      <w:r>
        <w:t xml:space="preserve"> been assessed by PASC and are primarily used for the treatment of obesity</w:t>
      </w:r>
      <w:r w:rsidR="000900B2">
        <w:t xml:space="preserve"> rather than diabetes</w:t>
      </w:r>
      <w:r>
        <w:t xml:space="preserve">, are the </w:t>
      </w:r>
      <w:proofErr w:type="spellStart"/>
      <w:r w:rsidRPr="00D70F14">
        <w:t>EnteroMedics</w:t>
      </w:r>
      <w:proofErr w:type="spellEnd"/>
      <w:r w:rsidRPr="00D70F14">
        <w:t xml:space="preserve"> Maestro</w:t>
      </w:r>
      <w:r>
        <w:t xml:space="preserve"> device (</w:t>
      </w:r>
      <w:r w:rsidR="00B22C66">
        <w:t>DAP 1263) and</w:t>
      </w:r>
      <w:r>
        <w:t xml:space="preserve"> </w:t>
      </w:r>
      <w:r w:rsidR="00A833D1">
        <w:t>GI Dynamics G</w:t>
      </w:r>
      <w:r>
        <w:t>astrointestinal liner “</w:t>
      </w:r>
      <w:proofErr w:type="spellStart"/>
      <w:r>
        <w:t>EndoBarrier</w:t>
      </w:r>
      <w:proofErr w:type="spellEnd"/>
      <w:r>
        <w:t xml:space="preserve">” (DAP </w:t>
      </w:r>
      <w:r>
        <w:rPr>
          <w:lang w:val="en"/>
        </w:rPr>
        <w:t>1367)</w:t>
      </w:r>
      <w:r>
        <w:t>.</w:t>
      </w:r>
      <w:r w:rsidR="004D2A63">
        <w:t xml:space="preserve"> Bariatric surgeries are currently funded under Medicare.</w:t>
      </w:r>
    </w:p>
    <w:p w:rsidR="001771F0" w:rsidRDefault="003A7780" w:rsidP="00F93955">
      <w:r>
        <w:t xml:space="preserve">The DIAMOND™ system and the </w:t>
      </w:r>
      <w:proofErr w:type="spellStart"/>
      <w:r w:rsidRPr="00D70F14">
        <w:t>EnteroMedics</w:t>
      </w:r>
      <w:proofErr w:type="spellEnd"/>
      <w:r w:rsidRPr="00D70F14">
        <w:t xml:space="preserve"> Maestro</w:t>
      </w:r>
      <w:r w:rsidR="0044251E">
        <w:t xml:space="preserve"> device</w:t>
      </w:r>
      <w:r>
        <w:t xml:space="preserve">, have different indications and mechanisms of action. </w:t>
      </w:r>
      <w:r w:rsidR="00F903E8">
        <w:t xml:space="preserve">The </w:t>
      </w:r>
      <w:r w:rsidR="001771F0">
        <w:t xml:space="preserve">ARTG approved </w:t>
      </w:r>
      <w:r w:rsidR="001771F0" w:rsidRPr="00E73915">
        <w:rPr>
          <w:i/>
        </w:rPr>
        <w:t>intended purpose</w:t>
      </w:r>
      <w:r w:rsidR="001771F0">
        <w:t xml:space="preserve"> for the </w:t>
      </w:r>
      <w:proofErr w:type="spellStart"/>
      <w:r w:rsidR="006807D4" w:rsidRPr="00D70F14">
        <w:t>EnteroMedics</w:t>
      </w:r>
      <w:proofErr w:type="spellEnd"/>
      <w:r w:rsidR="006807D4" w:rsidRPr="00D70F14">
        <w:t xml:space="preserve"> Maestro</w:t>
      </w:r>
      <w:r w:rsidR="00F903E8">
        <w:t xml:space="preserve"> </w:t>
      </w:r>
      <w:r w:rsidR="00F63415">
        <w:t>Rechargeable</w:t>
      </w:r>
      <w:r w:rsidR="00F903E8">
        <w:t xml:space="preserve"> </w:t>
      </w:r>
      <w:proofErr w:type="spellStart"/>
      <w:r w:rsidR="00F903E8">
        <w:t>Neuroregulator</w:t>
      </w:r>
      <w:proofErr w:type="spellEnd"/>
      <w:r w:rsidR="00F903E8">
        <w:t xml:space="preserve"> – Gastric contractility modulation system pulse generator</w:t>
      </w:r>
      <w:r w:rsidR="006807D4">
        <w:t xml:space="preserve"> is </w:t>
      </w:r>
      <w:r w:rsidR="001771F0">
        <w:t>used to generate v</w:t>
      </w:r>
      <w:r w:rsidR="007126BF" w:rsidRPr="00E73915">
        <w:t xml:space="preserve">agal </w:t>
      </w:r>
      <w:r w:rsidR="001771F0">
        <w:t>b</w:t>
      </w:r>
      <w:r w:rsidR="001771F0" w:rsidRPr="001771F0">
        <w:t xml:space="preserve">locking </w:t>
      </w:r>
      <w:r w:rsidR="001771F0">
        <w:t>(VBLOC) t</w:t>
      </w:r>
      <w:r w:rsidR="007126BF" w:rsidRPr="00E73915">
        <w:t xml:space="preserve">herapy for </w:t>
      </w:r>
      <w:r w:rsidR="001771F0">
        <w:t>weight reduction in o</w:t>
      </w:r>
      <w:r w:rsidR="007126BF" w:rsidRPr="00E73915">
        <w:t>bes</w:t>
      </w:r>
      <w:r w:rsidR="001771F0">
        <w:t>e patients</w:t>
      </w:r>
      <w:r w:rsidR="007126BF">
        <w:t>.</w:t>
      </w:r>
      <w:r w:rsidR="001771F0">
        <w:t xml:space="preserve"> </w:t>
      </w:r>
    </w:p>
    <w:p w:rsidR="006807D4" w:rsidRDefault="001771F0" w:rsidP="00E73915">
      <w:pPr>
        <w:autoSpaceDE w:val="0"/>
        <w:autoSpaceDN w:val="0"/>
        <w:adjustRightInd w:val="0"/>
        <w:spacing w:after="0"/>
      </w:pPr>
      <w:r>
        <w:t xml:space="preserve">The </w:t>
      </w:r>
      <w:r w:rsidR="000538D0" w:rsidRPr="00D70F14">
        <w:t>Maestro</w:t>
      </w:r>
      <w:r w:rsidR="000538D0">
        <w:t xml:space="preserve"> </w:t>
      </w:r>
      <w:r>
        <w:t xml:space="preserve">device </w:t>
      </w:r>
      <w:r w:rsidR="00F93955">
        <w:t xml:space="preserve">is thought to modify hunger as the mechanism to achieve weight loss in obese patients. According to the </w:t>
      </w:r>
      <w:r w:rsidR="00F93955" w:rsidRPr="00D70F14">
        <w:t>Maestro</w:t>
      </w:r>
      <w:r w:rsidR="00F93955">
        <w:t xml:space="preserve"> DAP </w:t>
      </w:r>
      <w:r w:rsidR="000900B2">
        <w:t xml:space="preserve"> “</w:t>
      </w:r>
      <w:r>
        <w:t xml:space="preserve"> </w:t>
      </w:r>
      <w:r w:rsidR="000900B2" w:rsidRPr="00E73915">
        <w:t>intermittent blocking of the activity of the vagal nerve by means of</w:t>
      </w:r>
      <w:r w:rsidR="000900B2">
        <w:t xml:space="preserve"> </w:t>
      </w:r>
      <w:r w:rsidR="000900B2" w:rsidRPr="00E73915">
        <w:t xml:space="preserve">a </w:t>
      </w:r>
      <w:proofErr w:type="spellStart"/>
      <w:r w:rsidR="000900B2" w:rsidRPr="00E73915">
        <w:t>neuroregulator</w:t>
      </w:r>
      <w:proofErr w:type="spellEnd"/>
      <w:r w:rsidR="000900B2" w:rsidRPr="00E73915">
        <w:t xml:space="preserve"> may lead to weight loss via several potential mechanisms including: inhibition of</w:t>
      </w:r>
      <w:r w:rsidR="000900B2">
        <w:t xml:space="preserve"> </w:t>
      </w:r>
      <w:r w:rsidR="000900B2" w:rsidRPr="00E73915">
        <w:t>gastric accommodation leading to early satiation (fullness); and, inhibition of gastric contractions</w:t>
      </w:r>
      <w:r w:rsidR="000900B2">
        <w:t xml:space="preserve"> </w:t>
      </w:r>
      <w:r w:rsidR="000900B2" w:rsidRPr="00E73915">
        <w:t>leading to enhanced satiety (reduced hunger). Intra-abdominal vagal nerve modulation therapy has</w:t>
      </w:r>
      <w:r w:rsidR="000900B2">
        <w:t xml:space="preserve"> </w:t>
      </w:r>
      <w:r w:rsidR="000900B2" w:rsidRPr="00E73915">
        <w:t>been investigated and is proposed for use in the management of obesity</w:t>
      </w:r>
      <w:r w:rsidR="000900B2">
        <w:t xml:space="preserve"> (</w:t>
      </w:r>
      <w:r w:rsidR="000900B2" w:rsidRPr="00E73915">
        <w:t>Consultation Decision</w:t>
      </w:r>
      <w:r w:rsidR="000900B2">
        <w:t xml:space="preserve"> </w:t>
      </w:r>
      <w:r w:rsidR="000900B2" w:rsidRPr="00E73915">
        <w:t>Analytic Protocol</w:t>
      </w:r>
      <w:r w:rsidR="000900B2">
        <w:t xml:space="preserve"> </w:t>
      </w:r>
      <w:r w:rsidR="000900B2" w:rsidRPr="00E73915">
        <w:t>(DAP) to guide the</w:t>
      </w:r>
      <w:r w:rsidR="000900B2">
        <w:t xml:space="preserve"> </w:t>
      </w:r>
      <w:r w:rsidR="000900B2" w:rsidRPr="00E73915">
        <w:t>assessment of</w:t>
      </w:r>
      <w:r w:rsidR="000900B2">
        <w:t xml:space="preserve"> </w:t>
      </w:r>
      <w:r w:rsidR="000900B2" w:rsidRPr="00E73915">
        <w:t>intra-abdominal vagal</w:t>
      </w:r>
      <w:r w:rsidR="000900B2">
        <w:t xml:space="preserve"> </w:t>
      </w:r>
      <w:r w:rsidR="000900B2" w:rsidRPr="00E73915">
        <w:t>nerve modulation for</w:t>
      </w:r>
      <w:r w:rsidR="000900B2">
        <w:t xml:space="preserve"> </w:t>
      </w:r>
      <w:r w:rsidR="000900B2" w:rsidRPr="00E73915">
        <w:t>the management of</w:t>
      </w:r>
      <w:r w:rsidR="000900B2">
        <w:t xml:space="preserve"> </w:t>
      </w:r>
      <w:r w:rsidR="000900B2" w:rsidRPr="00E73915">
        <w:t>obesity</w:t>
      </w:r>
      <w:r w:rsidR="000900B2">
        <w:t xml:space="preserve"> </w:t>
      </w:r>
      <w:r w:rsidR="000900B2" w:rsidRPr="00E73915">
        <w:t>October</w:t>
      </w:r>
      <w:r w:rsidR="000900B2">
        <w:t xml:space="preserve"> p6)</w:t>
      </w:r>
      <w:r w:rsidR="000900B2" w:rsidRPr="00E73915">
        <w:t>.</w:t>
      </w:r>
    </w:p>
    <w:p w:rsidR="000900B2" w:rsidRDefault="000900B2" w:rsidP="00E73915">
      <w:pPr>
        <w:autoSpaceDE w:val="0"/>
        <w:autoSpaceDN w:val="0"/>
        <w:adjustRightInd w:val="0"/>
        <w:spacing w:after="0" w:line="360" w:lineRule="auto"/>
      </w:pPr>
    </w:p>
    <w:p w:rsidR="00EB6C82" w:rsidRDefault="00B22C66" w:rsidP="004D2A63">
      <w:pPr>
        <w:rPr>
          <w:lang w:val="en"/>
        </w:rPr>
      </w:pPr>
      <w:r>
        <w:t>The Gastrointestinal liner “</w:t>
      </w:r>
      <w:proofErr w:type="spellStart"/>
      <w:r>
        <w:t>EndoBarrier</w:t>
      </w:r>
      <w:proofErr w:type="spellEnd"/>
      <w:r>
        <w:t xml:space="preserve">” (DAP </w:t>
      </w:r>
      <w:r>
        <w:rPr>
          <w:lang w:val="en"/>
        </w:rPr>
        <w:t>1367) is a physical barrier device which blocks the absorption of nutrients through the duodenum-</w:t>
      </w:r>
      <w:proofErr w:type="spellStart"/>
      <w:r>
        <w:rPr>
          <w:lang w:val="en"/>
        </w:rPr>
        <w:t>jejunal</w:t>
      </w:r>
      <w:proofErr w:type="spellEnd"/>
      <w:r>
        <w:rPr>
          <w:lang w:val="en"/>
        </w:rPr>
        <w:t>.</w:t>
      </w:r>
      <w:r w:rsidR="00CA45DF">
        <w:rPr>
          <w:lang w:val="en"/>
        </w:rPr>
        <w:t xml:space="preserve"> </w:t>
      </w:r>
      <w:r w:rsidR="00EB6C82">
        <w:rPr>
          <w:lang w:val="en"/>
        </w:rPr>
        <w:t xml:space="preserve">This intervention is currently only for a 12 month intervention in a lifetime. </w:t>
      </w:r>
      <w:r>
        <w:rPr>
          <w:lang w:val="en"/>
        </w:rPr>
        <w:t xml:space="preserve">Its mechanism of action is to reduce food uptake and weight. Weight loss is well </w:t>
      </w:r>
      <w:proofErr w:type="spellStart"/>
      <w:r>
        <w:rPr>
          <w:lang w:val="en"/>
        </w:rPr>
        <w:t>recognised</w:t>
      </w:r>
      <w:proofErr w:type="spellEnd"/>
      <w:r>
        <w:rPr>
          <w:lang w:val="en"/>
        </w:rPr>
        <w:t xml:space="preserve"> as providing a range of clinical benefits, such as, remission and/or prevention of diabetes, </w:t>
      </w:r>
      <w:r w:rsidRPr="00E73915">
        <w:rPr>
          <w:lang w:val="en"/>
        </w:rPr>
        <w:t>osteoarthritis, cardiovascular disease, and a variety of cancers (Preventative Health Taskforce, 2009)</w:t>
      </w:r>
      <w:r>
        <w:rPr>
          <w:lang w:val="en"/>
        </w:rPr>
        <w:t xml:space="preserve">. </w:t>
      </w:r>
    </w:p>
    <w:p w:rsidR="004D2A63" w:rsidRDefault="00B22C66" w:rsidP="004D2A63">
      <w:r>
        <w:rPr>
          <w:lang w:val="en"/>
        </w:rPr>
        <w:t xml:space="preserve">The </w:t>
      </w:r>
      <w:proofErr w:type="spellStart"/>
      <w:r w:rsidR="00EB6C82">
        <w:t>EndoBarrier</w:t>
      </w:r>
      <w:proofErr w:type="spellEnd"/>
      <w:r w:rsidR="00EB6C82">
        <w:rPr>
          <w:lang w:val="en"/>
        </w:rPr>
        <w:t xml:space="preserve"> </w:t>
      </w:r>
      <w:r w:rsidR="00203935">
        <w:rPr>
          <w:lang w:val="en"/>
        </w:rPr>
        <w:t xml:space="preserve">(DAP 1367) </w:t>
      </w:r>
      <w:r>
        <w:rPr>
          <w:lang w:val="en"/>
        </w:rPr>
        <w:t xml:space="preserve">requested MSAC listing is for “clinically severe obesity, with or without uncontrolled type diabetes mellitus”. </w:t>
      </w:r>
      <w:r w:rsidR="004D2A63">
        <w:rPr>
          <w:lang w:val="en"/>
        </w:rPr>
        <w:t>The MSAC submission for the DIAMOND™ system is different</w:t>
      </w:r>
      <w:r w:rsidR="00A833D1">
        <w:rPr>
          <w:lang w:val="en"/>
        </w:rPr>
        <w:t>;</w:t>
      </w:r>
      <w:r w:rsidR="004D2A63">
        <w:rPr>
          <w:lang w:val="en"/>
        </w:rPr>
        <w:t xml:space="preserve"> </w:t>
      </w:r>
      <w:proofErr w:type="gramStart"/>
      <w:r w:rsidR="004D2A63">
        <w:rPr>
          <w:lang w:val="en"/>
        </w:rPr>
        <w:t xml:space="preserve">listing is sought for control of diabetes and </w:t>
      </w:r>
      <w:r w:rsidR="004D2A63">
        <w:t>the DIAMOND™ system works by regulating the secretion of insulin to more physiological levels and so improve</w:t>
      </w:r>
      <w:proofErr w:type="gramEnd"/>
      <w:r w:rsidR="004D2A63">
        <w:t xml:space="preserve"> glyc</w:t>
      </w:r>
      <w:r w:rsidR="006D2537">
        <w:t>ae</w:t>
      </w:r>
      <w:r w:rsidR="004D2A63">
        <w:t>mic control.</w:t>
      </w:r>
    </w:p>
    <w:p w:rsidR="00381A1E" w:rsidRPr="00E73915" w:rsidRDefault="00381A1E" w:rsidP="00E73915">
      <w:pPr>
        <w:spacing w:after="0"/>
        <w:jc w:val="left"/>
      </w:pPr>
      <w:r w:rsidRPr="00E73915">
        <w:t>Bariatric surgery is indicated for clinically severe obesity which are patients with a Body Mass Index (BMI) of 40kg/m</w:t>
      </w:r>
      <w:r w:rsidRPr="00E73915">
        <w:rPr>
          <w:vertAlign w:val="superscript"/>
        </w:rPr>
        <w:t xml:space="preserve">2 </w:t>
      </w:r>
      <w:r w:rsidRPr="00E73915">
        <w:t>or more, or patients with a BMI of 35kg/m</w:t>
      </w:r>
      <w:r w:rsidRPr="00E73915">
        <w:rPr>
          <w:vertAlign w:val="superscript"/>
        </w:rPr>
        <w:t>2</w:t>
      </w:r>
      <w:r w:rsidRPr="00E73915">
        <w:t xml:space="preserve"> or more with other major medical co-morbidities (such as diabetes, cardiovascular disease, cancer). The g</w:t>
      </w:r>
      <w:r w:rsidR="00C358E2">
        <w:t>oa</w:t>
      </w:r>
      <w:r w:rsidRPr="00E73915">
        <w:t xml:space="preserve">l of bariatric surgeries is to reduce weight and the mechanism of action is through the physical restriction of the consumption of food. </w:t>
      </w:r>
    </w:p>
    <w:p w:rsidR="00381A1E" w:rsidRPr="00E73915" w:rsidRDefault="00381A1E" w:rsidP="00E73915">
      <w:pPr>
        <w:spacing w:after="0"/>
        <w:jc w:val="left"/>
      </w:pPr>
    </w:p>
    <w:p w:rsidR="00D679BA" w:rsidRDefault="00381A1E" w:rsidP="00E73915">
      <w:pPr>
        <w:spacing w:after="0"/>
        <w:jc w:val="left"/>
      </w:pPr>
      <w:r>
        <w:t>The</w:t>
      </w:r>
      <w:r w:rsidRPr="00E73915">
        <w:t xml:space="preserve"> </w:t>
      </w:r>
      <w:r>
        <w:rPr>
          <w:lang w:val="en"/>
        </w:rPr>
        <w:t xml:space="preserve">DIAMOND™ system </w:t>
      </w:r>
      <w:r w:rsidRPr="00E73915">
        <w:t xml:space="preserve">is distinct from bariatric surgery </w:t>
      </w:r>
      <w:r>
        <w:t xml:space="preserve">because the </w:t>
      </w:r>
      <w:r>
        <w:rPr>
          <w:lang w:val="en"/>
        </w:rPr>
        <w:t xml:space="preserve">DIAMOND™ system is a </w:t>
      </w:r>
      <w:r w:rsidRPr="00E73915">
        <w:t xml:space="preserve">non-anatomical altering intervention that works through electrical stimulation. </w:t>
      </w:r>
      <w:r>
        <w:t xml:space="preserve">The </w:t>
      </w:r>
      <w:r>
        <w:rPr>
          <w:lang w:val="en"/>
        </w:rPr>
        <w:t>DIAMOND™ system</w:t>
      </w:r>
      <w:r w:rsidRPr="00E73915">
        <w:t xml:space="preserve"> works physiological</w:t>
      </w:r>
      <w:r>
        <w:t>ly</w:t>
      </w:r>
      <w:r w:rsidRPr="00E73915">
        <w:t xml:space="preserve">, rather than </w:t>
      </w:r>
      <w:r>
        <w:t xml:space="preserve">through </w:t>
      </w:r>
      <w:r w:rsidRPr="00E73915">
        <w:t xml:space="preserve">altering </w:t>
      </w:r>
      <w:r>
        <w:t>the patient</w:t>
      </w:r>
      <w:r w:rsidR="00D679BA">
        <w:t>’</w:t>
      </w:r>
      <w:r>
        <w:t xml:space="preserve">s </w:t>
      </w:r>
      <w:r w:rsidRPr="00E73915">
        <w:t>anatomy.</w:t>
      </w:r>
    </w:p>
    <w:p w:rsidR="004D2A63" w:rsidRDefault="004D2A63" w:rsidP="00E73915">
      <w:pPr>
        <w:autoSpaceDE w:val="0"/>
        <w:autoSpaceDN w:val="0"/>
        <w:adjustRightInd w:val="0"/>
        <w:spacing w:after="0"/>
      </w:pPr>
    </w:p>
    <w:p w:rsidR="009E6DE1" w:rsidRDefault="009E6DE1" w:rsidP="00F93955">
      <w:r>
        <w:t xml:space="preserve"> As there is a minimal overlap of patients who might receive GCM therapy instead of B</w:t>
      </w:r>
      <w:r w:rsidR="00EA54BD">
        <w:t>ariatric surgery</w:t>
      </w:r>
      <w:r>
        <w:t>, it</w:t>
      </w:r>
      <w:r w:rsidR="00EA54BD">
        <w:t xml:space="preserve"> </w:t>
      </w:r>
      <w:r>
        <w:t>will be included as a secondary</w:t>
      </w:r>
      <w:r w:rsidR="00EA54BD">
        <w:t xml:space="preserve"> comparator</w:t>
      </w:r>
      <w:r>
        <w:t>.</w:t>
      </w:r>
    </w:p>
    <w:p w:rsidR="00F93955" w:rsidRDefault="00F71907" w:rsidP="00F93955">
      <w:r>
        <w:lastRenderedPageBreak/>
        <w:t>T</w:t>
      </w:r>
      <w:r w:rsidR="00F93955">
        <w:t>he DIAMOND™ system has:</w:t>
      </w:r>
    </w:p>
    <w:p w:rsidR="00F93955" w:rsidRDefault="00F93955" w:rsidP="00F93955">
      <w:pPr>
        <w:pStyle w:val="ListParagraph"/>
        <w:numPr>
          <w:ilvl w:val="0"/>
          <w:numId w:val="27"/>
        </w:numPr>
      </w:pPr>
      <w:r>
        <w:t xml:space="preserve">a different mode of action; </w:t>
      </w:r>
    </w:p>
    <w:p w:rsidR="00F93955" w:rsidRDefault="00F93955" w:rsidP="00F93955">
      <w:pPr>
        <w:pStyle w:val="ListParagraph"/>
        <w:numPr>
          <w:ilvl w:val="0"/>
          <w:numId w:val="27"/>
        </w:numPr>
      </w:pPr>
      <w:r>
        <w:t xml:space="preserve">an indication to improve </w:t>
      </w:r>
      <w:proofErr w:type="spellStart"/>
      <w:r w:rsidR="00F63415">
        <w:t>glyceamic</w:t>
      </w:r>
      <w:proofErr w:type="spellEnd"/>
      <w:r>
        <w:t xml:space="preserve"> control and induced weight loss; and</w:t>
      </w:r>
    </w:p>
    <w:p w:rsidR="00AA25A7" w:rsidRDefault="00AA25A7" w:rsidP="00F93955">
      <w:pPr>
        <w:pStyle w:val="ListParagraph"/>
        <w:numPr>
          <w:ilvl w:val="0"/>
          <w:numId w:val="27"/>
        </w:numPr>
      </w:pPr>
      <w:r>
        <w:t>is indicated in a different population</w:t>
      </w:r>
    </w:p>
    <w:p w:rsidR="00BC4EFE" w:rsidRPr="008F6F75" w:rsidRDefault="00F93955" w:rsidP="0056507B">
      <w:pPr>
        <w:pStyle w:val="Heading1"/>
        <w:ind w:hanging="720"/>
      </w:pPr>
      <w:r>
        <w:t xml:space="preserve"> </w:t>
      </w:r>
      <w:bookmarkStart w:id="4" w:name="_Toc398046785"/>
      <w:bookmarkStart w:id="5" w:name="_Toc398209595"/>
      <w:r w:rsidR="00BC4EFE" w:rsidRPr="008F6F75">
        <w:t>Po</w:t>
      </w:r>
      <w:r w:rsidR="00D90D8F" w:rsidRPr="008F6F75">
        <w:t xml:space="preserve">pulation and medical condition </w:t>
      </w:r>
      <w:r w:rsidR="00BC4EFE" w:rsidRPr="008F6F75">
        <w:t>eligible for the proposed medical services</w:t>
      </w:r>
      <w:bookmarkEnd w:id="4"/>
      <w:bookmarkEnd w:id="5"/>
    </w:p>
    <w:p w:rsidR="00BC4EFE" w:rsidRPr="008F6F75" w:rsidRDefault="00BC4EFE" w:rsidP="008F6F75">
      <w:pPr>
        <w:pStyle w:val="Quote"/>
        <w:spacing w:line="276" w:lineRule="auto"/>
        <w:rPr>
          <w:szCs w:val="22"/>
        </w:rPr>
      </w:pPr>
      <w:r w:rsidRPr="008F6F75">
        <w:rPr>
          <w:szCs w:val="22"/>
        </w:rPr>
        <w:t>Provide a description of the medical condition (or disease) relevant to the service.</w:t>
      </w:r>
    </w:p>
    <w:p w:rsidR="00F807E1" w:rsidRPr="00E25CE4" w:rsidRDefault="00F807E1" w:rsidP="00E25CE4">
      <w:pPr>
        <w:rPr>
          <w:u w:val="single"/>
        </w:rPr>
      </w:pPr>
      <w:r w:rsidRPr="00E25CE4">
        <w:rPr>
          <w:u w:val="single"/>
        </w:rPr>
        <w:t>Diabetes</w:t>
      </w:r>
    </w:p>
    <w:p w:rsidR="00167157" w:rsidRPr="00167157" w:rsidRDefault="00167157" w:rsidP="00167157">
      <w:r w:rsidRPr="00167157">
        <w:t>Type 2 diabetes</w:t>
      </w:r>
      <w:r w:rsidR="00CB206C">
        <w:t xml:space="preserve"> mellitus (T2DM)</w:t>
      </w:r>
      <w:r w:rsidRPr="00167157">
        <w:t xml:space="preserve"> is the most common form of diabetes in Australia</w:t>
      </w:r>
      <w:r w:rsidR="00A3306F">
        <w:t xml:space="preserve">, accounting for </w:t>
      </w:r>
      <w:r w:rsidR="00A3306F" w:rsidRPr="00A3306F">
        <w:t>contributing more than 85% to the total number of people with diabetes in Australi</w:t>
      </w:r>
      <w:r w:rsidR="00A3306F">
        <w:t>a</w:t>
      </w:r>
      <w:r>
        <w:t xml:space="preserve">. </w:t>
      </w:r>
      <w:r w:rsidRPr="00167157">
        <w:t xml:space="preserve">Type 2 diabetes is a chronic and progressive medical </w:t>
      </w:r>
      <w:r w:rsidR="00CB206C">
        <w:t>condition that</w:t>
      </w:r>
      <w:r w:rsidRPr="00167157">
        <w:t xml:space="preserve"> results from two major metabolic dysfunctions: insulin resistance and</w:t>
      </w:r>
      <w:r>
        <w:t xml:space="preserve"> </w:t>
      </w:r>
      <w:r w:rsidRPr="00167157">
        <w:t>then pancreatic islet cell dysfunction causing a relative insulin deficiency. In the</w:t>
      </w:r>
      <w:r>
        <w:t xml:space="preserve"> </w:t>
      </w:r>
      <w:r w:rsidRPr="00167157">
        <w:t>individual, these occur due to modifiable lifestyle-related risk factors interacting with</w:t>
      </w:r>
      <w:r>
        <w:t xml:space="preserve"> </w:t>
      </w:r>
      <w:r w:rsidRPr="00167157">
        <w:t>genetic risk factors.</w:t>
      </w:r>
    </w:p>
    <w:p w:rsidR="00167157" w:rsidRPr="00167157" w:rsidRDefault="00167157" w:rsidP="00167157">
      <w:r w:rsidRPr="00167157">
        <w:t>The relative insulin deficiency leads to chronic hyperglycaemia and multiple</w:t>
      </w:r>
      <w:r>
        <w:t xml:space="preserve"> </w:t>
      </w:r>
      <w:r w:rsidRPr="00167157">
        <w:t>disturbances in carbohydrate, protein and fat metabolism including:</w:t>
      </w:r>
    </w:p>
    <w:p w:rsidR="00167157" w:rsidRPr="00167157" w:rsidRDefault="00167157" w:rsidP="00A3306F">
      <w:pPr>
        <w:pStyle w:val="ListParagraph"/>
        <w:numPr>
          <w:ilvl w:val="0"/>
          <w:numId w:val="24"/>
        </w:numPr>
      </w:pPr>
      <w:r>
        <w:t>ß</w:t>
      </w:r>
      <w:r w:rsidRPr="00167157">
        <w:t xml:space="preserve"> islet cell dysfunction, failure of response to insulin signalling and increased islet</w:t>
      </w:r>
      <w:r w:rsidR="00A3306F">
        <w:t xml:space="preserve"> </w:t>
      </w:r>
      <w:r w:rsidRPr="00167157">
        <w:t>cell apoptosis</w:t>
      </w:r>
    </w:p>
    <w:p w:rsidR="00A3306F" w:rsidRDefault="00167157" w:rsidP="00A3306F">
      <w:pPr>
        <w:pStyle w:val="ListParagraph"/>
        <w:numPr>
          <w:ilvl w:val="0"/>
          <w:numId w:val="24"/>
        </w:numPr>
      </w:pPr>
      <w:r w:rsidRPr="00167157">
        <w:t>α cell dysfunction with elevated glucagon levels</w:t>
      </w:r>
    </w:p>
    <w:p w:rsidR="00167157" w:rsidRPr="00167157" w:rsidRDefault="00167157" w:rsidP="00A3306F">
      <w:pPr>
        <w:pStyle w:val="ListParagraph"/>
        <w:numPr>
          <w:ilvl w:val="0"/>
          <w:numId w:val="24"/>
        </w:numPr>
      </w:pPr>
      <w:r w:rsidRPr="00167157">
        <w:t>resultant disorders of hepatic gluconeogenesis and insulin resistance with</w:t>
      </w:r>
      <w:r>
        <w:t xml:space="preserve"> </w:t>
      </w:r>
      <w:r w:rsidRPr="00167157">
        <w:t>elevated glucose production</w:t>
      </w:r>
    </w:p>
    <w:p w:rsidR="00167157" w:rsidRPr="00167157" w:rsidRDefault="00167157" w:rsidP="00A3306F">
      <w:pPr>
        <w:pStyle w:val="ListParagraph"/>
        <w:numPr>
          <w:ilvl w:val="0"/>
          <w:numId w:val="24"/>
        </w:numPr>
      </w:pPr>
      <w:r w:rsidRPr="00167157">
        <w:t>muscle cell insulin resistance with decreased glucose uptake</w:t>
      </w:r>
    </w:p>
    <w:p w:rsidR="00167157" w:rsidRPr="00167157" w:rsidRDefault="00167157" w:rsidP="00A3306F">
      <w:pPr>
        <w:pStyle w:val="ListParagraph"/>
        <w:numPr>
          <w:ilvl w:val="0"/>
          <w:numId w:val="24"/>
        </w:numPr>
      </w:pPr>
      <w:r w:rsidRPr="00167157">
        <w:t>kidney adaptation with altered gluconeogenesis and increased glucose</w:t>
      </w:r>
      <w:r>
        <w:t xml:space="preserve"> </w:t>
      </w:r>
      <w:r w:rsidRPr="00167157">
        <w:t>reabsorption via increased sodium glucose transporter protein activity</w:t>
      </w:r>
    </w:p>
    <w:p w:rsidR="00167157" w:rsidRPr="00167157" w:rsidRDefault="00167157" w:rsidP="00A3306F">
      <w:pPr>
        <w:pStyle w:val="ListParagraph"/>
        <w:numPr>
          <w:ilvl w:val="0"/>
          <w:numId w:val="24"/>
        </w:numPr>
      </w:pPr>
      <w:r w:rsidRPr="00167157">
        <w:t xml:space="preserve">diminished </w:t>
      </w:r>
      <w:proofErr w:type="spellStart"/>
      <w:r w:rsidRPr="00167157">
        <w:t>incretin</w:t>
      </w:r>
      <w:proofErr w:type="spellEnd"/>
      <w:r w:rsidRPr="00167157">
        <w:t xml:space="preserve"> hormonal production or </w:t>
      </w:r>
      <w:proofErr w:type="spellStart"/>
      <w:r w:rsidRPr="00167157">
        <w:t>incretin</w:t>
      </w:r>
      <w:proofErr w:type="spellEnd"/>
      <w:r w:rsidRPr="00167157">
        <w:t xml:space="preserve"> resistance</w:t>
      </w:r>
    </w:p>
    <w:p w:rsidR="00167157" w:rsidRPr="00167157" w:rsidRDefault="00167157" w:rsidP="00A3306F">
      <w:pPr>
        <w:pStyle w:val="ListParagraph"/>
        <w:numPr>
          <w:ilvl w:val="0"/>
          <w:numId w:val="24"/>
        </w:numPr>
      </w:pPr>
      <w:r w:rsidRPr="00167157">
        <w:t>maladaptive cerebral hormonal responses to insulin and appetite</w:t>
      </w:r>
    </w:p>
    <w:p w:rsidR="00167157" w:rsidRDefault="00167157" w:rsidP="00A3306F">
      <w:pPr>
        <w:pStyle w:val="ListParagraph"/>
        <w:numPr>
          <w:ilvl w:val="0"/>
          <w:numId w:val="24"/>
        </w:numPr>
      </w:pPr>
      <w:proofErr w:type="gramStart"/>
      <w:r w:rsidRPr="00167157">
        <w:t>increased</w:t>
      </w:r>
      <w:proofErr w:type="gramEnd"/>
      <w:r w:rsidRPr="00167157">
        <w:t xml:space="preserve"> lipolysis with elevated free fatty acids.</w:t>
      </w:r>
    </w:p>
    <w:p w:rsidR="00167157" w:rsidRDefault="00A3306F" w:rsidP="00167157">
      <w:r>
        <w:t>D</w:t>
      </w:r>
      <w:r w:rsidR="00167157">
        <w:t>iabetes is associated with a myriad of complications which affect the feet, eyes, kidneys, and cardiovascular health. Nerve damage in the lower limbs affects around 13% of Australians with diabetes, diabetic retinopathy occurs in over 15% of Australians with diabetes, and diabetes is now the leading cause of end-stage kidney disease. In people with diabetes, cardiovascular disease (CVD) is the primary cause of death, with around 65% of all CVD deaths in Australia occurring in people with diabetes or pre-diabetes. Furthermore, 41% of people with diabetes also report poor psychological well-being with reports of anxiety, stress, depression and feeling ‘burned-out’ from coping with their diabetes. Moreover, diabetes is ranked in the top 10 leading causes of death in Australia</w:t>
      </w:r>
      <w:r w:rsidR="00FE6BB6">
        <w:t xml:space="preserve"> (Baker IDI, Heart and Diabetes Institute)</w:t>
      </w:r>
      <w:r>
        <w:t>.</w:t>
      </w:r>
    </w:p>
    <w:p w:rsidR="000E0E06" w:rsidRDefault="00167157" w:rsidP="00B11955">
      <w:pPr>
        <w:rPr>
          <w:u w:val="single"/>
        </w:rPr>
      </w:pPr>
      <w:r>
        <w:t xml:space="preserve">If diabetes continues to rise at the current rates, up to 3 million Australians over the age of 25 years will have diabetes by the year 2025. For type 2, this is likely driven by rising obesity, the ageing population, dietary changes, and sedentary </w:t>
      </w:r>
      <w:r w:rsidRPr="00190677">
        <w:t>lifestyles</w:t>
      </w:r>
      <w:r w:rsidR="00F9537B" w:rsidRPr="00190677">
        <w:t xml:space="preserve"> </w:t>
      </w:r>
      <w:r w:rsidR="00F9537B" w:rsidRPr="00190677">
        <w:fldChar w:fldCharType="begin"/>
      </w:r>
      <w:r w:rsidR="00F9537B" w:rsidRPr="00190677">
        <w:instrText xml:space="preserve"> ADDIN EN.CITE &lt;EndNote&gt;&lt;Cite&gt;&lt;Author&gt;Insitute&lt;/Author&gt;&lt;Year&gt;2012&lt;/Year&gt;&lt;RecNum&gt;10&lt;/RecNum&gt;&lt;DisplayText&gt;(2012)&lt;/DisplayText&gt;&lt;record&gt;&lt;rec-number&gt;10&lt;/rec-number&gt;&lt;foreign-keys&gt;&lt;key app="EN" db-id="a0ps2w0ssvxp95e5vwcxvrrfevsvwe5fxzaf"&gt;10&lt;/key&gt;&lt;/foreign-keys&gt;&lt;ref-type name="Report"&gt;27&lt;/ref-type&gt;&lt;contributors&gt;&lt;/contributors&gt;&lt;titles&gt;&lt;title&gt;Diabetes: the silent pandemic and its impact on Australia&lt;/title&gt;&lt;/titles&gt;&lt;dates&gt;&lt;year&gt;2012&lt;/year&gt;&lt;/dates&gt;&lt;publisher&gt;Baker IDI Heart and Diabetes Insitute&lt;/publisher&gt;&lt;urls&gt;&lt;/urls&gt;&lt;/record&gt;&lt;/Cite&gt;&lt;/EndNote&gt;</w:instrText>
      </w:r>
      <w:r w:rsidR="00F9537B" w:rsidRPr="00190677">
        <w:fldChar w:fldCharType="separate"/>
      </w:r>
      <w:r w:rsidR="00F9537B" w:rsidRPr="00190677">
        <w:rPr>
          <w:noProof/>
        </w:rPr>
        <w:t>(</w:t>
      </w:r>
      <w:hyperlink w:anchor="_ENREF_6" w:tooltip=", 2012 #10" w:history="1">
        <w:r w:rsidR="00602684" w:rsidRPr="00190677">
          <w:rPr>
            <w:noProof/>
          </w:rPr>
          <w:t>2012</w:t>
        </w:r>
      </w:hyperlink>
      <w:r w:rsidR="00F9537B" w:rsidRPr="00190677">
        <w:rPr>
          <w:noProof/>
        </w:rPr>
        <w:t>)</w:t>
      </w:r>
      <w:r w:rsidR="00F9537B" w:rsidRPr="00190677">
        <w:fldChar w:fldCharType="end"/>
      </w:r>
    </w:p>
    <w:p w:rsidR="0088078F" w:rsidRDefault="0088078F" w:rsidP="00E25CE4">
      <w:pPr>
        <w:rPr>
          <w:u w:val="single"/>
        </w:rPr>
      </w:pPr>
    </w:p>
    <w:p w:rsidR="00CE2D61" w:rsidRPr="00E25CE4" w:rsidRDefault="00AE09C0" w:rsidP="00E25CE4">
      <w:pPr>
        <w:rPr>
          <w:u w:val="single"/>
        </w:rPr>
      </w:pPr>
      <w:r w:rsidRPr="00E25CE4">
        <w:rPr>
          <w:u w:val="single"/>
        </w:rPr>
        <w:lastRenderedPageBreak/>
        <w:t>Obesity as a risk factor for Type 2 Diabetes development</w:t>
      </w:r>
    </w:p>
    <w:p w:rsidR="00AE09C0" w:rsidRPr="008F6F75" w:rsidRDefault="00AE09C0" w:rsidP="008F6F75">
      <w:pPr>
        <w:rPr>
          <w:lang w:val="en-US"/>
        </w:rPr>
      </w:pPr>
      <w:r w:rsidRPr="008F6F75">
        <w:rPr>
          <w:lang w:val="en-US"/>
        </w:rPr>
        <w:t xml:space="preserve">It should be underlined that the major factor determining the development of type </w:t>
      </w:r>
      <w:r w:rsidRPr="008F6F75">
        <w:rPr>
          <w:lang w:val="en-US"/>
        </w:rPr>
        <w:br/>
        <w:t>2 diabetes and its course is obesity and obesity-associated insulin resistance. Insulin resistance occurs in 100% people suffering from diabetes and/or obesity and disorders of lipid metabolism, 50% of people with hypertension, 25-45% people not suffering from overweight and diabetes and in 10-25% healthy people with normal body weight. Weight loss leads to lower blood glucose levels and increases insulin sensitivity.</w:t>
      </w:r>
    </w:p>
    <w:p w:rsidR="00AE09C0" w:rsidRPr="008F6F75" w:rsidRDefault="00AE09C0" w:rsidP="008F6F75">
      <w:pPr>
        <w:rPr>
          <w:lang w:val="en-US"/>
        </w:rPr>
      </w:pPr>
      <w:r w:rsidRPr="008F6F75">
        <w:rPr>
          <w:lang w:val="en-US"/>
        </w:rPr>
        <w:t>The risk of developing diabetes increases with the degree of obesity. Diabetes develops in 15% of people with BMI ≥35 kg/m</w:t>
      </w:r>
      <w:r w:rsidRPr="008F6F75">
        <w:rPr>
          <w:vertAlign w:val="superscript"/>
          <w:lang w:val="en-US"/>
        </w:rPr>
        <w:t>2</w:t>
      </w:r>
      <w:r w:rsidRPr="008F6F75">
        <w:rPr>
          <w:lang w:val="en-US"/>
        </w:rPr>
        <w:t>. The risk of developing T2DM is 3-times greater in individuals with overweight (BMI 25–30 kg/m</w:t>
      </w:r>
      <w:r w:rsidRPr="008F6F75">
        <w:rPr>
          <w:vertAlign w:val="superscript"/>
          <w:lang w:val="en-US"/>
        </w:rPr>
        <w:t>2</w:t>
      </w:r>
      <w:r w:rsidRPr="008F6F75">
        <w:rPr>
          <w:lang w:val="en-US"/>
        </w:rPr>
        <w:t>), 20-greater in individuals with obesity (BMI &gt;30 kg/m</w:t>
      </w:r>
      <w:r w:rsidRPr="008F6F75">
        <w:rPr>
          <w:vertAlign w:val="superscript"/>
          <w:lang w:val="en-US"/>
        </w:rPr>
        <w:t>2</w:t>
      </w:r>
      <w:r w:rsidRPr="008F6F75">
        <w:rPr>
          <w:lang w:val="en-US"/>
        </w:rPr>
        <w:t>) and 93-times greater in individuals with BMI &gt;35 kg/</w:t>
      </w:r>
      <w:r w:rsidRPr="00CB206C">
        <w:rPr>
          <w:lang w:val="en-US"/>
        </w:rPr>
        <w:t>m</w:t>
      </w:r>
      <w:r w:rsidRPr="00CB206C">
        <w:rPr>
          <w:vertAlign w:val="superscript"/>
          <w:lang w:val="en-US"/>
        </w:rPr>
        <w:t>2</w:t>
      </w:r>
      <w:r w:rsidR="00CB206C" w:rsidRPr="00CB206C">
        <w:rPr>
          <w:lang w:val="en-US"/>
        </w:rPr>
        <w:t xml:space="preserve"> </w:t>
      </w:r>
      <w:r w:rsidR="00CB206C" w:rsidRPr="00CB206C">
        <w:rPr>
          <w:lang w:val="en-US"/>
        </w:rPr>
        <w:fldChar w:fldCharType="begin">
          <w:fldData xml:space="preserve">PEVuZE5vdGU+PENpdGU+PEF1dGhvcj5GaWVsZDwvQXV0aG9yPjxZZWFyPjIwMDE8L1llYXI+PFJl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IGludGVybmFsIG1lZGljaW5lPC9hYmJyLTE+PC9hbHQtcGVyaW9kaWNhbD48cGFnZXM+NDgxLTY8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</w:fldData>
        </w:fldChar>
      </w:r>
      <w:r w:rsidR="00CB206C" w:rsidRPr="00CB206C">
        <w:rPr>
          <w:lang w:val="en-US"/>
        </w:rPr>
        <w:instrText xml:space="preserve"> ADDIN EN.CITE </w:instrText>
      </w:r>
      <w:r w:rsidR="00CB206C" w:rsidRPr="00CB206C">
        <w:rPr>
          <w:lang w:val="en-US"/>
        </w:rPr>
        <w:fldChar w:fldCharType="begin">
          <w:fldData xml:space="preserve">PEVuZE5vdGU+PENpdGU+PEF1dGhvcj5GaWVsZDwvQXV0aG9yPjxZZWFyPjIwMDE8L1llYXI+PFJl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IGludGVybmFsIG1lZGljaW5lPC9hYmJyLTE+PC9hbHQtcGVyaW9kaWNhbD48cGFnZXM+NDgxLTY8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</w:fldData>
        </w:fldChar>
      </w:r>
      <w:r w:rsidR="00CB206C" w:rsidRPr="00CB206C">
        <w:rPr>
          <w:lang w:val="en-US"/>
        </w:rPr>
        <w:instrText xml:space="preserve"> ADDIN EN.CITE.DATA </w:instrText>
      </w:r>
      <w:r w:rsidR="00CB206C" w:rsidRPr="00CB206C">
        <w:rPr>
          <w:lang w:val="en-US"/>
        </w:rPr>
      </w:r>
      <w:r w:rsidR="00CB206C" w:rsidRPr="00CB206C">
        <w:rPr>
          <w:lang w:val="en-US"/>
        </w:rPr>
        <w:fldChar w:fldCharType="end"/>
      </w:r>
      <w:r w:rsidR="00CB206C" w:rsidRPr="00CB206C">
        <w:rPr>
          <w:lang w:val="en-US"/>
        </w:rPr>
      </w:r>
      <w:r w:rsidR="00CB206C" w:rsidRPr="00CB206C">
        <w:rPr>
          <w:lang w:val="en-US"/>
        </w:rPr>
        <w:fldChar w:fldCharType="separate"/>
      </w:r>
      <w:r w:rsidR="00CB206C" w:rsidRPr="00CB206C">
        <w:rPr>
          <w:noProof/>
          <w:lang w:val="en-US"/>
        </w:rPr>
        <w:t>(</w:t>
      </w:r>
      <w:hyperlink w:anchor="_ENREF_8" w:tooltip="Colditz, 1995 #3" w:history="1">
        <w:r w:rsidR="00602684" w:rsidRPr="00CB206C">
          <w:rPr>
            <w:noProof/>
            <w:lang w:val="en-US"/>
          </w:rPr>
          <w:t>Colditz, Willett et al. 1995</w:t>
        </w:r>
      </w:hyperlink>
      <w:r w:rsidR="00CB206C" w:rsidRPr="00CB206C">
        <w:rPr>
          <w:noProof/>
          <w:lang w:val="en-US"/>
        </w:rPr>
        <w:t xml:space="preserve">, </w:t>
      </w:r>
      <w:hyperlink w:anchor="_ENREF_10" w:tooltip="Field, 2001 #2" w:history="1">
        <w:r w:rsidR="00602684" w:rsidRPr="00CB206C">
          <w:rPr>
            <w:noProof/>
            <w:lang w:val="en-US"/>
          </w:rPr>
          <w:t>Field, Coakley et al. 2001</w:t>
        </w:r>
      </w:hyperlink>
      <w:r w:rsidR="00CB206C" w:rsidRPr="00CB206C">
        <w:rPr>
          <w:noProof/>
          <w:lang w:val="en-US"/>
        </w:rPr>
        <w:t>)</w:t>
      </w:r>
      <w:r w:rsidR="00CB206C" w:rsidRPr="00CB206C">
        <w:rPr>
          <w:lang w:val="en-US"/>
        </w:rPr>
        <w:fldChar w:fldCharType="end"/>
      </w:r>
      <w:r w:rsidR="009D599C">
        <w:rPr>
          <w:lang w:val="en-US"/>
        </w:rPr>
        <w:t>.</w:t>
      </w:r>
    </w:p>
    <w:p w:rsidR="00F31894" w:rsidRPr="008F6F75" w:rsidRDefault="00F31894" w:rsidP="008F6F75">
      <w:pPr>
        <w:pStyle w:val="Quote"/>
        <w:spacing w:line="276" w:lineRule="auto"/>
        <w:rPr>
          <w:szCs w:val="22"/>
        </w:rPr>
      </w:pPr>
    </w:p>
    <w:p w:rsidR="00BC4EFE" w:rsidRPr="008F6F75" w:rsidRDefault="00BC4EFE" w:rsidP="008F6F75">
      <w:pPr>
        <w:pStyle w:val="Quote"/>
        <w:spacing w:line="276" w:lineRule="auto"/>
        <w:rPr>
          <w:szCs w:val="22"/>
        </w:rPr>
      </w:pPr>
      <w:r w:rsidRPr="008F6F75">
        <w:rPr>
          <w:szCs w:val="22"/>
        </w:rPr>
        <w:t>Define the proposed patient population that would benefit from the use of this servi</w:t>
      </w:r>
      <w:r w:rsidR="00685E30" w:rsidRPr="008F6F75">
        <w:rPr>
          <w:szCs w:val="22"/>
        </w:rPr>
        <w:t xml:space="preserve">ce. </w:t>
      </w:r>
    </w:p>
    <w:p w:rsidR="00F56446" w:rsidRDefault="001C4205" w:rsidP="008F6F75">
      <w:proofErr w:type="spellStart"/>
      <w:r>
        <w:t>MetaCure</w:t>
      </w:r>
      <w:proofErr w:type="spellEnd"/>
      <w:r>
        <w:t xml:space="preserve"> </w:t>
      </w:r>
      <w:r w:rsidR="00F56446" w:rsidRPr="008F6F75">
        <w:t>requests reimbursement for a Gastric Contractility Modulation (GCM) device that is implanted via a minimally invasive procedure in patients with uncontrolled T2DM. These patients are obese (BMI ≥30 kg/m</w:t>
      </w:r>
      <w:r w:rsidR="00F56446" w:rsidRPr="008F6F75">
        <w:rPr>
          <w:vertAlign w:val="superscript"/>
        </w:rPr>
        <w:t>2</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rsidR="00F56446" w:rsidRPr="008F6F75">
        <w:t>), inadequately controlled on standard oral glucose lowering (anti-diabetic) therapy, aged ≥ 18 years,</w:t>
      </w:r>
      <w:r w:rsidR="00F63415">
        <w:rPr>
          <w:rStyle w:val="FootnoteReference"/>
        </w:rPr>
        <w:footnoteReference w:id="2"/>
      </w:r>
      <w:r w:rsidR="00F56446" w:rsidRPr="008F6F75">
        <w:t xml:space="preserve"> have normal triglyceride levels (fasting plasma triglycerides ≤1.7mmol/l)</w:t>
      </w:r>
      <w:r w:rsidR="002B1DCA">
        <w:t>,</w:t>
      </w:r>
      <w:r w:rsidR="00F56446" w:rsidRPr="008F6F75">
        <w:t>HbA1c ≥ 7.5%</w:t>
      </w:r>
      <w:r w:rsidR="002B1DCA">
        <w:t xml:space="preserve"> </w:t>
      </w:r>
      <w:r w:rsidR="002B1DCA" w:rsidRPr="002B1DCA">
        <w:t xml:space="preserve">and </w:t>
      </w:r>
      <w:r w:rsidR="002B1DCA" w:rsidRPr="002B1DCA">
        <w:rPr>
          <w:u w:val="single"/>
        </w:rPr>
        <w:t>&lt;</w:t>
      </w:r>
      <w:r w:rsidR="002B1DCA" w:rsidRPr="002B1DCA">
        <w:t>10%</w:t>
      </w:r>
      <w:r w:rsidR="00F56446" w:rsidRPr="008F6F75">
        <w:t xml:space="preserve">. </w:t>
      </w:r>
      <w:r w:rsidR="004F28D7">
        <w:t>This is in accordance with the key clinical evidence that will be presented in the MSAC application.</w:t>
      </w:r>
    </w:p>
    <w:p w:rsidR="00E908EC" w:rsidRDefault="00E908EC" w:rsidP="008F6F75">
      <w:r>
        <w:t>The HbA1c measurement would be required to be less than three months prior to implantation of the device</w:t>
      </w:r>
      <w:r w:rsidR="005E08C5">
        <w:t xml:space="preserve"> in the context of stable oral anti-diabetic medications for at least three months</w:t>
      </w:r>
      <w:r>
        <w:t>.</w:t>
      </w:r>
    </w:p>
    <w:p w:rsidR="00F56446" w:rsidRPr="008F6F75" w:rsidRDefault="00F56446" w:rsidP="008F6F75">
      <w:r w:rsidRPr="008F6F75">
        <w:t xml:space="preserve">Within this broad population, </w:t>
      </w:r>
      <w:proofErr w:type="spellStart"/>
      <w:r w:rsidRPr="008F6F75">
        <w:t>MetaCure</w:t>
      </w:r>
      <w:proofErr w:type="spellEnd"/>
      <w:r w:rsidRPr="008F6F75">
        <w:t xml:space="preserve"> are seeking listing for a subgroup of patients who achieve the best outcome from the therapy. Therefore the following subpopulation will be examined:</w:t>
      </w:r>
    </w:p>
    <w:p w:rsidR="00461BF1" w:rsidRDefault="00461BF1" w:rsidP="005E2EA5">
      <w:pPr>
        <w:ind w:left="360"/>
        <w:rPr>
          <w:i/>
          <w:lang w:val="en-US"/>
        </w:rPr>
      </w:pPr>
      <w:r w:rsidRPr="005E2EA5">
        <w:rPr>
          <w:i/>
        </w:rPr>
        <w:t>“</w:t>
      </w:r>
      <w:r w:rsidR="00954DB3" w:rsidRPr="005E2EA5">
        <w:rPr>
          <w:i/>
        </w:rPr>
        <w:t xml:space="preserve">Patients for who </w:t>
      </w:r>
      <w:r w:rsidR="00954DB3" w:rsidRPr="00CA1741">
        <w:rPr>
          <w:i/>
        </w:rPr>
        <w:t xml:space="preserve">all </w:t>
      </w:r>
      <w:r w:rsidR="00954DB3" w:rsidRPr="005E2EA5">
        <w:rPr>
          <w:i/>
        </w:rPr>
        <w:t xml:space="preserve">PBS listed oral anti-diabetic medications </w:t>
      </w:r>
      <w:r w:rsidR="00954DB3" w:rsidRPr="00CA1741">
        <w:rPr>
          <w:i/>
        </w:rPr>
        <w:t xml:space="preserve">have failed or </w:t>
      </w:r>
      <w:r w:rsidRPr="00CA1741">
        <w:rPr>
          <w:i/>
        </w:rPr>
        <w:t>are</w:t>
      </w:r>
      <w:r w:rsidR="00954DB3" w:rsidRPr="00CA1741">
        <w:rPr>
          <w:i/>
        </w:rPr>
        <w:t xml:space="preserve"> inappropriate</w:t>
      </w:r>
      <w:r w:rsidR="00954DB3" w:rsidRPr="005E2EA5">
        <w:rPr>
          <w:i/>
        </w:rPr>
        <w:t xml:space="preserve"> </w:t>
      </w:r>
      <w:r w:rsidR="00D912CA">
        <w:rPr>
          <w:i/>
        </w:rPr>
        <w:t xml:space="preserve">and </w:t>
      </w:r>
      <w:r w:rsidR="00B44B57">
        <w:rPr>
          <w:i/>
        </w:rPr>
        <w:t xml:space="preserve">as an alternative to </w:t>
      </w:r>
      <w:r w:rsidR="00D912CA">
        <w:rPr>
          <w:i/>
        </w:rPr>
        <w:t>injectable therapies</w:t>
      </w:r>
      <w:r w:rsidR="00B276DC">
        <w:rPr>
          <w:i/>
        </w:rPr>
        <w:t xml:space="preserve"> or bariatric surgery</w:t>
      </w:r>
      <w:r w:rsidR="00D912CA">
        <w:rPr>
          <w:i/>
        </w:rPr>
        <w:t xml:space="preserve">.” </w:t>
      </w:r>
      <w:r w:rsidR="00954DB3" w:rsidRPr="005E2EA5">
        <w:rPr>
          <w:i/>
        </w:rPr>
        <w:t xml:space="preserve"> </w:t>
      </w:r>
      <w:r w:rsidR="00F56446" w:rsidRPr="005E2EA5">
        <w:rPr>
          <w:i/>
          <w:lang w:val="en-US"/>
        </w:rPr>
        <w:t xml:space="preserve"> </w:t>
      </w:r>
      <w:r w:rsidRPr="005E2EA5">
        <w:rPr>
          <w:i/>
          <w:lang w:val="en-US"/>
        </w:rPr>
        <w:t>”</w:t>
      </w:r>
      <w:r w:rsidR="00E230C3" w:rsidRPr="005E2EA5">
        <w:rPr>
          <w:i/>
          <w:lang w:val="en-US"/>
        </w:rPr>
        <w:t xml:space="preserve"> </w:t>
      </w:r>
    </w:p>
    <w:p w:rsidR="00D912CA" w:rsidRDefault="00E230C3" w:rsidP="005E2EA5">
      <w:pPr>
        <w:jc w:val="left"/>
        <w:rPr>
          <w:lang w:val="en-US"/>
        </w:rPr>
      </w:pPr>
      <w:r>
        <w:rPr>
          <w:lang w:val="en-US"/>
        </w:rPr>
        <w:t>Injectable therapy could include</w:t>
      </w:r>
      <w:r w:rsidR="00CA1741">
        <w:rPr>
          <w:lang w:val="en-US"/>
        </w:rPr>
        <w:t>,</w:t>
      </w:r>
      <w:r>
        <w:rPr>
          <w:lang w:val="en-US"/>
        </w:rPr>
        <w:t xml:space="preserve"> but is not limited to</w:t>
      </w:r>
      <w:r w:rsidR="00CA1741">
        <w:rPr>
          <w:lang w:val="en-US"/>
        </w:rPr>
        <w:t>,</w:t>
      </w:r>
      <w:r>
        <w:rPr>
          <w:lang w:val="en-US"/>
        </w:rPr>
        <w:t xml:space="preserve"> all </w:t>
      </w:r>
      <w:proofErr w:type="spellStart"/>
      <w:r>
        <w:rPr>
          <w:lang w:val="en-US"/>
        </w:rPr>
        <w:t>insulins</w:t>
      </w:r>
      <w:proofErr w:type="spellEnd"/>
      <w:r>
        <w:rPr>
          <w:lang w:val="en-US"/>
        </w:rPr>
        <w:t xml:space="preserve"> and GLP-1 therapy. </w:t>
      </w:r>
    </w:p>
    <w:p w:rsidR="00F56446" w:rsidRPr="008F6F75" w:rsidRDefault="00F56446" w:rsidP="008F6F75"/>
    <w:p w:rsidR="009E20B0" w:rsidRDefault="00BC4EFE" w:rsidP="00EC22CE">
      <w:pPr>
        <w:pStyle w:val="Quote"/>
        <w:keepNext/>
        <w:spacing w:line="276" w:lineRule="auto"/>
        <w:rPr>
          <w:szCs w:val="22"/>
        </w:rPr>
      </w:pPr>
      <w:r w:rsidRPr="008F6F75">
        <w:rPr>
          <w:szCs w:val="22"/>
        </w:rPr>
        <w:t>Indicate if there is evidence for the population who wo</w:t>
      </w:r>
      <w:r w:rsidR="009E20B0" w:rsidRPr="008F6F75">
        <w:rPr>
          <w:szCs w:val="22"/>
        </w:rPr>
        <w:t>uld benefit from this service</w:t>
      </w:r>
    </w:p>
    <w:p w:rsidR="00550BBB" w:rsidRPr="00E73915" w:rsidRDefault="00381A1E" w:rsidP="00E73915">
      <w:pPr>
        <w:pStyle w:val="Default"/>
        <w:spacing w:line="276" w:lineRule="auto"/>
        <w:rPr>
          <w:color w:val="auto"/>
          <w:szCs w:val="22"/>
          <w:lang w:val="en-US"/>
        </w:rPr>
      </w:pPr>
      <w:r>
        <w:rPr>
          <w:rFonts w:asciiTheme="minorHAnsi" w:hAnsiTheme="minorHAnsi" w:cstheme="minorBidi"/>
          <w:color w:val="auto"/>
          <w:sz w:val="22"/>
          <w:szCs w:val="22"/>
          <w:lang w:val="en-US"/>
        </w:rPr>
        <w:t xml:space="preserve">The pivotal studies which will be included in the MSAC application cover the patients in the listing criteria. </w:t>
      </w:r>
      <w:r w:rsidR="00550BBB" w:rsidRPr="00E73915">
        <w:rPr>
          <w:rFonts w:asciiTheme="minorHAnsi" w:hAnsiTheme="minorHAnsi" w:cstheme="minorBidi"/>
          <w:color w:val="auto"/>
          <w:sz w:val="22"/>
          <w:szCs w:val="22"/>
          <w:lang w:val="en-US"/>
        </w:rPr>
        <w:t>There are 2 controlled trials of the use of the DIAMOND</w:t>
      </w:r>
      <w:r w:rsidR="00787F69">
        <w:rPr>
          <w:rFonts w:asciiTheme="minorHAnsi" w:hAnsiTheme="minorHAnsi" w:cstheme="minorBidi"/>
          <w:color w:val="auto"/>
          <w:sz w:val="22"/>
          <w:szCs w:val="22"/>
          <w:lang w:val="en-US"/>
        </w:rPr>
        <w:t>™ system</w:t>
      </w:r>
      <w:r w:rsidR="00550BBB" w:rsidRPr="00E73915">
        <w:rPr>
          <w:rFonts w:asciiTheme="minorHAnsi" w:hAnsiTheme="minorHAnsi" w:cstheme="minorBidi"/>
          <w:color w:val="auto"/>
          <w:sz w:val="22"/>
          <w:szCs w:val="22"/>
          <w:lang w:val="en-US"/>
        </w:rPr>
        <w:t xml:space="preserve"> which demonstrate the safety and efficacy of the treatment in controlling diabetes</w:t>
      </w:r>
      <w:r w:rsidR="00A327BE">
        <w:rPr>
          <w:rFonts w:asciiTheme="minorHAnsi" w:hAnsiTheme="minorHAnsi" w:cstheme="minorBidi"/>
          <w:color w:val="auto"/>
          <w:sz w:val="22"/>
          <w:szCs w:val="22"/>
          <w:lang w:val="en-US"/>
        </w:rPr>
        <w:t xml:space="preserve"> (</w:t>
      </w:r>
      <w:r w:rsidR="00A327BE" w:rsidRPr="00E73915">
        <w:rPr>
          <w:rFonts w:asciiTheme="minorHAnsi" w:hAnsiTheme="minorHAnsi" w:cstheme="minorBidi"/>
          <w:color w:val="auto"/>
          <w:sz w:val="22"/>
          <w:szCs w:val="22"/>
          <w:lang w:val="en-US"/>
        </w:rPr>
        <w:t xml:space="preserve">Harold E. </w:t>
      </w:r>
      <w:proofErr w:type="spellStart"/>
      <w:r w:rsidR="00A327BE" w:rsidRPr="00E73915">
        <w:rPr>
          <w:rFonts w:asciiTheme="minorHAnsi" w:hAnsiTheme="minorHAnsi" w:cstheme="minorBidi"/>
          <w:color w:val="auto"/>
          <w:sz w:val="22"/>
          <w:szCs w:val="22"/>
          <w:lang w:val="en-US"/>
        </w:rPr>
        <w:t>Lebovitz</w:t>
      </w:r>
      <w:proofErr w:type="spellEnd"/>
      <w:r w:rsidR="00A327BE" w:rsidRPr="00E73915">
        <w:rPr>
          <w:rFonts w:asciiTheme="minorHAnsi" w:hAnsiTheme="minorHAnsi" w:cstheme="minorBidi"/>
          <w:color w:val="auto"/>
          <w:sz w:val="22"/>
          <w:szCs w:val="22"/>
          <w:lang w:val="en-US"/>
        </w:rPr>
        <w:t xml:space="preserve">, Bernhard </w:t>
      </w:r>
      <w:proofErr w:type="spellStart"/>
      <w:r w:rsidR="00A327BE" w:rsidRPr="00E73915">
        <w:rPr>
          <w:rFonts w:asciiTheme="minorHAnsi" w:hAnsiTheme="minorHAnsi" w:cstheme="minorBidi"/>
          <w:color w:val="auto"/>
          <w:sz w:val="22"/>
          <w:szCs w:val="22"/>
          <w:lang w:val="en-US"/>
        </w:rPr>
        <w:t>Ludvik</w:t>
      </w:r>
      <w:proofErr w:type="spellEnd"/>
      <w:r w:rsidR="00A327BE" w:rsidRPr="00E73915">
        <w:rPr>
          <w:rFonts w:asciiTheme="minorHAnsi" w:hAnsiTheme="minorHAnsi" w:cstheme="minorBidi"/>
          <w:color w:val="auto"/>
          <w:sz w:val="22"/>
          <w:szCs w:val="22"/>
          <w:lang w:val="en-US"/>
        </w:rPr>
        <w:t xml:space="preserve"> et al unpublished; </w:t>
      </w:r>
      <w:r w:rsidR="00A327BE" w:rsidRPr="00E73915">
        <w:rPr>
          <w:rFonts w:asciiTheme="minorHAnsi" w:hAnsiTheme="minorHAnsi" w:cstheme="minorBidi"/>
          <w:color w:val="auto"/>
          <w:sz w:val="22"/>
          <w:szCs w:val="22"/>
          <w:lang w:val="en-US"/>
        </w:rPr>
        <w:fldChar w:fldCharType="begin"/>
      </w:r>
      <w:r w:rsidR="00A327BE" w:rsidRPr="00E73915">
        <w:rPr>
          <w:rFonts w:asciiTheme="minorHAnsi" w:hAnsiTheme="minorHAnsi" w:cstheme="minorBidi"/>
          <w:color w:val="auto"/>
          <w:sz w:val="22"/>
          <w:szCs w:val="22"/>
          <w:lang w:val="en-US"/>
        </w:rPr>
        <w:instrText xml:space="preserve"> ADDIN EN.CITE &lt;EndNote&gt;&lt;Cite&gt;&lt;RecNum&gt;26&lt;/RecNum&gt;&lt;record&gt;&lt;rec-number&gt;26&lt;/rec-number&gt;&lt;foreign-keys&gt;&lt;key app="EN" db-id="9rwdwz9ertf5roea2scxxfeh5fwdfdsff5ep" timestamp="1413341919"&gt;26&lt;/key&gt;&lt;/foreign-keys&gt;&lt;ref-type name="Report"&gt;27&lt;/ref-type&gt;&lt;contributors&gt;&lt;/contributors&gt;&lt;titles&gt;&lt;title&gt;Wong S, Kong AP, Osaki R, Ng VW, Andrea Luk, Chan LL, Lam CC, Lebovitz HE, Ng EK, Chan JC A Prospective Case-Control Study To Compare The Efficacy Of Laparoscopic Placement Of Gastric Contraction Modulator (TANTALUS II - DIAMOND) Versus Supplementary Insulin Treatment In Obese Type 2 Diabetic Patients 2014&lt;/title&gt;&lt;/titles&gt;&lt;dates&gt;&lt;/dates&gt;&lt;urls&gt;&lt;/urls&gt;&lt;/record&gt;&lt;/Cite&gt;&lt;/EndNote&gt;</w:instrText>
      </w:r>
      <w:r w:rsidR="00A327BE" w:rsidRPr="00E73915">
        <w:rPr>
          <w:rFonts w:asciiTheme="minorHAnsi" w:hAnsiTheme="minorHAnsi" w:cstheme="minorBidi"/>
          <w:color w:val="auto"/>
          <w:sz w:val="22"/>
          <w:szCs w:val="22"/>
          <w:lang w:val="en-US"/>
        </w:rPr>
        <w:fldChar w:fldCharType="end"/>
      </w:r>
      <w:r w:rsidR="00A327BE" w:rsidRPr="00E73915">
        <w:rPr>
          <w:rFonts w:asciiTheme="minorHAnsi" w:hAnsiTheme="minorHAnsi" w:cstheme="minorBidi"/>
          <w:color w:val="auto"/>
          <w:sz w:val="22"/>
          <w:szCs w:val="22"/>
          <w:lang w:val="en-US"/>
        </w:rPr>
        <w:t>Wong, Kong, Osaki et al unpublished).</w:t>
      </w:r>
      <w:r w:rsidR="00550BBB" w:rsidRPr="00E73915">
        <w:rPr>
          <w:rFonts w:asciiTheme="minorHAnsi" w:hAnsiTheme="minorHAnsi" w:cstheme="minorBidi"/>
          <w:color w:val="auto"/>
          <w:sz w:val="22"/>
          <w:szCs w:val="22"/>
          <w:lang w:val="en-US"/>
        </w:rPr>
        <w:t xml:space="preserve"> </w:t>
      </w:r>
      <w:r w:rsidR="000B79E8">
        <w:rPr>
          <w:rFonts w:asciiTheme="minorHAnsi" w:hAnsiTheme="minorHAnsi" w:cstheme="minorBidi"/>
          <w:color w:val="auto"/>
          <w:sz w:val="22"/>
          <w:szCs w:val="22"/>
          <w:lang w:val="en-US"/>
        </w:rPr>
        <w:t>T</w:t>
      </w:r>
      <w:r w:rsidR="00A327BE">
        <w:rPr>
          <w:rFonts w:asciiTheme="minorHAnsi" w:hAnsiTheme="minorHAnsi" w:cstheme="minorBidi"/>
          <w:color w:val="auto"/>
          <w:sz w:val="22"/>
          <w:szCs w:val="22"/>
          <w:lang w:val="en-US"/>
        </w:rPr>
        <w:fldChar w:fldCharType="begin"/>
      </w:r>
      <w:r w:rsidR="00A327BE">
        <w:rPr>
          <w:rFonts w:asciiTheme="minorHAnsi" w:hAnsiTheme="minorHAnsi" w:cstheme="minorBidi"/>
          <w:color w:val="auto"/>
          <w:sz w:val="22"/>
          <w:szCs w:val="22"/>
          <w:lang w:val="en-US"/>
        </w:rPr>
        <w:instrText xml:space="preserve"> ADDIN EN.CITE &lt;EndNote&gt;&lt;Cite&gt;&lt;RecNum&gt;22&lt;/RecNum&gt;&lt;record&gt;&lt;rec-number&gt;22&lt;/rec-number&gt;&lt;foreign-keys&gt;&lt;key app="EN" db-id="9rwdwz9ertf5roea2scxxfeh5fwdfdsff5ep" timestamp="1413178829"&gt;22&lt;/key&gt;&lt;/foreign-keys&gt;&lt;ref-type name="Report"&gt;27&lt;/ref-type&gt;&lt;contributors&gt;&lt;/contributors&gt;&lt;titles&gt;&lt;title&gt;Harold E. Lebovitz, Bernhard Ludvik, Jaroslaw Kozakowski, Wieslaw Tarnowski, Mateusz Zelewski, Irit Yaniv, Tse’ela Schwartz Gastric Electrical Stimulation Treatment of Type 2 Diabetes: Effects of Implantation&amp;#xD;versus Chronic Meal-Initiated Stimulation. A Randomized Blinded Cross-over Trial. Unpublished&lt;/title&gt;&lt;/titles&gt;&lt;dates&gt;&lt;/dates&gt;&lt;urls&gt;&lt;related-urls&gt;&lt;url&gt;http://www.quallion.com/sub-mm-implantable.asp&lt;/url&gt;&lt;/related-urls&gt;&lt;/urls&gt;&lt;/record&gt;&lt;/Cite&gt;&lt;Cite&gt;&lt;RecNum&gt;24&lt;/RecNum&gt;&lt;record&gt;&lt;rec-number&gt;24&lt;/rec-number&gt;&lt;foreign-keys&gt;&lt;key app="EN" db-id="9rwdwz9ertf5roea2scxxfeh5fwdfdsff5ep" timestamp="1413340069"&gt;24&lt;/key&gt;&lt;/foreign-keys&gt;&lt;ref-type name="Report"&gt;27&lt;/ref-type&gt;&lt;contributors&gt;&lt;/contributors&gt;&lt;titles&gt;&lt;title&gt;Lebovitz Ludvik Kozakowski &lt;/title&gt;&lt;/titles&gt;&lt;dates&gt;&lt;/dates&gt;&lt;urls&gt;&lt;/urls&gt;&lt;/record&gt;&lt;/Cite&gt;&lt;/EndNote&gt;</w:instrText>
      </w:r>
      <w:r w:rsidR="00A327BE">
        <w:rPr>
          <w:rFonts w:asciiTheme="minorHAnsi" w:hAnsiTheme="minorHAnsi" w:cstheme="minorBidi"/>
          <w:color w:val="auto"/>
          <w:sz w:val="22"/>
          <w:szCs w:val="22"/>
          <w:lang w:val="en-US"/>
        </w:rPr>
        <w:fldChar w:fldCharType="end"/>
      </w:r>
      <w:r w:rsidR="0065029D" w:rsidRPr="00E73915">
        <w:rPr>
          <w:rFonts w:asciiTheme="minorHAnsi" w:hAnsiTheme="minorHAnsi" w:cstheme="minorBidi"/>
          <w:color w:val="auto"/>
          <w:sz w:val="22"/>
          <w:szCs w:val="22"/>
          <w:lang w:val="en-US"/>
        </w:rPr>
        <w:t>he first of these is a cross over study with sham control and the second the control group is injectable insulin.</w:t>
      </w:r>
      <w:r w:rsidR="0065029D">
        <w:rPr>
          <w:rFonts w:asciiTheme="minorHAnsi" w:hAnsiTheme="minorHAnsi" w:cstheme="minorBidi"/>
          <w:color w:val="auto"/>
          <w:sz w:val="22"/>
          <w:szCs w:val="22"/>
          <w:lang w:val="en-US"/>
        </w:rPr>
        <w:t xml:space="preserve"> Both these studies have patients who match the population in the MSAC submission</w:t>
      </w:r>
      <w:r w:rsidR="00686CD6">
        <w:rPr>
          <w:rFonts w:asciiTheme="minorHAnsi" w:hAnsiTheme="minorHAnsi" w:cstheme="minorBidi"/>
          <w:color w:val="auto"/>
          <w:sz w:val="22"/>
          <w:szCs w:val="22"/>
          <w:lang w:val="en-US"/>
        </w:rPr>
        <w:t>. In addition a longer term f</w:t>
      </w:r>
      <w:r w:rsidR="00A833D1">
        <w:rPr>
          <w:rFonts w:asciiTheme="minorHAnsi" w:hAnsiTheme="minorHAnsi" w:cstheme="minorBidi"/>
          <w:color w:val="auto"/>
          <w:sz w:val="22"/>
          <w:szCs w:val="22"/>
          <w:lang w:val="en-US"/>
        </w:rPr>
        <w:t>ollow-</w:t>
      </w:r>
      <w:r w:rsidR="00686CD6">
        <w:rPr>
          <w:rFonts w:asciiTheme="minorHAnsi" w:hAnsiTheme="minorHAnsi" w:cstheme="minorBidi"/>
          <w:color w:val="auto"/>
          <w:sz w:val="22"/>
          <w:szCs w:val="22"/>
          <w:lang w:val="en-US"/>
        </w:rPr>
        <w:t xml:space="preserve">up study provides </w:t>
      </w:r>
      <w:r w:rsidR="00686CD6">
        <w:rPr>
          <w:rFonts w:asciiTheme="minorHAnsi" w:hAnsiTheme="minorHAnsi" w:cstheme="minorBidi"/>
          <w:color w:val="auto"/>
          <w:sz w:val="22"/>
          <w:szCs w:val="22"/>
          <w:lang w:val="en-US"/>
        </w:rPr>
        <w:lastRenderedPageBreak/>
        <w:t xml:space="preserve">further evidence on the positive clinician risk benefit offered by </w:t>
      </w:r>
      <w:r w:rsidR="00686CD6" w:rsidRPr="00B14B8F">
        <w:rPr>
          <w:rFonts w:asciiTheme="minorHAnsi" w:hAnsiTheme="minorHAnsi" w:cstheme="minorBidi"/>
          <w:color w:val="auto"/>
          <w:sz w:val="22"/>
          <w:szCs w:val="22"/>
          <w:lang w:val="en-US"/>
        </w:rPr>
        <w:t>of the DIAMOND</w:t>
      </w:r>
      <w:r w:rsidR="00787F69">
        <w:rPr>
          <w:rFonts w:asciiTheme="minorHAnsi" w:hAnsiTheme="minorHAnsi" w:cstheme="minorBidi"/>
          <w:color w:val="auto"/>
          <w:sz w:val="22"/>
          <w:szCs w:val="22"/>
          <w:lang w:val="en-US"/>
        </w:rPr>
        <w:t>™ system</w:t>
      </w:r>
      <w:r w:rsidR="00686CD6">
        <w:rPr>
          <w:rFonts w:asciiTheme="minorHAnsi" w:hAnsiTheme="minorHAnsi" w:cstheme="minorBidi"/>
          <w:color w:val="auto"/>
          <w:sz w:val="22"/>
          <w:szCs w:val="22"/>
          <w:lang w:val="en-US"/>
        </w:rPr>
        <w:t xml:space="preserve"> in this population.</w:t>
      </w:r>
    </w:p>
    <w:p w:rsidR="00550BBB" w:rsidRDefault="00550BBB" w:rsidP="00E73915">
      <w:pPr>
        <w:rPr>
          <w:lang w:val="en-US"/>
        </w:rPr>
      </w:pPr>
    </w:p>
    <w:p w:rsidR="00DD0E31" w:rsidRDefault="00787F69" w:rsidP="00E73915">
      <w:pPr>
        <w:autoSpaceDE w:val="0"/>
        <w:autoSpaceDN w:val="0"/>
        <w:adjustRightInd w:val="0"/>
        <w:spacing w:after="0"/>
        <w:jc w:val="left"/>
        <w:rPr>
          <w:lang w:val="en-US"/>
        </w:rPr>
      </w:pPr>
      <w:r>
        <w:rPr>
          <w:lang w:val="en-US"/>
        </w:rPr>
        <w:t xml:space="preserve">The criteria for listing includes patients with a BMI </w:t>
      </w:r>
      <w:r w:rsidRPr="00E73915">
        <w:rPr>
          <w:lang w:val="en-US"/>
        </w:rPr>
        <w:t>≥30 kg/m</w:t>
      </w:r>
      <w:r w:rsidRPr="00E73915">
        <w:rPr>
          <w:vertAlign w:val="superscript"/>
          <w:lang w:val="en-US"/>
        </w:rPr>
        <w:t>2</w:t>
      </w:r>
      <w:r w:rsidR="00811B00" w:rsidRPr="00E73915">
        <w:rPr>
          <w:lang w:val="en-US"/>
        </w:rPr>
        <w:t xml:space="preserve"> and &lt;45 kg/m</w:t>
      </w:r>
      <w:r w:rsidR="00811B00" w:rsidRPr="00E73915">
        <w:rPr>
          <w:vertAlign w:val="superscript"/>
          <w:lang w:val="en-US"/>
        </w:rPr>
        <w:t>2</w:t>
      </w:r>
      <w:r w:rsidRPr="00E73915">
        <w:rPr>
          <w:lang w:val="en-US"/>
        </w:rPr>
        <w:t>.</w:t>
      </w:r>
      <w:r w:rsidR="00213BFB">
        <w:rPr>
          <w:lang w:val="en-US"/>
        </w:rPr>
        <w:t xml:space="preserve"> The minimum BMI threshold is in accordance with the approved TGA indication. The indication is for the treatment of diabetic patients who are obese i.e. </w:t>
      </w:r>
      <w:proofErr w:type="gramStart"/>
      <w:r w:rsidR="00213BFB">
        <w:rPr>
          <w:lang w:val="en-US"/>
        </w:rPr>
        <w:t xml:space="preserve">BMI  </w:t>
      </w:r>
      <w:r w:rsidR="00213BFB" w:rsidRPr="00213BFB">
        <w:rPr>
          <w:lang w:val="en-US"/>
        </w:rPr>
        <w:t>≥</w:t>
      </w:r>
      <w:proofErr w:type="gramEnd"/>
      <w:r w:rsidR="00213BFB" w:rsidRPr="00213BFB">
        <w:rPr>
          <w:lang w:val="en-US"/>
        </w:rPr>
        <w:t>30 kg/m</w:t>
      </w:r>
      <w:r w:rsidR="00213BFB" w:rsidRPr="00213BFB">
        <w:rPr>
          <w:vertAlign w:val="superscript"/>
          <w:lang w:val="en-US"/>
        </w:rPr>
        <w:t>2</w:t>
      </w:r>
      <w:r w:rsidR="00213BFB">
        <w:rPr>
          <w:lang w:val="en-US"/>
        </w:rPr>
        <w:t>.</w:t>
      </w:r>
      <w:r w:rsidRPr="00E73915">
        <w:rPr>
          <w:lang w:val="en-US"/>
        </w:rPr>
        <w:t xml:space="preserve"> The cross over study included an obese population</w:t>
      </w:r>
      <w:r w:rsidR="00381A1E" w:rsidRPr="00E73915">
        <w:rPr>
          <w:lang w:val="en-US"/>
        </w:rPr>
        <w:t xml:space="preserve"> (</w:t>
      </w:r>
      <w:r w:rsidR="00A833D1" w:rsidRPr="00E73915">
        <w:rPr>
          <w:lang w:val="en-US"/>
        </w:rPr>
        <w:t xml:space="preserve">mean </w:t>
      </w:r>
      <w:r w:rsidR="00381A1E" w:rsidRPr="00E73915">
        <w:rPr>
          <w:lang w:val="en-US"/>
        </w:rPr>
        <w:t>105</w:t>
      </w:r>
      <w:r w:rsidR="00A833D1" w:rsidRPr="00E73915">
        <w:rPr>
          <w:lang w:val="en-US"/>
        </w:rPr>
        <w:t>.5</w:t>
      </w:r>
      <w:r w:rsidR="00381A1E" w:rsidRPr="00E73915">
        <w:rPr>
          <w:lang w:val="en-US"/>
        </w:rPr>
        <w:t>kg)</w:t>
      </w:r>
      <w:r w:rsidRPr="00E73915">
        <w:rPr>
          <w:lang w:val="en-US"/>
        </w:rPr>
        <w:t xml:space="preserve"> with elevated HbA1c (mean HbA1c 8.3-8.4%, </w:t>
      </w:r>
      <w:proofErr w:type="spellStart"/>
      <w:r w:rsidRPr="00E73915">
        <w:rPr>
          <w:lang w:val="en-US"/>
        </w:rPr>
        <w:t>mmol</w:t>
      </w:r>
      <w:proofErr w:type="spellEnd"/>
      <w:r w:rsidRPr="00E73915">
        <w:rPr>
          <w:lang w:val="en-US"/>
        </w:rPr>
        <w:t>/</w:t>
      </w:r>
      <w:proofErr w:type="spellStart"/>
      <w:r w:rsidRPr="00E73915">
        <w:rPr>
          <w:lang w:val="en-US"/>
        </w:rPr>
        <w:t>mol</w:t>
      </w:r>
      <w:proofErr w:type="spellEnd"/>
      <w:r w:rsidRPr="00E73915">
        <w:rPr>
          <w:lang w:val="en-US"/>
        </w:rPr>
        <w:t xml:space="preserve">). Patients were over 18 years. The controlled trial comparing the </w:t>
      </w:r>
      <w:r w:rsidRPr="00B14B8F">
        <w:rPr>
          <w:lang w:val="en-US"/>
        </w:rPr>
        <w:t>DIAMOND</w:t>
      </w:r>
      <w:r>
        <w:rPr>
          <w:lang w:val="en-US"/>
        </w:rPr>
        <w:t>™ system</w:t>
      </w:r>
      <w:r w:rsidR="00D9085E">
        <w:rPr>
          <w:lang w:val="en-US"/>
        </w:rPr>
        <w:t xml:space="preserve"> </w:t>
      </w:r>
      <w:r w:rsidR="00381A1E">
        <w:rPr>
          <w:lang w:val="en-US"/>
        </w:rPr>
        <w:t xml:space="preserve">and insulin </w:t>
      </w:r>
      <w:r w:rsidR="00D9085E">
        <w:rPr>
          <w:lang w:val="en-US"/>
        </w:rPr>
        <w:t>(</w:t>
      </w:r>
      <w:r w:rsidR="00A327BE" w:rsidRPr="00E73915">
        <w:rPr>
          <w:lang w:val="en-US"/>
        </w:rPr>
        <w:fldChar w:fldCharType="begin"/>
      </w:r>
      <w:r w:rsidR="00A327BE" w:rsidRPr="00E73915">
        <w:rPr>
          <w:lang w:val="en-US"/>
        </w:rPr>
        <w:instrText xml:space="preserve"> ADDIN EN.CITE &lt;EndNote&gt;&lt;Cite&gt;&lt;RecNum&gt;26&lt;/RecNum&gt;&lt;record&gt;&lt;rec-number&gt;26&lt;/rec-number&gt;&lt;foreign-keys&gt;&lt;key app="EN" db-id="9rwdwz9ertf5roea2scxxfeh5fwdfdsff5ep" timestamp="1413341919"&gt;26&lt;/key&gt;&lt;/foreign-keys&gt;&lt;ref-type name="Report"&gt;27&lt;/ref-type&gt;&lt;contributors&gt;&lt;/contributors&gt;&lt;titles&gt;&lt;title&gt;Wong S, Kong AP, Osaki R, Ng VW, Andrea Luk, Chan LL, Lam CC, Lebovitz HE, Ng EK, Chan JC A Prospective Case-Control Study To Compare The Efficacy Of Laparoscopic Placement Of Gastric Contraction Modulator (TANTALUS II - DIAMOND) Versus Supplementary Insulin Treatment In Obese Type 2 Diabetic Patients 2014&lt;/title&gt;&lt;/titles&gt;&lt;dates&gt;&lt;/dates&gt;&lt;urls&gt;&lt;/urls&gt;&lt;/record&gt;&lt;/Cite&gt;&lt;/EndNote&gt;</w:instrText>
      </w:r>
      <w:r w:rsidR="00A327BE" w:rsidRPr="00E73915">
        <w:rPr>
          <w:lang w:val="en-US"/>
        </w:rPr>
        <w:fldChar w:fldCharType="end"/>
      </w:r>
      <w:r w:rsidR="00A327BE" w:rsidRPr="00E73915">
        <w:rPr>
          <w:lang w:val="en-US"/>
        </w:rPr>
        <w:t>Wong, Kong, Osaki et al unpublished</w:t>
      </w:r>
      <w:r w:rsidR="00D9085E">
        <w:rPr>
          <w:lang w:val="en-US"/>
        </w:rPr>
        <w:t xml:space="preserve">) included patients who were on average obese (mean BMI </w:t>
      </w:r>
      <w:r w:rsidR="00D9085E" w:rsidRPr="00E73915">
        <w:rPr>
          <w:lang w:val="en-US"/>
        </w:rPr>
        <w:t>30 kg/m</w:t>
      </w:r>
      <w:r w:rsidR="00D9085E" w:rsidRPr="00E73915">
        <w:rPr>
          <w:vertAlign w:val="superscript"/>
          <w:lang w:val="en-US"/>
        </w:rPr>
        <w:t>2</w:t>
      </w:r>
      <w:r w:rsidR="00D9085E" w:rsidRPr="00E73915">
        <w:rPr>
          <w:lang w:val="en-US"/>
        </w:rPr>
        <w:t xml:space="preserve">), with elevated HbA1c (mean HbA1c 9%, </w:t>
      </w:r>
      <w:proofErr w:type="spellStart"/>
      <w:r w:rsidR="00D9085E" w:rsidRPr="00E73915">
        <w:rPr>
          <w:lang w:val="en-US"/>
        </w:rPr>
        <w:t>mmol</w:t>
      </w:r>
      <w:proofErr w:type="spellEnd"/>
      <w:r w:rsidR="00D9085E" w:rsidRPr="00E73915">
        <w:rPr>
          <w:lang w:val="en-US"/>
        </w:rPr>
        <w:t>/</w:t>
      </w:r>
      <w:proofErr w:type="spellStart"/>
      <w:r w:rsidR="00D9085E" w:rsidRPr="00E73915">
        <w:rPr>
          <w:lang w:val="en-US"/>
        </w:rPr>
        <w:t>mol</w:t>
      </w:r>
      <w:proofErr w:type="spellEnd"/>
      <w:r w:rsidR="00D9085E" w:rsidRPr="00E73915">
        <w:rPr>
          <w:lang w:val="en-US"/>
        </w:rPr>
        <w:t>)</w:t>
      </w:r>
      <w:r w:rsidR="009B55BA" w:rsidRPr="00E73915">
        <w:rPr>
          <w:lang w:val="en-US"/>
        </w:rPr>
        <w:t xml:space="preserve">, had </w:t>
      </w:r>
      <w:r w:rsidR="004B2FB5" w:rsidRPr="00E73915">
        <w:rPr>
          <w:lang w:val="en-US"/>
        </w:rPr>
        <w:t>been on &gt;2 OAD medications</w:t>
      </w:r>
      <w:r w:rsidR="00D9085E" w:rsidRPr="00E73915">
        <w:rPr>
          <w:lang w:val="en-US"/>
        </w:rPr>
        <w:t xml:space="preserve"> and were over 18 years (mean age approximately 48 years).</w:t>
      </w:r>
    </w:p>
    <w:p w:rsidR="00461BF1" w:rsidRDefault="00461BF1" w:rsidP="00E73915">
      <w:pPr>
        <w:autoSpaceDE w:val="0"/>
        <w:autoSpaceDN w:val="0"/>
        <w:adjustRightInd w:val="0"/>
        <w:spacing w:after="0"/>
        <w:jc w:val="left"/>
        <w:rPr>
          <w:lang w:val="en-US"/>
        </w:rPr>
      </w:pPr>
    </w:p>
    <w:p w:rsidR="00787F69" w:rsidRDefault="00D9085E" w:rsidP="00E73915">
      <w:pPr>
        <w:autoSpaceDE w:val="0"/>
        <w:autoSpaceDN w:val="0"/>
        <w:adjustRightInd w:val="0"/>
        <w:spacing w:after="0"/>
        <w:jc w:val="left"/>
        <w:rPr>
          <w:lang w:val="en-US"/>
        </w:rPr>
      </w:pPr>
      <w:r w:rsidRPr="00E73915">
        <w:rPr>
          <w:lang w:val="en-US"/>
        </w:rPr>
        <w:t xml:space="preserve">The evidence around the extra efficacy resulting from the targeting of treatment to patients with fasting plasma triglycerides ≤1.7mmol/l);  is based on the </w:t>
      </w:r>
      <w:r w:rsidR="00C252C3" w:rsidRPr="00C252C3">
        <w:rPr>
          <w:lang w:val="en-US"/>
        </w:rPr>
        <w:t>analys</w:t>
      </w:r>
      <w:r w:rsidR="00C252C3">
        <w:rPr>
          <w:lang w:val="en-US"/>
        </w:rPr>
        <w:t>is</w:t>
      </w:r>
      <w:r w:rsidR="008C43BF" w:rsidRPr="00E73915">
        <w:rPr>
          <w:lang w:val="en-US"/>
        </w:rPr>
        <w:t xml:space="preserve"> which fo</w:t>
      </w:r>
      <w:r w:rsidR="008C43BF">
        <w:rPr>
          <w:lang w:val="en-US"/>
        </w:rPr>
        <w:t>u</w:t>
      </w:r>
      <w:r w:rsidR="008C43BF" w:rsidRPr="00E73915">
        <w:rPr>
          <w:lang w:val="en-US"/>
        </w:rPr>
        <w:t>nd that patients with normal triglyceride levels (fasting plasma triglycerides ≤1.7mmol/l) gained larger reductions in HbA1c than patients with elevated triglycerides</w:t>
      </w:r>
      <w:r w:rsidR="00E732FF">
        <w:rPr>
          <w:lang w:val="en-US"/>
        </w:rPr>
        <w:t xml:space="preserve"> </w:t>
      </w:r>
      <w:r w:rsidR="00E732FF">
        <w:rPr>
          <w:lang w:val="en-US"/>
        </w:rPr>
        <w:fldChar w:fldCharType="begin">
          <w:fldData xml:space="preserve">PEVuZE5vdGU+PENpdGU+PFJlY051bT4yMjwvUmVjTnVtPjxEaXNwbGF5VGV4dD4oTGVib3ZpdHos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</w:fldData>
        </w:fldChar>
      </w:r>
      <w:r w:rsidR="00E732FF">
        <w:rPr>
          <w:lang w:val="en-US"/>
        </w:rPr>
        <w:instrText xml:space="preserve"> ADDIN EN.CITE </w:instrText>
      </w:r>
      <w:r w:rsidR="00E732FF">
        <w:rPr>
          <w:lang w:val="en-US"/>
        </w:rPr>
        <w:fldChar w:fldCharType="begin">
          <w:fldData xml:space="preserve">PEVuZE5vdGU+PENpdGU+PFJlY051bT4yMjwvUmVjTnVtPjxEaXNwbGF5VGV4dD4oTGVib3ZpdHos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</w:fldData>
        </w:fldChar>
      </w:r>
      <w:r w:rsidR="00E732FF">
        <w:rPr>
          <w:lang w:val="en-US"/>
        </w:rPr>
        <w:instrText xml:space="preserve"> ADDIN EN.CITE.DATA </w:instrText>
      </w:r>
      <w:r w:rsidR="00E732FF">
        <w:rPr>
          <w:lang w:val="en-US"/>
        </w:rPr>
      </w:r>
      <w:r w:rsidR="00E732FF">
        <w:rPr>
          <w:lang w:val="en-US"/>
        </w:rPr>
        <w:fldChar w:fldCharType="end"/>
      </w:r>
      <w:r w:rsidR="00E732FF">
        <w:rPr>
          <w:lang w:val="en-US"/>
        </w:rPr>
      </w:r>
      <w:r w:rsidR="00E732FF">
        <w:rPr>
          <w:lang w:val="en-US"/>
        </w:rPr>
        <w:fldChar w:fldCharType="separate"/>
      </w:r>
      <w:r w:rsidR="00E732FF">
        <w:rPr>
          <w:lang w:val="en-US"/>
        </w:rPr>
        <w:t>(</w:t>
      </w:r>
      <w:hyperlink w:anchor="_ENREF_12" w:tooltip="Lebovitz, 2013 #25" w:history="1">
        <w:r w:rsidR="00E732FF">
          <w:rPr>
            <w:lang w:val="en-US"/>
          </w:rPr>
          <w:t>Lebovitz, Ludvik et al. 2013</w:t>
        </w:r>
      </w:hyperlink>
      <w:r w:rsidR="00E732FF">
        <w:rPr>
          <w:lang w:val="en-US"/>
        </w:rPr>
        <w:t>)</w:t>
      </w:r>
      <w:r w:rsidR="00E732FF">
        <w:rPr>
          <w:lang w:val="en-US"/>
        </w:rPr>
        <w:fldChar w:fldCharType="end"/>
      </w:r>
      <w:r w:rsidR="00C252C3">
        <w:rPr>
          <w:lang w:val="en-US"/>
        </w:rPr>
        <w:t>.</w:t>
      </w:r>
    </w:p>
    <w:p w:rsidR="00C252C3" w:rsidRDefault="00C252C3" w:rsidP="00467943">
      <w:pPr>
        <w:autoSpaceDE w:val="0"/>
        <w:autoSpaceDN w:val="0"/>
        <w:adjustRightInd w:val="0"/>
        <w:spacing w:after="0"/>
        <w:jc w:val="left"/>
        <w:rPr>
          <w:lang w:val="en-US"/>
        </w:rPr>
      </w:pPr>
    </w:p>
    <w:p w:rsidR="00C252C3" w:rsidRPr="00E73915" w:rsidRDefault="00C252C3" w:rsidP="00E73915">
      <w:pPr>
        <w:autoSpaceDE w:val="0"/>
        <w:autoSpaceDN w:val="0"/>
        <w:adjustRightInd w:val="0"/>
        <w:spacing w:after="0"/>
        <w:jc w:val="left"/>
      </w:pPr>
      <w:r>
        <w:rPr>
          <w:lang w:val="en-US"/>
        </w:rPr>
        <w:t xml:space="preserve">The definition of patients </w:t>
      </w:r>
      <w:r w:rsidR="001A0E7E">
        <w:rPr>
          <w:lang w:val="en-US"/>
        </w:rPr>
        <w:t xml:space="preserve">with </w:t>
      </w:r>
      <w:r w:rsidR="001E3DCC" w:rsidRPr="008F6F75">
        <w:t>inadequately controlled on standard oral glucose lowering (anti-diabetic) therapy</w:t>
      </w:r>
      <w:r w:rsidR="001E3DCC">
        <w:t xml:space="preserve"> would </w:t>
      </w:r>
      <w:r w:rsidR="004D6EF1">
        <w:t>be</w:t>
      </w:r>
      <w:r w:rsidR="001E3DCC">
        <w:t xml:space="preserve"> patients </w:t>
      </w:r>
      <w:r w:rsidR="0078240C">
        <w:t xml:space="preserve">who </w:t>
      </w:r>
      <w:r w:rsidR="001E3DCC">
        <w:t xml:space="preserve">have an elevated </w:t>
      </w:r>
      <w:r w:rsidR="001E3DCC" w:rsidRPr="008F6F75">
        <w:t xml:space="preserve">HbA1c </w:t>
      </w:r>
      <w:r w:rsidR="006E0168">
        <w:t>(≥</w:t>
      </w:r>
      <w:r w:rsidR="001E3DCC" w:rsidRPr="008F6F75">
        <w:t>7.5%</w:t>
      </w:r>
      <w:r w:rsidR="0078240C">
        <w:t>)</w:t>
      </w:r>
      <w:r w:rsidR="001E3DCC" w:rsidRPr="008F6F75">
        <w:t xml:space="preserve"> </w:t>
      </w:r>
      <w:r w:rsidR="001E3DCC">
        <w:t xml:space="preserve">and </w:t>
      </w:r>
      <w:r w:rsidR="00461BF1">
        <w:t xml:space="preserve">for who </w:t>
      </w:r>
      <w:r w:rsidR="00CA1741">
        <w:t xml:space="preserve">for all </w:t>
      </w:r>
      <w:r w:rsidR="00461BF1">
        <w:t xml:space="preserve">PBS listed oral anti-diabetic medications </w:t>
      </w:r>
      <w:r w:rsidR="00461BF1">
        <w:rPr>
          <w:rFonts w:ascii="Arial" w:hAnsi="Arial" w:cs="Arial"/>
          <w:color w:val="222222"/>
          <w:sz w:val="20"/>
          <w:szCs w:val="20"/>
        </w:rPr>
        <w:t>ha</w:t>
      </w:r>
      <w:r w:rsidR="00CA1741">
        <w:rPr>
          <w:rFonts w:ascii="Arial" w:hAnsi="Arial" w:cs="Arial"/>
          <w:color w:val="222222"/>
          <w:sz w:val="20"/>
          <w:szCs w:val="20"/>
        </w:rPr>
        <w:t>ve</w:t>
      </w:r>
      <w:r w:rsidR="00461BF1">
        <w:rPr>
          <w:rFonts w:ascii="Arial" w:hAnsi="Arial" w:cs="Arial"/>
          <w:color w:val="222222"/>
          <w:sz w:val="20"/>
          <w:szCs w:val="20"/>
        </w:rPr>
        <w:t xml:space="preserve"> failed or </w:t>
      </w:r>
      <w:r w:rsidR="00CA1741">
        <w:rPr>
          <w:rFonts w:ascii="Arial" w:hAnsi="Arial" w:cs="Arial"/>
          <w:color w:val="222222"/>
          <w:sz w:val="20"/>
          <w:szCs w:val="20"/>
        </w:rPr>
        <w:t>are</w:t>
      </w:r>
      <w:r w:rsidR="00461BF1">
        <w:rPr>
          <w:rFonts w:ascii="Arial" w:hAnsi="Arial" w:cs="Arial"/>
          <w:color w:val="222222"/>
          <w:sz w:val="20"/>
          <w:szCs w:val="20"/>
        </w:rPr>
        <w:t xml:space="preserve"> inappropriate</w:t>
      </w:r>
      <w:r w:rsidR="001E3DCC">
        <w:t>.</w:t>
      </w:r>
      <w:r w:rsidR="004D6EF1">
        <w:t xml:space="preserve"> </w:t>
      </w:r>
      <w:r w:rsidR="00461BF1">
        <w:t>Therefore, t</w:t>
      </w:r>
      <w:r w:rsidR="004D6EF1">
        <w:t>hese therapies would include all oral anti-diabetic drugs available through public sub</w:t>
      </w:r>
      <w:r w:rsidR="0078240C">
        <w:t>sidy</w:t>
      </w:r>
      <w:r w:rsidR="004D6EF1">
        <w:t xml:space="preserve"> </w:t>
      </w:r>
      <w:r w:rsidR="0078240C">
        <w:t>on the PBS</w:t>
      </w:r>
      <w:r w:rsidR="004D6EF1">
        <w:t>. Th</w:t>
      </w:r>
      <w:r w:rsidR="0078240C">
        <w:t xml:space="preserve">ese treatments would </w:t>
      </w:r>
      <w:r w:rsidR="004D6EF1">
        <w:t>include m</w:t>
      </w:r>
      <w:r w:rsidR="004D6EF1" w:rsidRPr="00AC5D31">
        <w:t>etformin</w:t>
      </w:r>
      <w:r w:rsidR="004D6EF1">
        <w:t>,</w:t>
      </w:r>
      <w:r w:rsidR="004D6EF1" w:rsidRPr="00AC5D31">
        <w:t xml:space="preserve"> </w:t>
      </w:r>
      <w:proofErr w:type="spellStart"/>
      <w:r w:rsidR="004D6EF1">
        <w:t>s</w:t>
      </w:r>
      <w:r w:rsidR="004D6EF1" w:rsidRPr="00AC5D31">
        <w:t>ulphonylure</w:t>
      </w:r>
      <w:r w:rsidR="004D6EF1">
        <w:t>a</w:t>
      </w:r>
      <w:proofErr w:type="spellEnd"/>
      <w:r w:rsidR="004D6EF1">
        <w:t xml:space="preserve">, </w:t>
      </w:r>
      <w:r w:rsidR="0078240C">
        <w:t>t</w:t>
      </w:r>
      <w:r w:rsidR="004D6EF1" w:rsidRPr="00E73915">
        <w:t xml:space="preserve">hiazolidinedione, a DPP4 inhibitor, </w:t>
      </w:r>
      <w:proofErr w:type="spellStart"/>
      <w:r w:rsidR="0078240C">
        <w:t>a</w:t>
      </w:r>
      <w:r w:rsidR="004D6EF1" w:rsidRPr="00E73915">
        <w:t>carbose</w:t>
      </w:r>
      <w:proofErr w:type="spellEnd"/>
      <w:r w:rsidR="004D6EF1" w:rsidRPr="00E73915">
        <w:t xml:space="preserve"> and a SGLT 2 inhibitor.</w:t>
      </w:r>
      <w:r w:rsidR="005355C0">
        <w:t xml:space="preserve"> The </w:t>
      </w:r>
      <w:r w:rsidR="006E0168">
        <w:t>Australian General</w:t>
      </w:r>
      <w:r w:rsidR="005355C0" w:rsidRPr="00E73915">
        <w:t xml:space="preserve"> </w:t>
      </w:r>
      <w:r w:rsidR="00B276DC">
        <w:t>P</w:t>
      </w:r>
      <w:r w:rsidR="00B276DC" w:rsidRPr="00E73915">
        <w:t xml:space="preserve">ractice </w:t>
      </w:r>
      <w:r w:rsidR="005355C0" w:rsidRPr="00E73915">
        <w:t>management of type 2 diabetes</w:t>
      </w:r>
      <w:r w:rsidR="005355C0">
        <w:t xml:space="preserve"> guidelines 2014-15 recommends that the goal for op</w:t>
      </w:r>
      <w:r w:rsidR="007F6EA1">
        <w:t>t</w:t>
      </w:r>
      <w:r w:rsidR="005355C0">
        <w:t>imum management</w:t>
      </w:r>
      <w:r w:rsidR="007F6EA1">
        <w:t xml:space="preserve"> </w:t>
      </w:r>
      <w:r w:rsidR="005355C0">
        <w:t xml:space="preserve">of Type 2 diabetes should be to target HbA1c to a level of </w:t>
      </w:r>
      <w:r w:rsidR="005355C0" w:rsidRPr="00E73915">
        <w:t>≤7%</w:t>
      </w:r>
      <w:r w:rsidR="005355C0">
        <w:t xml:space="preserve"> </w:t>
      </w:r>
      <w:proofErr w:type="spellStart"/>
      <w:r w:rsidR="005355C0" w:rsidRPr="00E73915">
        <w:t>mmol</w:t>
      </w:r>
      <w:proofErr w:type="spellEnd"/>
      <w:r w:rsidR="005355C0" w:rsidRPr="00E73915">
        <w:t>/</w:t>
      </w:r>
      <w:proofErr w:type="spellStart"/>
      <w:r w:rsidR="005355C0" w:rsidRPr="00E73915">
        <w:t>mol</w:t>
      </w:r>
      <w:proofErr w:type="spellEnd"/>
      <w:r w:rsidR="005355C0" w:rsidRPr="00E73915">
        <w:t xml:space="preserve"> (range</w:t>
      </w:r>
      <w:r w:rsidR="005355C0">
        <w:t xml:space="preserve"> b</w:t>
      </w:r>
      <w:r w:rsidR="005355C0" w:rsidRPr="00E73915">
        <w:t>etween 6.5 and 7.5%).</w:t>
      </w:r>
      <w:r w:rsidR="005355C0">
        <w:t xml:space="preserve"> </w:t>
      </w:r>
      <w:r w:rsidR="00994358">
        <w:t xml:space="preserve">(RACGP 2014-15 </w:t>
      </w:r>
      <w:r w:rsidR="00E732FF">
        <w:t xml:space="preserve">page </w:t>
      </w:r>
      <w:proofErr w:type="gramStart"/>
      <w:r w:rsidR="00E732FF">
        <w:t>iv</w:t>
      </w:r>
      <w:proofErr w:type="gramEnd"/>
      <w:r w:rsidR="00E732FF">
        <w:t>, Table 2</w:t>
      </w:r>
      <w:r w:rsidR="00994358">
        <w:t>).</w:t>
      </w:r>
    </w:p>
    <w:p w:rsidR="00787F69" w:rsidRPr="005355C0" w:rsidRDefault="00787F69" w:rsidP="00E73915"/>
    <w:p w:rsidR="000B7DA8" w:rsidRPr="008F6F75" w:rsidRDefault="009E20B0" w:rsidP="00EC22CE">
      <w:pPr>
        <w:keepNext/>
      </w:pPr>
      <w:r w:rsidRPr="008F6F75">
        <w:t>As outlined above, the proposed</w:t>
      </w:r>
      <w:r w:rsidR="00610343" w:rsidRPr="008F6F75">
        <w:t xml:space="preserve"> patient population for which MBS listing is being sought includes patients with T2DM who are</w:t>
      </w:r>
      <w:r w:rsidR="000B7DA8" w:rsidRPr="008F6F75">
        <w:t>:</w:t>
      </w:r>
    </w:p>
    <w:p w:rsidR="000B7DA8" w:rsidRPr="008F6F75" w:rsidRDefault="00610343" w:rsidP="008F6F75">
      <w:pPr>
        <w:pStyle w:val="ListParagraph"/>
        <w:numPr>
          <w:ilvl w:val="0"/>
          <w:numId w:val="11"/>
        </w:numPr>
      </w:pPr>
      <w:r w:rsidRPr="008F6F75">
        <w:t>obese (BMI ≥30 kg/m</w:t>
      </w:r>
      <w:r w:rsidRPr="008F6F75">
        <w:rPr>
          <w:vertAlign w:val="superscript"/>
        </w:rPr>
        <w:t>2</w:t>
      </w:r>
      <w:r w:rsidR="00811B00">
        <w:t xml:space="preserve"> and </w:t>
      </w:r>
      <w:r w:rsidR="00811B00" w:rsidRPr="00E73915">
        <w:rPr>
          <w:u w:val="single"/>
        </w:rPr>
        <w:t>&lt;</w:t>
      </w:r>
      <w:r w:rsidR="00811B00">
        <w:t>45</w:t>
      </w:r>
      <w:r w:rsidR="00811B00" w:rsidRPr="00811B00">
        <w:t xml:space="preserve"> </w:t>
      </w:r>
      <w:r w:rsidR="00811B00" w:rsidRPr="008F6F75">
        <w:t>kg/m</w:t>
      </w:r>
      <w:r w:rsidR="00811B00" w:rsidRPr="008F6F75">
        <w:rPr>
          <w:vertAlign w:val="superscript"/>
        </w:rPr>
        <w:t>2</w:t>
      </w:r>
      <w:r w:rsidR="000B7DA8" w:rsidRPr="008F6F75">
        <w:t>);</w:t>
      </w:r>
      <w:r w:rsidRPr="008F6F75">
        <w:t xml:space="preserve"> </w:t>
      </w:r>
    </w:p>
    <w:p w:rsidR="000B7DA8" w:rsidRPr="008F6F75" w:rsidRDefault="00610343" w:rsidP="008F6F75">
      <w:pPr>
        <w:pStyle w:val="ListParagraph"/>
        <w:numPr>
          <w:ilvl w:val="0"/>
          <w:numId w:val="11"/>
        </w:numPr>
      </w:pPr>
      <w:r w:rsidRPr="008F6F75">
        <w:t>inadequately controlled on standard oral glucose lowering (anti-diabetic) therapy</w:t>
      </w:r>
      <w:r w:rsidR="000B7DA8" w:rsidRPr="008F6F75">
        <w:t>;</w:t>
      </w:r>
    </w:p>
    <w:p w:rsidR="000B7DA8" w:rsidRPr="008F6F75" w:rsidRDefault="00610343" w:rsidP="008F6F75">
      <w:pPr>
        <w:pStyle w:val="ListParagraph"/>
        <w:numPr>
          <w:ilvl w:val="0"/>
          <w:numId w:val="11"/>
        </w:numPr>
      </w:pPr>
      <w:r w:rsidRPr="008F6F75">
        <w:t xml:space="preserve">aged </w:t>
      </w:r>
      <w:r w:rsidR="000B7DA8" w:rsidRPr="008F6F75">
        <w:t>≥ 18 years;</w:t>
      </w:r>
      <w:r w:rsidRPr="008F6F75">
        <w:t xml:space="preserve"> </w:t>
      </w:r>
    </w:p>
    <w:p w:rsidR="000B7DA8" w:rsidRPr="008F6F75" w:rsidRDefault="00610343" w:rsidP="008F6F75">
      <w:pPr>
        <w:pStyle w:val="ListParagraph"/>
        <w:numPr>
          <w:ilvl w:val="0"/>
          <w:numId w:val="11"/>
        </w:numPr>
      </w:pPr>
      <w:r w:rsidRPr="008F6F75">
        <w:t>have normal triglyceride levels (fasting plasma triglycerides ≤1.7mmol/l)</w:t>
      </w:r>
      <w:r w:rsidR="000B7DA8" w:rsidRPr="008F6F75">
        <w:t>;</w:t>
      </w:r>
      <w:r w:rsidRPr="008F6F75">
        <w:t xml:space="preserve"> </w:t>
      </w:r>
    </w:p>
    <w:p w:rsidR="00610343" w:rsidRPr="008F6F75" w:rsidRDefault="00610343" w:rsidP="008F6F75">
      <w:pPr>
        <w:pStyle w:val="ListParagraph"/>
        <w:numPr>
          <w:ilvl w:val="0"/>
          <w:numId w:val="11"/>
        </w:numPr>
      </w:pPr>
      <w:r w:rsidRPr="008F6F75">
        <w:t>HbA1c ≥ 7.5%</w:t>
      </w:r>
      <w:r w:rsidR="002B1DCA">
        <w:t xml:space="preserve"> and </w:t>
      </w:r>
      <w:r w:rsidR="002B1DCA" w:rsidRPr="00E73915">
        <w:rPr>
          <w:u w:val="single"/>
        </w:rPr>
        <w:t>&lt;</w:t>
      </w:r>
      <w:r w:rsidR="002B1DCA">
        <w:t>10%</w:t>
      </w:r>
      <w:r w:rsidRPr="008F6F75">
        <w:t xml:space="preserve">. </w:t>
      </w:r>
    </w:p>
    <w:p w:rsidR="00610343" w:rsidRPr="008F6F75" w:rsidRDefault="00610343" w:rsidP="008F6F75">
      <w:r w:rsidRPr="008F6F75">
        <w:t xml:space="preserve">The key clinical evidence </w:t>
      </w:r>
      <w:r w:rsidR="000B7DA8" w:rsidRPr="008F6F75">
        <w:t xml:space="preserve">which will be included in the MSAC submission will include the above proposed population. </w:t>
      </w:r>
      <w:r w:rsidR="002B1DCA">
        <w:t>Data will be presented from the trial population. Additionally, s</w:t>
      </w:r>
      <w:r w:rsidR="009E20B0" w:rsidRPr="008F6F75">
        <w:t>ubpopulation data will be extracted from the relevant clinical trials where appropriate, to assess the clinical efficacy and cost-effectiveness in this group of patients</w:t>
      </w:r>
      <w:r w:rsidR="00D1137D" w:rsidRPr="008F6F75">
        <w:t>.</w:t>
      </w:r>
    </w:p>
    <w:p w:rsidR="00461BF1" w:rsidRPr="00DD6C77" w:rsidRDefault="009E20B0" w:rsidP="00461BF1">
      <w:pPr>
        <w:ind w:left="360"/>
        <w:rPr>
          <w:i/>
        </w:rPr>
      </w:pPr>
      <w:r w:rsidRPr="008F6F75">
        <w:t xml:space="preserve">The benefits of GCM therapy in </w:t>
      </w:r>
      <w:r w:rsidR="00461BF1">
        <w:t>proposed</w:t>
      </w:r>
      <w:r w:rsidRPr="008F6F75">
        <w:t xml:space="preserve"> population</w:t>
      </w:r>
      <w:r w:rsidR="00FF4058" w:rsidRPr="008F6F75">
        <w:t xml:space="preserve"> </w:t>
      </w:r>
      <w:r w:rsidR="00461BF1">
        <w:t>is</w:t>
      </w:r>
      <w:r w:rsidR="00461BF1" w:rsidRPr="008F6F75">
        <w:t xml:space="preserve"> </w:t>
      </w:r>
      <w:r w:rsidR="00FF4058" w:rsidRPr="008F6F75">
        <w:t>outlined below.</w:t>
      </w:r>
    </w:p>
    <w:p w:rsidR="00866FB0" w:rsidRDefault="00BA6E03" w:rsidP="00461BF1">
      <w:pPr>
        <w:rPr>
          <w:lang w:val="en-US"/>
        </w:rPr>
      </w:pPr>
      <w:r w:rsidRPr="00DD6C77">
        <w:rPr>
          <w:i/>
        </w:rPr>
        <w:t xml:space="preserve">“Patients for who </w:t>
      </w:r>
      <w:r w:rsidRPr="00DD6C77">
        <w:rPr>
          <w:rFonts w:ascii="Arial" w:hAnsi="Arial" w:cs="Arial"/>
          <w:i/>
          <w:color w:val="222222"/>
          <w:sz w:val="20"/>
          <w:szCs w:val="20"/>
        </w:rPr>
        <w:t xml:space="preserve">all </w:t>
      </w:r>
      <w:r w:rsidRPr="00DD6C77">
        <w:rPr>
          <w:i/>
        </w:rPr>
        <w:t xml:space="preserve">PBS listed oral anti-diabetic medications </w:t>
      </w:r>
      <w:r w:rsidRPr="00DD6C77">
        <w:rPr>
          <w:rFonts w:ascii="Arial" w:hAnsi="Arial" w:cs="Arial"/>
          <w:i/>
          <w:color w:val="222222"/>
          <w:sz w:val="20"/>
          <w:szCs w:val="20"/>
        </w:rPr>
        <w:t>have failed or are inappropriate</w:t>
      </w:r>
      <w:r w:rsidRPr="00DD6C77">
        <w:rPr>
          <w:i/>
        </w:rPr>
        <w:t xml:space="preserve"> </w:t>
      </w:r>
      <w:r>
        <w:rPr>
          <w:i/>
        </w:rPr>
        <w:t>and as an alternative to injectable therapies</w:t>
      </w:r>
      <w:r w:rsidR="00B276DC">
        <w:rPr>
          <w:i/>
        </w:rPr>
        <w:t xml:space="preserve"> or bariatric surgery</w:t>
      </w:r>
      <w:r>
        <w:rPr>
          <w:i/>
        </w:rPr>
        <w:t xml:space="preserve">.” </w:t>
      </w:r>
      <w:r w:rsidRPr="00DD6C77">
        <w:rPr>
          <w:i/>
        </w:rPr>
        <w:t xml:space="preserve"> </w:t>
      </w:r>
    </w:p>
    <w:p w:rsidR="004E3189" w:rsidRPr="008F6F75" w:rsidRDefault="00DD0A74" w:rsidP="00866FB0">
      <w:r w:rsidRPr="008F6F75">
        <w:lastRenderedPageBreak/>
        <w:t>A major problem for managing T2DM is the need for intensification of therapies</w:t>
      </w:r>
      <w:r w:rsidR="004E3189" w:rsidRPr="008F6F75">
        <w:t>, often by the addition of new agents and</w:t>
      </w:r>
      <w:r w:rsidRPr="008F6F75">
        <w:t xml:space="preserve"> increasing doses over time. Once oral therapies are no longer ach</w:t>
      </w:r>
      <w:r w:rsidR="00584D47" w:rsidRPr="008F6F75">
        <w:t xml:space="preserve">ieving an appropriate response </w:t>
      </w:r>
      <w:r w:rsidRPr="008F6F75">
        <w:t>as defined by HbA1c, injectable therapies are often the only alternative</w:t>
      </w:r>
      <w:r w:rsidR="00D1137D" w:rsidRPr="008F6F75">
        <w:t>.</w:t>
      </w:r>
      <w:r w:rsidR="004E3189" w:rsidRPr="008F6F75">
        <w:t xml:space="preserve"> </w:t>
      </w:r>
    </w:p>
    <w:p w:rsidR="00584D47" w:rsidRPr="008F6F75" w:rsidRDefault="00584D47" w:rsidP="008F6F75">
      <w:pPr>
        <w:pStyle w:val="AB-podstawowy"/>
        <w:tabs>
          <w:tab w:val="left" w:pos="8399"/>
        </w:tabs>
        <w:spacing w:line="276" w:lineRule="auto"/>
        <w:jc w:val="both"/>
        <w:rPr>
          <w:szCs w:val="22"/>
        </w:rPr>
      </w:pPr>
      <w:r w:rsidRPr="008F6F75">
        <w:rPr>
          <w:szCs w:val="22"/>
        </w:rPr>
        <w:t xml:space="preserve">As outlined previously, uncontrolled </w:t>
      </w:r>
      <w:r w:rsidR="00D1137D" w:rsidRPr="008F6F75">
        <w:rPr>
          <w:szCs w:val="22"/>
        </w:rPr>
        <w:t xml:space="preserve">T2DM </w:t>
      </w:r>
      <w:r w:rsidRPr="008F6F75">
        <w:rPr>
          <w:szCs w:val="22"/>
        </w:rPr>
        <w:t xml:space="preserve">is associated with a range of </w:t>
      </w:r>
      <w:proofErr w:type="spellStart"/>
      <w:r w:rsidRPr="008F6F75">
        <w:rPr>
          <w:szCs w:val="22"/>
        </w:rPr>
        <w:t>macrovascular</w:t>
      </w:r>
      <w:proofErr w:type="spellEnd"/>
      <w:r w:rsidRPr="008F6F75">
        <w:rPr>
          <w:szCs w:val="22"/>
        </w:rPr>
        <w:t xml:space="preserve"> and microvascular complications, including an </w:t>
      </w:r>
      <w:r w:rsidRPr="008F6F75">
        <w:rPr>
          <w:szCs w:val="22"/>
          <w:lang w:val="en-GB"/>
        </w:rPr>
        <w:t>increased risk of cardiovascular mortality</w:t>
      </w:r>
      <w:r w:rsidRPr="008F6F75">
        <w:rPr>
          <w:szCs w:val="22"/>
        </w:rPr>
        <w:t>.  Also neuropathy, severe renal insufficiency, retinopathy and leg ulcers developed in the course of inadequately controlled T2DM will contribute to the increased mortality and morbidity</w:t>
      </w:r>
      <w:r w:rsidR="00D1137D" w:rsidRPr="008F6F75">
        <w:rPr>
          <w:szCs w:val="22"/>
        </w:rPr>
        <w:t xml:space="preserve">. These </w:t>
      </w:r>
      <w:r w:rsidRPr="008F6F75">
        <w:rPr>
          <w:szCs w:val="22"/>
        </w:rPr>
        <w:t xml:space="preserve">are associated with ongoing </w:t>
      </w:r>
      <w:r w:rsidR="00D1137D" w:rsidRPr="008F6F75">
        <w:rPr>
          <w:szCs w:val="22"/>
        </w:rPr>
        <w:t xml:space="preserve">medical management challenges as well as significant </w:t>
      </w:r>
      <w:r w:rsidRPr="008F6F75">
        <w:rPr>
          <w:szCs w:val="22"/>
        </w:rPr>
        <w:t>costs to</w:t>
      </w:r>
      <w:r w:rsidR="00D94AB3">
        <w:rPr>
          <w:szCs w:val="22"/>
        </w:rPr>
        <w:t xml:space="preserve"> the healthcare system.</w:t>
      </w:r>
    </w:p>
    <w:p w:rsidR="004E3189" w:rsidRPr="008F6F75" w:rsidRDefault="004E3189" w:rsidP="008F6F75"/>
    <w:p w:rsidR="00BC4EFE" w:rsidRPr="008F6F75" w:rsidRDefault="00BC4EFE" w:rsidP="008F6F75">
      <w:pPr>
        <w:pStyle w:val="Quote"/>
        <w:spacing w:line="276" w:lineRule="auto"/>
        <w:rPr>
          <w:szCs w:val="22"/>
        </w:rPr>
      </w:pPr>
      <w:r w:rsidRPr="008F6F75">
        <w:rPr>
          <w:szCs w:val="22"/>
        </w:rPr>
        <w:t>Provide details on the expected utilisation, if the service is to be publicly funded.</w:t>
      </w:r>
    </w:p>
    <w:p w:rsidR="00E73915" w:rsidRDefault="008F6F75" w:rsidP="00E73915">
      <w:r w:rsidRPr="008F6F75">
        <w:t>Table 1</w:t>
      </w:r>
      <w:r w:rsidR="002E26D0" w:rsidRPr="008F6F75">
        <w:t xml:space="preserve"> </w:t>
      </w:r>
      <w:r w:rsidR="00196966" w:rsidRPr="008F6F75">
        <w:t xml:space="preserve">provides a preliminary </w:t>
      </w:r>
      <w:r w:rsidR="00E72DA9" w:rsidRPr="008F6F75">
        <w:t xml:space="preserve">estimate of the </w:t>
      </w:r>
      <w:r w:rsidR="002E26D0" w:rsidRPr="008F6F75">
        <w:t xml:space="preserve">prevalent </w:t>
      </w:r>
      <w:r w:rsidR="00E72DA9" w:rsidRPr="008F6F75">
        <w:t>pool of patients</w:t>
      </w:r>
      <w:r w:rsidR="002E26D0" w:rsidRPr="008F6F75">
        <w:t xml:space="preserve"> who are potential candidates for</w:t>
      </w:r>
      <w:r w:rsidR="00E72DA9" w:rsidRPr="008F6F75">
        <w:t xml:space="preserve"> </w:t>
      </w:r>
      <w:r w:rsidRPr="008F6F75">
        <w:t>GCM therapy</w:t>
      </w:r>
      <w:r w:rsidR="002E26D0" w:rsidRPr="008F6F75">
        <w:t xml:space="preserve"> on the MBS.</w:t>
      </w:r>
      <w:r w:rsidR="00BB76E1" w:rsidRPr="008F6F75">
        <w:t xml:space="preserve"> These preliminary estimates suggest a prevalent pool of </w:t>
      </w:r>
      <w:r w:rsidRPr="008F6F75">
        <w:t>approximatel</w:t>
      </w:r>
      <w:r w:rsidR="009F729B">
        <w:t xml:space="preserve">y </w:t>
      </w:r>
      <w:r w:rsidR="00E732FF">
        <w:t>19,396</w:t>
      </w:r>
      <w:r w:rsidRPr="008F6F75">
        <w:t xml:space="preserve"> patients who could be eligible for GCM therapy in Australia.</w:t>
      </w:r>
    </w:p>
    <w:p w:rsidR="00E73915" w:rsidRDefault="008F6F75" w:rsidP="00E73915">
      <w:r w:rsidRPr="00E73915">
        <w:t>The uptake of GCM therapy has not been considered for the two proposed populations, and this analysis will be included in the MSAC submission.</w:t>
      </w:r>
      <w:r w:rsidRPr="008F6F75">
        <w:t xml:space="preserve"> </w:t>
      </w:r>
    </w:p>
    <w:p w:rsidR="008F6F75" w:rsidRDefault="008F6F75" w:rsidP="00FE6BB6">
      <w:pPr>
        <w:pStyle w:val="Caption"/>
        <w:spacing w:line="276" w:lineRule="auto"/>
        <w:rPr>
          <w:rFonts w:asciiTheme="minorHAnsi" w:hAnsiTheme="minorHAnsi"/>
        </w:rPr>
      </w:pPr>
      <w:r w:rsidRPr="008F6F75">
        <w:rPr>
          <w:rFonts w:asciiTheme="minorHAnsi" w:hAnsiTheme="minorHAnsi"/>
        </w:rPr>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8B567B">
        <w:rPr>
          <w:rFonts w:asciiTheme="minorHAnsi" w:hAnsiTheme="minorHAnsi"/>
          <w:noProof/>
        </w:rPr>
        <w:t>1</w:t>
      </w:r>
      <w:r w:rsidR="0052566B" w:rsidRPr="008F6F75">
        <w:rPr>
          <w:rFonts w:asciiTheme="minorHAnsi" w:hAnsiTheme="minorHAnsi"/>
        </w:rPr>
        <w:fldChar w:fldCharType="end"/>
      </w:r>
      <w:r w:rsidRPr="008F6F75">
        <w:rPr>
          <w:rFonts w:asciiTheme="minorHAnsi" w:hAnsiTheme="minorHAnsi"/>
          <w:b w:val="0"/>
        </w:rPr>
        <w:tab/>
      </w:r>
      <w:r w:rsidRPr="008F6F75">
        <w:rPr>
          <w:rFonts w:asciiTheme="minorHAnsi" w:hAnsiTheme="minorHAnsi"/>
        </w:rPr>
        <w:t>Estimation of prevalent pool of potential candidate patients for the DIAMOND™ system</w:t>
      </w:r>
    </w:p>
    <w:tbl>
      <w:tblPr>
        <w:tblStyle w:val="TableGrid"/>
        <w:tblW w:w="0" w:type="auto"/>
        <w:tblLayout w:type="fixed"/>
        <w:tblLook w:val="04A0" w:firstRow="1" w:lastRow="0" w:firstColumn="1" w:lastColumn="0" w:noHBand="0" w:noVBand="1"/>
        <w:tblCaption w:val="Table 1 Estimation of prevalent pool of potential candidate patients for the DIAMOND™ system"/>
      </w:tblPr>
      <w:tblGrid>
        <w:gridCol w:w="1384"/>
        <w:gridCol w:w="1418"/>
        <w:gridCol w:w="1842"/>
        <w:gridCol w:w="4620"/>
      </w:tblGrid>
      <w:tr w:rsidR="009F729B" w:rsidTr="00D430F5">
        <w:trPr>
          <w:tblHeader/>
        </w:trPr>
        <w:tc>
          <w:tcPr>
            <w:tcW w:w="1384" w:type="dxa"/>
          </w:tcPr>
          <w:p w:rsidR="009F729B" w:rsidRPr="00BB3884" w:rsidRDefault="009F729B" w:rsidP="00FE6BB6">
            <w:pPr>
              <w:keepNext/>
              <w:rPr>
                <w:b/>
              </w:rPr>
            </w:pPr>
            <w:r w:rsidRPr="00BB3884">
              <w:rPr>
                <w:b/>
              </w:rPr>
              <w:t>Population</w:t>
            </w:r>
          </w:p>
        </w:tc>
        <w:tc>
          <w:tcPr>
            <w:tcW w:w="1418" w:type="dxa"/>
          </w:tcPr>
          <w:p w:rsidR="009F729B" w:rsidRPr="00BB3884" w:rsidRDefault="009F729B" w:rsidP="00FE6BB6">
            <w:pPr>
              <w:keepNext/>
              <w:rPr>
                <w:b/>
              </w:rPr>
            </w:pPr>
            <w:r w:rsidRPr="00BB3884">
              <w:rPr>
                <w:b/>
              </w:rPr>
              <w:t>Estimated prevalence</w:t>
            </w:r>
          </w:p>
        </w:tc>
        <w:tc>
          <w:tcPr>
            <w:tcW w:w="1842" w:type="dxa"/>
          </w:tcPr>
          <w:p w:rsidR="009F729B" w:rsidRPr="00BB3884" w:rsidRDefault="009F729B" w:rsidP="00FE6BB6">
            <w:pPr>
              <w:keepNext/>
              <w:rPr>
                <w:b/>
              </w:rPr>
            </w:pPr>
            <w:r w:rsidRPr="00BB3884">
              <w:rPr>
                <w:b/>
              </w:rPr>
              <w:t>Number of Australians</w:t>
            </w:r>
          </w:p>
        </w:tc>
        <w:tc>
          <w:tcPr>
            <w:tcW w:w="4620" w:type="dxa"/>
          </w:tcPr>
          <w:p w:rsidR="009F729B" w:rsidRPr="00BB3884" w:rsidRDefault="009F729B" w:rsidP="00FE6BB6">
            <w:pPr>
              <w:keepNext/>
              <w:rPr>
                <w:b/>
              </w:rPr>
            </w:pPr>
            <w:r w:rsidRPr="00BB3884">
              <w:rPr>
                <w:b/>
              </w:rPr>
              <w:t>Source</w:t>
            </w:r>
          </w:p>
        </w:tc>
      </w:tr>
      <w:tr w:rsidR="00C37914" w:rsidTr="00D430F5">
        <w:trPr>
          <w:trHeight w:val="641"/>
        </w:trPr>
        <w:tc>
          <w:tcPr>
            <w:tcW w:w="1384" w:type="dxa"/>
          </w:tcPr>
          <w:p w:rsidR="00C37914" w:rsidRPr="00BB3884" w:rsidRDefault="00C37914" w:rsidP="00FE6BB6">
            <w:pPr>
              <w:keepNext/>
              <w:jc w:val="center"/>
            </w:pPr>
            <w:r>
              <w:t>Total with diabetes in Australia</w:t>
            </w:r>
          </w:p>
        </w:tc>
        <w:tc>
          <w:tcPr>
            <w:tcW w:w="1418" w:type="dxa"/>
            <w:vAlign w:val="bottom"/>
          </w:tcPr>
          <w:p w:rsidR="00C37914" w:rsidRPr="00BB3884" w:rsidRDefault="00C37914" w:rsidP="00FE6BB6">
            <w:pPr>
              <w:keepNext/>
              <w:jc w:val="center"/>
            </w:pPr>
          </w:p>
        </w:tc>
        <w:tc>
          <w:tcPr>
            <w:tcW w:w="1842" w:type="dxa"/>
            <w:vAlign w:val="bottom"/>
          </w:tcPr>
          <w:p w:rsidR="00C37914" w:rsidRPr="00BB3884" w:rsidRDefault="00C37914" w:rsidP="00FE6BB6">
            <w:pPr>
              <w:keepNext/>
              <w:jc w:val="center"/>
            </w:pPr>
            <w:r>
              <w:rPr>
                <w:color w:val="000000"/>
                <w:lang w:eastAsia="en-AU"/>
              </w:rPr>
              <w:t>999,000</w:t>
            </w:r>
          </w:p>
        </w:tc>
        <w:tc>
          <w:tcPr>
            <w:tcW w:w="4620" w:type="dxa"/>
            <w:vAlign w:val="bottom"/>
          </w:tcPr>
          <w:p w:rsidR="00C37914" w:rsidRPr="00602684" w:rsidRDefault="00C37914" w:rsidP="00FE6BB6">
            <w:pPr>
              <w:keepNext/>
            </w:pPr>
            <w:r w:rsidRPr="00602684">
              <w:rPr>
                <w:color w:val="000000"/>
                <w:lang w:eastAsia="en-AU"/>
              </w:rPr>
              <w:t>ABS (2013) 4338.0 Profiles of Health</w:t>
            </w:r>
          </w:p>
        </w:tc>
      </w:tr>
      <w:tr w:rsidR="00C37914" w:rsidTr="00D430F5">
        <w:tc>
          <w:tcPr>
            <w:tcW w:w="1384" w:type="dxa"/>
          </w:tcPr>
          <w:p w:rsidR="00C37914" w:rsidRPr="00602684" w:rsidRDefault="00C37914" w:rsidP="00FE6BB6">
            <w:pPr>
              <w:keepNext/>
              <w:jc w:val="center"/>
            </w:pPr>
            <w:r w:rsidRPr="00602684">
              <w:t>Total Type 2 Diabetes Mellitus</w:t>
            </w:r>
          </w:p>
        </w:tc>
        <w:tc>
          <w:tcPr>
            <w:tcW w:w="1418" w:type="dxa"/>
            <w:vAlign w:val="bottom"/>
          </w:tcPr>
          <w:p w:rsidR="00C37914" w:rsidRPr="00602684" w:rsidRDefault="00C37914" w:rsidP="00FE6BB6">
            <w:pPr>
              <w:keepNext/>
              <w:jc w:val="center"/>
            </w:pPr>
            <w:r w:rsidRPr="00602684">
              <w:rPr>
                <w:color w:val="000000"/>
                <w:lang w:eastAsia="en-AU"/>
              </w:rPr>
              <w:t>84.8%</w:t>
            </w:r>
          </w:p>
        </w:tc>
        <w:tc>
          <w:tcPr>
            <w:tcW w:w="1842" w:type="dxa"/>
            <w:vAlign w:val="bottom"/>
          </w:tcPr>
          <w:p w:rsidR="00C37914" w:rsidRPr="00602684" w:rsidRDefault="00C37914" w:rsidP="00FE6BB6">
            <w:pPr>
              <w:keepNext/>
              <w:jc w:val="center"/>
            </w:pPr>
            <w:r w:rsidRPr="00602684">
              <w:rPr>
                <w:color w:val="000000"/>
                <w:lang w:eastAsia="en-AU"/>
              </w:rPr>
              <w:t>846,978</w:t>
            </w:r>
          </w:p>
        </w:tc>
        <w:tc>
          <w:tcPr>
            <w:tcW w:w="4620" w:type="dxa"/>
            <w:vAlign w:val="bottom"/>
          </w:tcPr>
          <w:p w:rsidR="00C37914" w:rsidRPr="00602684" w:rsidRDefault="00C37914" w:rsidP="00FE6BB6">
            <w:pPr>
              <w:keepNext/>
            </w:pPr>
            <w:r w:rsidRPr="00602684">
              <w:rPr>
                <w:color w:val="000000"/>
                <w:lang w:eastAsia="en-AU"/>
              </w:rPr>
              <w:t>ABS (2013) 4338.0 Profiles of Health</w:t>
            </w:r>
          </w:p>
        </w:tc>
      </w:tr>
      <w:tr w:rsidR="00C37914" w:rsidTr="00D430F5">
        <w:tc>
          <w:tcPr>
            <w:tcW w:w="1384" w:type="dxa"/>
          </w:tcPr>
          <w:p w:rsidR="00C37914" w:rsidRPr="00602684" w:rsidRDefault="00C37914" w:rsidP="00FE6BB6">
            <w:pPr>
              <w:keepNext/>
              <w:jc w:val="center"/>
            </w:pPr>
            <w:r w:rsidRPr="00602684">
              <w:t>Percentage with BMI</w:t>
            </w:r>
          </w:p>
          <w:p w:rsidR="00C37914" w:rsidRPr="00602684" w:rsidRDefault="00C37914" w:rsidP="00FE6BB6">
            <w:pPr>
              <w:keepNext/>
              <w:jc w:val="center"/>
            </w:pPr>
            <w:r w:rsidRPr="00602684">
              <w:t xml:space="preserve">≥ 30 and </w:t>
            </w:r>
            <w:r w:rsidRPr="00602684">
              <w:rPr>
                <w:u w:val="single"/>
              </w:rPr>
              <w:t>&lt;</w:t>
            </w:r>
            <w:r w:rsidRPr="00602684">
              <w:t>45 kg/m</w:t>
            </w:r>
            <w:r w:rsidRPr="00602684">
              <w:rPr>
                <w:vertAlign w:val="superscript"/>
              </w:rPr>
              <w:t>2</w:t>
            </w:r>
          </w:p>
        </w:tc>
        <w:tc>
          <w:tcPr>
            <w:tcW w:w="1418" w:type="dxa"/>
            <w:vAlign w:val="bottom"/>
          </w:tcPr>
          <w:p w:rsidR="00C37914" w:rsidRPr="00602684" w:rsidRDefault="00C37914" w:rsidP="00FE6BB6">
            <w:pPr>
              <w:keepNext/>
              <w:jc w:val="center"/>
            </w:pPr>
            <w:r w:rsidRPr="00602684">
              <w:rPr>
                <w:color w:val="000000"/>
                <w:lang w:eastAsia="en-AU"/>
              </w:rPr>
              <w:t>26.9%</w:t>
            </w:r>
          </w:p>
        </w:tc>
        <w:tc>
          <w:tcPr>
            <w:tcW w:w="1842" w:type="dxa"/>
            <w:vAlign w:val="bottom"/>
          </w:tcPr>
          <w:p w:rsidR="00C37914" w:rsidRPr="00602684" w:rsidRDefault="00C37914" w:rsidP="00FE6BB6">
            <w:pPr>
              <w:keepNext/>
              <w:jc w:val="center"/>
            </w:pPr>
            <w:r w:rsidRPr="00602684">
              <w:rPr>
                <w:color w:val="000000"/>
                <w:lang w:eastAsia="en-AU"/>
              </w:rPr>
              <w:t>227,837</w:t>
            </w:r>
          </w:p>
        </w:tc>
        <w:tc>
          <w:tcPr>
            <w:tcW w:w="4620" w:type="dxa"/>
            <w:vAlign w:val="bottom"/>
          </w:tcPr>
          <w:p w:rsidR="00C37914" w:rsidRPr="00602684" w:rsidRDefault="00C37914" w:rsidP="00FE6BB6">
            <w:pPr>
              <w:keepNext/>
            </w:pPr>
            <w:r w:rsidRPr="00602684">
              <w:rPr>
                <w:color w:val="000000"/>
                <w:lang w:eastAsia="en-AU"/>
              </w:rPr>
              <w:t>ABS (2013) 4338.0 Profiles of Health, Overweight and Obesity</w:t>
            </w:r>
          </w:p>
        </w:tc>
      </w:tr>
      <w:tr w:rsidR="000F0062" w:rsidTr="00D430F5">
        <w:tc>
          <w:tcPr>
            <w:tcW w:w="1384" w:type="dxa"/>
          </w:tcPr>
          <w:p w:rsidR="000F0062" w:rsidRPr="00602684" w:rsidRDefault="000F0062" w:rsidP="00FE6BB6">
            <w:pPr>
              <w:keepNext/>
              <w:jc w:val="center"/>
            </w:pPr>
            <w:r w:rsidRPr="00602684">
              <w:t>Percentage with normal triglycerides</w:t>
            </w:r>
          </w:p>
        </w:tc>
        <w:tc>
          <w:tcPr>
            <w:tcW w:w="1418" w:type="dxa"/>
            <w:vAlign w:val="bottom"/>
          </w:tcPr>
          <w:p w:rsidR="000F0062" w:rsidRPr="00602684" w:rsidRDefault="000F0062" w:rsidP="00F8092F">
            <w:pPr>
              <w:keepNext/>
              <w:jc w:val="center"/>
            </w:pPr>
            <w:r w:rsidRPr="00602684">
              <w:rPr>
                <w:rFonts w:ascii="Calibri" w:hAnsi="Calibri"/>
                <w:color w:val="000000"/>
              </w:rPr>
              <w:t>55.0%</w:t>
            </w:r>
          </w:p>
        </w:tc>
        <w:tc>
          <w:tcPr>
            <w:tcW w:w="1842" w:type="dxa"/>
            <w:vAlign w:val="bottom"/>
          </w:tcPr>
          <w:p w:rsidR="000F0062" w:rsidRPr="00602684" w:rsidRDefault="000F0062" w:rsidP="00FE6BB6">
            <w:pPr>
              <w:keepNext/>
              <w:jc w:val="center"/>
            </w:pPr>
            <w:r w:rsidRPr="00602684">
              <w:rPr>
                <w:rFonts w:ascii="Calibri" w:hAnsi="Calibri"/>
                <w:color w:val="000000"/>
              </w:rPr>
              <w:t>125,310</w:t>
            </w:r>
          </w:p>
        </w:tc>
        <w:tc>
          <w:tcPr>
            <w:tcW w:w="4620" w:type="dxa"/>
            <w:vAlign w:val="bottom"/>
          </w:tcPr>
          <w:p w:rsidR="000F0062" w:rsidRPr="00602684" w:rsidRDefault="00602684" w:rsidP="00E73915">
            <w:pPr>
              <w:autoSpaceDE w:val="0"/>
              <w:autoSpaceDN w:val="0"/>
              <w:adjustRightInd w:val="0"/>
              <w:jc w:val="left"/>
            </w:pPr>
            <w:r w:rsidRPr="00E73915">
              <w:rPr>
                <w:color w:val="000000"/>
                <w:lang w:eastAsia="en-AU"/>
              </w:rPr>
              <w:fldChar w:fldCharType="begin">
                <w:fldData xml:space="preserve">PEVuZE5vdGU+PENpdGU+PEF1dGhvcj5MZWJvdml0ejwvQXV0aG9yPjxZZWFyPjIwMTM8L1llYXI+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</w:fldData>
              </w:fldChar>
            </w:r>
            <w:r w:rsidRPr="00E73915">
              <w:rPr>
                <w:color w:val="000000"/>
                <w:lang w:eastAsia="en-AU"/>
              </w:rPr>
              <w:instrText xml:space="preserve"> ADDIN EN.CITE </w:instrText>
            </w:r>
            <w:r w:rsidRPr="00E73915">
              <w:rPr>
                <w:color w:val="000000"/>
                <w:lang w:eastAsia="en-AU"/>
              </w:rPr>
              <w:fldChar w:fldCharType="begin">
                <w:fldData xml:space="preserve">PEVuZE5vdGU+PENpdGU+PEF1dGhvcj5MZWJvdml0ejwvQXV0aG9yPjxZZWFyPjIwMTM8L1llYXI+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</w:fldData>
              </w:fldChar>
            </w:r>
            <w:r w:rsidRPr="00E73915">
              <w:rPr>
                <w:color w:val="000000"/>
                <w:lang w:eastAsia="en-AU"/>
              </w:rPr>
              <w:instrText xml:space="preserve"> ADDIN EN.CITE.DATA </w:instrText>
            </w:r>
            <w:r w:rsidRPr="00E73915">
              <w:rPr>
                <w:color w:val="000000"/>
                <w:lang w:eastAsia="en-AU"/>
              </w:rPr>
            </w:r>
            <w:r w:rsidRPr="00E73915">
              <w:rPr>
                <w:color w:val="000000"/>
                <w:lang w:eastAsia="en-AU"/>
              </w:rPr>
              <w:fldChar w:fldCharType="end"/>
            </w:r>
            <w:r w:rsidRPr="00E73915">
              <w:rPr>
                <w:color w:val="000000"/>
                <w:lang w:eastAsia="en-AU"/>
              </w:rPr>
            </w:r>
            <w:r w:rsidRPr="00E73915">
              <w:rPr>
                <w:color w:val="000000"/>
                <w:lang w:eastAsia="en-AU"/>
              </w:rPr>
              <w:fldChar w:fldCharType="separate"/>
            </w:r>
            <w:r w:rsidRPr="00E73915">
              <w:rPr>
                <w:noProof/>
                <w:color w:val="000000"/>
                <w:lang w:eastAsia="en-AU"/>
              </w:rPr>
              <w:t>(</w:t>
            </w:r>
            <w:hyperlink w:anchor="_ENREF_12" w:tooltip="Lebovitz, 2013 #25" w:history="1">
              <w:r w:rsidRPr="00E73915">
                <w:rPr>
                  <w:noProof/>
                  <w:color w:val="000000"/>
                  <w:lang w:eastAsia="en-AU"/>
                </w:rPr>
                <w:t>Lebovitz, Ludvik et al. 2013</w:t>
              </w:r>
            </w:hyperlink>
            <w:r w:rsidRPr="00E73915">
              <w:rPr>
                <w:noProof/>
                <w:color w:val="000000"/>
                <w:lang w:eastAsia="en-AU"/>
              </w:rPr>
              <w:t>)</w:t>
            </w:r>
            <w:r w:rsidRPr="00E73915">
              <w:rPr>
                <w:color w:val="000000"/>
                <w:lang w:eastAsia="en-AU"/>
              </w:rPr>
              <w:fldChar w:fldCharType="end"/>
            </w:r>
            <w:r w:rsidR="000F0062" w:rsidRPr="00E73915">
              <w:rPr>
                <w:color w:val="000000"/>
                <w:lang w:eastAsia="en-AU"/>
              </w:rPr>
              <w:t xml:space="preserve"> Fasting plasma triglycerides predict the glycaemic response to treatment of Type 2 diabetes by gastric electrical stimulation. A novel </w:t>
            </w:r>
            <w:proofErr w:type="spellStart"/>
            <w:r w:rsidR="000F0062" w:rsidRPr="00E73915">
              <w:rPr>
                <w:color w:val="000000"/>
                <w:lang w:eastAsia="en-AU"/>
              </w:rPr>
              <w:t>lipotoxicity</w:t>
            </w:r>
            <w:proofErr w:type="spellEnd"/>
            <w:r w:rsidR="000F0062" w:rsidRPr="00E73915">
              <w:rPr>
                <w:color w:val="000000"/>
                <w:lang w:eastAsia="en-AU"/>
              </w:rPr>
              <w:t xml:space="preserve"> paradigm </w:t>
            </w:r>
            <w:r w:rsidR="000F0062" w:rsidRPr="00E73915" w:rsidDel="00D66953">
              <w:t xml:space="preserve"> </w:t>
            </w:r>
          </w:p>
        </w:tc>
      </w:tr>
      <w:tr w:rsidR="000F0062" w:rsidTr="00D430F5">
        <w:tc>
          <w:tcPr>
            <w:tcW w:w="1384" w:type="dxa"/>
          </w:tcPr>
          <w:p w:rsidR="000F0062" w:rsidRPr="00602684" w:rsidRDefault="000F0062" w:rsidP="00FE6BB6">
            <w:pPr>
              <w:keepNext/>
              <w:jc w:val="center"/>
            </w:pPr>
            <w:r w:rsidRPr="00602684">
              <w:t>Patients that failed oral therapies</w:t>
            </w:r>
          </w:p>
        </w:tc>
        <w:tc>
          <w:tcPr>
            <w:tcW w:w="1418" w:type="dxa"/>
            <w:vAlign w:val="bottom"/>
          </w:tcPr>
          <w:p w:rsidR="000F0062" w:rsidRPr="00602684" w:rsidRDefault="000F0062" w:rsidP="00FE6BB6">
            <w:pPr>
              <w:keepNext/>
              <w:jc w:val="center"/>
            </w:pPr>
            <w:r w:rsidRPr="00602684">
              <w:rPr>
                <w:rFonts w:ascii="Calibri" w:hAnsi="Calibri"/>
                <w:color w:val="000000"/>
              </w:rPr>
              <w:t>15.5%</w:t>
            </w:r>
          </w:p>
        </w:tc>
        <w:tc>
          <w:tcPr>
            <w:tcW w:w="1842" w:type="dxa"/>
            <w:vAlign w:val="bottom"/>
          </w:tcPr>
          <w:p w:rsidR="000F0062" w:rsidRPr="00602684" w:rsidRDefault="000F0062" w:rsidP="00FE6BB6">
            <w:pPr>
              <w:keepNext/>
              <w:jc w:val="center"/>
            </w:pPr>
            <w:r w:rsidRPr="00602684">
              <w:rPr>
                <w:rFonts w:ascii="Calibri" w:hAnsi="Calibri"/>
                <w:color w:val="000000"/>
              </w:rPr>
              <w:t>19,396</w:t>
            </w:r>
          </w:p>
        </w:tc>
        <w:tc>
          <w:tcPr>
            <w:tcW w:w="4620" w:type="dxa"/>
            <w:vAlign w:val="bottom"/>
          </w:tcPr>
          <w:p w:rsidR="000F0062" w:rsidRPr="00602684" w:rsidRDefault="000F0062" w:rsidP="00FE6BB6">
            <w:pPr>
              <w:keepNext/>
            </w:pPr>
            <w:r w:rsidRPr="00602684">
              <w:rPr>
                <w:color w:val="000000"/>
                <w:lang w:eastAsia="en-AU"/>
              </w:rPr>
              <w:t xml:space="preserve">CDC: </w:t>
            </w:r>
            <w:hyperlink r:id="rId15" w:tooltip="Link to American Centers for Disease Control website" w:history="1">
              <w:r w:rsidRPr="00602684">
                <w:rPr>
                  <w:rStyle w:val="Hyperlink"/>
                  <w:lang w:eastAsia="en-AU"/>
                </w:rPr>
                <w:t>http://www.cdc.gov/diabetes/statistics/meduse/fig2.htm</w:t>
              </w:r>
            </w:hyperlink>
            <w:r w:rsidRPr="00602684">
              <w:rPr>
                <w:color w:val="000000"/>
                <w:lang w:eastAsia="en-AU"/>
              </w:rPr>
              <w:t xml:space="preserve">. Assumed that people who are on only insulin have failed orals. Assumed all Type 1 patients are on insulin. </w:t>
            </w:r>
          </w:p>
        </w:tc>
      </w:tr>
    </w:tbl>
    <w:p w:rsidR="00C37914" w:rsidRDefault="00C37914" w:rsidP="008F6F75"/>
    <w:p w:rsidR="000B1682" w:rsidRPr="008F6F75" w:rsidRDefault="00E66ED9" w:rsidP="008F6F75">
      <w:r>
        <w:t xml:space="preserve">As actual uptake will be a sub-set of this population, in reality the number of patients being treated with the </w:t>
      </w:r>
      <w:r w:rsidRPr="00E25CE4">
        <w:rPr>
          <w:rFonts w:cs="Arial"/>
        </w:rPr>
        <w:t>DIAMOND™ system</w:t>
      </w:r>
      <w:r>
        <w:rPr>
          <w:rFonts w:cs="Arial"/>
        </w:rPr>
        <w:t xml:space="preserve"> would be smaller than this population.</w:t>
      </w:r>
    </w:p>
    <w:p w:rsidR="00BC4EFE" w:rsidRPr="008F6F75" w:rsidRDefault="00BC4EFE" w:rsidP="008F6F75">
      <w:pPr>
        <w:pStyle w:val="Heading1"/>
      </w:pPr>
      <w:bookmarkStart w:id="6" w:name="_Toc398046786"/>
      <w:bookmarkStart w:id="7" w:name="_Toc398209596"/>
      <w:r w:rsidRPr="008F6F75">
        <w:lastRenderedPageBreak/>
        <w:t>Intervention – proposed medical service</w:t>
      </w:r>
      <w:bookmarkEnd w:id="6"/>
      <w:bookmarkEnd w:id="7"/>
      <w:r w:rsidRPr="008F6F75">
        <w:t xml:space="preserve"> </w:t>
      </w:r>
    </w:p>
    <w:p w:rsidR="00BC4EFE" w:rsidRPr="008F6F75" w:rsidRDefault="00BC4EFE" w:rsidP="008F6F75">
      <w:pPr>
        <w:pStyle w:val="Quote"/>
        <w:spacing w:line="276" w:lineRule="auto"/>
        <w:rPr>
          <w:szCs w:val="22"/>
        </w:rPr>
      </w:pPr>
      <w:r w:rsidRPr="008F6F75">
        <w:rPr>
          <w:szCs w:val="22"/>
        </w:rPr>
        <w:t>Provide a description of the proposed medical service.</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The DIAMOND™ system is an advanced implantable electrical stimulator used to apply gastric stimulation. It works by enhancing the contractility force of a patient’s gastric muscles, in particular in the pre-</w:t>
      </w:r>
      <w:proofErr w:type="spellStart"/>
      <w:r w:rsidRPr="00E25CE4">
        <w:rPr>
          <w:rFonts w:asciiTheme="minorHAnsi" w:hAnsiTheme="minorHAnsi" w:cs="Arial"/>
          <w:sz w:val="22"/>
          <w:szCs w:val="22"/>
        </w:rPr>
        <w:t>antral</w:t>
      </w:r>
      <w:proofErr w:type="spellEnd"/>
      <w:r w:rsidRPr="00E25CE4">
        <w:rPr>
          <w:rFonts w:asciiTheme="minorHAnsi" w:hAnsiTheme="minorHAnsi" w:cs="Arial"/>
          <w:sz w:val="22"/>
          <w:szCs w:val="22"/>
        </w:rPr>
        <w:t xml:space="preserve"> area, only when the patient eats. It should be noted the DIAMOND™ system does not change the frequency (rhythm) of gastric contraction. This modifies hormone secretion, favourable affecting glucose and fat metabolism. At the same time, the stimulation causes patients to feel full sooner to increase satiety and consume less food. The result is an improvement in blood glucose levels as measured by a reduction in HbA1c, which is accompanied by weight loss, reduction of blood pressure, waist circumference and blood lipid levels. </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The DIAMOND™ system is implanted by a minimally invasive laparoscopic procedure. The IPG is connected by small electrodes to the patient’s stomach. It uses these electrodes to automatically sense when the patient is eating, and to send signals to the stomach muscles (and through them to the patient’s brain) which enhance the patient’s normal satiety feeling. The rate of the stimulation is dictated by the patient’s natural gastric activity. This makes treatment using the DIAMOND™ system personalised to each patient’s specific eating habits and physiology, without</w:t>
      </w:r>
      <w:r w:rsidR="009F729B">
        <w:rPr>
          <w:rFonts w:asciiTheme="minorHAnsi" w:hAnsiTheme="minorHAnsi" w:cs="Arial"/>
          <w:sz w:val="22"/>
          <w:szCs w:val="22"/>
        </w:rPr>
        <w:t xml:space="preserve"> requiring or</w:t>
      </w:r>
      <w:r w:rsidRPr="00E25CE4">
        <w:rPr>
          <w:rFonts w:asciiTheme="minorHAnsi" w:hAnsiTheme="minorHAnsi" w:cs="Arial"/>
          <w:sz w:val="22"/>
          <w:szCs w:val="22"/>
        </w:rPr>
        <w:t xml:space="preserve"> causing anatomical changes.</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GCM is delivered for approximately 75 - 90 min, starting at the detected onset of a</w:t>
      </w:r>
      <w:r w:rsidR="0055333B">
        <w:rPr>
          <w:rFonts w:asciiTheme="minorHAnsi" w:hAnsiTheme="minorHAnsi" w:cs="Arial"/>
          <w:sz w:val="22"/>
          <w:szCs w:val="22"/>
        </w:rPr>
        <w:t xml:space="preserve"> </w:t>
      </w:r>
      <w:r w:rsidRPr="00E25CE4">
        <w:rPr>
          <w:rFonts w:asciiTheme="minorHAnsi" w:hAnsiTheme="minorHAnsi" w:cs="Arial"/>
          <w:sz w:val="22"/>
          <w:szCs w:val="22"/>
        </w:rPr>
        <w:t xml:space="preserve">meal. Electrical pulses are delivered to the </w:t>
      </w:r>
      <w:proofErr w:type="spellStart"/>
      <w:r w:rsidRPr="00E25CE4">
        <w:rPr>
          <w:rFonts w:asciiTheme="minorHAnsi" w:hAnsiTheme="minorHAnsi" w:cs="Arial"/>
          <w:sz w:val="22"/>
          <w:szCs w:val="22"/>
        </w:rPr>
        <w:t>antral</w:t>
      </w:r>
      <w:proofErr w:type="spellEnd"/>
      <w:r w:rsidRPr="00E25CE4">
        <w:rPr>
          <w:rFonts w:asciiTheme="minorHAnsi" w:hAnsiTheme="minorHAnsi" w:cs="Arial"/>
          <w:sz w:val="22"/>
          <w:szCs w:val="22"/>
        </w:rPr>
        <w:t xml:space="preserve"> electrodes synchronised to local intrinsic gastric slow waves. Electrical pulses used a biphasic symmetric waveform having </w:t>
      </w:r>
      <w:proofErr w:type="gramStart"/>
      <w:r w:rsidRPr="00E25CE4">
        <w:rPr>
          <w:rFonts w:asciiTheme="minorHAnsi" w:hAnsiTheme="minorHAnsi" w:cs="Arial"/>
          <w:sz w:val="22"/>
          <w:szCs w:val="22"/>
        </w:rPr>
        <w:t>a</w:t>
      </w:r>
      <w:r w:rsidR="00F8092F">
        <w:rPr>
          <w:rFonts w:asciiTheme="minorHAnsi" w:hAnsiTheme="minorHAnsi" w:cs="Arial"/>
          <w:sz w:val="22"/>
          <w:szCs w:val="22"/>
        </w:rPr>
        <w:t xml:space="preserve"> </w:t>
      </w:r>
      <w:r w:rsidRPr="00E25CE4">
        <w:rPr>
          <w:rFonts w:asciiTheme="minorHAnsi" w:hAnsiTheme="minorHAnsi" w:cs="Arial"/>
          <w:sz w:val="22"/>
          <w:szCs w:val="22"/>
        </w:rPr>
        <w:t>phase</w:t>
      </w:r>
      <w:proofErr w:type="gramEnd"/>
      <w:r w:rsidRPr="00E25CE4">
        <w:rPr>
          <w:rFonts w:asciiTheme="minorHAnsi" w:hAnsiTheme="minorHAnsi" w:cs="Arial"/>
          <w:sz w:val="22"/>
          <w:szCs w:val="22"/>
        </w:rPr>
        <w:t xml:space="preserve"> duration of 6ms, a repetition rate of 83 Hz, and a pulse duration of 1200ms. The amplitude and timing of the waveform are adjusted to each individual subject (amplitude range, 5–15 mA) and are set at the highest amplitude that did not induce uncomfortable sensation.</w:t>
      </w: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p>
    <w:p w:rsidR="00B63B55" w:rsidRPr="00E25CE4" w:rsidRDefault="00B63B55" w:rsidP="00E25CE4">
      <w:pPr>
        <w:pStyle w:val="BodyText"/>
        <w:tabs>
          <w:tab w:val="left" w:pos="360"/>
        </w:tabs>
        <w:spacing w:line="276" w:lineRule="auto"/>
        <w:ind w:left="0"/>
        <w:jc w:val="both"/>
        <w:rPr>
          <w:rFonts w:asciiTheme="minorHAnsi" w:hAnsiTheme="minorHAnsi" w:cs="Arial"/>
          <w:sz w:val="22"/>
          <w:szCs w:val="22"/>
        </w:rPr>
      </w:pPr>
      <w:r w:rsidRPr="00E25CE4">
        <w:rPr>
          <w:rFonts w:asciiTheme="minorHAnsi" w:hAnsiTheme="minorHAnsi" w:cs="Arial"/>
          <w:sz w:val="22"/>
          <w:szCs w:val="22"/>
        </w:rPr>
        <w:t>Below is a schematic of the DIAMOND™ system that shows the key components.</w:t>
      </w:r>
    </w:p>
    <w:p w:rsidR="00B63B55" w:rsidRPr="008F6F75" w:rsidRDefault="003064CD" w:rsidP="008F6F75">
      <w:pPr>
        <w:ind w:right="-153"/>
        <w:rPr>
          <w:b/>
        </w:rPr>
      </w:pPr>
      <w:r>
        <w:rPr>
          <w:b/>
          <w:noProof/>
          <w:lang w:eastAsia="en-AU"/>
        </w:rPr>
        <w:lastRenderedPageBreak/>
        <w:drawing>
          <wp:inline distT="0" distB="0" distL="0" distR="0" wp14:anchorId="376A6862" wp14:editId="08335856">
            <wp:extent cx="5212080" cy="3131820"/>
            <wp:effectExtent l="0" t="0" r="7620" b="0"/>
            <wp:docPr id="1" name="Picture 1" title="a schematic of the DIAMOND™ system that shows the key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3131820"/>
                    </a:xfrm>
                    <a:prstGeom prst="rect">
                      <a:avLst/>
                    </a:prstGeom>
                    <a:noFill/>
                  </pic:spPr>
                </pic:pic>
              </a:graphicData>
            </a:graphic>
          </wp:inline>
        </w:drawing>
      </w:r>
    </w:p>
    <w:p w:rsidR="00B63B55" w:rsidRPr="008F6F75" w:rsidRDefault="00B63B55" w:rsidP="008F6F75">
      <w:pPr>
        <w:pStyle w:val="BodyText"/>
        <w:tabs>
          <w:tab w:val="left" w:pos="360"/>
        </w:tabs>
        <w:spacing w:line="276" w:lineRule="auto"/>
        <w:ind w:left="0"/>
        <w:rPr>
          <w:rFonts w:asciiTheme="minorHAnsi" w:hAnsiTheme="minorHAnsi" w:cs="Arial"/>
          <w:sz w:val="22"/>
          <w:szCs w:val="22"/>
        </w:rPr>
      </w:pPr>
    </w:p>
    <w:p w:rsidR="00B63B55" w:rsidRPr="008F6F75" w:rsidRDefault="00B63B55" w:rsidP="008F6F75">
      <w:pPr>
        <w:pStyle w:val="BodyText"/>
        <w:tabs>
          <w:tab w:val="left" w:pos="360"/>
        </w:tabs>
        <w:spacing w:line="276" w:lineRule="auto"/>
        <w:ind w:left="0"/>
        <w:jc w:val="both"/>
        <w:rPr>
          <w:rFonts w:asciiTheme="minorHAnsi" w:hAnsiTheme="minorHAnsi" w:cs="Arial"/>
          <w:sz w:val="22"/>
          <w:szCs w:val="22"/>
        </w:rPr>
      </w:pPr>
      <w:r w:rsidRPr="008F6F75">
        <w:rPr>
          <w:rFonts w:asciiTheme="minorHAnsi" w:hAnsiTheme="minorHAnsi" w:cs="Arial"/>
          <w:sz w:val="22"/>
          <w:szCs w:val="22"/>
        </w:rPr>
        <w:t xml:space="preserve">The </w:t>
      </w:r>
      <w:r w:rsidRPr="008F6F75">
        <w:rPr>
          <w:rFonts w:asciiTheme="minorHAnsi" w:hAnsiTheme="minorHAnsi"/>
          <w:sz w:val="22"/>
          <w:szCs w:val="22"/>
        </w:rPr>
        <w:t xml:space="preserve">DIAMOND™ system </w:t>
      </w:r>
      <w:r w:rsidRPr="008F6F75">
        <w:rPr>
          <w:rFonts w:asciiTheme="minorHAnsi" w:hAnsiTheme="minorHAnsi" w:cs="Arial"/>
          <w:sz w:val="22"/>
          <w:szCs w:val="22"/>
        </w:rPr>
        <w:t xml:space="preserve">IPG is an internally powered (rechargeable lithium-ion battery) device that monitors intrinsic gastric electrical and mechanical activity and delivers GCM signals to the stomach. </w:t>
      </w:r>
    </w:p>
    <w:p w:rsidR="000E0E06" w:rsidRDefault="000E0E06" w:rsidP="008F6F75">
      <w:pPr>
        <w:pStyle w:val="BodyText"/>
        <w:tabs>
          <w:tab w:val="left" w:pos="360"/>
        </w:tabs>
        <w:spacing w:line="276" w:lineRule="auto"/>
        <w:ind w:left="0"/>
        <w:jc w:val="both"/>
        <w:rPr>
          <w:rFonts w:asciiTheme="minorHAnsi" w:hAnsiTheme="minorHAnsi" w:cs="Arial"/>
          <w:sz w:val="22"/>
          <w:szCs w:val="22"/>
        </w:rPr>
        <w:sectPr w:rsidR="000E0E06" w:rsidSect="003D4BB3">
          <w:pgSz w:w="11906" w:h="16838"/>
          <w:pgMar w:top="993" w:right="1440" w:bottom="1276" w:left="1418" w:header="708" w:footer="708" w:gutter="0"/>
          <w:pgNumType w:start="1"/>
          <w:cols w:space="708"/>
          <w:docGrid w:linePitch="360"/>
        </w:sectPr>
      </w:pPr>
    </w:p>
    <w:p w:rsidR="00B63B55" w:rsidRDefault="003064CD" w:rsidP="008F6F75">
      <w:pPr>
        <w:pStyle w:val="BodyText"/>
        <w:tabs>
          <w:tab w:val="left" w:pos="360"/>
        </w:tabs>
        <w:spacing w:line="276" w:lineRule="auto"/>
        <w:ind w:left="0"/>
        <w:jc w:val="both"/>
        <w:rPr>
          <w:rFonts w:asciiTheme="minorHAnsi" w:hAnsiTheme="minorHAnsi" w:cs="Arial"/>
          <w:sz w:val="22"/>
          <w:szCs w:val="22"/>
        </w:rPr>
      </w:pPr>
      <w:r>
        <w:rPr>
          <w:rFonts w:asciiTheme="minorHAnsi" w:hAnsiTheme="minorHAnsi" w:cs="Arial"/>
          <w:noProof/>
          <w:sz w:val="22"/>
          <w:szCs w:val="22"/>
        </w:rPr>
        <w:lastRenderedPageBreak/>
        <w:drawing>
          <wp:inline distT="0" distB="0" distL="0" distR="0" wp14:anchorId="34D0A1D3" wp14:editId="42DCF98A">
            <wp:extent cx="1512570" cy="1833245"/>
            <wp:effectExtent l="0" t="0" r="0" b="0"/>
            <wp:docPr id="4" name="Picture 4" title="Image of the internally powered (rechargeable lithium-ion battery) de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2570" cy="1833245"/>
                    </a:xfrm>
                    <a:prstGeom prst="rect">
                      <a:avLst/>
                    </a:prstGeom>
                    <a:noFill/>
                  </pic:spPr>
                </pic:pic>
              </a:graphicData>
            </a:graphic>
          </wp:inline>
        </w:drawing>
      </w:r>
      <w:r w:rsidR="000E0E06">
        <w:rPr>
          <w:rFonts w:asciiTheme="minorHAnsi" w:hAnsiTheme="minorHAnsi" w:cs="Arial"/>
          <w:sz w:val="22"/>
          <w:szCs w:val="22"/>
        </w:rPr>
        <w:br w:type="column"/>
      </w:r>
      <w:r w:rsidR="00B63B55" w:rsidRPr="008F6F75">
        <w:rPr>
          <w:rFonts w:asciiTheme="minorHAnsi" w:hAnsiTheme="minorHAnsi" w:cs="Arial"/>
          <w:sz w:val="22"/>
          <w:szCs w:val="22"/>
        </w:rPr>
        <w:lastRenderedPageBreak/>
        <w:t xml:space="preserve">The </w:t>
      </w:r>
      <w:r w:rsidR="00B63B55" w:rsidRPr="008F6F75">
        <w:rPr>
          <w:rFonts w:asciiTheme="minorHAnsi" w:hAnsiTheme="minorHAnsi"/>
          <w:sz w:val="22"/>
          <w:szCs w:val="22"/>
        </w:rPr>
        <w:t xml:space="preserve">DIAMOND™ system </w:t>
      </w:r>
      <w:r w:rsidR="00B63B55" w:rsidRPr="008F6F75">
        <w:rPr>
          <w:rFonts w:asciiTheme="minorHAnsi" w:hAnsiTheme="minorHAnsi" w:cs="Arial"/>
          <w:sz w:val="22"/>
          <w:szCs w:val="22"/>
        </w:rPr>
        <w:t xml:space="preserve">IPG is programmable, i.e., the parameters that control its functioning can be set by the attending medical/technical personnel to suit the patient’s needs. The </w:t>
      </w:r>
      <w:r w:rsidR="00B63B55" w:rsidRPr="008F6F75">
        <w:rPr>
          <w:rFonts w:asciiTheme="minorHAnsi" w:hAnsiTheme="minorHAnsi"/>
          <w:sz w:val="22"/>
          <w:szCs w:val="22"/>
        </w:rPr>
        <w:t xml:space="preserve">DIAMOND™ system </w:t>
      </w:r>
      <w:r w:rsidR="00B63B55" w:rsidRPr="008F6F75">
        <w:rPr>
          <w:rFonts w:asciiTheme="minorHAnsi" w:hAnsiTheme="minorHAnsi" w:cs="Arial"/>
          <w:sz w:val="22"/>
          <w:szCs w:val="22"/>
        </w:rPr>
        <w:t xml:space="preserve">IPG communicates telemetrically with the Programmer. The Programmer can modify the IPG’s parameters, record statistics, maintain a log of the activity of the IPG, record standard programs for future use, reprogram the IPG with safe values in emergencies, etc. </w:t>
      </w:r>
    </w:p>
    <w:p w:rsidR="000E0E06" w:rsidRDefault="000E0E06" w:rsidP="008F6F75">
      <w:pPr>
        <w:pStyle w:val="BodyText"/>
        <w:tabs>
          <w:tab w:val="left" w:pos="360"/>
        </w:tabs>
        <w:spacing w:line="276" w:lineRule="auto"/>
        <w:ind w:left="0"/>
        <w:jc w:val="both"/>
        <w:rPr>
          <w:rFonts w:asciiTheme="minorHAnsi" w:hAnsiTheme="minorHAnsi" w:cs="Arial"/>
          <w:sz w:val="22"/>
          <w:szCs w:val="22"/>
        </w:rPr>
        <w:sectPr w:rsidR="000E0E06" w:rsidSect="000E0E06">
          <w:type w:val="continuous"/>
          <w:pgSz w:w="11906" w:h="16838"/>
          <w:pgMar w:top="993" w:right="1440" w:bottom="1276" w:left="1418" w:header="708" w:footer="708" w:gutter="0"/>
          <w:pgNumType w:start="1"/>
          <w:cols w:num="2" w:space="708"/>
          <w:docGrid w:linePitch="360"/>
        </w:sectPr>
      </w:pPr>
    </w:p>
    <w:p w:rsidR="00B63B55" w:rsidRPr="008F6F75" w:rsidRDefault="00B63B55" w:rsidP="008F6F75">
      <w:pPr>
        <w:shd w:val="clear" w:color="auto" w:fill="FFFFFF" w:themeFill="background1"/>
        <w:tabs>
          <w:tab w:val="left" w:pos="360"/>
        </w:tabs>
        <w:spacing w:before="120" w:after="240"/>
      </w:pPr>
    </w:p>
    <w:p w:rsidR="000E0E06" w:rsidRDefault="000E0E06" w:rsidP="008F6F75">
      <w:pPr>
        <w:shd w:val="clear" w:color="auto" w:fill="FFFFFF" w:themeFill="background1"/>
        <w:tabs>
          <w:tab w:val="left" w:pos="360"/>
        </w:tabs>
        <w:spacing w:before="120" w:after="240"/>
        <w:sectPr w:rsidR="000E0E06" w:rsidSect="000E0E06">
          <w:type w:val="continuous"/>
          <w:pgSz w:w="11906" w:h="16838"/>
          <w:pgMar w:top="993" w:right="1440" w:bottom="1276" w:left="1418" w:header="708" w:footer="708" w:gutter="0"/>
          <w:pgNumType w:start="1"/>
          <w:cols w:space="708"/>
          <w:docGrid w:linePitch="360"/>
        </w:sectPr>
      </w:pPr>
    </w:p>
    <w:p w:rsidR="00B63B55" w:rsidRPr="008F6F75" w:rsidRDefault="003064CD" w:rsidP="008F6F75">
      <w:pPr>
        <w:shd w:val="clear" w:color="auto" w:fill="FFFFFF" w:themeFill="background1"/>
        <w:tabs>
          <w:tab w:val="left" w:pos="360"/>
        </w:tabs>
        <w:spacing w:before="120" w:after="240"/>
      </w:pPr>
      <w:r>
        <w:rPr>
          <w:noProof/>
          <w:lang w:eastAsia="en-AU"/>
        </w:rPr>
        <w:lastRenderedPageBreak/>
        <w:drawing>
          <wp:inline distT="0" distB="0" distL="0" distR="0" wp14:anchorId="325DED76" wp14:editId="586BA8E6">
            <wp:extent cx="3299460" cy="2354580"/>
            <wp:effectExtent l="0" t="0" r="0" b="7620"/>
            <wp:docPr id="7" name="Picture 7" title="Image of UltraFlex l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9460" cy="2354580"/>
                    </a:xfrm>
                    <a:prstGeom prst="rect">
                      <a:avLst/>
                    </a:prstGeom>
                    <a:noFill/>
                  </pic:spPr>
                </pic:pic>
              </a:graphicData>
            </a:graphic>
          </wp:inline>
        </w:drawing>
      </w:r>
    </w:p>
    <w:p w:rsidR="00B63B55" w:rsidRPr="008F6F75" w:rsidRDefault="00B63B55" w:rsidP="008F6F75">
      <w:pPr>
        <w:shd w:val="clear" w:color="auto" w:fill="FFFFFF" w:themeFill="background1"/>
        <w:tabs>
          <w:tab w:val="left" w:pos="360"/>
        </w:tabs>
        <w:spacing w:before="120" w:after="240"/>
      </w:pPr>
      <w:r w:rsidRPr="008F6F75">
        <w:lastRenderedPageBreak/>
        <w:t xml:space="preserve">The DIAMOND™ system IPG is connected to three </w:t>
      </w:r>
      <w:proofErr w:type="spellStart"/>
      <w:r w:rsidRPr="008F6F75">
        <w:t>UltraFlex</w:t>
      </w:r>
      <w:proofErr w:type="spellEnd"/>
      <w:r w:rsidRPr="008F6F75">
        <w:t xml:space="preserve"> leads, two for sensing local </w:t>
      </w:r>
      <w:proofErr w:type="spellStart"/>
      <w:r w:rsidRPr="008F6F75">
        <w:t>antrum</w:t>
      </w:r>
      <w:proofErr w:type="spellEnd"/>
      <w:r w:rsidRPr="008F6F75">
        <w:t xml:space="preserve"> activity and to deliver GCM, and one for sensing local fundus activity. The </w:t>
      </w:r>
      <w:proofErr w:type="spellStart"/>
      <w:r w:rsidRPr="008F6F75">
        <w:t>UltraFlex</w:t>
      </w:r>
      <w:proofErr w:type="spellEnd"/>
      <w:r w:rsidRPr="008F6F75">
        <w:t xml:space="preserve"> leads have IS-1-BI connectors.</w:t>
      </w:r>
    </w:p>
    <w:p w:rsidR="000E0E06" w:rsidRDefault="000E0E06" w:rsidP="008F6F75">
      <w:pPr>
        <w:shd w:val="clear" w:color="auto" w:fill="FFFFFF" w:themeFill="background1"/>
        <w:tabs>
          <w:tab w:val="left" w:pos="360"/>
        </w:tabs>
        <w:spacing w:before="120" w:after="240"/>
        <w:sectPr w:rsidR="000E0E06" w:rsidSect="000E0E06">
          <w:type w:val="continuous"/>
          <w:pgSz w:w="11906" w:h="16838"/>
          <w:pgMar w:top="993" w:right="1440" w:bottom="1276" w:left="1418" w:header="708" w:footer="708" w:gutter="0"/>
          <w:pgNumType w:start="1"/>
          <w:cols w:num="2" w:space="708"/>
          <w:docGrid w:linePitch="360"/>
        </w:sectPr>
      </w:pPr>
    </w:p>
    <w:p w:rsidR="008F6F75" w:rsidRDefault="008F6F75" w:rsidP="008F6F75">
      <w:pPr>
        <w:shd w:val="clear" w:color="auto" w:fill="FFFFFF" w:themeFill="background1"/>
        <w:tabs>
          <w:tab w:val="left" w:pos="360"/>
        </w:tabs>
        <w:spacing w:before="120" w:after="240"/>
      </w:pPr>
    </w:p>
    <w:p w:rsidR="000E0E06" w:rsidRDefault="003064CD" w:rsidP="008F6F75">
      <w:pPr>
        <w:shd w:val="clear" w:color="auto" w:fill="FFFFFF" w:themeFill="background1"/>
        <w:tabs>
          <w:tab w:val="left" w:pos="360"/>
        </w:tabs>
        <w:spacing w:before="120" w:after="240"/>
      </w:pPr>
      <w:r>
        <w:rPr>
          <w:noProof/>
          <w:lang w:eastAsia="en-AU"/>
        </w:rPr>
        <w:drawing>
          <wp:inline distT="0" distB="0" distL="0" distR="0" wp14:anchorId="353B6203" wp14:editId="422BDA7E">
            <wp:extent cx="4290060" cy="2476500"/>
            <wp:effectExtent l="0" t="0" r="0" b="0"/>
            <wp:docPr id="8" name="Picture 8" title="Image of the Implantable Charge 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0060" cy="2476500"/>
                    </a:xfrm>
                    <a:prstGeom prst="rect">
                      <a:avLst/>
                    </a:prstGeom>
                    <a:noFill/>
                  </pic:spPr>
                </pic:pic>
              </a:graphicData>
            </a:graphic>
          </wp:inline>
        </w:drawing>
      </w:r>
    </w:p>
    <w:p w:rsidR="00B63B55" w:rsidRPr="008F6F75" w:rsidRDefault="00B63B55" w:rsidP="008F6F75">
      <w:pPr>
        <w:shd w:val="clear" w:color="auto" w:fill="FFFFFF" w:themeFill="background1"/>
        <w:tabs>
          <w:tab w:val="left" w:pos="360"/>
        </w:tabs>
        <w:spacing w:before="120" w:after="240"/>
      </w:pPr>
      <w:r w:rsidRPr="008F6F75">
        <w:t xml:space="preserve">The DIAMOND™ system IPG is also connected to an implantable Charge Coil.  The Charge Coil has a custom connector which prevents accidental placement into the IPG ports designated for the </w:t>
      </w:r>
      <w:proofErr w:type="spellStart"/>
      <w:r w:rsidRPr="008F6F75">
        <w:t>UltraFlex</w:t>
      </w:r>
      <w:proofErr w:type="spellEnd"/>
      <w:r w:rsidRPr="008F6F75">
        <w:t xml:space="preserve"> leads.  Likewise, the IPG has a custom port for the implantable Charge Coil, which prevents accidental placement of </w:t>
      </w:r>
      <w:proofErr w:type="spellStart"/>
      <w:r w:rsidRPr="008F6F75">
        <w:t>UltraFlex</w:t>
      </w:r>
      <w:proofErr w:type="spellEnd"/>
      <w:r w:rsidRPr="008F6F75">
        <w:t xml:space="preserve"> leads into the port.</w:t>
      </w:r>
    </w:p>
    <w:p w:rsidR="000E0E06" w:rsidRDefault="000E0E06">
      <w:pPr>
        <w:jc w:val="left"/>
      </w:pPr>
      <w:r>
        <w:br w:type="page"/>
      </w:r>
    </w:p>
    <w:p w:rsidR="00B63B55" w:rsidRPr="008F6F75" w:rsidRDefault="00B63B55" w:rsidP="008F6F75">
      <w:pPr>
        <w:shd w:val="clear" w:color="auto" w:fill="FFFFFF" w:themeFill="background1"/>
        <w:tabs>
          <w:tab w:val="left" w:pos="360"/>
        </w:tabs>
        <w:spacing w:before="120" w:after="240"/>
      </w:pPr>
      <w:r w:rsidRPr="008F6F75">
        <w:lastRenderedPageBreak/>
        <w:t xml:space="preserve">The DIAMOND™ system charger is an external, portable unit designed to charge an implanted DIAMOND™ system IPG. It transfers energy to the implanted device </w:t>
      </w:r>
      <w:proofErr w:type="spellStart"/>
      <w:r w:rsidRPr="008F6F75">
        <w:t>transcutaneously</w:t>
      </w:r>
      <w:proofErr w:type="spellEnd"/>
      <w:r w:rsidRPr="008F6F75">
        <w:t xml:space="preserve"> via electromagnetic induction. </w:t>
      </w:r>
      <w:r w:rsidR="0054759B">
        <w:t xml:space="preserve">The patient is required to charge their device bi-weekly to establish a routine. However, the battery is designed to remain charged for 3 months after charging. </w:t>
      </w:r>
    </w:p>
    <w:p w:rsidR="00B63B55" w:rsidRPr="008F6F75" w:rsidRDefault="003064CD" w:rsidP="008F6F75">
      <w:pPr>
        <w:shd w:val="clear" w:color="auto" w:fill="FFFFFF" w:themeFill="background1"/>
        <w:tabs>
          <w:tab w:val="left" w:pos="360"/>
        </w:tabs>
        <w:spacing w:before="120" w:after="240"/>
        <w:jc w:val="center"/>
      </w:pPr>
      <w:r>
        <w:rPr>
          <w:noProof/>
          <w:lang w:eastAsia="en-AU"/>
        </w:rPr>
        <w:drawing>
          <wp:inline distT="0" distB="0" distL="0" distR="0" wp14:anchorId="2769DF9A" wp14:editId="23B3E9E5">
            <wp:extent cx="3436620" cy="2514600"/>
            <wp:effectExtent l="0" t="0" r="0" b="0"/>
            <wp:docPr id="9" name="Picture 9" title="Image of the DIAMOND™ system 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6620" cy="2514600"/>
                    </a:xfrm>
                    <a:prstGeom prst="rect">
                      <a:avLst/>
                    </a:prstGeom>
                    <a:noFill/>
                  </pic:spPr>
                </pic:pic>
              </a:graphicData>
            </a:graphic>
          </wp:inline>
        </w:drawing>
      </w:r>
    </w:p>
    <w:p w:rsidR="00B63B55" w:rsidRPr="008F6F75" w:rsidRDefault="00B63B55" w:rsidP="008F6F75">
      <w:pPr>
        <w:rPr>
          <w:rFonts w:cs="Arial"/>
          <w:lang w:val="en-US"/>
        </w:rPr>
      </w:pPr>
    </w:p>
    <w:p w:rsidR="00B63B55" w:rsidRPr="008F6F75" w:rsidRDefault="00B63B55" w:rsidP="008F6F75">
      <w:pPr>
        <w:pStyle w:val="Quote"/>
        <w:spacing w:line="276" w:lineRule="auto"/>
        <w:rPr>
          <w:szCs w:val="22"/>
        </w:rPr>
      </w:pPr>
      <w:bookmarkStart w:id="8" w:name="_Toc397951190"/>
      <w:r w:rsidRPr="008F6F75">
        <w:rPr>
          <w:szCs w:val="22"/>
        </w:rPr>
        <w:t>Delivery of the intervention</w:t>
      </w:r>
      <w:bookmarkEnd w:id="8"/>
    </w:p>
    <w:p w:rsidR="00B63B55" w:rsidRPr="008F6F75" w:rsidRDefault="00B63B55" w:rsidP="008F6F75">
      <w:r w:rsidRPr="008F6F75">
        <w:t>The DIAMOND™ system (IPG and electrodes) are implanted in a minimally-invasive laparoscopic procedure under general anaesthesia. A major benefit of implanting the DIAMOND™ system is that there is no manipulation and rearrangement of the patient’s anatomy and the device can be switched on or off in situ or removed.</w:t>
      </w:r>
    </w:p>
    <w:p w:rsidR="00B63B55" w:rsidRPr="008F6F75" w:rsidRDefault="00B63B55" w:rsidP="008F6F75"/>
    <w:p w:rsidR="00B63B55" w:rsidRPr="008F6F75" w:rsidRDefault="00B63B55" w:rsidP="008F6F75">
      <w:pPr>
        <w:keepNext/>
        <w:spacing w:after="100"/>
        <w:rPr>
          <w:u w:val="single"/>
        </w:rPr>
      </w:pPr>
      <w:r w:rsidRPr="008F6F75">
        <w:rPr>
          <w:u w:val="single"/>
        </w:rPr>
        <w:lastRenderedPageBreak/>
        <w:t xml:space="preserve">Implanting the </w:t>
      </w:r>
      <w:proofErr w:type="spellStart"/>
      <w:r w:rsidRPr="008F6F75">
        <w:rPr>
          <w:u w:val="single"/>
        </w:rPr>
        <w:t>UltraFlex</w:t>
      </w:r>
      <w:proofErr w:type="spellEnd"/>
      <w:r w:rsidRPr="008F6F75">
        <w:rPr>
          <w:u w:val="single"/>
        </w:rPr>
        <w:t xml:space="preserve"> Leads:</w:t>
      </w:r>
    </w:p>
    <w:p w:rsidR="00B63B55" w:rsidRPr="008F6F75" w:rsidRDefault="00B63B55" w:rsidP="008F6F75">
      <w:pPr>
        <w:keepNext/>
      </w:pPr>
      <w:r w:rsidRPr="008F6F75">
        <w:t xml:space="preserve">Three bipolar electrodes are implanted:  One bi-polar gastric lead is placed in the fundus for recording of fundus distension, and two bi-polar leads are placed in the pyloric </w:t>
      </w:r>
      <w:proofErr w:type="spellStart"/>
      <w:r w:rsidRPr="008F6F75">
        <w:t>antrum</w:t>
      </w:r>
      <w:proofErr w:type="spellEnd"/>
      <w:r w:rsidRPr="008F6F75">
        <w:t xml:space="preserve"> for slow-wave detection and signal delivery. Each electrode is made of an 18 mm long, 0.5-mm-diameter platinum–iridium coil coated with titanium nitride. Each electrode is inserted </w:t>
      </w:r>
      <w:proofErr w:type="spellStart"/>
      <w:r w:rsidRPr="008F6F75">
        <w:t>subserosally</w:t>
      </w:r>
      <w:proofErr w:type="spellEnd"/>
      <w:r w:rsidRPr="008F6F75">
        <w:t xml:space="preserve"> to the outer stomach wall and secured on both ends (anchor + nylon thread and titanium clip), and the electrode is fully embedded in the gastric wall. The electrodes are connected to the implantable device, which performed both the detection and the stimulation tasks. The device is implanted subcutaneously on the left upper side of the abdomen. </w:t>
      </w:r>
    </w:p>
    <w:p w:rsidR="007F67CE" w:rsidRDefault="003064CD" w:rsidP="000C11E6">
      <w:pPr>
        <w:jc w:val="center"/>
      </w:pPr>
      <w:r>
        <w:rPr>
          <w:noProof/>
          <w:lang w:eastAsia="en-AU"/>
        </w:rPr>
        <w:drawing>
          <wp:inline distT="0" distB="0" distL="0" distR="0" wp14:anchorId="4820AC97" wp14:editId="2889F1C0">
            <wp:extent cx="3169920" cy="1744980"/>
            <wp:effectExtent l="0" t="0" r="0" b="7620"/>
            <wp:docPr id="10" name="Picture 10" title="Image showing the position where the device is implanted subcutaneously: on the left upper side of the abd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9920" cy="1744980"/>
                    </a:xfrm>
                    <a:prstGeom prst="rect">
                      <a:avLst/>
                    </a:prstGeom>
                    <a:noFill/>
                  </pic:spPr>
                </pic:pic>
              </a:graphicData>
            </a:graphic>
          </wp:inline>
        </w:drawing>
      </w:r>
    </w:p>
    <w:p w:rsidR="000C11E6" w:rsidRPr="000C11E6" w:rsidRDefault="000C11E6" w:rsidP="000C11E6">
      <w:pPr>
        <w:jc w:val="center"/>
      </w:pPr>
    </w:p>
    <w:p w:rsidR="00B63B55" w:rsidRPr="008F6F75" w:rsidRDefault="00B63B55" w:rsidP="008F6F75">
      <w:pPr>
        <w:spacing w:after="100"/>
        <w:rPr>
          <w:u w:val="single"/>
        </w:rPr>
      </w:pPr>
      <w:r w:rsidRPr="008F6F75">
        <w:rPr>
          <w:u w:val="single"/>
        </w:rPr>
        <w:t>Implanting the IPG:</w:t>
      </w:r>
    </w:p>
    <w:p w:rsidR="00B63B55" w:rsidRPr="008F6F75" w:rsidRDefault="00B63B55" w:rsidP="008F6F75">
      <w:r w:rsidRPr="008F6F75">
        <w:t xml:space="preserve">When all the electrodes are in place, a subcutaneous pocket for the DIAMOND™ system IPG is created. Before surgery the position of the DIAMOND™ IPG and Charge Coil is determined. The IPG is placed in parallel to the ribs, inferior to the rib cage. After the IPG is inserted, the connector pins of the electrode leads are tunnelled to the site of the IPG pocket. Once implanted, the IPG remains in the patient for 15 years. </w:t>
      </w:r>
    </w:p>
    <w:p w:rsidR="00B63B55" w:rsidRPr="008F6F75" w:rsidRDefault="00B63B55" w:rsidP="008F6F75">
      <w:pPr>
        <w:ind w:right="-153"/>
      </w:pPr>
    </w:p>
    <w:p w:rsidR="00B63B55" w:rsidRPr="008F6F75" w:rsidRDefault="00B63B55" w:rsidP="008F6F75">
      <w:pPr>
        <w:keepNext/>
        <w:spacing w:after="100"/>
        <w:rPr>
          <w:u w:val="single"/>
        </w:rPr>
      </w:pPr>
      <w:r w:rsidRPr="008F6F75">
        <w:rPr>
          <w:u w:val="single"/>
        </w:rPr>
        <w:t>Implantation of the Charge Coil:</w:t>
      </w:r>
    </w:p>
    <w:p w:rsidR="00B63B55" w:rsidRPr="008F6F75" w:rsidRDefault="00B63B55" w:rsidP="008F6F75">
      <w:pPr>
        <w:shd w:val="clear" w:color="auto" w:fill="FFFFFF" w:themeFill="background1"/>
        <w:tabs>
          <w:tab w:val="left" w:pos="360"/>
        </w:tabs>
        <w:spacing w:before="120" w:after="240"/>
      </w:pPr>
      <w:r w:rsidRPr="008F6F75">
        <w:t xml:space="preserve">The Charge Coil is placed in a subcutaneous pocket at the lower left lower part of the rib cage. The coil should be placed approximately 2cm (not deeper than 4cm) from the surface of the skin. </w:t>
      </w:r>
    </w:p>
    <w:p w:rsidR="00904608" w:rsidRPr="008F6F75" w:rsidRDefault="00904608" w:rsidP="008F6F75"/>
    <w:p w:rsidR="00BC4EFE" w:rsidRPr="008F6F75" w:rsidRDefault="00BC4EFE" w:rsidP="008F6F75">
      <w:pPr>
        <w:pStyle w:val="Quote"/>
        <w:spacing w:line="276" w:lineRule="auto"/>
        <w:rPr>
          <w:szCs w:val="22"/>
        </w:rPr>
      </w:pPr>
      <w:r w:rsidRPr="008F6F75">
        <w:rPr>
          <w:szCs w:val="22"/>
        </w:rPr>
        <w:t>If the service is for investigative purposes, describe the technical specification of the health technology and any reference or “evidentiary” standard that has been established.</w:t>
      </w:r>
    </w:p>
    <w:p w:rsidR="00D90D8F" w:rsidRPr="008F6F75" w:rsidRDefault="00597108" w:rsidP="008F6F75">
      <w:r w:rsidRPr="008F6F75">
        <w:t>Not applicable</w:t>
      </w:r>
      <w:r w:rsidR="00B63B55" w:rsidRPr="008F6F75">
        <w:t>.</w:t>
      </w:r>
    </w:p>
    <w:p w:rsidR="00B63B55" w:rsidRPr="0088078F" w:rsidRDefault="00B63B55" w:rsidP="008F6F75">
      <w:pPr>
        <w:rPr>
          <w:sz w:val="144"/>
          <w:szCs w:val="144"/>
        </w:rPr>
      </w:pPr>
    </w:p>
    <w:p w:rsidR="0088078F" w:rsidRDefault="0088078F" w:rsidP="008F6F75"/>
    <w:p w:rsidR="00BC4EFE" w:rsidRPr="008F6F75" w:rsidRDefault="00BC4EFE" w:rsidP="008F6F75">
      <w:pPr>
        <w:pStyle w:val="Quote"/>
        <w:spacing w:line="276" w:lineRule="auto"/>
        <w:rPr>
          <w:szCs w:val="22"/>
        </w:rPr>
      </w:pPr>
      <w:r w:rsidRPr="008F6F75">
        <w:rPr>
          <w:szCs w:val="22"/>
        </w:rPr>
        <w:t>Indicate whether the service includes a registered trademark with characteristics that distinguish it from any other similar health technology.</w:t>
      </w:r>
    </w:p>
    <w:p w:rsidR="00460036" w:rsidRPr="008F6F75" w:rsidRDefault="00460036" w:rsidP="008F6F75">
      <w:r w:rsidRPr="008F6F75">
        <w:t>The placement service provision does not have a registered trademark associated with it. The treating Physician uses a trademarked programmer and wand for interrogating and programming of the IPG.</w:t>
      </w:r>
    </w:p>
    <w:p w:rsidR="00BC4EFE" w:rsidRPr="008F6F75" w:rsidRDefault="00460036" w:rsidP="008F6F75">
      <w:pPr>
        <w:pStyle w:val="Quote"/>
        <w:spacing w:line="276" w:lineRule="auto"/>
        <w:rPr>
          <w:szCs w:val="22"/>
        </w:rPr>
      </w:pPr>
      <w:r w:rsidRPr="008F6F75">
        <w:rPr>
          <w:szCs w:val="22"/>
        </w:rPr>
        <w:br/>
      </w:r>
      <w:r w:rsidR="00BC4EFE" w:rsidRPr="008F6F75">
        <w:rPr>
          <w:szCs w:val="22"/>
        </w:rPr>
        <w:t xml:space="preserve">Indicate the proposed setting in which the proposed medical service will be delivered </w:t>
      </w:r>
    </w:p>
    <w:p w:rsidR="00D03D92" w:rsidRPr="008F6F75" w:rsidRDefault="00C72D18" w:rsidP="008F6F75">
      <w:r w:rsidRPr="008F6F75">
        <w:t xml:space="preserve">It is proposed that </w:t>
      </w:r>
      <w:r w:rsidR="00D03D92" w:rsidRPr="008F6F75">
        <w:t xml:space="preserve">the insertion of the DIAMOND™ system </w:t>
      </w:r>
      <w:r w:rsidRPr="008F6F75">
        <w:t xml:space="preserve">will be delivered in </w:t>
      </w:r>
      <w:r w:rsidR="00460036" w:rsidRPr="008F6F75">
        <w:t xml:space="preserve">either an inpatient private or public hospital setting. </w:t>
      </w:r>
      <w:r w:rsidR="00D03D92" w:rsidRPr="008F6F75">
        <w:t>The laparoscopic procedure takes approximately 2 hours to complete, and usually requires one overnight hospital stay</w:t>
      </w:r>
      <w:r w:rsidR="00E44A74">
        <w:t>.</w:t>
      </w:r>
    </w:p>
    <w:p w:rsidR="000F60C6" w:rsidRPr="008F6F75" w:rsidRDefault="000F60C6" w:rsidP="008F6F75">
      <w:r w:rsidRPr="008F6F75">
        <w:t>After the implantation of the device, and a</w:t>
      </w:r>
      <w:r w:rsidR="00E732FF">
        <w:t>t a</w:t>
      </w:r>
      <w:r w:rsidRPr="008F6F75">
        <w:t xml:space="preserve"> normal post-surgical follow-up at approximately one week, the patient’s device will be switched on to initiate therapy. Thereafter, medical management of the patient will revert to the treating endocrinologist. One to two times a year this will involve the interrogation of the IPG.</w:t>
      </w:r>
    </w:p>
    <w:p w:rsidR="00D03D92" w:rsidRPr="008F6F75" w:rsidRDefault="00D03D92" w:rsidP="008F6F75"/>
    <w:p w:rsidR="00BC4EFE" w:rsidRPr="008F6F75" w:rsidRDefault="00BC4EFE" w:rsidP="008F6F75">
      <w:pPr>
        <w:pStyle w:val="Quote"/>
        <w:spacing w:line="276" w:lineRule="auto"/>
        <w:rPr>
          <w:szCs w:val="22"/>
        </w:rPr>
      </w:pPr>
      <w:r w:rsidRPr="008F6F75">
        <w:rPr>
          <w:szCs w:val="22"/>
        </w:rPr>
        <w:t>Describe how the service is del</w:t>
      </w:r>
      <w:r w:rsidR="00597108" w:rsidRPr="008F6F75">
        <w:rPr>
          <w:szCs w:val="22"/>
        </w:rPr>
        <w:t>ivered in the clinical setting.</w:t>
      </w:r>
      <w:r w:rsidRPr="008F6F75">
        <w:rPr>
          <w:szCs w:val="22"/>
        </w:rPr>
        <w:t xml:space="preserve"> </w:t>
      </w:r>
    </w:p>
    <w:p w:rsidR="006A19A3" w:rsidRPr="00E25CE4" w:rsidRDefault="006A19A3" w:rsidP="00E25CE4">
      <w:pPr>
        <w:rPr>
          <w:bCs/>
        </w:rPr>
      </w:pPr>
      <w:r w:rsidRPr="00E25CE4">
        <w:rPr>
          <w:bCs/>
        </w:rPr>
        <w:t xml:space="preserve">The procedure is performed by a laparoscopic surgeon, with the support of an assistant surgeon and one anaesthetist. The laparoscopic procedure takes approximately 2 hours to complete, and usually requires one overnight hospital stay.  An endoscopy may be performed during the laparoscopic procedure to verify that the electrodes did not penetrate through stomach mucosa. In line with other laparoscopic surgical procedures, prophylactic antibiotics are recommended. </w:t>
      </w:r>
    </w:p>
    <w:p w:rsidR="006A19A3" w:rsidRPr="00E25CE4" w:rsidRDefault="006A19A3" w:rsidP="00E25CE4">
      <w:pPr>
        <w:rPr>
          <w:bCs/>
        </w:rPr>
      </w:pPr>
      <w:r w:rsidRPr="00E25CE4">
        <w:rPr>
          <w:bCs/>
        </w:rPr>
        <w:t xml:space="preserve">The main requirements for the procedure are associated with administering anaesthesia, and performing an endoscopy. This equipment is available at all hospitals offering laparoscopic surgical procedures, and therefore no additional resources are required in terms of capital equipment and infrastructure.  The laparoscopic surgeon performing the procedure will undergo a formal training by </w:t>
      </w:r>
      <w:proofErr w:type="spellStart"/>
      <w:r w:rsidRPr="00E25CE4">
        <w:rPr>
          <w:bCs/>
        </w:rPr>
        <w:t>MetaCure</w:t>
      </w:r>
      <w:proofErr w:type="spellEnd"/>
      <w:r w:rsidRPr="00E25CE4">
        <w:rPr>
          <w:bCs/>
        </w:rPr>
        <w:t xml:space="preserve"> at specialised centres. </w:t>
      </w:r>
    </w:p>
    <w:p w:rsidR="006A19A3" w:rsidRPr="00E25CE4" w:rsidRDefault="009977AB" w:rsidP="008F6F75">
      <w:pPr>
        <w:rPr>
          <w:bCs/>
        </w:rPr>
      </w:pPr>
      <w:r w:rsidRPr="00E25CE4">
        <w:rPr>
          <w:bCs/>
        </w:rPr>
        <w:t xml:space="preserve">Patients who will receive GCM therapy </w:t>
      </w:r>
      <w:r w:rsidR="002217A1">
        <w:rPr>
          <w:bCs/>
        </w:rPr>
        <w:t>will have been referred by a</w:t>
      </w:r>
      <w:r w:rsidRPr="00E25CE4">
        <w:rPr>
          <w:bCs/>
        </w:rPr>
        <w:t xml:space="preserve"> treating endocrinologist to</w:t>
      </w:r>
      <w:r w:rsidR="002217A1">
        <w:rPr>
          <w:bCs/>
        </w:rPr>
        <w:t xml:space="preserve"> a trained</w:t>
      </w:r>
      <w:r w:rsidRPr="00E25CE4">
        <w:rPr>
          <w:bCs/>
        </w:rPr>
        <w:t xml:space="preserve"> laparoscopic surgeon. </w:t>
      </w:r>
      <w:r w:rsidR="006A19A3" w:rsidRPr="00E25CE4">
        <w:rPr>
          <w:bCs/>
        </w:rPr>
        <w:t xml:space="preserve">As outlined previously, after the insertion of the </w:t>
      </w:r>
      <w:r w:rsidR="002217A1" w:rsidRPr="00E25CE4">
        <w:rPr>
          <w:bCs/>
        </w:rPr>
        <w:t>DIAMOND</w:t>
      </w:r>
      <w:r w:rsidR="006A19A3" w:rsidRPr="00E25CE4">
        <w:rPr>
          <w:bCs/>
        </w:rPr>
        <w:t xml:space="preserve">™ IPG, patients will be managed </w:t>
      </w:r>
      <w:r w:rsidR="002217A1">
        <w:rPr>
          <w:bCs/>
        </w:rPr>
        <w:t xml:space="preserve">by </w:t>
      </w:r>
      <w:r w:rsidR="006A19A3" w:rsidRPr="00E25CE4">
        <w:rPr>
          <w:bCs/>
        </w:rPr>
        <w:t>their treating endocrinologist.</w:t>
      </w:r>
      <w:r w:rsidR="00460036" w:rsidRPr="00E25CE4">
        <w:rPr>
          <w:bCs/>
        </w:rPr>
        <w:t xml:space="preserve"> </w:t>
      </w:r>
    </w:p>
    <w:p w:rsidR="00BC4EFE" w:rsidRPr="008F6F75" w:rsidRDefault="00BC4EFE" w:rsidP="008F6F75">
      <w:pPr>
        <w:pStyle w:val="Heading1"/>
      </w:pPr>
      <w:bookmarkStart w:id="9" w:name="_Toc398046787"/>
      <w:bookmarkStart w:id="10" w:name="_Toc398209597"/>
      <w:r w:rsidRPr="008F6F75">
        <w:t>Co-dependent information (if not a co-dependent application go to Section 6)</w:t>
      </w:r>
      <w:bookmarkEnd w:id="9"/>
      <w:bookmarkEnd w:id="10"/>
    </w:p>
    <w:p w:rsidR="00BC4EFE" w:rsidRPr="008F6F75" w:rsidRDefault="00BC4EFE" w:rsidP="008F6F75">
      <w:pPr>
        <w:pStyle w:val="Quote"/>
        <w:spacing w:line="276" w:lineRule="auto"/>
        <w:rPr>
          <w:szCs w:val="22"/>
        </w:rPr>
      </w:pPr>
      <w:r w:rsidRPr="008F6F75">
        <w:rPr>
          <w:szCs w:val="22"/>
        </w:rPr>
        <w:t>Please provide detail of the co-dependent nature of this service as applicable</w:t>
      </w:r>
      <w:r w:rsidR="00D90D8F" w:rsidRPr="008F6F75">
        <w:rPr>
          <w:szCs w:val="22"/>
        </w:rPr>
        <w:t>.</w:t>
      </w:r>
    </w:p>
    <w:p w:rsidR="00D90D8F" w:rsidRPr="008F6F75" w:rsidRDefault="002366BA" w:rsidP="008F6F75">
      <w:r w:rsidRPr="008F6F75">
        <w:t>Not applicable</w:t>
      </w:r>
    </w:p>
    <w:p w:rsidR="00BC4EFE" w:rsidRPr="008F6F75" w:rsidRDefault="00BC4EFE" w:rsidP="00866FB0">
      <w:pPr>
        <w:pStyle w:val="Heading1"/>
      </w:pPr>
      <w:bookmarkStart w:id="11" w:name="_Toc398046788"/>
      <w:bookmarkStart w:id="12" w:name="_Toc398209598"/>
      <w:r w:rsidRPr="008F6F75">
        <w:lastRenderedPageBreak/>
        <w:t>Comparator – clinical claim for the proposed medical service</w:t>
      </w:r>
      <w:bookmarkEnd w:id="11"/>
      <w:bookmarkEnd w:id="12"/>
    </w:p>
    <w:p w:rsidR="009977AB" w:rsidRPr="008F6F75" w:rsidRDefault="00BC4EFE" w:rsidP="00866FB0">
      <w:pPr>
        <w:pStyle w:val="Quote"/>
        <w:keepNext/>
        <w:spacing w:line="276" w:lineRule="auto"/>
        <w:rPr>
          <w:szCs w:val="22"/>
        </w:rPr>
      </w:pPr>
      <w:r w:rsidRPr="008F6F75">
        <w:rPr>
          <w:szCs w:val="22"/>
        </w:rPr>
        <w:t>Please provide details of how the proposed service is expected to be used</w:t>
      </w:r>
    </w:p>
    <w:p w:rsidR="00D200BE" w:rsidRPr="008F6F75" w:rsidRDefault="00D200BE" w:rsidP="00866FB0">
      <w:pPr>
        <w:keepNext/>
        <w:spacing w:after="100" w:afterAutospacing="1"/>
        <w:ind w:right="-113"/>
      </w:pPr>
      <w:r w:rsidRPr="008F6F75">
        <w:t xml:space="preserve">There </w:t>
      </w:r>
      <w:r w:rsidR="00E63597">
        <w:t>is one</w:t>
      </w:r>
      <w:r w:rsidRPr="008F6F75">
        <w:t xml:space="preserve"> </w:t>
      </w:r>
      <w:r w:rsidR="00FB2270">
        <w:t>patient population</w:t>
      </w:r>
      <w:r w:rsidRPr="008F6F75">
        <w:t xml:space="preserve"> for the DIAMOND™ system. All patients using the DIAMOND™ system would follow the criteria:</w:t>
      </w:r>
    </w:p>
    <w:p w:rsidR="00D200BE" w:rsidRPr="008F6F75" w:rsidRDefault="00D200BE" w:rsidP="008F6F75">
      <w:pPr>
        <w:numPr>
          <w:ilvl w:val="0"/>
          <w:numId w:val="12"/>
        </w:numPr>
        <w:spacing w:after="100" w:afterAutospacing="1"/>
        <w:ind w:right="-113"/>
      </w:pPr>
      <w:r w:rsidRPr="008F6F75">
        <w:t>Type 2 Diabetes with Obesity (BMI ≥ 30</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rsidRPr="008F6F75">
        <w:t>)</w:t>
      </w:r>
    </w:p>
    <w:p w:rsidR="00D200BE" w:rsidRPr="008F6F75" w:rsidRDefault="00D200BE" w:rsidP="008F6F75">
      <w:pPr>
        <w:numPr>
          <w:ilvl w:val="0"/>
          <w:numId w:val="12"/>
        </w:numPr>
        <w:spacing w:after="100" w:afterAutospacing="1"/>
        <w:ind w:right="-113"/>
      </w:pPr>
      <w:r w:rsidRPr="008F6F75">
        <w:t>Patients uncontrolled on oral medications</w:t>
      </w:r>
    </w:p>
    <w:p w:rsidR="00D200BE" w:rsidRPr="008F6F75" w:rsidRDefault="00D200BE" w:rsidP="008F6F75">
      <w:pPr>
        <w:numPr>
          <w:ilvl w:val="0"/>
          <w:numId w:val="12"/>
        </w:numPr>
        <w:spacing w:after="100" w:afterAutospacing="1"/>
        <w:ind w:right="-113"/>
      </w:pPr>
      <w:r w:rsidRPr="008F6F75">
        <w:t>≥ 18 years</w:t>
      </w:r>
    </w:p>
    <w:p w:rsidR="00D200BE" w:rsidRPr="008F6F75" w:rsidRDefault="00D200BE" w:rsidP="008F6F75">
      <w:pPr>
        <w:numPr>
          <w:ilvl w:val="0"/>
          <w:numId w:val="12"/>
        </w:numPr>
        <w:spacing w:after="100" w:afterAutospacing="1"/>
        <w:ind w:right="-113"/>
      </w:pPr>
      <w:r w:rsidRPr="008F6F75">
        <w:t>Normal triglycerides (fasting plasma triglycerides ≤1.7mmol/l)</w:t>
      </w:r>
    </w:p>
    <w:p w:rsidR="00D200BE" w:rsidRPr="008F6F75" w:rsidRDefault="00D200BE" w:rsidP="008F6F75">
      <w:pPr>
        <w:numPr>
          <w:ilvl w:val="0"/>
          <w:numId w:val="12"/>
        </w:numPr>
        <w:spacing w:after="100" w:afterAutospacing="1"/>
        <w:ind w:right="-113"/>
      </w:pPr>
      <w:r w:rsidRPr="008F6F75">
        <w:t>HbA1c ≥ 7.5%</w:t>
      </w:r>
      <w:r w:rsidR="002B1DCA">
        <w:t xml:space="preserve"> and </w:t>
      </w:r>
      <w:r w:rsidR="002B1DCA" w:rsidRPr="00E73915">
        <w:rPr>
          <w:u w:val="single"/>
        </w:rPr>
        <w:t>&lt;</w:t>
      </w:r>
      <w:r w:rsidR="002B1DCA">
        <w:t>10%.</w:t>
      </w:r>
    </w:p>
    <w:p w:rsidR="00576CC0" w:rsidRPr="00DD6C77" w:rsidRDefault="00D200BE" w:rsidP="00576CC0">
      <w:pPr>
        <w:ind w:left="360"/>
        <w:rPr>
          <w:i/>
        </w:rPr>
      </w:pPr>
      <w:r w:rsidRPr="008F6F75">
        <w:t xml:space="preserve">The </w:t>
      </w:r>
      <w:r w:rsidR="00576CC0">
        <w:t xml:space="preserve">description of the </w:t>
      </w:r>
      <w:r w:rsidRPr="008F6F75">
        <w:t xml:space="preserve">patient </w:t>
      </w:r>
      <w:proofErr w:type="gramStart"/>
      <w:r w:rsidRPr="008F6F75">
        <w:t xml:space="preserve">population </w:t>
      </w:r>
      <w:r w:rsidR="00576CC0">
        <w:t xml:space="preserve"> is</w:t>
      </w:r>
      <w:proofErr w:type="gramEnd"/>
      <w:r w:rsidR="00576CC0">
        <w:t xml:space="preserve"> as follows</w:t>
      </w:r>
      <w:r w:rsidRPr="008F6F75">
        <w:t xml:space="preserve">: </w:t>
      </w:r>
    </w:p>
    <w:p w:rsidR="00576CC0" w:rsidRPr="008F6F75" w:rsidRDefault="00BA6E03" w:rsidP="009E6DE1">
      <w:pPr>
        <w:pBdr>
          <w:top w:val="single" w:sz="4" w:space="1" w:color="auto"/>
          <w:left w:val="single" w:sz="4" w:space="4" w:color="auto"/>
          <w:bottom w:val="single" w:sz="4" w:space="1" w:color="auto"/>
          <w:right w:val="single" w:sz="4" w:space="4" w:color="auto"/>
        </w:pBdr>
        <w:tabs>
          <w:tab w:val="num" w:pos="1440"/>
          <w:tab w:val="num" w:pos="2160"/>
        </w:tabs>
        <w:spacing w:after="240"/>
        <w:ind w:left="1080" w:right="-153"/>
      </w:pPr>
      <w:r w:rsidRPr="00DD6C77">
        <w:rPr>
          <w:i/>
        </w:rPr>
        <w:t xml:space="preserve">“Patients for who </w:t>
      </w:r>
      <w:r w:rsidRPr="00DD6C77">
        <w:rPr>
          <w:rFonts w:ascii="Arial" w:hAnsi="Arial" w:cs="Arial"/>
          <w:i/>
          <w:color w:val="222222"/>
          <w:sz w:val="20"/>
          <w:szCs w:val="20"/>
        </w:rPr>
        <w:t xml:space="preserve">all </w:t>
      </w:r>
      <w:r w:rsidRPr="00DD6C77">
        <w:rPr>
          <w:i/>
        </w:rPr>
        <w:t xml:space="preserve">PBS listed oral anti-diabetic medications </w:t>
      </w:r>
      <w:r w:rsidRPr="00DD6C77">
        <w:rPr>
          <w:rFonts w:ascii="Arial" w:hAnsi="Arial" w:cs="Arial"/>
          <w:i/>
          <w:color w:val="222222"/>
          <w:sz w:val="20"/>
          <w:szCs w:val="20"/>
        </w:rPr>
        <w:t>have failed or are inappropriate</w:t>
      </w:r>
      <w:r w:rsidRPr="00DD6C77">
        <w:rPr>
          <w:i/>
        </w:rPr>
        <w:t xml:space="preserve"> </w:t>
      </w:r>
      <w:r>
        <w:rPr>
          <w:i/>
        </w:rPr>
        <w:t>and as an alternative to injectable therapies</w:t>
      </w:r>
      <w:r w:rsidR="00B276DC">
        <w:rPr>
          <w:i/>
        </w:rPr>
        <w:t xml:space="preserve"> or bariatric surgery</w:t>
      </w:r>
      <w:r>
        <w:rPr>
          <w:i/>
        </w:rPr>
        <w:t xml:space="preserve">.” </w:t>
      </w:r>
      <w:r w:rsidR="00D200BE" w:rsidRPr="008F6F75">
        <w:rPr>
          <w:b/>
        </w:rPr>
        <w:t xml:space="preserve">The </w:t>
      </w:r>
      <w:r w:rsidR="009E6DE1">
        <w:rPr>
          <w:b/>
        </w:rPr>
        <w:t xml:space="preserve">primary </w:t>
      </w:r>
      <w:r w:rsidR="00D200BE" w:rsidRPr="008F6F75">
        <w:rPr>
          <w:b/>
        </w:rPr>
        <w:t>comparator</w:t>
      </w:r>
      <w:r w:rsidR="00135F4A">
        <w:rPr>
          <w:b/>
        </w:rPr>
        <w:t>s</w:t>
      </w:r>
      <w:r w:rsidR="00D200BE" w:rsidRPr="008F6F75">
        <w:rPr>
          <w:b/>
        </w:rPr>
        <w:t xml:space="preserve"> for this group </w:t>
      </w:r>
      <w:r w:rsidR="00135F4A">
        <w:rPr>
          <w:b/>
        </w:rPr>
        <w:t>are</w:t>
      </w:r>
      <w:r w:rsidR="00135F4A" w:rsidRPr="008F6F75">
        <w:rPr>
          <w:b/>
        </w:rPr>
        <w:t xml:space="preserve"> </w:t>
      </w:r>
      <w:r w:rsidR="00576CC0" w:rsidRPr="008F6F75">
        <w:rPr>
          <w:b/>
        </w:rPr>
        <w:t>injectable therapy</w:t>
      </w:r>
      <w:r w:rsidR="00576CC0">
        <w:rPr>
          <w:b/>
        </w:rPr>
        <w:t xml:space="preserve"> and </w:t>
      </w:r>
      <w:r w:rsidR="00200DFC">
        <w:rPr>
          <w:b/>
        </w:rPr>
        <w:t>o</w:t>
      </w:r>
      <w:r w:rsidR="00D200BE" w:rsidRPr="008F6F75">
        <w:rPr>
          <w:b/>
        </w:rPr>
        <w:t xml:space="preserve">ral anti-diabetic (OAD) medication providing inadequate </w:t>
      </w:r>
      <w:r w:rsidR="00D200BE" w:rsidRPr="00CA1741">
        <w:rPr>
          <w:b/>
        </w:rPr>
        <w:t>control</w:t>
      </w:r>
      <w:r w:rsidR="00576CC0" w:rsidRPr="00CA1741">
        <w:t xml:space="preserve"> after all oral agent options have been exhausted</w:t>
      </w:r>
      <w:r w:rsidR="00D200BE" w:rsidRPr="00CA1741">
        <w:t xml:space="preserve">. </w:t>
      </w:r>
      <w:r w:rsidR="00200DFC" w:rsidRPr="00721408" w:rsidDel="00A13DBE">
        <w:t xml:space="preserve"> </w:t>
      </w:r>
      <w:r w:rsidR="009E6DE1">
        <w:t>B</w:t>
      </w:r>
      <w:r w:rsidR="004304B2">
        <w:t xml:space="preserve">ariatric surgery will be </w:t>
      </w:r>
      <w:r w:rsidR="009E6DE1">
        <w:t>included</w:t>
      </w:r>
      <w:r w:rsidR="004304B2">
        <w:t xml:space="preserve"> as a secondary </w:t>
      </w:r>
      <w:r w:rsidR="009E6DE1">
        <w:t>comparator</w:t>
      </w:r>
      <w:r w:rsidR="004304B2">
        <w:t>.</w:t>
      </w:r>
    </w:p>
    <w:p w:rsidR="00D200BE" w:rsidRPr="008F6F75" w:rsidRDefault="00200DFC" w:rsidP="005E2EA5">
      <w:pPr>
        <w:pBdr>
          <w:top w:val="single" w:sz="4" w:space="1" w:color="auto"/>
          <w:left w:val="single" w:sz="4" w:space="4" w:color="auto"/>
          <w:bottom w:val="single" w:sz="4" w:space="1" w:color="auto"/>
          <w:right w:val="single" w:sz="4" w:space="4" w:color="auto"/>
        </w:pBdr>
        <w:tabs>
          <w:tab w:val="num" w:pos="1440"/>
          <w:tab w:val="num" w:pos="2160"/>
        </w:tabs>
        <w:spacing w:after="240"/>
        <w:ind w:left="1080" w:right="-153"/>
      </w:pPr>
      <w:r>
        <w:rPr>
          <w:i/>
        </w:rPr>
        <w:t>.</w:t>
      </w:r>
    </w:p>
    <w:p w:rsidR="00FE32AB" w:rsidRDefault="00FE32AB" w:rsidP="008F6F75">
      <w:r>
        <w:t>It is anticipated that patents will continue on optimal medical therapy</w:t>
      </w:r>
      <w:r w:rsidR="00866FB0">
        <w:t xml:space="preserve"> (OMT)</w:t>
      </w:r>
      <w:r>
        <w:t>.</w:t>
      </w:r>
    </w:p>
    <w:p w:rsidR="00BC4EFE" w:rsidRPr="008F6F75" w:rsidRDefault="00BC4EFE" w:rsidP="008F6F75">
      <w:pPr>
        <w:pStyle w:val="Heading1"/>
      </w:pPr>
      <w:bookmarkStart w:id="13" w:name="_Toc398046789"/>
      <w:bookmarkStart w:id="14" w:name="_Toc398209599"/>
      <w:r w:rsidRPr="008F6F75">
        <w:t>Expected health outcomes relating to the medical service</w:t>
      </w:r>
      <w:bookmarkEnd w:id="13"/>
      <w:bookmarkEnd w:id="14"/>
    </w:p>
    <w:p w:rsidR="00BC4EFE" w:rsidRPr="008F6F75" w:rsidRDefault="00BC4EFE" w:rsidP="008F6F75">
      <w:pPr>
        <w:pStyle w:val="Quote"/>
        <w:spacing w:line="276" w:lineRule="auto"/>
        <w:rPr>
          <w:szCs w:val="22"/>
        </w:rPr>
      </w:pPr>
      <w:r w:rsidRPr="008F6F75">
        <w:rPr>
          <w:szCs w:val="22"/>
        </w:rPr>
        <w:t>Identify the expected patient-relevant health outcomes if the service is recommended for public funding</w:t>
      </w:r>
    </w:p>
    <w:p w:rsidR="00611EEB" w:rsidRPr="008F6F75" w:rsidRDefault="00DF49DC" w:rsidP="008F6F75">
      <w:r w:rsidRPr="008F6F75">
        <w:t xml:space="preserve">If </w:t>
      </w:r>
      <w:r w:rsidR="00D200BE" w:rsidRPr="008F6F75">
        <w:t>GCM therapy</w:t>
      </w:r>
      <w:r w:rsidRPr="008F6F75">
        <w:t xml:space="preserve"> is recommended for public funding, the expected patient-relevant benefits </w:t>
      </w:r>
      <w:r w:rsidR="00611EEB" w:rsidRPr="008F6F75">
        <w:t>would be:</w:t>
      </w:r>
    </w:p>
    <w:p w:rsidR="00DF49DC" w:rsidRPr="008F6F75" w:rsidRDefault="00DF49DC" w:rsidP="008F6F75">
      <w:pPr>
        <w:pStyle w:val="ListParagraph"/>
        <w:numPr>
          <w:ilvl w:val="0"/>
          <w:numId w:val="2"/>
        </w:numPr>
      </w:pPr>
      <w:r w:rsidRPr="008F6F75">
        <w:t>A</w:t>
      </w:r>
      <w:r w:rsidR="00D200BE" w:rsidRPr="008F6F75">
        <w:t>n improvement in HbA1c</w:t>
      </w:r>
      <w:r w:rsidR="00E732FF">
        <w:t xml:space="preserve"> </w:t>
      </w:r>
      <w:r w:rsidR="007F6EA1">
        <w:t>and blood glucose levels</w:t>
      </w:r>
      <w:r w:rsidR="009977AB" w:rsidRPr="008F6F75">
        <w:t>;</w:t>
      </w:r>
    </w:p>
    <w:p w:rsidR="00D200BE" w:rsidRPr="008F6F75" w:rsidRDefault="00D200BE" w:rsidP="008F6F75">
      <w:pPr>
        <w:pStyle w:val="ListParagraph"/>
        <w:numPr>
          <w:ilvl w:val="0"/>
          <w:numId w:val="2"/>
        </w:numPr>
      </w:pPr>
      <w:r w:rsidRPr="008F6F75">
        <w:t xml:space="preserve">A reduction in microvascular and </w:t>
      </w:r>
      <w:proofErr w:type="spellStart"/>
      <w:r w:rsidRPr="008F6F75">
        <w:t>macrovascular</w:t>
      </w:r>
      <w:proofErr w:type="spellEnd"/>
      <w:r w:rsidRPr="008F6F75">
        <w:t xml:space="preserve"> complications</w:t>
      </w:r>
      <w:r w:rsidR="009977AB" w:rsidRPr="008F6F75">
        <w:t>;</w:t>
      </w:r>
    </w:p>
    <w:p w:rsidR="00DF49DC" w:rsidRPr="008F6F75" w:rsidRDefault="00D200BE" w:rsidP="008F6F75">
      <w:pPr>
        <w:pStyle w:val="ListParagraph"/>
        <w:numPr>
          <w:ilvl w:val="0"/>
          <w:numId w:val="2"/>
        </w:numPr>
      </w:pPr>
      <w:r w:rsidRPr="008F6F75">
        <w:t>Weight loss</w:t>
      </w:r>
      <w:r w:rsidR="009977AB" w:rsidRPr="008F6F75">
        <w:t>;</w:t>
      </w:r>
    </w:p>
    <w:p w:rsidR="009977AB" w:rsidRPr="008F6F75" w:rsidRDefault="009977AB" w:rsidP="008F6F75">
      <w:pPr>
        <w:pStyle w:val="ListParagraph"/>
        <w:numPr>
          <w:ilvl w:val="0"/>
          <w:numId w:val="2"/>
        </w:numPr>
      </w:pPr>
      <w:r w:rsidRPr="008F6F75">
        <w:t>Reduction of waist circumference;</w:t>
      </w:r>
    </w:p>
    <w:p w:rsidR="00611EEB" w:rsidRPr="008F6F75" w:rsidRDefault="00611EEB" w:rsidP="008F6F75">
      <w:pPr>
        <w:pStyle w:val="ListParagraph"/>
        <w:numPr>
          <w:ilvl w:val="0"/>
          <w:numId w:val="2"/>
        </w:numPr>
      </w:pPr>
      <w:r w:rsidRPr="008F6F75">
        <w:t>Reduced hypoglycaemic episodes;</w:t>
      </w:r>
    </w:p>
    <w:p w:rsidR="009977AB" w:rsidRPr="008F6F75" w:rsidRDefault="009977AB" w:rsidP="008F6F75">
      <w:pPr>
        <w:pStyle w:val="ListParagraph"/>
        <w:numPr>
          <w:ilvl w:val="0"/>
          <w:numId w:val="2"/>
        </w:numPr>
      </w:pPr>
      <w:r w:rsidRPr="008F6F75">
        <w:t xml:space="preserve">Reduction in cardiovascular risk factors, including cholesterol and blood pressure; </w:t>
      </w:r>
    </w:p>
    <w:p w:rsidR="007A7DDF" w:rsidRPr="008F6F75" w:rsidRDefault="007A7DDF" w:rsidP="008F6F75">
      <w:pPr>
        <w:pStyle w:val="ListParagraph"/>
        <w:numPr>
          <w:ilvl w:val="0"/>
          <w:numId w:val="2"/>
        </w:numPr>
      </w:pPr>
      <w:r w:rsidRPr="008F6F75">
        <w:t>Improved health-related quality of life</w:t>
      </w:r>
      <w:r w:rsidR="009977AB" w:rsidRPr="008F6F75">
        <w:t>;</w:t>
      </w:r>
    </w:p>
    <w:p w:rsidR="00B1380A" w:rsidRDefault="009977AB" w:rsidP="008F6F75">
      <w:pPr>
        <w:pStyle w:val="ListParagraph"/>
        <w:numPr>
          <w:ilvl w:val="0"/>
          <w:numId w:val="2"/>
        </w:numPr>
      </w:pPr>
      <w:r w:rsidRPr="008F6F75">
        <w:t>Reduction in complications associated with uncontrolled T2DM, leading to reduced hospitalisations, morbidity and quality of life</w:t>
      </w:r>
      <w:r w:rsidR="00E218B6">
        <w:t>;</w:t>
      </w:r>
    </w:p>
    <w:p w:rsidR="009D13E8" w:rsidRDefault="009D13E8" w:rsidP="008F6F75">
      <w:pPr>
        <w:pStyle w:val="ListParagraph"/>
        <w:numPr>
          <w:ilvl w:val="0"/>
          <w:numId w:val="2"/>
        </w:numPr>
      </w:pPr>
      <w:r>
        <w:t xml:space="preserve">Adverse events associated with </w:t>
      </w:r>
      <w:r w:rsidR="00200DFC">
        <w:t>implantation</w:t>
      </w:r>
      <w:r>
        <w:t xml:space="preserve"> and the device</w:t>
      </w:r>
      <w:r w:rsidR="00200DFC">
        <w:t>, need for surgical revisions due to system failure</w:t>
      </w:r>
      <w:r w:rsidR="00E218B6">
        <w:t>;</w:t>
      </w:r>
    </w:p>
    <w:p w:rsidR="00200DFC" w:rsidRPr="00200DFC" w:rsidRDefault="00200DFC" w:rsidP="00200DFC">
      <w:pPr>
        <w:pStyle w:val="ListParagraph"/>
        <w:numPr>
          <w:ilvl w:val="0"/>
          <w:numId w:val="2"/>
        </w:numPr>
        <w:spacing w:after="240"/>
        <w:rPr>
          <w:rFonts w:ascii="Arial" w:hAnsi="Arial" w:cs="Arial"/>
        </w:rPr>
      </w:pPr>
      <w:r w:rsidRPr="00E218B6">
        <w:t xml:space="preserve">Adverse long term events with respect to the </w:t>
      </w:r>
      <w:proofErr w:type="spellStart"/>
      <w:r w:rsidRPr="00E218B6">
        <w:t>subserosal</w:t>
      </w:r>
      <w:proofErr w:type="spellEnd"/>
      <w:r w:rsidRPr="00E218B6">
        <w:t xml:space="preserve"> layer implantation of the device (including penetration, ulceration, </w:t>
      </w:r>
      <w:r w:rsidR="00F63415" w:rsidRPr="00E218B6">
        <w:t>and migration</w:t>
      </w:r>
      <w:r w:rsidRPr="00200DFC">
        <w:rPr>
          <w:rFonts w:ascii="Arial" w:hAnsi="Arial" w:cs="Arial"/>
        </w:rPr>
        <w:t>).</w:t>
      </w:r>
    </w:p>
    <w:p w:rsidR="009D13E8" w:rsidRDefault="009D13E8" w:rsidP="00E218B6">
      <w:pPr>
        <w:pStyle w:val="ListParagraph"/>
      </w:pPr>
    </w:p>
    <w:p w:rsidR="008F6F75" w:rsidRPr="008F6F75" w:rsidRDefault="008F6F75" w:rsidP="008F6F75"/>
    <w:p w:rsidR="00BC4EFE" w:rsidRPr="008F6F75" w:rsidRDefault="00BC4EFE" w:rsidP="008F6F75">
      <w:pPr>
        <w:pStyle w:val="Quote"/>
        <w:spacing w:line="276" w:lineRule="auto"/>
        <w:rPr>
          <w:szCs w:val="22"/>
        </w:rPr>
      </w:pPr>
      <w:r w:rsidRPr="008F6F75">
        <w:rPr>
          <w:szCs w:val="22"/>
        </w:rPr>
        <w:lastRenderedPageBreak/>
        <w:t xml:space="preserve">Describe any potential risks to the patient. </w:t>
      </w:r>
    </w:p>
    <w:p w:rsidR="002E13AA" w:rsidRPr="008F6F75" w:rsidRDefault="003F38CD" w:rsidP="008F6F75">
      <w:r w:rsidRPr="008F6F75">
        <w:t xml:space="preserve">There </w:t>
      </w:r>
      <w:r w:rsidR="00900516" w:rsidRPr="008F6F75">
        <w:t>are minimal risks associated with GCM therapy, and the</w:t>
      </w:r>
      <w:r w:rsidR="002E13AA" w:rsidRPr="008F6F75">
        <w:t xml:space="preserve"> related adverse events</w:t>
      </w:r>
      <w:r w:rsidR="00900516" w:rsidRPr="008F6F75">
        <w:t xml:space="preserve"> </w:t>
      </w:r>
      <w:r w:rsidR="002E13AA" w:rsidRPr="008F6F75">
        <w:t>are</w:t>
      </w:r>
      <w:r w:rsidR="00900516" w:rsidRPr="008F6F75">
        <w:t xml:space="preserve"> transient </w:t>
      </w:r>
      <w:r w:rsidR="002E13AA" w:rsidRPr="008F6F75">
        <w:t>and consistent with laparoscopic procedures.</w:t>
      </w:r>
      <w:r w:rsidR="00900516" w:rsidRPr="008F6F75">
        <w:t xml:space="preserve"> </w:t>
      </w:r>
      <w:r w:rsidR="00CD5AC2">
        <w:t xml:space="preserve">This was the finding of the pivotal studies and global safety reporting. </w:t>
      </w:r>
      <w:r w:rsidR="00055030">
        <w:t xml:space="preserve">Revision and adverse events data will be presented in the MSAC application. </w:t>
      </w:r>
    </w:p>
    <w:p w:rsidR="00532CCF" w:rsidRPr="008F6F75" w:rsidRDefault="00532CCF" w:rsidP="008F6F75">
      <w:r w:rsidRPr="008F6F75">
        <w:t>It should be noted that a major benefit of implanting the DIAMOND™ system is that there is no manipulation and rearrangement of the patient’s anatomy and the device can be switched on or off in situ or removed.</w:t>
      </w:r>
    </w:p>
    <w:p w:rsidR="00532CCF" w:rsidRPr="008F6F75" w:rsidRDefault="00532CCF" w:rsidP="008F6F75"/>
    <w:p w:rsidR="00BC4EFE" w:rsidRPr="008F6F75" w:rsidRDefault="00BC4EFE" w:rsidP="008F6F75">
      <w:pPr>
        <w:pStyle w:val="Quote"/>
        <w:spacing w:line="276" w:lineRule="auto"/>
        <w:rPr>
          <w:szCs w:val="22"/>
        </w:rPr>
      </w:pPr>
      <w:r w:rsidRPr="008F6F75">
        <w:rPr>
          <w:szCs w:val="22"/>
        </w:rPr>
        <w:t>Specify the type of economic evaluation.</w:t>
      </w:r>
    </w:p>
    <w:p w:rsidR="00532CCF" w:rsidRPr="008F6F75" w:rsidRDefault="00532CCF" w:rsidP="008F6F75">
      <w:r w:rsidRPr="008F6F75">
        <w:t xml:space="preserve">As described above, the MSAC submission for </w:t>
      </w:r>
      <w:r w:rsidRPr="008F6F75">
        <w:rPr>
          <w:lang w:val="en-US"/>
        </w:rPr>
        <w:t>GCM</w:t>
      </w:r>
      <w:r w:rsidRPr="008F6F75">
        <w:t xml:space="preserve"> therapy will seek reimbursement in two patient populations. This application provides a summary of the results that would form the basis of the economic evaluation. </w:t>
      </w:r>
    </w:p>
    <w:p w:rsidR="00532CCF" w:rsidRPr="008F6F75" w:rsidRDefault="00BA6E03" w:rsidP="008F6F75">
      <w:pPr>
        <w:pStyle w:val="ListParagraph"/>
        <w:keepNext/>
        <w:numPr>
          <w:ilvl w:val="0"/>
          <w:numId w:val="15"/>
        </w:numPr>
        <w:shd w:val="clear" w:color="auto" w:fill="C2D69B" w:themeFill="accent3" w:themeFillTint="99"/>
        <w:ind w:hanging="357"/>
      </w:pPr>
      <w:r w:rsidRPr="00DD6C77">
        <w:rPr>
          <w:i/>
        </w:rPr>
        <w:t xml:space="preserve">“Patients for who </w:t>
      </w:r>
      <w:r w:rsidRPr="00DD6C77">
        <w:rPr>
          <w:rFonts w:ascii="Arial" w:hAnsi="Arial" w:cs="Arial"/>
          <w:i/>
          <w:color w:val="222222"/>
          <w:sz w:val="20"/>
          <w:szCs w:val="20"/>
        </w:rPr>
        <w:t xml:space="preserve">all </w:t>
      </w:r>
      <w:r w:rsidRPr="00DD6C77">
        <w:rPr>
          <w:i/>
        </w:rPr>
        <w:t xml:space="preserve">PBS listed oral anti-diabetic medications </w:t>
      </w:r>
      <w:r w:rsidRPr="00DD6C77">
        <w:rPr>
          <w:rFonts w:ascii="Arial" w:hAnsi="Arial" w:cs="Arial"/>
          <w:i/>
          <w:color w:val="222222"/>
          <w:sz w:val="20"/>
          <w:szCs w:val="20"/>
        </w:rPr>
        <w:t>have failed or are inappropriate</w:t>
      </w:r>
      <w:r w:rsidRPr="00DD6C77">
        <w:rPr>
          <w:i/>
        </w:rPr>
        <w:t xml:space="preserve"> </w:t>
      </w:r>
      <w:r>
        <w:rPr>
          <w:i/>
        </w:rPr>
        <w:t>and as an alternative to injectable therapies</w:t>
      </w:r>
      <w:r w:rsidR="00B276DC">
        <w:rPr>
          <w:i/>
        </w:rPr>
        <w:t xml:space="preserve"> or bariatric surgery</w:t>
      </w:r>
      <w:r>
        <w:rPr>
          <w:i/>
        </w:rPr>
        <w:t xml:space="preserve">.” </w:t>
      </w:r>
      <w:r w:rsidRPr="00DD6C77">
        <w:rPr>
          <w:i/>
        </w:rPr>
        <w:t xml:space="preserve"> </w:t>
      </w:r>
      <w:r w:rsidR="00532CCF" w:rsidRPr="008F6F75">
        <w:t>, the clinical claim is:</w:t>
      </w:r>
    </w:p>
    <w:p w:rsidR="00532CCF" w:rsidRPr="008F6F75" w:rsidRDefault="00532CCF" w:rsidP="008F6F75">
      <w:pPr>
        <w:pStyle w:val="ListParagraph"/>
        <w:keepNext/>
        <w:numPr>
          <w:ilvl w:val="0"/>
          <w:numId w:val="16"/>
        </w:numPr>
        <w:ind w:hanging="357"/>
      </w:pPr>
      <w:r w:rsidRPr="008F6F75">
        <w:rPr>
          <w:lang w:val="en-US"/>
        </w:rPr>
        <w:t>GCM</w:t>
      </w:r>
      <w:r w:rsidRPr="008F6F75">
        <w:t xml:space="preserve"> therapy offers superior clinical efficacy compared to </w:t>
      </w:r>
      <w:r w:rsidRPr="008F6F75">
        <w:rPr>
          <w:i/>
        </w:rPr>
        <w:t>OAD medication providing inadequate control</w:t>
      </w:r>
      <w:r w:rsidR="00200DFC">
        <w:rPr>
          <w:i/>
        </w:rPr>
        <w:t xml:space="preserve"> after all oral agent options have been exhausted</w:t>
      </w:r>
      <w:r w:rsidRPr="008F6F75">
        <w:t>;</w:t>
      </w:r>
    </w:p>
    <w:p w:rsidR="00D37820" w:rsidRDefault="00532CCF" w:rsidP="008F6F75">
      <w:pPr>
        <w:pStyle w:val="ListParagraph"/>
        <w:keepNext/>
        <w:numPr>
          <w:ilvl w:val="0"/>
          <w:numId w:val="16"/>
        </w:numPr>
        <w:ind w:hanging="357"/>
      </w:pPr>
      <w:r w:rsidRPr="008F6F75">
        <w:rPr>
          <w:lang w:val="en-US"/>
        </w:rPr>
        <w:t>GCM</w:t>
      </w:r>
      <w:r w:rsidRPr="008F6F75">
        <w:t xml:space="preserve"> therapy is </w:t>
      </w:r>
      <w:r w:rsidR="007F6EA1">
        <w:t>’superior</w:t>
      </w:r>
      <w:r w:rsidRPr="008F6F75">
        <w:t xml:space="preserve"> in terms of diabetic treatment safety compared to </w:t>
      </w:r>
      <w:r w:rsidRPr="008F6F75">
        <w:rPr>
          <w:i/>
        </w:rPr>
        <w:t>OAD medication providing inadequate control</w:t>
      </w:r>
      <w:r w:rsidR="00200DFC" w:rsidRPr="00200DFC">
        <w:rPr>
          <w:i/>
        </w:rPr>
        <w:t xml:space="preserve"> </w:t>
      </w:r>
      <w:r w:rsidR="00200DFC">
        <w:rPr>
          <w:i/>
        </w:rPr>
        <w:t>after all oral agent options have been exhausted</w:t>
      </w:r>
      <w:r w:rsidRPr="008F6F75">
        <w:rPr>
          <w:i/>
        </w:rPr>
        <w:t>.</w:t>
      </w:r>
      <w:r w:rsidR="00D37820">
        <w:rPr>
          <w:i/>
        </w:rPr>
        <w:t xml:space="preserve"> </w:t>
      </w:r>
      <w:r w:rsidR="00494388">
        <w:t xml:space="preserve">There are a number </w:t>
      </w:r>
      <w:r w:rsidR="00A34EBD">
        <w:t xml:space="preserve">of </w:t>
      </w:r>
      <w:r w:rsidR="00203935">
        <w:t xml:space="preserve">well documented </w:t>
      </w:r>
      <w:r w:rsidR="00494388">
        <w:t>side effects related to high dose combinatio</w:t>
      </w:r>
      <w:r w:rsidR="00E24259">
        <w:t xml:space="preserve">n oral </w:t>
      </w:r>
      <w:proofErr w:type="spellStart"/>
      <w:r w:rsidR="00E24259">
        <w:t>antidiabetic</w:t>
      </w:r>
      <w:proofErr w:type="spellEnd"/>
      <w:r w:rsidR="00E24259">
        <w:t xml:space="preserve"> therapies (</w:t>
      </w:r>
      <w:r w:rsidR="00602684">
        <w:t>RACGP</w:t>
      </w:r>
      <w:r w:rsidR="00602684">
        <w:fldChar w:fldCharType="begin"/>
      </w:r>
      <w:r w:rsidR="00602684">
        <w:instrText xml:space="preserve"> ADDIN EN.CITE &lt;EndNote&gt;&lt;Cite&gt;&lt;RecNum&gt;27&lt;/RecNum&gt;&lt;record&gt;&lt;rec-number&gt;27&lt;/rec-number&gt;&lt;foreign-keys&gt;&lt;key app="EN" db-id="9rwdwz9ertf5roea2scxxfeh5fwdfdsff5ep" timestamp="1413342659"&gt;27&lt;/key&gt;&lt;/foreign-keys&gt;&lt;ref-type name="Report"&gt;27&lt;/ref-type&gt;&lt;contributors&gt;&lt;/contributors&gt;&lt;titles&gt;&lt;title&gt;RACGP Diabetes Australia General Practice Managment of Type 2 Diabetes 2014-2015&lt;/title&gt;&lt;/titles&gt;&lt;dates&gt;&lt;/dates&gt;&lt;urls&gt;&lt;/urls&gt;&lt;/record&gt;&lt;/Cite&gt;&lt;/EndNote&gt;</w:instrText>
      </w:r>
      <w:r w:rsidR="00602684">
        <w:fldChar w:fldCharType="end"/>
      </w:r>
      <w:r w:rsidR="00602684">
        <w:t xml:space="preserve"> 2014-15</w:t>
      </w:r>
      <w:r w:rsidR="00CD3ACA">
        <w:rPr>
          <w:rFonts w:cs="Arial"/>
        </w:rPr>
        <w:t>,</w:t>
      </w:r>
      <w:r w:rsidR="00E24259">
        <w:t xml:space="preserve"> </w:t>
      </w:r>
      <w:r w:rsidR="00CD3ACA">
        <w:t>p49</w:t>
      </w:r>
      <w:r w:rsidR="00E24259">
        <w:t>)</w:t>
      </w:r>
      <w:r w:rsidR="00A34EBD">
        <w:t>.</w:t>
      </w:r>
      <w:r w:rsidR="00E24259">
        <w:t xml:space="preserve"> </w:t>
      </w:r>
      <w:r w:rsidR="00D37820">
        <w:t xml:space="preserve">It should be noted the insertion of the IPG is associated with transient and common side-effects of a </w:t>
      </w:r>
      <w:r w:rsidR="003C1408">
        <w:t>l</w:t>
      </w:r>
      <w:r w:rsidR="00D37820" w:rsidRPr="008F6F75">
        <w:t>aparoscopic procedure</w:t>
      </w:r>
      <w:r w:rsidR="00D37820">
        <w:t>.</w:t>
      </w:r>
    </w:p>
    <w:p w:rsidR="00E218B6" w:rsidRPr="008F6F75" w:rsidRDefault="00E218B6" w:rsidP="00E218B6">
      <w:pPr>
        <w:pStyle w:val="ListParagraph"/>
        <w:numPr>
          <w:ilvl w:val="0"/>
          <w:numId w:val="16"/>
        </w:numPr>
      </w:pPr>
      <w:r w:rsidRPr="008F6F75">
        <w:rPr>
          <w:lang w:val="en-US"/>
        </w:rPr>
        <w:t>GCM</w:t>
      </w:r>
      <w:r w:rsidRPr="008F6F75">
        <w:t xml:space="preserve"> therapy is non-inferior to injectable therapies in terms of clinical efficacy;</w:t>
      </w:r>
    </w:p>
    <w:p w:rsidR="00E218B6" w:rsidRDefault="00E218B6" w:rsidP="00E218B6">
      <w:pPr>
        <w:pStyle w:val="ListParagraph"/>
        <w:numPr>
          <w:ilvl w:val="0"/>
          <w:numId w:val="16"/>
        </w:numPr>
      </w:pPr>
      <w:r w:rsidRPr="008F6F75">
        <w:rPr>
          <w:lang w:val="en-US"/>
        </w:rPr>
        <w:t>GCM</w:t>
      </w:r>
      <w:r w:rsidRPr="008F6F75">
        <w:t xml:space="preserve"> therapy is superior to injectable therapies in terms of clinical safety. </w:t>
      </w:r>
      <w:r w:rsidRPr="003C1408">
        <w:t>It should be noted the insertion of the IPG is associated with transient and common side-effects of a laparoscopic procedure</w:t>
      </w:r>
      <w:r>
        <w:t>.  H</w:t>
      </w:r>
      <w:r w:rsidRPr="008F6F75">
        <w:t xml:space="preserve">owever compared with the hypoglycaemic events and weight gain related complications with injectable therapies, </w:t>
      </w:r>
      <w:r w:rsidRPr="008F6F75">
        <w:rPr>
          <w:lang w:val="en-US"/>
        </w:rPr>
        <w:t>GCM</w:t>
      </w:r>
      <w:r w:rsidRPr="008F6F75">
        <w:t xml:space="preserve"> therapy offers superior safety.</w:t>
      </w:r>
    </w:p>
    <w:p w:rsidR="00690459" w:rsidRPr="008F6F75" w:rsidRDefault="00690459" w:rsidP="00E218B6">
      <w:pPr>
        <w:pStyle w:val="ListParagraph"/>
        <w:numPr>
          <w:ilvl w:val="0"/>
          <w:numId w:val="16"/>
        </w:numPr>
      </w:pPr>
      <w:r>
        <w:t>GCM therapy is equally effective in terms of reduced HbA1c and safer than bariatric surgery.</w:t>
      </w:r>
    </w:p>
    <w:p w:rsidR="00E218B6" w:rsidRDefault="00E218B6" w:rsidP="005E2EA5">
      <w:pPr>
        <w:keepNext/>
        <w:ind w:left="363"/>
      </w:pPr>
    </w:p>
    <w:p w:rsidR="007F6EA1" w:rsidRPr="008F6F75" w:rsidRDefault="007F6EA1" w:rsidP="009C7F74">
      <w:pPr>
        <w:pStyle w:val="Caption"/>
        <w:ind w:left="360" w:firstLine="0"/>
        <w:rPr>
          <w:rFonts w:asciiTheme="minorHAnsi" w:hAnsiTheme="minorHAnsi"/>
        </w:rPr>
      </w:pPr>
      <w:r w:rsidRPr="008F6F75">
        <w:rPr>
          <w:rFonts w:ascii="Calibri" w:hAnsi="Calibri"/>
        </w:rPr>
        <w:t xml:space="preserve">Table </w:t>
      </w:r>
      <w:r w:rsidRPr="008F6F75">
        <w:rPr>
          <w:rFonts w:ascii="Calibri" w:hAnsi="Calibri"/>
        </w:rPr>
        <w:fldChar w:fldCharType="begin"/>
      </w:r>
      <w:r w:rsidRPr="008F6F75">
        <w:rPr>
          <w:rFonts w:ascii="Calibri" w:hAnsi="Calibri"/>
        </w:rPr>
        <w:instrText xml:space="preserve"> SEQ Table \* ARABIC </w:instrText>
      </w:r>
      <w:r w:rsidRPr="008F6F75">
        <w:rPr>
          <w:rFonts w:ascii="Calibri" w:hAnsi="Calibri"/>
        </w:rPr>
        <w:fldChar w:fldCharType="separate"/>
      </w:r>
      <w:r w:rsidR="008B567B">
        <w:rPr>
          <w:rFonts w:ascii="Calibri" w:hAnsi="Calibri"/>
          <w:noProof/>
        </w:rPr>
        <w:t>2</w:t>
      </w:r>
      <w:r w:rsidRPr="008F6F75">
        <w:rPr>
          <w:rFonts w:ascii="Calibri" w:hAnsi="Calibri"/>
        </w:rPr>
        <w:fldChar w:fldCharType="end"/>
      </w:r>
      <w:r w:rsidRPr="008F6F75">
        <w:rPr>
          <w:rFonts w:ascii="Calibri" w:hAnsi="Calibri"/>
        </w:rPr>
        <w:t>:</w:t>
      </w:r>
      <w:r w:rsidRPr="008F6F75">
        <w:rPr>
          <w:rFonts w:ascii="Calibri" w:hAnsi="Calibri"/>
        </w:rPr>
        <w:tab/>
      </w:r>
      <w:r w:rsidRPr="008F6F75">
        <w:rPr>
          <w:rFonts w:asciiTheme="minorHAnsi" w:hAnsiTheme="minorHAnsi"/>
        </w:rPr>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0"/>
        <w:gridCol w:w="1076"/>
        <w:gridCol w:w="860"/>
        <w:gridCol w:w="1572"/>
        <w:gridCol w:w="2429"/>
        <w:gridCol w:w="1518"/>
        <w:gridCol w:w="1047"/>
      </w:tblGrid>
      <w:tr w:rsidR="007F6EA1" w:rsidRPr="008F6F75" w:rsidTr="005E2EA5">
        <w:tc>
          <w:tcPr>
            <w:tcW w:w="1736" w:type="dxa"/>
            <w:gridSpan w:val="2"/>
            <w:vMerge w:val="restart"/>
          </w:tcPr>
          <w:p w:rsidR="007F6EA1" w:rsidRPr="008F6F75" w:rsidRDefault="007F6EA1" w:rsidP="00D430F5">
            <w:pPr>
              <w:keepNext/>
              <w:tabs>
                <w:tab w:val="left" w:pos="2835"/>
              </w:tabs>
              <w:spacing w:after="0" w:line="240" w:lineRule="auto"/>
              <w:rPr>
                <w:lang w:val="en-GB" w:eastAsia="ja-JP"/>
              </w:rPr>
            </w:pPr>
          </w:p>
        </w:tc>
        <w:tc>
          <w:tcPr>
            <w:tcW w:w="7426" w:type="dxa"/>
            <w:gridSpan w:val="5"/>
          </w:tcPr>
          <w:p w:rsidR="007F6EA1" w:rsidRPr="008F6F75" w:rsidRDefault="007F6EA1" w:rsidP="00D430F5">
            <w:pPr>
              <w:keepNext/>
              <w:tabs>
                <w:tab w:val="left" w:pos="2835"/>
              </w:tabs>
              <w:spacing w:after="0" w:line="240" w:lineRule="auto"/>
              <w:jc w:val="center"/>
              <w:rPr>
                <w:b/>
                <w:lang w:val="en-GB" w:eastAsia="ja-JP"/>
              </w:rPr>
            </w:pPr>
            <w:r w:rsidRPr="008F6F75">
              <w:rPr>
                <w:b/>
                <w:lang w:val="en-GB" w:eastAsia="ja-JP"/>
              </w:rPr>
              <w:t>Comparative effectiveness versus comparator</w:t>
            </w:r>
          </w:p>
        </w:tc>
      </w:tr>
      <w:tr w:rsidR="007F6EA1" w:rsidRPr="008F6F75" w:rsidTr="005E2EA5">
        <w:tc>
          <w:tcPr>
            <w:tcW w:w="1736" w:type="dxa"/>
            <w:gridSpan w:val="2"/>
            <w:vMerge/>
          </w:tcPr>
          <w:p w:rsidR="007F6EA1" w:rsidRPr="008F6F75" w:rsidRDefault="007F6EA1" w:rsidP="00D430F5">
            <w:pPr>
              <w:keepNext/>
              <w:tabs>
                <w:tab w:val="left" w:pos="2835"/>
              </w:tabs>
              <w:spacing w:after="0" w:line="240" w:lineRule="auto"/>
              <w:rPr>
                <w:lang w:val="en-GB" w:eastAsia="ja-JP"/>
              </w:rPr>
            </w:pPr>
          </w:p>
        </w:tc>
        <w:tc>
          <w:tcPr>
            <w:tcW w:w="2432" w:type="dxa"/>
            <w:gridSpan w:val="2"/>
            <w:vAlign w:val="center"/>
          </w:tcPr>
          <w:p w:rsidR="007F6EA1" w:rsidRPr="008F6F75" w:rsidRDefault="007F6EA1" w:rsidP="00D430F5">
            <w:pPr>
              <w:keepNext/>
              <w:tabs>
                <w:tab w:val="left" w:pos="2835"/>
              </w:tabs>
              <w:spacing w:after="0" w:line="240" w:lineRule="auto"/>
              <w:jc w:val="center"/>
              <w:rPr>
                <w:u w:val="single"/>
                <w:lang w:val="en-GB" w:eastAsia="ja-JP"/>
              </w:rPr>
            </w:pPr>
            <w:r w:rsidRPr="008F6F75">
              <w:rPr>
                <w:u w:val="single"/>
                <w:lang w:val="en-GB" w:eastAsia="ja-JP"/>
              </w:rPr>
              <w:t>Superior</w:t>
            </w:r>
          </w:p>
        </w:tc>
        <w:tc>
          <w:tcPr>
            <w:tcW w:w="2429" w:type="dxa"/>
            <w:vAlign w:val="center"/>
          </w:tcPr>
          <w:p w:rsidR="007F6EA1" w:rsidRPr="008F6F75" w:rsidRDefault="007F6EA1" w:rsidP="00D430F5">
            <w:pPr>
              <w:keepNext/>
              <w:tabs>
                <w:tab w:val="left" w:pos="2835"/>
              </w:tabs>
              <w:spacing w:after="0" w:line="240" w:lineRule="auto"/>
              <w:jc w:val="center"/>
              <w:rPr>
                <w:u w:val="single"/>
                <w:lang w:val="en-GB" w:eastAsia="ja-JP"/>
              </w:rPr>
            </w:pPr>
            <w:r w:rsidRPr="008F6F75">
              <w:rPr>
                <w:u w:val="single"/>
                <w:lang w:val="en-GB" w:eastAsia="ja-JP"/>
              </w:rPr>
              <w:t>Non-inferior</w:t>
            </w:r>
          </w:p>
        </w:tc>
        <w:tc>
          <w:tcPr>
            <w:tcW w:w="2565" w:type="dxa"/>
            <w:gridSpan w:val="2"/>
            <w:vAlign w:val="center"/>
          </w:tcPr>
          <w:p w:rsidR="007F6EA1" w:rsidRPr="008F6F75" w:rsidRDefault="007F6EA1" w:rsidP="00D430F5">
            <w:pPr>
              <w:keepNext/>
              <w:tabs>
                <w:tab w:val="left" w:pos="2835"/>
              </w:tabs>
              <w:spacing w:after="0" w:line="240" w:lineRule="auto"/>
              <w:jc w:val="center"/>
              <w:rPr>
                <w:u w:val="single"/>
                <w:lang w:val="en-GB" w:eastAsia="ja-JP"/>
              </w:rPr>
            </w:pPr>
            <w:r w:rsidRPr="008F6F75">
              <w:rPr>
                <w:u w:val="single"/>
                <w:lang w:val="en-GB" w:eastAsia="ja-JP"/>
              </w:rPr>
              <w:t>Inferior</w:t>
            </w:r>
          </w:p>
        </w:tc>
      </w:tr>
      <w:tr w:rsidR="007F6EA1" w:rsidRPr="008F6F75" w:rsidTr="00A86D9B">
        <w:trPr>
          <w:cantSplit/>
          <w:trHeight w:val="20"/>
        </w:trPr>
        <w:tc>
          <w:tcPr>
            <w:tcW w:w="660" w:type="dxa"/>
            <w:vMerge w:val="restart"/>
            <w:textDirection w:val="btLr"/>
            <w:vAlign w:val="center"/>
          </w:tcPr>
          <w:p w:rsidR="007F6EA1" w:rsidRPr="008F6F75" w:rsidRDefault="007F6EA1" w:rsidP="00D430F5">
            <w:pPr>
              <w:keepNext/>
              <w:tabs>
                <w:tab w:val="left" w:pos="2835"/>
              </w:tabs>
              <w:spacing w:after="0" w:line="240" w:lineRule="auto"/>
              <w:ind w:left="113" w:right="113"/>
              <w:jc w:val="center"/>
              <w:rPr>
                <w:b/>
                <w:lang w:val="en-GB" w:eastAsia="ja-JP"/>
              </w:rPr>
            </w:pPr>
            <w:r w:rsidRPr="008F6F75">
              <w:rPr>
                <w:b/>
                <w:lang w:val="en-GB" w:eastAsia="ja-JP"/>
              </w:rPr>
              <w:t>Comparative safety versus comparator</w:t>
            </w:r>
          </w:p>
        </w:tc>
        <w:tc>
          <w:tcPr>
            <w:tcW w:w="1076" w:type="dxa"/>
            <w:vMerge w:val="restart"/>
            <w:vAlign w:val="center"/>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Superior</w:t>
            </w:r>
          </w:p>
        </w:tc>
        <w:tc>
          <w:tcPr>
            <w:tcW w:w="2432" w:type="dxa"/>
            <w:gridSpan w:val="2"/>
            <w:vMerge w:val="restart"/>
            <w:shd w:val="clear" w:color="auto" w:fill="C4BC96" w:themeFill="background2" w:themeFillShade="BF"/>
            <w:vAlign w:val="center"/>
          </w:tcPr>
          <w:p w:rsidR="00B44B57" w:rsidRPr="005E2EA5" w:rsidRDefault="00BA6E03" w:rsidP="005E2EA5">
            <w:pPr>
              <w:spacing w:line="240" w:lineRule="auto"/>
              <w:ind w:left="249"/>
              <w:rPr>
                <w:lang w:val="en-US"/>
              </w:rPr>
            </w:pPr>
            <w:r w:rsidRPr="005E2EA5">
              <w:t xml:space="preserve">Patients for who </w:t>
            </w:r>
            <w:r w:rsidRPr="005E2EA5">
              <w:rPr>
                <w:rFonts w:ascii="Arial" w:hAnsi="Arial" w:cs="Arial"/>
                <w:color w:val="222222"/>
                <w:sz w:val="20"/>
                <w:szCs w:val="20"/>
              </w:rPr>
              <w:t xml:space="preserve">all </w:t>
            </w:r>
            <w:r w:rsidRPr="005E2EA5">
              <w:t xml:space="preserve">PBS listed oral anti-diabetic medications </w:t>
            </w:r>
            <w:r w:rsidRPr="005E2EA5">
              <w:rPr>
                <w:rFonts w:ascii="Arial" w:hAnsi="Arial" w:cs="Arial"/>
                <w:color w:val="222222"/>
                <w:sz w:val="20"/>
                <w:szCs w:val="20"/>
              </w:rPr>
              <w:t>have failed or are inappropriate</w:t>
            </w:r>
            <w:r w:rsidRPr="005E2EA5">
              <w:t xml:space="preserve"> and as an alternative to injectable therapies.</w:t>
            </w:r>
          </w:p>
          <w:p w:rsidR="00CD3ACA" w:rsidRDefault="00E218B6" w:rsidP="00D430F5">
            <w:pPr>
              <w:keepNext/>
              <w:tabs>
                <w:tab w:val="left" w:pos="2835"/>
              </w:tabs>
              <w:spacing w:after="0" w:line="240" w:lineRule="auto"/>
              <w:jc w:val="center"/>
              <w:rPr>
                <w:b/>
                <w:lang w:val="en-GB" w:eastAsia="ja-JP"/>
              </w:rPr>
            </w:pPr>
            <w:r>
              <w:rPr>
                <w:i/>
                <w:lang w:val="en-US"/>
              </w:rPr>
              <w:t>DIAMOND™ system vs failed OAD medication</w:t>
            </w:r>
          </w:p>
          <w:p w:rsidR="007F6EA1" w:rsidRPr="00E73915" w:rsidRDefault="007F6EA1" w:rsidP="00D430F5">
            <w:pPr>
              <w:keepNext/>
              <w:tabs>
                <w:tab w:val="left" w:pos="2835"/>
              </w:tabs>
              <w:spacing w:after="0" w:line="240" w:lineRule="auto"/>
              <w:jc w:val="center"/>
              <w:rPr>
                <w:b/>
                <w:lang w:val="en-GB" w:eastAsia="ja-JP"/>
              </w:rPr>
            </w:pPr>
            <w:r w:rsidRPr="00E73915">
              <w:rPr>
                <w:b/>
                <w:lang w:val="en-GB" w:eastAsia="ja-JP"/>
              </w:rPr>
              <w:t>CEA/CUA</w:t>
            </w:r>
          </w:p>
        </w:tc>
        <w:tc>
          <w:tcPr>
            <w:tcW w:w="2429" w:type="dxa"/>
            <w:vMerge w:val="restart"/>
            <w:shd w:val="clear" w:color="auto" w:fill="C4BC96" w:themeFill="background2" w:themeFillShade="BF"/>
            <w:vAlign w:val="center"/>
          </w:tcPr>
          <w:p w:rsidR="00B44B57" w:rsidRPr="005E2EA5" w:rsidRDefault="00BA6E03" w:rsidP="005E2EA5">
            <w:pPr>
              <w:spacing w:line="240" w:lineRule="auto"/>
              <w:rPr>
                <w:lang w:val="en-US"/>
              </w:rPr>
            </w:pPr>
            <w:r w:rsidRPr="005E2EA5">
              <w:t xml:space="preserve">Patients for who </w:t>
            </w:r>
            <w:r w:rsidRPr="005E2EA5">
              <w:rPr>
                <w:rFonts w:ascii="Arial" w:hAnsi="Arial" w:cs="Arial"/>
                <w:color w:val="222222"/>
                <w:sz w:val="20"/>
                <w:szCs w:val="20"/>
              </w:rPr>
              <w:t xml:space="preserve">all </w:t>
            </w:r>
            <w:r w:rsidRPr="005E2EA5">
              <w:t xml:space="preserve">PBS listed oral anti-diabetic medications </w:t>
            </w:r>
            <w:r w:rsidRPr="005E2EA5">
              <w:rPr>
                <w:rFonts w:ascii="Arial" w:hAnsi="Arial" w:cs="Arial"/>
                <w:color w:val="222222"/>
                <w:sz w:val="20"/>
                <w:szCs w:val="20"/>
              </w:rPr>
              <w:t>have failed or are inappropriate</w:t>
            </w:r>
            <w:r w:rsidRPr="005E2EA5">
              <w:t xml:space="preserve"> and as an alternative to injectable therapies”</w:t>
            </w:r>
          </w:p>
          <w:p w:rsidR="00E218B6" w:rsidRDefault="00E218B6" w:rsidP="005E2EA5">
            <w:pPr>
              <w:keepNext/>
              <w:tabs>
                <w:tab w:val="left" w:pos="2835"/>
              </w:tabs>
              <w:spacing w:after="0" w:line="240" w:lineRule="auto"/>
              <w:rPr>
                <w:i/>
                <w:lang w:val="en-US"/>
              </w:rPr>
            </w:pPr>
            <w:r>
              <w:rPr>
                <w:i/>
                <w:lang w:val="en-US"/>
              </w:rPr>
              <w:t>DIAMOND™ system vs injectable therapy</w:t>
            </w:r>
          </w:p>
          <w:p w:rsidR="007F6EA1" w:rsidRDefault="00E218B6" w:rsidP="005E2EA5">
            <w:pPr>
              <w:keepNext/>
              <w:tabs>
                <w:tab w:val="left" w:pos="2835"/>
              </w:tabs>
              <w:spacing w:after="0" w:line="240" w:lineRule="auto"/>
              <w:rPr>
                <w:b/>
                <w:lang w:val="en-GB" w:eastAsia="ja-JP"/>
              </w:rPr>
            </w:pPr>
            <w:r w:rsidRPr="00CD3ACA">
              <w:rPr>
                <w:b/>
                <w:lang w:val="en-GB" w:eastAsia="ja-JP"/>
              </w:rPr>
              <w:t>CEA/CUA</w:t>
            </w:r>
          </w:p>
          <w:p w:rsidR="00690459" w:rsidRDefault="00690459" w:rsidP="005E2EA5">
            <w:pPr>
              <w:keepNext/>
              <w:tabs>
                <w:tab w:val="left" w:pos="2835"/>
              </w:tabs>
              <w:spacing w:after="0" w:line="240" w:lineRule="auto"/>
              <w:rPr>
                <w:b/>
                <w:lang w:val="en-GB" w:eastAsia="ja-JP"/>
              </w:rPr>
            </w:pPr>
          </w:p>
          <w:p w:rsidR="00690459" w:rsidRDefault="00690459" w:rsidP="00690459">
            <w:pPr>
              <w:keepNext/>
              <w:tabs>
                <w:tab w:val="left" w:pos="2835"/>
              </w:tabs>
              <w:spacing w:after="0" w:line="240" w:lineRule="auto"/>
              <w:rPr>
                <w:i/>
                <w:lang w:val="en-US"/>
              </w:rPr>
            </w:pPr>
            <w:r>
              <w:rPr>
                <w:i/>
                <w:lang w:val="en-US"/>
              </w:rPr>
              <w:t>DIAMOND™ system vs. bariatric surgery</w:t>
            </w:r>
          </w:p>
          <w:p w:rsidR="00690459" w:rsidRPr="00E73915" w:rsidRDefault="009E6DE1" w:rsidP="00690459">
            <w:pPr>
              <w:keepNext/>
              <w:tabs>
                <w:tab w:val="left" w:pos="2835"/>
              </w:tabs>
              <w:spacing w:after="0" w:line="240" w:lineRule="auto"/>
              <w:rPr>
                <w:lang w:val="en-GB" w:eastAsia="ja-JP"/>
              </w:rPr>
            </w:pPr>
            <w:r>
              <w:rPr>
                <w:i/>
                <w:lang w:val="en-US"/>
              </w:rPr>
              <w:t>CEA/CUA</w:t>
            </w:r>
          </w:p>
          <w:p w:rsidR="007F6EA1" w:rsidRPr="00A34EBD" w:rsidRDefault="007F6EA1" w:rsidP="005E2EA5">
            <w:pPr>
              <w:keepNext/>
              <w:tabs>
                <w:tab w:val="left" w:pos="2835"/>
              </w:tabs>
              <w:spacing w:after="0" w:line="240" w:lineRule="auto"/>
              <w:rPr>
                <w:b/>
                <w:lang w:val="en-GB" w:eastAsia="ja-JP"/>
              </w:rPr>
            </w:pPr>
          </w:p>
        </w:tc>
        <w:tc>
          <w:tcPr>
            <w:tcW w:w="1518" w:type="dxa"/>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Net clinical benefit</w:t>
            </w:r>
          </w:p>
        </w:tc>
        <w:tc>
          <w:tcPr>
            <w:tcW w:w="1047" w:type="dxa"/>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CEA/CUA</w:t>
            </w:r>
          </w:p>
        </w:tc>
      </w:tr>
      <w:tr w:rsidR="007F6EA1" w:rsidRPr="008F6F75" w:rsidTr="00A86D9B">
        <w:trPr>
          <w:cantSplit/>
          <w:trHeight w:val="20"/>
        </w:trPr>
        <w:tc>
          <w:tcPr>
            <w:tcW w:w="660" w:type="dxa"/>
            <w:vMerge/>
          </w:tcPr>
          <w:p w:rsidR="007F6EA1" w:rsidRPr="008F6F75" w:rsidRDefault="007F6EA1" w:rsidP="00D430F5">
            <w:pPr>
              <w:keepNext/>
              <w:tabs>
                <w:tab w:val="left" w:pos="2835"/>
              </w:tabs>
              <w:spacing w:after="0" w:line="240" w:lineRule="auto"/>
              <w:rPr>
                <w:lang w:val="en-GB" w:eastAsia="ja-JP"/>
              </w:rPr>
            </w:pPr>
          </w:p>
        </w:tc>
        <w:tc>
          <w:tcPr>
            <w:tcW w:w="1076" w:type="dxa"/>
            <w:vMerge/>
            <w:vAlign w:val="center"/>
          </w:tcPr>
          <w:p w:rsidR="007F6EA1" w:rsidRPr="008F6F75" w:rsidRDefault="007F6EA1" w:rsidP="00D430F5">
            <w:pPr>
              <w:keepNext/>
              <w:tabs>
                <w:tab w:val="left" w:pos="2835"/>
              </w:tabs>
              <w:spacing w:after="0" w:line="240" w:lineRule="auto"/>
              <w:rPr>
                <w:u w:val="single"/>
                <w:lang w:val="en-GB" w:eastAsia="ja-JP"/>
              </w:rPr>
            </w:pPr>
          </w:p>
        </w:tc>
        <w:tc>
          <w:tcPr>
            <w:tcW w:w="2432" w:type="dxa"/>
            <w:gridSpan w:val="2"/>
            <w:vMerge/>
            <w:shd w:val="clear" w:color="auto" w:fill="C4BC96" w:themeFill="background2" w:themeFillShade="BF"/>
            <w:vAlign w:val="center"/>
          </w:tcPr>
          <w:p w:rsidR="007F6EA1" w:rsidRPr="008F6F75" w:rsidRDefault="007F6EA1" w:rsidP="00D430F5">
            <w:pPr>
              <w:keepNext/>
              <w:tabs>
                <w:tab w:val="left" w:pos="2835"/>
              </w:tabs>
              <w:spacing w:after="0" w:line="240" w:lineRule="auto"/>
              <w:jc w:val="center"/>
              <w:rPr>
                <w:b/>
                <w:lang w:val="en-GB" w:eastAsia="ja-JP"/>
              </w:rPr>
            </w:pPr>
          </w:p>
        </w:tc>
        <w:tc>
          <w:tcPr>
            <w:tcW w:w="2429" w:type="dxa"/>
            <w:vMerge/>
            <w:shd w:val="clear" w:color="auto" w:fill="C4BC96" w:themeFill="background2" w:themeFillShade="BF"/>
            <w:vAlign w:val="center"/>
          </w:tcPr>
          <w:p w:rsidR="007F6EA1" w:rsidRPr="00864023" w:rsidRDefault="007F6EA1" w:rsidP="00D430F5">
            <w:pPr>
              <w:keepNext/>
              <w:tabs>
                <w:tab w:val="left" w:pos="2835"/>
              </w:tabs>
              <w:spacing w:after="0" w:line="240" w:lineRule="auto"/>
              <w:jc w:val="center"/>
              <w:rPr>
                <w:lang w:val="en-GB" w:eastAsia="ja-JP"/>
              </w:rPr>
            </w:pPr>
          </w:p>
        </w:tc>
        <w:tc>
          <w:tcPr>
            <w:tcW w:w="1518" w:type="dxa"/>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Neutral benefit</w:t>
            </w:r>
          </w:p>
        </w:tc>
        <w:tc>
          <w:tcPr>
            <w:tcW w:w="1047" w:type="dxa"/>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CEA/CUA*</w:t>
            </w:r>
          </w:p>
        </w:tc>
      </w:tr>
      <w:tr w:rsidR="007F6EA1" w:rsidRPr="008F6F75" w:rsidTr="00A86D9B">
        <w:trPr>
          <w:cantSplit/>
          <w:trHeight w:val="3327"/>
        </w:trPr>
        <w:tc>
          <w:tcPr>
            <w:tcW w:w="660" w:type="dxa"/>
            <w:vMerge/>
          </w:tcPr>
          <w:p w:rsidR="007F6EA1" w:rsidRPr="008F6F75" w:rsidRDefault="007F6EA1" w:rsidP="00D430F5">
            <w:pPr>
              <w:keepNext/>
              <w:tabs>
                <w:tab w:val="left" w:pos="2835"/>
              </w:tabs>
              <w:spacing w:after="0" w:line="240" w:lineRule="auto"/>
              <w:rPr>
                <w:lang w:val="en-GB" w:eastAsia="ja-JP"/>
              </w:rPr>
            </w:pPr>
          </w:p>
        </w:tc>
        <w:tc>
          <w:tcPr>
            <w:tcW w:w="1076" w:type="dxa"/>
            <w:vMerge/>
            <w:vAlign w:val="center"/>
          </w:tcPr>
          <w:p w:rsidR="007F6EA1" w:rsidRPr="008F6F75" w:rsidRDefault="007F6EA1" w:rsidP="00D430F5">
            <w:pPr>
              <w:keepNext/>
              <w:tabs>
                <w:tab w:val="left" w:pos="2835"/>
              </w:tabs>
              <w:spacing w:after="0" w:line="240" w:lineRule="auto"/>
              <w:rPr>
                <w:u w:val="single"/>
                <w:lang w:val="en-GB" w:eastAsia="ja-JP"/>
              </w:rPr>
            </w:pPr>
          </w:p>
        </w:tc>
        <w:tc>
          <w:tcPr>
            <w:tcW w:w="2432" w:type="dxa"/>
            <w:gridSpan w:val="2"/>
            <w:vMerge/>
            <w:tcBorders>
              <w:bottom w:val="single" w:sz="4" w:space="0" w:color="auto"/>
            </w:tcBorders>
            <w:shd w:val="clear" w:color="auto" w:fill="C4BC96" w:themeFill="background2" w:themeFillShade="BF"/>
            <w:vAlign w:val="center"/>
          </w:tcPr>
          <w:p w:rsidR="007F6EA1" w:rsidRPr="008F6F75" w:rsidRDefault="007F6EA1" w:rsidP="00D430F5">
            <w:pPr>
              <w:keepNext/>
              <w:tabs>
                <w:tab w:val="left" w:pos="2835"/>
              </w:tabs>
              <w:spacing w:after="0" w:line="240" w:lineRule="auto"/>
              <w:jc w:val="center"/>
              <w:rPr>
                <w:b/>
                <w:lang w:val="en-GB" w:eastAsia="ja-JP"/>
              </w:rPr>
            </w:pPr>
          </w:p>
        </w:tc>
        <w:tc>
          <w:tcPr>
            <w:tcW w:w="2429" w:type="dxa"/>
            <w:vMerge/>
            <w:shd w:val="clear" w:color="auto" w:fill="C4BC96" w:themeFill="background2" w:themeFillShade="BF"/>
            <w:vAlign w:val="center"/>
          </w:tcPr>
          <w:p w:rsidR="007F6EA1" w:rsidRPr="00864023" w:rsidRDefault="007F6EA1" w:rsidP="00D430F5">
            <w:pPr>
              <w:keepNext/>
              <w:tabs>
                <w:tab w:val="left" w:pos="2835"/>
              </w:tabs>
              <w:spacing w:after="0" w:line="240" w:lineRule="auto"/>
              <w:jc w:val="center"/>
              <w:rPr>
                <w:lang w:val="en-GB" w:eastAsia="ja-JP"/>
              </w:rPr>
            </w:pPr>
          </w:p>
        </w:tc>
        <w:tc>
          <w:tcPr>
            <w:tcW w:w="1518" w:type="dxa"/>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Net harms</w:t>
            </w:r>
          </w:p>
        </w:tc>
        <w:tc>
          <w:tcPr>
            <w:tcW w:w="1047" w:type="dxa"/>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r>
      <w:tr w:rsidR="007F6EA1" w:rsidRPr="008F6F75" w:rsidTr="005E2EA5">
        <w:trPr>
          <w:cantSplit/>
          <w:trHeight w:val="750"/>
        </w:trPr>
        <w:tc>
          <w:tcPr>
            <w:tcW w:w="660" w:type="dxa"/>
            <w:vMerge/>
          </w:tcPr>
          <w:p w:rsidR="007F6EA1" w:rsidRPr="008F6F75" w:rsidRDefault="007F6EA1" w:rsidP="00D430F5">
            <w:pPr>
              <w:keepNext/>
              <w:tabs>
                <w:tab w:val="left" w:pos="2835"/>
              </w:tabs>
              <w:spacing w:after="0" w:line="240" w:lineRule="auto"/>
              <w:rPr>
                <w:lang w:val="en-GB" w:eastAsia="ja-JP"/>
              </w:rPr>
            </w:pPr>
          </w:p>
        </w:tc>
        <w:tc>
          <w:tcPr>
            <w:tcW w:w="1076" w:type="dxa"/>
            <w:vAlign w:val="center"/>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Non-inferior</w:t>
            </w:r>
          </w:p>
        </w:tc>
        <w:tc>
          <w:tcPr>
            <w:tcW w:w="2432" w:type="dxa"/>
            <w:gridSpan w:val="2"/>
            <w:shd w:val="clear" w:color="auto" w:fill="FFFFFF" w:themeFill="background1"/>
            <w:vAlign w:val="center"/>
          </w:tcPr>
          <w:p w:rsidR="007F6EA1" w:rsidRPr="008F6F75" w:rsidRDefault="007F6EA1" w:rsidP="00D430F5">
            <w:pPr>
              <w:keepNext/>
              <w:tabs>
                <w:tab w:val="left" w:pos="2835"/>
              </w:tabs>
              <w:spacing w:after="0" w:line="240" w:lineRule="auto"/>
              <w:jc w:val="center"/>
              <w:rPr>
                <w:b/>
                <w:lang w:val="en-GB" w:eastAsia="ja-JP"/>
              </w:rPr>
            </w:pPr>
            <w:r w:rsidRPr="008F6F75">
              <w:rPr>
                <w:lang w:val="en-GB" w:eastAsia="ja-JP"/>
              </w:rPr>
              <w:t>CEA/CUA</w:t>
            </w:r>
          </w:p>
        </w:tc>
        <w:tc>
          <w:tcPr>
            <w:tcW w:w="2429" w:type="dxa"/>
            <w:shd w:val="clear" w:color="auto" w:fill="auto"/>
            <w:vAlign w:val="center"/>
          </w:tcPr>
          <w:p w:rsidR="007F6EA1" w:rsidRPr="00A34EBD" w:rsidRDefault="007F6EA1" w:rsidP="00D430F5">
            <w:pPr>
              <w:keepNext/>
              <w:tabs>
                <w:tab w:val="left" w:pos="2835"/>
              </w:tabs>
              <w:spacing w:after="0" w:line="240" w:lineRule="auto"/>
              <w:jc w:val="center"/>
              <w:rPr>
                <w:b/>
                <w:lang w:val="en-GB" w:eastAsia="ja-JP"/>
              </w:rPr>
            </w:pPr>
            <w:r w:rsidRPr="00A34EBD">
              <w:rPr>
                <w:lang w:val="en-GB" w:eastAsia="ja-JP"/>
              </w:rPr>
              <w:t>CEA/CUA</w:t>
            </w:r>
          </w:p>
        </w:tc>
        <w:tc>
          <w:tcPr>
            <w:tcW w:w="2565" w:type="dxa"/>
            <w:gridSpan w:val="2"/>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r>
      <w:tr w:rsidR="007F6EA1" w:rsidRPr="008F6F75" w:rsidTr="005E2EA5">
        <w:trPr>
          <w:cantSplit/>
          <w:trHeight w:val="20"/>
        </w:trPr>
        <w:tc>
          <w:tcPr>
            <w:tcW w:w="660" w:type="dxa"/>
            <w:vMerge/>
          </w:tcPr>
          <w:p w:rsidR="007F6EA1" w:rsidRPr="008F6F75" w:rsidRDefault="007F6EA1" w:rsidP="00D430F5">
            <w:pPr>
              <w:keepNext/>
              <w:tabs>
                <w:tab w:val="left" w:pos="2835"/>
              </w:tabs>
              <w:spacing w:after="0" w:line="240" w:lineRule="auto"/>
              <w:rPr>
                <w:lang w:val="en-GB" w:eastAsia="ja-JP"/>
              </w:rPr>
            </w:pPr>
          </w:p>
        </w:tc>
        <w:tc>
          <w:tcPr>
            <w:tcW w:w="1076" w:type="dxa"/>
            <w:vMerge w:val="restart"/>
            <w:vAlign w:val="center"/>
          </w:tcPr>
          <w:p w:rsidR="007F6EA1" w:rsidRPr="008F6F75" w:rsidRDefault="007F6EA1" w:rsidP="00D430F5">
            <w:pPr>
              <w:keepNext/>
              <w:tabs>
                <w:tab w:val="left" w:pos="2835"/>
              </w:tabs>
              <w:spacing w:after="0" w:line="240" w:lineRule="auto"/>
              <w:rPr>
                <w:u w:val="single"/>
                <w:lang w:val="en-GB" w:eastAsia="ja-JP"/>
              </w:rPr>
            </w:pPr>
            <w:r w:rsidRPr="008F6F75">
              <w:rPr>
                <w:u w:val="single"/>
                <w:lang w:val="en-GB" w:eastAsia="ja-JP"/>
              </w:rPr>
              <w:t>Inferior</w:t>
            </w:r>
          </w:p>
        </w:tc>
        <w:tc>
          <w:tcPr>
            <w:tcW w:w="860" w:type="dxa"/>
            <w:shd w:val="clear" w:color="auto" w:fill="auto"/>
            <w:vAlign w:val="center"/>
          </w:tcPr>
          <w:p w:rsidR="007F6EA1" w:rsidRPr="00A34EBD" w:rsidRDefault="007F6EA1" w:rsidP="00D430F5">
            <w:pPr>
              <w:keepNext/>
              <w:tabs>
                <w:tab w:val="left" w:pos="2835"/>
              </w:tabs>
              <w:spacing w:after="0" w:line="240" w:lineRule="auto"/>
              <w:rPr>
                <w:u w:val="single"/>
                <w:lang w:val="en-GB" w:eastAsia="ja-JP"/>
              </w:rPr>
            </w:pPr>
            <w:r w:rsidRPr="00A34EBD">
              <w:rPr>
                <w:u w:val="single"/>
                <w:lang w:val="en-GB" w:eastAsia="ja-JP"/>
              </w:rPr>
              <w:t>Net clinical benefit</w:t>
            </w:r>
          </w:p>
        </w:tc>
        <w:tc>
          <w:tcPr>
            <w:tcW w:w="1572" w:type="dxa"/>
            <w:shd w:val="clear" w:color="auto" w:fill="auto"/>
            <w:vAlign w:val="center"/>
          </w:tcPr>
          <w:p w:rsidR="007F6EA1" w:rsidRPr="000C382C" w:rsidRDefault="007F6EA1" w:rsidP="00D430F5">
            <w:pPr>
              <w:keepNext/>
              <w:tabs>
                <w:tab w:val="left" w:pos="2835"/>
              </w:tabs>
              <w:spacing w:after="0" w:line="240" w:lineRule="auto"/>
              <w:jc w:val="center"/>
              <w:rPr>
                <w:lang w:val="en-GB" w:eastAsia="ja-JP"/>
              </w:rPr>
            </w:pPr>
            <w:r w:rsidRPr="00E73915">
              <w:rPr>
                <w:lang w:val="en-GB" w:eastAsia="ja-JP"/>
              </w:rPr>
              <w:t>CEA/CUA</w:t>
            </w:r>
          </w:p>
        </w:tc>
        <w:tc>
          <w:tcPr>
            <w:tcW w:w="2429" w:type="dxa"/>
            <w:vMerge w:val="restart"/>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c>
          <w:tcPr>
            <w:tcW w:w="2565" w:type="dxa"/>
            <w:gridSpan w:val="2"/>
            <w:vMerge w:val="restart"/>
            <w:vAlign w:val="center"/>
          </w:tcPr>
          <w:p w:rsidR="007F6EA1" w:rsidRPr="008F6F75" w:rsidRDefault="007F6EA1" w:rsidP="00D430F5">
            <w:pPr>
              <w:keepNext/>
              <w:tabs>
                <w:tab w:val="left" w:pos="2835"/>
              </w:tabs>
              <w:spacing w:after="0" w:line="240" w:lineRule="auto"/>
              <w:jc w:val="center"/>
              <w:rPr>
                <w:lang w:val="en-GB" w:eastAsia="ja-JP"/>
              </w:rPr>
            </w:pPr>
            <w:r w:rsidRPr="008F6F75">
              <w:rPr>
                <w:lang w:val="en-GB" w:eastAsia="ja-JP"/>
              </w:rPr>
              <w:t>None^</w:t>
            </w:r>
          </w:p>
        </w:tc>
      </w:tr>
      <w:tr w:rsidR="007F6EA1" w:rsidRPr="008F6F75" w:rsidTr="005E2EA5">
        <w:trPr>
          <w:trHeight w:val="20"/>
        </w:trPr>
        <w:tc>
          <w:tcPr>
            <w:tcW w:w="660" w:type="dxa"/>
            <w:vMerge/>
          </w:tcPr>
          <w:p w:rsidR="007F6EA1" w:rsidRPr="008F6F75" w:rsidRDefault="007F6EA1" w:rsidP="00D430F5">
            <w:pPr>
              <w:keepNext/>
              <w:tabs>
                <w:tab w:val="left" w:pos="2835"/>
              </w:tabs>
              <w:spacing w:after="0" w:line="240" w:lineRule="auto"/>
              <w:rPr>
                <w:lang w:val="en-GB" w:eastAsia="ja-JP"/>
              </w:rPr>
            </w:pPr>
          </w:p>
        </w:tc>
        <w:tc>
          <w:tcPr>
            <w:tcW w:w="1076" w:type="dxa"/>
            <w:vMerge/>
          </w:tcPr>
          <w:p w:rsidR="007F6EA1" w:rsidRPr="008F6F75" w:rsidRDefault="007F6EA1" w:rsidP="00D430F5">
            <w:pPr>
              <w:keepNext/>
              <w:tabs>
                <w:tab w:val="left" w:pos="2835"/>
              </w:tabs>
              <w:spacing w:after="0" w:line="240" w:lineRule="auto"/>
              <w:rPr>
                <w:lang w:val="en-GB" w:eastAsia="ja-JP"/>
              </w:rPr>
            </w:pPr>
          </w:p>
        </w:tc>
        <w:tc>
          <w:tcPr>
            <w:tcW w:w="860" w:type="dxa"/>
            <w:vAlign w:val="center"/>
          </w:tcPr>
          <w:p w:rsidR="007F6EA1" w:rsidRPr="00A34EBD" w:rsidRDefault="007F6EA1" w:rsidP="00D430F5">
            <w:pPr>
              <w:keepNext/>
              <w:tabs>
                <w:tab w:val="left" w:pos="2835"/>
              </w:tabs>
              <w:spacing w:after="0" w:line="240" w:lineRule="auto"/>
              <w:rPr>
                <w:u w:val="single"/>
                <w:lang w:val="en-GB" w:eastAsia="ja-JP"/>
              </w:rPr>
            </w:pPr>
            <w:r w:rsidRPr="00A34EBD">
              <w:rPr>
                <w:u w:val="single"/>
                <w:lang w:val="en-GB" w:eastAsia="ja-JP"/>
              </w:rPr>
              <w:t>Neutral benefit</w:t>
            </w:r>
          </w:p>
        </w:tc>
        <w:tc>
          <w:tcPr>
            <w:tcW w:w="1572" w:type="dxa"/>
            <w:vAlign w:val="center"/>
          </w:tcPr>
          <w:p w:rsidR="007F6EA1" w:rsidRPr="00CD3ACA" w:rsidRDefault="007F6EA1" w:rsidP="00D430F5">
            <w:pPr>
              <w:keepNext/>
              <w:tabs>
                <w:tab w:val="left" w:pos="2835"/>
              </w:tabs>
              <w:spacing w:after="0" w:line="240" w:lineRule="auto"/>
              <w:jc w:val="center"/>
              <w:rPr>
                <w:lang w:val="en-GB" w:eastAsia="ja-JP"/>
              </w:rPr>
            </w:pPr>
            <w:r w:rsidRPr="00CD3ACA">
              <w:rPr>
                <w:lang w:val="en-GB" w:eastAsia="ja-JP"/>
              </w:rPr>
              <w:t>CEA/CUA*</w:t>
            </w:r>
          </w:p>
        </w:tc>
        <w:tc>
          <w:tcPr>
            <w:tcW w:w="2429" w:type="dxa"/>
            <w:vMerge/>
            <w:vAlign w:val="center"/>
          </w:tcPr>
          <w:p w:rsidR="007F6EA1" w:rsidRPr="008F6F75" w:rsidRDefault="007F6EA1" w:rsidP="00D430F5">
            <w:pPr>
              <w:keepNext/>
              <w:tabs>
                <w:tab w:val="left" w:pos="2835"/>
              </w:tabs>
              <w:spacing w:after="0" w:line="240" w:lineRule="auto"/>
              <w:jc w:val="center"/>
              <w:rPr>
                <w:lang w:val="en-GB" w:eastAsia="ja-JP"/>
              </w:rPr>
            </w:pPr>
          </w:p>
        </w:tc>
        <w:tc>
          <w:tcPr>
            <w:tcW w:w="2565" w:type="dxa"/>
            <w:gridSpan w:val="2"/>
            <w:vMerge/>
          </w:tcPr>
          <w:p w:rsidR="007F6EA1" w:rsidRPr="008F6F75" w:rsidRDefault="007F6EA1" w:rsidP="00D430F5">
            <w:pPr>
              <w:keepNext/>
              <w:tabs>
                <w:tab w:val="left" w:pos="2835"/>
              </w:tabs>
              <w:spacing w:after="0" w:line="240" w:lineRule="auto"/>
              <w:rPr>
                <w:lang w:val="en-GB" w:eastAsia="ja-JP"/>
              </w:rPr>
            </w:pPr>
          </w:p>
        </w:tc>
      </w:tr>
      <w:tr w:rsidR="007F6EA1" w:rsidRPr="008F6F75" w:rsidTr="005E2EA5">
        <w:trPr>
          <w:trHeight w:val="20"/>
        </w:trPr>
        <w:tc>
          <w:tcPr>
            <w:tcW w:w="660" w:type="dxa"/>
            <w:vMerge/>
          </w:tcPr>
          <w:p w:rsidR="007F6EA1" w:rsidRPr="008F6F75" w:rsidRDefault="007F6EA1" w:rsidP="00D430F5">
            <w:pPr>
              <w:keepNext/>
              <w:tabs>
                <w:tab w:val="left" w:pos="2835"/>
              </w:tabs>
              <w:spacing w:after="0" w:line="240" w:lineRule="auto"/>
              <w:rPr>
                <w:lang w:val="en-GB" w:eastAsia="ja-JP"/>
              </w:rPr>
            </w:pPr>
          </w:p>
        </w:tc>
        <w:tc>
          <w:tcPr>
            <w:tcW w:w="1076" w:type="dxa"/>
            <w:vMerge/>
          </w:tcPr>
          <w:p w:rsidR="007F6EA1" w:rsidRPr="008F6F75" w:rsidRDefault="007F6EA1" w:rsidP="00D430F5">
            <w:pPr>
              <w:keepNext/>
              <w:tabs>
                <w:tab w:val="left" w:pos="2835"/>
              </w:tabs>
              <w:spacing w:after="0" w:line="240" w:lineRule="auto"/>
              <w:rPr>
                <w:lang w:val="en-GB" w:eastAsia="ja-JP"/>
              </w:rPr>
            </w:pPr>
          </w:p>
        </w:tc>
        <w:tc>
          <w:tcPr>
            <w:tcW w:w="860" w:type="dxa"/>
            <w:vAlign w:val="center"/>
          </w:tcPr>
          <w:p w:rsidR="007F6EA1" w:rsidRPr="00A34EBD" w:rsidRDefault="007F6EA1" w:rsidP="00D430F5">
            <w:pPr>
              <w:keepNext/>
              <w:tabs>
                <w:tab w:val="left" w:pos="2835"/>
              </w:tabs>
              <w:spacing w:after="0" w:line="240" w:lineRule="auto"/>
              <w:rPr>
                <w:u w:val="single"/>
                <w:lang w:val="en-GB" w:eastAsia="ja-JP"/>
              </w:rPr>
            </w:pPr>
            <w:r w:rsidRPr="00A34EBD">
              <w:rPr>
                <w:u w:val="single"/>
                <w:lang w:val="en-GB" w:eastAsia="ja-JP"/>
              </w:rPr>
              <w:t>Net harms</w:t>
            </w:r>
          </w:p>
        </w:tc>
        <w:tc>
          <w:tcPr>
            <w:tcW w:w="1572" w:type="dxa"/>
            <w:vAlign w:val="center"/>
          </w:tcPr>
          <w:p w:rsidR="007F6EA1" w:rsidRPr="00A34EBD" w:rsidRDefault="007F6EA1" w:rsidP="00D430F5">
            <w:pPr>
              <w:keepNext/>
              <w:tabs>
                <w:tab w:val="left" w:pos="2835"/>
              </w:tabs>
              <w:spacing w:after="0" w:line="240" w:lineRule="auto"/>
              <w:jc w:val="center"/>
              <w:rPr>
                <w:lang w:val="en-GB" w:eastAsia="ja-JP"/>
              </w:rPr>
            </w:pPr>
            <w:r w:rsidRPr="00A34EBD">
              <w:rPr>
                <w:lang w:val="en-GB" w:eastAsia="ja-JP"/>
              </w:rPr>
              <w:t>None^</w:t>
            </w:r>
          </w:p>
        </w:tc>
        <w:tc>
          <w:tcPr>
            <w:tcW w:w="2429" w:type="dxa"/>
            <w:vMerge/>
            <w:vAlign w:val="center"/>
          </w:tcPr>
          <w:p w:rsidR="007F6EA1" w:rsidRPr="008F6F75" w:rsidRDefault="007F6EA1" w:rsidP="00D430F5">
            <w:pPr>
              <w:keepNext/>
              <w:tabs>
                <w:tab w:val="left" w:pos="2835"/>
              </w:tabs>
              <w:spacing w:after="0" w:line="240" w:lineRule="auto"/>
              <w:jc w:val="center"/>
              <w:rPr>
                <w:lang w:val="en-GB" w:eastAsia="ja-JP"/>
              </w:rPr>
            </w:pPr>
          </w:p>
        </w:tc>
        <w:tc>
          <w:tcPr>
            <w:tcW w:w="2565" w:type="dxa"/>
            <w:gridSpan w:val="2"/>
            <w:vMerge/>
          </w:tcPr>
          <w:p w:rsidR="007F6EA1" w:rsidRPr="008F6F75" w:rsidRDefault="007F6EA1" w:rsidP="00D430F5">
            <w:pPr>
              <w:keepNext/>
              <w:tabs>
                <w:tab w:val="left" w:pos="2835"/>
              </w:tabs>
              <w:spacing w:after="0" w:line="240" w:lineRule="auto"/>
              <w:rPr>
                <w:lang w:val="en-GB" w:eastAsia="ja-JP"/>
              </w:rPr>
            </w:pPr>
          </w:p>
        </w:tc>
      </w:tr>
    </w:tbl>
    <w:p w:rsidR="007F6EA1" w:rsidRPr="007F6EA1" w:rsidRDefault="007F6EA1" w:rsidP="007F6EA1">
      <w:pPr>
        <w:pStyle w:val="ListParagraph"/>
        <w:keepNext/>
        <w:numPr>
          <w:ilvl w:val="0"/>
          <w:numId w:val="16"/>
        </w:numPr>
        <w:tabs>
          <w:tab w:val="left" w:pos="284"/>
        </w:tabs>
        <w:spacing w:after="0" w:line="240" w:lineRule="auto"/>
        <w:rPr>
          <w:sz w:val="16"/>
          <w:szCs w:val="16"/>
          <w:lang w:val="en-GB" w:eastAsia="ja-JP"/>
        </w:rPr>
      </w:pPr>
      <w:r w:rsidRPr="007F6EA1">
        <w:rPr>
          <w:sz w:val="16"/>
          <w:szCs w:val="16"/>
          <w:lang w:val="en-GB" w:eastAsia="ja-JP"/>
        </w:rPr>
        <w:t>Abbreviations:  CEA = cost-effectiveness analysis; CMA = cost-minimisation analysis; CUA = cost-utility analysis</w:t>
      </w:r>
    </w:p>
    <w:p w:rsidR="007F6EA1" w:rsidRPr="007F6EA1" w:rsidRDefault="007F6EA1" w:rsidP="007F6EA1">
      <w:pPr>
        <w:pStyle w:val="ListParagraph"/>
        <w:keepNext/>
        <w:numPr>
          <w:ilvl w:val="0"/>
          <w:numId w:val="16"/>
        </w:numPr>
        <w:tabs>
          <w:tab w:val="left" w:pos="284"/>
        </w:tabs>
        <w:spacing w:line="240" w:lineRule="auto"/>
        <w:rPr>
          <w:sz w:val="16"/>
          <w:szCs w:val="16"/>
          <w:lang w:val="en-GB" w:eastAsia="ja-JP"/>
        </w:rPr>
      </w:pPr>
      <w:r w:rsidRPr="007F6EA1">
        <w:rPr>
          <w:sz w:val="16"/>
          <w:szCs w:val="16"/>
          <w:lang w:val="en-GB" w:eastAsia="ja-JP"/>
        </w:rPr>
        <w:t>^No economic evaluation needs to be presented; MSAC is unlikely to recommend government subsidy of this intervention</w:t>
      </w:r>
    </w:p>
    <w:p w:rsidR="00532CCF" w:rsidRPr="008F6F75" w:rsidRDefault="00532CCF" w:rsidP="008F6F75"/>
    <w:p w:rsidR="00532CCF" w:rsidRPr="008F6F75" w:rsidRDefault="00532CCF" w:rsidP="008F6F75"/>
    <w:p w:rsidR="003C1408" w:rsidRPr="008F6F75" w:rsidRDefault="00532CCF" w:rsidP="008F6F75">
      <w:r w:rsidRPr="008F6F75">
        <w:t xml:space="preserve">Based on these claims, a cost-effective or cost-utility analysis is appropriate for both patient populations as outlined in </w:t>
      </w:r>
      <w:r w:rsidR="0052566B">
        <w:fldChar w:fldCharType="begin"/>
      </w:r>
      <w:r w:rsidR="008F6F75">
        <w:instrText xml:space="preserve"> REF _Ref398037491 \h </w:instrText>
      </w:r>
      <w:r w:rsidR="0052566B">
        <w:fldChar w:fldCharType="separate"/>
      </w:r>
      <w:r w:rsidR="008B567B">
        <w:rPr>
          <w:b/>
          <w:bCs/>
          <w:lang w:val="en-US"/>
        </w:rPr>
        <w:t>Error! Reference source not found.</w:t>
      </w:r>
      <w:r w:rsidR="0052566B">
        <w:fldChar w:fldCharType="end"/>
      </w:r>
      <w:r w:rsidR="008F6F75">
        <w:t>.</w:t>
      </w:r>
    </w:p>
    <w:p w:rsidR="00BC4EFE" w:rsidRPr="008F6F75" w:rsidRDefault="002366BA" w:rsidP="008F6F75">
      <w:pPr>
        <w:pStyle w:val="Heading1"/>
      </w:pPr>
      <w:bookmarkStart w:id="15" w:name="_Toc398046790"/>
      <w:bookmarkStart w:id="16" w:name="_Toc398209600"/>
      <w:r w:rsidRPr="008F6F75">
        <w:t xml:space="preserve">Fee for the proposed medical </w:t>
      </w:r>
      <w:r w:rsidR="00BC4EFE" w:rsidRPr="008F6F75">
        <w:t>service</w:t>
      </w:r>
      <w:bookmarkEnd w:id="15"/>
      <w:bookmarkEnd w:id="16"/>
    </w:p>
    <w:p w:rsidR="00BC4EFE" w:rsidRPr="008F6F75" w:rsidRDefault="006C47BC" w:rsidP="008F6F75">
      <w:pPr>
        <w:pStyle w:val="Quote"/>
        <w:spacing w:line="276" w:lineRule="auto"/>
        <w:rPr>
          <w:szCs w:val="22"/>
        </w:rPr>
      </w:pPr>
      <w:r w:rsidRPr="008F6F75">
        <w:rPr>
          <w:szCs w:val="22"/>
        </w:rPr>
        <w:t>Type of funding proposed for this service and details of the proposed fee</w:t>
      </w:r>
      <w:r w:rsidR="00BC4EFE" w:rsidRPr="008F6F75">
        <w:rPr>
          <w:szCs w:val="22"/>
        </w:rPr>
        <w:t>.</w:t>
      </w:r>
    </w:p>
    <w:p w:rsidR="00532CCF" w:rsidRPr="008F6F75" w:rsidRDefault="007A075F" w:rsidP="008F6F75">
      <w:r w:rsidRPr="008F6F75">
        <w:t>The</w:t>
      </w:r>
      <w:r w:rsidR="00532CCF" w:rsidRPr="008F6F75">
        <w:t xml:space="preserve"> proposed funding and MBS item descr</w:t>
      </w:r>
      <w:r w:rsidR="008F6F75">
        <w:t xml:space="preserve">iptors are outlined in </w:t>
      </w:r>
      <w:r w:rsidR="0052566B">
        <w:fldChar w:fldCharType="begin"/>
      </w:r>
      <w:r w:rsidR="008F6F75">
        <w:instrText xml:space="preserve"> REF _Ref397357090 \h </w:instrText>
      </w:r>
      <w:r w:rsidR="0052566B">
        <w:fldChar w:fldCharType="separate"/>
      </w:r>
      <w:r w:rsidR="008B567B" w:rsidRPr="008F6F75">
        <w:t xml:space="preserve">Table </w:t>
      </w:r>
      <w:r w:rsidR="008B567B">
        <w:rPr>
          <w:noProof/>
        </w:rPr>
        <w:t>3</w:t>
      </w:r>
      <w:r w:rsidR="0052566B">
        <w:fldChar w:fldCharType="end"/>
      </w:r>
      <w:r w:rsidR="00532CCF" w:rsidRPr="008F6F75">
        <w:t>. Separate item descriptors and funding are suggested for the following:</w:t>
      </w:r>
    </w:p>
    <w:p w:rsidR="00532CCF" w:rsidRPr="008F6F75" w:rsidRDefault="00532CCF" w:rsidP="008F6F75">
      <w:pPr>
        <w:pStyle w:val="ListParagraph"/>
        <w:numPr>
          <w:ilvl w:val="0"/>
          <w:numId w:val="17"/>
        </w:numPr>
        <w:jc w:val="left"/>
      </w:pPr>
      <w:r w:rsidRPr="008F6F75">
        <w:t>Insertion, removal or replacement of the IPG;</w:t>
      </w:r>
    </w:p>
    <w:p w:rsidR="00532CCF" w:rsidRPr="008F6F75" w:rsidRDefault="00532CCF" w:rsidP="008F6F75">
      <w:pPr>
        <w:pStyle w:val="ListParagraph"/>
        <w:numPr>
          <w:ilvl w:val="0"/>
          <w:numId w:val="17"/>
        </w:numPr>
        <w:jc w:val="left"/>
      </w:pPr>
      <w:r w:rsidRPr="008F6F75">
        <w:rPr>
          <w:lang w:eastAsia="ja-JP"/>
        </w:rPr>
        <w:t>Insertion, removal or replacement of</w:t>
      </w:r>
      <w:r w:rsidRPr="008F6F75">
        <w:t xml:space="preserve"> the three (3) gastric leads;</w:t>
      </w:r>
    </w:p>
    <w:p w:rsidR="00532CCF" w:rsidRPr="008F6F75" w:rsidRDefault="00532CCF" w:rsidP="008F6F75">
      <w:pPr>
        <w:pStyle w:val="ListParagraph"/>
        <w:numPr>
          <w:ilvl w:val="0"/>
          <w:numId w:val="17"/>
        </w:numPr>
        <w:jc w:val="left"/>
      </w:pPr>
      <w:r w:rsidRPr="008F6F75">
        <w:t xml:space="preserve">Interrogation of the </w:t>
      </w:r>
      <w:r w:rsidRPr="008F6F75">
        <w:rPr>
          <w:lang w:val="en-US"/>
        </w:rPr>
        <w:t>Implantable Pulse Generator</w:t>
      </w:r>
      <w:r w:rsidRPr="008F6F75">
        <w:t xml:space="preserve"> (IPG) device.</w:t>
      </w:r>
    </w:p>
    <w:p w:rsidR="00532CCF" w:rsidRPr="008F6F75" w:rsidRDefault="00532CCF" w:rsidP="008F6F75">
      <w:pPr>
        <w:rPr>
          <w:lang w:val="en-US" w:eastAsia="pl-PL"/>
        </w:rPr>
      </w:pPr>
      <w:r w:rsidRPr="008F6F75">
        <w:rPr>
          <w:lang w:val="en-US" w:eastAsia="pl-PL"/>
        </w:rPr>
        <w:lastRenderedPageBreak/>
        <w:t>It should be noted that the insertion and removal of both the IPG and gastric leads will require approximately the same technical complexity and duration. As such the proposed MBS fees for the process of insertion and removal should be set at the same level.</w:t>
      </w:r>
    </w:p>
    <w:p w:rsidR="00532CCF" w:rsidRPr="008F6F75" w:rsidRDefault="00532CCF" w:rsidP="008F6F75">
      <w:r w:rsidRPr="008F6F75">
        <w:rPr>
          <w:lang w:val="en-US" w:eastAsia="pl-PL"/>
        </w:rPr>
        <w:t xml:space="preserve">There are currently no reimbursed GCM therapies on the MBS. It is proposed that the implantation of the IPG device and gastric leads are similar </w:t>
      </w:r>
      <w:r w:rsidRPr="008F6F75">
        <w:t xml:space="preserve">to those associated with Implantable Cardiac Devices and cardiac electrodes (leads) (MBS item numbers 38353, 38356, 38365, 38368, 38654 and 11721). These MBS item numbers are appropriate as they are representative of </w:t>
      </w:r>
      <w:r w:rsidRPr="008F6F75">
        <w:rPr>
          <w:lang w:val="en-US" w:eastAsia="pl-PL"/>
        </w:rPr>
        <w:t xml:space="preserve">the technical characteristics of the </w:t>
      </w:r>
      <w:r w:rsidRPr="008F6F75">
        <w:t>insertion, removal or replacement of the IPG and gastric leads and follow-up interrogation. This is outlined in further detail in</w:t>
      </w:r>
      <w:r w:rsidR="00D56A15">
        <w:t xml:space="preserve"> </w:t>
      </w:r>
      <w:r w:rsidR="00D56A15">
        <w:fldChar w:fldCharType="begin"/>
      </w:r>
      <w:r w:rsidR="00D56A15">
        <w:instrText xml:space="preserve"> REF _Ref397357069 \h </w:instrText>
      </w:r>
      <w:r w:rsidR="00D56A15">
        <w:fldChar w:fldCharType="separate"/>
      </w:r>
      <w:r w:rsidR="008B567B" w:rsidRPr="008F6F75">
        <w:t xml:space="preserve">Table </w:t>
      </w:r>
      <w:r w:rsidR="008B567B">
        <w:rPr>
          <w:noProof/>
        </w:rPr>
        <w:t>4</w:t>
      </w:r>
      <w:r w:rsidR="00D56A15">
        <w:fldChar w:fldCharType="end"/>
      </w:r>
      <w:r w:rsidRPr="008F6F75">
        <w:t>.</w:t>
      </w:r>
    </w:p>
    <w:p w:rsidR="00E626EE" w:rsidRPr="007C562D" w:rsidRDefault="00532CCF" w:rsidP="008F6F75">
      <w:r w:rsidRPr="008F6F75">
        <w:t>As noted previously, the laparoscopic procedure is approximately 2 hours in duration.</w:t>
      </w:r>
      <w:r w:rsidR="00E626EE">
        <w:t xml:space="preserve"> It should be noted that the procedure is more complex and takes a longer period of time to perform compared with the cardiac device procedures outlined in Table 5. This is because the DIAMOND™ requires the insertion of three bipolar leads with six electrodes, whereas other comparable cardiac devices require only three single leads with three electrodes. Furthermore, the insertion of the DIAMOND™ requires the stomach to be manipulated in order to access both the anterior and posterior locations at the fundus and pylorus. </w:t>
      </w:r>
      <w:r w:rsidR="007C562D">
        <w:t>While a case can be made for higher funding for the DIAMOND™ insertion due to the greater complexity, the sponsor has decided to use an existing code.</w:t>
      </w:r>
    </w:p>
    <w:p w:rsidR="00532CCF" w:rsidRDefault="00532CCF" w:rsidP="008F6F75">
      <w:r w:rsidRPr="008F6F75">
        <w:t xml:space="preserve">It is stipulated in the Medicare Benefits Schedule that the proposed MBS fee </w:t>
      </w:r>
      <w:r w:rsidRPr="008F6F75">
        <w:rPr>
          <w:i/>
        </w:rPr>
        <w:t>“is regarded as being reasonable on average for the service having regard to usual and reasonable variations in the time involved in performing the service on different occasions and to reasonable ranges of complexity and technical difficult”</w:t>
      </w:r>
      <w:r w:rsidRPr="008F6F75">
        <w:t xml:space="preserve"> (Medicare Benefits Schedule, page 34). </w:t>
      </w:r>
      <w:r w:rsidRPr="008F6F75">
        <w:rPr>
          <w:i/>
        </w:rPr>
        <w:t xml:space="preserve"> </w:t>
      </w:r>
      <w:r w:rsidRPr="008F6F75">
        <w:t>Therefore the proposed MBS codes reflect the MBS standard fee setting approach for the proposed interventions.</w:t>
      </w:r>
    </w:p>
    <w:p w:rsidR="00791A74" w:rsidRPr="008F6F75" w:rsidRDefault="00791A74" w:rsidP="008F6F75">
      <w:proofErr w:type="gramStart"/>
      <w:r>
        <w:t>Rationale (i.e. frequency and by whom) for the interrogation of the IPG will be included in the MSAC application.</w:t>
      </w:r>
      <w:proofErr w:type="gramEnd"/>
    </w:p>
    <w:p w:rsidR="00532CCF" w:rsidRPr="008F6F75" w:rsidRDefault="00532CCF" w:rsidP="008F6F75">
      <w:pPr>
        <w:pStyle w:val="Caption"/>
        <w:spacing w:line="276" w:lineRule="auto"/>
        <w:rPr>
          <w:rFonts w:asciiTheme="minorHAnsi" w:hAnsiTheme="minorHAnsi"/>
        </w:rPr>
      </w:pPr>
      <w:bookmarkStart w:id="17" w:name="_Ref397357090"/>
      <w:r w:rsidRPr="008F6F75">
        <w:rPr>
          <w:rFonts w:asciiTheme="minorHAnsi" w:hAnsiTheme="minorHAnsi"/>
        </w:rPr>
        <w:lastRenderedPageBreak/>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8B567B">
        <w:rPr>
          <w:rFonts w:asciiTheme="minorHAnsi" w:hAnsiTheme="minorHAnsi"/>
          <w:noProof/>
        </w:rPr>
        <w:t>3</w:t>
      </w:r>
      <w:r w:rsidR="0052566B" w:rsidRPr="008F6F75">
        <w:rPr>
          <w:rFonts w:asciiTheme="minorHAnsi" w:hAnsiTheme="minorHAnsi"/>
        </w:rPr>
        <w:fldChar w:fldCharType="end"/>
      </w:r>
      <w:bookmarkEnd w:id="17"/>
      <w:r w:rsidRPr="008F6F75">
        <w:rPr>
          <w:rFonts w:asciiTheme="minorHAnsi" w:hAnsiTheme="minorHAnsi"/>
        </w:rPr>
        <w:t>: Proposed MBS item descriptors</w:t>
      </w:r>
    </w:p>
    <w:tbl>
      <w:tblPr>
        <w:tblW w:w="0" w:type="auto"/>
        <w:tblInd w:w="108"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9134"/>
      </w:tblGrid>
      <w:tr w:rsidR="00532CCF" w:rsidRPr="008F6F75" w:rsidTr="00CF1138">
        <w:tc>
          <w:tcPr>
            <w:tcW w:w="9134" w:type="dxa"/>
            <w:tcBorders>
              <w:bottom w:val="single" w:sz="4" w:space="0" w:color="000000"/>
            </w:tcBorders>
          </w:tcPr>
          <w:p w:rsidR="00532CCF" w:rsidRPr="008F6F75" w:rsidRDefault="00532CCF" w:rsidP="008F6F75">
            <w:pPr>
              <w:pStyle w:val="Tabletext-left"/>
              <w:spacing w:before="0" w:line="276" w:lineRule="auto"/>
              <w:jc w:val="right"/>
              <w:rPr>
                <w:rFonts w:asciiTheme="minorHAnsi" w:hAnsiTheme="minorHAnsi"/>
                <w:b/>
                <w:color w:val="215868" w:themeColor="accent5" w:themeShade="80"/>
                <w:sz w:val="22"/>
                <w:szCs w:val="22"/>
                <w:lang w:val="en-US"/>
              </w:rPr>
            </w:pPr>
            <w:r w:rsidRPr="008F6F75">
              <w:rPr>
                <w:rFonts w:asciiTheme="minorHAnsi" w:hAnsiTheme="minorHAnsi"/>
                <w:sz w:val="22"/>
                <w:szCs w:val="22"/>
                <w:lang w:val="en-US"/>
              </w:rPr>
              <w:t>Category 3 - THERAPEUTIC PROCEDURES</w:t>
            </w:r>
          </w:p>
        </w:tc>
      </w:tr>
      <w:tr w:rsidR="00532CCF" w:rsidRPr="008F6F75" w:rsidTr="00CF1138">
        <w:tc>
          <w:tcPr>
            <w:tcW w:w="9134" w:type="dxa"/>
            <w:tcBorders>
              <w:bottom w:val="single" w:sz="4" w:space="0" w:color="auto"/>
            </w:tcBorders>
          </w:tcPr>
          <w:p w:rsidR="00532CCF" w:rsidRPr="008F6F75" w:rsidRDefault="00532CCF" w:rsidP="008F6F75">
            <w:pPr>
              <w:keepNext/>
              <w:spacing w:after="120"/>
              <w:rPr>
                <w:lang w:val="en-US" w:eastAsia="ja-JP"/>
              </w:rPr>
            </w:pPr>
            <w:r w:rsidRPr="008F6F75">
              <w:rPr>
                <w:lang w:val="en-US" w:eastAsia="ja-JP"/>
              </w:rPr>
              <w:t>MBS Item number XXXX</w:t>
            </w:r>
          </w:p>
          <w:p w:rsidR="00532CCF" w:rsidRPr="008F6F75" w:rsidRDefault="00532CCF" w:rsidP="008F6F75">
            <w:pPr>
              <w:keepNext/>
              <w:spacing w:after="120"/>
              <w:rPr>
                <w:lang w:eastAsia="ja-JP"/>
              </w:rPr>
            </w:pPr>
            <w:r w:rsidRPr="008F6F75">
              <w:rPr>
                <w:lang w:eastAsia="ja-JP"/>
              </w:rPr>
              <w:t xml:space="preserve">Permanent </w:t>
            </w:r>
            <w:r w:rsidRPr="008F6F75">
              <w:rPr>
                <w:lang w:val="en-US" w:eastAsia="ja-JP"/>
              </w:rPr>
              <w:t>Implantable Pulse Generator</w:t>
            </w:r>
            <w:r w:rsidRPr="008F6F75">
              <w:rPr>
                <w:lang w:eastAsia="ja-JP"/>
              </w:rPr>
              <w:t xml:space="preserve"> (IPG) device insertion, removal or replacement of, for a patient with all of the following: </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 xml:space="preserve">Type 2 Diabetes Mellitus with Obesity (BMI ≥ </w:t>
            </w:r>
            <w:r w:rsidRPr="00811B00">
              <w:rPr>
                <w:rFonts w:asciiTheme="minorHAnsi" w:hAnsiTheme="minorHAnsi" w:cs="Arial"/>
                <w:sz w:val="22"/>
                <w:szCs w:val="22"/>
              </w:rPr>
              <w:t>30</w:t>
            </w:r>
            <w:r w:rsidR="00811B00" w:rsidRPr="00E73915">
              <w:rPr>
                <w:rFonts w:asciiTheme="minorHAnsi" w:hAnsiTheme="minorHAnsi"/>
              </w:rPr>
              <w:t xml:space="preserve"> and </w:t>
            </w:r>
            <w:r w:rsidR="00811B00" w:rsidRPr="00E73915">
              <w:rPr>
                <w:rFonts w:asciiTheme="minorHAnsi" w:hAnsiTheme="minorHAnsi"/>
                <w:u w:val="single"/>
              </w:rPr>
              <w:t>&lt;</w:t>
            </w:r>
            <w:r w:rsidR="00811B00" w:rsidRPr="00E73915">
              <w:rPr>
                <w:rFonts w:asciiTheme="minorHAnsi" w:hAnsiTheme="minorHAnsi"/>
              </w:rPr>
              <w:t>45 kg/m</w:t>
            </w:r>
            <w:r w:rsidR="00811B00" w:rsidRPr="00E73915">
              <w:rPr>
                <w:rFonts w:asciiTheme="minorHAnsi" w:hAnsiTheme="minorHAnsi"/>
                <w:vertAlign w:val="superscript"/>
              </w:rPr>
              <w:t>2</w:t>
            </w:r>
            <w:r w:rsidRPr="008F6F75">
              <w:rPr>
                <w:rFonts w:asciiTheme="minorHAnsi" w:hAnsiTheme="minorHAnsi" w:cs="Arial"/>
                <w:sz w:val="22"/>
                <w:szCs w:val="22"/>
              </w:rPr>
              <w:t>);</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Inadequately controlled on standard oral glucose lowering (anti-diabetic) therapy;</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 18 years;</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Normal triglycerides (fasting plasma triglycerides ≤1.7mmol/l);</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HbA1c ≥ 7.5%</w:t>
            </w:r>
            <w:r w:rsidR="002B1DCA">
              <w:rPr>
                <w:rFonts w:asciiTheme="minorHAnsi" w:hAnsiTheme="minorHAnsi" w:cs="Arial"/>
                <w:sz w:val="22"/>
                <w:szCs w:val="22"/>
              </w:rPr>
              <w:t xml:space="preserve"> </w:t>
            </w:r>
            <w:r w:rsidR="002B1DCA" w:rsidRPr="002B1DCA">
              <w:rPr>
                <w:rFonts w:asciiTheme="minorHAnsi" w:hAnsiTheme="minorHAnsi" w:cs="Arial"/>
                <w:sz w:val="22"/>
                <w:szCs w:val="22"/>
                <w:lang w:val="en-AU"/>
              </w:rPr>
              <w:t xml:space="preserve">and </w:t>
            </w:r>
            <w:r w:rsidR="002B1DCA" w:rsidRPr="002B1DCA">
              <w:rPr>
                <w:rFonts w:asciiTheme="minorHAnsi" w:hAnsiTheme="minorHAnsi" w:cs="Arial"/>
                <w:sz w:val="22"/>
                <w:szCs w:val="22"/>
                <w:u w:val="single"/>
                <w:lang w:val="en-AU"/>
              </w:rPr>
              <w:t>&lt;</w:t>
            </w:r>
            <w:r w:rsidR="002B1DCA" w:rsidRPr="002B1DCA">
              <w:rPr>
                <w:rFonts w:asciiTheme="minorHAnsi" w:hAnsiTheme="minorHAnsi" w:cs="Arial"/>
                <w:sz w:val="22"/>
                <w:szCs w:val="22"/>
                <w:lang w:val="en-AU"/>
              </w:rPr>
              <w:t>10%</w:t>
            </w:r>
            <w:r w:rsidRPr="008F6F75">
              <w:rPr>
                <w:rFonts w:asciiTheme="minorHAnsi" w:hAnsiTheme="minorHAnsi" w:cs="Arial"/>
                <w:sz w:val="22"/>
                <w:szCs w:val="22"/>
              </w:rPr>
              <w:t>.</w:t>
            </w:r>
          </w:p>
          <w:p w:rsidR="00532CCF" w:rsidRPr="008F6F75" w:rsidRDefault="00532CCF" w:rsidP="008F6F75">
            <w:pPr>
              <w:rPr>
                <w:lang w:val="en-US"/>
              </w:rPr>
            </w:pPr>
          </w:p>
          <w:p w:rsidR="00532CCF" w:rsidRPr="008F6F75" w:rsidRDefault="00532CCF" w:rsidP="008F6F75">
            <w:pPr>
              <w:keepNext/>
              <w:pBdr>
                <w:bottom w:val="single" w:sz="4" w:space="1" w:color="auto"/>
              </w:pBdr>
              <w:spacing w:after="120"/>
              <w:rPr>
                <w:lang w:eastAsia="ja-JP"/>
              </w:rPr>
            </w:pPr>
            <w:r w:rsidRPr="008F6F75">
              <w:rPr>
                <w:lang w:eastAsia="ja-JP"/>
              </w:rPr>
              <w:t>Fee: $255.45 Benefit: 75% = $191.60</w:t>
            </w:r>
          </w:p>
          <w:p w:rsidR="00532CCF" w:rsidRPr="008F6F75" w:rsidRDefault="00532CCF" w:rsidP="008F6F75">
            <w:pPr>
              <w:keepNext/>
              <w:pBdr>
                <w:bottom w:val="single" w:sz="4" w:space="1" w:color="auto"/>
              </w:pBdr>
              <w:spacing w:after="120"/>
              <w:rPr>
                <w:lang w:eastAsia="ja-JP"/>
              </w:rPr>
            </w:pPr>
          </w:p>
          <w:p w:rsidR="00532CCF" w:rsidRPr="008F6F75" w:rsidRDefault="00532CCF" w:rsidP="008F6F75">
            <w:pPr>
              <w:keepNext/>
              <w:spacing w:after="120"/>
              <w:rPr>
                <w:lang w:val="en-US" w:eastAsia="ja-JP"/>
              </w:rPr>
            </w:pPr>
            <w:r w:rsidRPr="008F6F75">
              <w:rPr>
                <w:lang w:val="en-US" w:eastAsia="ja-JP"/>
              </w:rPr>
              <w:t>MBS Item number XXXXX</w:t>
            </w:r>
          </w:p>
          <w:p w:rsidR="00532CCF" w:rsidRPr="008F6F75" w:rsidRDefault="00532CCF" w:rsidP="008F6F75">
            <w:pPr>
              <w:keepNext/>
              <w:spacing w:after="120"/>
              <w:rPr>
                <w:lang w:val="en-US" w:eastAsia="ja-JP"/>
              </w:rPr>
            </w:pPr>
            <w:r w:rsidRPr="008F6F75">
              <w:rPr>
                <w:lang w:eastAsia="ja-JP"/>
              </w:rPr>
              <w:t xml:space="preserve">The permanent insertion, removal or replacement of three (3) bipolar </w:t>
            </w:r>
            <w:r w:rsidRPr="008F6F75">
              <w:rPr>
                <w:lang w:val="en-US" w:eastAsia="ja-JP"/>
              </w:rPr>
              <w:t xml:space="preserve">gastric leads through laparoscopic procedure </w:t>
            </w:r>
            <w:r w:rsidRPr="008F6F75">
              <w:rPr>
                <w:lang w:val="en-GB" w:eastAsia="ja-JP"/>
              </w:rPr>
              <w:t xml:space="preserve">under general anaesthesia. The gastric leads are implanted and sutured in place: one pair in the fundus, one pair in the anterior </w:t>
            </w:r>
            <w:proofErr w:type="spellStart"/>
            <w:r w:rsidRPr="008F6F75">
              <w:rPr>
                <w:lang w:val="en-GB" w:eastAsia="ja-JP"/>
              </w:rPr>
              <w:t>antrum</w:t>
            </w:r>
            <w:proofErr w:type="spellEnd"/>
            <w:r w:rsidRPr="008F6F75">
              <w:rPr>
                <w:lang w:val="en-GB" w:eastAsia="ja-JP"/>
              </w:rPr>
              <w:t xml:space="preserve">, and one pair in the posterior </w:t>
            </w:r>
            <w:proofErr w:type="spellStart"/>
            <w:r w:rsidRPr="008F6F75">
              <w:rPr>
                <w:lang w:val="en-GB" w:eastAsia="ja-JP"/>
              </w:rPr>
              <w:t>antrum</w:t>
            </w:r>
            <w:proofErr w:type="spellEnd"/>
            <w:r w:rsidRPr="008F6F75">
              <w:rPr>
                <w:lang w:val="en-GB" w:eastAsia="ja-JP"/>
              </w:rPr>
              <w:t xml:space="preserve">, </w:t>
            </w:r>
            <w:r w:rsidRPr="008F6F75">
              <w:rPr>
                <w:lang w:val="en-US" w:eastAsia="ja-JP"/>
              </w:rPr>
              <w:t>and then connected to the Implantable Pulse Generator (IPG).</w:t>
            </w:r>
          </w:p>
          <w:p w:rsidR="00532CCF" w:rsidRPr="008F6F75" w:rsidRDefault="00532CCF" w:rsidP="008F6F75">
            <w:pPr>
              <w:keepNext/>
              <w:tabs>
                <w:tab w:val="center" w:pos="4459"/>
              </w:tabs>
              <w:spacing w:after="120"/>
              <w:rPr>
                <w:lang w:val="en-US" w:eastAsia="ja-JP"/>
              </w:rPr>
            </w:pPr>
            <w:r w:rsidRPr="008F6F75">
              <w:rPr>
                <w:lang w:val="en-US" w:eastAsia="ja-JP"/>
              </w:rPr>
              <w:t>Fee: $1,224.60 Benefit: 75% = $918.45</w:t>
            </w:r>
          </w:p>
          <w:p w:rsidR="00532CCF" w:rsidRPr="008F6F75" w:rsidRDefault="00532CCF" w:rsidP="008F6F75">
            <w:pPr>
              <w:keepNext/>
              <w:pBdr>
                <w:bottom w:val="single" w:sz="4" w:space="1" w:color="auto"/>
              </w:pBdr>
              <w:spacing w:after="120"/>
              <w:rPr>
                <w:lang w:val="en-US" w:eastAsia="ja-JP"/>
              </w:rPr>
            </w:pPr>
          </w:p>
          <w:p w:rsidR="00532CCF" w:rsidRPr="008F6F75" w:rsidRDefault="00532CCF" w:rsidP="008F6F75">
            <w:pPr>
              <w:keepNext/>
              <w:spacing w:after="120"/>
              <w:rPr>
                <w:lang w:val="en-US" w:eastAsia="ja-JP"/>
              </w:rPr>
            </w:pPr>
            <w:r w:rsidRPr="008F6F75">
              <w:rPr>
                <w:lang w:val="en-US" w:eastAsia="ja-JP"/>
              </w:rPr>
              <w:t>MBS Item number XXXXX</w:t>
            </w:r>
            <w:r w:rsidRPr="008F6F75">
              <w:rPr>
                <w:lang w:val="en-US" w:eastAsia="ja-JP"/>
              </w:rPr>
              <w:tab/>
            </w:r>
          </w:p>
          <w:p w:rsidR="00532CCF" w:rsidRPr="008F6F75" w:rsidRDefault="00532CCF" w:rsidP="008F6F75">
            <w:pPr>
              <w:pStyle w:val="ListBullet1"/>
              <w:numPr>
                <w:ilvl w:val="0"/>
                <w:numId w:val="0"/>
              </w:numPr>
              <w:tabs>
                <w:tab w:val="clear" w:pos="360"/>
              </w:tabs>
              <w:spacing w:before="0" w:beforeAutospacing="0" w:after="0" w:afterAutospacing="0" w:line="276" w:lineRule="auto"/>
              <w:ind w:right="533"/>
              <w:rPr>
                <w:rFonts w:asciiTheme="minorHAnsi" w:hAnsiTheme="minorHAnsi"/>
                <w:sz w:val="22"/>
                <w:szCs w:val="22"/>
                <w:lang w:val="en-AU" w:eastAsia="ja-JP"/>
              </w:rPr>
            </w:pPr>
            <w:r w:rsidRPr="008F6F75">
              <w:rPr>
                <w:rFonts w:asciiTheme="minorHAnsi" w:hAnsiTheme="minorHAnsi" w:cs="Arial"/>
                <w:sz w:val="22"/>
                <w:szCs w:val="22"/>
              </w:rPr>
              <w:t xml:space="preserve">Interrogation of the </w:t>
            </w:r>
            <w:r w:rsidRPr="008F6F75">
              <w:rPr>
                <w:rFonts w:asciiTheme="minorHAnsi" w:hAnsiTheme="minorHAnsi"/>
                <w:sz w:val="22"/>
                <w:szCs w:val="22"/>
                <w:lang w:eastAsia="ja-JP"/>
              </w:rPr>
              <w:t xml:space="preserve">Implantable Pulse Generator (IPG) </w:t>
            </w:r>
            <w:r w:rsidRPr="008F6F75">
              <w:rPr>
                <w:rFonts w:asciiTheme="minorHAnsi" w:hAnsiTheme="minorHAnsi"/>
                <w:sz w:val="22"/>
                <w:szCs w:val="22"/>
                <w:lang w:val="en-AU" w:eastAsia="ja-JP"/>
              </w:rPr>
              <w:t>device for the following:</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Interrogate the IPG therapeutic parameters as currently programmed;</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Modify IPG therapeutic parameters;</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Retrieve statistics accumulated by the IPG as it operates;</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Log the activity of the IPG;</w:t>
            </w:r>
          </w:p>
          <w:p w:rsidR="00532CCF" w:rsidRPr="008F6F75" w:rsidRDefault="00532CCF" w:rsidP="008F6F75">
            <w:pPr>
              <w:pStyle w:val="ListBullet1"/>
              <w:numPr>
                <w:ilvl w:val="0"/>
                <w:numId w:val="19"/>
              </w:numPr>
              <w:tabs>
                <w:tab w:val="clear" w:pos="360"/>
              </w:tabs>
              <w:spacing w:before="0" w:beforeAutospacing="0" w:after="0" w:afterAutospacing="0" w:line="276" w:lineRule="auto"/>
              <w:ind w:right="533"/>
              <w:rPr>
                <w:rFonts w:asciiTheme="minorHAnsi" w:hAnsiTheme="minorHAnsi" w:cs="Arial"/>
                <w:sz w:val="22"/>
                <w:szCs w:val="22"/>
              </w:rPr>
            </w:pPr>
            <w:r w:rsidRPr="008F6F75">
              <w:rPr>
                <w:rFonts w:asciiTheme="minorHAnsi" w:hAnsiTheme="minorHAnsi" w:cs="Arial"/>
                <w:sz w:val="22"/>
                <w:szCs w:val="22"/>
              </w:rPr>
              <w:t>Store standard programs for future use.</w:t>
            </w:r>
          </w:p>
          <w:p w:rsidR="00532CCF" w:rsidRPr="008F6F75" w:rsidRDefault="00532CCF" w:rsidP="008F6F75">
            <w:pPr>
              <w:keepNext/>
              <w:rPr>
                <w:lang w:val="en-US"/>
              </w:rPr>
            </w:pPr>
          </w:p>
          <w:p w:rsidR="00532CCF" w:rsidRPr="008F6F75" w:rsidRDefault="00532CCF" w:rsidP="008F6F75">
            <w:pPr>
              <w:keepNext/>
              <w:spacing w:after="120"/>
              <w:rPr>
                <w:lang w:val="en-US" w:eastAsia="ja-JP"/>
              </w:rPr>
            </w:pPr>
            <w:r w:rsidRPr="008F6F75">
              <w:rPr>
                <w:b/>
                <w:bCs/>
                <w:lang w:eastAsia="ja-JP"/>
              </w:rPr>
              <w:t>Fee:</w:t>
            </w:r>
            <w:r w:rsidRPr="008F6F75">
              <w:rPr>
                <w:lang w:eastAsia="ja-JP"/>
              </w:rPr>
              <w:t xml:space="preserve"> $69.75 </w:t>
            </w:r>
            <w:r w:rsidRPr="008F6F75">
              <w:rPr>
                <w:b/>
                <w:bCs/>
                <w:lang w:eastAsia="ja-JP"/>
              </w:rPr>
              <w:t>Benefit:</w:t>
            </w:r>
            <w:r w:rsidRPr="008F6F75">
              <w:rPr>
                <w:lang w:eastAsia="ja-JP"/>
              </w:rPr>
              <w:t xml:space="preserve"> 75% = $52.35 85% = $59.30</w:t>
            </w:r>
          </w:p>
        </w:tc>
      </w:tr>
    </w:tbl>
    <w:p w:rsidR="00532CCF" w:rsidRPr="008F6F75" w:rsidRDefault="00532CCF" w:rsidP="008F6F75"/>
    <w:p w:rsidR="00532CCF" w:rsidRPr="008F6F75" w:rsidRDefault="00532CCF" w:rsidP="008F6F75">
      <w:pPr>
        <w:pStyle w:val="Caption"/>
        <w:spacing w:line="276" w:lineRule="auto"/>
        <w:rPr>
          <w:rFonts w:asciiTheme="minorHAnsi" w:hAnsiTheme="minorHAnsi"/>
        </w:rPr>
      </w:pPr>
      <w:bookmarkStart w:id="18" w:name="_Ref397357069"/>
      <w:r w:rsidRPr="008F6F75">
        <w:rPr>
          <w:rFonts w:asciiTheme="minorHAnsi" w:hAnsiTheme="minorHAnsi"/>
        </w:rPr>
        <w:lastRenderedPageBreak/>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8B567B">
        <w:rPr>
          <w:rFonts w:asciiTheme="minorHAnsi" w:hAnsiTheme="minorHAnsi"/>
          <w:noProof/>
        </w:rPr>
        <w:t>4</w:t>
      </w:r>
      <w:r w:rsidR="0052566B" w:rsidRPr="008F6F75">
        <w:rPr>
          <w:rFonts w:asciiTheme="minorHAnsi" w:hAnsiTheme="minorHAnsi"/>
        </w:rPr>
        <w:fldChar w:fldCharType="end"/>
      </w:r>
      <w:bookmarkEnd w:id="18"/>
      <w:r w:rsidRPr="008F6F75">
        <w:rPr>
          <w:rFonts w:asciiTheme="minorHAnsi" w:hAnsiTheme="minorHAnsi"/>
        </w:rPr>
        <w:t xml:space="preserve"> Comparison of Schedule fees for MBS items relating to </w:t>
      </w:r>
      <w:r w:rsidRPr="008F6F75">
        <w:rPr>
          <w:rFonts w:asciiTheme="minorHAnsi" w:hAnsiTheme="minorHAnsi"/>
          <w:lang w:val="en-AU"/>
        </w:rPr>
        <w:t>Implantable Cardiac Devices and cardiac electrodes (leads)</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953"/>
        <w:gridCol w:w="1701"/>
      </w:tblGrid>
      <w:tr w:rsidR="00532CCF" w:rsidRPr="008F6F75" w:rsidTr="00CF1138">
        <w:trPr>
          <w:trHeight w:val="289"/>
        </w:trPr>
        <w:tc>
          <w:tcPr>
            <w:tcW w:w="1433" w:type="dxa"/>
            <w:shd w:val="clear" w:color="auto" w:fill="auto"/>
            <w:noWrap/>
            <w:vAlign w:val="bottom"/>
            <w:hideMark/>
          </w:tcPr>
          <w:p w:rsidR="00532CCF" w:rsidRPr="008F6F75" w:rsidRDefault="00532CCF" w:rsidP="008F6F75">
            <w:pPr>
              <w:keepNext/>
              <w:spacing w:after="0"/>
              <w:rPr>
                <w:rFonts w:eastAsia="Times New Roman" w:cs="Times New Roman"/>
                <w:b/>
                <w:color w:val="000000"/>
                <w:lang w:eastAsia="en-AU"/>
              </w:rPr>
            </w:pPr>
            <w:r w:rsidRPr="008F6F75">
              <w:rPr>
                <w:rFonts w:eastAsia="Times New Roman" w:cs="Times New Roman"/>
                <w:b/>
                <w:color w:val="000000"/>
                <w:lang w:eastAsia="en-AU"/>
              </w:rPr>
              <w:t>Description</w:t>
            </w:r>
          </w:p>
        </w:tc>
        <w:tc>
          <w:tcPr>
            <w:tcW w:w="5953" w:type="dxa"/>
            <w:shd w:val="clear" w:color="auto" w:fill="auto"/>
            <w:noWrap/>
            <w:vAlign w:val="bottom"/>
            <w:hideMark/>
          </w:tcPr>
          <w:p w:rsidR="00532CCF" w:rsidRPr="008F6F75" w:rsidRDefault="00532CCF" w:rsidP="008F6F75">
            <w:pPr>
              <w:keepNext/>
              <w:spacing w:after="0"/>
              <w:rPr>
                <w:rFonts w:eastAsia="Times New Roman" w:cs="Times New Roman"/>
                <w:b/>
                <w:color w:val="000000"/>
                <w:lang w:eastAsia="en-AU"/>
              </w:rPr>
            </w:pPr>
            <w:r w:rsidRPr="008F6F75">
              <w:rPr>
                <w:rFonts w:eastAsia="Times New Roman" w:cs="Times New Roman"/>
                <w:b/>
                <w:color w:val="000000"/>
                <w:lang w:eastAsia="en-AU"/>
              </w:rPr>
              <w:t>Item code</w:t>
            </w:r>
          </w:p>
        </w:tc>
        <w:tc>
          <w:tcPr>
            <w:tcW w:w="1701" w:type="dxa"/>
            <w:shd w:val="clear" w:color="auto" w:fill="auto"/>
            <w:noWrap/>
            <w:vAlign w:val="bottom"/>
            <w:hideMark/>
          </w:tcPr>
          <w:p w:rsidR="00532CCF" w:rsidRPr="008F6F75" w:rsidRDefault="00532CCF" w:rsidP="008F6F75">
            <w:pPr>
              <w:keepNext/>
              <w:spacing w:after="0"/>
              <w:rPr>
                <w:rFonts w:eastAsia="Times New Roman" w:cs="Times New Roman"/>
                <w:b/>
                <w:color w:val="000000"/>
                <w:lang w:eastAsia="en-AU"/>
              </w:rPr>
            </w:pPr>
            <w:r w:rsidRPr="008F6F75">
              <w:rPr>
                <w:rFonts w:eastAsia="Times New Roman" w:cs="Times New Roman"/>
                <w:b/>
                <w:color w:val="000000"/>
                <w:lang w:eastAsia="en-AU"/>
              </w:rPr>
              <w:t>Value</w:t>
            </w:r>
          </w:p>
        </w:tc>
      </w:tr>
      <w:tr w:rsidR="00532CCF" w:rsidRPr="008F6F75" w:rsidTr="00CF1138">
        <w:trPr>
          <w:trHeight w:val="58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38353</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PERMANENT CARDIAC PACEMAKER, insertion, removal or replacement of, not for cardiac resynchronisation therapy, including cardiac electrophysiological services where used for pacemaker implantation</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$255.45</w:t>
            </w:r>
          </w:p>
        </w:tc>
      </w:tr>
      <w:tr w:rsidR="00532CCF" w:rsidRPr="008F6F75" w:rsidTr="00CF1138">
        <w:trPr>
          <w:trHeight w:val="58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38365</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Permanent cardiac synchronisation device (including a cardiac synchronisation device that is capable of defibrillation), insertion, removal or replacement of, for a patient</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$255.45</w:t>
            </w:r>
          </w:p>
        </w:tc>
      </w:tr>
      <w:tr w:rsidR="00532CCF" w:rsidRPr="008F6F75" w:rsidTr="00CF1138">
        <w:trPr>
          <w:trHeight w:val="85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38368</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 xml:space="preserve">Permanent </w:t>
            </w:r>
            <w:proofErr w:type="spellStart"/>
            <w:r w:rsidRPr="008F6F75">
              <w:rPr>
                <w:rFonts w:eastAsia="Times New Roman" w:cs="Times New Roman"/>
                <w:color w:val="000000"/>
                <w:lang w:eastAsia="en-AU"/>
              </w:rPr>
              <w:t>transvenous</w:t>
            </w:r>
            <w:proofErr w:type="spellEnd"/>
            <w:r w:rsidRPr="008F6F75">
              <w:rPr>
                <w:rFonts w:eastAsia="Times New Roman" w:cs="Times New Roman"/>
                <w:color w:val="000000"/>
                <w:lang w:eastAsia="en-AU"/>
              </w:rPr>
              <w:t xml:space="preserve"> left ventricular electrode, insertion, removal or replacement of through the coronary sinus, for the purpose of cardiac resynchronisation therapy, including right heart catheterisation and any associated </w:t>
            </w:r>
            <w:proofErr w:type="spellStart"/>
            <w:r w:rsidRPr="008F6F75">
              <w:rPr>
                <w:rFonts w:eastAsia="Times New Roman" w:cs="Times New Roman"/>
                <w:color w:val="000000"/>
                <w:lang w:eastAsia="en-AU"/>
              </w:rPr>
              <w:t>venogram</w:t>
            </w:r>
            <w:proofErr w:type="spellEnd"/>
            <w:r w:rsidRPr="008F6F75">
              <w:rPr>
                <w:rFonts w:eastAsia="Times New Roman" w:cs="Times New Roman"/>
                <w:color w:val="000000"/>
                <w:lang w:eastAsia="en-AU"/>
              </w:rPr>
              <w:t xml:space="preserve"> of left ventricular veins, other than a service associated with a service to which item 35200 or 38200 applies, for patients</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$1,224.60</w:t>
            </w:r>
          </w:p>
        </w:tc>
      </w:tr>
      <w:tr w:rsidR="00532CCF" w:rsidRPr="008F6F75" w:rsidTr="00CF1138">
        <w:trPr>
          <w:trHeight w:val="582"/>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38654</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Permanent left ventricular electrode, insertion, removal or replacement of via open thoracotomy, for the purpose of cardiac resynchronisation therapy, for a patient</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$1,224.60</w:t>
            </w:r>
          </w:p>
        </w:tc>
      </w:tr>
      <w:tr w:rsidR="00532CCF" w:rsidRPr="008F6F75" w:rsidTr="00CF1138">
        <w:trPr>
          <w:trHeight w:val="582"/>
        </w:trPr>
        <w:tc>
          <w:tcPr>
            <w:tcW w:w="1433" w:type="dxa"/>
            <w:shd w:val="clear" w:color="auto" w:fill="auto"/>
            <w:noWrap/>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38356</w:t>
            </w:r>
          </w:p>
        </w:tc>
        <w:tc>
          <w:tcPr>
            <w:tcW w:w="5953" w:type="dxa"/>
            <w:shd w:val="clear" w:color="auto" w:fill="auto"/>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DUAL CHAMBER PERMANENT TRANSVENOUS ELECTRODES, insertion, removal or replacement of, including cardiac electrophysiological services where used for pacemaker implantation</w:t>
            </w:r>
          </w:p>
        </w:tc>
        <w:tc>
          <w:tcPr>
            <w:tcW w:w="1701" w:type="dxa"/>
            <w:shd w:val="clear" w:color="auto" w:fill="auto"/>
            <w:noWrap/>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$837.35</w:t>
            </w:r>
          </w:p>
        </w:tc>
      </w:tr>
      <w:tr w:rsidR="00532CCF" w:rsidRPr="008F6F75" w:rsidTr="00CF1138">
        <w:trPr>
          <w:trHeight w:val="690"/>
        </w:trPr>
        <w:tc>
          <w:tcPr>
            <w:tcW w:w="1433"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11721</w:t>
            </w:r>
          </w:p>
        </w:tc>
        <w:tc>
          <w:tcPr>
            <w:tcW w:w="5953" w:type="dxa"/>
            <w:shd w:val="clear" w:color="auto" w:fill="auto"/>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 xml:space="preserve">IMPLANTED PACEMAKER TESTING of </w:t>
            </w:r>
            <w:proofErr w:type="spellStart"/>
            <w:r w:rsidRPr="008F6F75">
              <w:rPr>
                <w:rFonts w:eastAsia="Times New Roman" w:cs="Times New Roman"/>
                <w:color w:val="000000"/>
                <w:lang w:eastAsia="en-AU"/>
              </w:rPr>
              <w:t>atrioventricular</w:t>
            </w:r>
            <w:proofErr w:type="spellEnd"/>
            <w:r w:rsidRPr="008F6F75">
              <w:rPr>
                <w:rFonts w:eastAsia="Times New Roman" w:cs="Times New Roman"/>
                <w:color w:val="000000"/>
                <w:lang w:eastAsia="en-AU"/>
              </w:rPr>
              <w:t xml:space="preserve"> (AV) sequential, rate responsive, or </w:t>
            </w:r>
            <w:proofErr w:type="spellStart"/>
            <w:r w:rsidRPr="008F6F75">
              <w:rPr>
                <w:rFonts w:eastAsia="Times New Roman" w:cs="Times New Roman"/>
                <w:color w:val="000000"/>
                <w:lang w:eastAsia="en-AU"/>
              </w:rPr>
              <w:t>antitachycardia</w:t>
            </w:r>
            <w:proofErr w:type="spellEnd"/>
            <w:r w:rsidRPr="008F6F75">
              <w:rPr>
                <w:rFonts w:eastAsia="Times New Roman" w:cs="Times New Roman"/>
                <w:color w:val="000000"/>
                <w:lang w:eastAsia="en-AU"/>
              </w:rPr>
              <w:t xml:space="preserve"> pacemakers, including reprogramming when required, not being a service associated with a service to which Item 11700 or 11718 applies</w:t>
            </w:r>
          </w:p>
        </w:tc>
        <w:tc>
          <w:tcPr>
            <w:tcW w:w="1701" w:type="dxa"/>
            <w:shd w:val="clear" w:color="auto" w:fill="auto"/>
            <w:noWrap/>
            <w:hideMark/>
          </w:tcPr>
          <w:p w:rsidR="00532CCF" w:rsidRPr="008F6F75" w:rsidRDefault="00532CCF" w:rsidP="008F6F75">
            <w:pPr>
              <w:keepNext/>
              <w:spacing w:after="0"/>
              <w:rPr>
                <w:rFonts w:eastAsia="Times New Roman" w:cs="Times New Roman"/>
                <w:color w:val="000000"/>
                <w:lang w:eastAsia="en-AU"/>
              </w:rPr>
            </w:pPr>
            <w:r w:rsidRPr="008F6F75">
              <w:rPr>
                <w:rFonts w:eastAsia="Times New Roman" w:cs="Times New Roman"/>
                <w:color w:val="000000"/>
                <w:lang w:eastAsia="en-AU"/>
              </w:rPr>
              <w:t>$69.75</w:t>
            </w:r>
          </w:p>
        </w:tc>
      </w:tr>
    </w:tbl>
    <w:p w:rsidR="00532CCF" w:rsidRPr="008F6F75" w:rsidRDefault="00532CCF" w:rsidP="008F6F75"/>
    <w:p w:rsidR="00BC4EFE" w:rsidRPr="008F6F75" w:rsidRDefault="00BC4EFE" w:rsidP="008F6F75">
      <w:pPr>
        <w:pStyle w:val="Quote"/>
        <w:spacing w:line="276" w:lineRule="auto"/>
        <w:rPr>
          <w:szCs w:val="22"/>
        </w:rPr>
      </w:pPr>
      <w:r w:rsidRPr="008F6F75">
        <w:rPr>
          <w:szCs w:val="22"/>
        </w:rPr>
        <w:t xml:space="preserve">Please indicate the direct cost of any equipment or resources that are used with the service relevant to this application, as appropriate. </w:t>
      </w:r>
    </w:p>
    <w:p w:rsidR="000D707A" w:rsidRPr="008F6F75" w:rsidRDefault="00E358BD" w:rsidP="008F6F75">
      <w:r w:rsidRPr="008F6F75">
        <w:t xml:space="preserve">The following costs are relevant to GCM therapy, and will therefore be included in the economic evaluation: </w:t>
      </w:r>
    </w:p>
    <w:p w:rsidR="000D707A" w:rsidRPr="008F6F75" w:rsidRDefault="00E358BD" w:rsidP="008F6F75">
      <w:pPr>
        <w:pStyle w:val="ListParagraph"/>
        <w:numPr>
          <w:ilvl w:val="0"/>
          <w:numId w:val="3"/>
        </w:numPr>
      </w:pPr>
      <w:r w:rsidRPr="008F6F75">
        <w:t>DIAMOND™ IPG</w:t>
      </w:r>
      <w:r w:rsidR="00555D72" w:rsidRPr="008F6F75">
        <w:t xml:space="preserve"> device</w:t>
      </w:r>
      <w:r w:rsidRPr="008F6F75">
        <w:t>;</w:t>
      </w:r>
    </w:p>
    <w:p w:rsidR="00E358BD" w:rsidRPr="008F6F75" w:rsidRDefault="00555D72" w:rsidP="008F6F75">
      <w:pPr>
        <w:pStyle w:val="ListParagraph"/>
        <w:numPr>
          <w:ilvl w:val="0"/>
          <w:numId w:val="3"/>
        </w:numPr>
      </w:pPr>
      <w:r w:rsidRPr="008F6F75">
        <w:t>Gastric leads</w:t>
      </w:r>
    </w:p>
    <w:p w:rsidR="00555D72" w:rsidRPr="008F6F75" w:rsidRDefault="00555D72" w:rsidP="008F6F75">
      <w:pPr>
        <w:pStyle w:val="ListParagraph"/>
        <w:numPr>
          <w:ilvl w:val="0"/>
          <w:numId w:val="3"/>
        </w:numPr>
      </w:pPr>
      <w:r w:rsidRPr="008F6F75">
        <w:t xml:space="preserve">The cost associated with the insertion, removal or replacement of IPG device </w:t>
      </w:r>
    </w:p>
    <w:p w:rsidR="00555D72" w:rsidRPr="008F6F75" w:rsidRDefault="00555D72" w:rsidP="008F6F75">
      <w:pPr>
        <w:pStyle w:val="ListParagraph"/>
        <w:numPr>
          <w:ilvl w:val="0"/>
          <w:numId w:val="3"/>
        </w:numPr>
      </w:pPr>
      <w:r w:rsidRPr="008F6F75">
        <w:t>Insertion, removal or replacement of gastric leads</w:t>
      </w:r>
    </w:p>
    <w:p w:rsidR="00555D72" w:rsidRPr="008F6F75" w:rsidRDefault="00555D72" w:rsidP="008F6F75">
      <w:pPr>
        <w:pStyle w:val="ListParagraph"/>
        <w:numPr>
          <w:ilvl w:val="0"/>
          <w:numId w:val="3"/>
        </w:numPr>
      </w:pPr>
      <w:r w:rsidRPr="008F6F75">
        <w:t>Professional/clinic visits</w:t>
      </w:r>
    </w:p>
    <w:p w:rsidR="00555D72" w:rsidRPr="008F6F75" w:rsidRDefault="00555D72" w:rsidP="008F6F75">
      <w:pPr>
        <w:pStyle w:val="ListParagraph"/>
        <w:numPr>
          <w:ilvl w:val="0"/>
          <w:numId w:val="3"/>
        </w:numPr>
      </w:pPr>
      <w:r w:rsidRPr="008F6F75">
        <w:t>Anaesthesia</w:t>
      </w:r>
    </w:p>
    <w:p w:rsidR="00555D72" w:rsidRPr="008F6F75" w:rsidRDefault="00555D72" w:rsidP="008F6F75">
      <w:pPr>
        <w:pStyle w:val="ListParagraph"/>
        <w:numPr>
          <w:ilvl w:val="0"/>
          <w:numId w:val="3"/>
        </w:numPr>
      </w:pPr>
      <w:r w:rsidRPr="008F6F75">
        <w:t xml:space="preserve">Hospital stay </w:t>
      </w:r>
    </w:p>
    <w:p w:rsidR="00555D72" w:rsidRPr="008F6F75" w:rsidRDefault="00555D72" w:rsidP="008F6F75">
      <w:pPr>
        <w:pStyle w:val="ListParagraph"/>
        <w:numPr>
          <w:ilvl w:val="0"/>
          <w:numId w:val="3"/>
        </w:numPr>
      </w:pPr>
      <w:r w:rsidRPr="008F6F75">
        <w:t>Endoscopy</w:t>
      </w:r>
    </w:p>
    <w:p w:rsidR="00555D72" w:rsidRPr="008F6F75" w:rsidRDefault="00555D72" w:rsidP="008F6F75">
      <w:pPr>
        <w:pStyle w:val="ListParagraph"/>
        <w:numPr>
          <w:ilvl w:val="0"/>
          <w:numId w:val="3"/>
        </w:numPr>
      </w:pPr>
      <w:r w:rsidRPr="008F6F75">
        <w:t>GP visits</w:t>
      </w:r>
    </w:p>
    <w:p w:rsidR="00555D72" w:rsidRPr="008F6F75" w:rsidRDefault="00555D72" w:rsidP="008F6F75">
      <w:pPr>
        <w:pStyle w:val="ListParagraph"/>
        <w:numPr>
          <w:ilvl w:val="0"/>
          <w:numId w:val="3"/>
        </w:numPr>
      </w:pPr>
      <w:r w:rsidRPr="008F6F75">
        <w:t>Ongoing interrogation of device</w:t>
      </w:r>
    </w:p>
    <w:p w:rsidR="00555D72" w:rsidRPr="008F6F75" w:rsidRDefault="00555D72" w:rsidP="008F6F75">
      <w:pPr>
        <w:pStyle w:val="ListParagraph"/>
        <w:numPr>
          <w:ilvl w:val="0"/>
          <w:numId w:val="3"/>
        </w:numPr>
      </w:pPr>
      <w:r w:rsidRPr="008F6F75">
        <w:t>Prophylactic antibiotics</w:t>
      </w:r>
    </w:p>
    <w:p w:rsidR="00555D72" w:rsidRPr="008F6F75" w:rsidRDefault="00555D72" w:rsidP="008F6F75">
      <w:pPr>
        <w:pStyle w:val="ListParagraph"/>
        <w:numPr>
          <w:ilvl w:val="0"/>
          <w:numId w:val="3"/>
        </w:numPr>
      </w:pPr>
      <w:r w:rsidRPr="008F6F75">
        <w:t>Endocrinologist visit</w:t>
      </w:r>
    </w:p>
    <w:p w:rsidR="00555D72" w:rsidRPr="008F6F75" w:rsidRDefault="00555D72" w:rsidP="008F6F75">
      <w:pPr>
        <w:pStyle w:val="ListParagraph"/>
        <w:numPr>
          <w:ilvl w:val="0"/>
          <w:numId w:val="3"/>
        </w:numPr>
      </w:pPr>
      <w:r w:rsidRPr="008F6F75">
        <w:lastRenderedPageBreak/>
        <w:t>Anti-diabetic medications</w:t>
      </w:r>
    </w:p>
    <w:p w:rsidR="00555D72" w:rsidRPr="008F6F75" w:rsidRDefault="00555D72" w:rsidP="008F6F75">
      <w:pPr>
        <w:pStyle w:val="ListParagraph"/>
        <w:numPr>
          <w:ilvl w:val="0"/>
          <w:numId w:val="3"/>
        </w:numPr>
      </w:pPr>
      <w:r w:rsidRPr="008F6F75">
        <w:t>Anti-diabetic monitoring</w:t>
      </w:r>
    </w:p>
    <w:p w:rsidR="00555D72" w:rsidRPr="008F6F75" w:rsidRDefault="00555D72" w:rsidP="008F6F75">
      <w:pPr>
        <w:pStyle w:val="ListParagraph"/>
        <w:numPr>
          <w:ilvl w:val="0"/>
          <w:numId w:val="3"/>
        </w:numPr>
      </w:pPr>
      <w:r w:rsidRPr="008F6F75">
        <w:t>Management of adverse events/complications</w:t>
      </w:r>
    </w:p>
    <w:p w:rsidR="00555D72" w:rsidRPr="008F6F75" w:rsidRDefault="00555D72" w:rsidP="008F6F75">
      <w:pPr>
        <w:pStyle w:val="ListParagraph"/>
        <w:numPr>
          <w:ilvl w:val="0"/>
          <w:numId w:val="3"/>
        </w:numPr>
      </w:pPr>
      <w:r w:rsidRPr="008F6F75">
        <w:t>Outpatient visits</w:t>
      </w:r>
    </w:p>
    <w:p w:rsidR="00555D72" w:rsidRPr="008F6F75" w:rsidRDefault="00555D72" w:rsidP="008F6F75">
      <w:pPr>
        <w:pStyle w:val="ListParagraph"/>
        <w:numPr>
          <w:ilvl w:val="0"/>
          <w:numId w:val="3"/>
        </w:numPr>
      </w:pPr>
      <w:r w:rsidRPr="008F6F75">
        <w:t>Emergency service</w:t>
      </w:r>
    </w:p>
    <w:p w:rsidR="00BC4EFE" w:rsidRPr="008F6F75" w:rsidRDefault="00BC4EFE" w:rsidP="008F6F75">
      <w:pPr>
        <w:pStyle w:val="Heading1"/>
      </w:pPr>
      <w:bookmarkStart w:id="19" w:name="_Toc398046791"/>
      <w:bookmarkStart w:id="20" w:name="_Toc398209601"/>
      <w:r w:rsidRPr="008F6F75">
        <w:t>Clinical Management Algorithm - clinical place for the proposed intervention</w:t>
      </w:r>
      <w:bookmarkEnd w:id="19"/>
      <w:bookmarkEnd w:id="20"/>
      <w:r w:rsidRPr="008F6F75">
        <w:t xml:space="preserve"> </w:t>
      </w:r>
    </w:p>
    <w:p w:rsidR="00AB6A55" w:rsidRPr="008F6F75" w:rsidRDefault="00AB6A55" w:rsidP="008F6F75">
      <w:r w:rsidRPr="008F6F75">
        <w:t>The protocol for DIAMOND™ system requests reimbursement for a Gastric Contractility Modulation (GCM) device in patients with uncontrolled T2DM. These patients are obese (BMI ≥30 kg/m</w:t>
      </w:r>
      <w:r w:rsidRPr="008F6F75">
        <w:rPr>
          <w:vertAlign w:val="superscript"/>
        </w:rPr>
        <w:t>2</w:t>
      </w:r>
      <w:r w:rsidR="00811B00" w:rsidRPr="00811B00">
        <w:t xml:space="preserve"> </w:t>
      </w:r>
      <w:r w:rsidR="00811B00">
        <w:t xml:space="preserve">and </w:t>
      </w:r>
      <w:r w:rsidR="00811B00" w:rsidRPr="00B14B8F">
        <w:rPr>
          <w:u w:val="single"/>
        </w:rPr>
        <w:t>&lt;</w:t>
      </w:r>
      <w:r w:rsidR="00811B00">
        <w:t>45</w:t>
      </w:r>
      <w:r w:rsidR="00811B00" w:rsidRPr="00811B00">
        <w:t xml:space="preserve"> </w:t>
      </w:r>
      <w:r w:rsidR="00811B00" w:rsidRPr="008F6F75">
        <w:t>kg/m</w:t>
      </w:r>
      <w:r w:rsidR="00811B00" w:rsidRPr="008F6F75">
        <w:rPr>
          <w:vertAlign w:val="superscript"/>
        </w:rPr>
        <w:t>2</w:t>
      </w:r>
      <w:r w:rsidRPr="008F6F75">
        <w:t>), inadequately controlled on standard oral glucose lowering (anti-diabetic) therapy, aged ≥ 18 years, have normal triglyceride levels (fasting plasma triglycerides ≤1.7mmol/l) and HbA1c ≥ 7.5%</w:t>
      </w:r>
      <w:r w:rsidR="002B1DCA">
        <w:t xml:space="preserve"> and </w:t>
      </w:r>
      <w:r w:rsidR="002B1DCA" w:rsidRPr="00E73915">
        <w:rPr>
          <w:u w:val="single"/>
        </w:rPr>
        <w:t>&lt;</w:t>
      </w:r>
      <w:r w:rsidR="002B1DCA">
        <w:t>10%</w:t>
      </w:r>
      <w:r w:rsidRPr="008F6F75">
        <w:t xml:space="preserve">. </w:t>
      </w:r>
    </w:p>
    <w:p w:rsidR="00AB6A55" w:rsidRPr="008F6F75" w:rsidRDefault="00AB6A55" w:rsidP="008F6F75">
      <w:r w:rsidRPr="008F6F75">
        <w:t xml:space="preserve">Within this broad population, </w:t>
      </w:r>
      <w:proofErr w:type="spellStart"/>
      <w:r w:rsidRPr="008F6F75">
        <w:t>MetaCure</w:t>
      </w:r>
      <w:proofErr w:type="spellEnd"/>
      <w:r w:rsidRPr="008F6F75">
        <w:t xml:space="preserve"> are seeking listing for a subgroup of patients who achieve the best outcome from the therapy. Therefore the following subpopulation will be examined:</w:t>
      </w:r>
    </w:p>
    <w:p w:rsidR="00410B46" w:rsidRPr="008F6F75" w:rsidRDefault="005E2EA5" w:rsidP="008F6F75">
      <w:r w:rsidRPr="005E2EA5">
        <w:t>“Patients for who all PBS listed oral anti-diabetic medications have failed or are inappropriate and as an alternative to injectable therapies</w:t>
      </w:r>
      <w:r w:rsidR="00B276DC">
        <w:t xml:space="preserve"> or bariatric surgery</w:t>
      </w:r>
      <w:r w:rsidRPr="005E2EA5">
        <w:t>.”</w:t>
      </w:r>
    </w:p>
    <w:p w:rsidR="003807AC" w:rsidRPr="00AA25A7" w:rsidRDefault="003807AC" w:rsidP="00AA25A7">
      <w:pPr>
        <w:rPr>
          <w:rFonts w:cs="Arial"/>
        </w:rPr>
      </w:pPr>
    </w:p>
    <w:p w:rsidR="00B276DC" w:rsidRPr="008F6F75" w:rsidRDefault="00B276DC" w:rsidP="008F6F75">
      <w:pPr>
        <w:pStyle w:val="AB-podstawowy"/>
        <w:tabs>
          <w:tab w:val="left" w:pos="8399"/>
        </w:tabs>
        <w:spacing w:line="276" w:lineRule="auto"/>
        <w:jc w:val="both"/>
        <w:rPr>
          <w:szCs w:val="22"/>
        </w:rPr>
      </w:pPr>
      <w:r w:rsidRPr="00B276DC">
        <w:rPr>
          <w:noProof/>
          <w:szCs w:val="22"/>
          <w:lang w:val="en-AU" w:eastAsia="en-AU"/>
        </w:rPr>
        <w:drawing>
          <wp:inline distT="0" distB="0" distL="0" distR="0" wp14:anchorId="483CFBFB" wp14:editId="669BA964">
            <wp:extent cx="5745480" cy="3169835"/>
            <wp:effectExtent l="0" t="0" r="7620" b="0"/>
            <wp:docPr id="1026" name="Picture 2" title="Figure 1 Clinical management algorithm in patients who require additional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5480" cy="3169835"/>
                    </a:xfrm>
                    <a:prstGeom prst="rect">
                      <a:avLst/>
                    </a:prstGeom>
                    <a:noFill/>
                    <a:ln>
                      <a:noFill/>
                    </a:ln>
                    <a:effectLst/>
                    <a:extLst/>
                  </pic:spPr>
                </pic:pic>
              </a:graphicData>
            </a:graphic>
          </wp:inline>
        </w:drawing>
      </w:r>
    </w:p>
    <w:p w:rsidR="003807AC" w:rsidRDefault="00EC4C3D" w:rsidP="00E73915">
      <w:pPr>
        <w:pStyle w:val="Caption"/>
      </w:pPr>
      <w:r>
        <w:t xml:space="preserve">Figure </w:t>
      </w:r>
      <w:r>
        <w:fldChar w:fldCharType="begin"/>
      </w:r>
      <w:r>
        <w:instrText xml:space="preserve"> SEQ Figure \* ARABIC </w:instrText>
      </w:r>
      <w:r>
        <w:fldChar w:fldCharType="separate"/>
      </w:r>
      <w:r w:rsidR="008B567B">
        <w:rPr>
          <w:noProof/>
        </w:rPr>
        <w:t>1</w:t>
      </w:r>
      <w:r>
        <w:fldChar w:fldCharType="end"/>
      </w:r>
      <w:r w:rsidR="003807AC" w:rsidRPr="008F6F75">
        <w:t xml:space="preserve"> Clinical management algorithm in patients who require additional treatment</w:t>
      </w:r>
    </w:p>
    <w:p w:rsidR="003807AC" w:rsidRDefault="00D017B8" w:rsidP="008F6F75">
      <w:pPr>
        <w:pStyle w:val="AB-podstawowy"/>
        <w:tabs>
          <w:tab w:val="left" w:pos="8399"/>
        </w:tabs>
        <w:spacing w:line="276" w:lineRule="auto"/>
        <w:jc w:val="both"/>
        <w:rPr>
          <w:szCs w:val="22"/>
        </w:rPr>
      </w:pPr>
      <w:r>
        <w:rPr>
          <w:sz w:val="16"/>
          <w:szCs w:val="16"/>
        </w:rPr>
        <w:t>Note: Oral pharmacological agent combination should contain at least 3 PBS listed therapies</w:t>
      </w:r>
      <w:r w:rsidR="00B667C0">
        <w:rPr>
          <w:sz w:val="16"/>
          <w:szCs w:val="16"/>
        </w:rPr>
        <w:t xml:space="preserve">; </w:t>
      </w:r>
    </w:p>
    <w:p w:rsidR="00434BA1" w:rsidRPr="008F6F75" w:rsidRDefault="00434BA1" w:rsidP="008F6F75">
      <w:pPr>
        <w:pStyle w:val="AB-podstawowy"/>
        <w:tabs>
          <w:tab w:val="left" w:pos="8399"/>
        </w:tabs>
        <w:spacing w:line="276" w:lineRule="auto"/>
        <w:jc w:val="both"/>
        <w:rPr>
          <w:szCs w:val="22"/>
        </w:rPr>
      </w:pPr>
      <w:r w:rsidRPr="008F6F75">
        <w:rPr>
          <w:szCs w:val="22"/>
        </w:rPr>
        <w:t>The treatment algorithm</w:t>
      </w:r>
      <w:r w:rsidR="005D09B8">
        <w:rPr>
          <w:szCs w:val="22"/>
        </w:rPr>
        <w:t>,</w:t>
      </w:r>
      <w:r w:rsidRPr="008F6F75">
        <w:rPr>
          <w:szCs w:val="22"/>
        </w:rPr>
        <w:t xml:space="preserve"> should GCM therapy be listed on the MBS in this patient population</w:t>
      </w:r>
      <w:r w:rsidR="005D09B8">
        <w:rPr>
          <w:szCs w:val="22"/>
        </w:rPr>
        <w:t>,</w:t>
      </w:r>
      <w:r w:rsidRPr="008F6F75">
        <w:rPr>
          <w:szCs w:val="22"/>
        </w:rPr>
        <w:t xml:space="preserve"> is outlined in</w:t>
      </w:r>
      <w:r w:rsidR="00EC4C3D">
        <w:rPr>
          <w:szCs w:val="22"/>
        </w:rPr>
        <w:t xml:space="preserve"> </w:t>
      </w:r>
      <w:r w:rsidR="00602684">
        <w:rPr>
          <w:szCs w:val="22"/>
        </w:rPr>
        <w:t>Figure 1</w:t>
      </w:r>
    </w:p>
    <w:p w:rsidR="00094322" w:rsidRPr="008F6F75" w:rsidRDefault="00094322" w:rsidP="008F6F75"/>
    <w:p w:rsidR="00BC4EFE" w:rsidRPr="008F6F75" w:rsidRDefault="00BC4EFE" w:rsidP="008F6F75">
      <w:pPr>
        <w:pStyle w:val="Heading1"/>
      </w:pPr>
      <w:bookmarkStart w:id="21" w:name="_Toc398046792"/>
      <w:bookmarkStart w:id="22" w:name="_Toc398209602"/>
      <w:r w:rsidRPr="008F6F75">
        <w:lastRenderedPageBreak/>
        <w:t>Regulatory Information</w:t>
      </w:r>
      <w:bookmarkEnd w:id="21"/>
      <w:bookmarkEnd w:id="22"/>
    </w:p>
    <w:p w:rsidR="00BC4EFE" w:rsidRPr="008F6F75" w:rsidRDefault="00BC4EFE" w:rsidP="008F6F75">
      <w:pPr>
        <w:pStyle w:val="Quote"/>
        <w:spacing w:line="276" w:lineRule="auto"/>
        <w:rPr>
          <w:szCs w:val="22"/>
        </w:rPr>
      </w:pPr>
      <w:r w:rsidRPr="008F6F75">
        <w:rPr>
          <w:szCs w:val="22"/>
        </w:rPr>
        <w:t xml:space="preserve">Please provide details of the regulatory status. </w:t>
      </w:r>
      <w:proofErr w:type="gramStart"/>
      <w:r w:rsidRPr="008F6F75">
        <w:rPr>
          <w:szCs w:val="22"/>
        </w:rPr>
        <w:t>Noting that regulatory listing must be finalised before MSAC consideration.</w:t>
      </w:r>
      <w:proofErr w:type="gramEnd"/>
    </w:p>
    <w:p w:rsidR="00B755CE" w:rsidRPr="008F6F75" w:rsidRDefault="00B755CE" w:rsidP="008F6F75">
      <w:r w:rsidRPr="008F6F75">
        <w:t>The DIAMOND™ system was approved by the Therapeutic Goods Administration (TGA) in April 2012. The approved TGA intended purpose is as follows:</w:t>
      </w:r>
    </w:p>
    <w:p w:rsidR="00B755CE" w:rsidRDefault="00B755CE" w:rsidP="008F6F75">
      <w:pPr>
        <w:rPr>
          <w:i/>
        </w:rPr>
      </w:pPr>
      <w:proofErr w:type="gramStart"/>
      <w:r w:rsidRPr="008F6F75">
        <w:rPr>
          <w:i/>
        </w:rPr>
        <w:t>“For the treatment of Obesity and Type 2 Diabetics with Obesity.</w:t>
      </w:r>
      <w:proofErr w:type="gramEnd"/>
      <w:r w:rsidRPr="008F6F75">
        <w:rPr>
          <w:i/>
        </w:rPr>
        <w:t xml:space="preserve"> Intended to improve </w:t>
      </w:r>
      <w:proofErr w:type="spellStart"/>
      <w:r w:rsidR="00F63415" w:rsidRPr="008F6F75">
        <w:rPr>
          <w:i/>
        </w:rPr>
        <w:t>glyceamic</w:t>
      </w:r>
      <w:proofErr w:type="spellEnd"/>
      <w:r w:rsidRPr="008F6F75">
        <w:rPr>
          <w:i/>
        </w:rPr>
        <w:t xml:space="preserve"> control and induce weight loss by monitoring intrinsic gastric electrical and mechanical activity and then delivering gastric contractility modulation signals to the stomach.”</w:t>
      </w:r>
    </w:p>
    <w:p w:rsidR="006E677C" w:rsidRDefault="006E677C" w:rsidP="008F6F75">
      <w:r w:rsidRPr="00E73915">
        <w:t xml:space="preserve">The TGA approved indication is wider than the requested MSAC application. The population in the MSAC application reflects the current set of clinical evidence and economic value of the </w:t>
      </w:r>
      <w:r w:rsidRPr="006E677C">
        <w:t>DI</w:t>
      </w:r>
      <w:r w:rsidR="00203935">
        <w:t>AMOND™ system in a narrower sub-</w:t>
      </w:r>
      <w:r w:rsidRPr="006E677C">
        <w:t>population. As explained in Section 2, above, the understanding of the optimal place in treatment for the DIAMOND™ system has evolved over time, as additional studies have been completed.</w:t>
      </w:r>
    </w:p>
    <w:p w:rsidR="00E73915" w:rsidRPr="00E73915" w:rsidRDefault="00E73915" w:rsidP="008F6F75">
      <w:r w:rsidRPr="00E73915">
        <w:t xml:space="preserve">Currently, the implantation of </w:t>
      </w:r>
      <w:r>
        <w:t>the DIAMOND™ system</w:t>
      </w:r>
      <w:r w:rsidRPr="00E73915">
        <w:t xml:space="preserve"> is not reimbursed through Medicare or subject to public funding by any other means. Patients who access treatment must currently pay for the device implantation out of their own pocket. </w:t>
      </w:r>
      <w:proofErr w:type="spellStart"/>
      <w:r>
        <w:t>MetaCure</w:t>
      </w:r>
      <w:proofErr w:type="spellEnd"/>
      <w:r w:rsidRPr="00E73915">
        <w:t xml:space="preserve"> has initiated an application to have the </w:t>
      </w:r>
      <w:r>
        <w:t>DIAMOND™ system</w:t>
      </w:r>
      <w:r w:rsidRPr="00B14B8F">
        <w:t xml:space="preserve"> </w:t>
      </w:r>
      <w:r w:rsidRPr="00E73915">
        <w:t>included on the Prostheses List.</w:t>
      </w:r>
    </w:p>
    <w:p w:rsidR="00BC4EFE" w:rsidRPr="008F6F75" w:rsidRDefault="00BC4EFE" w:rsidP="008F6F75">
      <w:pPr>
        <w:pStyle w:val="Heading1"/>
      </w:pPr>
      <w:bookmarkStart w:id="23" w:name="_Toc398046793"/>
      <w:bookmarkStart w:id="24" w:name="_Toc398209603"/>
      <w:r w:rsidRPr="008F6F75">
        <w:t>Decision analytic</w:t>
      </w:r>
      <w:bookmarkEnd w:id="23"/>
      <w:bookmarkEnd w:id="24"/>
    </w:p>
    <w:p w:rsidR="006E677C" w:rsidRDefault="00E62182" w:rsidP="00E73915">
      <w:pPr>
        <w:keepNext/>
        <w:keepLines/>
      </w:pPr>
      <w:bookmarkStart w:id="25" w:name="_Ref283297696"/>
      <w:r>
        <w:t xml:space="preserve">The figure below sets out the basic model structure. Where the DIAMOND™ system offers superior efficacy the model will be driven by improved HbA1c. Treatment to target HbA1c is the primary objective of </w:t>
      </w:r>
      <w:proofErr w:type="spellStart"/>
      <w:r>
        <w:t>glyceamic</w:t>
      </w:r>
      <w:proofErr w:type="spellEnd"/>
      <w:r>
        <w:t xml:space="preserve"> control in Type 2 diabetes. The cycle lengths of the model will be 6 months and the model will be run for a number of </w:t>
      </w:r>
      <w:r w:rsidR="00AF2FB3">
        <w:t xml:space="preserve">different </w:t>
      </w:r>
      <w:r w:rsidR="00203935">
        <w:t>long-term time horizons</w:t>
      </w:r>
      <w:r>
        <w:t>. It will be capab</w:t>
      </w:r>
      <w:r w:rsidR="0092348B">
        <w:t>le of being run a</w:t>
      </w:r>
      <w:r>
        <w:t>s a lifetime model.</w:t>
      </w:r>
      <w:r w:rsidR="0092348B">
        <w:t xml:space="preserve"> A detailed model explanation will be provided in the MSAC submission</w:t>
      </w:r>
    </w:p>
    <w:p w:rsidR="000C382C" w:rsidRDefault="000C382C" w:rsidP="00E73915">
      <w:pPr>
        <w:keepNext/>
        <w:keepLines/>
      </w:pPr>
    </w:p>
    <w:p w:rsidR="00E73915" w:rsidRDefault="003064CD" w:rsidP="003064CD">
      <w:pPr>
        <w:pStyle w:val="Caption"/>
        <w:jc w:val="center"/>
      </w:pPr>
      <w:bookmarkStart w:id="26" w:name="_Ref397357573"/>
      <w:bookmarkEnd w:id="25"/>
      <w:r>
        <w:rPr>
          <w:noProof/>
          <w:lang w:val="en-AU" w:eastAsia="en-AU"/>
        </w:rPr>
        <w:drawing>
          <wp:inline distT="0" distB="0" distL="0" distR="0" wp14:anchorId="7CBE6007" wp14:editId="2E76F2AB">
            <wp:extent cx="3838575" cy="2143125"/>
            <wp:effectExtent l="0" t="0" r="9525" b="9525"/>
            <wp:docPr id="12" name="Picture 12" title="Figure 2 Basic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2143125"/>
                    </a:xfrm>
                    <a:prstGeom prst="rect">
                      <a:avLst/>
                    </a:prstGeom>
                    <a:noFill/>
                  </pic:spPr>
                </pic:pic>
              </a:graphicData>
            </a:graphic>
          </wp:inline>
        </w:drawing>
      </w:r>
    </w:p>
    <w:p w:rsidR="003C7B0B" w:rsidRPr="00D56A15" w:rsidRDefault="0092348B" w:rsidP="00E73915">
      <w:pPr>
        <w:pStyle w:val="Caption"/>
      </w:pPr>
      <w:r>
        <w:t xml:space="preserve">Figure </w:t>
      </w:r>
      <w:r>
        <w:fldChar w:fldCharType="begin"/>
      </w:r>
      <w:r>
        <w:instrText xml:space="preserve"> SEQ Figure \* ARABIC </w:instrText>
      </w:r>
      <w:r>
        <w:fldChar w:fldCharType="separate"/>
      </w:r>
      <w:r w:rsidR="008B567B">
        <w:rPr>
          <w:noProof/>
        </w:rPr>
        <w:t>2</w:t>
      </w:r>
      <w:r>
        <w:fldChar w:fldCharType="end"/>
      </w:r>
      <w:proofErr w:type="gramStart"/>
      <w:r w:rsidR="003C7B0B">
        <w:rPr>
          <w:rFonts w:asciiTheme="minorHAnsi" w:hAnsiTheme="minorHAnsi"/>
        </w:rPr>
        <w:t xml:space="preserve"> </w:t>
      </w:r>
      <w:r w:rsidR="003C7B0B" w:rsidRPr="00D56A15">
        <w:t>Basic model structure</w:t>
      </w:r>
      <w:proofErr w:type="gramEnd"/>
    </w:p>
    <w:p w:rsidR="00E73915" w:rsidRPr="00E73915" w:rsidRDefault="00E73915" w:rsidP="00E73915">
      <w:pPr>
        <w:rPr>
          <w:lang w:val="en-GB" w:eastAsia="ja-JP"/>
        </w:rPr>
      </w:pPr>
    </w:p>
    <w:p w:rsidR="0088078F" w:rsidRDefault="0088078F" w:rsidP="00E732FF"/>
    <w:p w:rsidR="00E732FF" w:rsidRDefault="007C50C3" w:rsidP="00E732FF">
      <w:r>
        <w:lastRenderedPageBreak/>
        <w:t>Table 6</w:t>
      </w:r>
      <w:r w:rsidR="00E732FF" w:rsidRPr="008F6F75">
        <w:t xml:space="preserve"> summarises the population, intervention, comparator and outcomes of </w:t>
      </w:r>
      <w:r w:rsidR="00E732FF" w:rsidRPr="008F6F75">
        <w:rPr>
          <w:lang w:val="en-US"/>
        </w:rPr>
        <w:t>GCM</w:t>
      </w:r>
      <w:r w:rsidR="00E732FF" w:rsidRPr="008F6F75">
        <w:t xml:space="preserve"> therapy for both the proposed populations. </w:t>
      </w:r>
    </w:p>
    <w:p w:rsidR="00E732FF" w:rsidRDefault="00E732FF" w:rsidP="008F6F75">
      <w:pPr>
        <w:pStyle w:val="Caption"/>
        <w:spacing w:line="276" w:lineRule="auto"/>
        <w:rPr>
          <w:rFonts w:asciiTheme="minorHAnsi" w:hAnsiTheme="minorHAnsi"/>
        </w:rPr>
      </w:pPr>
    </w:p>
    <w:p w:rsidR="00B755CE" w:rsidRPr="008F6F75" w:rsidRDefault="00B755CE" w:rsidP="008F6F75">
      <w:pPr>
        <w:pStyle w:val="Caption"/>
        <w:spacing w:line="276" w:lineRule="auto"/>
        <w:rPr>
          <w:rFonts w:asciiTheme="minorHAnsi" w:hAnsiTheme="minorHAnsi"/>
        </w:rPr>
      </w:pPr>
      <w:r w:rsidRPr="008F6F75">
        <w:rPr>
          <w:rFonts w:asciiTheme="minorHAnsi" w:hAnsiTheme="minorHAnsi"/>
        </w:rPr>
        <w:t xml:space="preserve">Table </w:t>
      </w:r>
      <w:r w:rsidR="0052566B" w:rsidRPr="008F6F75">
        <w:rPr>
          <w:rFonts w:asciiTheme="minorHAnsi" w:hAnsiTheme="minorHAnsi"/>
        </w:rPr>
        <w:fldChar w:fldCharType="begin"/>
      </w:r>
      <w:r w:rsidRPr="008F6F75">
        <w:rPr>
          <w:rFonts w:asciiTheme="minorHAnsi" w:hAnsiTheme="minorHAnsi"/>
        </w:rPr>
        <w:instrText xml:space="preserve"> SEQ Table \* ARABIC </w:instrText>
      </w:r>
      <w:r w:rsidR="0052566B" w:rsidRPr="008F6F75">
        <w:rPr>
          <w:rFonts w:asciiTheme="minorHAnsi" w:hAnsiTheme="minorHAnsi"/>
        </w:rPr>
        <w:fldChar w:fldCharType="separate"/>
      </w:r>
      <w:r w:rsidR="008B567B">
        <w:rPr>
          <w:rFonts w:asciiTheme="minorHAnsi" w:hAnsiTheme="minorHAnsi"/>
          <w:noProof/>
        </w:rPr>
        <w:t>5</w:t>
      </w:r>
      <w:r w:rsidR="0052566B" w:rsidRPr="008F6F75">
        <w:rPr>
          <w:rFonts w:asciiTheme="minorHAnsi" w:hAnsiTheme="minorHAnsi"/>
        </w:rPr>
        <w:fldChar w:fldCharType="end"/>
      </w:r>
      <w:bookmarkEnd w:id="26"/>
      <w:r w:rsidRPr="008F6F75">
        <w:rPr>
          <w:rFonts w:asciiTheme="minorHAnsi" w:hAnsiTheme="minorHAnsi"/>
        </w:rPr>
        <w:t>:  Summary of extended PICO to define research question that assessment will investigate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17"/>
        <w:gridCol w:w="1418"/>
        <w:gridCol w:w="1701"/>
        <w:gridCol w:w="2977"/>
      </w:tblGrid>
      <w:tr w:rsidR="00B755CE" w:rsidRPr="00734675" w:rsidTr="00734675">
        <w:trPr>
          <w:tblHeader/>
        </w:trPr>
        <w:tc>
          <w:tcPr>
            <w:tcW w:w="1526" w:type="dxa"/>
          </w:tcPr>
          <w:p w:rsidR="00B755CE" w:rsidRPr="00734675" w:rsidRDefault="00B755CE" w:rsidP="008F6F75">
            <w:pPr>
              <w:keepNext/>
              <w:keepLines/>
              <w:spacing w:after="0"/>
              <w:rPr>
                <w:b/>
                <w:sz w:val="21"/>
                <w:szCs w:val="21"/>
              </w:rPr>
            </w:pPr>
            <w:r w:rsidRPr="00734675">
              <w:rPr>
                <w:b/>
                <w:sz w:val="21"/>
                <w:szCs w:val="21"/>
              </w:rPr>
              <w:t>Patients</w:t>
            </w:r>
          </w:p>
        </w:tc>
        <w:tc>
          <w:tcPr>
            <w:tcW w:w="1417" w:type="dxa"/>
          </w:tcPr>
          <w:p w:rsidR="00B755CE" w:rsidRPr="00734675" w:rsidRDefault="00B755CE" w:rsidP="008F6F75">
            <w:pPr>
              <w:keepNext/>
              <w:keepLines/>
              <w:spacing w:after="0"/>
              <w:rPr>
                <w:b/>
                <w:sz w:val="21"/>
                <w:szCs w:val="21"/>
              </w:rPr>
            </w:pPr>
            <w:r w:rsidRPr="00734675">
              <w:rPr>
                <w:b/>
                <w:sz w:val="21"/>
                <w:szCs w:val="21"/>
              </w:rPr>
              <w:t>Intervention</w:t>
            </w:r>
          </w:p>
        </w:tc>
        <w:tc>
          <w:tcPr>
            <w:tcW w:w="1418" w:type="dxa"/>
          </w:tcPr>
          <w:p w:rsidR="00B755CE" w:rsidRPr="00734675" w:rsidRDefault="00B755CE" w:rsidP="008F6F75">
            <w:pPr>
              <w:keepNext/>
              <w:keepLines/>
              <w:spacing w:after="0"/>
              <w:rPr>
                <w:b/>
                <w:sz w:val="21"/>
                <w:szCs w:val="21"/>
              </w:rPr>
            </w:pPr>
            <w:r w:rsidRPr="00734675">
              <w:rPr>
                <w:b/>
                <w:sz w:val="21"/>
                <w:szCs w:val="21"/>
              </w:rPr>
              <w:t>Comparator</w:t>
            </w:r>
          </w:p>
        </w:tc>
        <w:tc>
          <w:tcPr>
            <w:tcW w:w="1701" w:type="dxa"/>
          </w:tcPr>
          <w:p w:rsidR="00B755CE" w:rsidRPr="00734675" w:rsidRDefault="00B755CE" w:rsidP="008F6F75">
            <w:pPr>
              <w:keepNext/>
              <w:keepLines/>
              <w:spacing w:after="0"/>
              <w:rPr>
                <w:b/>
                <w:sz w:val="21"/>
                <w:szCs w:val="21"/>
              </w:rPr>
            </w:pPr>
            <w:r w:rsidRPr="00734675">
              <w:rPr>
                <w:b/>
                <w:sz w:val="21"/>
                <w:szCs w:val="21"/>
              </w:rPr>
              <w:t>Outcomes to be assessed</w:t>
            </w:r>
          </w:p>
        </w:tc>
        <w:tc>
          <w:tcPr>
            <w:tcW w:w="2977" w:type="dxa"/>
          </w:tcPr>
          <w:p w:rsidR="00B755CE" w:rsidRPr="00734675" w:rsidRDefault="00B755CE" w:rsidP="008F6F75">
            <w:pPr>
              <w:keepNext/>
              <w:keepLines/>
              <w:spacing w:after="0"/>
              <w:rPr>
                <w:b/>
                <w:sz w:val="21"/>
                <w:szCs w:val="21"/>
              </w:rPr>
            </w:pPr>
            <w:r w:rsidRPr="00734675">
              <w:rPr>
                <w:b/>
                <w:sz w:val="21"/>
                <w:szCs w:val="21"/>
              </w:rPr>
              <w:t>Healthcare resources to be considered</w:t>
            </w:r>
          </w:p>
        </w:tc>
      </w:tr>
      <w:tr w:rsidR="00B755CE" w:rsidRPr="00734675" w:rsidTr="00734675">
        <w:tc>
          <w:tcPr>
            <w:tcW w:w="1526" w:type="dxa"/>
          </w:tcPr>
          <w:p w:rsidR="00B755CE" w:rsidRPr="00734675" w:rsidRDefault="005E2EA5" w:rsidP="00D56A15">
            <w:pPr>
              <w:pStyle w:val="CommentText"/>
              <w:keepNext/>
              <w:keepLines/>
              <w:spacing w:after="0" w:line="276" w:lineRule="auto"/>
              <w:jc w:val="left"/>
              <w:rPr>
                <w:sz w:val="21"/>
                <w:szCs w:val="21"/>
              </w:rPr>
            </w:pPr>
            <w:r w:rsidRPr="005E2EA5">
              <w:t xml:space="preserve">Patients for who </w:t>
            </w:r>
            <w:r w:rsidRPr="005E2EA5">
              <w:rPr>
                <w:rFonts w:ascii="Arial" w:hAnsi="Arial" w:cs="Arial"/>
                <w:color w:val="222222"/>
              </w:rPr>
              <w:t xml:space="preserve">all </w:t>
            </w:r>
            <w:r w:rsidRPr="005E2EA5">
              <w:t xml:space="preserve">PBS listed oral anti-diabetic medications </w:t>
            </w:r>
            <w:r w:rsidRPr="005E2EA5">
              <w:rPr>
                <w:rFonts w:ascii="Arial" w:hAnsi="Arial" w:cs="Arial"/>
                <w:color w:val="222222"/>
              </w:rPr>
              <w:t>have failed or are inappropriate</w:t>
            </w:r>
            <w:r w:rsidRPr="005E2EA5">
              <w:t xml:space="preserve"> and as an alternative to injectable therapies. </w:t>
            </w:r>
          </w:p>
        </w:tc>
        <w:tc>
          <w:tcPr>
            <w:tcW w:w="1417" w:type="dxa"/>
          </w:tcPr>
          <w:p w:rsidR="00B755CE" w:rsidRPr="00734675" w:rsidRDefault="00B755CE" w:rsidP="008F6F75">
            <w:pPr>
              <w:keepNext/>
              <w:keepLines/>
              <w:spacing w:after="0"/>
              <w:jc w:val="left"/>
              <w:rPr>
                <w:sz w:val="21"/>
                <w:szCs w:val="21"/>
              </w:rPr>
            </w:pPr>
            <w:r w:rsidRPr="00734675">
              <w:rPr>
                <w:sz w:val="21"/>
                <w:szCs w:val="21"/>
              </w:rPr>
              <w:t>DIAMOND™ system</w:t>
            </w:r>
          </w:p>
          <w:p w:rsidR="00B755CE" w:rsidRPr="00734675" w:rsidRDefault="00FE32AB" w:rsidP="008F6F75">
            <w:pPr>
              <w:keepNext/>
              <w:keepLines/>
              <w:spacing w:after="0"/>
              <w:jc w:val="left"/>
              <w:rPr>
                <w:sz w:val="21"/>
                <w:szCs w:val="21"/>
              </w:rPr>
            </w:pPr>
            <w:r>
              <w:rPr>
                <w:sz w:val="21"/>
                <w:szCs w:val="21"/>
              </w:rPr>
              <w:t>(plus OMT)</w:t>
            </w:r>
          </w:p>
        </w:tc>
        <w:tc>
          <w:tcPr>
            <w:tcW w:w="1418" w:type="dxa"/>
          </w:tcPr>
          <w:p w:rsidR="00B755CE" w:rsidRDefault="0040397F" w:rsidP="008F6F75">
            <w:pPr>
              <w:keepNext/>
              <w:keepLines/>
              <w:spacing w:after="0"/>
              <w:jc w:val="left"/>
              <w:rPr>
                <w:sz w:val="21"/>
                <w:szCs w:val="21"/>
              </w:rPr>
            </w:pPr>
            <w:r>
              <w:rPr>
                <w:sz w:val="21"/>
                <w:szCs w:val="21"/>
              </w:rPr>
              <w:t xml:space="preserve">Primary </w:t>
            </w:r>
            <w:r w:rsidR="00B755CE" w:rsidRPr="00734675">
              <w:rPr>
                <w:sz w:val="21"/>
                <w:szCs w:val="21"/>
              </w:rPr>
              <w:t xml:space="preserve">Comparator 1: OAD medications that are providing inadequate control </w:t>
            </w:r>
          </w:p>
          <w:p w:rsidR="00135F4A" w:rsidRDefault="00135F4A" w:rsidP="008F6F75">
            <w:pPr>
              <w:keepNext/>
              <w:keepLines/>
              <w:spacing w:after="0"/>
              <w:jc w:val="left"/>
              <w:rPr>
                <w:sz w:val="21"/>
                <w:szCs w:val="21"/>
              </w:rPr>
            </w:pPr>
            <w:r w:rsidRPr="00734675">
              <w:rPr>
                <w:sz w:val="21"/>
                <w:szCs w:val="21"/>
              </w:rPr>
              <w:t>2: Injectable therapy</w:t>
            </w:r>
          </w:p>
          <w:p w:rsidR="00690459" w:rsidRPr="00734675" w:rsidRDefault="0040397F" w:rsidP="0040397F">
            <w:pPr>
              <w:keepNext/>
              <w:keepLines/>
              <w:spacing w:after="0"/>
              <w:jc w:val="left"/>
              <w:rPr>
                <w:sz w:val="21"/>
                <w:szCs w:val="21"/>
              </w:rPr>
            </w:pPr>
            <w:r>
              <w:rPr>
                <w:sz w:val="21"/>
                <w:szCs w:val="21"/>
              </w:rPr>
              <w:t xml:space="preserve">Secondary </w:t>
            </w:r>
            <w:r w:rsidRPr="00734675">
              <w:rPr>
                <w:sz w:val="21"/>
                <w:szCs w:val="21"/>
              </w:rPr>
              <w:t xml:space="preserve">Comparator </w:t>
            </w:r>
            <w:r>
              <w:rPr>
                <w:sz w:val="21"/>
                <w:szCs w:val="21"/>
              </w:rPr>
              <w:t>1</w:t>
            </w:r>
            <w:r w:rsidR="008C50CF">
              <w:rPr>
                <w:sz w:val="21"/>
                <w:szCs w:val="21"/>
              </w:rPr>
              <w:t>:</w:t>
            </w:r>
            <w:r w:rsidR="00690459">
              <w:rPr>
                <w:sz w:val="21"/>
                <w:szCs w:val="21"/>
              </w:rPr>
              <w:t xml:space="preserve"> Bariatric surgery</w:t>
            </w:r>
            <w:bookmarkStart w:id="27" w:name="_GoBack"/>
            <w:bookmarkEnd w:id="27"/>
          </w:p>
        </w:tc>
        <w:tc>
          <w:tcPr>
            <w:tcW w:w="1701" w:type="dxa"/>
          </w:tcPr>
          <w:p w:rsidR="00B755CE" w:rsidRPr="00734675" w:rsidRDefault="00B755CE" w:rsidP="008F6F75">
            <w:pPr>
              <w:keepNext/>
              <w:keepLines/>
              <w:spacing w:after="0"/>
              <w:jc w:val="left"/>
              <w:rPr>
                <w:sz w:val="21"/>
                <w:szCs w:val="21"/>
              </w:rPr>
            </w:pPr>
            <w:r w:rsidRPr="00734675">
              <w:rPr>
                <w:sz w:val="21"/>
                <w:szCs w:val="21"/>
              </w:rPr>
              <w:t>HbA1c</w:t>
            </w:r>
          </w:p>
          <w:p w:rsidR="00B755CE" w:rsidRPr="00734675" w:rsidRDefault="00B755CE" w:rsidP="008F6F75">
            <w:pPr>
              <w:keepNext/>
              <w:keepLines/>
              <w:spacing w:after="0"/>
              <w:jc w:val="left"/>
              <w:rPr>
                <w:sz w:val="21"/>
                <w:szCs w:val="21"/>
              </w:rPr>
            </w:pPr>
            <w:r w:rsidRPr="00734675">
              <w:rPr>
                <w:sz w:val="21"/>
                <w:szCs w:val="21"/>
              </w:rPr>
              <w:t>Weight loss</w:t>
            </w:r>
          </w:p>
          <w:p w:rsidR="00B755CE" w:rsidRPr="00734675" w:rsidRDefault="00B755CE" w:rsidP="008F6F75">
            <w:pPr>
              <w:keepNext/>
              <w:keepLines/>
              <w:spacing w:after="0"/>
              <w:jc w:val="left"/>
              <w:rPr>
                <w:sz w:val="21"/>
                <w:szCs w:val="21"/>
              </w:rPr>
            </w:pPr>
            <w:r w:rsidRPr="00734675">
              <w:rPr>
                <w:sz w:val="21"/>
                <w:szCs w:val="21"/>
              </w:rPr>
              <w:t>Adverse events</w:t>
            </w:r>
          </w:p>
          <w:p w:rsidR="00B755CE" w:rsidRPr="00734675" w:rsidRDefault="00B755CE" w:rsidP="008F6F75">
            <w:pPr>
              <w:keepNext/>
              <w:keepLines/>
              <w:spacing w:after="0"/>
              <w:jc w:val="left"/>
              <w:rPr>
                <w:sz w:val="21"/>
                <w:szCs w:val="21"/>
              </w:rPr>
            </w:pPr>
            <w:r w:rsidRPr="00734675">
              <w:rPr>
                <w:sz w:val="21"/>
                <w:szCs w:val="21"/>
              </w:rPr>
              <w:t>Complications associated with T2DM</w:t>
            </w:r>
          </w:p>
          <w:p w:rsidR="00135F4A" w:rsidRPr="00734675" w:rsidRDefault="00135F4A" w:rsidP="00135F4A">
            <w:pPr>
              <w:keepNext/>
              <w:keepLines/>
              <w:spacing w:after="0"/>
              <w:jc w:val="left"/>
              <w:rPr>
                <w:sz w:val="21"/>
                <w:szCs w:val="21"/>
              </w:rPr>
            </w:pPr>
            <w:r w:rsidRPr="00734675">
              <w:rPr>
                <w:sz w:val="21"/>
                <w:szCs w:val="21"/>
              </w:rPr>
              <w:t>Hypoglycaemic events</w:t>
            </w:r>
          </w:p>
          <w:p w:rsidR="00B755CE" w:rsidRPr="00734675" w:rsidRDefault="00B755CE" w:rsidP="008F6F75">
            <w:pPr>
              <w:keepNext/>
              <w:keepLines/>
              <w:spacing w:after="0"/>
              <w:jc w:val="left"/>
              <w:rPr>
                <w:sz w:val="21"/>
                <w:szCs w:val="21"/>
              </w:rPr>
            </w:pPr>
            <w:r w:rsidRPr="00734675">
              <w:rPr>
                <w:sz w:val="21"/>
                <w:szCs w:val="21"/>
              </w:rPr>
              <w:t>Quality of life/utilities</w:t>
            </w:r>
          </w:p>
          <w:p w:rsidR="00B755CE" w:rsidRPr="00734675" w:rsidRDefault="00B755CE" w:rsidP="008F6F75">
            <w:pPr>
              <w:keepNext/>
              <w:keepLines/>
              <w:spacing w:after="0"/>
              <w:jc w:val="left"/>
              <w:rPr>
                <w:sz w:val="21"/>
                <w:szCs w:val="21"/>
              </w:rPr>
            </w:pPr>
            <w:r w:rsidRPr="00734675">
              <w:rPr>
                <w:sz w:val="21"/>
                <w:szCs w:val="21"/>
              </w:rPr>
              <w:t>Mortality</w:t>
            </w:r>
          </w:p>
        </w:tc>
        <w:tc>
          <w:tcPr>
            <w:tcW w:w="2977" w:type="dxa"/>
          </w:tcPr>
          <w:p w:rsidR="00B755CE" w:rsidRPr="00734675" w:rsidRDefault="00B755CE" w:rsidP="008F6F75">
            <w:pPr>
              <w:keepNext/>
              <w:keepLines/>
              <w:spacing w:after="0"/>
              <w:jc w:val="left"/>
              <w:rPr>
                <w:sz w:val="21"/>
                <w:szCs w:val="21"/>
              </w:rPr>
            </w:pPr>
            <w:r w:rsidRPr="00734675">
              <w:rPr>
                <w:sz w:val="21"/>
                <w:szCs w:val="21"/>
              </w:rPr>
              <w:t xml:space="preserve">IPG device </w:t>
            </w:r>
          </w:p>
          <w:p w:rsidR="00B755CE" w:rsidRPr="00734675" w:rsidRDefault="00B755CE" w:rsidP="008F6F75">
            <w:pPr>
              <w:keepNext/>
              <w:keepLines/>
              <w:spacing w:after="0"/>
              <w:jc w:val="left"/>
              <w:rPr>
                <w:sz w:val="21"/>
                <w:szCs w:val="21"/>
              </w:rPr>
            </w:pPr>
            <w:r w:rsidRPr="00734675">
              <w:rPr>
                <w:sz w:val="21"/>
                <w:szCs w:val="21"/>
              </w:rPr>
              <w:t>Gastric leads</w:t>
            </w:r>
          </w:p>
          <w:p w:rsidR="00B755CE" w:rsidRPr="00734675" w:rsidRDefault="00B755CE" w:rsidP="008F6F75">
            <w:pPr>
              <w:keepNext/>
              <w:keepLines/>
              <w:spacing w:after="0"/>
              <w:jc w:val="left"/>
              <w:rPr>
                <w:sz w:val="21"/>
                <w:szCs w:val="21"/>
              </w:rPr>
            </w:pPr>
            <w:r w:rsidRPr="00734675">
              <w:rPr>
                <w:sz w:val="21"/>
                <w:szCs w:val="21"/>
              </w:rPr>
              <w:t xml:space="preserve">Insertion, removal or replacement of IPG device </w:t>
            </w:r>
          </w:p>
          <w:p w:rsidR="00B755CE" w:rsidRPr="00734675" w:rsidRDefault="00B755CE" w:rsidP="008F6F75">
            <w:pPr>
              <w:keepNext/>
              <w:keepLines/>
              <w:spacing w:after="0"/>
              <w:jc w:val="left"/>
              <w:rPr>
                <w:sz w:val="21"/>
                <w:szCs w:val="21"/>
              </w:rPr>
            </w:pPr>
            <w:r w:rsidRPr="00734675">
              <w:rPr>
                <w:sz w:val="21"/>
                <w:szCs w:val="21"/>
              </w:rPr>
              <w:t>Insertion, removal or replacement of gastric leads</w:t>
            </w:r>
          </w:p>
          <w:p w:rsidR="00B755CE" w:rsidRPr="00734675" w:rsidRDefault="00B755CE" w:rsidP="008F6F75">
            <w:pPr>
              <w:keepNext/>
              <w:keepLines/>
              <w:spacing w:after="0"/>
              <w:jc w:val="left"/>
              <w:rPr>
                <w:sz w:val="21"/>
                <w:szCs w:val="21"/>
              </w:rPr>
            </w:pPr>
            <w:r w:rsidRPr="00734675">
              <w:rPr>
                <w:sz w:val="21"/>
                <w:szCs w:val="21"/>
              </w:rPr>
              <w:t>Professional/clinic visits</w:t>
            </w:r>
          </w:p>
          <w:p w:rsidR="00B755CE" w:rsidRPr="00734675" w:rsidRDefault="00B755CE" w:rsidP="008F6F75">
            <w:pPr>
              <w:keepNext/>
              <w:keepLines/>
              <w:spacing w:after="0"/>
              <w:jc w:val="left"/>
              <w:rPr>
                <w:sz w:val="21"/>
                <w:szCs w:val="21"/>
              </w:rPr>
            </w:pPr>
            <w:r w:rsidRPr="00734675">
              <w:rPr>
                <w:sz w:val="21"/>
                <w:szCs w:val="21"/>
              </w:rPr>
              <w:t>Anaesthesia</w:t>
            </w:r>
          </w:p>
          <w:p w:rsidR="00B755CE" w:rsidRPr="00734675" w:rsidRDefault="00B755CE" w:rsidP="008F6F75">
            <w:pPr>
              <w:keepNext/>
              <w:keepLines/>
              <w:spacing w:after="0"/>
              <w:jc w:val="left"/>
              <w:rPr>
                <w:sz w:val="21"/>
                <w:szCs w:val="21"/>
              </w:rPr>
            </w:pPr>
            <w:r w:rsidRPr="00734675">
              <w:rPr>
                <w:sz w:val="21"/>
                <w:szCs w:val="21"/>
              </w:rPr>
              <w:t xml:space="preserve">Hospital stay </w:t>
            </w:r>
          </w:p>
          <w:p w:rsidR="00B755CE" w:rsidRPr="00734675" w:rsidRDefault="00B755CE" w:rsidP="008F6F75">
            <w:pPr>
              <w:keepNext/>
              <w:keepLines/>
              <w:spacing w:after="0"/>
              <w:jc w:val="left"/>
              <w:rPr>
                <w:sz w:val="21"/>
                <w:szCs w:val="21"/>
              </w:rPr>
            </w:pPr>
            <w:r w:rsidRPr="00734675">
              <w:rPr>
                <w:sz w:val="21"/>
                <w:szCs w:val="21"/>
              </w:rPr>
              <w:t>Endoscopy</w:t>
            </w:r>
          </w:p>
          <w:p w:rsidR="00B755CE" w:rsidRPr="00734675" w:rsidRDefault="00B755CE" w:rsidP="008F6F75">
            <w:pPr>
              <w:keepNext/>
              <w:keepLines/>
              <w:spacing w:after="0"/>
              <w:jc w:val="left"/>
              <w:rPr>
                <w:sz w:val="21"/>
                <w:szCs w:val="21"/>
              </w:rPr>
            </w:pPr>
            <w:r w:rsidRPr="00734675">
              <w:rPr>
                <w:sz w:val="21"/>
                <w:szCs w:val="21"/>
              </w:rPr>
              <w:t>GP visits</w:t>
            </w:r>
          </w:p>
          <w:p w:rsidR="00B755CE" w:rsidRPr="00734675" w:rsidRDefault="00B755CE" w:rsidP="008F6F75">
            <w:pPr>
              <w:keepNext/>
              <w:keepLines/>
              <w:spacing w:after="0"/>
              <w:jc w:val="left"/>
              <w:rPr>
                <w:sz w:val="21"/>
                <w:szCs w:val="21"/>
              </w:rPr>
            </w:pPr>
            <w:r w:rsidRPr="00734675">
              <w:rPr>
                <w:sz w:val="21"/>
                <w:szCs w:val="21"/>
              </w:rPr>
              <w:t>Ongoing interrogation of device</w:t>
            </w:r>
          </w:p>
          <w:p w:rsidR="00B755CE" w:rsidRPr="00734675" w:rsidRDefault="00B755CE" w:rsidP="008F6F75">
            <w:pPr>
              <w:keepNext/>
              <w:keepLines/>
              <w:spacing w:after="0"/>
              <w:jc w:val="left"/>
              <w:rPr>
                <w:sz w:val="21"/>
                <w:szCs w:val="21"/>
              </w:rPr>
            </w:pPr>
            <w:r w:rsidRPr="00734675">
              <w:rPr>
                <w:sz w:val="21"/>
                <w:szCs w:val="21"/>
              </w:rPr>
              <w:t>Prophylactic antibiotics</w:t>
            </w:r>
          </w:p>
          <w:p w:rsidR="00B755CE" w:rsidRPr="00734675" w:rsidRDefault="00B755CE" w:rsidP="008F6F75">
            <w:pPr>
              <w:keepNext/>
              <w:keepLines/>
              <w:spacing w:after="0"/>
              <w:jc w:val="left"/>
              <w:rPr>
                <w:sz w:val="21"/>
                <w:szCs w:val="21"/>
              </w:rPr>
            </w:pPr>
            <w:r w:rsidRPr="00734675">
              <w:rPr>
                <w:sz w:val="21"/>
                <w:szCs w:val="21"/>
              </w:rPr>
              <w:t>Endocrinologist visit</w:t>
            </w:r>
          </w:p>
          <w:p w:rsidR="00B755CE" w:rsidRPr="00734675" w:rsidRDefault="00B755CE" w:rsidP="008F6F75">
            <w:pPr>
              <w:keepNext/>
              <w:keepLines/>
              <w:spacing w:after="0"/>
              <w:jc w:val="left"/>
              <w:rPr>
                <w:sz w:val="21"/>
                <w:szCs w:val="21"/>
              </w:rPr>
            </w:pPr>
            <w:r w:rsidRPr="00734675">
              <w:rPr>
                <w:sz w:val="21"/>
                <w:szCs w:val="21"/>
              </w:rPr>
              <w:t>Anti-diabetic medications</w:t>
            </w:r>
          </w:p>
          <w:p w:rsidR="00B755CE" w:rsidRPr="00734675" w:rsidRDefault="00B755CE" w:rsidP="008F6F75">
            <w:pPr>
              <w:keepNext/>
              <w:keepLines/>
              <w:spacing w:after="0"/>
              <w:jc w:val="left"/>
              <w:rPr>
                <w:sz w:val="21"/>
                <w:szCs w:val="21"/>
              </w:rPr>
            </w:pPr>
            <w:r w:rsidRPr="00734675">
              <w:rPr>
                <w:sz w:val="21"/>
                <w:szCs w:val="21"/>
              </w:rPr>
              <w:t>Anti-diabetic monitoring</w:t>
            </w:r>
          </w:p>
          <w:p w:rsidR="00B755CE" w:rsidRPr="00734675" w:rsidRDefault="00B755CE" w:rsidP="008F6F75">
            <w:pPr>
              <w:keepNext/>
              <w:keepLines/>
              <w:spacing w:after="0"/>
              <w:jc w:val="left"/>
              <w:rPr>
                <w:sz w:val="21"/>
                <w:szCs w:val="21"/>
              </w:rPr>
            </w:pPr>
            <w:r w:rsidRPr="00734675">
              <w:rPr>
                <w:sz w:val="21"/>
                <w:szCs w:val="21"/>
              </w:rPr>
              <w:t>Management of adverse events/complications</w:t>
            </w:r>
          </w:p>
          <w:p w:rsidR="00B755CE" w:rsidRPr="00734675" w:rsidRDefault="00B755CE" w:rsidP="008F6F75">
            <w:pPr>
              <w:keepNext/>
              <w:keepLines/>
              <w:spacing w:after="0"/>
              <w:jc w:val="left"/>
              <w:rPr>
                <w:sz w:val="21"/>
                <w:szCs w:val="21"/>
              </w:rPr>
            </w:pPr>
            <w:r w:rsidRPr="00734675">
              <w:rPr>
                <w:sz w:val="21"/>
                <w:szCs w:val="21"/>
              </w:rPr>
              <w:t>Outpatient visits</w:t>
            </w:r>
          </w:p>
          <w:p w:rsidR="00B755CE" w:rsidRPr="00734675" w:rsidRDefault="00B755CE" w:rsidP="008F6F75">
            <w:pPr>
              <w:keepNext/>
              <w:keepLines/>
              <w:spacing w:after="0"/>
              <w:jc w:val="left"/>
              <w:rPr>
                <w:sz w:val="21"/>
                <w:szCs w:val="21"/>
              </w:rPr>
            </w:pPr>
            <w:r w:rsidRPr="00734675">
              <w:rPr>
                <w:sz w:val="21"/>
                <w:szCs w:val="21"/>
              </w:rPr>
              <w:t xml:space="preserve">Emergency service </w:t>
            </w:r>
          </w:p>
        </w:tc>
      </w:tr>
    </w:tbl>
    <w:p w:rsidR="00B755CE" w:rsidRPr="008F6F75" w:rsidRDefault="00B755CE" w:rsidP="008F6F75">
      <w:pPr>
        <w:pStyle w:val="TableFootnotes"/>
        <w:keepLines/>
        <w:spacing w:line="276" w:lineRule="auto"/>
        <w:rPr>
          <w:rFonts w:asciiTheme="minorHAnsi" w:hAnsiTheme="minorHAnsi"/>
          <w:sz w:val="16"/>
          <w:szCs w:val="16"/>
        </w:rPr>
      </w:pPr>
      <w:r w:rsidRPr="008F6F75">
        <w:rPr>
          <w:rFonts w:asciiTheme="minorHAnsi" w:hAnsiTheme="minorHAnsi"/>
          <w:sz w:val="16"/>
          <w:szCs w:val="16"/>
        </w:rPr>
        <w:t>Abbreviations: AEs, adverse events; OAD, Oral Anti-</w:t>
      </w:r>
      <w:r w:rsidR="006E0168" w:rsidRPr="008F6F75">
        <w:rPr>
          <w:rFonts w:asciiTheme="minorHAnsi" w:hAnsiTheme="minorHAnsi"/>
          <w:sz w:val="16"/>
          <w:szCs w:val="16"/>
        </w:rPr>
        <w:t>diabetic;</w:t>
      </w:r>
      <w:r w:rsidR="00862838">
        <w:rPr>
          <w:rFonts w:asciiTheme="minorHAnsi" w:hAnsiTheme="minorHAnsi"/>
          <w:sz w:val="16"/>
          <w:szCs w:val="16"/>
        </w:rPr>
        <w:t xml:space="preserve"> OMT (optimal medical therapy)</w:t>
      </w:r>
      <w:r w:rsidRPr="008F6F75">
        <w:rPr>
          <w:rFonts w:asciiTheme="minorHAnsi" w:hAnsiTheme="minorHAnsi"/>
          <w:sz w:val="16"/>
          <w:szCs w:val="16"/>
        </w:rPr>
        <w:t xml:space="preserve"> </w:t>
      </w:r>
    </w:p>
    <w:p w:rsidR="00853B63" w:rsidRPr="008F6F75" w:rsidRDefault="00853B63" w:rsidP="008F6F75">
      <w:r w:rsidRPr="008F6F75">
        <w:t xml:space="preserve">Blood tests will be included in the economic evaluation to monitor and identify patients who </w:t>
      </w:r>
      <w:r w:rsidR="002E13AA" w:rsidRPr="008F6F75">
        <w:t xml:space="preserve">are </w:t>
      </w:r>
      <w:r w:rsidRPr="008F6F75">
        <w:t>inadequately controlled on standard oral glucose lowering (anti-diabetic) therapy. This will include home based blood glucose m</w:t>
      </w:r>
      <w:r w:rsidR="002E13AA" w:rsidRPr="008F6F75">
        <w:t>onitoring, HbA1c levels,</w:t>
      </w:r>
      <w:r w:rsidRPr="008F6F75">
        <w:t xml:space="preserve"> triglyceride</w:t>
      </w:r>
      <w:r w:rsidR="001D03F4" w:rsidRPr="008F6F75">
        <w:t>s</w:t>
      </w:r>
      <w:r w:rsidRPr="008F6F75">
        <w:t xml:space="preserve"> and cholesterol levels.</w:t>
      </w:r>
    </w:p>
    <w:p w:rsidR="00BC4EFE" w:rsidRPr="008F6F75" w:rsidRDefault="00BC4EFE" w:rsidP="008F6F75">
      <w:pPr>
        <w:pStyle w:val="Heading1"/>
      </w:pPr>
      <w:bookmarkStart w:id="28" w:name="_Toc398046794"/>
      <w:bookmarkStart w:id="29" w:name="_Toc398209604"/>
      <w:r w:rsidRPr="008F6F75">
        <w:t>Healthcare resources</w:t>
      </w:r>
      <w:bookmarkEnd w:id="28"/>
      <w:bookmarkEnd w:id="29"/>
    </w:p>
    <w:p w:rsidR="000C382C" w:rsidRPr="0088078F" w:rsidRDefault="00BC4EFE" w:rsidP="0088078F">
      <w:pPr>
        <w:pStyle w:val="Quote"/>
        <w:spacing w:line="276" w:lineRule="auto"/>
        <w:rPr>
          <w:szCs w:val="22"/>
        </w:rPr>
      </w:pPr>
      <w:r w:rsidRPr="008F6F75">
        <w:rPr>
          <w:szCs w:val="22"/>
        </w:rPr>
        <w:t>Using</w:t>
      </w:r>
      <w:r w:rsidR="005965F4" w:rsidRPr="008F6F75">
        <w:rPr>
          <w:szCs w:val="22"/>
        </w:rPr>
        <w:t xml:space="preserve"> </w:t>
      </w:r>
      <w:r w:rsidR="00EF0B15">
        <w:fldChar w:fldCharType="begin"/>
      </w:r>
      <w:r w:rsidR="00EF0B15">
        <w:instrText xml:space="preserve"> REF _Ref387320472 \h  \* MERGEFORMAT </w:instrText>
      </w:r>
      <w:r w:rsidR="00EF0B15">
        <w:fldChar w:fldCharType="separate"/>
      </w:r>
      <w:r w:rsidR="008B567B" w:rsidRPr="008B567B">
        <w:rPr>
          <w:szCs w:val="22"/>
        </w:rPr>
        <w:t xml:space="preserve">Table </w:t>
      </w:r>
      <w:r w:rsidR="008B567B">
        <w:rPr>
          <w:noProof/>
        </w:rPr>
        <w:t>6</w:t>
      </w:r>
      <w:r w:rsidR="00EF0B15">
        <w:fldChar w:fldCharType="end"/>
      </w:r>
      <w:r w:rsidR="005965F4" w:rsidRPr="008F6F75">
        <w:rPr>
          <w:szCs w:val="22"/>
        </w:rPr>
        <w:t xml:space="preserve"> </w:t>
      </w:r>
      <w:r w:rsidRPr="008F6F75">
        <w:rPr>
          <w:szCs w:val="22"/>
        </w:rPr>
        <w:t xml:space="preserve">provide a list of the health care resources whose utilisation is likely to be impacted should the proposed intervention be made available as requested </w:t>
      </w:r>
    </w:p>
    <w:p w:rsidR="006848C4" w:rsidRDefault="006848C4" w:rsidP="008F6F75">
      <w:r>
        <w:t xml:space="preserve">Some </w:t>
      </w:r>
      <w:r w:rsidR="00A3052A">
        <w:t xml:space="preserve">of the </w:t>
      </w:r>
      <w:r w:rsidR="00A3052A" w:rsidRPr="008F6F75">
        <w:t>health care resources whose utilisation is likely to be impacted should the proposed intervention be made available</w:t>
      </w:r>
      <w:r w:rsidR="00A3052A">
        <w:t>:</w:t>
      </w:r>
    </w:p>
    <w:p w:rsidR="007A3A6E" w:rsidRPr="00A3052A" w:rsidRDefault="006848C4" w:rsidP="00E73915">
      <w:pPr>
        <w:pStyle w:val="ListParagraph"/>
        <w:numPr>
          <w:ilvl w:val="0"/>
          <w:numId w:val="28"/>
        </w:numPr>
      </w:pPr>
      <w:r w:rsidRPr="00A3052A">
        <w:t>Surgeon specialist time</w:t>
      </w:r>
    </w:p>
    <w:p w:rsidR="006848C4" w:rsidRPr="00A3052A" w:rsidRDefault="006848C4" w:rsidP="00E73915">
      <w:pPr>
        <w:pStyle w:val="ListParagraph"/>
        <w:numPr>
          <w:ilvl w:val="0"/>
          <w:numId w:val="28"/>
        </w:numPr>
      </w:pPr>
      <w:r w:rsidRPr="00A3052A">
        <w:t>Hospital bed</w:t>
      </w:r>
      <w:r w:rsidR="00977212">
        <w:t xml:space="preserve"> </w:t>
      </w:r>
      <w:r w:rsidRPr="00A3052A">
        <w:t>days</w:t>
      </w:r>
    </w:p>
    <w:p w:rsidR="006848C4" w:rsidRPr="00A3052A" w:rsidRDefault="006848C4" w:rsidP="00E73915">
      <w:pPr>
        <w:pStyle w:val="ListParagraph"/>
        <w:numPr>
          <w:ilvl w:val="0"/>
          <w:numId w:val="28"/>
        </w:numPr>
      </w:pPr>
      <w:r w:rsidRPr="00A3052A">
        <w:t>Anaesthesia specialist time</w:t>
      </w:r>
    </w:p>
    <w:p w:rsidR="006848C4" w:rsidRDefault="006848C4" w:rsidP="00E73915">
      <w:pPr>
        <w:pStyle w:val="ListParagraph"/>
        <w:numPr>
          <w:ilvl w:val="0"/>
          <w:numId w:val="28"/>
        </w:numPr>
      </w:pPr>
      <w:r w:rsidRPr="00A3052A">
        <w:t>Anti</w:t>
      </w:r>
      <w:r w:rsidR="00A3052A">
        <w:t>-</w:t>
      </w:r>
      <w:r w:rsidRPr="00A3052A">
        <w:t>diabetic medications</w:t>
      </w:r>
    </w:p>
    <w:p w:rsidR="00A3052A" w:rsidRDefault="00A3052A" w:rsidP="00E73915">
      <w:pPr>
        <w:pStyle w:val="ListParagraph"/>
        <w:numPr>
          <w:ilvl w:val="0"/>
          <w:numId w:val="28"/>
        </w:numPr>
      </w:pPr>
      <w:r>
        <w:t>General practitioner time</w:t>
      </w:r>
    </w:p>
    <w:p w:rsidR="00802B48" w:rsidRPr="008F6F75" w:rsidRDefault="00A3052A" w:rsidP="0088078F">
      <w:pPr>
        <w:pStyle w:val="ListParagraph"/>
        <w:numPr>
          <w:ilvl w:val="0"/>
          <w:numId w:val="28"/>
        </w:numPr>
      </w:pPr>
      <w:r>
        <w:t>Accident and emergency visits</w:t>
      </w:r>
    </w:p>
    <w:p w:rsidR="00802B48" w:rsidRPr="008F6F75" w:rsidRDefault="00802B48" w:rsidP="008F6F75">
      <w:pPr>
        <w:sectPr w:rsidR="00802B48" w:rsidRPr="008F6F75" w:rsidSect="000E0E06">
          <w:type w:val="continuous"/>
          <w:pgSz w:w="11906" w:h="16838"/>
          <w:pgMar w:top="993" w:right="1440" w:bottom="1276" w:left="1418" w:header="708" w:footer="708" w:gutter="0"/>
          <w:pgNumType w:start="1"/>
          <w:cols w:space="708"/>
          <w:docGrid w:linePitch="360"/>
        </w:sectPr>
      </w:pPr>
    </w:p>
    <w:p w:rsidR="004750DD" w:rsidRPr="00D415F1" w:rsidRDefault="005965F4" w:rsidP="00215B74">
      <w:pPr>
        <w:pStyle w:val="Caption"/>
      </w:pPr>
      <w:bookmarkStart w:id="30" w:name="_Ref387320472"/>
      <w:r>
        <w:lastRenderedPageBreak/>
        <w:t xml:space="preserve">Table </w:t>
      </w:r>
      <w:r w:rsidR="0052566B">
        <w:fldChar w:fldCharType="begin"/>
      </w:r>
      <w:r w:rsidR="00C15043">
        <w:instrText xml:space="preserve"> SEQ Table \* ARABIC </w:instrText>
      </w:r>
      <w:r w:rsidR="0052566B">
        <w:fldChar w:fldCharType="separate"/>
      </w:r>
      <w:r w:rsidR="008B567B">
        <w:rPr>
          <w:noProof/>
        </w:rPr>
        <w:t>6</w:t>
      </w:r>
      <w:r w:rsidR="0052566B">
        <w:rPr>
          <w:noProof/>
        </w:rPr>
        <w:fldChar w:fldCharType="end"/>
      </w:r>
      <w:bookmarkEnd w:id="30"/>
      <w:r w:rsidR="004750DD" w:rsidRPr="00D415F1">
        <w:tab/>
        <w:t xml:space="preserve">List of resources to be </w:t>
      </w:r>
      <w:r w:rsidR="004750DD" w:rsidRPr="005965F4">
        <w:t>considered</w:t>
      </w:r>
      <w:r w:rsidR="004750DD" w:rsidRPr="00D415F1">
        <w:t xml:space="preserve">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16"/>
        <w:gridCol w:w="1264"/>
        <w:gridCol w:w="1746"/>
        <w:gridCol w:w="1169"/>
        <w:gridCol w:w="1163"/>
        <w:gridCol w:w="1323"/>
        <w:gridCol w:w="872"/>
        <w:gridCol w:w="1177"/>
        <w:gridCol w:w="981"/>
        <w:gridCol w:w="872"/>
        <w:gridCol w:w="931"/>
      </w:tblGrid>
      <w:tr w:rsidR="00AE102A" w:rsidRPr="00A27F62" w:rsidTr="00E16457">
        <w:trPr>
          <w:tblHeader/>
        </w:trPr>
        <w:tc>
          <w:tcPr>
            <w:tcW w:w="898" w:type="pct"/>
            <w:vMerge w:val="restart"/>
            <w:shd w:val="clear" w:color="auto" w:fill="auto"/>
          </w:tcPr>
          <w:p w:rsidR="004750DD" w:rsidRPr="00A27F62" w:rsidRDefault="004750DD" w:rsidP="004750DD">
            <w:pPr>
              <w:keepNext/>
              <w:spacing w:after="0" w:line="240" w:lineRule="auto"/>
              <w:rPr>
                <w:rFonts w:cs="Times New Roman"/>
                <w:b/>
                <w:sz w:val="20"/>
                <w:szCs w:val="20"/>
              </w:rPr>
            </w:pPr>
          </w:p>
        </w:tc>
        <w:tc>
          <w:tcPr>
            <w:tcW w:w="451" w:type="pct"/>
            <w:vMerge w:val="restart"/>
            <w:shd w:val="clear" w:color="auto" w:fill="E5B8B7" w:themeFill="accent2"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Provider of resource</w:t>
            </w:r>
          </w:p>
        </w:tc>
        <w:tc>
          <w:tcPr>
            <w:tcW w:w="623" w:type="pct"/>
            <w:vMerge w:val="restart"/>
            <w:shd w:val="clear" w:color="auto" w:fill="E5B8B7" w:themeFill="accent2"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Setting in which resource is provided</w:t>
            </w:r>
          </w:p>
        </w:tc>
        <w:tc>
          <w:tcPr>
            <w:tcW w:w="417" w:type="pct"/>
            <w:vMerge w:val="restart"/>
            <w:shd w:val="clear" w:color="auto" w:fill="D6E3BC" w:themeFill="accent3"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Proportion of patients receiving resource</w:t>
            </w:r>
          </w:p>
        </w:tc>
        <w:tc>
          <w:tcPr>
            <w:tcW w:w="415" w:type="pct"/>
            <w:vMerge w:val="restart"/>
            <w:shd w:val="clear" w:color="auto" w:fill="D6E3BC" w:themeFill="accent3"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Number of units of resource per relevant time horizon per patient receiving resource</w:t>
            </w:r>
          </w:p>
        </w:tc>
        <w:tc>
          <w:tcPr>
            <w:tcW w:w="2196" w:type="pct"/>
            <w:gridSpan w:val="6"/>
            <w:shd w:val="clear" w:color="auto" w:fill="FBD4B4" w:themeFill="accent6" w:themeFillTint="66"/>
          </w:tcPr>
          <w:p w:rsidR="004750DD" w:rsidRPr="00A27F62" w:rsidRDefault="004750DD" w:rsidP="004750DD">
            <w:pPr>
              <w:keepNext/>
              <w:spacing w:before="120" w:after="120" w:line="240" w:lineRule="auto"/>
              <w:jc w:val="center"/>
              <w:rPr>
                <w:rFonts w:cs="Times New Roman"/>
                <w:b/>
                <w:sz w:val="20"/>
                <w:szCs w:val="20"/>
              </w:rPr>
            </w:pPr>
            <w:r w:rsidRPr="00A27F62">
              <w:rPr>
                <w:rFonts w:cs="Times New Roman"/>
                <w:b/>
                <w:sz w:val="20"/>
                <w:szCs w:val="20"/>
              </w:rPr>
              <w:t>Disaggregated unit cost</w:t>
            </w:r>
          </w:p>
        </w:tc>
      </w:tr>
      <w:tr w:rsidR="00AE102A" w:rsidRPr="00A27F62" w:rsidTr="00E16457">
        <w:trPr>
          <w:tblHeader/>
        </w:trPr>
        <w:tc>
          <w:tcPr>
            <w:tcW w:w="898" w:type="pct"/>
            <w:vMerge/>
            <w:shd w:val="clear" w:color="auto" w:fill="auto"/>
          </w:tcPr>
          <w:p w:rsidR="004750DD" w:rsidRPr="00A27F62" w:rsidRDefault="004750DD" w:rsidP="004750DD">
            <w:pPr>
              <w:keepNext/>
              <w:spacing w:after="0" w:line="240" w:lineRule="auto"/>
              <w:rPr>
                <w:rFonts w:cs="Times New Roman"/>
                <w:sz w:val="20"/>
                <w:szCs w:val="20"/>
              </w:rPr>
            </w:pPr>
          </w:p>
        </w:tc>
        <w:tc>
          <w:tcPr>
            <w:tcW w:w="451" w:type="pct"/>
            <w:vMerge/>
            <w:shd w:val="clear" w:color="auto" w:fill="E5B8B7" w:themeFill="accent2" w:themeFillTint="66"/>
          </w:tcPr>
          <w:p w:rsidR="004750DD" w:rsidRPr="00A27F62" w:rsidRDefault="004750DD" w:rsidP="004750DD">
            <w:pPr>
              <w:keepNext/>
              <w:spacing w:after="0" w:line="240" w:lineRule="auto"/>
              <w:jc w:val="center"/>
              <w:rPr>
                <w:rFonts w:cs="Times New Roman"/>
                <w:sz w:val="20"/>
                <w:szCs w:val="20"/>
              </w:rPr>
            </w:pPr>
          </w:p>
        </w:tc>
        <w:tc>
          <w:tcPr>
            <w:tcW w:w="623" w:type="pct"/>
            <w:vMerge/>
            <w:shd w:val="clear" w:color="auto" w:fill="E5B8B7" w:themeFill="accent2" w:themeFillTint="66"/>
          </w:tcPr>
          <w:p w:rsidR="004750DD" w:rsidRPr="00A27F62" w:rsidRDefault="004750DD" w:rsidP="004750DD">
            <w:pPr>
              <w:keepNext/>
              <w:spacing w:after="0" w:line="240" w:lineRule="auto"/>
              <w:jc w:val="center"/>
              <w:rPr>
                <w:rFonts w:cs="Times New Roman"/>
                <w:sz w:val="20"/>
                <w:szCs w:val="20"/>
              </w:rPr>
            </w:pPr>
          </w:p>
        </w:tc>
        <w:tc>
          <w:tcPr>
            <w:tcW w:w="417" w:type="pct"/>
            <w:vMerge/>
            <w:shd w:val="clear" w:color="auto" w:fill="D6E3BC" w:themeFill="accent3" w:themeFillTint="66"/>
          </w:tcPr>
          <w:p w:rsidR="004750DD" w:rsidRPr="00A27F62" w:rsidRDefault="004750DD" w:rsidP="004750DD">
            <w:pPr>
              <w:keepNext/>
              <w:spacing w:after="0" w:line="240" w:lineRule="auto"/>
              <w:jc w:val="center"/>
              <w:rPr>
                <w:rFonts w:cs="Times New Roman"/>
                <w:sz w:val="20"/>
                <w:szCs w:val="20"/>
              </w:rPr>
            </w:pPr>
          </w:p>
        </w:tc>
        <w:tc>
          <w:tcPr>
            <w:tcW w:w="415" w:type="pct"/>
            <w:vMerge/>
            <w:shd w:val="clear" w:color="auto" w:fill="D6E3BC" w:themeFill="accent3" w:themeFillTint="66"/>
          </w:tcPr>
          <w:p w:rsidR="004750DD" w:rsidRPr="00A27F62" w:rsidRDefault="004750DD" w:rsidP="004750DD">
            <w:pPr>
              <w:keepNext/>
              <w:spacing w:after="0" w:line="240" w:lineRule="auto"/>
              <w:jc w:val="center"/>
              <w:rPr>
                <w:rFonts w:cs="Times New Roman"/>
                <w:sz w:val="20"/>
                <w:szCs w:val="20"/>
              </w:rPr>
            </w:pPr>
          </w:p>
        </w:tc>
        <w:tc>
          <w:tcPr>
            <w:tcW w:w="472"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MBS</w:t>
            </w:r>
          </w:p>
        </w:tc>
        <w:tc>
          <w:tcPr>
            <w:tcW w:w="311"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Safety nets*</w:t>
            </w:r>
          </w:p>
        </w:tc>
        <w:tc>
          <w:tcPr>
            <w:tcW w:w="420"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Other government budget</w:t>
            </w:r>
          </w:p>
        </w:tc>
        <w:tc>
          <w:tcPr>
            <w:tcW w:w="350"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Private health insurer</w:t>
            </w:r>
          </w:p>
        </w:tc>
        <w:tc>
          <w:tcPr>
            <w:tcW w:w="311"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Patient</w:t>
            </w:r>
          </w:p>
        </w:tc>
        <w:tc>
          <w:tcPr>
            <w:tcW w:w="332" w:type="pct"/>
            <w:shd w:val="clear" w:color="auto" w:fill="FBD4B4" w:themeFill="accent6" w:themeFillTint="66"/>
            <w:vAlign w:val="center"/>
          </w:tcPr>
          <w:p w:rsidR="004750DD" w:rsidRPr="00A27F62" w:rsidRDefault="004750DD" w:rsidP="004750DD">
            <w:pPr>
              <w:keepNext/>
              <w:spacing w:after="0" w:line="240" w:lineRule="auto"/>
              <w:jc w:val="center"/>
              <w:rPr>
                <w:rFonts w:cs="Times New Roman"/>
                <w:b/>
                <w:sz w:val="20"/>
                <w:szCs w:val="20"/>
              </w:rPr>
            </w:pPr>
            <w:r w:rsidRPr="00A27F62">
              <w:rPr>
                <w:rFonts w:cs="Times New Roman"/>
                <w:b/>
                <w:sz w:val="20"/>
                <w:szCs w:val="20"/>
              </w:rPr>
              <w:t>Total cost</w:t>
            </w:r>
          </w:p>
        </w:tc>
      </w:tr>
      <w:tr w:rsidR="004750DD" w:rsidRPr="00A27F62" w:rsidTr="00CF1138">
        <w:tc>
          <w:tcPr>
            <w:tcW w:w="5000" w:type="pct"/>
            <w:gridSpan w:val="11"/>
            <w:shd w:val="clear" w:color="auto" w:fill="auto"/>
            <w:vAlign w:val="center"/>
          </w:tcPr>
          <w:p w:rsidR="004750DD" w:rsidRPr="00A27F62" w:rsidRDefault="004750DD" w:rsidP="004750DD">
            <w:pPr>
              <w:spacing w:before="120" w:after="120" w:line="240" w:lineRule="auto"/>
              <w:rPr>
                <w:rFonts w:cs="Times New Roman"/>
                <w:b/>
                <w:sz w:val="20"/>
                <w:szCs w:val="20"/>
              </w:rPr>
            </w:pPr>
            <w:r w:rsidRPr="00A27F62">
              <w:rPr>
                <w:rFonts w:cs="Times New Roman"/>
                <w:b/>
                <w:sz w:val="20"/>
                <w:szCs w:val="20"/>
              </w:rPr>
              <w:t xml:space="preserve">Resources provided to identify eligible population </w:t>
            </w:r>
          </w:p>
        </w:tc>
      </w:tr>
      <w:tr w:rsidR="00AE102A" w:rsidRPr="00A27F62" w:rsidTr="00E16457">
        <w:tc>
          <w:tcPr>
            <w:tcW w:w="898" w:type="pct"/>
            <w:shd w:val="clear" w:color="auto" w:fill="auto"/>
          </w:tcPr>
          <w:p w:rsidR="004750DD" w:rsidRPr="00A27F62" w:rsidRDefault="00E65DB2" w:rsidP="00E16457">
            <w:pPr>
              <w:pStyle w:val="ListParagraph"/>
              <w:spacing w:after="0" w:line="240" w:lineRule="auto"/>
              <w:ind w:left="0"/>
              <w:jc w:val="left"/>
              <w:rPr>
                <w:rFonts w:cs="Times New Roman"/>
                <w:sz w:val="20"/>
                <w:szCs w:val="20"/>
                <w:vertAlign w:val="superscript"/>
              </w:rPr>
            </w:pPr>
            <w:r w:rsidRPr="00A27F62">
              <w:rPr>
                <w:sz w:val="20"/>
                <w:szCs w:val="20"/>
              </w:rPr>
              <w:t>None over and above current standard practice a</w:t>
            </w:r>
          </w:p>
        </w:tc>
        <w:tc>
          <w:tcPr>
            <w:tcW w:w="451" w:type="pct"/>
            <w:shd w:val="clear" w:color="auto" w:fill="E5B8B7" w:themeFill="accent2" w:themeFillTint="66"/>
          </w:tcPr>
          <w:p w:rsidR="004750DD" w:rsidRPr="00A27F62" w:rsidRDefault="004750DD" w:rsidP="00E65DB2">
            <w:pPr>
              <w:spacing w:before="120" w:after="120" w:line="240" w:lineRule="auto"/>
              <w:jc w:val="center"/>
              <w:rPr>
                <w:rFonts w:cs="Times New Roman"/>
                <w:sz w:val="20"/>
                <w:szCs w:val="20"/>
              </w:rPr>
            </w:pPr>
          </w:p>
        </w:tc>
        <w:tc>
          <w:tcPr>
            <w:tcW w:w="623" w:type="pct"/>
            <w:shd w:val="clear" w:color="auto" w:fill="E5B8B7" w:themeFill="accent2" w:themeFillTint="66"/>
          </w:tcPr>
          <w:p w:rsidR="004750DD" w:rsidRPr="00A27F62" w:rsidRDefault="004750DD" w:rsidP="004750DD">
            <w:pPr>
              <w:spacing w:after="0" w:line="240" w:lineRule="auto"/>
              <w:jc w:val="center"/>
              <w:rPr>
                <w:rFonts w:cs="Times New Roman"/>
                <w:sz w:val="20"/>
                <w:szCs w:val="20"/>
              </w:rPr>
            </w:pPr>
          </w:p>
        </w:tc>
        <w:tc>
          <w:tcPr>
            <w:tcW w:w="417" w:type="pct"/>
            <w:shd w:val="clear" w:color="auto" w:fill="D6E3BC" w:themeFill="accent3" w:themeFillTint="66"/>
          </w:tcPr>
          <w:p w:rsidR="004750DD" w:rsidRPr="00A27F62" w:rsidRDefault="004750DD" w:rsidP="004750DD">
            <w:pPr>
              <w:spacing w:after="0" w:line="240" w:lineRule="auto"/>
              <w:jc w:val="center"/>
              <w:rPr>
                <w:rFonts w:cs="Times New Roman"/>
                <w:sz w:val="20"/>
                <w:szCs w:val="20"/>
              </w:rPr>
            </w:pPr>
          </w:p>
        </w:tc>
        <w:tc>
          <w:tcPr>
            <w:tcW w:w="415" w:type="pct"/>
            <w:shd w:val="clear" w:color="auto" w:fill="D6E3BC" w:themeFill="accent3" w:themeFillTint="66"/>
          </w:tcPr>
          <w:p w:rsidR="004750DD" w:rsidRPr="00A27F62" w:rsidRDefault="004750DD" w:rsidP="004750DD">
            <w:pPr>
              <w:spacing w:after="0" w:line="240" w:lineRule="auto"/>
              <w:jc w:val="center"/>
              <w:rPr>
                <w:rFonts w:cs="Times New Roman"/>
                <w:sz w:val="20"/>
                <w:szCs w:val="20"/>
              </w:rPr>
            </w:pPr>
          </w:p>
        </w:tc>
        <w:tc>
          <w:tcPr>
            <w:tcW w:w="472"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11"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420"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50"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11"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c>
          <w:tcPr>
            <w:tcW w:w="332" w:type="pct"/>
            <w:shd w:val="clear" w:color="auto" w:fill="FBD4B4" w:themeFill="accent6" w:themeFillTint="66"/>
          </w:tcPr>
          <w:p w:rsidR="004750DD" w:rsidRPr="00A27F62" w:rsidRDefault="004750DD" w:rsidP="004750DD">
            <w:pPr>
              <w:spacing w:after="0" w:line="240" w:lineRule="auto"/>
              <w:jc w:val="center"/>
              <w:rPr>
                <w:rFonts w:cs="Times New Roman"/>
                <w:sz w:val="20"/>
                <w:szCs w:val="20"/>
              </w:rPr>
            </w:pPr>
          </w:p>
        </w:tc>
      </w:tr>
      <w:tr w:rsidR="004750DD" w:rsidRPr="00A27F62" w:rsidTr="00CF1138">
        <w:tc>
          <w:tcPr>
            <w:tcW w:w="5000" w:type="pct"/>
            <w:gridSpan w:val="11"/>
            <w:shd w:val="clear" w:color="auto" w:fill="auto"/>
            <w:vAlign w:val="center"/>
          </w:tcPr>
          <w:p w:rsidR="004750DD" w:rsidRPr="00A27F62" w:rsidRDefault="004750DD" w:rsidP="00E16457">
            <w:pPr>
              <w:spacing w:before="120" w:after="120" w:line="240" w:lineRule="auto"/>
              <w:jc w:val="left"/>
              <w:rPr>
                <w:rFonts w:cs="Times New Roman"/>
                <w:b/>
                <w:sz w:val="20"/>
                <w:szCs w:val="20"/>
              </w:rPr>
            </w:pPr>
            <w:r w:rsidRPr="00A27F62">
              <w:rPr>
                <w:rFonts w:cs="Times New Roman"/>
                <w:b/>
                <w:sz w:val="20"/>
                <w:szCs w:val="20"/>
              </w:rPr>
              <w:t>Resources provided to deliver proposed intervention</w:t>
            </w:r>
            <w:r w:rsidR="00E65DB2" w:rsidRPr="00A27F62">
              <w:rPr>
                <w:rFonts w:cs="Times New Roman"/>
                <w:b/>
                <w:sz w:val="20"/>
                <w:szCs w:val="20"/>
              </w:rPr>
              <w:t xml:space="preserve"> </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Insertion, removal or replacement of IPG device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Surgeon/ 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$255.45</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Insertion, removal or replacement of the gastric leads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Surgeon/ 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$1,224.60</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IPG device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Manufacturers</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 xml:space="preserve">Gastric leads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Manufacturers</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Anaesthesia</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Assistant surgeon</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Surgeon/ 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Endoscopy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Hospital stay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Ongoing interrogation of device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$69.75</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E16457">
            <w:pPr>
              <w:pStyle w:val="ListParagraph"/>
              <w:spacing w:after="0" w:line="240" w:lineRule="auto"/>
              <w:ind w:left="0"/>
              <w:jc w:val="left"/>
              <w:rPr>
                <w:sz w:val="20"/>
                <w:szCs w:val="20"/>
              </w:rPr>
            </w:pPr>
            <w:r w:rsidRPr="00A27F62">
              <w:rPr>
                <w:sz w:val="20"/>
                <w:szCs w:val="20"/>
              </w:rPr>
              <w:t>Prophylactic antibiotics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Hospital/PBS</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lastRenderedPageBreak/>
              <w:t>Endoscopy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Hospital stay</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CF1138">
        <w:trPr>
          <w:trHeight w:val="510"/>
        </w:trPr>
        <w:tc>
          <w:tcPr>
            <w:tcW w:w="5000" w:type="pct"/>
            <w:gridSpan w:val="11"/>
            <w:shd w:val="clear" w:color="auto" w:fill="auto"/>
            <w:vAlign w:val="center"/>
          </w:tcPr>
          <w:p w:rsidR="00CF1138" w:rsidRPr="00A27F62" w:rsidRDefault="00CF1138" w:rsidP="00CF1138">
            <w:pPr>
              <w:pStyle w:val="ListParagraph"/>
              <w:spacing w:after="0" w:line="240" w:lineRule="auto"/>
              <w:ind w:left="0"/>
              <w:jc w:val="left"/>
              <w:rPr>
                <w:sz w:val="20"/>
                <w:szCs w:val="20"/>
              </w:rPr>
            </w:pPr>
            <w:r w:rsidRPr="00A27F62">
              <w:rPr>
                <w:rFonts w:cs="Times New Roman"/>
                <w:b/>
                <w:sz w:val="20"/>
                <w:szCs w:val="20"/>
              </w:rPr>
              <w:t>Resources provided in association with the proposed intervention</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Endocrinologist visit</w:t>
            </w:r>
          </w:p>
          <w:p w:rsidR="00CF1138" w:rsidRPr="00A27F62" w:rsidRDefault="00CF1138" w:rsidP="00CF1138">
            <w:pPr>
              <w:pStyle w:val="ListParagraph"/>
              <w:spacing w:after="0" w:line="240" w:lineRule="auto"/>
              <w:ind w:left="142"/>
              <w:rPr>
                <w:sz w:val="20"/>
                <w:szCs w:val="20"/>
              </w:rPr>
            </w:pPr>
            <w:r w:rsidRPr="00A27F62">
              <w:rPr>
                <w:sz w:val="20"/>
                <w:szCs w:val="20"/>
              </w:rPr>
              <w:t xml:space="preserve">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 xml:space="preserve">GP visits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GP</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Outpatient visits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CF1138">
        <w:tc>
          <w:tcPr>
            <w:tcW w:w="5000" w:type="pct"/>
            <w:gridSpan w:val="11"/>
            <w:shd w:val="clear" w:color="auto" w:fill="auto"/>
            <w:vAlign w:val="center"/>
          </w:tcPr>
          <w:p w:rsidR="00CF1138" w:rsidRPr="00A27F62" w:rsidRDefault="00CF1138" w:rsidP="004A251F">
            <w:pPr>
              <w:spacing w:before="120" w:after="120" w:line="240" w:lineRule="auto"/>
              <w:rPr>
                <w:rFonts w:cs="Times New Roman"/>
                <w:b/>
                <w:sz w:val="20"/>
                <w:szCs w:val="20"/>
              </w:rPr>
            </w:pPr>
            <w:r w:rsidRPr="00A27F62">
              <w:rPr>
                <w:rFonts w:cs="Times New Roman"/>
                <w:b/>
                <w:sz w:val="20"/>
                <w:szCs w:val="20"/>
              </w:rPr>
              <w:t xml:space="preserve">Resources provided to deliver comparator 1: oral anti-diabetic (OAD) medication providing inadequate control. </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Endocrinologist visit</w:t>
            </w:r>
          </w:p>
          <w:p w:rsidR="00CF1138" w:rsidRPr="00A27F62" w:rsidRDefault="00CF1138" w:rsidP="00CF1138">
            <w:pPr>
              <w:pStyle w:val="ListParagraph"/>
              <w:spacing w:after="0" w:line="240" w:lineRule="auto"/>
              <w:ind w:left="142"/>
              <w:rPr>
                <w:sz w:val="20"/>
                <w:szCs w:val="20"/>
              </w:rPr>
            </w:pPr>
            <w:r w:rsidRPr="00A27F62">
              <w:rPr>
                <w:sz w:val="20"/>
                <w:szCs w:val="20"/>
              </w:rPr>
              <w:t xml:space="preserve">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 xml:space="preserve">GP visits </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GP</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CF1138" w:rsidRPr="00A27F62" w:rsidRDefault="00CF1138" w:rsidP="00CF1138">
            <w:pPr>
              <w:spacing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CF1138">
            <w:pPr>
              <w:pStyle w:val="ListParagraph"/>
              <w:spacing w:after="0" w:line="240" w:lineRule="auto"/>
              <w:ind w:left="0"/>
              <w:rPr>
                <w:sz w:val="20"/>
                <w:szCs w:val="20"/>
              </w:rPr>
            </w:pPr>
            <w:r w:rsidRPr="00A27F62">
              <w:rPr>
                <w:sz w:val="20"/>
                <w:szCs w:val="20"/>
              </w:rPr>
              <w:t>Outpatient visits</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CF1138" w:rsidRPr="00A27F62" w:rsidTr="00E16457">
        <w:tc>
          <w:tcPr>
            <w:tcW w:w="898" w:type="pct"/>
            <w:shd w:val="clear" w:color="auto" w:fill="auto"/>
          </w:tcPr>
          <w:p w:rsidR="00CF1138" w:rsidRPr="00A27F62" w:rsidRDefault="00CF1138" w:rsidP="005C7992">
            <w:pPr>
              <w:pStyle w:val="ListParagraph"/>
              <w:spacing w:after="0" w:line="240" w:lineRule="auto"/>
              <w:ind w:left="0"/>
              <w:rPr>
                <w:sz w:val="20"/>
                <w:szCs w:val="20"/>
              </w:rPr>
            </w:pPr>
            <w:r w:rsidRPr="00A27F62">
              <w:rPr>
                <w:sz w:val="20"/>
                <w:szCs w:val="20"/>
              </w:rPr>
              <w:t xml:space="preserve">Emergency </w:t>
            </w:r>
            <w:r w:rsidR="005C7992" w:rsidRPr="00A27F62">
              <w:rPr>
                <w:sz w:val="20"/>
                <w:szCs w:val="20"/>
              </w:rPr>
              <w:t>service</w:t>
            </w:r>
          </w:p>
        </w:tc>
        <w:tc>
          <w:tcPr>
            <w:tcW w:w="451"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CF1138" w:rsidRPr="00A27F62" w:rsidRDefault="00CF1138" w:rsidP="00CF1138">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CF1138" w:rsidRPr="00A27F62" w:rsidRDefault="00CF1138" w:rsidP="00CF1138">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420" w:type="pct"/>
            <w:shd w:val="clear" w:color="auto" w:fill="FBD4B4" w:themeFill="accent6" w:themeFillTint="66"/>
          </w:tcPr>
          <w:p w:rsidR="00CF1138" w:rsidRPr="00A27F62" w:rsidRDefault="00CF1138" w:rsidP="00CF1138">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11" w:type="pct"/>
            <w:shd w:val="clear" w:color="auto" w:fill="FBD4B4" w:themeFill="accent6" w:themeFillTint="66"/>
          </w:tcPr>
          <w:p w:rsidR="00CF1138" w:rsidRPr="00A27F62" w:rsidRDefault="00CF1138" w:rsidP="00CF1138">
            <w:pPr>
              <w:spacing w:after="0" w:line="240" w:lineRule="auto"/>
              <w:jc w:val="center"/>
              <w:rPr>
                <w:sz w:val="20"/>
                <w:szCs w:val="20"/>
              </w:rPr>
            </w:pPr>
          </w:p>
        </w:tc>
        <w:tc>
          <w:tcPr>
            <w:tcW w:w="332" w:type="pct"/>
            <w:shd w:val="clear" w:color="auto" w:fill="FBD4B4" w:themeFill="accent6" w:themeFillTint="66"/>
          </w:tcPr>
          <w:p w:rsidR="00CF1138" w:rsidRPr="00A27F62" w:rsidRDefault="00CF1138" w:rsidP="00CF1138">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 xml:space="preserve">Hospital stay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Inpatient nights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CF1138">
            <w:pPr>
              <w:spacing w:after="0" w:line="240" w:lineRule="auto"/>
              <w:rPr>
                <w:sz w:val="20"/>
                <w:szCs w:val="20"/>
              </w:rPr>
            </w:pPr>
            <w:r w:rsidRPr="00A27F62">
              <w:rPr>
                <w:sz w:val="20"/>
                <w:szCs w:val="20"/>
              </w:rPr>
              <w:t>Anti-diabetic medications</w:t>
            </w:r>
          </w:p>
        </w:tc>
        <w:tc>
          <w:tcPr>
            <w:tcW w:w="451" w:type="pct"/>
            <w:shd w:val="clear" w:color="auto" w:fill="E5B8B7" w:themeFill="accent2" w:themeFillTint="66"/>
          </w:tcPr>
          <w:p w:rsidR="005C7992" w:rsidRPr="00A27F62" w:rsidRDefault="005C7992" w:rsidP="00CF1138">
            <w:pPr>
              <w:spacing w:after="0" w:line="240" w:lineRule="auto"/>
              <w:jc w:val="center"/>
              <w:rPr>
                <w:sz w:val="20"/>
                <w:szCs w:val="20"/>
              </w:rPr>
            </w:pPr>
            <w:r w:rsidRPr="00A27F62">
              <w:rPr>
                <w:sz w:val="20"/>
                <w:szCs w:val="20"/>
              </w:rPr>
              <w:t>PBS</w:t>
            </w:r>
          </w:p>
        </w:tc>
        <w:tc>
          <w:tcPr>
            <w:tcW w:w="623" w:type="pct"/>
            <w:shd w:val="clear" w:color="auto" w:fill="E5B8B7" w:themeFill="accent2" w:themeFillTint="66"/>
          </w:tcPr>
          <w:p w:rsidR="005C7992" w:rsidRPr="00A27F62" w:rsidRDefault="005C7992" w:rsidP="00CF1138">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CF1138">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CF1138">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CF1138">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CF1138">
            <w:pPr>
              <w:spacing w:after="0"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CF1138">
            <w:pPr>
              <w:spacing w:after="0" w:line="240" w:lineRule="auto"/>
              <w:jc w:val="center"/>
              <w:rPr>
                <w:sz w:val="20"/>
                <w:szCs w:val="20"/>
              </w:rPr>
            </w:pPr>
            <w:r w:rsidRPr="00A27F62">
              <w:rPr>
                <w:sz w:val="20"/>
                <w:szCs w:val="20"/>
              </w:rPr>
              <w:t>TBD</w:t>
            </w:r>
          </w:p>
        </w:tc>
      </w:tr>
      <w:tr w:rsidR="005C7992" w:rsidRPr="00A27F62" w:rsidTr="00CF1138">
        <w:tc>
          <w:tcPr>
            <w:tcW w:w="5000" w:type="pct"/>
            <w:gridSpan w:val="11"/>
            <w:shd w:val="clear" w:color="auto" w:fill="auto"/>
            <w:vAlign w:val="center"/>
          </w:tcPr>
          <w:p w:rsidR="005C7992" w:rsidRPr="00A27F62" w:rsidRDefault="005C7992" w:rsidP="00CF1138">
            <w:pPr>
              <w:spacing w:before="120" w:after="120" w:line="240" w:lineRule="auto"/>
              <w:rPr>
                <w:rFonts w:cs="Times New Roman"/>
                <w:b/>
                <w:sz w:val="20"/>
                <w:szCs w:val="20"/>
              </w:rPr>
            </w:pPr>
            <w:r w:rsidRPr="00A27F62">
              <w:rPr>
                <w:rFonts w:cs="Times New Roman"/>
                <w:b/>
                <w:sz w:val="20"/>
                <w:szCs w:val="20"/>
              </w:rPr>
              <w:lastRenderedPageBreak/>
              <w:t>Resources provided to deliver comparator 3: Injectable therapy</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Endocrinologist visit</w:t>
            </w:r>
          </w:p>
          <w:p w:rsidR="005C7992" w:rsidRPr="00A27F62" w:rsidRDefault="005C7992" w:rsidP="007A4A9F">
            <w:pPr>
              <w:pStyle w:val="ListParagraph"/>
              <w:spacing w:after="0" w:line="240" w:lineRule="auto"/>
              <w:ind w:left="142"/>
              <w:rPr>
                <w:sz w:val="20"/>
                <w:szCs w:val="20"/>
              </w:rPr>
            </w:pPr>
            <w:r w:rsidRPr="00A27F62">
              <w:rPr>
                <w:sz w:val="20"/>
                <w:szCs w:val="20"/>
              </w:rPr>
              <w:t xml:space="preserve">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100%</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 xml:space="preserve">GP visits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GP</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Outpatient visits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Specialist</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pStyle w:val="ListParagraph"/>
              <w:spacing w:after="0" w:line="240" w:lineRule="auto"/>
              <w:ind w:left="0"/>
              <w:rPr>
                <w:sz w:val="20"/>
                <w:szCs w:val="20"/>
              </w:rPr>
            </w:pPr>
            <w:r w:rsidRPr="00A27F62">
              <w:rPr>
                <w:sz w:val="20"/>
                <w:szCs w:val="20"/>
              </w:rPr>
              <w:t>Emergency service</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b/>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 xml:space="preserve">Hospital stay </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Inpatient nights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Hospital</w:t>
            </w:r>
          </w:p>
        </w:tc>
        <w:tc>
          <w:tcPr>
            <w:tcW w:w="623" w:type="pct"/>
            <w:shd w:val="clear" w:color="auto" w:fill="E5B8B7" w:themeFill="accent2" w:themeFillTint="66"/>
          </w:tcPr>
          <w:p w:rsidR="005C7992" w:rsidRPr="00A27F62" w:rsidRDefault="005C7992" w:rsidP="007A4A9F">
            <w:pPr>
              <w:spacing w:after="0" w:line="240" w:lineRule="auto"/>
              <w:rPr>
                <w:sz w:val="20"/>
                <w:szCs w:val="20"/>
              </w:rPr>
            </w:pPr>
            <w:r w:rsidRPr="00A27F62">
              <w:rPr>
                <w:sz w:val="20"/>
                <w:szCs w:val="20"/>
              </w:rPr>
              <w:t>Private/public hospital</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11" w:type="pct"/>
            <w:shd w:val="clear" w:color="auto" w:fill="FBD4B4" w:themeFill="accent6" w:themeFillTint="66"/>
          </w:tcPr>
          <w:p w:rsidR="005C7992" w:rsidRPr="00A27F62" w:rsidRDefault="005C7992" w:rsidP="007A4A9F">
            <w:pPr>
              <w:spacing w:line="240" w:lineRule="auto"/>
              <w:jc w:val="center"/>
              <w:rPr>
                <w:sz w:val="20"/>
                <w:szCs w:val="20"/>
              </w:rPr>
            </w:pPr>
          </w:p>
        </w:tc>
        <w:tc>
          <w:tcPr>
            <w:tcW w:w="332" w:type="pct"/>
            <w:shd w:val="clear" w:color="auto" w:fill="FBD4B4" w:themeFill="accent6" w:themeFillTint="66"/>
          </w:tcPr>
          <w:p w:rsidR="005C7992" w:rsidRPr="00A27F62" w:rsidRDefault="005C7992" w:rsidP="007A4A9F">
            <w:pPr>
              <w:spacing w:line="240" w:lineRule="auto"/>
              <w:jc w:val="center"/>
              <w:rPr>
                <w:sz w:val="20"/>
                <w:szCs w:val="20"/>
              </w:rPr>
            </w:pPr>
            <w:r w:rsidRPr="00A27F62">
              <w:rPr>
                <w:sz w:val="20"/>
                <w:szCs w:val="20"/>
              </w:rPr>
              <w:t>TBD</w:t>
            </w:r>
          </w:p>
        </w:tc>
      </w:tr>
      <w:tr w:rsidR="005C7992" w:rsidRPr="00A27F62" w:rsidTr="00E16457">
        <w:tc>
          <w:tcPr>
            <w:tcW w:w="898" w:type="pct"/>
            <w:shd w:val="clear" w:color="auto" w:fill="auto"/>
          </w:tcPr>
          <w:p w:rsidR="005C7992" w:rsidRPr="00A27F62" w:rsidRDefault="005C7992" w:rsidP="007A4A9F">
            <w:pPr>
              <w:spacing w:after="0" w:line="240" w:lineRule="auto"/>
              <w:rPr>
                <w:sz w:val="20"/>
                <w:szCs w:val="20"/>
              </w:rPr>
            </w:pPr>
            <w:r w:rsidRPr="00A27F62">
              <w:rPr>
                <w:sz w:val="20"/>
                <w:szCs w:val="20"/>
              </w:rPr>
              <w:t>Anti-diabetic medications</w:t>
            </w:r>
          </w:p>
        </w:tc>
        <w:tc>
          <w:tcPr>
            <w:tcW w:w="451"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PBS</w:t>
            </w:r>
          </w:p>
        </w:tc>
        <w:tc>
          <w:tcPr>
            <w:tcW w:w="623" w:type="pct"/>
            <w:shd w:val="clear" w:color="auto" w:fill="E5B8B7" w:themeFill="accent2" w:themeFillTint="66"/>
          </w:tcPr>
          <w:p w:rsidR="005C7992" w:rsidRPr="00A27F62" w:rsidRDefault="005C7992" w:rsidP="007A4A9F">
            <w:pPr>
              <w:spacing w:after="0" w:line="240" w:lineRule="auto"/>
              <w:jc w:val="center"/>
              <w:rPr>
                <w:sz w:val="20"/>
                <w:szCs w:val="20"/>
              </w:rPr>
            </w:pPr>
            <w:r w:rsidRPr="00A27F62">
              <w:rPr>
                <w:sz w:val="20"/>
                <w:szCs w:val="20"/>
              </w:rPr>
              <w:t>Community</w:t>
            </w:r>
          </w:p>
        </w:tc>
        <w:tc>
          <w:tcPr>
            <w:tcW w:w="417"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15" w:type="pct"/>
            <w:shd w:val="clear" w:color="auto" w:fill="D6E3BC" w:themeFill="accent3"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472"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420"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50" w:type="pct"/>
            <w:shd w:val="clear" w:color="auto" w:fill="FBD4B4" w:themeFill="accent6" w:themeFillTint="66"/>
          </w:tcPr>
          <w:p w:rsidR="005C7992" w:rsidRPr="00A27F62" w:rsidRDefault="005C7992" w:rsidP="007A4A9F">
            <w:pPr>
              <w:spacing w:after="0" w:line="240" w:lineRule="auto"/>
              <w:jc w:val="center"/>
              <w:rPr>
                <w:sz w:val="20"/>
                <w:szCs w:val="20"/>
              </w:rPr>
            </w:pPr>
          </w:p>
        </w:tc>
        <w:tc>
          <w:tcPr>
            <w:tcW w:w="311"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c>
          <w:tcPr>
            <w:tcW w:w="332" w:type="pct"/>
            <w:shd w:val="clear" w:color="auto" w:fill="FBD4B4" w:themeFill="accent6" w:themeFillTint="66"/>
          </w:tcPr>
          <w:p w:rsidR="005C7992" w:rsidRPr="00A27F62" w:rsidRDefault="005C7992" w:rsidP="007A4A9F">
            <w:pPr>
              <w:spacing w:after="0" w:line="240" w:lineRule="auto"/>
              <w:jc w:val="center"/>
              <w:rPr>
                <w:sz w:val="20"/>
                <w:szCs w:val="20"/>
              </w:rPr>
            </w:pPr>
            <w:r w:rsidRPr="00A27F62">
              <w:rPr>
                <w:sz w:val="20"/>
                <w:szCs w:val="20"/>
              </w:rPr>
              <w:t>TBD</w:t>
            </w:r>
          </w:p>
        </w:tc>
      </w:tr>
      <w:tr w:rsidR="005C7992" w:rsidRPr="00A27F62" w:rsidTr="00CF1138">
        <w:tc>
          <w:tcPr>
            <w:tcW w:w="5000" w:type="pct"/>
            <w:gridSpan w:val="11"/>
            <w:shd w:val="clear" w:color="auto" w:fill="auto"/>
            <w:vAlign w:val="center"/>
          </w:tcPr>
          <w:p w:rsidR="005C7992" w:rsidRPr="00A27F62" w:rsidRDefault="005C7992" w:rsidP="0086269E">
            <w:pPr>
              <w:spacing w:before="120" w:after="120" w:line="240" w:lineRule="auto"/>
              <w:rPr>
                <w:rFonts w:cs="Times New Roman"/>
                <w:b/>
                <w:sz w:val="20"/>
                <w:szCs w:val="20"/>
              </w:rPr>
            </w:pPr>
            <w:r w:rsidRPr="00A27F62">
              <w:rPr>
                <w:rFonts w:cs="Times New Roman"/>
                <w:b/>
                <w:sz w:val="20"/>
                <w:szCs w:val="20"/>
              </w:rPr>
              <w:t>Resources provided in association with comparators 1 and 2  (and proposed intervention)</w:t>
            </w:r>
          </w:p>
        </w:tc>
      </w:tr>
      <w:tr w:rsidR="005C7992" w:rsidRPr="00A27F62" w:rsidTr="00E16457">
        <w:tc>
          <w:tcPr>
            <w:tcW w:w="898" w:type="pct"/>
            <w:shd w:val="clear" w:color="auto" w:fill="auto"/>
          </w:tcPr>
          <w:p w:rsidR="005C7992" w:rsidRPr="00A27F62" w:rsidRDefault="005C7992" w:rsidP="002E13AA">
            <w:pPr>
              <w:pStyle w:val="ListParagraph"/>
              <w:spacing w:after="0" w:line="240" w:lineRule="auto"/>
              <w:ind w:left="0"/>
              <w:jc w:val="left"/>
              <w:rPr>
                <w:rFonts w:cs="Times New Roman"/>
                <w:sz w:val="20"/>
                <w:szCs w:val="20"/>
              </w:rPr>
            </w:pPr>
            <w:r w:rsidRPr="00A27F62">
              <w:rPr>
                <w:sz w:val="20"/>
                <w:szCs w:val="20"/>
              </w:rPr>
              <w:t xml:space="preserve">Ongoing </w:t>
            </w:r>
            <w:r w:rsidR="00A27F62" w:rsidRPr="00A27F62">
              <w:rPr>
                <w:sz w:val="20"/>
                <w:szCs w:val="20"/>
              </w:rPr>
              <w:t xml:space="preserve">diabetes </w:t>
            </w:r>
            <w:r w:rsidRPr="00A27F62">
              <w:rPr>
                <w:sz w:val="20"/>
                <w:szCs w:val="20"/>
              </w:rPr>
              <w:t>management, including GP and specialists consultations, A&amp;E visits, hospitalisations as required (likely to vary according to outcomes achieved)</w:t>
            </w:r>
          </w:p>
        </w:tc>
        <w:tc>
          <w:tcPr>
            <w:tcW w:w="451" w:type="pct"/>
            <w:shd w:val="clear" w:color="auto" w:fill="E5B8B7" w:themeFill="accent2" w:themeFillTint="66"/>
          </w:tcPr>
          <w:p w:rsidR="005C7992" w:rsidRPr="00A27F62" w:rsidRDefault="005C7992" w:rsidP="004750DD">
            <w:pPr>
              <w:spacing w:before="120" w:after="120" w:line="240" w:lineRule="auto"/>
              <w:jc w:val="center"/>
              <w:rPr>
                <w:rFonts w:cs="Times New Roman"/>
                <w:sz w:val="20"/>
                <w:szCs w:val="20"/>
              </w:rPr>
            </w:pPr>
          </w:p>
        </w:tc>
        <w:tc>
          <w:tcPr>
            <w:tcW w:w="623"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417"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15"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7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42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5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3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r>
      <w:tr w:rsidR="005C7992" w:rsidRPr="00A27F62" w:rsidTr="00CF1138">
        <w:tc>
          <w:tcPr>
            <w:tcW w:w="5000" w:type="pct"/>
            <w:gridSpan w:val="11"/>
            <w:shd w:val="clear" w:color="auto" w:fill="auto"/>
            <w:vAlign w:val="center"/>
          </w:tcPr>
          <w:p w:rsidR="005C7992" w:rsidRPr="00A27F62" w:rsidRDefault="005C7992" w:rsidP="002E13AA">
            <w:pPr>
              <w:spacing w:before="120" w:after="120" w:line="240" w:lineRule="auto"/>
              <w:jc w:val="left"/>
              <w:rPr>
                <w:rFonts w:cs="Times New Roman"/>
                <w:b/>
                <w:sz w:val="20"/>
                <w:szCs w:val="20"/>
              </w:rPr>
            </w:pPr>
            <w:r w:rsidRPr="00A27F62">
              <w:rPr>
                <w:rFonts w:cs="Times New Roman"/>
                <w:b/>
                <w:sz w:val="20"/>
                <w:szCs w:val="20"/>
              </w:rPr>
              <w:t>Resources used to manage patients successfully treated with the proposed intervention</w:t>
            </w:r>
          </w:p>
        </w:tc>
      </w:tr>
      <w:tr w:rsidR="005C7992" w:rsidRPr="00A27F62" w:rsidTr="00E16457">
        <w:tc>
          <w:tcPr>
            <w:tcW w:w="898" w:type="pct"/>
            <w:shd w:val="clear" w:color="auto" w:fill="auto"/>
          </w:tcPr>
          <w:p w:rsidR="005C7992" w:rsidRPr="00A27F62" w:rsidRDefault="005C7992" w:rsidP="002E13AA">
            <w:pPr>
              <w:pStyle w:val="ListParagraph"/>
              <w:spacing w:after="0" w:line="240" w:lineRule="auto"/>
              <w:ind w:left="0"/>
              <w:jc w:val="left"/>
              <w:rPr>
                <w:rFonts w:cs="Times New Roman"/>
                <w:sz w:val="20"/>
                <w:szCs w:val="20"/>
              </w:rPr>
            </w:pPr>
            <w:r w:rsidRPr="00A27F62">
              <w:rPr>
                <w:sz w:val="20"/>
                <w:szCs w:val="20"/>
              </w:rPr>
              <w:t xml:space="preserve">Ongoing </w:t>
            </w:r>
            <w:r w:rsidR="00A27F62" w:rsidRPr="00A27F62">
              <w:rPr>
                <w:sz w:val="20"/>
                <w:szCs w:val="20"/>
              </w:rPr>
              <w:t xml:space="preserve">diabetes </w:t>
            </w:r>
            <w:r w:rsidRPr="00A27F62">
              <w:rPr>
                <w:sz w:val="20"/>
                <w:szCs w:val="20"/>
              </w:rPr>
              <w:t xml:space="preserve">management, including GP </w:t>
            </w:r>
            <w:r w:rsidRPr="00A27F62">
              <w:rPr>
                <w:sz w:val="20"/>
                <w:szCs w:val="20"/>
              </w:rPr>
              <w:lastRenderedPageBreak/>
              <w:t>and specialists consultations, A&amp;E visits, hospitalisations as required (likely to vary according to outcomes achieved)</w:t>
            </w:r>
          </w:p>
        </w:tc>
        <w:tc>
          <w:tcPr>
            <w:tcW w:w="451" w:type="pct"/>
            <w:shd w:val="clear" w:color="auto" w:fill="E5B8B7" w:themeFill="accent2" w:themeFillTint="66"/>
          </w:tcPr>
          <w:p w:rsidR="005C7992" w:rsidRPr="00A27F62" w:rsidRDefault="005C7992" w:rsidP="004750DD">
            <w:pPr>
              <w:spacing w:before="120" w:after="120" w:line="240" w:lineRule="auto"/>
              <w:jc w:val="center"/>
              <w:rPr>
                <w:rFonts w:cs="Times New Roman"/>
                <w:sz w:val="20"/>
                <w:szCs w:val="20"/>
              </w:rPr>
            </w:pPr>
          </w:p>
        </w:tc>
        <w:tc>
          <w:tcPr>
            <w:tcW w:w="623"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417"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15"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7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42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5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3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r>
      <w:tr w:rsidR="005C7992" w:rsidRPr="00A27F62" w:rsidTr="00CF1138">
        <w:tc>
          <w:tcPr>
            <w:tcW w:w="5000" w:type="pct"/>
            <w:gridSpan w:val="11"/>
            <w:shd w:val="clear" w:color="auto" w:fill="auto"/>
            <w:vAlign w:val="center"/>
          </w:tcPr>
          <w:p w:rsidR="005C7992" w:rsidRPr="00A27F62" w:rsidRDefault="005C7992" w:rsidP="002E13AA">
            <w:pPr>
              <w:spacing w:before="120" w:after="120" w:line="240" w:lineRule="auto"/>
              <w:jc w:val="left"/>
              <w:rPr>
                <w:rFonts w:cs="Times New Roman"/>
                <w:b/>
                <w:sz w:val="20"/>
                <w:szCs w:val="20"/>
              </w:rPr>
            </w:pPr>
            <w:r w:rsidRPr="00A27F62">
              <w:rPr>
                <w:rFonts w:cs="Times New Roman"/>
                <w:b/>
                <w:sz w:val="20"/>
                <w:szCs w:val="20"/>
              </w:rPr>
              <w:lastRenderedPageBreak/>
              <w:t>Resources used to manage patients who are unsuccessfully treated with the proposed intervention</w:t>
            </w:r>
          </w:p>
        </w:tc>
      </w:tr>
      <w:tr w:rsidR="005C7992" w:rsidRPr="00A27F62" w:rsidTr="00E16457">
        <w:tc>
          <w:tcPr>
            <w:tcW w:w="898" w:type="pct"/>
            <w:shd w:val="clear" w:color="auto" w:fill="auto"/>
          </w:tcPr>
          <w:p w:rsidR="005C7992" w:rsidRPr="00A27F62" w:rsidRDefault="00A27F62" w:rsidP="002E13AA">
            <w:pPr>
              <w:pStyle w:val="ListParagraph"/>
              <w:spacing w:after="0" w:line="240" w:lineRule="auto"/>
              <w:ind w:left="0"/>
              <w:jc w:val="left"/>
              <w:rPr>
                <w:rFonts w:cs="Times New Roman"/>
                <w:sz w:val="20"/>
                <w:szCs w:val="20"/>
              </w:rPr>
            </w:pPr>
            <w:r w:rsidRPr="00A27F62">
              <w:rPr>
                <w:sz w:val="20"/>
                <w:szCs w:val="20"/>
              </w:rPr>
              <w:t xml:space="preserve">Ongoing diabetes </w:t>
            </w:r>
            <w:r w:rsidR="005C7992" w:rsidRPr="00A27F62">
              <w:rPr>
                <w:sz w:val="20"/>
                <w:szCs w:val="20"/>
              </w:rPr>
              <w:t xml:space="preserve"> management, including GP and specialists consultations, A&amp;E visits, hospitalisations as required (likely to vary according to outcomes achieved)</w:t>
            </w:r>
          </w:p>
        </w:tc>
        <w:tc>
          <w:tcPr>
            <w:tcW w:w="451"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623" w:type="pct"/>
            <w:shd w:val="clear" w:color="auto" w:fill="E5B8B7" w:themeFill="accent2" w:themeFillTint="66"/>
          </w:tcPr>
          <w:p w:rsidR="005C7992" w:rsidRPr="00A27F62" w:rsidRDefault="005C7992" w:rsidP="004750DD">
            <w:pPr>
              <w:spacing w:after="0" w:line="240" w:lineRule="auto"/>
              <w:jc w:val="center"/>
              <w:rPr>
                <w:rFonts w:cs="Times New Roman"/>
                <w:sz w:val="20"/>
                <w:szCs w:val="20"/>
              </w:rPr>
            </w:pPr>
          </w:p>
        </w:tc>
        <w:tc>
          <w:tcPr>
            <w:tcW w:w="417"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15" w:type="pct"/>
            <w:shd w:val="clear" w:color="auto" w:fill="D6E3BC" w:themeFill="accent3" w:themeFillTint="66"/>
          </w:tcPr>
          <w:p w:rsidR="005C7992" w:rsidRPr="00A27F62" w:rsidRDefault="005C7992" w:rsidP="004750DD">
            <w:pPr>
              <w:spacing w:after="0" w:line="240" w:lineRule="auto"/>
              <w:jc w:val="center"/>
              <w:rPr>
                <w:rFonts w:cs="Times New Roman"/>
                <w:sz w:val="20"/>
                <w:szCs w:val="20"/>
              </w:rPr>
            </w:pPr>
          </w:p>
        </w:tc>
        <w:tc>
          <w:tcPr>
            <w:tcW w:w="47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42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50"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11"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c>
          <w:tcPr>
            <w:tcW w:w="332" w:type="pct"/>
            <w:shd w:val="clear" w:color="auto" w:fill="FBD4B4" w:themeFill="accent6" w:themeFillTint="66"/>
          </w:tcPr>
          <w:p w:rsidR="005C7992" w:rsidRPr="00A27F62" w:rsidRDefault="005C7992" w:rsidP="004750DD">
            <w:pPr>
              <w:spacing w:after="0" w:line="240" w:lineRule="auto"/>
              <w:jc w:val="center"/>
              <w:rPr>
                <w:rFonts w:cs="Times New Roman"/>
                <w:sz w:val="20"/>
                <w:szCs w:val="20"/>
              </w:rPr>
            </w:pPr>
          </w:p>
        </w:tc>
      </w:tr>
    </w:tbl>
    <w:p w:rsidR="00C04293" w:rsidRDefault="00C04293" w:rsidP="00C04293">
      <w:pPr>
        <w:rPr>
          <w:rFonts w:cs="Arial"/>
          <w:sz w:val="18"/>
          <w:szCs w:val="18"/>
        </w:rPr>
      </w:pPr>
      <w:r w:rsidRPr="00D415F1">
        <w:rPr>
          <w:rFonts w:cs="Arial"/>
          <w:sz w:val="18"/>
          <w:szCs w:val="18"/>
        </w:rPr>
        <w:t>* Include costs relating to both the standard and extended safety net.</w:t>
      </w:r>
    </w:p>
    <w:p w:rsidR="001429DE" w:rsidRDefault="001429DE" w:rsidP="00C04293">
      <w:pPr>
        <w:rPr>
          <w:rFonts w:cs="Arial"/>
          <w:sz w:val="18"/>
          <w:szCs w:val="18"/>
        </w:rPr>
      </w:pPr>
    </w:p>
    <w:p w:rsidR="00D04147" w:rsidRDefault="00D04147" w:rsidP="008B5AB2">
      <w:pPr>
        <w:rPr>
          <w:sz w:val="24"/>
          <w:szCs w:val="24"/>
        </w:rPr>
        <w:sectPr w:rsidR="00D04147" w:rsidSect="004750DD">
          <w:pgSz w:w="16838" w:h="11906" w:orient="landscape"/>
          <w:pgMar w:top="1418" w:right="1440" w:bottom="1440" w:left="1440" w:header="708" w:footer="708" w:gutter="0"/>
          <w:cols w:space="708"/>
          <w:docGrid w:linePitch="360"/>
        </w:sectPr>
      </w:pPr>
    </w:p>
    <w:p w:rsidR="00CB206C" w:rsidRPr="00F9537B" w:rsidRDefault="00D04147" w:rsidP="008B5AB2">
      <w:pPr>
        <w:rPr>
          <w:sz w:val="24"/>
          <w:szCs w:val="24"/>
        </w:rPr>
      </w:pPr>
      <w:r w:rsidRPr="00D04147">
        <w:rPr>
          <w:b/>
          <w:sz w:val="24"/>
          <w:szCs w:val="24"/>
        </w:rPr>
        <w:lastRenderedPageBreak/>
        <w:t>References</w:t>
      </w:r>
      <w:r w:rsidR="00F9537B">
        <w:rPr>
          <w:b/>
          <w:sz w:val="24"/>
          <w:szCs w:val="24"/>
        </w:rPr>
        <w:t>:</w:t>
      </w:r>
    </w:p>
    <w:p w:rsidR="00602684" w:rsidRPr="00602684" w:rsidRDefault="00CB206C" w:rsidP="00E73915">
      <w:pPr>
        <w:pStyle w:val="EndNoteBibliography"/>
      </w:pPr>
      <w:r w:rsidRPr="00F9537B">
        <w:rPr>
          <w:sz w:val="24"/>
          <w:szCs w:val="24"/>
        </w:rPr>
        <w:fldChar w:fldCharType="begin"/>
      </w:r>
      <w:r w:rsidRPr="00F9537B">
        <w:rPr>
          <w:sz w:val="24"/>
          <w:szCs w:val="24"/>
        </w:rPr>
        <w:instrText xml:space="preserve"> ADDIN EN.REFLIST </w:instrText>
      </w:r>
      <w:r w:rsidRPr="00F9537B">
        <w:rPr>
          <w:sz w:val="24"/>
          <w:szCs w:val="24"/>
        </w:rPr>
        <w:fldChar w:fldCharType="separate"/>
      </w:r>
      <w:bookmarkStart w:id="31" w:name="_ENREF_1"/>
      <w:r w:rsidR="00602684" w:rsidRPr="00602684">
        <w:t>Harold E. Lebovitz, Bernhard Ludvik, Jaroslaw Kozakowski, Wieslaw Tarnowski, Mateusz Zelewski, Irit Yaniv, Tse’ela Schwartz Gastric Electrical Stimulation Treatment of Type 2 Diabetes: Effects of Implantation</w:t>
      </w:r>
      <w:r w:rsidR="00203935">
        <w:t xml:space="preserve"> </w:t>
      </w:r>
      <w:r w:rsidR="00602684" w:rsidRPr="00602684">
        <w:t>versus Chronic Meal-Initiated Stimulation. A Randomized Blinded Cross-over Trial. Unpublished.</w:t>
      </w:r>
      <w:bookmarkEnd w:id="31"/>
    </w:p>
    <w:p w:rsidR="00602684" w:rsidRPr="00602684" w:rsidRDefault="00602684" w:rsidP="00602684">
      <w:pPr>
        <w:pStyle w:val="EndNoteBibliography"/>
        <w:spacing w:after="0"/>
      </w:pPr>
      <w:bookmarkStart w:id="32" w:name="_ENREF_2"/>
      <w:r w:rsidRPr="00602684">
        <w:t xml:space="preserve">Lebovitz Ludvik Kozakowski </w:t>
      </w:r>
      <w:bookmarkEnd w:id="32"/>
    </w:p>
    <w:p w:rsidR="00602684" w:rsidRPr="00602684" w:rsidRDefault="00602684" w:rsidP="00602684">
      <w:pPr>
        <w:pStyle w:val="EndNoteBibliography"/>
        <w:spacing w:after="0"/>
      </w:pPr>
      <w:bookmarkStart w:id="33" w:name="_ENREF_3"/>
      <w:r w:rsidRPr="00602684">
        <w:t>RACGP Diabetes Australia General Practice Managment of Type 2 Diabetes 2014-2015.</w:t>
      </w:r>
      <w:bookmarkEnd w:id="33"/>
    </w:p>
    <w:p w:rsidR="00602684" w:rsidRPr="00602684" w:rsidRDefault="00602684" w:rsidP="00602684">
      <w:pPr>
        <w:pStyle w:val="EndNoteBibliography"/>
        <w:spacing w:after="0"/>
      </w:pPr>
      <w:bookmarkStart w:id="34" w:name="_ENREF_4"/>
      <w:r w:rsidRPr="00602684">
        <w:t>Wong S, Kong AP, Osaki R, Ng VW, Andrea Luk, Chan LL, Lam CC, Lebovitz HE, Ng EK, Chan JC A Prospective Case-Control Study To Compare The Efficacy Of Laparoscopic Placement Of Gastric Contraction Modulator (TANTALUS II - DIAMOND) Versus Supplementary Insulin Treatment In Obese Type 2 Diabetic Patients 2014.</w:t>
      </w:r>
      <w:bookmarkEnd w:id="34"/>
    </w:p>
    <w:p w:rsidR="00602684" w:rsidRPr="00602684" w:rsidRDefault="00602684" w:rsidP="00602684">
      <w:pPr>
        <w:pStyle w:val="EndNoteBibliography"/>
        <w:spacing w:after="0"/>
      </w:pPr>
      <w:bookmarkStart w:id="35" w:name="_ENREF_5"/>
      <w:r w:rsidRPr="00602684">
        <w:t>(2012). Australian Health Survey: Biomedical Results for Chronic Disease, 2011-2012 Cat number 4364.0.55.005.</w:t>
      </w:r>
      <w:bookmarkEnd w:id="35"/>
    </w:p>
    <w:p w:rsidR="00602684" w:rsidRPr="00602684" w:rsidRDefault="00602684" w:rsidP="00602684">
      <w:pPr>
        <w:pStyle w:val="EndNoteBibliography"/>
        <w:spacing w:after="0"/>
      </w:pPr>
      <w:bookmarkStart w:id="36" w:name="_ENREF_6"/>
      <w:r w:rsidRPr="00602684">
        <w:t>(2012). Diabetes: the silent pandemic and its impact on Australia, Baker IDI Heart and Diabetes Insitute.</w:t>
      </w:r>
      <w:bookmarkEnd w:id="36"/>
    </w:p>
    <w:p w:rsidR="00602684" w:rsidRPr="00602684" w:rsidRDefault="00602684" w:rsidP="00602684">
      <w:pPr>
        <w:pStyle w:val="EndNoteBibliography"/>
        <w:spacing w:after="0"/>
      </w:pPr>
      <w:bookmarkStart w:id="37" w:name="_ENREF_7"/>
      <w:r w:rsidRPr="00602684">
        <w:t xml:space="preserve">Busko, M. (2014). "Insulin Related Hypoglcemia: Common, Costly, Preventable." </w:t>
      </w:r>
      <w:r w:rsidRPr="00602684">
        <w:rPr>
          <w:u w:val="single"/>
        </w:rPr>
        <w:t>Medscape</w:t>
      </w:r>
      <w:r w:rsidRPr="00602684">
        <w:t>(March 11).</w:t>
      </w:r>
      <w:bookmarkEnd w:id="37"/>
    </w:p>
    <w:p w:rsidR="00602684" w:rsidRPr="00602684" w:rsidRDefault="00602684" w:rsidP="00602684">
      <w:pPr>
        <w:pStyle w:val="EndNoteBibliography"/>
        <w:spacing w:after="0"/>
      </w:pPr>
      <w:bookmarkStart w:id="38" w:name="_ENREF_8"/>
      <w:r w:rsidRPr="00602684">
        <w:t xml:space="preserve">Colditz, G. A., W. C. Willett, A. Rotnitzky and J. E. Manson (1995). "Weight gain as a risk factor for clinical diabetes mellitus in women." </w:t>
      </w:r>
      <w:r w:rsidRPr="00602684">
        <w:rPr>
          <w:u w:val="single"/>
        </w:rPr>
        <w:t>Ann Intern Med</w:t>
      </w:r>
      <w:r w:rsidRPr="00602684">
        <w:t xml:space="preserve"> </w:t>
      </w:r>
      <w:r w:rsidRPr="00602684">
        <w:rPr>
          <w:b/>
        </w:rPr>
        <w:t>122</w:t>
      </w:r>
      <w:r w:rsidRPr="00602684">
        <w:t>(7): 481-486.</w:t>
      </w:r>
      <w:bookmarkEnd w:id="38"/>
    </w:p>
    <w:p w:rsidR="00602684" w:rsidRPr="00602684" w:rsidRDefault="00602684" w:rsidP="00602684">
      <w:pPr>
        <w:pStyle w:val="EndNoteBibliography"/>
        <w:spacing w:after="0"/>
      </w:pPr>
      <w:bookmarkStart w:id="39" w:name="_ENREF_9"/>
      <w:r w:rsidRPr="00602684">
        <w:t xml:space="preserve">Cryer, P. E. (2002). "Hypoglycaemia: the limiting factor in the glycaemic management of Type I and Type II diabetes." </w:t>
      </w:r>
      <w:r w:rsidRPr="00602684">
        <w:rPr>
          <w:u w:val="single"/>
        </w:rPr>
        <w:t>Diabetologia</w:t>
      </w:r>
      <w:r w:rsidRPr="00602684">
        <w:t xml:space="preserve"> </w:t>
      </w:r>
      <w:r w:rsidRPr="00602684">
        <w:rPr>
          <w:b/>
        </w:rPr>
        <w:t>45</w:t>
      </w:r>
      <w:r w:rsidRPr="00602684">
        <w:t>(7): 937-948.</w:t>
      </w:r>
      <w:bookmarkEnd w:id="39"/>
    </w:p>
    <w:p w:rsidR="00602684" w:rsidRPr="00602684" w:rsidRDefault="00602684" w:rsidP="00602684">
      <w:pPr>
        <w:pStyle w:val="EndNoteBibliography"/>
        <w:spacing w:after="0"/>
      </w:pPr>
      <w:bookmarkStart w:id="40" w:name="_ENREF_10"/>
      <w:r w:rsidRPr="00602684">
        <w:t xml:space="preserve">Field, A. E., E. H. Coakley, A. Must, J. L. Spadano, N. Laird, W. H. Dietz, E. Rimm and G. A. Colditz (2001). "Impact of overweight on the risk of developing common chronic diseases during a 10-year period." </w:t>
      </w:r>
      <w:r w:rsidRPr="00602684">
        <w:rPr>
          <w:u w:val="single"/>
        </w:rPr>
        <w:t>Arch Intern Med</w:t>
      </w:r>
      <w:r w:rsidRPr="00602684">
        <w:t xml:space="preserve"> </w:t>
      </w:r>
      <w:r w:rsidRPr="00602684">
        <w:rPr>
          <w:b/>
        </w:rPr>
        <w:t>161</w:t>
      </w:r>
      <w:r w:rsidRPr="00602684">
        <w:t>(13): 1581-1586.</w:t>
      </w:r>
      <w:bookmarkEnd w:id="40"/>
    </w:p>
    <w:p w:rsidR="00602684" w:rsidRPr="00602684" w:rsidRDefault="00602684" w:rsidP="00602684">
      <w:pPr>
        <w:pStyle w:val="EndNoteBibliography"/>
        <w:spacing w:after="0"/>
      </w:pPr>
      <w:bookmarkStart w:id="41" w:name="_ENREF_11"/>
      <w:r w:rsidRPr="00602684">
        <w:t xml:space="preserve">Haslam, D. (2008). "Managing obesity and type 2 diabetes: the challenges of guideline implementation." </w:t>
      </w:r>
      <w:r w:rsidRPr="00602684">
        <w:rPr>
          <w:u w:val="single"/>
        </w:rPr>
        <w:t xml:space="preserve">Drugs in Context </w:t>
      </w:r>
      <w:r w:rsidRPr="00602684">
        <w:rPr>
          <w:b/>
        </w:rPr>
        <w:t>4</w:t>
      </w:r>
      <w:r w:rsidRPr="00602684">
        <w:t>(2): 937-948.</w:t>
      </w:r>
      <w:bookmarkEnd w:id="41"/>
    </w:p>
    <w:p w:rsidR="00602684" w:rsidRPr="00602684" w:rsidRDefault="00602684" w:rsidP="00602684">
      <w:pPr>
        <w:pStyle w:val="EndNoteBibliography"/>
      </w:pPr>
      <w:bookmarkStart w:id="42" w:name="_ENREF_12"/>
      <w:r w:rsidRPr="00602684">
        <w:t xml:space="preserve">Lebovitz, H. E., B. Ludvik, I. Yaniv, W. Haddad, T. Schwartz and R. Aviv (2013). "Fasting plasma triglycerides predict the glycaemic response to treatment of type 2 diabetes by gastric electrical stimulation. A novel lipotoxicity paradigm." </w:t>
      </w:r>
      <w:r w:rsidRPr="00602684">
        <w:rPr>
          <w:u w:val="single"/>
        </w:rPr>
        <w:t>Diabet Med</w:t>
      </w:r>
      <w:r w:rsidRPr="00602684">
        <w:t xml:space="preserve"> </w:t>
      </w:r>
      <w:r w:rsidRPr="00602684">
        <w:rPr>
          <w:b/>
        </w:rPr>
        <w:t>30</w:t>
      </w:r>
      <w:r w:rsidRPr="00602684">
        <w:t>(6): 687-693.</w:t>
      </w:r>
      <w:bookmarkEnd w:id="42"/>
    </w:p>
    <w:p w:rsidR="00D70F14" w:rsidRDefault="00CB206C" w:rsidP="008B5AB2">
      <w:pPr>
        <w:rPr>
          <w:sz w:val="24"/>
          <w:szCs w:val="24"/>
        </w:rPr>
      </w:pPr>
      <w:r w:rsidRPr="00F9537B">
        <w:rPr>
          <w:sz w:val="24"/>
          <w:szCs w:val="24"/>
        </w:rPr>
        <w:fldChar w:fldCharType="end"/>
      </w:r>
    </w:p>
    <w:p w:rsidR="00D70F14" w:rsidRDefault="00D70F14">
      <w:pPr>
        <w:jc w:val="left"/>
        <w:rPr>
          <w:sz w:val="24"/>
          <w:szCs w:val="24"/>
        </w:rPr>
      </w:pPr>
      <w:r>
        <w:rPr>
          <w:sz w:val="24"/>
          <w:szCs w:val="24"/>
        </w:rPr>
        <w:br w:type="page"/>
      </w:r>
    </w:p>
    <w:p w:rsidR="00A0575C" w:rsidRDefault="00A0575C" w:rsidP="00A0575C">
      <w:pPr>
        <w:rPr>
          <w:b/>
          <w:sz w:val="24"/>
          <w:szCs w:val="24"/>
        </w:rPr>
      </w:pPr>
      <w:r>
        <w:rPr>
          <w:b/>
          <w:sz w:val="24"/>
          <w:szCs w:val="24"/>
        </w:rPr>
        <w:lastRenderedPageBreak/>
        <w:t>Appendix A – List of trials of GCM and the inclusion criteria of each trial</w:t>
      </w:r>
    </w:p>
    <w:p w:rsidR="003157ED" w:rsidRDefault="000E0E06" w:rsidP="00E73915">
      <w:pPr>
        <w:rPr>
          <w:b/>
          <w:sz w:val="24"/>
          <w:szCs w:val="24"/>
        </w:rPr>
      </w:pPr>
      <w:r>
        <w:rPr>
          <w:b/>
          <w:noProof/>
          <w:sz w:val="24"/>
          <w:szCs w:val="24"/>
          <w:lang w:eastAsia="en-AU"/>
        </w:rPr>
        <w:drawing>
          <wp:inline distT="0" distB="0" distL="0" distR="0">
            <wp:extent cx="5756796" cy="8229600"/>
            <wp:effectExtent l="0" t="0" r="0" b="0"/>
            <wp:docPr id="2" name="Picture 2" title="Appendix A – List of trials of GCM and the inclusion criteria of each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Table1.gif"/>
                    <pic:cNvPicPr/>
                  </pic:nvPicPr>
                  <pic:blipFill>
                    <a:blip r:embed="rId24">
                      <a:extLst>
                        <a:ext uri="{28A0092B-C50C-407E-A947-70E740481C1C}">
                          <a14:useLocalDpi xmlns:a14="http://schemas.microsoft.com/office/drawing/2010/main" val="0"/>
                        </a:ext>
                      </a:extLst>
                    </a:blip>
                    <a:stretch>
                      <a:fillRect/>
                    </a:stretch>
                  </pic:blipFill>
                  <pic:spPr>
                    <a:xfrm>
                      <a:off x="0" y="0"/>
                      <a:ext cx="5768049" cy="8245686"/>
                    </a:xfrm>
                    <a:prstGeom prst="rect">
                      <a:avLst/>
                    </a:prstGeom>
                  </pic:spPr>
                </pic:pic>
              </a:graphicData>
            </a:graphic>
          </wp:inline>
        </w:drawing>
      </w:r>
    </w:p>
    <w:p w:rsidR="000E0E06" w:rsidRDefault="000E0E06" w:rsidP="00E73915">
      <w:pPr>
        <w:rPr>
          <w:b/>
          <w:sz w:val="24"/>
          <w:szCs w:val="24"/>
        </w:rPr>
      </w:pPr>
      <w:r>
        <w:rPr>
          <w:b/>
          <w:noProof/>
          <w:sz w:val="24"/>
          <w:szCs w:val="24"/>
          <w:lang w:eastAsia="en-AU"/>
        </w:rPr>
        <w:lastRenderedPageBreak/>
        <w:drawing>
          <wp:inline distT="0" distB="0" distL="0" distR="0">
            <wp:extent cx="5718220" cy="6699224"/>
            <wp:effectExtent l="0" t="0" r="0" b="6985"/>
            <wp:docPr id="3" name="Picture 3" title="Appendix A – List of trials of GCM and the inclusion criteria of each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Table2.gif"/>
                    <pic:cNvPicPr/>
                  </pic:nvPicPr>
                  <pic:blipFill>
                    <a:blip r:embed="rId25">
                      <a:extLst>
                        <a:ext uri="{28A0092B-C50C-407E-A947-70E740481C1C}">
                          <a14:useLocalDpi xmlns:a14="http://schemas.microsoft.com/office/drawing/2010/main" val="0"/>
                        </a:ext>
                      </a:extLst>
                    </a:blip>
                    <a:stretch>
                      <a:fillRect/>
                    </a:stretch>
                  </pic:blipFill>
                  <pic:spPr>
                    <a:xfrm>
                      <a:off x="0" y="0"/>
                      <a:ext cx="5729331" cy="6712241"/>
                    </a:xfrm>
                    <a:prstGeom prst="rect">
                      <a:avLst/>
                    </a:prstGeom>
                  </pic:spPr>
                </pic:pic>
              </a:graphicData>
            </a:graphic>
          </wp:inline>
        </w:drawing>
      </w:r>
    </w:p>
    <w:p w:rsidR="000E0E06" w:rsidRPr="000E0E06" w:rsidRDefault="000E0E06" w:rsidP="000E0E06">
      <w:pPr>
        <w:pStyle w:val="FootnoteText"/>
        <w:rPr>
          <w:rStyle w:val="FootnoteReference"/>
          <w:rFonts w:ascii="Arial Narrow" w:hAnsi="Arial Narrow" w:cs="Arial"/>
          <w:sz w:val="24"/>
          <w:szCs w:val="24"/>
        </w:rPr>
      </w:pPr>
      <w:r w:rsidRPr="000E0E06">
        <w:rPr>
          <w:rStyle w:val="FootnoteReference"/>
          <w:rFonts w:ascii="Arial Narrow" w:hAnsi="Arial Narrow" w:cs="Arial"/>
          <w:sz w:val="24"/>
          <w:szCs w:val="24"/>
        </w:rPr>
        <w:t xml:space="preserve">  </w:t>
      </w:r>
      <w:proofErr w:type="spellStart"/>
      <w:r w:rsidRPr="000E0E06">
        <w:rPr>
          <w:rStyle w:val="FootnoteReference"/>
          <w:rFonts w:ascii="Arial Narrow" w:hAnsi="Arial Narrow" w:cs="Arial"/>
          <w:sz w:val="24"/>
          <w:szCs w:val="24"/>
        </w:rPr>
        <w:t>Bohdjalian</w:t>
      </w:r>
      <w:proofErr w:type="spellEnd"/>
      <w:r w:rsidRPr="000E0E06">
        <w:rPr>
          <w:rStyle w:val="FootnoteReference"/>
          <w:rFonts w:ascii="Arial Narrow" w:hAnsi="Arial Narrow" w:cs="Arial"/>
          <w:sz w:val="24"/>
          <w:szCs w:val="24"/>
        </w:rPr>
        <w:t xml:space="preserve"> A, et al (2009). Improvement in </w:t>
      </w:r>
      <w:proofErr w:type="spellStart"/>
      <w:r w:rsidR="00F63415" w:rsidRPr="000E0E06">
        <w:rPr>
          <w:rStyle w:val="FootnoteReference"/>
          <w:rFonts w:ascii="Arial Narrow" w:hAnsi="Arial Narrow" w:cs="Arial"/>
          <w:sz w:val="24"/>
          <w:szCs w:val="24"/>
        </w:rPr>
        <w:t>glyceamic</w:t>
      </w:r>
      <w:proofErr w:type="spellEnd"/>
      <w:r w:rsidRPr="000E0E06">
        <w:rPr>
          <w:rStyle w:val="FootnoteReference"/>
          <w:rFonts w:ascii="Arial Narrow" w:hAnsi="Arial Narrow" w:cs="Arial"/>
          <w:sz w:val="24"/>
          <w:szCs w:val="24"/>
        </w:rPr>
        <w:t xml:space="preserve"> control in morbidly obese type 2 diabetic subjects by gastric stimulation. </w:t>
      </w:r>
      <w:proofErr w:type="spellStart"/>
      <w:r w:rsidRPr="000E0E06">
        <w:rPr>
          <w:rStyle w:val="FootnoteReference"/>
          <w:rFonts w:ascii="Arial Narrow" w:hAnsi="Arial Narrow" w:cs="Arial"/>
          <w:sz w:val="24"/>
          <w:szCs w:val="24"/>
        </w:rPr>
        <w:t>Obes</w:t>
      </w:r>
      <w:proofErr w:type="spellEnd"/>
      <w:r w:rsidRPr="000E0E06">
        <w:rPr>
          <w:rStyle w:val="FootnoteReference"/>
          <w:rFonts w:ascii="Arial Narrow" w:hAnsi="Arial Narrow" w:cs="Arial"/>
          <w:sz w:val="24"/>
          <w:szCs w:val="24"/>
        </w:rPr>
        <w:t xml:space="preserve"> </w:t>
      </w:r>
      <w:proofErr w:type="spellStart"/>
      <w:r w:rsidRPr="000E0E06">
        <w:rPr>
          <w:rStyle w:val="FootnoteReference"/>
          <w:rFonts w:ascii="Arial Narrow" w:hAnsi="Arial Narrow" w:cs="Arial"/>
          <w:sz w:val="24"/>
          <w:szCs w:val="24"/>
        </w:rPr>
        <w:t>Surg</w:t>
      </w:r>
      <w:proofErr w:type="spellEnd"/>
      <w:r w:rsidRPr="000E0E06">
        <w:rPr>
          <w:rStyle w:val="FootnoteReference"/>
          <w:rFonts w:ascii="Arial Narrow" w:hAnsi="Arial Narrow" w:cs="Arial"/>
          <w:sz w:val="24"/>
          <w:szCs w:val="24"/>
        </w:rPr>
        <w:t xml:space="preserve"> 19: 1221-7.</w:t>
      </w:r>
    </w:p>
    <w:p w:rsidR="000E0E06" w:rsidRPr="000E0E06" w:rsidRDefault="000E0E06" w:rsidP="000E0E06">
      <w:pPr>
        <w:pStyle w:val="FootnoteText"/>
        <w:rPr>
          <w:rStyle w:val="FootnoteReference"/>
          <w:rFonts w:ascii="Arial Narrow" w:hAnsi="Arial Narrow" w:cs="Arial"/>
          <w:sz w:val="24"/>
          <w:szCs w:val="24"/>
        </w:rPr>
      </w:pPr>
      <w:r w:rsidRPr="000E0E06">
        <w:rPr>
          <w:rStyle w:val="FootnoteReference"/>
          <w:rFonts w:ascii="Arial Narrow" w:hAnsi="Arial Narrow" w:cs="Arial"/>
          <w:sz w:val="24"/>
          <w:szCs w:val="24"/>
        </w:rPr>
        <w:t xml:space="preserve">  </w:t>
      </w:r>
      <w:proofErr w:type="spellStart"/>
      <w:r w:rsidRPr="000E0E06">
        <w:rPr>
          <w:rStyle w:val="FootnoteReference"/>
          <w:rFonts w:ascii="Arial Narrow" w:hAnsi="Arial Narrow" w:cs="Arial"/>
          <w:sz w:val="24"/>
          <w:szCs w:val="24"/>
        </w:rPr>
        <w:t>Lebovitz</w:t>
      </w:r>
      <w:proofErr w:type="spellEnd"/>
      <w:r w:rsidRPr="000E0E06">
        <w:rPr>
          <w:rStyle w:val="FootnoteReference"/>
          <w:rFonts w:ascii="Arial Narrow" w:hAnsi="Arial Narrow" w:cs="Arial"/>
          <w:sz w:val="24"/>
          <w:szCs w:val="24"/>
        </w:rPr>
        <w:t xml:space="preserve"> HE, et al (2013). Fasting plasma triglycerides predict the </w:t>
      </w:r>
      <w:proofErr w:type="spellStart"/>
      <w:r w:rsidR="00F63415" w:rsidRPr="000E0E06">
        <w:rPr>
          <w:rStyle w:val="FootnoteReference"/>
          <w:rFonts w:ascii="Arial Narrow" w:hAnsi="Arial Narrow" w:cs="Arial"/>
          <w:sz w:val="24"/>
          <w:szCs w:val="24"/>
        </w:rPr>
        <w:t>glyceamic</w:t>
      </w:r>
      <w:proofErr w:type="spellEnd"/>
      <w:r w:rsidRPr="000E0E06">
        <w:rPr>
          <w:rStyle w:val="FootnoteReference"/>
          <w:rFonts w:ascii="Arial Narrow" w:hAnsi="Arial Narrow" w:cs="Arial"/>
          <w:sz w:val="24"/>
          <w:szCs w:val="24"/>
        </w:rPr>
        <w:t xml:space="preserve"> response to treatment of type 2 diabetes by gastric electrical stimulation. A novel </w:t>
      </w:r>
      <w:proofErr w:type="spellStart"/>
      <w:r w:rsidRPr="000E0E06">
        <w:rPr>
          <w:rStyle w:val="FootnoteReference"/>
          <w:rFonts w:ascii="Arial Narrow" w:hAnsi="Arial Narrow" w:cs="Arial"/>
          <w:sz w:val="24"/>
          <w:szCs w:val="24"/>
        </w:rPr>
        <w:t>lipotoxicity</w:t>
      </w:r>
      <w:proofErr w:type="spellEnd"/>
      <w:r w:rsidRPr="000E0E06">
        <w:rPr>
          <w:rStyle w:val="FootnoteReference"/>
          <w:rFonts w:ascii="Arial Narrow" w:hAnsi="Arial Narrow" w:cs="Arial"/>
          <w:sz w:val="24"/>
          <w:szCs w:val="24"/>
        </w:rPr>
        <w:t xml:space="preserve"> paradigm. </w:t>
      </w:r>
      <w:proofErr w:type="spellStart"/>
      <w:r w:rsidRPr="000E0E06">
        <w:rPr>
          <w:rStyle w:val="FootnoteReference"/>
          <w:rFonts w:ascii="Arial Narrow" w:hAnsi="Arial Narrow" w:cs="Arial"/>
          <w:sz w:val="24"/>
          <w:szCs w:val="24"/>
        </w:rPr>
        <w:t>Diab</w:t>
      </w:r>
      <w:proofErr w:type="spellEnd"/>
      <w:r w:rsidRPr="000E0E06">
        <w:rPr>
          <w:rStyle w:val="FootnoteReference"/>
          <w:rFonts w:ascii="Arial Narrow" w:hAnsi="Arial Narrow" w:cs="Arial"/>
          <w:sz w:val="24"/>
          <w:szCs w:val="24"/>
        </w:rPr>
        <w:t xml:space="preserve"> Med 30:687-93.</w:t>
      </w:r>
    </w:p>
    <w:p w:rsidR="000E0E06" w:rsidRPr="000E0E06" w:rsidRDefault="000E0E06" w:rsidP="000E0E06">
      <w:pPr>
        <w:pStyle w:val="FootnoteText"/>
        <w:rPr>
          <w:rStyle w:val="FootnoteReference"/>
          <w:rFonts w:ascii="Arial Narrow" w:hAnsi="Arial Narrow" w:cs="Arial"/>
          <w:sz w:val="24"/>
          <w:szCs w:val="24"/>
        </w:rPr>
      </w:pPr>
      <w:r w:rsidRPr="000E0E06">
        <w:rPr>
          <w:rStyle w:val="FootnoteReference"/>
          <w:rFonts w:ascii="Arial Narrow" w:hAnsi="Arial Narrow" w:cs="Arial"/>
          <w:sz w:val="24"/>
          <w:szCs w:val="24"/>
        </w:rPr>
        <w:t xml:space="preserve">  </w:t>
      </w:r>
      <w:proofErr w:type="spellStart"/>
      <w:r w:rsidRPr="000E0E06">
        <w:rPr>
          <w:rStyle w:val="FootnoteReference"/>
          <w:rFonts w:ascii="Arial Narrow" w:hAnsi="Arial Narrow" w:cs="Arial"/>
          <w:sz w:val="24"/>
          <w:szCs w:val="24"/>
        </w:rPr>
        <w:t>Policker</w:t>
      </w:r>
      <w:proofErr w:type="spellEnd"/>
      <w:r w:rsidRPr="000E0E06">
        <w:rPr>
          <w:rStyle w:val="FootnoteReference"/>
          <w:rFonts w:ascii="Arial Narrow" w:hAnsi="Arial Narrow" w:cs="Arial"/>
          <w:sz w:val="24"/>
          <w:szCs w:val="24"/>
        </w:rPr>
        <w:t xml:space="preserve"> S, et al (2008). Electrical stimulation of the gut for the treatment of type 2 diabetes: the role of automatic eating detection. J </w:t>
      </w:r>
      <w:proofErr w:type="spellStart"/>
      <w:r w:rsidRPr="000E0E06">
        <w:rPr>
          <w:rStyle w:val="FootnoteReference"/>
          <w:rFonts w:ascii="Arial Narrow" w:hAnsi="Arial Narrow" w:cs="Arial"/>
          <w:sz w:val="24"/>
          <w:szCs w:val="24"/>
        </w:rPr>
        <w:t>Diab</w:t>
      </w:r>
      <w:proofErr w:type="spellEnd"/>
      <w:r w:rsidRPr="000E0E06">
        <w:rPr>
          <w:rStyle w:val="FootnoteReference"/>
          <w:rFonts w:ascii="Arial Narrow" w:hAnsi="Arial Narrow" w:cs="Arial"/>
          <w:sz w:val="24"/>
          <w:szCs w:val="24"/>
        </w:rPr>
        <w:t xml:space="preserve"> </w:t>
      </w:r>
      <w:proofErr w:type="spellStart"/>
      <w:r w:rsidRPr="000E0E06">
        <w:rPr>
          <w:rStyle w:val="FootnoteReference"/>
          <w:rFonts w:ascii="Arial Narrow" w:hAnsi="Arial Narrow" w:cs="Arial"/>
          <w:sz w:val="24"/>
          <w:szCs w:val="24"/>
        </w:rPr>
        <w:t>Sci</w:t>
      </w:r>
      <w:proofErr w:type="spellEnd"/>
      <w:r w:rsidRPr="000E0E06">
        <w:rPr>
          <w:rStyle w:val="FootnoteReference"/>
          <w:rFonts w:ascii="Arial Narrow" w:hAnsi="Arial Narrow" w:cs="Arial"/>
          <w:sz w:val="24"/>
          <w:szCs w:val="24"/>
        </w:rPr>
        <w:t xml:space="preserve"> Tech 2(5): 906-12.</w:t>
      </w:r>
    </w:p>
    <w:p w:rsidR="000E0E06" w:rsidRPr="000E0E06" w:rsidRDefault="000E0E06" w:rsidP="000E0E06">
      <w:pPr>
        <w:pStyle w:val="FootnoteText"/>
        <w:rPr>
          <w:b/>
          <w:sz w:val="24"/>
          <w:szCs w:val="24"/>
        </w:rPr>
      </w:pPr>
      <w:r w:rsidRPr="000E0E06">
        <w:rPr>
          <w:rStyle w:val="FootnoteReference"/>
          <w:rFonts w:ascii="Arial Narrow" w:hAnsi="Arial Narrow" w:cs="Arial"/>
          <w:sz w:val="24"/>
          <w:szCs w:val="24"/>
        </w:rPr>
        <w:t xml:space="preserve">  </w:t>
      </w:r>
      <w:proofErr w:type="spellStart"/>
      <w:r w:rsidRPr="000E0E06">
        <w:rPr>
          <w:rStyle w:val="FootnoteReference"/>
          <w:rFonts w:ascii="Arial Narrow" w:hAnsi="Arial Narrow" w:cs="Arial"/>
          <w:sz w:val="24"/>
          <w:szCs w:val="24"/>
        </w:rPr>
        <w:t>Sanmiguel</w:t>
      </w:r>
      <w:proofErr w:type="spellEnd"/>
      <w:r w:rsidRPr="000E0E06">
        <w:rPr>
          <w:rStyle w:val="FootnoteReference"/>
          <w:rFonts w:ascii="Arial Narrow" w:hAnsi="Arial Narrow" w:cs="Arial"/>
          <w:sz w:val="24"/>
          <w:szCs w:val="24"/>
        </w:rPr>
        <w:t xml:space="preserve"> CP, et al (2009). Gastric electrical stimulation with the TANTALUS® system in obese type 2 diabetes patients: effect on weight and </w:t>
      </w:r>
      <w:proofErr w:type="spellStart"/>
      <w:r w:rsidR="00F63415" w:rsidRPr="000E0E06">
        <w:rPr>
          <w:rStyle w:val="FootnoteReference"/>
          <w:rFonts w:ascii="Arial Narrow" w:hAnsi="Arial Narrow" w:cs="Arial"/>
          <w:sz w:val="24"/>
          <w:szCs w:val="24"/>
        </w:rPr>
        <w:t>glyceamic</w:t>
      </w:r>
      <w:proofErr w:type="spellEnd"/>
      <w:r w:rsidRPr="000E0E06">
        <w:rPr>
          <w:rStyle w:val="FootnoteReference"/>
          <w:rFonts w:ascii="Arial Narrow" w:hAnsi="Arial Narrow" w:cs="Arial"/>
          <w:sz w:val="24"/>
          <w:szCs w:val="24"/>
        </w:rPr>
        <w:t xml:space="preserve"> control. J </w:t>
      </w:r>
      <w:proofErr w:type="spellStart"/>
      <w:r w:rsidRPr="000E0E06">
        <w:rPr>
          <w:rStyle w:val="FootnoteReference"/>
          <w:rFonts w:ascii="Arial Narrow" w:hAnsi="Arial Narrow" w:cs="Arial"/>
          <w:sz w:val="24"/>
          <w:szCs w:val="24"/>
        </w:rPr>
        <w:t>Diab</w:t>
      </w:r>
      <w:proofErr w:type="spellEnd"/>
      <w:r w:rsidRPr="000E0E06">
        <w:rPr>
          <w:rStyle w:val="FootnoteReference"/>
          <w:rFonts w:ascii="Arial Narrow" w:hAnsi="Arial Narrow" w:cs="Arial"/>
          <w:sz w:val="24"/>
          <w:szCs w:val="24"/>
        </w:rPr>
        <w:t xml:space="preserve"> </w:t>
      </w:r>
      <w:proofErr w:type="spellStart"/>
      <w:r w:rsidRPr="000E0E06">
        <w:rPr>
          <w:rStyle w:val="FootnoteReference"/>
          <w:rFonts w:ascii="Arial Narrow" w:hAnsi="Arial Narrow" w:cs="Arial"/>
          <w:sz w:val="24"/>
          <w:szCs w:val="24"/>
        </w:rPr>
        <w:t>Sci</w:t>
      </w:r>
      <w:proofErr w:type="spellEnd"/>
      <w:r w:rsidRPr="000E0E06">
        <w:rPr>
          <w:rStyle w:val="FootnoteReference"/>
          <w:rFonts w:ascii="Arial Narrow" w:hAnsi="Arial Narrow" w:cs="Arial"/>
          <w:sz w:val="24"/>
          <w:szCs w:val="24"/>
        </w:rPr>
        <w:t xml:space="preserve"> Tech 3(4): 1-7</w:t>
      </w:r>
    </w:p>
    <w:sectPr w:rsidR="000E0E06" w:rsidRPr="000E0E06" w:rsidSect="00D0414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9B" w:rsidRDefault="004C169B" w:rsidP="008B5AB2">
      <w:pPr>
        <w:spacing w:after="0" w:line="240" w:lineRule="auto"/>
      </w:pPr>
      <w:r>
        <w:separator/>
      </w:r>
    </w:p>
  </w:endnote>
  <w:endnote w:type="continuationSeparator" w:id="0">
    <w:p w:rsidR="004C169B" w:rsidRDefault="004C169B"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A7" w:rsidRDefault="00AA2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77523550"/>
      <w:docPartObj>
        <w:docPartGallery w:val="Page Numbers (Bottom of Page)"/>
        <w:docPartUnique/>
      </w:docPartObj>
    </w:sdtPr>
    <w:sdtEndPr>
      <w:rPr>
        <w:sz w:val="22"/>
        <w:szCs w:val="22"/>
      </w:rPr>
    </w:sdtEndPr>
    <w:sdtContent>
      <w:p w:rsidR="001C6FEE" w:rsidRDefault="001C6FEE" w:rsidP="003D4BB3">
        <w:pPr>
          <w:pStyle w:val="Footer"/>
          <w:pBdr>
            <w:top w:val="single" w:sz="4" w:space="1" w:color="auto"/>
          </w:pBdr>
          <w:rPr>
            <w:noProof/>
            <w:sz w:val="16"/>
            <w:szCs w:val="16"/>
          </w:rPr>
        </w:pPr>
        <w:r>
          <w:rPr>
            <w:sz w:val="16"/>
            <w:szCs w:val="16"/>
          </w:rPr>
          <w:t>MetaCure Australia Pty Ltd</w:t>
        </w:r>
        <w:r w:rsidRPr="003D4BB3">
          <w:rPr>
            <w:sz w:val="16"/>
            <w:szCs w:val="16"/>
          </w:rPr>
          <w:ptab w:relativeTo="margin" w:alignment="center" w:leader="none"/>
        </w:r>
        <w:r w:rsidRPr="003D4BB3">
          <w:rPr>
            <w:sz w:val="16"/>
            <w:szCs w:val="16"/>
          </w:rPr>
          <w:t>Commercial-in-Confidence</w:t>
        </w:r>
        <w:r w:rsidRPr="003D4BB3">
          <w:rPr>
            <w:sz w:val="16"/>
            <w:szCs w:val="16"/>
          </w:rPr>
          <w:tab/>
        </w:r>
        <w:r w:rsidRPr="003D4BB3">
          <w:rPr>
            <w:sz w:val="16"/>
            <w:szCs w:val="16"/>
          </w:rPr>
          <w:fldChar w:fldCharType="begin"/>
        </w:r>
        <w:r w:rsidRPr="003D4BB3">
          <w:rPr>
            <w:sz w:val="16"/>
            <w:szCs w:val="16"/>
          </w:rPr>
          <w:instrText xml:space="preserve"> PAGE   \* MERGEFORMAT </w:instrText>
        </w:r>
        <w:r w:rsidRPr="003D4BB3">
          <w:rPr>
            <w:sz w:val="16"/>
            <w:szCs w:val="16"/>
          </w:rPr>
          <w:fldChar w:fldCharType="separate"/>
        </w:r>
        <w:r w:rsidR="008C50CF">
          <w:rPr>
            <w:noProof/>
            <w:sz w:val="16"/>
            <w:szCs w:val="16"/>
          </w:rPr>
          <w:t>13</w:t>
        </w:r>
        <w:r w:rsidRPr="003D4BB3">
          <w:rPr>
            <w:noProof/>
            <w:sz w:val="16"/>
            <w:szCs w:val="16"/>
          </w:rPr>
          <w:fldChar w:fldCharType="end"/>
        </w:r>
      </w:p>
      <w:p w:rsidR="001C6FEE" w:rsidRPr="003D4BB3" w:rsidRDefault="001C6FEE" w:rsidP="00074E31">
        <w:pPr>
          <w:pStyle w:val="Footer"/>
          <w:pBdr>
            <w:top w:val="single" w:sz="4" w:space="1" w:color="auto"/>
          </w:pBdr>
          <w:jc w:val="center"/>
          <w:rPr>
            <w:sz w:val="16"/>
            <w:szCs w:val="16"/>
          </w:rPr>
        </w:pPr>
        <w:r>
          <w:rPr>
            <w:sz w:val="16"/>
            <w:szCs w:val="16"/>
          </w:rPr>
          <w:tab/>
          <w:t xml:space="preserve">Revised DAP 1386 </w:t>
        </w:r>
        <w:r>
          <w:rPr>
            <w:sz w:val="16"/>
            <w:szCs w:val="16"/>
          </w:rPr>
          <w:tab/>
        </w:r>
        <w:r w:rsidR="00FF307A">
          <w:rPr>
            <w:sz w:val="16"/>
            <w:szCs w:val="16"/>
          </w:rPr>
          <w:t>15021</w:t>
        </w:r>
        <w:r w:rsidR="009E6DE1">
          <w:rPr>
            <w:sz w:val="16"/>
            <w:szCs w:val="16"/>
          </w:rPr>
          <w:t>3</w:t>
        </w:r>
        <w:r w:rsidR="00FF307A" w:rsidRPr="003D4BB3">
          <w:rPr>
            <w:sz w:val="16"/>
            <w:szCs w:val="16"/>
          </w:rPr>
          <w:ptab w:relativeTo="margin" w:alignment="right" w:leader="none"/>
        </w:r>
      </w:p>
      <w:p w:rsidR="001C6FEE" w:rsidRDefault="004C169B">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A7" w:rsidRDefault="00AA2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9B" w:rsidRDefault="004C169B" w:rsidP="008B5AB2">
      <w:pPr>
        <w:spacing w:after="0" w:line="240" w:lineRule="auto"/>
      </w:pPr>
      <w:r>
        <w:separator/>
      </w:r>
    </w:p>
  </w:footnote>
  <w:footnote w:type="continuationSeparator" w:id="0">
    <w:p w:rsidR="004C169B" w:rsidRDefault="004C169B" w:rsidP="008B5AB2">
      <w:pPr>
        <w:spacing w:after="0" w:line="240" w:lineRule="auto"/>
      </w:pPr>
      <w:r>
        <w:continuationSeparator/>
      </w:r>
    </w:p>
  </w:footnote>
  <w:footnote w:id="1">
    <w:p w:rsidR="001C6FEE" w:rsidRPr="00883F0A" w:rsidRDefault="001C6FEE" w:rsidP="000C3A0F">
      <w:pPr>
        <w:pStyle w:val="FootnoteText"/>
        <w:rPr>
          <w:sz w:val="16"/>
          <w:szCs w:val="16"/>
        </w:rPr>
      </w:pPr>
      <w:r w:rsidRPr="00883F0A">
        <w:rPr>
          <w:rStyle w:val="FootnoteReference"/>
          <w:sz w:val="16"/>
          <w:szCs w:val="16"/>
        </w:rPr>
        <w:footnoteRef/>
      </w:r>
      <w:r w:rsidRPr="00883F0A">
        <w:rPr>
          <w:sz w:val="16"/>
          <w:szCs w:val="16"/>
        </w:rPr>
        <w:t xml:space="preserve"> The definition of normal triglycerides used for this applic</w:t>
      </w:r>
      <w:r>
        <w:rPr>
          <w:sz w:val="16"/>
          <w:szCs w:val="16"/>
        </w:rPr>
        <w:t>ation is consistent with the GCM</w:t>
      </w:r>
      <w:r w:rsidRPr="00883F0A">
        <w:rPr>
          <w:sz w:val="16"/>
          <w:szCs w:val="16"/>
        </w:rPr>
        <w:t xml:space="preserve"> therapy clinical trial data. In some cases, normal triglycerides are defined as fasting plasma triglycerides &lt;2.0mmol/l (</w:t>
      </w:r>
      <w:r>
        <w:rPr>
          <w:sz w:val="16"/>
          <w:szCs w:val="16"/>
        </w:rPr>
        <w:fldChar w:fldCharType="begin"/>
      </w:r>
      <w:r>
        <w:rPr>
          <w:sz w:val="16"/>
          <w:szCs w:val="16"/>
        </w:rPr>
        <w:instrText xml:space="preserve"> ADDIN EN.CITE &lt;EndNote&gt;&lt;Cite ExcludeAuth="1"&gt;&lt;Year&gt;2012&lt;/Year&gt;&lt;RecNum&gt;23&lt;/RecNum&gt;&lt;DisplayText&gt;(2012). Australian Health Survey: Biomedical Results for Chronic Disease, 2011-2012 Cat number 4364.0.55.005.&lt;/DisplayText&gt;&lt;record&gt;&lt;rec-number&gt;23&lt;/rec-number&gt;&lt;foreign-keys&gt;&lt;key app="EN" db-id="9rwdwz9ertf5roea2scxxfeh5fwdfdsff5ep" timestamp="1413339414"&gt;23&lt;/key&gt;&lt;/foreign-keys&gt;&lt;ref-type name="Report"&gt;27&lt;/ref-type&gt;&lt;contributors&gt;&lt;/contributors&gt;&lt;titles&gt;&lt;title&gt;Australian Health Survey: Biomedical Results for Chronic Disease, 2011-2012 Cat number 4364.0.55.005&lt;/title&gt;&lt;/titles&gt;&lt;dates&gt;&lt;year&gt;2012&lt;/year&gt;&lt;/dates&gt;&lt;urls&gt;&lt;/urls&gt;&lt;/record&gt;&lt;/Cite&gt;&lt;/EndNote&gt;</w:instrText>
      </w:r>
      <w:r>
        <w:rPr>
          <w:sz w:val="16"/>
          <w:szCs w:val="16"/>
        </w:rPr>
        <w:fldChar w:fldCharType="separate"/>
      </w:r>
      <w:r>
        <w:rPr>
          <w:noProof/>
          <w:sz w:val="16"/>
          <w:szCs w:val="16"/>
        </w:rPr>
        <w:t>(2012). Australian Health Survey: Biomedical Results for Chronic Disease, 2011-2012 Cat number 4364.0.55.005.</w:t>
      </w:r>
      <w:r>
        <w:rPr>
          <w:sz w:val="16"/>
          <w:szCs w:val="16"/>
        </w:rPr>
        <w:fldChar w:fldCharType="end"/>
      </w:r>
    </w:p>
  </w:footnote>
  <w:footnote w:id="2">
    <w:p w:rsidR="001C6FEE" w:rsidRDefault="001C6FEE">
      <w:pPr>
        <w:pStyle w:val="FootnoteText"/>
      </w:pPr>
      <w:r>
        <w:rPr>
          <w:rStyle w:val="FootnoteReference"/>
        </w:rPr>
        <w:footnoteRef/>
      </w:r>
      <w:r>
        <w:t xml:space="preserve"> PASC suggested that consideration be given to including an upper age limit in the requested patient population. The sponsor has chosen not to add this in on the grounds that - no currently funded laparoscopic procedure has an upper age limit, patients should be assessed on their suitability for treatment, not age, and it is inequitable. We accept that MSAC may consider adding an upper age limit.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A7" w:rsidRDefault="004C16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14719" o:spid="_x0000_s2050" type="#_x0000_t136" style="position:absolute;left:0;text-align:left;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EE" w:rsidRPr="003D4BB3" w:rsidRDefault="004C169B" w:rsidP="003D4BB3">
    <w:pPr>
      <w:pStyle w:val="Header"/>
      <w:pBdr>
        <w:bottom w:val="single" w:sz="4" w:space="1" w:color="auto"/>
      </w:pBdr>
      <w:jc w:val="left"/>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14720" o:spid="_x0000_s2051"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1C6FEE" w:rsidRPr="003D4BB3">
      <w:rPr>
        <w:sz w:val="16"/>
        <w:szCs w:val="16"/>
      </w:rPr>
      <w:t>DIAMOND™ system DAP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A7" w:rsidRDefault="004C16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14718" o:spid="_x0000_s2049" type="#_x0000_t136" style="position:absolute;left:0;text-align:left;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DCF"/>
    <w:multiLevelType w:val="hybridMultilevel"/>
    <w:tmpl w:val="FB882D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314365E"/>
    <w:multiLevelType w:val="hybridMultilevel"/>
    <w:tmpl w:val="E99A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7A0551"/>
    <w:multiLevelType w:val="hybridMultilevel"/>
    <w:tmpl w:val="E7786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105A2F"/>
    <w:multiLevelType w:val="hybridMultilevel"/>
    <w:tmpl w:val="BA48F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03444A"/>
    <w:multiLevelType w:val="hybridMultilevel"/>
    <w:tmpl w:val="583A36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DD70E6"/>
    <w:multiLevelType w:val="hybridMultilevel"/>
    <w:tmpl w:val="DC04458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8C363CE"/>
    <w:multiLevelType w:val="multilevel"/>
    <w:tmpl w:val="6B8C46FE"/>
    <w:lvl w:ilvl="0">
      <w:start w:val="1"/>
      <w:numFmt w:val="bullet"/>
      <w:pStyle w:val="ListBullet1"/>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BF15AA3"/>
    <w:multiLevelType w:val="hybridMultilevel"/>
    <w:tmpl w:val="CEA42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722CE6"/>
    <w:multiLevelType w:val="hybridMultilevel"/>
    <w:tmpl w:val="390A7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B833F6"/>
    <w:multiLevelType w:val="hybridMultilevel"/>
    <w:tmpl w:val="26025C38"/>
    <w:lvl w:ilvl="0" w:tplc="46F8EDA8">
      <w:start w:val="1"/>
      <w:numFmt w:val="bullet"/>
      <w:lvlText w:val="•"/>
      <w:lvlJc w:val="left"/>
      <w:pPr>
        <w:tabs>
          <w:tab w:val="num" w:pos="1080"/>
        </w:tabs>
        <w:ind w:left="1080" w:hanging="360"/>
      </w:pPr>
      <w:rPr>
        <w:rFonts w:ascii="Arial" w:hAnsi="Arial" w:hint="default"/>
      </w:rPr>
    </w:lvl>
    <w:lvl w:ilvl="1" w:tplc="DEB0A0BC" w:tentative="1">
      <w:start w:val="1"/>
      <w:numFmt w:val="bullet"/>
      <w:lvlText w:val="•"/>
      <w:lvlJc w:val="left"/>
      <w:pPr>
        <w:tabs>
          <w:tab w:val="num" w:pos="1800"/>
        </w:tabs>
        <w:ind w:left="1800" w:hanging="360"/>
      </w:pPr>
      <w:rPr>
        <w:rFonts w:ascii="Arial" w:hAnsi="Arial" w:hint="default"/>
      </w:rPr>
    </w:lvl>
    <w:lvl w:ilvl="2" w:tplc="D25A6CDE" w:tentative="1">
      <w:start w:val="1"/>
      <w:numFmt w:val="bullet"/>
      <w:lvlText w:val="•"/>
      <w:lvlJc w:val="left"/>
      <w:pPr>
        <w:tabs>
          <w:tab w:val="num" w:pos="2520"/>
        </w:tabs>
        <w:ind w:left="2520" w:hanging="360"/>
      </w:pPr>
      <w:rPr>
        <w:rFonts w:ascii="Arial" w:hAnsi="Arial" w:hint="default"/>
      </w:rPr>
    </w:lvl>
    <w:lvl w:ilvl="3" w:tplc="F0B84808" w:tentative="1">
      <w:start w:val="1"/>
      <w:numFmt w:val="bullet"/>
      <w:lvlText w:val="•"/>
      <w:lvlJc w:val="left"/>
      <w:pPr>
        <w:tabs>
          <w:tab w:val="num" w:pos="3240"/>
        </w:tabs>
        <w:ind w:left="3240" w:hanging="360"/>
      </w:pPr>
      <w:rPr>
        <w:rFonts w:ascii="Arial" w:hAnsi="Arial" w:hint="default"/>
      </w:rPr>
    </w:lvl>
    <w:lvl w:ilvl="4" w:tplc="ECF28FB2" w:tentative="1">
      <w:start w:val="1"/>
      <w:numFmt w:val="bullet"/>
      <w:lvlText w:val="•"/>
      <w:lvlJc w:val="left"/>
      <w:pPr>
        <w:tabs>
          <w:tab w:val="num" w:pos="3960"/>
        </w:tabs>
        <w:ind w:left="3960" w:hanging="360"/>
      </w:pPr>
      <w:rPr>
        <w:rFonts w:ascii="Arial" w:hAnsi="Arial" w:hint="default"/>
      </w:rPr>
    </w:lvl>
    <w:lvl w:ilvl="5" w:tplc="28D01D10" w:tentative="1">
      <w:start w:val="1"/>
      <w:numFmt w:val="bullet"/>
      <w:lvlText w:val="•"/>
      <w:lvlJc w:val="left"/>
      <w:pPr>
        <w:tabs>
          <w:tab w:val="num" w:pos="4680"/>
        </w:tabs>
        <w:ind w:left="4680" w:hanging="360"/>
      </w:pPr>
      <w:rPr>
        <w:rFonts w:ascii="Arial" w:hAnsi="Arial" w:hint="default"/>
      </w:rPr>
    </w:lvl>
    <w:lvl w:ilvl="6" w:tplc="54F8FDC8" w:tentative="1">
      <w:start w:val="1"/>
      <w:numFmt w:val="bullet"/>
      <w:lvlText w:val="•"/>
      <w:lvlJc w:val="left"/>
      <w:pPr>
        <w:tabs>
          <w:tab w:val="num" w:pos="5400"/>
        </w:tabs>
        <w:ind w:left="5400" w:hanging="360"/>
      </w:pPr>
      <w:rPr>
        <w:rFonts w:ascii="Arial" w:hAnsi="Arial" w:hint="default"/>
      </w:rPr>
    </w:lvl>
    <w:lvl w:ilvl="7" w:tplc="9968A8BC" w:tentative="1">
      <w:start w:val="1"/>
      <w:numFmt w:val="bullet"/>
      <w:lvlText w:val="•"/>
      <w:lvlJc w:val="left"/>
      <w:pPr>
        <w:tabs>
          <w:tab w:val="num" w:pos="6120"/>
        </w:tabs>
        <w:ind w:left="6120" w:hanging="360"/>
      </w:pPr>
      <w:rPr>
        <w:rFonts w:ascii="Arial" w:hAnsi="Arial" w:hint="default"/>
      </w:rPr>
    </w:lvl>
    <w:lvl w:ilvl="8" w:tplc="BF20C2EC" w:tentative="1">
      <w:start w:val="1"/>
      <w:numFmt w:val="bullet"/>
      <w:lvlText w:val="•"/>
      <w:lvlJc w:val="left"/>
      <w:pPr>
        <w:tabs>
          <w:tab w:val="num" w:pos="6840"/>
        </w:tabs>
        <w:ind w:left="6840" w:hanging="360"/>
      </w:pPr>
      <w:rPr>
        <w:rFonts w:ascii="Arial" w:hAnsi="Arial" w:hint="default"/>
      </w:rPr>
    </w:lvl>
  </w:abstractNum>
  <w:abstractNum w:abstractNumId="10">
    <w:nsid w:val="106069DC"/>
    <w:multiLevelType w:val="hybridMultilevel"/>
    <w:tmpl w:val="583A36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CC7B9F"/>
    <w:multiLevelType w:val="hybridMultilevel"/>
    <w:tmpl w:val="A9688B3C"/>
    <w:lvl w:ilvl="0" w:tplc="8C7C120C">
      <w:start w:val="3"/>
      <w:numFmt w:val="bullet"/>
      <w:lvlText w:val="-"/>
      <w:lvlJc w:val="left"/>
      <w:pPr>
        <w:ind w:left="765" w:hanging="360"/>
      </w:pPr>
      <w:rPr>
        <w:rFonts w:ascii="Arial" w:eastAsia="Times New Roman"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1AC47BED"/>
    <w:multiLevelType w:val="hybridMultilevel"/>
    <w:tmpl w:val="13FE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CE60E2"/>
    <w:multiLevelType w:val="hybridMultilevel"/>
    <w:tmpl w:val="A5D0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2C463C"/>
    <w:multiLevelType w:val="hybridMultilevel"/>
    <w:tmpl w:val="9CD2C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8D2C4D"/>
    <w:multiLevelType w:val="multilevel"/>
    <w:tmpl w:val="9FE6DBC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6">
    <w:nsid w:val="3DDC733E"/>
    <w:multiLevelType w:val="hybridMultilevel"/>
    <w:tmpl w:val="C9D80E5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7">
    <w:nsid w:val="436C45E8"/>
    <w:multiLevelType w:val="hybridMultilevel"/>
    <w:tmpl w:val="3D847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721BF2"/>
    <w:multiLevelType w:val="hybridMultilevel"/>
    <w:tmpl w:val="583A36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FD0D8E"/>
    <w:multiLevelType w:val="hybridMultilevel"/>
    <w:tmpl w:val="AF0E3052"/>
    <w:lvl w:ilvl="0" w:tplc="88CEF17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45FB706B"/>
    <w:multiLevelType w:val="hybridMultilevel"/>
    <w:tmpl w:val="22601D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8C28AE"/>
    <w:multiLevelType w:val="hybridMultilevel"/>
    <w:tmpl w:val="98C4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9F5486"/>
    <w:multiLevelType w:val="hybridMultilevel"/>
    <w:tmpl w:val="583A366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7C5739D"/>
    <w:multiLevelType w:val="hybridMultilevel"/>
    <w:tmpl w:val="5320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277D84"/>
    <w:multiLevelType w:val="hybridMultilevel"/>
    <w:tmpl w:val="9CA0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A21CD2"/>
    <w:multiLevelType w:val="hybridMultilevel"/>
    <w:tmpl w:val="B1D2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F5007E"/>
    <w:multiLevelType w:val="hybridMultilevel"/>
    <w:tmpl w:val="20AE31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863122"/>
    <w:multiLevelType w:val="hybridMultilevel"/>
    <w:tmpl w:val="DA6A9C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074281"/>
    <w:multiLevelType w:val="hybridMultilevel"/>
    <w:tmpl w:val="3A3212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9B556A"/>
    <w:multiLevelType w:val="hybridMultilevel"/>
    <w:tmpl w:val="277E7D26"/>
    <w:lvl w:ilvl="0" w:tplc="B5B8FE9E">
      <w:start w:val="1"/>
      <w:numFmt w:val="decimal"/>
      <w:pStyle w:val="Heading1"/>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4"/>
  </w:num>
  <w:num w:numId="3">
    <w:abstractNumId w:val="2"/>
  </w:num>
  <w:num w:numId="4">
    <w:abstractNumId w:val="13"/>
  </w:num>
  <w:num w:numId="5">
    <w:abstractNumId w:val="17"/>
  </w:num>
  <w:num w:numId="6">
    <w:abstractNumId w:val="29"/>
  </w:num>
  <w:num w:numId="7">
    <w:abstractNumId w:val="8"/>
  </w:num>
  <w:num w:numId="8">
    <w:abstractNumId w:val="23"/>
  </w:num>
  <w:num w:numId="9">
    <w:abstractNumId w:val="4"/>
  </w:num>
  <w:num w:numId="10">
    <w:abstractNumId w:val="22"/>
  </w:num>
  <w:num w:numId="11">
    <w:abstractNumId w:val="12"/>
  </w:num>
  <w:num w:numId="12">
    <w:abstractNumId w:val="9"/>
  </w:num>
  <w:num w:numId="13">
    <w:abstractNumId w:val="11"/>
  </w:num>
  <w:num w:numId="14">
    <w:abstractNumId w:val="5"/>
  </w:num>
  <w:num w:numId="15">
    <w:abstractNumId w:val="0"/>
  </w:num>
  <w:num w:numId="16">
    <w:abstractNumId w:val="26"/>
  </w:num>
  <w:num w:numId="17">
    <w:abstractNumId w:val="27"/>
  </w:num>
  <w:num w:numId="18">
    <w:abstractNumId w:val="6"/>
  </w:num>
  <w:num w:numId="19">
    <w:abstractNumId w:val="15"/>
  </w:num>
  <w:num w:numId="20">
    <w:abstractNumId w:val="10"/>
  </w:num>
  <w:num w:numId="21">
    <w:abstractNumId w:val="18"/>
  </w:num>
  <w:num w:numId="22">
    <w:abstractNumId w:val="20"/>
  </w:num>
  <w:num w:numId="23">
    <w:abstractNumId w:val="29"/>
  </w:num>
  <w:num w:numId="24">
    <w:abstractNumId w:val="28"/>
  </w:num>
  <w:num w:numId="25">
    <w:abstractNumId w:val="7"/>
  </w:num>
  <w:num w:numId="26">
    <w:abstractNumId w:val="25"/>
  </w:num>
  <w:num w:numId="27">
    <w:abstractNumId w:val="16"/>
  </w:num>
  <w:num w:numId="28">
    <w:abstractNumId w:val="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rwdwz9ertf5roea2scxxfeh5fwdfdsff5ep&quot;&gt;OPTIMIZER endnote&lt;record-ids&gt;&lt;item&gt;22&lt;/item&gt;&lt;item&gt;23&lt;/item&gt;&lt;item&gt;25&lt;/item&gt;&lt;item&gt;26&lt;/item&gt;&lt;item&gt;27&lt;/item&gt;&lt;/record-ids&gt;&lt;/item&gt;&lt;/Libraries&gt;"/>
  </w:docVars>
  <w:rsids>
    <w:rsidRoot w:val="008B5AB2"/>
    <w:rsid w:val="00003968"/>
    <w:rsid w:val="00005F6E"/>
    <w:rsid w:val="0001025C"/>
    <w:rsid w:val="00010ABE"/>
    <w:rsid w:val="000124CB"/>
    <w:rsid w:val="00015472"/>
    <w:rsid w:val="000177FC"/>
    <w:rsid w:val="00021747"/>
    <w:rsid w:val="00026DF8"/>
    <w:rsid w:val="000319FE"/>
    <w:rsid w:val="000324E3"/>
    <w:rsid w:val="00036CB0"/>
    <w:rsid w:val="000378F3"/>
    <w:rsid w:val="00041F1C"/>
    <w:rsid w:val="000525A3"/>
    <w:rsid w:val="000538D0"/>
    <w:rsid w:val="00055030"/>
    <w:rsid w:val="00057050"/>
    <w:rsid w:val="00062172"/>
    <w:rsid w:val="00064ABA"/>
    <w:rsid w:val="00070F60"/>
    <w:rsid w:val="00074E31"/>
    <w:rsid w:val="00074EB5"/>
    <w:rsid w:val="00076FE7"/>
    <w:rsid w:val="00081787"/>
    <w:rsid w:val="000831A9"/>
    <w:rsid w:val="00083829"/>
    <w:rsid w:val="000900B2"/>
    <w:rsid w:val="00090CA1"/>
    <w:rsid w:val="00091856"/>
    <w:rsid w:val="00094322"/>
    <w:rsid w:val="000945D9"/>
    <w:rsid w:val="000A4299"/>
    <w:rsid w:val="000A5713"/>
    <w:rsid w:val="000A57BC"/>
    <w:rsid w:val="000A5F8E"/>
    <w:rsid w:val="000A6A43"/>
    <w:rsid w:val="000B1682"/>
    <w:rsid w:val="000B25CB"/>
    <w:rsid w:val="000B4F12"/>
    <w:rsid w:val="000B79E8"/>
    <w:rsid w:val="000B7DA8"/>
    <w:rsid w:val="000C11E6"/>
    <w:rsid w:val="000C1AC9"/>
    <w:rsid w:val="000C382C"/>
    <w:rsid w:val="000C3A0F"/>
    <w:rsid w:val="000C5EB3"/>
    <w:rsid w:val="000C67AF"/>
    <w:rsid w:val="000D474B"/>
    <w:rsid w:val="000D5304"/>
    <w:rsid w:val="000D707A"/>
    <w:rsid w:val="000D7D0B"/>
    <w:rsid w:val="000E0E06"/>
    <w:rsid w:val="000E4210"/>
    <w:rsid w:val="000E4268"/>
    <w:rsid w:val="000E5B7F"/>
    <w:rsid w:val="000E78DC"/>
    <w:rsid w:val="000E7ED8"/>
    <w:rsid w:val="000F0062"/>
    <w:rsid w:val="000F0921"/>
    <w:rsid w:val="000F0CBF"/>
    <w:rsid w:val="000F1E46"/>
    <w:rsid w:val="000F5096"/>
    <w:rsid w:val="000F60C6"/>
    <w:rsid w:val="001006FB"/>
    <w:rsid w:val="001008C7"/>
    <w:rsid w:val="00101EF2"/>
    <w:rsid w:val="00102940"/>
    <w:rsid w:val="0010453E"/>
    <w:rsid w:val="00104884"/>
    <w:rsid w:val="00110305"/>
    <w:rsid w:val="001103BC"/>
    <w:rsid w:val="00115201"/>
    <w:rsid w:val="00121490"/>
    <w:rsid w:val="001236ED"/>
    <w:rsid w:val="001238DC"/>
    <w:rsid w:val="00125DD5"/>
    <w:rsid w:val="00126EC3"/>
    <w:rsid w:val="0013003F"/>
    <w:rsid w:val="00130A93"/>
    <w:rsid w:val="00135266"/>
    <w:rsid w:val="00135F4A"/>
    <w:rsid w:val="00142720"/>
    <w:rsid w:val="001429DE"/>
    <w:rsid w:val="001438B6"/>
    <w:rsid w:val="001450CF"/>
    <w:rsid w:val="001507E5"/>
    <w:rsid w:val="00150CE1"/>
    <w:rsid w:val="0015278B"/>
    <w:rsid w:val="00152EAA"/>
    <w:rsid w:val="00157249"/>
    <w:rsid w:val="00160A75"/>
    <w:rsid w:val="00160E25"/>
    <w:rsid w:val="00166879"/>
    <w:rsid w:val="00167157"/>
    <w:rsid w:val="00175FB3"/>
    <w:rsid w:val="001771F0"/>
    <w:rsid w:val="001806A9"/>
    <w:rsid w:val="00180C90"/>
    <w:rsid w:val="00185AC4"/>
    <w:rsid w:val="0018606E"/>
    <w:rsid w:val="00187738"/>
    <w:rsid w:val="00190677"/>
    <w:rsid w:val="00190DDC"/>
    <w:rsid w:val="001918F5"/>
    <w:rsid w:val="00193926"/>
    <w:rsid w:val="00196966"/>
    <w:rsid w:val="001A0E7E"/>
    <w:rsid w:val="001A7A92"/>
    <w:rsid w:val="001B0A21"/>
    <w:rsid w:val="001B2D9E"/>
    <w:rsid w:val="001B39D0"/>
    <w:rsid w:val="001B5416"/>
    <w:rsid w:val="001C4205"/>
    <w:rsid w:val="001C5899"/>
    <w:rsid w:val="001C6178"/>
    <w:rsid w:val="001C64AD"/>
    <w:rsid w:val="001C6FEE"/>
    <w:rsid w:val="001D03F4"/>
    <w:rsid w:val="001D157B"/>
    <w:rsid w:val="001D480F"/>
    <w:rsid w:val="001D4873"/>
    <w:rsid w:val="001D7BF6"/>
    <w:rsid w:val="001E3B74"/>
    <w:rsid w:val="001E3DCC"/>
    <w:rsid w:val="001E6C0A"/>
    <w:rsid w:val="001F70CB"/>
    <w:rsid w:val="002008C7"/>
    <w:rsid w:val="00200DFC"/>
    <w:rsid w:val="00203935"/>
    <w:rsid w:val="00205138"/>
    <w:rsid w:val="002061C4"/>
    <w:rsid w:val="00212260"/>
    <w:rsid w:val="00213BFB"/>
    <w:rsid w:val="00215B74"/>
    <w:rsid w:val="00216A63"/>
    <w:rsid w:val="00221276"/>
    <w:rsid w:val="002217A1"/>
    <w:rsid w:val="00223661"/>
    <w:rsid w:val="00225410"/>
    <w:rsid w:val="002301EF"/>
    <w:rsid w:val="00230D42"/>
    <w:rsid w:val="00231800"/>
    <w:rsid w:val="002366BA"/>
    <w:rsid w:val="00237E70"/>
    <w:rsid w:val="002447EE"/>
    <w:rsid w:val="00245068"/>
    <w:rsid w:val="00251F0A"/>
    <w:rsid w:val="0026092E"/>
    <w:rsid w:val="0026215A"/>
    <w:rsid w:val="00263B6C"/>
    <w:rsid w:val="002646BC"/>
    <w:rsid w:val="00264A70"/>
    <w:rsid w:val="00266406"/>
    <w:rsid w:val="00267C05"/>
    <w:rsid w:val="0027066C"/>
    <w:rsid w:val="002753F6"/>
    <w:rsid w:val="00282C1D"/>
    <w:rsid w:val="00284599"/>
    <w:rsid w:val="002849BC"/>
    <w:rsid w:val="00284AF2"/>
    <w:rsid w:val="00285B52"/>
    <w:rsid w:val="002863F0"/>
    <w:rsid w:val="00294062"/>
    <w:rsid w:val="0029480C"/>
    <w:rsid w:val="002A19DF"/>
    <w:rsid w:val="002A3A61"/>
    <w:rsid w:val="002B0636"/>
    <w:rsid w:val="002B1DCA"/>
    <w:rsid w:val="002C120F"/>
    <w:rsid w:val="002C2EAF"/>
    <w:rsid w:val="002C35C2"/>
    <w:rsid w:val="002C3A17"/>
    <w:rsid w:val="002D3805"/>
    <w:rsid w:val="002E13AA"/>
    <w:rsid w:val="002E2578"/>
    <w:rsid w:val="002E26D0"/>
    <w:rsid w:val="002E7CBA"/>
    <w:rsid w:val="002F49D4"/>
    <w:rsid w:val="002F7A70"/>
    <w:rsid w:val="00302A2B"/>
    <w:rsid w:val="00303574"/>
    <w:rsid w:val="00303A71"/>
    <w:rsid w:val="00304A79"/>
    <w:rsid w:val="003064CD"/>
    <w:rsid w:val="003068B0"/>
    <w:rsid w:val="00306D35"/>
    <w:rsid w:val="003102C8"/>
    <w:rsid w:val="00310BC5"/>
    <w:rsid w:val="00310EBD"/>
    <w:rsid w:val="003123C4"/>
    <w:rsid w:val="003140DB"/>
    <w:rsid w:val="003141CC"/>
    <w:rsid w:val="003155DD"/>
    <w:rsid w:val="003157ED"/>
    <w:rsid w:val="00316953"/>
    <w:rsid w:val="00322070"/>
    <w:rsid w:val="0033309F"/>
    <w:rsid w:val="00333368"/>
    <w:rsid w:val="003345BC"/>
    <w:rsid w:val="00335AD7"/>
    <w:rsid w:val="00336032"/>
    <w:rsid w:val="003410C0"/>
    <w:rsid w:val="003465BB"/>
    <w:rsid w:val="00350C8D"/>
    <w:rsid w:val="00360408"/>
    <w:rsid w:val="00361EA4"/>
    <w:rsid w:val="00364F47"/>
    <w:rsid w:val="00365052"/>
    <w:rsid w:val="00367F4E"/>
    <w:rsid w:val="00375C93"/>
    <w:rsid w:val="00380310"/>
    <w:rsid w:val="003807AC"/>
    <w:rsid w:val="00381A1E"/>
    <w:rsid w:val="00381C4E"/>
    <w:rsid w:val="00383449"/>
    <w:rsid w:val="00387566"/>
    <w:rsid w:val="00390357"/>
    <w:rsid w:val="00396B0E"/>
    <w:rsid w:val="003A008F"/>
    <w:rsid w:val="003A66B0"/>
    <w:rsid w:val="003A7780"/>
    <w:rsid w:val="003B5339"/>
    <w:rsid w:val="003C0429"/>
    <w:rsid w:val="003C087F"/>
    <w:rsid w:val="003C1408"/>
    <w:rsid w:val="003C537D"/>
    <w:rsid w:val="003C7B0B"/>
    <w:rsid w:val="003D062F"/>
    <w:rsid w:val="003D1E91"/>
    <w:rsid w:val="003D4BB3"/>
    <w:rsid w:val="003D5946"/>
    <w:rsid w:val="003E0EFF"/>
    <w:rsid w:val="003E1F3E"/>
    <w:rsid w:val="003E2A70"/>
    <w:rsid w:val="003E2CBD"/>
    <w:rsid w:val="003E5CA7"/>
    <w:rsid w:val="003F002C"/>
    <w:rsid w:val="003F2860"/>
    <w:rsid w:val="003F38CD"/>
    <w:rsid w:val="003F4C7B"/>
    <w:rsid w:val="003F53A2"/>
    <w:rsid w:val="00400489"/>
    <w:rsid w:val="00401729"/>
    <w:rsid w:val="0040397F"/>
    <w:rsid w:val="00403C39"/>
    <w:rsid w:val="00410B46"/>
    <w:rsid w:val="00411599"/>
    <w:rsid w:val="00416724"/>
    <w:rsid w:val="004234B6"/>
    <w:rsid w:val="00423521"/>
    <w:rsid w:val="00424D97"/>
    <w:rsid w:val="004304B2"/>
    <w:rsid w:val="00430A2C"/>
    <w:rsid w:val="00434BA1"/>
    <w:rsid w:val="00440074"/>
    <w:rsid w:val="00441729"/>
    <w:rsid w:val="0044251E"/>
    <w:rsid w:val="00444878"/>
    <w:rsid w:val="00444F4C"/>
    <w:rsid w:val="0044562E"/>
    <w:rsid w:val="0044572E"/>
    <w:rsid w:val="004507E2"/>
    <w:rsid w:val="00450B7A"/>
    <w:rsid w:val="00460036"/>
    <w:rsid w:val="00461BF1"/>
    <w:rsid w:val="00467943"/>
    <w:rsid w:val="00467B7C"/>
    <w:rsid w:val="004704C5"/>
    <w:rsid w:val="004709CD"/>
    <w:rsid w:val="00470DE4"/>
    <w:rsid w:val="00471DDB"/>
    <w:rsid w:val="004728BE"/>
    <w:rsid w:val="00473D54"/>
    <w:rsid w:val="004750DD"/>
    <w:rsid w:val="004777DE"/>
    <w:rsid w:val="00482CAF"/>
    <w:rsid w:val="00486B85"/>
    <w:rsid w:val="004902D5"/>
    <w:rsid w:val="00490967"/>
    <w:rsid w:val="00493186"/>
    <w:rsid w:val="00494388"/>
    <w:rsid w:val="004957EA"/>
    <w:rsid w:val="004967D2"/>
    <w:rsid w:val="004968A5"/>
    <w:rsid w:val="004A251F"/>
    <w:rsid w:val="004A2AA3"/>
    <w:rsid w:val="004A75BB"/>
    <w:rsid w:val="004B0831"/>
    <w:rsid w:val="004B2FB5"/>
    <w:rsid w:val="004B4361"/>
    <w:rsid w:val="004C169B"/>
    <w:rsid w:val="004C4410"/>
    <w:rsid w:val="004C5EFF"/>
    <w:rsid w:val="004C6D24"/>
    <w:rsid w:val="004C6EDB"/>
    <w:rsid w:val="004D0DAD"/>
    <w:rsid w:val="004D2A63"/>
    <w:rsid w:val="004D5A10"/>
    <w:rsid w:val="004D65F4"/>
    <w:rsid w:val="004D6EF1"/>
    <w:rsid w:val="004E3189"/>
    <w:rsid w:val="004F28D7"/>
    <w:rsid w:val="004F4E72"/>
    <w:rsid w:val="004F6277"/>
    <w:rsid w:val="004F7340"/>
    <w:rsid w:val="00501429"/>
    <w:rsid w:val="0050217C"/>
    <w:rsid w:val="005035DD"/>
    <w:rsid w:val="00505782"/>
    <w:rsid w:val="00507C4E"/>
    <w:rsid w:val="005105C5"/>
    <w:rsid w:val="0051072E"/>
    <w:rsid w:val="00510816"/>
    <w:rsid w:val="00510C1F"/>
    <w:rsid w:val="0051654D"/>
    <w:rsid w:val="005224D5"/>
    <w:rsid w:val="005231EE"/>
    <w:rsid w:val="0052566B"/>
    <w:rsid w:val="00532CCF"/>
    <w:rsid w:val="00532D8C"/>
    <w:rsid w:val="00534498"/>
    <w:rsid w:val="005355C0"/>
    <w:rsid w:val="00543268"/>
    <w:rsid w:val="0054759B"/>
    <w:rsid w:val="00550BBB"/>
    <w:rsid w:val="0055333B"/>
    <w:rsid w:val="0055455C"/>
    <w:rsid w:val="00555241"/>
    <w:rsid w:val="00555D72"/>
    <w:rsid w:val="00561455"/>
    <w:rsid w:val="00561649"/>
    <w:rsid w:val="0056507B"/>
    <w:rsid w:val="005661EC"/>
    <w:rsid w:val="00573107"/>
    <w:rsid w:val="005740EE"/>
    <w:rsid w:val="00576CC0"/>
    <w:rsid w:val="00584D47"/>
    <w:rsid w:val="005858A7"/>
    <w:rsid w:val="005931F3"/>
    <w:rsid w:val="005965F4"/>
    <w:rsid w:val="00597108"/>
    <w:rsid w:val="005A112C"/>
    <w:rsid w:val="005A12F6"/>
    <w:rsid w:val="005A23D8"/>
    <w:rsid w:val="005A371C"/>
    <w:rsid w:val="005A3758"/>
    <w:rsid w:val="005B1DA4"/>
    <w:rsid w:val="005C2490"/>
    <w:rsid w:val="005C2D3B"/>
    <w:rsid w:val="005C659E"/>
    <w:rsid w:val="005C6603"/>
    <w:rsid w:val="005C67C3"/>
    <w:rsid w:val="005C7992"/>
    <w:rsid w:val="005D09B8"/>
    <w:rsid w:val="005D774D"/>
    <w:rsid w:val="005D7ADD"/>
    <w:rsid w:val="005E08C5"/>
    <w:rsid w:val="005E2EA5"/>
    <w:rsid w:val="005E5FA7"/>
    <w:rsid w:val="005E6E9E"/>
    <w:rsid w:val="005E7238"/>
    <w:rsid w:val="005F0744"/>
    <w:rsid w:val="005F76F1"/>
    <w:rsid w:val="00601071"/>
    <w:rsid w:val="00602684"/>
    <w:rsid w:val="00602B41"/>
    <w:rsid w:val="00607D91"/>
    <w:rsid w:val="00610343"/>
    <w:rsid w:val="00611EEB"/>
    <w:rsid w:val="00617D15"/>
    <w:rsid w:val="00622517"/>
    <w:rsid w:val="006278F1"/>
    <w:rsid w:val="00627C5F"/>
    <w:rsid w:val="00627F4F"/>
    <w:rsid w:val="00633319"/>
    <w:rsid w:val="0063338D"/>
    <w:rsid w:val="00637293"/>
    <w:rsid w:val="00643CDE"/>
    <w:rsid w:val="0065029D"/>
    <w:rsid w:val="00650907"/>
    <w:rsid w:val="00651C3A"/>
    <w:rsid w:val="006613AC"/>
    <w:rsid w:val="00663F07"/>
    <w:rsid w:val="0066539B"/>
    <w:rsid w:val="00666A13"/>
    <w:rsid w:val="0067352C"/>
    <w:rsid w:val="0067467C"/>
    <w:rsid w:val="006807D4"/>
    <w:rsid w:val="00682C20"/>
    <w:rsid w:val="006848C4"/>
    <w:rsid w:val="00685E30"/>
    <w:rsid w:val="00686CD6"/>
    <w:rsid w:val="00690459"/>
    <w:rsid w:val="00691D1F"/>
    <w:rsid w:val="006950FF"/>
    <w:rsid w:val="006A19A3"/>
    <w:rsid w:val="006A3EB8"/>
    <w:rsid w:val="006B0D98"/>
    <w:rsid w:val="006B2E17"/>
    <w:rsid w:val="006C0FD1"/>
    <w:rsid w:val="006C193E"/>
    <w:rsid w:val="006C4514"/>
    <w:rsid w:val="006C47BC"/>
    <w:rsid w:val="006D2537"/>
    <w:rsid w:val="006D66ED"/>
    <w:rsid w:val="006E0168"/>
    <w:rsid w:val="006E036F"/>
    <w:rsid w:val="006E052A"/>
    <w:rsid w:val="006E359B"/>
    <w:rsid w:val="006E4B02"/>
    <w:rsid w:val="006E677C"/>
    <w:rsid w:val="006F5A30"/>
    <w:rsid w:val="006F6397"/>
    <w:rsid w:val="0070127B"/>
    <w:rsid w:val="00702B57"/>
    <w:rsid w:val="00711298"/>
    <w:rsid w:val="007113E8"/>
    <w:rsid w:val="00711764"/>
    <w:rsid w:val="00711AC8"/>
    <w:rsid w:val="00711F6E"/>
    <w:rsid w:val="007126BF"/>
    <w:rsid w:val="00712958"/>
    <w:rsid w:val="007175BC"/>
    <w:rsid w:val="00720942"/>
    <w:rsid w:val="00720B58"/>
    <w:rsid w:val="00721408"/>
    <w:rsid w:val="00724D5A"/>
    <w:rsid w:val="007313A1"/>
    <w:rsid w:val="00731AF3"/>
    <w:rsid w:val="00732394"/>
    <w:rsid w:val="00734138"/>
    <w:rsid w:val="00734675"/>
    <w:rsid w:val="00735B9D"/>
    <w:rsid w:val="00737D7B"/>
    <w:rsid w:val="0074434D"/>
    <w:rsid w:val="00747B00"/>
    <w:rsid w:val="00753526"/>
    <w:rsid w:val="0076539D"/>
    <w:rsid w:val="00766FEA"/>
    <w:rsid w:val="007673D6"/>
    <w:rsid w:val="00773952"/>
    <w:rsid w:val="00775B7E"/>
    <w:rsid w:val="007774A1"/>
    <w:rsid w:val="007775A8"/>
    <w:rsid w:val="0078240C"/>
    <w:rsid w:val="007827EF"/>
    <w:rsid w:val="00787BD9"/>
    <w:rsid w:val="00787F69"/>
    <w:rsid w:val="00790E09"/>
    <w:rsid w:val="00791A74"/>
    <w:rsid w:val="007969EE"/>
    <w:rsid w:val="007972BA"/>
    <w:rsid w:val="0079792F"/>
    <w:rsid w:val="007A075F"/>
    <w:rsid w:val="007A0ADC"/>
    <w:rsid w:val="007A0FF1"/>
    <w:rsid w:val="007A3A6E"/>
    <w:rsid w:val="007A4A9F"/>
    <w:rsid w:val="007A5811"/>
    <w:rsid w:val="007A7DDF"/>
    <w:rsid w:val="007B282A"/>
    <w:rsid w:val="007B28AF"/>
    <w:rsid w:val="007B30EB"/>
    <w:rsid w:val="007B3F03"/>
    <w:rsid w:val="007B55C2"/>
    <w:rsid w:val="007C50C3"/>
    <w:rsid w:val="007C562D"/>
    <w:rsid w:val="007C68C0"/>
    <w:rsid w:val="007D0755"/>
    <w:rsid w:val="007D47C7"/>
    <w:rsid w:val="007E1CF4"/>
    <w:rsid w:val="007E2B08"/>
    <w:rsid w:val="007E2D08"/>
    <w:rsid w:val="007E3BCC"/>
    <w:rsid w:val="007E6A6C"/>
    <w:rsid w:val="007F0950"/>
    <w:rsid w:val="007F67CE"/>
    <w:rsid w:val="007F6EA1"/>
    <w:rsid w:val="008023BA"/>
    <w:rsid w:val="00802B48"/>
    <w:rsid w:val="00803DB4"/>
    <w:rsid w:val="00804189"/>
    <w:rsid w:val="00811AFF"/>
    <w:rsid w:val="00811B00"/>
    <w:rsid w:val="00811D6C"/>
    <w:rsid w:val="0081505C"/>
    <w:rsid w:val="00820E97"/>
    <w:rsid w:val="00823A60"/>
    <w:rsid w:val="00823F9B"/>
    <w:rsid w:val="00826B03"/>
    <w:rsid w:val="00826C62"/>
    <w:rsid w:val="0083189E"/>
    <w:rsid w:val="00832B89"/>
    <w:rsid w:val="00832DC2"/>
    <w:rsid w:val="00833C8A"/>
    <w:rsid w:val="00836CB7"/>
    <w:rsid w:val="00841190"/>
    <w:rsid w:val="00841E2C"/>
    <w:rsid w:val="008426D6"/>
    <w:rsid w:val="00842BE9"/>
    <w:rsid w:val="008440A4"/>
    <w:rsid w:val="00844607"/>
    <w:rsid w:val="00845493"/>
    <w:rsid w:val="00846F5D"/>
    <w:rsid w:val="00847A43"/>
    <w:rsid w:val="008524ED"/>
    <w:rsid w:val="00853B63"/>
    <w:rsid w:val="0086077E"/>
    <w:rsid w:val="00862589"/>
    <w:rsid w:val="0086269E"/>
    <w:rsid w:val="00862838"/>
    <w:rsid w:val="00864023"/>
    <w:rsid w:val="00865E84"/>
    <w:rsid w:val="00866FB0"/>
    <w:rsid w:val="008670D6"/>
    <w:rsid w:val="008675A8"/>
    <w:rsid w:val="00871C96"/>
    <w:rsid w:val="008729A8"/>
    <w:rsid w:val="0087690B"/>
    <w:rsid w:val="0088078F"/>
    <w:rsid w:val="00887582"/>
    <w:rsid w:val="00891EFF"/>
    <w:rsid w:val="0089660D"/>
    <w:rsid w:val="008A6085"/>
    <w:rsid w:val="008B567B"/>
    <w:rsid w:val="008B5AB2"/>
    <w:rsid w:val="008C21F3"/>
    <w:rsid w:val="008C2321"/>
    <w:rsid w:val="008C39CC"/>
    <w:rsid w:val="008C43BF"/>
    <w:rsid w:val="008C50CF"/>
    <w:rsid w:val="008D0490"/>
    <w:rsid w:val="008D1BB5"/>
    <w:rsid w:val="008D5D0D"/>
    <w:rsid w:val="008D66BE"/>
    <w:rsid w:val="008E0412"/>
    <w:rsid w:val="008E5441"/>
    <w:rsid w:val="008F1839"/>
    <w:rsid w:val="008F355A"/>
    <w:rsid w:val="008F6F75"/>
    <w:rsid w:val="00900516"/>
    <w:rsid w:val="009009DD"/>
    <w:rsid w:val="009020B2"/>
    <w:rsid w:val="00902269"/>
    <w:rsid w:val="00902C07"/>
    <w:rsid w:val="00904608"/>
    <w:rsid w:val="0091098B"/>
    <w:rsid w:val="00911568"/>
    <w:rsid w:val="00923164"/>
    <w:rsid w:val="0092348B"/>
    <w:rsid w:val="00923D44"/>
    <w:rsid w:val="0092521F"/>
    <w:rsid w:val="00930002"/>
    <w:rsid w:val="009319FF"/>
    <w:rsid w:val="00931B7D"/>
    <w:rsid w:val="00933714"/>
    <w:rsid w:val="00934AA8"/>
    <w:rsid w:val="00940A15"/>
    <w:rsid w:val="00941A95"/>
    <w:rsid w:val="00941DC8"/>
    <w:rsid w:val="00942313"/>
    <w:rsid w:val="00942B51"/>
    <w:rsid w:val="00945BEA"/>
    <w:rsid w:val="0094634A"/>
    <w:rsid w:val="00946B50"/>
    <w:rsid w:val="0095304C"/>
    <w:rsid w:val="009531E9"/>
    <w:rsid w:val="00954DB3"/>
    <w:rsid w:val="0095535F"/>
    <w:rsid w:val="00963808"/>
    <w:rsid w:val="00964820"/>
    <w:rsid w:val="00965A78"/>
    <w:rsid w:val="009665AA"/>
    <w:rsid w:val="00967795"/>
    <w:rsid w:val="009766E7"/>
    <w:rsid w:val="00977212"/>
    <w:rsid w:val="009804F2"/>
    <w:rsid w:val="0098097D"/>
    <w:rsid w:val="00982C27"/>
    <w:rsid w:val="00984874"/>
    <w:rsid w:val="00985C77"/>
    <w:rsid w:val="0099195A"/>
    <w:rsid w:val="00992C2F"/>
    <w:rsid w:val="00992C4E"/>
    <w:rsid w:val="00994358"/>
    <w:rsid w:val="009977AB"/>
    <w:rsid w:val="009A086D"/>
    <w:rsid w:val="009A0CD5"/>
    <w:rsid w:val="009A1B62"/>
    <w:rsid w:val="009A41AB"/>
    <w:rsid w:val="009A6A4E"/>
    <w:rsid w:val="009B1C09"/>
    <w:rsid w:val="009B20FD"/>
    <w:rsid w:val="009B3965"/>
    <w:rsid w:val="009B55BA"/>
    <w:rsid w:val="009B7728"/>
    <w:rsid w:val="009B7FC3"/>
    <w:rsid w:val="009C104C"/>
    <w:rsid w:val="009C447D"/>
    <w:rsid w:val="009C5107"/>
    <w:rsid w:val="009C7F74"/>
    <w:rsid w:val="009D13E8"/>
    <w:rsid w:val="009D1875"/>
    <w:rsid w:val="009D27AB"/>
    <w:rsid w:val="009D599C"/>
    <w:rsid w:val="009D6FC7"/>
    <w:rsid w:val="009E1474"/>
    <w:rsid w:val="009E20B0"/>
    <w:rsid w:val="009E2FEF"/>
    <w:rsid w:val="009E4432"/>
    <w:rsid w:val="009E5306"/>
    <w:rsid w:val="009E678F"/>
    <w:rsid w:val="009E6DE1"/>
    <w:rsid w:val="009E774F"/>
    <w:rsid w:val="009E79EB"/>
    <w:rsid w:val="009F4028"/>
    <w:rsid w:val="009F47D3"/>
    <w:rsid w:val="009F4C52"/>
    <w:rsid w:val="009F729B"/>
    <w:rsid w:val="00A0148C"/>
    <w:rsid w:val="00A02236"/>
    <w:rsid w:val="00A0575C"/>
    <w:rsid w:val="00A12882"/>
    <w:rsid w:val="00A12EA5"/>
    <w:rsid w:val="00A13DBE"/>
    <w:rsid w:val="00A16A27"/>
    <w:rsid w:val="00A203F2"/>
    <w:rsid w:val="00A216A0"/>
    <w:rsid w:val="00A22F30"/>
    <w:rsid w:val="00A24248"/>
    <w:rsid w:val="00A2584D"/>
    <w:rsid w:val="00A278BB"/>
    <w:rsid w:val="00A27F62"/>
    <w:rsid w:val="00A3052A"/>
    <w:rsid w:val="00A327BE"/>
    <w:rsid w:val="00A3306F"/>
    <w:rsid w:val="00A34EBD"/>
    <w:rsid w:val="00A360F1"/>
    <w:rsid w:val="00A36D78"/>
    <w:rsid w:val="00A4174C"/>
    <w:rsid w:val="00A4245E"/>
    <w:rsid w:val="00A42487"/>
    <w:rsid w:val="00A42869"/>
    <w:rsid w:val="00A42CAD"/>
    <w:rsid w:val="00A466AE"/>
    <w:rsid w:val="00A50C1A"/>
    <w:rsid w:val="00A5104E"/>
    <w:rsid w:val="00A51513"/>
    <w:rsid w:val="00A54D86"/>
    <w:rsid w:val="00A55249"/>
    <w:rsid w:val="00A56221"/>
    <w:rsid w:val="00A64ED9"/>
    <w:rsid w:val="00A7604D"/>
    <w:rsid w:val="00A833D1"/>
    <w:rsid w:val="00A8383C"/>
    <w:rsid w:val="00A85E21"/>
    <w:rsid w:val="00A86D9B"/>
    <w:rsid w:val="00A922B0"/>
    <w:rsid w:val="00A926EF"/>
    <w:rsid w:val="00A929B9"/>
    <w:rsid w:val="00A935DC"/>
    <w:rsid w:val="00A9639F"/>
    <w:rsid w:val="00A96EE2"/>
    <w:rsid w:val="00AA153D"/>
    <w:rsid w:val="00AA19E7"/>
    <w:rsid w:val="00AA25A7"/>
    <w:rsid w:val="00AA4649"/>
    <w:rsid w:val="00AB0C36"/>
    <w:rsid w:val="00AB5B57"/>
    <w:rsid w:val="00AB6509"/>
    <w:rsid w:val="00AB6A55"/>
    <w:rsid w:val="00AB7E05"/>
    <w:rsid w:val="00AC2860"/>
    <w:rsid w:val="00AC416B"/>
    <w:rsid w:val="00AC52E0"/>
    <w:rsid w:val="00AD32DF"/>
    <w:rsid w:val="00AD7636"/>
    <w:rsid w:val="00AE09C0"/>
    <w:rsid w:val="00AE102A"/>
    <w:rsid w:val="00AE41C7"/>
    <w:rsid w:val="00AE43D7"/>
    <w:rsid w:val="00AE4C08"/>
    <w:rsid w:val="00AE59CF"/>
    <w:rsid w:val="00AE7CB6"/>
    <w:rsid w:val="00AF1A6F"/>
    <w:rsid w:val="00AF2688"/>
    <w:rsid w:val="00AF2FB3"/>
    <w:rsid w:val="00AF4544"/>
    <w:rsid w:val="00AF4D7D"/>
    <w:rsid w:val="00AF5B16"/>
    <w:rsid w:val="00B0188A"/>
    <w:rsid w:val="00B02903"/>
    <w:rsid w:val="00B02CA1"/>
    <w:rsid w:val="00B04E0B"/>
    <w:rsid w:val="00B11955"/>
    <w:rsid w:val="00B12158"/>
    <w:rsid w:val="00B12F94"/>
    <w:rsid w:val="00B1380A"/>
    <w:rsid w:val="00B203D9"/>
    <w:rsid w:val="00B21CAD"/>
    <w:rsid w:val="00B222E3"/>
    <w:rsid w:val="00B225C8"/>
    <w:rsid w:val="00B22C66"/>
    <w:rsid w:val="00B23E30"/>
    <w:rsid w:val="00B24F95"/>
    <w:rsid w:val="00B25655"/>
    <w:rsid w:val="00B26BB3"/>
    <w:rsid w:val="00B276DC"/>
    <w:rsid w:val="00B3295D"/>
    <w:rsid w:val="00B33B4B"/>
    <w:rsid w:val="00B3696A"/>
    <w:rsid w:val="00B3720F"/>
    <w:rsid w:val="00B377A7"/>
    <w:rsid w:val="00B44B57"/>
    <w:rsid w:val="00B46186"/>
    <w:rsid w:val="00B47E7C"/>
    <w:rsid w:val="00B53DCD"/>
    <w:rsid w:val="00B63B55"/>
    <w:rsid w:val="00B667C0"/>
    <w:rsid w:val="00B66E75"/>
    <w:rsid w:val="00B755CE"/>
    <w:rsid w:val="00B764FA"/>
    <w:rsid w:val="00B76E1A"/>
    <w:rsid w:val="00B80E92"/>
    <w:rsid w:val="00B8127B"/>
    <w:rsid w:val="00B82AA5"/>
    <w:rsid w:val="00B833C9"/>
    <w:rsid w:val="00B85FD6"/>
    <w:rsid w:val="00B8719A"/>
    <w:rsid w:val="00B91483"/>
    <w:rsid w:val="00B923E6"/>
    <w:rsid w:val="00B92A73"/>
    <w:rsid w:val="00B96838"/>
    <w:rsid w:val="00B976F2"/>
    <w:rsid w:val="00BA127C"/>
    <w:rsid w:val="00BA270E"/>
    <w:rsid w:val="00BA2D1F"/>
    <w:rsid w:val="00BA4584"/>
    <w:rsid w:val="00BA47E3"/>
    <w:rsid w:val="00BA4E5F"/>
    <w:rsid w:val="00BA6128"/>
    <w:rsid w:val="00BA6E03"/>
    <w:rsid w:val="00BA74F3"/>
    <w:rsid w:val="00BB062A"/>
    <w:rsid w:val="00BB76E1"/>
    <w:rsid w:val="00BC4BD1"/>
    <w:rsid w:val="00BC4EFE"/>
    <w:rsid w:val="00BC6547"/>
    <w:rsid w:val="00BD2CC8"/>
    <w:rsid w:val="00BD6250"/>
    <w:rsid w:val="00BE1565"/>
    <w:rsid w:val="00BE34B5"/>
    <w:rsid w:val="00BF057B"/>
    <w:rsid w:val="00BF072F"/>
    <w:rsid w:val="00BF6813"/>
    <w:rsid w:val="00C01620"/>
    <w:rsid w:val="00C01C35"/>
    <w:rsid w:val="00C04293"/>
    <w:rsid w:val="00C0760A"/>
    <w:rsid w:val="00C10834"/>
    <w:rsid w:val="00C15043"/>
    <w:rsid w:val="00C16F9D"/>
    <w:rsid w:val="00C252C3"/>
    <w:rsid w:val="00C30D93"/>
    <w:rsid w:val="00C347AF"/>
    <w:rsid w:val="00C3576D"/>
    <w:rsid w:val="00C358E2"/>
    <w:rsid w:val="00C35D03"/>
    <w:rsid w:val="00C35E4C"/>
    <w:rsid w:val="00C362F7"/>
    <w:rsid w:val="00C37914"/>
    <w:rsid w:val="00C41198"/>
    <w:rsid w:val="00C420DA"/>
    <w:rsid w:val="00C47B5B"/>
    <w:rsid w:val="00C54976"/>
    <w:rsid w:val="00C54A83"/>
    <w:rsid w:val="00C54C74"/>
    <w:rsid w:val="00C55859"/>
    <w:rsid w:val="00C60092"/>
    <w:rsid w:val="00C60879"/>
    <w:rsid w:val="00C62AC2"/>
    <w:rsid w:val="00C62DB7"/>
    <w:rsid w:val="00C7160B"/>
    <w:rsid w:val="00C72D18"/>
    <w:rsid w:val="00C73A1E"/>
    <w:rsid w:val="00C73BFD"/>
    <w:rsid w:val="00C77CAE"/>
    <w:rsid w:val="00C8151A"/>
    <w:rsid w:val="00C843A8"/>
    <w:rsid w:val="00C86EC3"/>
    <w:rsid w:val="00C92C77"/>
    <w:rsid w:val="00C9360C"/>
    <w:rsid w:val="00C955C5"/>
    <w:rsid w:val="00CA1741"/>
    <w:rsid w:val="00CA1B89"/>
    <w:rsid w:val="00CA3A93"/>
    <w:rsid w:val="00CA45DF"/>
    <w:rsid w:val="00CA5685"/>
    <w:rsid w:val="00CB206C"/>
    <w:rsid w:val="00CB3416"/>
    <w:rsid w:val="00CC3989"/>
    <w:rsid w:val="00CC67D3"/>
    <w:rsid w:val="00CC7FC4"/>
    <w:rsid w:val="00CD1807"/>
    <w:rsid w:val="00CD191C"/>
    <w:rsid w:val="00CD3ACA"/>
    <w:rsid w:val="00CD5AC2"/>
    <w:rsid w:val="00CE2366"/>
    <w:rsid w:val="00CE2D61"/>
    <w:rsid w:val="00CE38E0"/>
    <w:rsid w:val="00CE39D2"/>
    <w:rsid w:val="00CE41D6"/>
    <w:rsid w:val="00CE6565"/>
    <w:rsid w:val="00CE6C34"/>
    <w:rsid w:val="00CF0CB4"/>
    <w:rsid w:val="00CF1138"/>
    <w:rsid w:val="00CF5829"/>
    <w:rsid w:val="00CF7A52"/>
    <w:rsid w:val="00CF7D75"/>
    <w:rsid w:val="00CF7F2C"/>
    <w:rsid w:val="00D00EF4"/>
    <w:rsid w:val="00D017B8"/>
    <w:rsid w:val="00D03D92"/>
    <w:rsid w:val="00D04147"/>
    <w:rsid w:val="00D051E5"/>
    <w:rsid w:val="00D0547F"/>
    <w:rsid w:val="00D1042D"/>
    <w:rsid w:val="00D1070C"/>
    <w:rsid w:val="00D1137D"/>
    <w:rsid w:val="00D122A2"/>
    <w:rsid w:val="00D16A09"/>
    <w:rsid w:val="00D200BE"/>
    <w:rsid w:val="00D23F41"/>
    <w:rsid w:val="00D23FCF"/>
    <w:rsid w:val="00D278B7"/>
    <w:rsid w:val="00D30B94"/>
    <w:rsid w:val="00D33A9E"/>
    <w:rsid w:val="00D340A0"/>
    <w:rsid w:val="00D35F82"/>
    <w:rsid w:val="00D3730E"/>
    <w:rsid w:val="00D37820"/>
    <w:rsid w:val="00D37964"/>
    <w:rsid w:val="00D37C6D"/>
    <w:rsid w:val="00D4069C"/>
    <w:rsid w:val="00D415F1"/>
    <w:rsid w:val="00D427D4"/>
    <w:rsid w:val="00D42DB1"/>
    <w:rsid w:val="00D430F5"/>
    <w:rsid w:val="00D4462B"/>
    <w:rsid w:val="00D45B83"/>
    <w:rsid w:val="00D4737D"/>
    <w:rsid w:val="00D51214"/>
    <w:rsid w:val="00D5560B"/>
    <w:rsid w:val="00D558DE"/>
    <w:rsid w:val="00D56A15"/>
    <w:rsid w:val="00D638FA"/>
    <w:rsid w:val="00D6528E"/>
    <w:rsid w:val="00D66F05"/>
    <w:rsid w:val="00D6781F"/>
    <w:rsid w:val="00D679BA"/>
    <w:rsid w:val="00D7090A"/>
    <w:rsid w:val="00D70F14"/>
    <w:rsid w:val="00D729E6"/>
    <w:rsid w:val="00D7331C"/>
    <w:rsid w:val="00D744F9"/>
    <w:rsid w:val="00D74C68"/>
    <w:rsid w:val="00D81EC7"/>
    <w:rsid w:val="00D8299A"/>
    <w:rsid w:val="00D83440"/>
    <w:rsid w:val="00D8347C"/>
    <w:rsid w:val="00D841F4"/>
    <w:rsid w:val="00D9085E"/>
    <w:rsid w:val="00D90D8F"/>
    <w:rsid w:val="00D912CA"/>
    <w:rsid w:val="00D9424D"/>
    <w:rsid w:val="00D94AB3"/>
    <w:rsid w:val="00DA0386"/>
    <w:rsid w:val="00DA05EF"/>
    <w:rsid w:val="00DA67A5"/>
    <w:rsid w:val="00DA7BB9"/>
    <w:rsid w:val="00DB57F5"/>
    <w:rsid w:val="00DC3B96"/>
    <w:rsid w:val="00DC4616"/>
    <w:rsid w:val="00DC53D7"/>
    <w:rsid w:val="00DC7B81"/>
    <w:rsid w:val="00DC7BD4"/>
    <w:rsid w:val="00DD0A74"/>
    <w:rsid w:val="00DD0E31"/>
    <w:rsid w:val="00DD6424"/>
    <w:rsid w:val="00DE5B5F"/>
    <w:rsid w:val="00DE5DA7"/>
    <w:rsid w:val="00DE6F06"/>
    <w:rsid w:val="00DE74FF"/>
    <w:rsid w:val="00DF03EB"/>
    <w:rsid w:val="00DF10AE"/>
    <w:rsid w:val="00DF26D4"/>
    <w:rsid w:val="00DF49DC"/>
    <w:rsid w:val="00DF587D"/>
    <w:rsid w:val="00DF5DC7"/>
    <w:rsid w:val="00DF6ED2"/>
    <w:rsid w:val="00DF7B54"/>
    <w:rsid w:val="00E005B5"/>
    <w:rsid w:val="00E027A4"/>
    <w:rsid w:val="00E069E8"/>
    <w:rsid w:val="00E16457"/>
    <w:rsid w:val="00E20138"/>
    <w:rsid w:val="00E218B6"/>
    <w:rsid w:val="00E230C3"/>
    <w:rsid w:val="00E24259"/>
    <w:rsid w:val="00E25CE4"/>
    <w:rsid w:val="00E26B51"/>
    <w:rsid w:val="00E26F45"/>
    <w:rsid w:val="00E27FB7"/>
    <w:rsid w:val="00E32B97"/>
    <w:rsid w:val="00E32E66"/>
    <w:rsid w:val="00E33418"/>
    <w:rsid w:val="00E34F64"/>
    <w:rsid w:val="00E34FE3"/>
    <w:rsid w:val="00E358BD"/>
    <w:rsid w:val="00E37FFB"/>
    <w:rsid w:val="00E44A74"/>
    <w:rsid w:val="00E52F01"/>
    <w:rsid w:val="00E54C78"/>
    <w:rsid w:val="00E57BD9"/>
    <w:rsid w:val="00E62182"/>
    <w:rsid w:val="00E626EE"/>
    <w:rsid w:val="00E63597"/>
    <w:rsid w:val="00E65DB2"/>
    <w:rsid w:val="00E66ED9"/>
    <w:rsid w:val="00E7259A"/>
    <w:rsid w:val="00E72DA9"/>
    <w:rsid w:val="00E732FF"/>
    <w:rsid w:val="00E73915"/>
    <w:rsid w:val="00E82008"/>
    <w:rsid w:val="00E83387"/>
    <w:rsid w:val="00E85EA0"/>
    <w:rsid w:val="00E908EC"/>
    <w:rsid w:val="00E95C8A"/>
    <w:rsid w:val="00E96C55"/>
    <w:rsid w:val="00EA3EB9"/>
    <w:rsid w:val="00EA54B0"/>
    <w:rsid w:val="00EA54BD"/>
    <w:rsid w:val="00EA6FA5"/>
    <w:rsid w:val="00EB10CC"/>
    <w:rsid w:val="00EB6C82"/>
    <w:rsid w:val="00EB7866"/>
    <w:rsid w:val="00EC1393"/>
    <w:rsid w:val="00EC22CE"/>
    <w:rsid w:val="00EC3216"/>
    <w:rsid w:val="00EC4313"/>
    <w:rsid w:val="00EC4C3D"/>
    <w:rsid w:val="00ED08F1"/>
    <w:rsid w:val="00ED13FB"/>
    <w:rsid w:val="00ED1AFA"/>
    <w:rsid w:val="00ED2A6B"/>
    <w:rsid w:val="00ED49F6"/>
    <w:rsid w:val="00ED6015"/>
    <w:rsid w:val="00EE14BC"/>
    <w:rsid w:val="00EE25CE"/>
    <w:rsid w:val="00EE3942"/>
    <w:rsid w:val="00EE5CBD"/>
    <w:rsid w:val="00EF0B15"/>
    <w:rsid w:val="00EF1AA1"/>
    <w:rsid w:val="00EF2D77"/>
    <w:rsid w:val="00EF5287"/>
    <w:rsid w:val="00F0102C"/>
    <w:rsid w:val="00F02623"/>
    <w:rsid w:val="00F03D0C"/>
    <w:rsid w:val="00F1046F"/>
    <w:rsid w:val="00F11330"/>
    <w:rsid w:val="00F11440"/>
    <w:rsid w:val="00F117FA"/>
    <w:rsid w:val="00F15AA6"/>
    <w:rsid w:val="00F22D82"/>
    <w:rsid w:val="00F237DD"/>
    <w:rsid w:val="00F23F59"/>
    <w:rsid w:val="00F27061"/>
    <w:rsid w:val="00F31894"/>
    <w:rsid w:val="00F33C09"/>
    <w:rsid w:val="00F351CA"/>
    <w:rsid w:val="00F410F9"/>
    <w:rsid w:val="00F45D78"/>
    <w:rsid w:val="00F53F61"/>
    <w:rsid w:val="00F541B0"/>
    <w:rsid w:val="00F55114"/>
    <w:rsid w:val="00F55E14"/>
    <w:rsid w:val="00F5627C"/>
    <w:rsid w:val="00F56446"/>
    <w:rsid w:val="00F57612"/>
    <w:rsid w:val="00F57BEA"/>
    <w:rsid w:val="00F6075B"/>
    <w:rsid w:val="00F6272A"/>
    <w:rsid w:val="00F62745"/>
    <w:rsid w:val="00F63415"/>
    <w:rsid w:val="00F6774C"/>
    <w:rsid w:val="00F70071"/>
    <w:rsid w:val="00F71907"/>
    <w:rsid w:val="00F71D60"/>
    <w:rsid w:val="00F74373"/>
    <w:rsid w:val="00F807E1"/>
    <w:rsid w:val="00F8092F"/>
    <w:rsid w:val="00F903E8"/>
    <w:rsid w:val="00F93829"/>
    <w:rsid w:val="00F93955"/>
    <w:rsid w:val="00F9537B"/>
    <w:rsid w:val="00F964A7"/>
    <w:rsid w:val="00FA05FC"/>
    <w:rsid w:val="00FA0BE9"/>
    <w:rsid w:val="00FA7F82"/>
    <w:rsid w:val="00FB2270"/>
    <w:rsid w:val="00FB2BD3"/>
    <w:rsid w:val="00FB3364"/>
    <w:rsid w:val="00FB48A2"/>
    <w:rsid w:val="00FB59B7"/>
    <w:rsid w:val="00FB6B7B"/>
    <w:rsid w:val="00FB74E2"/>
    <w:rsid w:val="00FB7987"/>
    <w:rsid w:val="00FC11FD"/>
    <w:rsid w:val="00FC1BD6"/>
    <w:rsid w:val="00FC4C9B"/>
    <w:rsid w:val="00FD0AB3"/>
    <w:rsid w:val="00FD1927"/>
    <w:rsid w:val="00FD6654"/>
    <w:rsid w:val="00FE32AB"/>
    <w:rsid w:val="00FE4930"/>
    <w:rsid w:val="00FE6BB6"/>
    <w:rsid w:val="00FF2A01"/>
    <w:rsid w:val="00FF307A"/>
    <w:rsid w:val="00FF4058"/>
    <w:rsid w:val="00FF4729"/>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F6"/>
    <w:pPr>
      <w:jc w:val="both"/>
    </w:pPr>
  </w:style>
  <w:style w:type="paragraph" w:styleId="Heading1">
    <w:name w:val="heading 1"/>
    <w:basedOn w:val="Normal"/>
    <w:next w:val="Normal"/>
    <w:link w:val="Heading1Char"/>
    <w:uiPriority w:val="9"/>
    <w:qFormat/>
    <w:rsid w:val="00DF26D4"/>
    <w:pPr>
      <w:keepNext/>
      <w:keepLines/>
      <w:numPr>
        <w:numId w:val="6"/>
      </w:numPr>
      <w:spacing w:before="480" w:after="240"/>
      <w:ind w:left="720"/>
      <w:outlineLvl w:val="0"/>
    </w:pPr>
    <w:rPr>
      <w:rFonts w:eastAsiaTheme="majorEastAsia" w:cstheme="majorBidi"/>
      <w:b/>
      <w:bCs/>
    </w:rPr>
  </w:style>
  <w:style w:type="paragraph" w:styleId="Heading2">
    <w:name w:val="heading 2"/>
    <w:basedOn w:val="Normal"/>
    <w:next w:val="Normal"/>
    <w:link w:val="Heading2Char"/>
    <w:uiPriority w:val="9"/>
    <w:unhideWhenUsed/>
    <w:qFormat/>
    <w:rsid w:val="00DF26D4"/>
    <w:pPr>
      <w:outlineLvl w:val="1"/>
    </w:pPr>
    <w:rPr>
      <w:u w:val="single"/>
    </w:rPr>
  </w:style>
  <w:style w:type="paragraph" w:styleId="Heading3">
    <w:name w:val="heading 3"/>
    <w:basedOn w:val="Normal"/>
    <w:next w:val="Normal"/>
    <w:link w:val="Heading3Char"/>
    <w:uiPriority w:val="9"/>
    <w:semiHidden/>
    <w:unhideWhenUsed/>
    <w:qFormat/>
    <w:rsid w:val="00B63B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rsid w:val="00DF26D4"/>
    <w:rPr>
      <w:rFonts w:ascii="Arial" w:hAnsi="Arial"/>
      <w:i/>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215B74"/>
    <w:pPr>
      <w:keepNext/>
      <w:spacing w:after="40" w:line="240" w:lineRule="auto"/>
      <w:ind w:left="1440" w:hanging="1440"/>
    </w:pPr>
    <w:rPr>
      <w:rFonts w:ascii="Arial" w:eastAsia="Times New Roman" w:hAnsi="Arial" w:cs="Arial"/>
      <w:b/>
      <w:lang w:val="en-GB" w:eastAsia="ja-JP"/>
    </w:rPr>
  </w:style>
  <w:style w:type="character" w:styleId="CommentReference">
    <w:name w:val="annotation reference"/>
    <w:basedOn w:val="DefaultParagraphFont"/>
    <w:uiPriority w:val="99"/>
    <w:semiHidden/>
    <w:unhideWhenUsed/>
    <w:rsid w:val="00F11440"/>
    <w:rPr>
      <w:sz w:val="16"/>
      <w:szCs w:val="16"/>
    </w:rPr>
  </w:style>
  <w:style w:type="paragraph" w:styleId="CommentText">
    <w:name w:val="annotation text"/>
    <w:basedOn w:val="Normal"/>
    <w:link w:val="CommentTextChar"/>
    <w:uiPriority w:val="99"/>
    <w:unhideWhenUsed/>
    <w:rsid w:val="00F11440"/>
    <w:pPr>
      <w:spacing w:line="240" w:lineRule="auto"/>
    </w:pPr>
    <w:rPr>
      <w:sz w:val="20"/>
      <w:szCs w:val="20"/>
    </w:rPr>
  </w:style>
  <w:style w:type="character" w:customStyle="1" w:styleId="CommentTextChar">
    <w:name w:val="Comment Text Char"/>
    <w:basedOn w:val="DefaultParagraphFont"/>
    <w:link w:val="CommentText"/>
    <w:uiPriority w:val="99"/>
    <w:rsid w:val="00F11440"/>
    <w:rPr>
      <w:sz w:val="20"/>
      <w:szCs w:val="20"/>
    </w:rPr>
  </w:style>
  <w:style w:type="paragraph" w:styleId="CommentSubject">
    <w:name w:val="annotation subject"/>
    <w:basedOn w:val="CommentText"/>
    <w:next w:val="CommentText"/>
    <w:link w:val="CommentSubjectChar"/>
    <w:uiPriority w:val="99"/>
    <w:semiHidden/>
    <w:unhideWhenUsed/>
    <w:rsid w:val="00F11440"/>
    <w:rPr>
      <w:b/>
      <w:bCs/>
    </w:rPr>
  </w:style>
  <w:style w:type="character" w:customStyle="1" w:styleId="CommentSubjectChar">
    <w:name w:val="Comment Subject Char"/>
    <w:basedOn w:val="CommentTextChar"/>
    <w:link w:val="CommentSubject"/>
    <w:uiPriority w:val="99"/>
    <w:semiHidden/>
    <w:rsid w:val="00F11440"/>
    <w:rPr>
      <w:b/>
      <w:bCs/>
      <w:sz w:val="20"/>
      <w:szCs w:val="20"/>
    </w:rPr>
  </w:style>
  <w:style w:type="character" w:styleId="Emphasis">
    <w:name w:val="Emphasis"/>
    <w:qFormat/>
    <w:rsid w:val="00423521"/>
    <w:rPr>
      <w:i/>
      <w:iCs/>
    </w:rPr>
  </w:style>
  <w:style w:type="paragraph" w:styleId="Title">
    <w:name w:val="Title"/>
    <w:basedOn w:val="Normal"/>
    <w:next w:val="Normal"/>
    <w:link w:val="TitleChar"/>
    <w:uiPriority w:val="10"/>
    <w:qFormat/>
    <w:rsid w:val="001877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738"/>
    <w:rPr>
      <w:rFonts w:asciiTheme="majorHAnsi" w:eastAsiaTheme="majorEastAsia" w:hAnsiTheme="majorHAnsi" w:cstheme="majorBidi"/>
      <w:color w:val="17365D" w:themeColor="text2" w:themeShade="BF"/>
      <w:spacing w:val="5"/>
      <w:kern w:val="28"/>
      <w:sz w:val="52"/>
      <w:szCs w:val="52"/>
    </w:rPr>
  </w:style>
  <w:style w:type="paragraph" w:customStyle="1" w:styleId="beforeunorderedlist">
    <w:name w:val="before_unordered_list"/>
    <w:basedOn w:val="Normal"/>
    <w:rsid w:val="00DE6F06"/>
    <w:pPr>
      <w:spacing w:before="100" w:beforeAutospacing="1"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F26D4"/>
    <w:rPr>
      <w:rFonts w:eastAsiaTheme="majorEastAsia" w:cstheme="majorBidi"/>
      <w:b/>
      <w:bCs/>
    </w:rPr>
  </w:style>
  <w:style w:type="paragraph" w:styleId="Revision">
    <w:name w:val="Revision"/>
    <w:hidden/>
    <w:uiPriority w:val="99"/>
    <w:semiHidden/>
    <w:rsid w:val="006E4B02"/>
    <w:pPr>
      <w:spacing w:after="0" w:line="240" w:lineRule="auto"/>
    </w:pPr>
  </w:style>
  <w:style w:type="paragraph" w:styleId="DocumentMap">
    <w:name w:val="Document Map"/>
    <w:basedOn w:val="Normal"/>
    <w:link w:val="DocumentMapChar"/>
    <w:uiPriority w:val="99"/>
    <w:semiHidden/>
    <w:unhideWhenUsed/>
    <w:rsid w:val="00DF26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26D4"/>
    <w:rPr>
      <w:rFonts w:ascii="Tahoma" w:hAnsi="Tahoma" w:cs="Tahoma"/>
      <w:sz w:val="16"/>
      <w:szCs w:val="16"/>
    </w:rPr>
  </w:style>
  <w:style w:type="character" w:customStyle="1" w:styleId="Heading2Char">
    <w:name w:val="Heading 2 Char"/>
    <w:basedOn w:val="DefaultParagraphFont"/>
    <w:link w:val="Heading2"/>
    <w:uiPriority w:val="9"/>
    <w:rsid w:val="00DF26D4"/>
    <w:rPr>
      <w:u w:val="single"/>
    </w:rPr>
  </w:style>
  <w:style w:type="paragraph" w:styleId="Quote">
    <w:name w:val="Quote"/>
    <w:basedOn w:val="Normal"/>
    <w:next w:val="Normal"/>
    <w:link w:val="QuoteChar"/>
    <w:uiPriority w:val="29"/>
    <w:qFormat/>
    <w:rsid w:val="00215B74"/>
    <w:pPr>
      <w:spacing w:line="240" w:lineRule="auto"/>
    </w:pPr>
    <w:rPr>
      <w:b/>
      <w:i/>
      <w:color w:val="548DD4" w:themeColor="text2" w:themeTint="99"/>
      <w:szCs w:val="20"/>
    </w:rPr>
  </w:style>
  <w:style w:type="character" w:customStyle="1" w:styleId="QuoteChar">
    <w:name w:val="Quote Char"/>
    <w:basedOn w:val="DefaultParagraphFont"/>
    <w:link w:val="Quote"/>
    <w:uiPriority w:val="29"/>
    <w:rsid w:val="00215B74"/>
    <w:rPr>
      <w:b/>
      <w:i/>
      <w:color w:val="548DD4" w:themeColor="text2" w:themeTint="99"/>
      <w:szCs w:val="20"/>
    </w:rPr>
  </w:style>
  <w:style w:type="paragraph" w:styleId="NoSpacing">
    <w:name w:val="No Spacing"/>
    <w:uiPriority w:val="1"/>
    <w:qFormat/>
    <w:rsid w:val="00DF26D4"/>
    <w:pPr>
      <w:spacing w:after="0" w:line="240" w:lineRule="auto"/>
    </w:pPr>
  </w:style>
  <w:style w:type="character" w:styleId="PlaceholderText">
    <w:name w:val="Placeholder Text"/>
    <w:basedOn w:val="DefaultParagraphFont"/>
    <w:uiPriority w:val="99"/>
    <w:semiHidden/>
    <w:rsid w:val="00A36D78"/>
    <w:rPr>
      <w:color w:val="808080"/>
    </w:rPr>
  </w:style>
  <w:style w:type="character" w:styleId="FollowedHyperlink">
    <w:name w:val="FollowedHyperlink"/>
    <w:basedOn w:val="DefaultParagraphFont"/>
    <w:uiPriority w:val="99"/>
    <w:semiHidden/>
    <w:unhideWhenUsed/>
    <w:rsid w:val="00101EF2"/>
    <w:rPr>
      <w:color w:val="800080" w:themeColor="followedHyperlink"/>
      <w:u w:val="single"/>
    </w:rPr>
  </w:style>
  <w:style w:type="paragraph" w:styleId="FootnoteText">
    <w:name w:val="footnote text"/>
    <w:basedOn w:val="Normal"/>
    <w:link w:val="FootnoteTextChar"/>
    <w:uiPriority w:val="99"/>
    <w:unhideWhenUsed/>
    <w:rsid w:val="00205138"/>
    <w:pPr>
      <w:spacing w:after="0" w:line="240" w:lineRule="auto"/>
    </w:pPr>
    <w:rPr>
      <w:sz w:val="20"/>
      <w:szCs w:val="20"/>
    </w:rPr>
  </w:style>
  <w:style w:type="character" w:customStyle="1" w:styleId="FootnoteTextChar">
    <w:name w:val="Footnote Text Char"/>
    <w:basedOn w:val="DefaultParagraphFont"/>
    <w:link w:val="FootnoteText"/>
    <w:uiPriority w:val="99"/>
    <w:rsid w:val="00205138"/>
    <w:rPr>
      <w:sz w:val="20"/>
      <w:szCs w:val="20"/>
    </w:rPr>
  </w:style>
  <w:style w:type="character" w:styleId="FootnoteReference">
    <w:name w:val="footnote reference"/>
    <w:basedOn w:val="DefaultParagraphFont"/>
    <w:uiPriority w:val="99"/>
    <w:unhideWhenUsed/>
    <w:rsid w:val="00205138"/>
    <w:rPr>
      <w:vertAlign w:val="superscript"/>
    </w:rPr>
  </w:style>
  <w:style w:type="paragraph" w:styleId="EndnoteText">
    <w:name w:val="endnote text"/>
    <w:basedOn w:val="Normal"/>
    <w:link w:val="EndnoteTextChar"/>
    <w:uiPriority w:val="99"/>
    <w:semiHidden/>
    <w:rsid w:val="00AE09C0"/>
    <w:pPr>
      <w:overflowPunct w:val="0"/>
      <w:autoSpaceDE w:val="0"/>
      <w:autoSpaceDN w:val="0"/>
      <w:adjustRightInd w:val="0"/>
      <w:spacing w:after="120" w:line="240" w:lineRule="auto"/>
      <w:textAlignment w:val="baseline"/>
    </w:pPr>
    <w:rPr>
      <w:rFonts w:ascii="Arial" w:eastAsia="Times New Roman" w:hAnsi="Arial" w:cs="Times New Roman"/>
      <w:lang w:val="en-US" w:eastAsia="pl-PL"/>
    </w:rPr>
  </w:style>
  <w:style w:type="character" w:customStyle="1" w:styleId="EndnoteTextChar">
    <w:name w:val="Endnote Text Char"/>
    <w:basedOn w:val="DefaultParagraphFont"/>
    <w:link w:val="EndnoteText"/>
    <w:uiPriority w:val="99"/>
    <w:semiHidden/>
    <w:rsid w:val="00AE09C0"/>
    <w:rPr>
      <w:rFonts w:ascii="Arial" w:eastAsia="Times New Roman" w:hAnsi="Arial" w:cs="Times New Roman"/>
      <w:lang w:val="en-US" w:eastAsia="pl-PL"/>
    </w:rPr>
  </w:style>
  <w:style w:type="character" w:styleId="EndnoteReference">
    <w:name w:val="endnote reference"/>
    <w:semiHidden/>
    <w:rsid w:val="00AE09C0"/>
    <w:rPr>
      <w:vertAlign w:val="superscript"/>
    </w:rPr>
  </w:style>
  <w:style w:type="paragraph" w:customStyle="1" w:styleId="AB-podstawowywyjustowany">
    <w:name w:val="AB - podstawowy wyjustowany"/>
    <w:basedOn w:val="Normal"/>
    <w:next w:val="Normal"/>
    <w:link w:val="AB-podstawowywyjustowanyZnak"/>
    <w:qFormat/>
    <w:rsid w:val="00AE09C0"/>
    <w:pPr>
      <w:spacing w:before="120" w:after="120" w:line="360" w:lineRule="auto"/>
    </w:pPr>
    <w:rPr>
      <w:rFonts w:ascii="Arial" w:eastAsia="Times New Roman" w:hAnsi="Arial" w:cs="Times New Roman"/>
      <w:sz w:val="20"/>
      <w:szCs w:val="26"/>
      <w:lang w:val="en-US" w:eastAsia="pl-PL"/>
    </w:rPr>
  </w:style>
  <w:style w:type="character" w:customStyle="1" w:styleId="AB-podstawowywyjustowanyZnak">
    <w:name w:val="AB - podstawowy wyjustowany Znak"/>
    <w:link w:val="AB-podstawowywyjustowany"/>
    <w:rsid w:val="00AE09C0"/>
    <w:rPr>
      <w:rFonts w:ascii="Arial" w:eastAsia="Times New Roman" w:hAnsi="Arial" w:cs="Times New Roman"/>
      <w:sz w:val="20"/>
      <w:szCs w:val="26"/>
      <w:lang w:val="en-US" w:eastAsia="pl-PL"/>
    </w:rPr>
  </w:style>
  <w:style w:type="paragraph" w:customStyle="1" w:styleId="AB-podstawowy">
    <w:name w:val="AB - podstawowy"/>
    <w:link w:val="AB-podstawowyZnak"/>
    <w:qFormat/>
    <w:rsid w:val="00584D47"/>
    <w:pPr>
      <w:spacing w:before="120" w:after="120" w:line="360" w:lineRule="auto"/>
    </w:pPr>
    <w:rPr>
      <w:rFonts w:eastAsia="Times New Roman" w:cs="Times New Roman"/>
      <w:szCs w:val="26"/>
      <w:lang w:val="en-US" w:eastAsia="pl-PL"/>
    </w:rPr>
  </w:style>
  <w:style w:type="character" w:customStyle="1" w:styleId="AB-podstawowyZnak">
    <w:name w:val="AB - podstawowy Znak"/>
    <w:link w:val="AB-podstawowy"/>
    <w:rsid w:val="00584D47"/>
    <w:rPr>
      <w:rFonts w:eastAsia="Times New Roman" w:cs="Times New Roman"/>
      <w:szCs w:val="26"/>
      <w:lang w:val="en-US" w:eastAsia="pl-PL"/>
    </w:rPr>
  </w:style>
  <w:style w:type="character" w:customStyle="1" w:styleId="hps">
    <w:name w:val="hps"/>
    <w:basedOn w:val="DefaultParagraphFont"/>
    <w:rsid w:val="00584D47"/>
  </w:style>
  <w:style w:type="character" w:customStyle="1" w:styleId="highlight">
    <w:name w:val="highlight"/>
    <w:rsid w:val="00584D47"/>
  </w:style>
  <w:style w:type="character" w:customStyle="1" w:styleId="Heading3Char">
    <w:name w:val="Heading 3 Char"/>
    <w:basedOn w:val="DefaultParagraphFont"/>
    <w:link w:val="Heading3"/>
    <w:uiPriority w:val="9"/>
    <w:semiHidden/>
    <w:rsid w:val="00B63B55"/>
    <w:rPr>
      <w:rFonts w:asciiTheme="majorHAnsi" w:eastAsiaTheme="majorEastAsia" w:hAnsiTheme="majorHAnsi" w:cstheme="majorBidi"/>
      <w:b/>
      <w:bCs/>
      <w:color w:val="4F81BD" w:themeColor="accent1"/>
    </w:rPr>
  </w:style>
  <w:style w:type="paragraph" w:styleId="BodyText">
    <w:name w:val="Body Text"/>
    <w:basedOn w:val="Normal"/>
    <w:link w:val="BodyTextChar"/>
    <w:rsid w:val="00B63B55"/>
    <w:pPr>
      <w:spacing w:before="120" w:after="120" w:line="240" w:lineRule="auto"/>
      <w:ind w:left="1134"/>
      <w:jc w:val="left"/>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B63B55"/>
    <w:rPr>
      <w:rFonts w:ascii="Times New Roman" w:eastAsia="Times New Roman" w:hAnsi="Times New Roman" w:cs="Times New Roman"/>
      <w:sz w:val="24"/>
      <w:szCs w:val="24"/>
      <w:lang w:eastAsia="en-AU"/>
    </w:rPr>
  </w:style>
  <w:style w:type="paragraph" w:customStyle="1" w:styleId="Tabletext-left">
    <w:name w:val="Table text - left"/>
    <w:basedOn w:val="Normal"/>
    <w:link w:val="Tabletext-leftChar"/>
    <w:qFormat/>
    <w:rsid w:val="00532CCF"/>
    <w:pPr>
      <w:keepNext/>
      <w:tabs>
        <w:tab w:val="left" w:pos="2835"/>
      </w:tabs>
      <w:spacing w:before="120" w:after="120" w:line="312" w:lineRule="auto"/>
      <w:jc w:val="left"/>
    </w:pPr>
    <w:rPr>
      <w:rFonts w:ascii="Arial Narrow" w:eastAsia="Times New Roman" w:hAnsi="Arial Narrow" w:cs="Arial"/>
      <w:sz w:val="20"/>
      <w:szCs w:val="20"/>
    </w:rPr>
  </w:style>
  <w:style w:type="character" w:customStyle="1" w:styleId="Tabletext-leftChar">
    <w:name w:val="Table text - left Char"/>
    <w:basedOn w:val="DefaultParagraphFont"/>
    <w:link w:val="Tabletext-left"/>
    <w:rsid w:val="00532CCF"/>
    <w:rPr>
      <w:rFonts w:ascii="Arial Narrow" w:eastAsia="Times New Roman" w:hAnsi="Arial Narrow" w:cs="Arial"/>
      <w:sz w:val="20"/>
      <w:szCs w:val="20"/>
    </w:rPr>
  </w:style>
  <w:style w:type="paragraph" w:customStyle="1" w:styleId="ListBullet1">
    <w:name w:val="List Bullet 1"/>
    <w:basedOn w:val="Normal"/>
    <w:next w:val="Normal"/>
    <w:rsid w:val="00532CCF"/>
    <w:pPr>
      <w:keepNext/>
      <w:keepLines/>
      <w:numPr>
        <w:numId w:val="18"/>
      </w:numPr>
      <w:tabs>
        <w:tab w:val="left" w:pos="36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Footnotes">
    <w:name w:val="Table Footnotes"/>
    <w:basedOn w:val="Normal"/>
    <w:qFormat/>
    <w:rsid w:val="00B755CE"/>
    <w:pPr>
      <w:keepNext/>
      <w:spacing w:after="360" w:line="240" w:lineRule="auto"/>
      <w:contextualSpacing/>
      <w:jc w:val="left"/>
    </w:pPr>
    <w:rPr>
      <w:rFonts w:ascii="Arial" w:eastAsia="Times New Roman" w:hAnsi="Arial" w:cs="Arial"/>
      <w:sz w:val="18"/>
      <w:lang w:eastAsia="en-AU"/>
    </w:rPr>
  </w:style>
  <w:style w:type="paragraph" w:styleId="TOCHeading">
    <w:name w:val="TOC Heading"/>
    <w:basedOn w:val="Heading1"/>
    <w:next w:val="Normal"/>
    <w:uiPriority w:val="39"/>
    <w:semiHidden/>
    <w:unhideWhenUsed/>
    <w:qFormat/>
    <w:rsid w:val="00E25CE4"/>
    <w:pPr>
      <w:numPr>
        <w:numId w:val="0"/>
      </w:numPr>
      <w:spacing w:after="0"/>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E25CE4"/>
    <w:pPr>
      <w:spacing w:after="100"/>
    </w:pPr>
  </w:style>
  <w:style w:type="paragraph" w:styleId="TOC2">
    <w:name w:val="toc 2"/>
    <w:basedOn w:val="Normal"/>
    <w:next w:val="Normal"/>
    <w:autoRedefine/>
    <w:uiPriority w:val="39"/>
    <w:unhideWhenUsed/>
    <w:rsid w:val="00E25CE4"/>
    <w:pPr>
      <w:spacing w:after="100"/>
      <w:ind w:left="220"/>
    </w:pPr>
  </w:style>
  <w:style w:type="character" w:styleId="Strong">
    <w:name w:val="Strong"/>
    <w:basedOn w:val="DefaultParagraphFont"/>
    <w:uiPriority w:val="22"/>
    <w:qFormat/>
    <w:rsid w:val="00E25CE4"/>
    <w:rPr>
      <w:b/>
      <w:bCs/>
    </w:rPr>
  </w:style>
  <w:style w:type="paragraph" w:customStyle="1" w:styleId="Default">
    <w:name w:val="Default"/>
    <w:rsid w:val="0065029D"/>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190677"/>
    <w:pPr>
      <w:spacing w:after="0"/>
      <w:jc w:val="center"/>
    </w:pPr>
    <w:rPr>
      <w:rFonts w:ascii="Calibri" w:hAnsi="Calibri"/>
      <w:noProof/>
      <w:lang w:val="en-US"/>
    </w:rPr>
  </w:style>
  <w:style w:type="character" w:customStyle="1" w:styleId="EndNoteBibliographyTitleChar">
    <w:name w:val="EndNote Bibliography Title Char"/>
    <w:basedOn w:val="FootnoteTextChar"/>
    <w:link w:val="EndNoteBibliographyTitle"/>
    <w:rsid w:val="00190677"/>
    <w:rPr>
      <w:rFonts w:ascii="Calibri" w:hAnsi="Calibri"/>
      <w:noProof/>
      <w:sz w:val="20"/>
      <w:szCs w:val="20"/>
      <w:lang w:val="en-US"/>
    </w:rPr>
  </w:style>
  <w:style w:type="paragraph" w:customStyle="1" w:styleId="EndNoteBibliography">
    <w:name w:val="EndNote Bibliography"/>
    <w:basedOn w:val="Normal"/>
    <w:link w:val="EndNoteBibliographyChar"/>
    <w:rsid w:val="00190677"/>
    <w:pPr>
      <w:spacing w:line="240" w:lineRule="auto"/>
    </w:pPr>
    <w:rPr>
      <w:rFonts w:ascii="Calibri" w:hAnsi="Calibri"/>
      <w:noProof/>
      <w:lang w:val="en-US"/>
    </w:rPr>
  </w:style>
  <w:style w:type="character" w:customStyle="1" w:styleId="EndNoteBibliographyChar">
    <w:name w:val="EndNote Bibliography Char"/>
    <w:basedOn w:val="FootnoteTextChar"/>
    <w:link w:val="EndNoteBibliography"/>
    <w:rsid w:val="00190677"/>
    <w:rPr>
      <w:rFonts w:ascii="Calibri" w:hAnsi="Calibri"/>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F6"/>
    <w:pPr>
      <w:jc w:val="both"/>
    </w:pPr>
  </w:style>
  <w:style w:type="paragraph" w:styleId="Heading1">
    <w:name w:val="heading 1"/>
    <w:basedOn w:val="Normal"/>
    <w:next w:val="Normal"/>
    <w:link w:val="Heading1Char"/>
    <w:uiPriority w:val="9"/>
    <w:qFormat/>
    <w:rsid w:val="00DF26D4"/>
    <w:pPr>
      <w:keepNext/>
      <w:keepLines/>
      <w:numPr>
        <w:numId w:val="6"/>
      </w:numPr>
      <w:spacing w:before="480" w:after="240"/>
      <w:ind w:left="720"/>
      <w:outlineLvl w:val="0"/>
    </w:pPr>
    <w:rPr>
      <w:rFonts w:eastAsiaTheme="majorEastAsia" w:cstheme="majorBidi"/>
      <w:b/>
      <w:bCs/>
    </w:rPr>
  </w:style>
  <w:style w:type="paragraph" w:styleId="Heading2">
    <w:name w:val="heading 2"/>
    <w:basedOn w:val="Normal"/>
    <w:next w:val="Normal"/>
    <w:link w:val="Heading2Char"/>
    <w:uiPriority w:val="9"/>
    <w:unhideWhenUsed/>
    <w:qFormat/>
    <w:rsid w:val="00DF26D4"/>
    <w:pPr>
      <w:outlineLvl w:val="1"/>
    </w:pPr>
    <w:rPr>
      <w:u w:val="single"/>
    </w:rPr>
  </w:style>
  <w:style w:type="paragraph" w:styleId="Heading3">
    <w:name w:val="heading 3"/>
    <w:basedOn w:val="Normal"/>
    <w:next w:val="Normal"/>
    <w:link w:val="Heading3Char"/>
    <w:uiPriority w:val="9"/>
    <w:semiHidden/>
    <w:unhideWhenUsed/>
    <w:qFormat/>
    <w:rsid w:val="00B63B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rsid w:val="00DF26D4"/>
    <w:rPr>
      <w:rFonts w:ascii="Arial" w:hAnsi="Arial"/>
      <w:i/>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215B74"/>
    <w:pPr>
      <w:keepNext/>
      <w:spacing w:after="40" w:line="240" w:lineRule="auto"/>
      <w:ind w:left="1440" w:hanging="1440"/>
    </w:pPr>
    <w:rPr>
      <w:rFonts w:ascii="Arial" w:eastAsia="Times New Roman" w:hAnsi="Arial" w:cs="Arial"/>
      <w:b/>
      <w:lang w:val="en-GB" w:eastAsia="ja-JP"/>
    </w:rPr>
  </w:style>
  <w:style w:type="character" w:styleId="CommentReference">
    <w:name w:val="annotation reference"/>
    <w:basedOn w:val="DefaultParagraphFont"/>
    <w:uiPriority w:val="99"/>
    <w:semiHidden/>
    <w:unhideWhenUsed/>
    <w:rsid w:val="00F11440"/>
    <w:rPr>
      <w:sz w:val="16"/>
      <w:szCs w:val="16"/>
    </w:rPr>
  </w:style>
  <w:style w:type="paragraph" w:styleId="CommentText">
    <w:name w:val="annotation text"/>
    <w:basedOn w:val="Normal"/>
    <w:link w:val="CommentTextChar"/>
    <w:uiPriority w:val="99"/>
    <w:unhideWhenUsed/>
    <w:rsid w:val="00F11440"/>
    <w:pPr>
      <w:spacing w:line="240" w:lineRule="auto"/>
    </w:pPr>
    <w:rPr>
      <w:sz w:val="20"/>
      <w:szCs w:val="20"/>
    </w:rPr>
  </w:style>
  <w:style w:type="character" w:customStyle="1" w:styleId="CommentTextChar">
    <w:name w:val="Comment Text Char"/>
    <w:basedOn w:val="DefaultParagraphFont"/>
    <w:link w:val="CommentText"/>
    <w:uiPriority w:val="99"/>
    <w:rsid w:val="00F11440"/>
    <w:rPr>
      <w:sz w:val="20"/>
      <w:szCs w:val="20"/>
    </w:rPr>
  </w:style>
  <w:style w:type="paragraph" w:styleId="CommentSubject">
    <w:name w:val="annotation subject"/>
    <w:basedOn w:val="CommentText"/>
    <w:next w:val="CommentText"/>
    <w:link w:val="CommentSubjectChar"/>
    <w:uiPriority w:val="99"/>
    <w:semiHidden/>
    <w:unhideWhenUsed/>
    <w:rsid w:val="00F11440"/>
    <w:rPr>
      <w:b/>
      <w:bCs/>
    </w:rPr>
  </w:style>
  <w:style w:type="character" w:customStyle="1" w:styleId="CommentSubjectChar">
    <w:name w:val="Comment Subject Char"/>
    <w:basedOn w:val="CommentTextChar"/>
    <w:link w:val="CommentSubject"/>
    <w:uiPriority w:val="99"/>
    <w:semiHidden/>
    <w:rsid w:val="00F11440"/>
    <w:rPr>
      <w:b/>
      <w:bCs/>
      <w:sz w:val="20"/>
      <w:szCs w:val="20"/>
    </w:rPr>
  </w:style>
  <w:style w:type="character" w:styleId="Emphasis">
    <w:name w:val="Emphasis"/>
    <w:qFormat/>
    <w:rsid w:val="00423521"/>
    <w:rPr>
      <w:i/>
      <w:iCs/>
    </w:rPr>
  </w:style>
  <w:style w:type="paragraph" w:styleId="Title">
    <w:name w:val="Title"/>
    <w:basedOn w:val="Normal"/>
    <w:next w:val="Normal"/>
    <w:link w:val="TitleChar"/>
    <w:uiPriority w:val="10"/>
    <w:qFormat/>
    <w:rsid w:val="001877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738"/>
    <w:rPr>
      <w:rFonts w:asciiTheme="majorHAnsi" w:eastAsiaTheme="majorEastAsia" w:hAnsiTheme="majorHAnsi" w:cstheme="majorBidi"/>
      <w:color w:val="17365D" w:themeColor="text2" w:themeShade="BF"/>
      <w:spacing w:val="5"/>
      <w:kern w:val="28"/>
      <w:sz w:val="52"/>
      <w:szCs w:val="52"/>
    </w:rPr>
  </w:style>
  <w:style w:type="paragraph" w:customStyle="1" w:styleId="beforeunorderedlist">
    <w:name w:val="before_unordered_list"/>
    <w:basedOn w:val="Normal"/>
    <w:rsid w:val="00DE6F06"/>
    <w:pPr>
      <w:spacing w:before="100" w:beforeAutospacing="1"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F26D4"/>
    <w:rPr>
      <w:rFonts w:eastAsiaTheme="majorEastAsia" w:cstheme="majorBidi"/>
      <w:b/>
      <w:bCs/>
    </w:rPr>
  </w:style>
  <w:style w:type="paragraph" w:styleId="Revision">
    <w:name w:val="Revision"/>
    <w:hidden/>
    <w:uiPriority w:val="99"/>
    <w:semiHidden/>
    <w:rsid w:val="006E4B02"/>
    <w:pPr>
      <w:spacing w:after="0" w:line="240" w:lineRule="auto"/>
    </w:pPr>
  </w:style>
  <w:style w:type="paragraph" w:styleId="DocumentMap">
    <w:name w:val="Document Map"/>
    <w:basedOn w:val="Normal"/>
    <w:link w:val="DocumentMapChar"/>
    <w:uiPriority w:val="99"/>
    <w:semiHidden/>
    <w:unhideWhenUsed/>
    <w:rsid w:val="00DF26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26D4"/>
    <w:rPr>
      <w:rFonts w:ascii="Tahoma" w:hAnsi="Tahoma" w:cs="Tahoma"/>
      <w:sz w:val="16"/>
      <w:szCs w:val="16"/>
    </w:rPr>
  </w:style>
  <w:style w:type="character" w:customStyle="1" w:styleId="Heading2Char">
    <w:name w:val="Heading 2 Char"/>
    <w:basedOn w:val="DefaultParagraphFont"/>
    <w:link w:val="Heading2"/>
    <w:uiPriority w:val="9"/>
    <w:rsid w:val="00DF26D4"/>
    <w:rPr>
      <w:u w:val="single"/>
    </w:rPr>
  </w:style>
  <w:style w:type="paragraph" w:styleId="Quote">
    <w:name w:val="Quote"/>
    <w:basedOn w:val="Normal"/>
    <w:next w:val="Normal"/>
    <w:link w:val="QuoteChar"/>
    <w:uiPriority w:val="29"/>
    <w:qFormat/>
    <w:rsid w:val="00215B74"/>
    <w:pPr>
      <w:spacing w:line="240" w:lineRule="auto"/>
    </w:pPr>
    <w:rPr>
      <w:b/>
      <w:i/>
      <w:color w:val="548DD4" w:themeColor="text2" w:themeTint="99"/>
      <w:szCs w:val="20"/>
    </w:rPr>
  </w:style>
  <w:style w:type="character" w:customStyle="1" w:styleId="QuoteChar">
    <w:name w:val="Quote Char"/>
    <w:basedOn w:val="DefaultParagraphFont"/>
    <w:link w:val="Quote"/>
    <w:uiPriority w:val="29"/>
    <w:rsid w:val="00215B74"/>
    <w:rPr>
      <w:b/>
      <w:i/>
      <w:color w:val="548DD4" w:themeColor="text2" w:themeTint="99"/>
      <w:szCs w:val="20"/>
    </w:rPr>
  </w:style>
  <w:style w:type="paragraph" w:styleId="NoSpacing">
    <w:name w:val="No Spacing"/>
    <w:uiPriority w:val="1"/>
    <w:qFormat/>
    <w:rsid w:val="00DF26D4"/>
    <w:pPr>
      <w:spacing w:after="0" w:line="240" w:lineRule="auto"/>
    </w:pPr>
  </w:style>
  <w:style w:type="character" w:styleId="PlaceholderText">
    <w:name w:val="Placeholder Text"/>
    <w:basedOn w:val="DefaultParagraphFont"/>
    <w:uiPriority w:val="99"/>
    <w:semiHidden/>
    <w:rsid w:val="00A36D78"/>
    <w:rPr>
      <w:color w:val="808080"/>
    </w:rPr>
  </w:style>
  <w:style w:type="character" w:styleId="FollowedHyperlink">
    <w:name w:val="FollowedHyperlink"/>
    <w:basedOn w:val="DefaultParagraphFont"/>
    <w:uiPriority w:val="99"/>
    <w:semiHidden/>
    <w:unhideWhenUsed/>
    <w:rsid w:val="00101EF2"/>
    <w:rPr>
      <w:color w:val="800080" w:themeColor="followedHyperlink"/>
      <w:u w:val="single"/>
    </w:rPr>
  </w:style>
  <w:style w:type="paragraph" w:styleId="FootnoteText">
    <w:name w:val="footnote text"/>
    <w:basedOn w:val="Normal"/>
    <w:link w:val="FootnoteTextChar"/>
    <w:uiPriority w:val="99"/>
    <w:unhideWhenUsed/>
    <w:rsid w:val="00205138"/>
    <w:pPr>
      <w:spacing w:after="0" w:line="240" w:lineRule="auto"/>
    </w:pPr>
    <w:rPr>
      <w:sz w:val="20"/>
      <w:szCs w:val="20"/>
    </w:rPr>
  </w:style>
  <w:style w:type="character" w:customStyle="1" w:styleId="FootnoteTextChar">
    <w:name w:val="Footnote Text Char"/>
    <w:basedOn w:val="DefaultParagraphFont"/>
    <w:link w:val="FootnoteText"/>
    <w:uiPriority w:val="99"/>
    <w:rsid w:val="00205138"/>
    <w:rPr>
      <w:sz w:val="20"/>
      <w:szCs w:val="20"/>
    </w:rPr>
  </w:style>
  <w:style w:type="character" w:styleId="FootnoteReference">
    <w:name w:val="footnote reference"/>
    <w:basedOn w:val="DefaultParagraphFont"/>
    <w:uiPriority w:val="99"/>
    <w:unhideWhenUsed/>
    <w:rsid w:val="00205138"/>
    <w:rPr>
      <w:vertAlign w:val="superscript"/>
    </w:rPr>
  </w:style>
  <w:style w:type="paragraph" w:styleId="EndnoteText">
    <w:name w:val="endnote text"/>
    <w:basedOn w:val="Normal"/>
    <w:link w:val="EndnoteTextChar"/>
    <w:uiPriority w:val="99"/>
    <w:semiHidden/>
    <w:rsid w:val="00AE09C0"/>
    <w:pPr>
      <w:overflowPunct w:val="0"/>
      <w:autoSpaceDE w:val="0"/>
      <w:autoSpaceDN w:val="0"/>
      <w:adjustRightInd w:val="0"/>
      <w:spacing w:after="120" w:line="240" w:lineRule="auto"/>
      <w:textAlignment w:val="baseline"/>
    </w:pPr>
    <w:rPr>
      <w:rFonts w:ascii="Arial" w:eastAsia="Times New Roman" w:hAnsi="Arial" w:cs="Times New Roman"/>
      <w:lang w:val="en-US" w:eastAsia="pl-PL"/>
    </w:rPr>
  </w:style>
  <w:style w:type="character" w:customStyle="1" w:styleId="EndnoteTextChar">
    <w:name w:val="Endnote Text Char"/>
    <w:basedOn w:val="DefaultParagraphFont"/>
    <w:link w:val="EndnoteText"/>
    <w:uiPriority w:val="99"/>
    <w:semiHidden/>
    <w:rsid w:val="00AE09C0"/>
    <w:rPr>
      <w:rFonts w:ascii="Arial" w:eastAsia="Times New Roman" w:hAnsi="Arial" w:cs="Times New Roman"/>
      <w:lang w:val="en-US" w:eastAsia="pl-PL"/>
    </w:rPr>
  </w:style>
  <w:style w:type="character" w:styleId="EndnoteReference">
    <w:name w:val="endnote reference"/>
    <w:semiHidden/>
    <w:rsid w:val="00AE09C0"/>
    <w:rPr>
      <w:vertAlign w:val="superscript"/>
    </w:rPr>
  </w:style>
  <w:style w:type="paragraph" w:customStyle="1" w:styleId="AB-podstawowywyjustowany">
    <w:name w:val="AB - podstawowy wyjustowany"/>
    <w:basedOn w:val="Normal"/>
    <w:next w:val="Normal"/>
    <w:link w:val="AB-podstawowywyjustowanyZnak"/>
    <w:qFormat/>
    <w:rsid w:val="00AE09C0"/>
    <w:pPr>
      <w:spacing w:before="120" w:after="120" w:line="360" w:lineRule="auto"/>
    </w:pPr>
    <w:rPr>
      <w:rFonts w:ascii="Arial" w:eastAsia="Times New Roman" w:hAnsi="Arial" w:cs="Times New Roman"/>
      <w:sz w:val="20"/>
      <w:szCs w:val="26"/>
      <w:lang w:val="en-US" w:eastAsia="pl-PL"/>
    </w:rPr>
  </w:style>
  <w:style w:type="character" w:customStyle="1" w:styleId="AB-podstawowywyjustowanyZnak">
    <w:name w:val="AB - podstawowy wyjustowany Znak"/>
    <w:link w:val="AB-podstawowywyjustowany"/>
    <w:rsid w:val="00AE09C0"/>
    <w:rPr>
      <w:rFonts w:ascii="Arial" w:eastAsia="Times New Roman" w:hAnsi="Arial" w:cs="Times New Roman"/>
      <w:sz w:val="20"/>
      <w:szCs w:val="26"/>
      <w:lang w:val="en-US" w:eastAsia="pl-PL"/>
    </w:rPr>
  </w:style>
  <w:style w:type="paragraph" w:customStyle="1" w:styleId="AB-podstawowy">
    <w:name w:val="AB - podstawowy"/>
    <w:link w:val="AB-podstawowyZnak"/>
    <w:qFormat/>
    <w:rsid w:val="00584D47"/>
    <w:pPr>
      <w:spacing w:before="120" w:after="120" w:line="360" w:lineRule="auto"/>
    </w:pPr>
    <w:rPr>
      <w:rFonts w:eastAsia="Times New Roman" w:cs="Times New Roman"/>
      <w:szCs w:val="26"/>
      <w:lang w:val="en-US" w:eastAsia="pl-PL"/>
    </w:rPr>
  </w:style>
  <w:style w:type="character" w:customStyle="1" w:styleId="AB-podstawowyZnak">
    <w:name w:val="AB - podstawowy Znak"/>
    <w:link w:val="AB-podstawowy"/>
    <w:rsid w:val="00584D47"/>
    <w:rPr>
      <w:rFonts w:eastAsia="Times New Roman" w:cs="Times New Roman"/>
      <w:szCs w:val="26"/>
      <w:lang w:val="en-US" w:eastAsia="pl-PL"/>
    </w:rPr>
  </w:style>
  <w:style w:type="character" w:customStyle="1" w:styleId="hps">
    <w:name w:val="hps"/>
    <w:basedOn w:val="DefaultParagraphFont"/>
    <w:rsid w:val="00584D47"/>
  </w:style>
  <w:style w:type="character" w:customStyle="1" w:styleId="highlight">
    <w:name w:val="highlight"/>
    <w:rsid w:val="00584D47"/>
  </w:style>
  <w:style w:type="character" w:customStyle="1" w:styleId="Heading3Char">
    <w:name w:val="Heading 3 Char"/>
    <w:basedOn w:val="DefaultParagraphFont"/>
    <w:link w:val="Heading3"/>
    <w:uiPriority w:val="9"/>
    <w:semiHidden/>
    <w:rsid w:val="00B63B55"/>
    <w:rPr>
      <w:rFonts w:asciiTheme="majorHAnsi" w:eastAsiaTheme="majorEastAsia" w:hAnsiTheme="majorHAnsi" w:cstheme="majorBidi"/>
      <w:b/>
      <w:bCs/>
      <w:color w:val="4F81BD" w:themeColor="accent1"/>
    </w:rPr>
  </w:style>
  <w:style w:type="paragraph" w:styleId="BodyText">
    <w:name w:val="Body Text"/>
    <w:basedOn w:val="Normal"/>
    <w:link w:val="BodyTextChar"/>
    <w:rsid w:val="00B63B55"/>
    <w:pPr>
      <w:spacing w:before="120" w:after="120" w:line="240" w:lineRule="auto"/>
      <w:ind w:left="1134"/>
      <w:jc w:val="left"/>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B63B55"/>
    <w:rPr>
      <w:rFonts w:ascii="Times New Roman" w:eastAsia="Times New Roman" w:hAnsi="Times New Roman" w:cs="Times New Roman"/>
      <w:sz w:val="24"/>
      <w:szCs w:val="24"/>
      <w:lang w:eastAsia="en-AU"/>
    </w:rPr>
  </w:style>
  <w:style w:type="paragraph" w:customStyle="1" w:styleId="Tabletext-left">
    <w:name w:val="Table text - left"/>
    <w:basedOn w:val="Normal"/>
    <w:link w:val="Tabletext-leftChar"/>
    <w:qFormat/>
    <w:rsid w:val="00532CCF"/>
    <w:pPr>
      <w:keepNext/>
      <w:tabs>
        <w:tab w:val="left" w:pos="2835"/>
      </w:tabs>
      <w:spacing w:before="120" w:after="120" w:line="312" w:lineRule="auto"/>
      <w:jc w:val="left"/>
    </w:pPr>
    <w:rPr>
      <w:rFonts w:ascii="Arial Narrow" w:eastAsia="Times New Roman" w:hAnsi="Arial Narrow" w:cs="Arial"/>
      <w:sz w:val="20"/>
      <w:szCs w:val="20"/>
    </w:rPr>
  </w:style>
  <w:style w:type="character" w:customStyle="1" w:styleId="Tabletext-leftChar">
    <w:name w:val="Table text - left Char"/>
    <w:basedOn w:val="DefaultParagraphFont"/>
    <w:link w:val="Tabletext-left"/>
    <w:rsid w:val="00532CCF"/>
    <w:rPr>
      <w:rFonts w:ascii="Arial Narrow" w:eastAsia="Times New Roman" w:hAnsi="Arial Narrow" w:cs="Arial"/>
      <w:sz w:val="20"/>
      <w:szCs w:val="20"/>
    </w:rPr>
  </w:style>
  <w:style w:type="paragraph" w:customStyle="1" w:styleId="ListBullet1">
    <w:name w:val="List Bullet 1"/>
    <w:basedOn w:val="Normal"/>
    <w:next w:val="Normal"/>
    <w:rsid w:val="00532CCF"/>
    <w:pPr>
      <w:keepNext/>
      <w:keepLines/>
      <w:numPr>
        <w:numId w:val="18"/>
      </w:numPr>
      <w:tabs>
        <w:tab w:val="left" w:pos="360"/>
      </w:tabs>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Footnotes">
    <w:name w:val="Table Footnotes"/>
    <w:basedOn w:val="Normal"/>
    <w:qFormat/>
    <w:rsid w:val="00B755CE"/>
    <w:pPr>
      <w:keepNext/>
      <w:spacing w:after="360" w:line="240" w:lineRule="auto"/>
      <w:contextualSpacing/>
      <w:jc w:val="left"/>
    </w:pPr>
    <w:rPr>
      <w:rFonts w:ascii="Arial" w:eastAsia="Times New Roman" w:hAnsi="Arial" w:cs="Arial"/>
      <w:sz w:val="18"/>
      <w:lang w:eastAsia="en-AU"/>
    </w:rPr>
  </w:style>
  <w:style w:type="paragraph" w:styleId="TOCHeading">
    <w:name w:val="TOC Heading"/>
    <w:basedOn w:val="Heading1"/>
    <w:next w:val="Normal"/>
    <w:uiPriority w:val="39"/>
    <w:semiHidden/>
    <w:unhideWhenUsed/>
    <w:qFormat/>
    <w:rsid w:val="00E25CE4"/>
    <w:pPr>
      <w:numPr>
        <w:numId w:val="0"/>
      </w:numPr>
      <w:spacing w:after="0"/>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E25CE4"/>
    <w:pPr>
      <w:spacing w:after="100"/>
    </w:pPr>
  </w:style>
  <w:style w:type="paragraph" w:styleId="TOC2">
    <w:name w:val="toc 2"/>
    <w:basedOn w:val="Normal"/>
    <w:next w:val="Normal"/>
    <w:autoRedefine/>
    <w:uiPriority w:val="39"/>
    <w:unhideWhenUsed/>
    <w:rsid w:val="00E25CE4"/>
    <w:pPr>
      <w:spacing w:after="100"/>
      <w:ind w:left="220"/>
    </w:pPr>
  </w:style>
  <w:style w:type="character" w:styleId="Strong">
    <w:name w:val="Strong"/>
    <w:basedOn w:val="DefaultParagraphFont"/>
    <w:uiPriority w:val="22"/>
    <w:qFormat/>
    <w:rsid w:val="00E25CE4"/>
    <w:rPr>
      <w:b/>
      <w:bCs/>
    </w:rPr>
  </w:style>
  <w:style w:type="paragraph" w:customStyle="1" w:styleId="Default">
    <w:name w:val="Default"/>
    <w:rsid w:val="0065029D"/>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190677"/>
    <w:pPr>
      <w:spacing w:after="0"/>
      <w:jc w:val="center"/>
    </w:pPr>
    <w:rPr>
      <w:rFonts w:ascii="Calibri" w:hAnsi="Calibri"/>
      <w:noProof/>
      <w:lang w:val="en-US"/>
    </w:rPr>
  </w:style>
  <w:style w:type="character" w:customStyle="1" w:styleId="EndNoteBibliographyTitleChar">
    <w:name w:val="EndNote Bibliography Title Char"/>
    <w:basedOn w:val="FootnoteTextChar"/>
    <w:link w:val="EndNoteBibliographyTitle"/>
    <w:rsid w:val="00190677"/>
    <w:rPr>
      <w:rFonts w:ascii="Calibri" w:hAnsi="Calibri"/>
      <w:noProof/>
      <w:sz w:val="20"/>
      <w:szCs w:val="20"/>
      <w:lang w:val="en-US"/>
    </w:rPr>
  </w:style>
  <w:style w:type="paragraph" w:customStyle="1" w:styleId="EndNoteBibliography">
    <w:name w:val="EndNote Bibliography"/>
    <w:basedOn w:val="Normal"/>
    <w:link w:val="EndNoteBibliographyChar"/>
    <w:rsid w:val="00190677"/>
    <w:pPr>
      <w:spacing w:line="240" w:lineRule="auto"/>
    </w:pPr>
    <w:rPr>
      <w:rFonts w:ascii="Calibri" w:hAnsi="Calibri"/>
      <w:noProof/>
      <w:lang w:val="en-US"/>
    </w:rPr>
  </w:style>
  <w:style w:type="character" w:customStyle="1" w:styleId="EndNoteBibliographyChar">
    <w:name w:val="EndNote Bibliography Char"/>
    <w:basedOn w:val="FootnoteTextChar"/>
    <w:link w:val="EndNoteBibliography"/>
    <w:rsid w:val="00190677"/>
    <w:rPr>
      <w:rFonts w:ascii="Calibri" w:hAnsi="Calibri"/>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232">
      <w:bodyDiv w:val="1"/>
      <w:marLeft w:val="0"/>
      <w:marRight w:val="0"/>
      <w:marTop w:val="0"/>
      <w:marBottom w:val="0"/>
      <w:divBdr>
        <w:top w:val="none" w:sz="0" w:space="0" w:color="auto"/>
        <w:left w:val="none" w:sz="0" w:space="0" w:color="auto"/>
        <w:bottom w:val="none" w:sz="0" w:space="0" w:color="auto"/>
        <w:right w:val="none" w:sz="0" w:space="0" w:color="auto"/>
      </w:divBdr>
    </w:div>
    <w:div w:id="287705906">
      <w:bodyDiv w:val="1"/>
      <w:marLeft w:val="0"/>
      <w:marRight w:val="0"/>
      <w:marTop w:val="0"/>
      <w:marBottom w:val="0"/>
      <w:divBdr>
        <w:top w:val="none" w:sz="0" w:space="0" w:color="auto"/>
        <w:left w:val="none" w:sz="0" w:space="0" w:color="auto"/>
        <w:bottom w:val="none" w:sz="0" w:space="0" w:color="auto"/>
        <w:right w:val="none" w:sz="0" w:space="0" w:color="auto"/>
      </w:divBdr>
      <w:divsChild>
        <w:div w:id="732386123">
          <w:marLeft w:val="0"/>
          <w:marRight w:val="0"/>
          <w:marTop w:val="0"/>
          <w:marBottom w:val="0"/>
          <w:divBdr>
            <w:top w:val="none" w:sz="0" w:space="0" w:color="auto"/>
            <w:left w:val="none" w:sz="0" w:space="0" w:color="auto"/>
            <w:bottom w:val="none" w:sz="0" w:space="0" w:color="auto"/>
            <w:right w:val="none" w:sz="0" w:space="0" w:color="auto"/>
          </w:divBdr>
          <w:divsChild>
            <w:div w:id="864055315">
              <w:marLeft w:val="0"/>
              <w:marRight w:val="0"/>
              <w:marTop w:val="0"/>
              <w:marBottom w:val="0"/>
              <w:divBdr>
                <w:top w:val="none" w:sz="0" w:space="0" w:color="auto"/>
                <w:left w:val="none" w:sz="0" w:space="0" w:color="auto"/>
                <w:bottom w:val="none" w:sz="0" w:space="0" w:color="auto"/>
                <w:right w:val="none" w:sz="0" w:space="0" w:color="auto"/>
              </w:divBdr>
              <w:divsChild>
                <w:div w:id="1626503031">
                  <w:marLeft w:val="0"/>
                  <w:marRight w:val="0"/>
                  <w:marTop w:val="0"/>
                  <w:marBottom w:val="0"/>
                  <w:divBdr>
                    <w:top w:val="none" w:sz="0" w:space="0" w:color="auto"/>
                    <w:left w:val="none" w:sz="0" w:space="0" w:color="auto"/>
                    <w:bottom w:val="none" w:sz="0" w:space="0" w:color="auto"/>
                    <w:right w:val="none" w:sz="0" w:space="0" w:color="auto"/>
                  </w:divBdr>
                  <w:divsChild>
                    <w:div w:id="660547129">
                      <w:marLeft w:val="0"/>
                      <w:marRight w:val="0"/>
                      <w:marTop w:val="0"/>
                      <w:marBottom w:val="0"/>
                      <w:divBdr>
                        <w:top w:val="none" w:sz="0" w:space="0" w:color="auto"/>
                        <w:left w:val="none" w:sz="0" w:space="0" w:color="auto"/>
                        <w:bottom w:val="none" w:sz="0" w:space="0" w:color="auto"/>
                        <w:right w:val="none" w:sz="0" w:space="0" w:color="auto"/>
                      </w:divBdr>
                      <w:divsChild>
                        <w:div w:id="2006861847">
                          <w:marLeft w:val="0"/>
                          <w:marRight w:val="0"/>
                          <w:marTop w:val="0"/>
                          <w:marBottom w:val="0"/>
                          <w:divBdr>
                            <w:top w:val="none" w:sz="0" w:space="0" w:color="auto"/>
                            <w:left w:val="none" w:sz="0" w:space="0" w:color="auto"/>
                            <w:bottom w:val="none" w:sz="0" w:space="0" w:color="auto"/>
                            <w:right w:val="none" w:sz="0" w:space="0" w:color="auto"/>
                          </w:divBdr>
                          <w:divsChild>
                            <w:div w:id="196545737">
                              <w:marLeft w:val="0"/>
                              <w:marRight w:val="0"/>
                              <w:marTop w:val="0"/>
                              <w:marBottom w:val="0"/>
                              <w:divBdr>
                                <w:top w:val="none" w:sz="0" w:space="0" w:color="auto"/>
                                <w:left w:val="none" w:sz="0" w:space="0" w:color="auto"/>
                                <w:bottom w:val="none" w:sz="0" w:space="0" w:color="auto"/>
                                <w:right w:val="none" w:sz="0" w:space="0" w:color="auto"/>
                              </w:divBdr>
                              <w:divsChild>
                                <w:div w:id="1295063165">
                                  <w:marLeft w:val="0"/>
                                  <w:marRight w:val="0"/>
                                  <w:marTop w:val="0"/>
                                  <w:marBottom w:val="0"/>
                                  <w:divBdr>
                                    <w:top w:val="none" w:sz="0" w:space="0" w:color="auto"/>
                                    <w:left w:val="none" w:sz="0" w:space="0" w:color="auto"/>
                                    <w:bottom w:val="none" w:sz="0" w:space="0" w:color="auto"/>
                                    <w:right w:val="none" w:sz="0" w:space="0" w:color="auto"/>
                                  </w:divBdr>
                                  <w:divsChild>
                                    <w:div w:id="652300065">
                                      <w:marLeft w:val="0"/>
                                      <w:marRight w:val="0"/>
                                      <w:marTop w:val="0"/>
                                      <w:marBottom w:val="0"/>
                                      <w:divBdr>
                                        <w:top w:val="none" w:sz="0" w:space="0" w:color="auto"/>
                                        <w:left w:val="none" w:sz="0" w:space="0" w:color="auto"/>
                                        <w:bottom w:val="none" w:sz="0" w:space="0" w:color="auto"/>
                                        <w:right w:val="none" w:sz="0" w:space="0" w:color="auto"/>
                                      </w:divBdr>
                                      <w:divsChild>
                                        <w:div w:id="433019857">
                                          <w:marLeft w:val="0"/>
                                          <w:marRight w:val="0"/>
                                          <w:marTop w:val="0"/>
                                          <w:marBottom w:val="0"/>
                                          <w:divBdr>
                                            <w:top w:val="none" w:sz="0" w:space="0" w:color="auto"/>
                                            <w:left w:val="none" w:sz="0" w:space="0" w:color="auto"/>
                                            <w:bottom w:val="none" w:sz="0" w:space="0" w:color="auto"/>
                                            <w:right w:val="none" w:sz="0" w:space="0" w:color="auto"/>
                                          </w:divBdr>
                                        </w:div>
                                        <w:div w:id="1354264898">
                                          <w:marLeft w:val="0"/>
                                          <w:marRight w:val="0"/>
                                          <w:marTop w:val="0"/>
                                          <w:marBottom w:val="0"/>
                                          <w:divBdr>
                                            <w:top w:val="none" w:sz="0" w:space="0" w:color="auto"/>
                                            <w:left w:val="none" w:sz="0" w:space="0" w:color="auto"/>
                                            <w:bottom w:val="none" w:sz="0" w:space="0" w:color="auto"/>
                                            <w:right w:val="none" w:sz="0" w:space="0" w:color="auto"/>
                                          </w:divBdr>
                                        </w:div>
                                        <w:div w:id="19619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660566">
      <w:bodyDiv w:val="1"/>
      <w:marLeft w:val="0"/>
      <w:marRight w:val="0"/>
      <w:marTop w:val="0"/>
      <w:marBottom w:val="0"/>
      <w:divBdr>
        <w:top w:val="none" w:sz="0" w:space="0" w:color="auto"/>
        <w:left w:val="none" w:sz="0" w:space="0" w:color="auto"/>
        <w:bottom w:val="none" w:sz="0" w:space="0" w:color="auto"/>
        <w:right w:val="none" w:sz="0" w:space="0" w:color="auto"/>
      </w:divBdr>
    </w:div>
    <w:div w:id="438530701">
      <w:bodyDiv w:val="1"/>
      <w:marLeft w:val="0"/>
      <w:marRight w:val="0"/>
      <w:marTop w:val="0"/>
      <w:marBottom w:val="0"/>
      <w:divBdr>
        <w:top w:val="none" w:sz="0" w:space="0" w:color="auto"/>
        <w:left w:val="none" w:sz="0" w:space="0" w:color="auto"/>
        <w:bottom w:val="none" w:sz="0" w:space="0" w:color="auto"/>
        <w:right w:val="none" w:sz="0" w:space="0" w:color="auto"/>
      </w:divBdr>
    </w:div>
    <w:div w:id="484855429">
      <w:bodyDiv w:val="1"/>
      <w:marLeft w:val="0"/>
      <w:marRight w:val="0"/>
      <w:marTop w:val="0"/>
      <w:marBottom w:val="0"/>
      <w:divBdr>
        <w:top w:val="none" w:sz="0" w:space="0" w:color="auto"/>
        <w:left w:val="none" w:sz="0" w:space="0" w:color="auto"/>
        <w:bottom w:val="none" w:sz="0" w:space="0" w:color="auto"/>
        <w:right w:val="none" w:sz="0" w:space="0" w:color="auto"/>
      </w:divBdr>
    </w:div>
    <w:div w:id="656542238">
      <w:bodyDiv w:val="1"/>
      <w:marLeft w:val="0"/>
      <w:marRight w:val="0"/>
      <w:marTop w:val="0"/>
      <w:marBottom w:val="0"/>
      <w:divBdr>
        <w:top w:val="none" w:sz="0" w:space="0" w:color="auto"/>
        <w:left w:val="none" w:sz="0" w:space="0" w:color="auto"/>
        <w:bottom w:val="none" w:sz="0" w:space="0" w:color="auto"/>
        <w:right w:val="none" w:sz="0" w:space="0" w:color="auto"/>
      </w:divBdr>
    </w:div>
    <w:div w:id="699553828">
      <w:bodyDiv w:val="1"/>
      <w:marLeft w:val="0"/>
      <w:marRight w:val="0"/>
      <w:marTop w:val="0"/>
      <w:marBottom w:val="0"/>
      <w:divBdr>
        <w:top w:val="none" w:sz="0" w:space="0" w:color="auto"/>
        <w:left w:val="none" w:sz="0" w:space="0" w:color="auto"/>
        <w:bottom w:val="none" w:sz="0" w:space="0" w:color="auto"/>
        <w:right w:val="none" w:sz="0" w:space="0" w:color="auto"/>
      </w:divBdr>
    </w:div>
    <w:div w:id="700519045">
      <w:bodyDiv w:val="1"/>
      <w:marLeft w:val="0"/>
      <w:marRight w:val="0"/>
      <w:marTop w:val="0"/>
      <w:marBottom w:val="0"/>
      <w:divBdr>
        <w:top w:val="none" w:sz="0" w:space="0" w:color="auto"/>
        <w:left w:val="none" w:sz="0" w:space="0" w:color="auto"/>
        <w:bottom w:val="none" w:sz="0" w:space="0" w:color="auto"/>
        <w:right w:val="none" w:sz="0" w:space="0" w:color="auto"/>
      </w:divBdr>
    </w:div>
    <w:div w:id="711150850">
      <w:bodyDiv w:val="1"/>
      <w:marLeft w:val="0"/>
      <w:marRight w:val="0"/>
      <w:marTop w:val="0"/>
      <w:marBottom w:val="0"/>
      <w:divBdr>
        <w:top w:val="none" w:sz="0" w:space="0" w:color="auto"/>
        <w:left w:val="none" w:sz="0" w:space="0" w:color="auto"/>
        <w:bottom w:val="none" w:sz="0" w:space="0" w:color="auto"/>
        <w:right w:val="none" w:sz="0" w:space="0" w:color="auto"/>
      </w:divBdr>
    </w:div>
    <w:div w:id="785584429">
      <w:bodyDiv w:val="1"/>
      <w:marLeft w:val="0"/>
      <w:marRight w:val="0"/>
      <w:marTop w:val="0"/>
      <w:marBottom w:val="0"/>
      <w:divBdr>
        <w:top w:val="none" w:sz="0" w:space="0" w:color="auto"/>
        <w:left w:val="none" w:sz="0" w:space="0" w:color="auto"/>
        <w:bottom w:val="none" w:sz="0" w:space="0" w:color="auto"/>
        <w:right w:val="none" w:sz="0" w:space="0" w:color="auto"/>
      </w:divBdr>
    </w:div>
    <w:div w:id="884489489">
      <w:bodyDiv w:val="1"/>
      <w:marLeft w:val="0"/>
      <w:marRight w:val="0"/>
      <w:marTop w:val="0"/>
      <w:marBottom w:val="0"/>
      <w:divBdr>
        <w:top w:val="none" w:sz="0" w:space="0" w:color="auto"/>
        <w:left w:val="none" w:sz="0" w:space="0" w:color="auto"/>
        <w:bottom w:val="none" w:sz="0" w:space="0" w:color="auto"/>
        <w:right w:val="none" w:sz="0" w:space="0" w:color="auto"/>
      </w:divBdr>
      <w:divsChild>
        <w:div w:id="806511104">
          <w:marLeft w:val="0"/>
          <w:marRight w:val="1"/>
          <w:marTop w:val="0"/>
          <w:marBottom w:val="0"/>
          <w:divBdr>
            <w:top w:val="none" w:sz="0" w:space="0" w:color="auto"/>
            <w:left w:val="none" w:sz="0" w:space="0" w:color="auto"/>
            <w:bottom w:val="none" w:sz="0" w:space="0" w:color="auto"/>
            <w:right w:val="none" w:sz="0" w:space="0" w:color="auto"/>
          </w:divBdr>
          <w:divsChild>
            <w:div w:id="717439776">
              <w:marLeft w:val="0"/>
              <w:marRight w:val="0"/>
              <w:marTop w:val="0"/>
              <w:marBottom w:val="0"/>
              <w:divBdr>
                <w:top w:val="none" w:sz="0" w:space="0" w:color="auto"/>
                <w:left w:val="none" w:sz="0" w:space="0" w:color="auto"/>
                <w:bottom w:val="none" w:sz="0" w:space="0" w:color="auto"/>
                <w:right w:val="none" w:sz="0" w:space="0" w:color="auto"/>
              </w:divBdr>
              <w:divsChild>
                <w:div w:id="1250850889">
                  <w:marLeft w:val="0"/>
                  <w:marRight w:val="1"/>
                  <w:marTop w:val="0"/>
                  <w:marBottom w:val="0"/>
                  <w:divBdr>
                    <w:top w:val="none" w:sz="0" w:space="0" w:color="auto"/>
                    <w:left w:val="none" w:sz="0" w:space="0" w:color="auto"/>
                    <w:bottom w:val="none" w:sz="0" w:space="0" w:color="auto"/>
                    <w:right w:val="none" w:sz="0" w:space="0" w:color="auto"/>
                  </w:divBdr>
                  <w:divsChild>
                    <w:div w:id="1305963619">
                      <w:marLeft w:val="0"/>
                      <w:marRight w:val="0"/>
                      <w:marTop w:val="0"/>
                      <w:marBottom w:val="0"/>
                      <w:divBdr>
                        <w:top w:val="none" w:sz="0" w:space="0" w:color="auto"/>
                        <w:left w:val="none" w:sz="0" w:space="0" w:color="auto"/>
                        <w:bottom w:val="none" w:sz="0" w:space="0" w:color="auto"/>
                        <w:right w:val="none" w:sz="0" w:space="0" w:color="auto"/>
                      </w:divBdr>
                      <w:divsChild>
                        <w:div w:id="1216046706">
                          <w:marLeft w:val="0"/>
                          <w:marRight w:val="0"/>
                          <w:marTop w:val="0"/>
                          <w:marBottom w:val="0"/>
                          <w:divBdr>
                            <w:top w:val="none" w:sz="0" w:space="0" w:color="auto"/>
                            <w:left w:val="none" w:sz="0" w:space="0" w:color="auto"/>
                            <w:bottom w:val="none" w:sz="0" w:space="0" w:color="auto"/>
                            <w:right w:val="none" w:sz="0" w:space="0" w:color="auto"/>
                          </w:divBdr>
                          <w:divsChild>
                            <w:div w:id="936980669">
                              <w:marLeft w:val="0"/>
                              <w:marRight w:val="0"/>
                              <w:marTop w:val="120"/>
                              <w:marBottom w:val="360"/>
                              <w:divBdr>
                                <w:top w:val="none" w:sz="0" w:space="0" w:color="auto"/>
                                <w:left w:val="none" w:sz="0" w:space="0" w:color="auto"/>
                                <w:bottom w:val="none" w:sz="0" w:space="0" w:color="auto"/>
                                <w:right w:val="none" w:sz="0" w:space="0" w:color="auto"/>
                              </w:divBdr>
                              <w:divsChild>
                                <w:div w:id="1165784837">
                                  <w:marLeft w:val="0"/>
                                  <w:marRight w:val="0"/>
                                  <w:marTop w:val="0"/>
                                  <w:marBottom w:val="0"/>
                                  <w:divBdr>
                                    <w:top w:val="none" w:sz="0" w:space="0" w:color="auto"/>
                                    <w:left w:val="none" w:sz="0" w:space="0" w:color="auto"/>
                                    <w:bottom w:val="none" w:sz="0" w:space="0" w:color="auto"/>
                                    <w:right w:val="none" w:sz="0" w:space="0" w:color="auto"/>
                                  </w:divBdr>
                                </w:div>
                                <w:div w:id="18036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364">
      <w:bodyDiv w:val="1"/>
      <w:marLeft w:val="0"/>
      <w:marRight w:val="0"/>
      <w:marTop w:val="0"/>
      <w:marBottom w:val="0"/>
      <w:divBdr>
        <w:top w:val="none" w:sz="0" w:space="0" w:color="auto"/>
        <w:left w:val="none" w:sz="0" w:space="0" w:color="auto"/>
        <w:bottom w:val="none" w:sz="0" w:space="0" w:color="auto"/>
        <w:right w:val="none" w:sz="0" w:space="0" w:color="auto"/>
      </w:divBdr>
      <w:divsChild>
        <w:div w:id="1138450153">
          <w:marLeft w:val="0"/>
          <w:marRight w:val="0"/>
          <w:marTop w:val="0"/>
          <w:marBottom w:val="0"/>
          <w:divBdr>
            <w:top w:val="none" w:sz="0" w:space="0" w:color="auto"/>
            <w:left w:val="none" w:sz="0" w:space="0" w:color="auto"/>
            <w:bottom w:val="none" w:sz="0" w:space="0" w:color="auto"/>
            <w:right w:val="none" w:sz="0" w:space="0" w:color="auto"/>
          </w:divBdr>
          <w:divsChild>
            <w:div w:id="472068952">
              <w:marLeft w:val="0"/>
              <w:marRight w:val="0"/>
              <w:marTop w:val="100"/>
              <w:marBottom w:val="100"/>
              <w:divBdr>
                <w:top w:val="none" w:sz="0" w:space="0" w:color="auto"/>
                <w:left w:val="none" w:sz="0" w:space="0" w:color="auto"/>
                <w:bottom w:val="none" w:sz="0" w:space="0" w:color="auto"/>
                <w:right w:val="none" w:sz="0" w:space="0" w:color="auto"/>
              </w:divBdr>
              <w:divsChild>
                <w:div w:id="1303929867">
                  <w:marLeft w:val="0"/>
                  <w:marRight w:val="0"/>
                  <w:marTop w:val="0"/>
                  <w:marBottom w:val="0"/>
                  <w:divBdr>
                    <w:top w:val="none" w:sz="0" w:space="0" w:color="auto"/>
                    <w:left w:val="none" w:sz="0" w:space="0" w:color="auto"/>
                    <w:bottom w:val="none" w:sz="0" w:space="0" w:color="auto"/>
                    <w:right w:val="none" w:sz="0" w:space="0" w:color="auto"/>
                  </w:divBdr>
                  <w:divsChild>
                    <w:div w:id="427046501">
                      <w:marLeft w:val="0"/>
                      <w:marRight w:val="0"/>
                      <w:marTop w:val="0"/>
                      <w:marBottom w:val="0"/>
                      <w:divBdr>
                        <w:top w:val="none" w:sz="0" w:space="0" w:color="auto"/>
                        <w:left w:val="none" w:sz="0" w:space="0" w:color="auto"/>
                        <w:bottom w:val="none" w:sz="0" w:space="0" w:color="auto"/>
                        <w:right w:val="none" w:sz="0" w:space="0" w:color="auto"/>
                      </w:divBdr>
                      <w:divsChild>
                        <w:div w:id="1579441252">
                          <w:marLeft w:val="0"/>
                          <w:marRight w:val="0"/>
                          <w:marTop w:val="0"/>
                          <w:marBottom w:val="0"/>
                          <w:divBdr>
                            <w:top w:val="none" w:sz="0" w:space="0" w:color="auto"/>
                            <w:left w:val="none" w:sz="0" w:space="0" w:color="auto"/>
                            <w:bottom w:val="none" w:sz="0" w:space="0" w:color="auto"/>
                            <w:right w:val="none" w:sz="0" w:space="0" w:color="auto"/>
                          </w:divBdr>
                          <w:divsChild>
                            <w:div w:id="20632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072743">
      <w:bodyDiv w:val="1"/>
      <w:marLeft w:val="0"/>
      <w:marRight w:val="0"/>
      <w:marTop w:val="0"/>
      <w:marBottom w:val="0"/>
      <w:divBdr>
        <w:top w:val="none" w:sz="0" w:space="0" w:color="auto"/>
        <w:left w:val="none" w:sz="0" w:space="0" w:color="auto"/>
        <w:bottom w:val="none" w:sz="0" w:space="0" w:color="auto"/>
        <w:right w:val="none" w:sz="0" w:space="0" w:color="auto"/>
      </w:divBdr>
    </w:div>
    <w:div w:id="1152794331">
      <w:bodyDiv w:val="1"/>
      <w:marLeft w:val="0"/>
      <w:marRight w:val="0"/>
      <w:marTop w:val="0"/>
      <w:marBottom w:val="0"/>
      <w:divBdr>
        <w:top w:val="none" w:sz="0" w:space="0" w:color="auto"/>
        <w:left w:val="none" w:sz="0" w:space="0" w:color="auto"/>
        <w:bottom w:val="none" w:sz="0" w:space="0" w:color="auto"/>
        <w:right w:val="none" w:sz="0" w:space="0" w:color="auto"/>
      </w:divBdr>
    </w:div>
    <w:div w:id="1237933301">
      <w:bodyDiv w:val="1"/>
      <w:marLeft w:val="0"/>
      <w:marRight w:val="0"/>
      <w:marTop w:val="0"/>
      <w:marBottom w:val="0"/>
      <w:divBdr>
        <w:top w:val="none" w:sz="0" w:space="0" w:color="auto"/>
        <w:left w:val="none" w:sz="0" w:space="0" w:color="auto"/>
        <w:bottom w:val="none" w:sz="0" w:space="0" w:color="auto"/>
        <w:right w:val="none" w:sz="0" w:space="0" w:color="auto"/>
      </w:divBdr>
    </w:div>
    <w:div w:id="1246066651">
      <w:bodyDiv w:val="1"/>
      <w:marLeft w:val="0"/>
      <w:marRight w:val="0"/>
      <w:marTop w:val="0"/>
      <w:marBottom w:val="0"/>
      <w:divBdr>
        <w:top w:val="none" w:sz="0" w:space="0" w:color="auto"/>
        <w:left w:val="none" w:sz="0" w:space="0" w:color="auto"/>
        <w:bottom w:val="none" w:sz="0" w:space="0" w:color="auto"/>
        <w:right w:val="none" w:sz="0" w:space="0" w:color="auto"/>
      </w:divBdr>
      <w:divsChild>
        <w:div w:id="686059953">
          <w:marLeft w:val="0"/>
          <w:marRight w:val="1"/>
          <w:marTop w:val="0"/>
          <w:marBottom w:val="0"/>
          <w:divBdr>
            <w:top w:val="none" w:sz="0" w:space="0" w:color="auto"/>
            <w:left w:val="none" w:sz="0" w:space="0" w:color="auto"/>
            <w:bottom w:val="none" w:sz="0" w:space="0" w:color="auto"/>
            <w:right w:val="none" w:sz="0" w:space="0" w:color="auto"/>
          </w:divBdr>
          <w:divsChild>
            <w:div w:id="515465330">
              <w:marLeft w:val="0"/>
              <w:marRight w:val="0"/>
              <w:marTop w:val="0"/>
              <w:marBottom w:val="0"/>
              <w:divBdr>
                <w:top w:val="none" w:sz="0" w:space="0" w:color="auto"/>
                <w:left w:val="none" w:sz="0" w:space="0" w:color="auto"/>
                <w:bottom w:val="none" w:sz="0" w:space="0" w:color="auto"/>
                <w:right w:val="none" w:sz="0" w:space="0" w:color="auto"/>
              </w:divBdr>
              <w:divsChild>
                <w:div w:id="790788736">
                  <w:marLeft w:val="0"/>
                  <w:marRight w:val="0"/>
                  <w:marTop w:val="0"/>
                  <w:marBottom w:val="0"/>
                  <w:divBdr>
                    <w:top w:val="none" w:sz="0" w:space="0" w:color="auto"/>
                    <w:left w:val="none" w:sz="0" w:space="0" w:color="auto"/>
                    <w:bottom w:val="none" w:sz="0" w:space="0" w:color="auto"/>
                    <w:right w:val="none" w:sz="0" w:space="0" w:color="auto"/>
                  </w:divBdr>
                  <w:divsChild>
                    <w:div w:id="1039548335">
                      <w:marLeft w:val="0"/>
                      <w:marRight w:val="0"/>
                      <w:marTop w:val="0"/>
                      <w:marBottom w:val="0"/>
                      <w:divBdr>
                        <w:top w:val="none" w:sz="0" w:space="0" w:color="auto"/>
                        <w:left w:val="none" w:sz="0" w:space="0" w:color="auto"/>
                        <w:bottom w:val="none" w:sz="0" w:space="0" w:color="auto"/>
                        <w:right w:val="none" w:sz="0" w:space="0" w:color="auto"/>
                      </w:divBdr>
                      <w:divsChild>
                        <w:div w:id="217278129">
                          <w:marLeft w:val="0"/>
                          <w:marRight w:val="0"/>
                          <w:marTop w:val="0"/>
                          <w:marBottom w:val="0"/>
                          <w:divBdr>
                            <w:top w:val="none" w:sz="0" w:space="0" w:color="auto"/>
                            <w:left w:val="none" w:sz="0" w:space="0" w:color="auto"/>
                            <w:bottom w:val="none" w:sz="0" w:space="0" w:color="auto"/>
                            <w:right w:val="none" w:sz="0" w:space="0" w:color="auto"/>
                          </w:divBdr>
                          <w:divsChild>
                            <w:div w:id="1502308666">
                              <w:marLeft w:val="0"/>
                              <w:marRight w:val="0"/>
                              <w:marTop w:val="0"/>
                              <w:marBottom w:val="0"/>
                              <w:divBdr>
                                <w:top w:val="none" w:sz="0" w:space="0" w:color="auto"/>
                                <w:left w:val="none" w:sz="0" w:space="0" w:color="auto"/>
                                <w:bottom w:val="none" w:sz="0" w:space="0" w:color="auto"/>
                                <w:right w:val="none" w:sz="0" w:space="0" w:color="auto"/>
                              </w:divBdr>
                              <w:divsChild>
                                <w:div w:id="1421871497">
                                  <w:marLeft w:val="0"/>
                                  <w:marRight w:val="0"/>
                                  <w:marTop w:val="185"/>
                                  <w:marBottom w:val="517"/>
                                  <w:divBdr>
                                    <w:top w:val="single" w:sz="36" w:space="6" w:color="97B0C8"/>
                                    <w:left w:val="none" w:sz="0" w:space="0" w:color="auto"/>
                                    <w:bottom w:val="none" w:sz="0" w:space="0" w:color="auto"/>
                                    <w:right w:val="none" w:sz="0" w:space="0" w:color="auto"/>
                                  </w:divBdr>
                                  <w:divsChild>
                                    <w:div w:id="6685705">
                                      <w:marLeft w:val="0"/>
                                      <w:marRight w:val="0"/>
                                      <w:marTop w:val="0"/>
                                      <w:marBottom w:val="0"/>
                                      <w:divBdr>
                                        <w:top w:val="none" w:sz="0" w:space="0" w:color="auto"/>
                                        <w:left w:val="none" w:sz="0" w:space="0" w:color="auto"/>
                                        <w:bottom w:val="none" w:sz="0" w:space="0" w:color="auto"/>
                                        <w:right w:val="none" w:sz="0" w:space="0" w:color="auto"/>
                                      </w:divBdr>
                                      <w:divsChild>
                                        <w:div w:id="470900466">
                                          <w:marLeft w:val="0"/>
                                          <w:marRight w:val="0"/>
                                          <w:marTop w:val="0"/>
                                          <w:marBottom w:val="0"/>
                                          <w:divBdr>
                                            <w:top w:val="none" w:sz="0" w:space="0" w:color="auto"/>
                                            <w:left w:val="none" w:sz="0" w:space="0" w:color="auto"/>
                                            <w:bottom w:val="none" w:sz="0" w:space="0" w:color="auto"/>
                                            <w:right w:val="none" w:sz="0" w:space="0" w:color="auto"/>
                                          </w:divBdr>
                                          <w:divsChild>
                                            <w:div w:id="1286696218">
                                              <w:marLeft w:val="0"/>
                                              <w:marRight w:val="0"/>
                                              <w:marTop w:val="0"/>
                                              <w:marBottom w:val="0"/>
                                              <w:divBdr>
                                                <w:top w:val="none" w:sz="0" w:space="0" w:color="auto"/>
                                                <w:left w:val="none" w:sz="0" w:space="0" w:color="auto"/>
                                                <w:bottom w:val="none" w:sz="0" w:space="0" w:color="auto"/>
                                                <w:right w:val="none" w:sz="0" w:space="0" w:color="auto"/>
                                              </w:divBdr>
                                              <w:divsChild>
                                                <w:div w:id="25548272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511802">
      <w:bodyDiv w:val="1"/>
      <w:marLeft w:val="0"/>
      <w:marRight w:val="0"/>
      <w:marTop w:val="0"/>
      <w:marBottom w:val="0"/>
      <w:divBdr>
        <w:top w:val="none" w:sz="0" w:space="0" w:color="auto"/>
        <w:left w:val="none" w:sz="0" w:space="0" w:color="auto"/>
        <w:bottom w:val="none" w:sz="0" w:space="0" w:color="auto"/>
        <w:right w:val="none" w:sz="0" w:space="0" w:color="auto"/>
      </w:divBdr>
    </w:div>
    <w:div w:id="1355496723">
      <w:bodyDiv w:val="1"/>
      <w:marLeft w:val="0"/>
      <w:marRight w:val="0"/>
      <w:marTop w:val="0"/>
      <w:marBottom w:val="0"/>
      <w:divBdr>
        <w:top w:val="none" w:sz="0" w:space="0" w:color="auto"/>
        <w:left w:val="none" w:sz="0" w:space="0" w:color="auto"/>
        <w:bottom w:val="none" w:sz="0" w:space="0" w:color="auto"/>
        <w:right w:val="none" w:sz="0" w:space="0" w:color="auto"/>
      </w:divBdr>
    </w:div>
    <w:div w:id="1595821764">
      <w:bodyDiv w:val="1"/>
      <w:marLeft w:val="0"/>
      <w:marRight w:val="0"/>
      <w:marTop w:val="0"/>
      <w:marBottom w:val="0"/>
      <w:divBdr>
        <w:top w:val="none" w:sz="0" w:space="0" w:color="auto"/>
        <w:left w:val="none" w:sz="0" w:space="0" w:color="auto"/>
        <w:bottom w:val="none" w:sz="0" w:space="0" w:color="auto"/>
        <w:right w:val="none" w:sz="0" w:space="0" w:color="auto"/>
      </w:divBdr>
    </w:div>
    <w:div w:id="1742217660">
      <w:bodyDiv w:val="1"/>
      <w:marLeft w:val="0"/>
      <w:marRight w:val="0"/>
      <w:marTop w:val="0"/>
      <w:marBottom w:val="0"/>
      <w:divBdr>
        <w:top w:val="none" w:sz="0" w:space="0" w:color="auto"/>
        <w:left w:val="none" w:sz="0" w:space="0" w:color="auto"/>
        <w:bottom w:val="none" w:sz="0" w:space="0" w:color="auto"/>
        <w:right w:val="none" w:sz="0" w:space="0" w:color="auto"/>
      </w:divBdr>
      <w:divsChild>
        <w:div w:id="1150098717">
          <w:marLeft w:val="0"/>
          <w:marRight w:val="0"/>
          <w:marTop w:val="0"/>
          <w:marBottom w:val="0"/>
          <w:divBdr>
            <w:top w:val="none" w:sz="0" w:space="0" w:color="auto"/>
            <w:left w:val="none" w:sz="0" w:space="0" w:color="auto"/>
            <w:bottom w:val="none" w:sz="0" w:space="0" w:color="auto"/>
            <w:right w:val="none" w:sz="0" w:space="0" w:color="auto"/>
          </w:divBdr>
          <w:divsChild>
            <w:div w:id="192772533">
              <w:marLeft w:val="0"/>
              <w:marRight w:val="0"/>
              <w:marTop w:val="100"/>
              <w:marBottom w:val="100"/>
              <w:divBdr>
                <w:top w:val="none" w:sz="0" w:space="0" w:color="auto"/>
                <w:left w:val="none" w:sz="0" w:space="0" w:color="auto"/>
                <w:bottom w:val="none" w:sz="0" w:space="0" w:color="auto"/>
                <w:right w:val="none" w:sz="0" w:space="0" w:color="auto"/>
              </w:divBdr>
              <w:divsChild>
                <w:div w:id="59400589">
                  <w:marLeft w:val="0"/>
                  <w:marRight w:val="0"/>
                  <w:marTop w:val="0"/>
                  <w:marBottom w:val="0"/>
                  <w:divBdr>
                    <w:top w:val="none" w:sz="0" w:space="0" w:color="auto"/>
                    <w:left w:val="none" w:sz="0" w:space="0" w:color="auto"/>
                    <w:bottom w:val="none" w:sz="0" w:space="0" w:color="auto"/>
                    <w:right w:val="none" w:sz="0" w:space="0" w:color="auto"/>
                  </w:divBdr>
                  <w:divsChild>
                    <w:div w:id="1786149990">
                      <w:marLeft w:val="0"/>
                      <w:marRight w:val="0"/>
                      <w:marTop w:val="0"/>
                      <w:marBottom w:val="0"/>
                      <w:divBdr>
                        <w:top w:val="none" w:sz="0" w:space="0" w:color="auto"/>
                        <w:left w:val="none" w:sz="0" w:space="0" w:color="auto"/>
                        <w:bottom w:val="none" w:sz="0" w:space="0" w:color="auto"/>
                        <w:right w:val="none" w:sz="0" w:space="0" w:color="auto"/>
                      </w:divBdr>
                      <w:divsChild>
                        <w:div w:id="481313613">
                          <w:marLeft w:val="0"/>
                          <w:marRight w:val="0"/>
                          <w:marTop w:val="0"/>
                          <w:marBottom w:val="0"/>
                          <w:divBdr>
                            <w:top w:val="none" w:sz="0" w:space="0" w:color="auto"/>
                            <w:left w:val="none" w:sz="0" w:space="0" w:color="auto"/>
                            <w:bottom w:val="none" w:sz="0" w:space="0" w:color="auto"/>
                            <w:right w:val="none" w:sz="0" w:space="0" w:color="auto"/>
                          </w:divBdr>
                          <w:divsChild>
                            <w:div w:id="8317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9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gif"/><Relationship Id="rId5" Type="http://schemas.openxmlformats.org/officeDocument/2006/relationships/settings" Target="settings.xml"/><Relationship Id="rId15" Type="http://schemas.openxmlformats.org/officeDocument/2006/relationships/hyperlink" Target="http://www.cdc.gov/diabetes/statistics/meduse/fig2.htm" TargetMode="External"/><Relationship Id="rId23" Type="http://schemas.openxmlformats.org/officeDocument/2006/relationships/image" Target="media/image8.gif"/><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9D9B-5E2D-4F40-8A51-C3F971DD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8089</Words>
  <Characters>46110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Marcon</dc:creator>
  <cp:lastModifiedBy>Hart Amanda</cp:lastModifiedBy>
  <cp:revision>11</cp:revision>
  <cp:lastPrinted>2015-02-17T00:42:00Z</cp:lastPrinted>
  <dcterms:created xsi:type="dcterms:W3CDTF">2015-02-17T00:22:00Z</dcterms:created>
  <dcterms:modified xsi:type="dcterms:W3CDTF">2015-02-17T01:09:00Z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