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17C36" w14:textId="77777777" w:rsidR="00350C8D" w:rsidRPr="007B13AA" w:rsidRDefault="008B5AB2" w:rsidP="008B5AB2">
      <w:pPr>
        <w:jc w:val="center"/>
      </w:pPr>
      <w:r w:rsidRPr="007B13AA">
        <w:rPr>
          <w:b/>
          <w:noProof/>
          <w:lang w:eastAsia="en-AU"/>
        </w:rPr>
        <w:drawing>
          <wp:inline distT="0" distB="0" distL="0" distR="0" wp14:anchorId="3EC5AD11" wp14:editId="0D16A526">
            <wp:extent cx="1897077" cy="1257300"/>
            <wp:effectExtent l="0" t="0" r="8255" b="0"/>
            <wp:docPr id="2"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CC71A3B" w14:textId="09FBC759" w:rsidR="008B5AB2" w:rsidRPr="007B13AA" w:rsidRDefault="008B5AB2" w:rsidP="008B5AB2">
      <w:pPr>
        <w:jc w:val="center"/>
      </w:pPr>
    </w:p>
    <w:bookmarkStart w:id="0" w:name="_GoBack"/>
    <w:p w14:paraId="31FAE4C0" w14:textId="2794E9DA" w:rsidR="00EC015F" w:rsidRPr="007B13AA" w:rsidRDefault="002A7769" w:rsidP="0023571A">
      <w:pPr>
        <w:spacing w:before="180"/>
        <w:jc w:val="center"/>
        <w:rPr>
          <w:rFonts w:ascii="Arial" w:hAnsi="Arial" w:cs="Arial"/>
          <w:b/>
          <w:sz w:val="36"/>
          <w:szCs w:val="36"/>
        </w:rPr>
      </w:pPr>
      <w:r>
        <w:fldChar w:fldCharType="begin"/>
      </w:r>
      <w:r>
        <w:instrText xml:space="preserve"> HYPERLINK "http://www.msac.gov.au/" </w:instrText>
      </w:r>
      <w:r>
        <w:fldChar w:fldCharType="separate"/>
      </w:r>
      <w:r w:rsidR="008B5AB2" w:rsidRPr="007B13AA">
        <w:rPr>
          <w:rStyle w:val="Hyperlink"/>
          <w:rFonts w:ascii="Arial" w:hAnsi="Arial" w:cs="Arial"/>
          <w:b/>
          <w:sz w:val="36"/>
          <w:szCs w:val="36"/>
        </w:rPr>
        <w:t xml:space="preserve">MEDICAL SERVICES ADVISORY </w:t>
      </w:r>
      <w:r w:rsidR="008B5AB2" w:rsidRPr="007B13AA">
        <w:rPr>
          <w:rStyle w:val="Hyperlink"/>
          <w:rFonts w:ascii="Arial" w:hAnsi="Arial" w:cs="Arial"/>
          <w:b/>
          <w:color w:val="0000FF"/>
          <w:sz w:val="36"/>
          <w:szCs w:val="36"/>
        </w:rPr>
        <w:t>COMMITTEE</w:t>
      </w:r>
      <w:r>
        <w:rPr>
          <w:rStyle w:val="Hyperlink"/>
          <w:rFonts w:ascii="Arial" w:hAnsi="Arial" w:cs="Arial"/>
          <w:b/>
          <w:color w:val="0000FF"/>
          <w:sz w:val="36"/>
          <w:szCs w:val="36"/>
        </w:rPr>
        <w:fldChar w:fldCharType="end"/>
      </w:r>
      <w:r w:rsidR="008B5AB2" w:rsidRPr="007B13AA">
        <w:rPr>
          <w:rFonts w:ascii="Arial" w:hAnsi="Arial" w:cs="Arial"/>
          <w:b/>
          <w:sz w:val="36"/>
          <w:szCs w:val="36"/>
        </w:rPr>
        <w:t xml:space="preserve"> </w:t>
      </w:r>
      <w:r w:rsidR="006B6D96" w:rsidRPr="007B13AA">
        <w:rPr>
          <w:rFonts w:ascii="Arial" w:hAnsi="Arial" w:cs="Arial"/>
          <w:b/>
          <w:sz w:val="36"/>
          <w:szCs w:val="36"/>
        </w:rPr>
        <w:t>CLINICAL UTILITY CARD</w:t>
      </w:r>
      <w:r w:rsidR="00186B70" w:rsidRPr="007B13AA">
        <w:rPr>
          <w:rFonts w:ascii="Arial" w:hAnsi="Arial" w:cs="Arial"/>
          <w:b/>
          <w:sz w:val="36"/>
          <w:szCs w:val="36"/>
        </w:rPr>
        <w:t xml:space="preserve"> FOR</w:t>
      </w:r>
      <w:r w:rsidR="00874BA7" w:rsidRPr="007B13AA">
        <w:rPr>
          <w:rFonts w:ascii="Arial" w:hAnsi="Arial" w:cs="Arial"/>
          <w:b/>
          <w:sz w:val="36"/>
          <w:szCs w:val="36"/>
        </w:rPr>
        <w:t xml:space="preserve"> </w:t>
      </w:r>
      <w:r w:rsidR="0023571A" w:rsidRPr="007B13AA">
        <w:rPr>
          <w:rFonts w:ascii="Arial" w:hAnsi="Arial" w:cs="Arial"/>
          <w:b/>
          <w:sz w:val="36"/>
          <w:szCs w:val="36"/>
        </w:rPr>
        <w:t>HERITABLE MUTATION</w:t>
      </w:r>
      <w:r w:rsidR="00874BA7" w:rsidRPr="007B13AA">
        <w:rPr>
          <w:rFonts w:ascii="Arial" w:hAnsi="Arial" w:cs="Arial"/>
          <w:b/>
          <w:sz w:val="36"/>
          <w:szCs w:val="36"/>
        </w:rPr>
        <w:t xml:space="preserve">S </w:t>
      </w:r>
      <w:r w:rsidR="0023571A" w:rsidRPr="007B13AA">
        <w:rPr>
          <w:rFonts w:ascii="Arial" w:hAnsi="Arial" w:cs="Arial"/>
          <w:b/>
          <w:sz w:val="36"/>
          <w:szCs w:val="36"/>
        </w:rPr>
        <w:t xml:space="preserve">WHICH </w:t>
      </w:r>
      <w:r w:rsidR="00FA6442" w:rsidRPr="007B13AA">
        <w:rPr>
          <w:rFonts w:ascii="Arial" w:hAnsi="Arial" w:cs="Arial"/>
          <w:b/>
          <w:sz w:val="36"/>
          <w:szCs w:val="36"/>
        </w:rPr>
        <w:t>INCREASE RISK IN</w:t>
      </w:r>
      <w:r w:rsidR="00874BA7" w:rsidRPr="007B13AA">
        <w:rPr>
          <w:rFonts w:ascii="Arial" w:hAnsi="Arial" w:cs="Arial"/>
          <w:b/>
          <w:sz w:val="36"/>
          <w:szCs w:val="36"/>
        </w:rPr>
        <w:br/>
      </w:r>
      <w:r w:rsidR="0020701D" w:rsidRPr="007B13AA">
        <w:rPr>
          <w:rFonts w:ascii="Arial" w:hAnsi="Arial" w:cs="Arial"/>
          <w:b/>
          <w:sz w:val="36"/>
          <w:szCs w:val="36"/>
        </w:rPr>
        <w:t xml:space="preserve">BREAST </w:t>
      </w:r>
      <w:r w:rsidR="003644A9" w:rsidRPr="007B13AA">
        <w:rPr>
          <w:rFonts w:ascii="Arial" w:hAnsi="Arial" w:cs="Arial"/>
          <w:b/>
          <w:sz w:val="36"/>
          <w:szCs w:val="36"/>
        </w:rPr>
        <w:t xml:space="preserve">AND/OR OVARIAN </w:t>
      </w:r>
      <w:r w:rsidR="0020701D" w:rsidRPr="007B13AA">
        <w:rPr>
          <w:rFonts w:ascii="Arial" w:hAnsi="Arial" w:cs="Arial"/>
          <w:b/>
          <w:sz w:val="36"/>
          <w:szCs w:val="36"/>
        </w:rPr>
        <w:t>CANCER</w:t>
      </w:r>
    </w:p>
    <w:bookmarkEnd w:id="0"/>
    <w:p w14:paraId="3C347F31" w14:textId="3012ABEB" w:rsidR="007B13AA" w:rsidRPr="00E42E8D" w:rsidRDefault="007B13AA" w:rsidP="00032C0D">
      <w:pPr>
        <w:pStyle w:val="Heading1"/>
        <w:numPr>
          <w:ilvl w:val="0"/>
          <w:numId w:val="0"/>
        </w:numPr>
        <w:ind w:left="432" w:hanging="432"/>
      </w:pPr>
      <w:r w:rsidRPr="00E42E8D">
        <w:t xml:space="preserve">Eligible investigative purposes of genetic testing for this </w:t>
      </w:r>
      <w:r w:rsidR="000B5D19" w:rsidRPr="00E42E8D">
        <w:t>c</w:t>
      </w:r>
      <w:r w:rsidR="000B5D19">
        <w:t xml:space="preserve">linical </w:t>
      </w:r>
      <w:r w:rsidR="000B5D19" w:rsidRPr="00E42E8D">
        <w:t>u</w:t>
      </w:r>
      <w:r w:rsidR="000B5D19">
        <w:t xml:space="preserve">tility </w:t>
      </w:r>
      <w:r w:rsidR="000B5D19" w:rsidRPr="00E42E8D">
        <w:t>c</w:t>
      </w:r>
      <w:r>
        <w:t>ard (CUC)</w:t>
      </w:r>
    </w:p>
    <w:p w14:paraId="4500558A" w14:textId="77777777" w:rsidR="007B13AA" w:rsidRPr="00E42E8D" w:rsidRDefault="007B13AA" w:rsidP="007B13AA">
      <w:pPr>
        <w:rPr>
          <w:i/>
          <w:sz w:val="24"/>
          <w:szCs w:val="24"/>
        </w:rPr>
      </w:pPr>
      <w:r w:rsidRPr="00E42E8D">
        <w:rPr>
          <w:i/>
          <w:sz w:val="24"/>
          <w:szCs w:val="24"/>
        </w:rPr>
        <w:t>The investigative purposes of genetic testing of heritable mutations which are in scope for this CUC are:</w:t>
      </w:r>
    </w:p>
    <w:p w14:paraId="38DE67B3" w14:textId="1064BEBD" w:rsidR="007B13AA" w:rsidRDefault="007B13AA" w:rsidP="007B13AA">
      <w:pPr>
        <w:spacing w:before="200"/>
        <w:ind w:left="709"/>
        <w:rPr>
          <w:i/>
          <w:sz w:val="24"/>
          <w:szCs w:val="24"/>
        </w:rPr>
      </w:pPr>
      <w:r w:rsidRPr="00E42E8D">
        <w:rPr>
          <w:sz w:val="24"/>
          <w:szCs w:val="24"/>
        </w:rPr>
        <w:t xml:space="preserve">A. </w:t>
      </w:r>
      <w:r w:rsidRPr="00E42E8D">
        <w:rPr>
          <w:i/>
          <w:sz w:val="24"/>
          <w:szCs w:val="24"/>
        </w:rPr>
        <w:t xml:space="preserve">clinically affected individuals, to make a genetic diagnosis and thus estimate their variation in (predisposition for) future risk of </w:t>
      </w:r>
      <w:r w:rsidR="00C23C50">
        <w:rPr>
          <w:i/>
          <w:sz w:val="24"/>
          <w:szCs w:val="24"/>
        </w:rPr>
        <w:t xml:space="preserve">further </w:t>
      </w:r>
      <w:r w:rsidRPr="00E42E8D">
        <w:rPr>
          <w:i/>
          <w:sz w:val="24"/>
          <w:szCs w:val="24"/>
        </w:rPr>
        <w:t>disease – for these individuals, this is also called diagnostic testing;</w:t>
      </w:r>
    </w:p>
    <w:p w14:paraId="473D0C54" w14:textId="77777777" w:rsidR="007B13AA" w:rsidRPr="00E42E8D" w:rsidRDefault="007B13AA" w:rsidP="007B13AA">
      <w:pPr>
        <w:spacing w:before="200"/>
        <w:ind w:left="709"/>
        <w:rPr>
          <w:i/>
          <w:sz w:val="24"/>
          <w:szCs w:val="24"/>
        </w:rPr>
      </w:pPr>
      <w:r w:rsidRPr="00E42E8D">
        <w:rPr>
          <w:i/>
          <w:sz w:val="24"/>
          <w:szCs w:val="24"/>
        </w:rPr>
        <w:t>and, when also appropriate</w:t>
      </w:r>
    </w:p>
    <w:p w14:paraId="0C0EC53D" w14:textId="0B057379" w:rsidR="007B13AA" w:rsidRPr="00E42E8D" w:rsidRDefault="007B13AA" w:rsidP="007B13AA">
      <w:pPr>
        <w:ind w:left="709"/>
        <w:rPr>
          <w:i/>
          <w:sz w:val="24"/>
          <w:szCs w:val="24"/>
        </w:rPr>
      </w:pPr>
      <w:r w:rsidRPr="00E42E8D">
        <w:rPr>
          <w:sz w:val="24"/>
          <w:szCs w:val="24"/>
        </w:rPr>
        <w:t xml:space="preserve">B. </w:t>
      </w:r>
      <w:r w:rsidRPr="00E42E8D">
        <w:rPr>
          <w:i/>
          <w:sz w:val="24"/>
          <w:szCs w:val="24"/>
        </w:rPr>
        <w:t xml:space="preserve">cascade testing of family members of those individuals who test positive for one or more relevant mutations, to make a genetic diagnosis and thus estimate each family member’s variation in (predisposition for) future risk of developing the clinical disease (and, less commonly, future risk of </w:t>
      </w:r>
      <w:r w:rsidR="00C23C50">
        <w:rPr>
          <w:i/>
          <w:sz w:val="24"/>
          <w:szCs w:val="24"/>
        </w:rPr>
        <w:t xml:space="preserve">further </w:t>
      </w:r>
      <w:r w:rsidRPr="00E42E8D">
        <w:rPr>
          <w:i/>
          <w:sz w:val="24"/>
          <w:szCs w:val="24"/>
        </w:rPr>
        <w:t>disease if the disease has already been diagnosed) – for these individuals, this is also called predictive testing.</w:t>
      </w:r>
    </w:p>
    <w:p w14:paraId="2DB17D05" w14:textId="77777777" w:rsidR="007B13AA" w:rsidRPr="00E42E8D" w:rsidRDefault="007B13AA" w:rsidP="007B13AA">
      <w:pPr>
        <w:rPr>
          <w:i/>
          <w:sz w:val="24"/>
          <w:szCs w:val="24"/>
        </w:rPr>
      </w:pPr>
      <w:r w:rsidRPr="00E42E8D">
        <w:rPr>
          <w:i/>
          <w:sz w:val="24"/>
          <w:szCs w:val="24"/>
        </w:rPr>
        <w:t>For each disease area, “star performer” gene(s) for testing are selected on the basis of having the strongest case for clinical utility, and the evidence provided in the CUC focusses on these genes. Other genes may be added to the panel of genes to be tested for the disease area on the basis of also having clinical utility, of not detracting from the clinical utility of the “star performer” genes, and of incurring negligible incremental costs for genetic testing. The evidence provided in the CUC for these other genes is commensurately reduced.</w:t>
      </w:r>
    </w:p>
    <w:p w14:paraId="0D15E3B7" w14:textId="77777777" w:rsidR="007B13AA" w:rsidRPr="00E42E8D" w:rsidRDefault="007B13AA" w:rsidP="007B13AA">
      <w:pPr>
        <w:rPr>
          <w:i/>
          <w:sz w:val="24"/>
          <w:szCs w:val="24"/>
        </w:rPr>
      </w:pPr>
      <w:r w:rsidRPr="00E42E8D">
        <w:rPr>
          <w:i/>
          <w:sz w:val="24"/>
          <w:szCs w:val="24"/>
        </w:rPr>
        <w:t xml:space="preserve">For each disease area, the characteristics of the clinically affected individuals who should be selected as eligible for this genetic testing are defined. This reflects an MSAC preference for a low probability of an actionable result over a high probability of an uninterpretable or unactionable result. Cascade testing is then only contemplated for family members of those </w:t>
      </w:r>
      <w:r w:rsidRPr="00E42E8D">
        <w:rPr>
          <w:i/>
          <w:sz w:val="24"/>
          <w:szCs w:val="24"/>
        </w:rPr>
        <w:lastRenderedPageBreak/>
        <w:t xml:space="preserve">individuals who test positive for a relevant mutation, and only when this mutation is also associated with </w:t>
      </w:r>
      <w:r>
        <w:rPr>
          <w:i/>
          <w:sz w:val="24"/>
          <w:szCs w:val="24"/>
        </w:rPr>
        <w:t xml:space="preserve">having </w:t>
      </w:r>
      <w:r w:rsidRPr="00E42E8D">
        <w:rPr>
          <w:i/>
          <w:sz w:val="24"/>
          <w:szCs w:val="24"/>
        </w:rPr>
        <w:t>clinical utility for the family members.</w:t>
      </w:r>
    </w:p>
    <w:p w14:paraId="1BCD8E1E" w14:textId="77777777" w:rsidR="007B13AA" w:rsidRDefault="007B13AA" w:rsidP="007B13AA">
      <w:pPr>
        <w:rPr>
          <w:i/>
          <w:sz w:val="24"/>
          <w:szCs w:val="24"/>
        </w:rPr>
      </w:pPr>
      <w:r w:rsidRPr="00E42E8D">
        <w:rPr>
          <w:i/>
          <w:sz w:val="24"/>
          <w:szCs w:val="24"/>
        </w:rPr>
        <w:t xml:space="preserve">MSAC is the target audience of the CUC. However, it should </w:t>
      </w:r>
      <w:r>
        <w:rPr>
          <w:i/>
          <w:sz w:val="24"/>
          <w:szCs w:val="24"/>
        </w:rPr>
        <w:t xml:space="preserve">also </w:t>
      </w:r>
      <w:r w:rsidRPr="00E42E8D">
        <w:rPr>
          <w:i/>
          <w:sz w:val="24"/>
          <w:szCs w:val="24"/>
        </w:rPr>
        <w:t>be readily interpretable to non-experts in genetics, including the Evaluation Sub-Committee, contracted assessment groups, and those who will read the resulting Public Summary Documents from MSAC.</w:t>
      </w:r>
    </w:p>
    <w:p w14:paraId="37D1D5F0" w14:textId="77777777" w:rsidR="007B13AA" w:rsidRPr="001A7267" w:rsidRDefault="007B13AA" w:rsidP="00032C0D">
      <w:pPr>
        <w:pStyle w:val="Heading1"/>
        <w:numPr>
          <w:ilvl w:val="0"/>
          <w:numId w:val="0"/>
        </w:numPr>
        <w:ind w:left="432" w:hanging="432"/>
      </w:pPr>
      <w:r w:rsidRPr="001A7267">
        <w:t>Background</w:t>
      </w:r>
    </w:p>
    <w:p w14:paraId="08092525" w14:textId="77777777" w:rsidR="007B13AA" w:rsidRPr="00E42E8D" w:rsidRDefault="007B13AA" w:rsidP="007B13AA">
      <w:pPr>
        <w:rPr>
          <w:i/>
          <w:sz w:val="24"/>
          <w:szCs w:val="24"/>
        </w:rPr>
      </w:pPr>
      <w:r w:rsidRPr="00E42E8D">
        <w:rPr>
          <w:i/>
          <w:sz w:val="24"/>
          <w:szCs w:val="24"/>
        </w:rPr>
        <w:t>The Medical Services Advisory Committee (MSAC) is piloting arrangements to assess the utility of germline genetic testing for broad disease areas, such as cancer, cardiovascular or mental illness. This approach will be used to inform consideration of the circumstances under which germline genetic testing for these diseases should be publicly funded. Contributions to this pilot are being sought from pathologists with the support of the Royal College of Pathologists of Australasia (RCPA) and from the national reference group on cancer genetics (eviQ, www.eviq.org.au). Additional support for this pilot is being provided by the Australian Government Department of Health and the Monash University Assessment Group.</w:t>
      </w:r>
    </w:p>
    <w:p w14:paraId="61E29E75" w14:textId="77777777" w:rsidR="007B13AA" w:rsidRPr="00E42E8D" w:rsidRDefault="007B13AA" w:rsidP="007B13AA">
      <w:pPr>
        <w:rPr>
          <w:i/>
          <w:sz w:val="24"/>
          <w:szCs w:val="24"/>
        </w:rPr>
      </w:pPr>
      <w:r w:rsidRPr="00E42E8D">
        <w:rPr>
          <w:i/>
          <w:sz w:val="24"/>
          <w:szCs w:val="24"/>
        </w:rPr>
        <w:t xml:space="preserve">The pilot </w:t>
      </w:r>
      <w:r>
        <w:rPr>
          <w:i/>
          <w:sz w:val="24"/>
          <w:szCs w:val="24"/>
        </w:rPr>
        <w:t xml:space="preserve">is being </w:t>
      </w:r>
      <w:r w:rsidRPr="00E42E8D">
        <w:rPr>
          <w:i/>
          <w:sz w:val="24"/>
          <w:szCs w:val="24"/>
        </w:rPr>
        <w:t>conducted in two stages. The first assess</w:t>
      </w:r>
      <w:r>
        <w:rPr>
          <w:i/>
          <w:sz w:val="24"/>
          <w:szCs w:val="24"/>
        </w:rPr>
        <w:t>es</w:t>
      </w:r>
      <w:r w:rsidRPr="00E42E8D">
        <w:rPr>
          <w:i/>
          <w:sz w:val="24"/>
          <w:szCs w:val="24"/>
        </w:rPr>
        <w:t xml:space="preserve"> the clinical utility of genetic testing of relevant heritable mutations grouped by disease area; the second evaluate</w:t>
      </w:r>
      <w:r>
        <w:rPr>
          <w:i/>
          <w:sz w:val="24"/>
          <w:szCs w:val="24"/>
        </w:rPr>
        <w:t>s</w:t>
      </w:r>
      <w:r w:rsidRPr="00E42E8D">
        <w:rPr>
          <w:i/>
          <w:sz w:val="24"/>
          <w:szCs w:val="24"/>
        </w:rPr>
        <w:t xml:space="preserve"> the economics and budgetary implications of this testing. This second stage include</w:t>
      </w:r>
      <w:r>
        <w:rPr>
          <w:i/>
          <w:sz w:val="24"/>
          <w:szCs w:val="24"/>
        </w:rPr>
        <w:t>s</w:t>
      </w:r>
      <w:r w:rsidRPr="00E42E8D">
        <w:rPr>
          <w:i/>
          <w:sz w:val="24"/>
          <w:szCs w:val="24"/>
        </w:rPr>
        <w:t xml:space="preserve"> assessment of the cost-effectiveness of testing clinically affected individuals and the marginal cost effectiveness of also testing family members (cascade testing) where appropriate. In contrast to previous assessments of germline testing, the pilot will be conducted from a clinical perspective of disease management rather than a single gene by gene approach.</w:t>
      </w:r>
    </w:p>
    <w:p w14:paraId="4DE5DA2D" w14:textId="77777777" w:rsidR="007B13AA" w:rsidRPr="00E42E8D" w:rsidRDefault="007B13AA" w:rsidP="007B13AA">
      <w:pPr>
        <w:rPr>
          <w:i/>
          <w:sz w:val="24"/>
          <w:szCs w:val="24"/>
        </w:rPr>
      </w:pPr>
      <w:r w:rsidRPr="00E42E8D">
        <w:rPr>
          <w:i/>
          <w:sz w:val="24"/>
          <w:szCs w:val="24"/>
        </w:rPr>
        <w:t>The clinical utility card (CUC) proforma is modelled on the clinical utility gene card format used by EuroGentest. When completed, a CUC provides relevant information regarding the clinical utility of genetic testing of relevant heritable mutations in particular circumstances. Clinical utility refers to the ability of a genetic test to significantly affect clinical management and patient outcomes. CUCs cover all elements relevant for assessing risks and benefits of a genetic test. Their clear and concise format will facilitate MSAC consideration across a large volume of tests.</w:t>
      </w:r>
    </w:p>
    <w:p w14:paraId="05EFCADD" w14:textId="7096023B" w:rsidR="007B13AA" w:rsidRPr="00E42E8D" w:rsidRDefault="007B13AA" w:rsidP="007B13AA">
      <w:pPr>
        <w:rPr>
          <w:i/>
          <w:sz w:val="24"/>
          <w:szCs w:val="24"/>
        </w:rPr>
      </w:pPr>
      <w:r w:rsidRPr="00E42E8D">
        <w:rPr>
          <w:i/>
          <w:sz w:val="24"/>
          <w:szCs w:val="24"/>
        </w:rPr>
        <w:t>The EuroGentest website (</w:t>
      </w:r>
      <w:hyperlink r:id="rId10" w:tooltip="Link to EuroGentest website" w:history="1">
        <w:r w:rsidRPr="00E42E8D">
          <w:rPr>
            <w:rStyle w:val="Hyperlink"/>
            <w:i/>
            <w:color w:val="auto"/>
          </w:rPr>
          <w:t>http://www.eurogentest.org/index.php?id=668</w:t>
        </w:r>
      </w:hyperlink>
      <w:r w:rsidRPr="00E42E8D">
        <w:rPr>
          <w:i/>
          <w:sz w:val="24"/>
          <w:szCs w:val="24"/>
        </w:rPr>
        <w:t>) explains that the main components of a CUC are analytical validity, clinical validity, clinical utility and ethical, legal and social issues. A major challenge lies in balancing clinical validity, clinical utility and cost-effectiveness of testing. Some tests have excellent analytical validity, but are not viable from the clinical or economical point of view. On the other hand, some tests have poor analytical validity, but nevertheless affect patient and family management. Therefore it is important that the requirements for a test are defined in the clinical context and that the laboratory genetic test is only one of the components of an overall evaluation.</w:t>
      </w:r>
    </w:p>
    <w:p w14:paraId="21DCF43A" w14:textId="77777777" w:rsidR="00C858E4" w:rsidRPr="007B13AA" w:rsidRDefault="00C858E4" w:rsidP="00C858E4">
      <w:pPr>
        <w:rPr>
          <w:b/>
          <w:sz w:val="24"/>
          <w:szCs w:val="24"/>
        </w:rPr>
      </w:pPr>
      <w:r w:rsidRPr="007B13AA">
        <w:rPr>
          <w:b/>
          <w:sz w:val="24"/>
          <w:szCs w:val="24"/>
        </w:rPr>
        <w:br w:type="page"/>
      </w:r>
    </w:p>
    <w:p w14:paraId="3492168F" w14:textId="77777777" w:rsidR="00C858E4" w:rsidRPr="007B13AA" w:rsidRDefault="00C858E4" w:rsidP="00032C0D">
      <w:pPr>
        <w:pStyle w:val="Heading1"/>
        <w:numPr>
          <w:ilvl w:val="0"/>
          <w:numId w:val="0"/>
        </w:numPr>
        <w:ind w:left="432" w:hanging="432"/>
      </w:pPr>
      <w:r w:rsidRPr="007B13AA">
        <w:lastRenderedPageBreak/>
        <w:t>SUMMARY</w:t>
      </w:r>
    </w:p>
    <w:p w14:paraId="4FD502E6" w14:textId="77777777" w:rsidR="00B94F21" w:rsidRPr="00B94F21" w:rsidRDefault="00C858E4" w:rsidP="00BE0F9E">
      <w:pPr>
        <w:pStyle w:val="Heading2"/>
        <w:numPr>
          <w:ilvl w:val="0"/>
          <w:numId w:val="0"/>
        </w:numPr>
        <w:ind w:left="718"/>
      </w:pPr>
      <w:r w:rsidRPr="00B94F21">
        <w:rPr>
          <w:rStyle w:val="Heading1Char"/>
          <w:b/>
          <w:bCs w:val="0"/>
          <w:szCs w:val="26"/>
        </w:rPr>
        <w:t>Proposed disease</w:t>
      </w:r>
      <w:r w:rsidRPr="00B94F21">
        <w:t xml:space="preserve">: </w:t>
      </w:r>
    </w:p>
    <w:p w14:paraId="63783C58" w14:textId="39DD0FAA" w:rsidR="00C858E4" w:rsidRPr="007B13AA" w:rsidRDefault="00C858E4" w:rsidP="00C858E4">
      <w:pPr>
        <w:rPr>
          <w:sz w:val="24"/>
          <w:szCs w:val="24"/>
        </w:rPr>
      </w:pPr>
      <w:r w:rsidRPr="007B13AA">
        <w:rPr>
          <w:sz w:val="24"/>
          <w:szCs w:val="24"/>
        </w:rPr>
        <w:t>familial breast and/or ovarian cancer.</w:t>
      </w:r>
    </w:p>
    <w:p w14:paraId="783EA6FE" w14:textId="77777777" w:rsidR="00B94F21" w:rsidRPr="00B94F21" w:rsidRDefault="00C858E4" w:rsidP="00BE0F9E">
      <w:pPr>
        <w:pStyle w:val="Heading2"/>
        <w:numPr>
          <w:ilvl w:val="0"/>
          <w:numId w:val="0"/>
        </w:numPr>
        <w:ind w:left="718"/>
      </w:pPr>
      <w:r w:rsidRPr="00B94F21">
        <w:rPr>
          <w:rStyle w:val="Heading1Char"/>
          <w:b/>
          <w:bCs w:val="0"/>
          <w:szCs w:val="26"/>
        </w:rPr>
        <w:t>Proposed genes for testing</w:t>
      </w:r>
      <w:r w:rsidRPr="00B94F21">
        <w:t xml:space="preserve">: </w:t>
      </w:r>
    </w:p>
    <w:p w14:paraId="16AFF85A" w14:textId="169967C5" w:rsidR="00C858E4" w:rsidRPr="007B13AA" w:rsidRDefault="00C858E4" w:rsidP="00C858E4">
      <w:pPr>
        <w:rPr>
          <w:sz w:val="24"/>
          <w:szCs w:val="24"/>
        </w:rPr>
      </w:pPr>
      <w:r w:rsidRPr="007B13AA">
        <w:rPr>
          <w:sz w:val="24"/>
          <w:szCs w:val="24"/>
        </w:rPr>
        <w:t>BRCA1, BRCA2, PTEN, STK11, PALB2, CHEK2, TP53, CDH1</w:t>
      </w:r>
      <w:r w:rsidR="0040692E" w:rsidRPr="007B13AA">
        <w:rPr>
          <w:sz w:val="24"/>
          <w:szCs w:val="24"/>
        </w:rPr>
        <w:t>.</w:t>
      </w:r>
    </w:p>
    <w:p w14:paraId="2FD0D0D6" w14:textId="0A933C76" w:rsidR="00890E2B" w:rsidRPr="00B94F21" w:rsidRDefault="00C858E4" w:rsidP="00BE0F9E">
      <w:pPr>
        <w:pStyle w:val="Heading2"/>
        <w:numPr>
          <w:ilvl w:val="0"/>
          <w:numId w:val="0"/>
        </w:numPr>
        <w:ind w:left="718"/>
      </w:pPr>
      <w:r w:rsidRPr="00B94F21">
        <w:t>Key analytical performance results:</w:t>
      </w:r>
    </w:p>
    <w:p w14:paraId="640C44AF" w14:textId="77777777" w:rsidR="00890E2B" w:rsidRPr="007B13AA" w:rsidRDefault="0041331F" w:rsidP="003258A6">
      <w:pPr>
        <w:pStyle w:val="ListParagraph"/>
        <w:numPr>
          <w:ilvl w:val="0"/>
          <w:numId w:val="7"/>
        </w:numPr>
        <w:rPr>
          <w:sz w:val="24"/>
          <w:szCs w:val="24"/>
        </w:rPr>
      </w:pPr>
      <w:r w:rsidRPr="007B13AA">
        <w:rPr>
          <w:sz w:val="24"/>
          <w:szCs w:val="24"/>
        </w:rPr>
        <w:t>analytical sensitivity = 94%-100%</w:t>
      </w:r>
    </w:p>
    <w:p w14:paraId="77D75C40" w14:textId="45B3E6CF" w:rsidR="00C858E4" w:rsidRPr="007B13AA" w:rsidRDefault="0041331F" w:rsidP="003258A6">
      <w:pPr>
        <w:pStyle w:val="ListParagraph"/>
        <w:numPr>
          <w:ilvl w:val="0"/>
          <w:numId w:val="7"/>
        </w:numPr>
        <w:rPr>
          <w:sz w:val="24"/>
          <w:szCs w:val="24"/>
        </w:rPr>
      </w:pPr>
      <w:r w:rsidRPr="007B13AA">
        <w:rPr>
          <w:sz w:val="24"/>
          <w:szCs w:val="24"/>
        </w:rPr>
        <w:t>analytical specificity = 96%-99.99%</w:t>
      </w:r>
    </w:p>
    <w:p w14:paraId="36C6A704" w14:textId="77777777" w:rsidR="00B94F21" w:rsidRDefault="00C858E4" w:rsidP="00BE0F9E">
      <w:pPr>
        <w:pStyle w:val="Heading2"/>
        <w:numPr>
          <w:ilvl w:val="0"/>
          <w:numId w:val="0"/>
        </w:numPr>
        <w:ind w:left="718"/>
      </w:pPr>
      <w:r w:rsidRPr="007B13AA">
        <w:t xml:space="preserve">Key clinical validity results: </w:t>
      </w:r>
    </w:p>
    <w:p w14:paraId="30B59BDF" w14:textId="7E022841" w:rsidR="0040692E" w:rsidRPr="007B13AA" w:rsidRDefault="0041331F" w:rsidP="0040692E">
      <w:pPr>
        <w:spacing w:after="0"/>
        <w:rPr>
          <w:rFonts w:ascii="Calibri" w:eastAsia="Times New Roman" w:hAnsi="Calibri" w:cs="Times New Roman"/>
          <w:color w:val="000000"/>
        </w:rPr>
      </w:pPr>
      <w:r w:rsidRPr="007B13AA">
        <w:rPr>
          <w:sz w:val="24"/>
          <w:szCs w:val="24"/>
        </w:rPr>
        <w:t xml:space="preserve">risk ratio of </w:t>
      </w:r>
      <w:r w:rsidRPr="007B13AA">
        <w:rPr>
          <w:rFonts w:ascii="Calibri" w:eastAsia="Times New Roman" w:hAnsi="Calibri" w:cs="Times New Roman"/>
          <w:color w:val="000000"/>
        </w:rPr>
        <w:t>15-year risk of contralateral breast cancer in non-familial breast cancer and affected mutation carriers (any age affected):</w:t>
      </w:r>
    </w:p>
    <w:p w14:paraId="3C7D770B" w14:textId="77777777" w:rsidR="0040692E" w:rsidRPr="007B13AA" w:rsidRDefault="0041331F" w:rsidP="003258A6">
      <w:pPr>
        <w:pStyle w:val="ListParagraph"/>
        <w:numPr>
          <w:ilvl w:val="0"/>
          <w:numId w:val="7"/>
        </w:numPr>
        <w:rPr>
          <w:rFonts w:ascii="Calibri" w:eastAsia="Times New Roman" w:hAnsi="Calibri" w:cs="Times New Roman"/>
          <w:color w:val="000000"/>
        </w:rPr>
      </w:pPr>
      <w:r w:rsidRPr="007B13AA">
        <w:rPr>
          <w:sz w:val="24"/>
          <w:szCs w:val="24"/>
        </w:rPr>
        <w:t>BRCA1</w:t>
      </w:r>
      <w:r w:rsidRPr="007B13AA">
        <w:rPr>
          <w:rFonts w:ascii="Calibri" w:eastAsia="Times New Roman" w:hAnsi="Calibri" w:cs="Times New Roman"/>
          <w:color w:val="000000"/>
        </w:rPr>
        <w:t xml:space="preserve"> = 28.7/8.4 = 3.4</w:t>
      </w:r>
    </w:p>
    <w:p w14:paraId="1BFAEF00" w14:textId="344CAB67" w:rsidR="00C858E4" w:rsidRPr="007B13AA" w:rsidRDefault="0041331F" w:rsidP="003258A6">
      <w:pPr>
        <w:pStyle w:val="ListParagraph"/>
        <w:numPr>
          <w:ilvl w:val="0"/>
          <w:numId w:val="7"/>
        </w:numPr>
        <w:rPr>
          <w:rFonts w:ascii="Calibri" w:eastAsia="Times New Roman" w:hAnsi="Calibri" w:cs="Times New Roman"/>
          <w:color w:val="000000"/>
        </w:rPr>
      </w:pPr>
      <w:r w:rsidRPr="007B13AA">
        <w:rPr>
          <w:rFonts w:ascii="Calibri" w:eastAsia="Times New Roman" w:hAnsi="Calibri" w:cs="Times New Roman"/>
          <w:color w:val="000000"/>
        </w:rPr>
        <w:t>BRCA2 = 19/8.4 = 2.3</w:t>
      </w:r>
    </w:p>
    <w:p w14:paraId="6304076B" w14:textId="503C4CB8" w:rsidR="0040692E" w:rsidRPr="007B13AA" w:rsidRDefault="00C858E4" w:rsidP="00BE0F9E">
      <w:pPr>
        <w:pStyle w:val="Heading2"/>
        <w:numPr>
          <w:ilvl w:val="0"/>
          <w:numId w:val="0"/>
        </w:numPr>
        <w:ind w:left="718"/>
      </w:pPr>
      <w:r w:rsidRPr="007B13AA">
        <w:t>Key clinical utility consequences:</w:t>
      </w:r>
    </w:p>
    <w:p w14:paraId="4918EB45" w14:textId="77777777" w:rsidR="0040692E" w:rsidRPr="007B13AA" w:rsidRDefault="00A06BA9" w:rsidP="003258A6">
      <w:pPr>
        <w:pStyle w:val="ListParagraph"/>
        <w:numPr>
          <w:ilvl w:val="0"/>
          <w:numId w:val="7"/>
        </w:numPr>
        <w:rPr>
          <w:sz w:val="24"/>
          <w:szCs w:val="24"/>
        </w:rPr>
      </w:pPr>
      <w:r w:rsidRPr="007B13AA">
        <w:rPr>
          <w:sz w:val="24"/>
          <w:szCs w:val="24"/>
        </w:rPr>
        <w:t>As treatment, c</w:t>
      </w:r>
      <w:r w:rsidR="00CD6916" w:rsidRPr="007B13AA">
        <w:rPr>
          <w:sz w:val="24"/>
          <w:szCs w:val="24"/>
        </w:rPr>
        <w:t xml:space="preserve">ontralateral mastectomy in </w:t>
      </w:r>
      <w:r w:rsidRPr="007B13AA">
        <w:rPr>
          <w:sz w:val="24"/>
          <w:szCs w:val="24"/>
        </w:rPr>
        <w:t xml:space="preserve">affected </w:t>
      </w:r>
      <w:r w:rsidR="00CD6916" w:rsidRPr="007B13AA">
        <w:rPr>
          <w:sz w:val="24"/>
          <w:szCs w:val="24"/>
        </w:rPr>
        <w:t>mutation carriers reduces the risk of contralateral breast cancer to 1%</w:t>
      </w:r>
    </w:p>
    <w:p w14:paraId="011C5C5B" w14:textId="77777777" w:rsidR="0040692E" w:rsidRPr="007B13AA" w:rsidRDefault="00A06BA9" w:rsidP="003258A6">
      <w:pPr>
        <w:pStyle w:val="ListParagraph"/>
        <w:numPr>
          <w:ilvl w:val="0"/>
          <w:numId w:val="7"/>
        </w:numPr>
        <w:rPr>
          <w:sz w:val="24"/>
          <w:szCs w:val="24"/>
        </w:rPr>
      </w:pPr>
      <w:r w:rsidRPr="007B13AA">
        <w:rPr>
          <w:sz w:val="24"/>
          <w:szCs w:val="24"/>
        </w:rPr>
        <w:t>As prevention, b</w:t>
      </w:r>
      <w:r w:rsidR="00CD6916" w:rsidRPr="007B13AA">
        <w:rPr>
          <w:sz w:val="24"/>
          <w:szCs w:val="24"/>
        </w:rPr>
        <w:t>ilateral mastectomy reduces the risk of breast cancer in mutation carriers by ≥ 90%</w:t>
      </w:r>
    </w:p>
    <w:p w14:paraId="04AF8E1F" w14:textId="380FC66E" w:rsidR="00C858E4" w:rsidRPr="007B13AA" w:rsidRDefault="00A06BA9" w:rsidP="003258A6">
      <w:pPr>
        <w:pStyle w:val="ListParagraph"/>
        <w:numPr>
          <w:ilvl w:val="0"/>
          <w:numId w:val="7"/>
        </w:numPr>
        <w:rPr>
          <w:sz w:val="24"/>
          <w:szCs w:val="24"/>
        </w:rPr>
      </w:pPr>
      <w:r w:rsidRPr="007B13AA">
        <w:rPr>
          <w:sz w:val="24"/>
          <w:szCs w:val="24"/>
        </w:rPr>
        <w:t>As prevention, b</w:t>
      </w:r>
      <w:r w:rsidR="00CD6916" w:rsidRPr="007B13AA">
        <w:rPr>
          <w:sz w:val="24"/>
          <w:szCs w:val="24"/>
        </w:rPr>
        <w:t xml:space="preserve">ilateral salpingo-oophorectomy reduces the risk of breast cancer in mutation carriers by ~ 50% if </w:t>
      </w:r>
      <w:r w:rsidRPr="007B13AA">
        <w:rPr>
          <w:sz w:val="24"/>
          <w:szCs w:val="24"/>
        </w:rPr>
        <w:t xml:space="preserve">the </w:t>
      </w:r>
      <w:r w:rsidR="0037615D" w:rsidRPr="007B13AA">
        <w:rPr>
          <w:sz w:val="24"/>
          <w:szCs w:val="24"/>
        </w:rPr>
        <w:t>carrier</w:t>
      </w:r>
      <w:r w:rsidRPr="007B13AA">
        <w:rPr>
          <w:sz w:val="24"/>
          <w:szCs w:val="24"/>
        </w:rPr>
        <w:t xml:space="preserve"> </w:t>
      </w:r>
      <w:r w:rsidR="00CD6916" w:rsidRPr="007B13AA">
        <w:rPr>
          <w:sz w:val="24"/>
          <w:szCs w:val="24"/>
        </w:rPr>
        <w:t>is aged ~ 40 years</w:t>
      </w:r>
      <w:r w:rsidR="0037615D" w:rsidRPr="007B13AA">
        <w:rPr>
          <w:sz w:val="24"/>
          <w:szCs w:val="24"/>
        </w:rPr>
        <w:t>,</w:t>
      </w:r>
      <w:r w:rsidRPr="007B13AA">
        <w:rPr>
          <w:sz w:val="24"/>
          <w:szCs w:val="24"/>
        </w:rPr>
        <w:t xml:space="preserve"> and reduces the risk of ovarian/ fallopian cancer in mutation carriers by ≥80%</w:t>
      </w:r>
    </w:p>
    <w:p w14:paraId="6956A046" w14:textId="7C0FC5F0" w:rsidR="00ED68F1" w:rsidRDefault="00C858E4" w:rsidP="00BE0F9E">
      <w:pPr>
        <w:pStyle w:val="Heading2"/>
        <w:numPr>
          <w:ilvl w:val="0"/>
          <w:numId w:val="0"/>
        </w:numPr>
        <w:ind w:left="718"/>
      </w:pPr>
      <w:r w:rsidRPr="00BA7E98">
        <w:t xml:space="preserve">Proposed </w:t>
      </w:r>
      <w:r w:rsidR="008725C2" w:rsidRPr="00BA7E98">
        <w:t xml:space="preserve">MBS </w:t>
      </w:r>
      <w:r w:rsidR="00ED68F1">
        <w:t>item descriptor(s):</w:t>
      </w:r>
    </w:p>
    <w:p w14:paraId="77902AD5" w14:textId="77777777" w:rsidR="00ED68F1" w:rsidRPr="00ED68F1" w:rsidRDefault="00ED68F1" w:rsidP="00ED68F1">
      <w:pPr>
        <w:spacing w:after="0"/>
        <w:rPr>
          <w:sz w:val="24"/>
          <w:szCs w:val="24"/>
          <w:u w:val="single"/>
        </w:rPr>
      </w:pPr>
      <w:r w:rsidRPr="00ED68F1">
        <w:rPr>
          <w:sz w:val="24"/>
          <w:szCs w:val="24"/>
          <w:u w:val="single"/>
        </w:rPr>
        <w:t>Affected individuals</w:t>
      </w:r>
    </w:p>
    <w:p w14:paraId="19428EEE" w14:textId="08F7385D" w:rsidR="00ED68F1" w:rsidRPr="00ED68F1" w:rsidRDefault="00ED68F1" w:rsidP="00ED68F1">
      <w:pPr>
        <w:spacing w:after="0" w:line="240" w:lineRule="auto"/>
        <w:rPr>
          <w:rFonts w:ascii="Calibri" w:eastAsia="Calibri" w:hAnsi="Calibri" w:cs="Times New Roman"/>
        </w:rPr>
      </w:pPr>
      <w:r w:rsidRPr="00ED68F1">
        <w:rPr>
          <w:rFonts w:ascii="Calibri" w:eastAsia="Calibri" w:hAnsi="Calibri" w:cs="Times New Roman"/>
          <w:i/>
          <w:iCs/>
          <w:lang w:eastAsia="en-AU"/>
        </w:rPr>
        <w:t>“Characterisation of germline gene variants, including</w:t>
      </w:r>
      <w:r w:rsidR="00166958">
        <w:rPr>
          <w:rFonts w:ascii="Calibri" w:eastAsia="Calibri" w:hAnsi="Calibri" w:cs="Times New Roman"/>
          <w:i/>
          <w:iCs/>
          <w:lang w:eastAsia="en-AU"/>
        </w:rPr>
        <w:t xml:space="preserve"> at minimum BRCA1 and/or BRCA2 </w:t>
      </w:r>
      <w:r w:rsidRPr="00ED68F1">
        <w:rPr>
          <w:rFonts w:ascii="Calibri" w:eastAsia="Calibri" w:hAnsi="Calibri" w:cs="Times New Roman"/>
          <w:i/>
          <w:iCs/>
          <w:lang w:eastAsia="en-AU"/>
        </w:rPr>
        <w:t>genes, in a patient with breast or ovarian cancer, in whom clinical and family history criteria have been determined by a treating specialist to be strongly suggestive of heritable breast/ovarian cancer predisposition b</w:t>
      </w:r>
      <w:r w:rsidR="00166958">
        <w:rPr>
          <w:rFonts w:ascii="Calibri" w:eastAsia="Calibri" w:hAnsi="Calibri" w:cs="Times New Roman"/>
          <w:i/>
          <w:iCs/>
          <w:lang w:eastAsia="en-AU"/>
        </w:rPr>
        <w:t>ased on the following criteria:</w:t>
      </w:r>
    </w:p>
    <w:p w14:paraId="2971F3CA" w14:textId="69BD2B6C" w:rsidR="00ED68F1" w:rsidRPr="00ED68F1" w:rsidRDefault="00ED68F1" w:rsidP="003258A6">
      <w:pPr>
        <w:numPr>
          <w:ilvl w:val="0"/>
          <w:numId w:val="13"/>
        </w:numPr>
        <w:spacing w:after="0" w:line="240" w:lineRule="auto"/>
        <w:rPr>
          <w:rFonts w:ascii="Calibri" w:eastAsia="Times New Roman" w:hAnsi="Calibri" w:cs="Times New Roman"/>
        </w:rPr>
      </w:pPr>
      <w:r w:rsidRPr="00ED68F1">
        <w:rPr>
          <w:rFonts w:ascii="Calibri" w:eastAsia="Times New Roman" w:hAnsi="Calibri" w:cs="Times New Roman"/>
          <w:i/>
          <w:iCs/>
          <w:lang w:eastAsia="en-AU"/>
        </w:rPr>
        <w:t>A patient with breast and/or ovarian cancer whose personal or family history of cancer using a mutation prediction score predicts a combined mutation carrier probability of &gt;10% according to either BOADICEA, BRCAPRO or pathology-adjusted Manchester score (combined score of 16 or greater)</w:t>
      </w:r>
      <w:r w:rsidR="00166958">
        <w:rPr>
          <w:rFonts w:ascii="Calibri" w:eastAsia="Times New Roman" w:hAnsi="Calibri" w:cs="Times New Roman"/>
          <w:i/>
          <w:iCs/>
          <w:lang w:eastAsia="en-AU"/>
        </w:rPr>
        <w:t xml:space="preserve"> OR</w:t>
      </w:r>
    </w:p>
    <w:p w14:paraId="13A2501F" w14:textId="77777777" w:rsidR="00ED68F1" w:rsidRPr="00ED68F1" w:rsidRDefault="00ED68F1" w:rsidP="003258A6">
      <w:pPr>
        <w:numPr>
          <w:ilvl w:val="0"/>
          <w:numId w:val="13"/>
        </w:numPr>
        <w:spacing w:after="0" w:line="240" w:lineRule="auto"/>
        <w:rPr>
          <w:rFonts w:ascii="Calibri" w:eastAsia="Times New Roman" w:hAnsi="Calibri" w:cs="Times New Roman"/>
        </w:rPr>
      </w:pPr>
      <w:r w:rsidRPr="00ED68F1">
        <w:rPr>
          <w:rFonts w:ascii="Calibri" w:eastAsia="Times New Roman" w:hAnsi="Calibri" w:cs="Times New Roman"/>
          <w:i/>
          <w:iCs/>
          <w:lang w:eastAsia="en-AU"/>
        </w:rPr>
        <w:t xml:space="preserve">A patient who falls into one or more of the following specific categories: </w:t>
      </w:r>
    </w:p>
    <w:p w14:paraId="54E87087" w14:textId="77777777" w:rsidR="00ED68F1" w:rsidRPr="00ED68F1" w:rsidRDefault="00ED68F1" w:rsidP="003258A6">
      <w:pPr>
        <w:numPr>
          <w:ilvl w:val="1"/>
          <w:numId w:val="13"/>
        </w:numPr>
        <w:spacing w:after="0" w:line="240" w:lineRule="auto"/>
        <w:rPr>
          <w:rFonts w:ascii="Calibri" w:eastAsia="Times New Roman" w:hAnsi="Calibri" w:cs="Times New Roman"/>
        </w:rPr>
      </w:pPr>
      <w:r w:rsidRPr="00ED68F1">
        <w:rPr>
          <w:rFonts w:ascii="Calibri" w:eastAsia="Times New Roman" w:hAnsi="Calibri" w:cs="Times New Roman"/>
          <w:i/>
          <w:iCs/>
          <w:lang w:eastAsia="en-AU"/>
        </w:rPr>
        <w:t xml:space="preserve">with a triple negative breast cancer and aged ≤40 years </w:t>
      </w:r>
    </w:p>
    <w:p w14:paraId="7431DEE1" w14:textId="77777777" w:rsidR="00ED68F1" w:rsidRPr="00ED68F1" w:rsidRDefault="00ED68F1" w:rsidP="003258A6">
      <w:pPr>
        <w:numPr>
          <w:ilvl w:val="1"/>
          <w:numId w:val="13"/>
        </w:numPr>
        <w:spacing w:after="0" w:line="240" w:lineRule="auto"/>
        <w:rPr>
          <w:rFonts w:ascii="Calibri" w:eastAsia="Times New Roman" w:hAnsi="Calibri" w:cs="Times New Roman"/>
        </w:rPr>
      </w:pPr>
      <w:r w:rsidRPr="00ED68F1">
        <w:rPr>
          <w:rFonts w:ascii="Calibri" w:eastAsia="Times New Roman" w:hAnsi="Calibri" w:cs="Times New Roman"/>
          <w:i/>
          <w:iCs/>
          <w:lang w:eastAsia="en-AU"/>
        </w:rPr>
        <w:t xml:space="preserve">with an isolated high grade (Grades 2 &amp; 3) invasive non-mucinous ovarian, fallopian tube or primary peritoneal cancer aged ≤70 years </w:t>
      </w:r>
    </w:p>
    <w:p w14:paraId="384056E6" w14:textId="77777777" w:rsidR="00ED68F1" w:rsidRPr="00ED68F1" w:rsidRDefault="00ED68F1" w:rsidP="003258A6">
      <w:pPr>
        <w:numPr>
          <w:ilvl w:val="1"/>
          <w:numId w:val="13"/>
        </w:numPr>
        <w:spacing w:after="0" w:line="240" w:lineRule="auto"/>
        <w:rPr>
          <w:rFonts w:ascii="Calibri" w:eastAsia="Times New Roman" w:hAnsi="Calibri" w:cs="Times New Roman"/>
        </w:rPr>
      </w:pPr>
      <w:r w:rsidRPr="00ED68F1">
        <w:rPr>
          <w:rFonts w:ascii="Calibri" w:eastAsia="Times New Roman" w:hAnsi="Calibri" w:cs="Times New Roman"/>
          <w:i/>
          <w:iCs/>
          <w:lang w:eastAsia="en-AU"/>
        </w:rPr>
        <w:t xml:space="preserve">with invasive non-mucinous ovarian, fallopian tube or primary peritoneal cancer at any age and a family history of breast or ovarian cancer </w:t>
      </w:r>
    </w:p>
    <w:p w14:paraId="17528475" w14:textId="24E96445" w:rsidR="00ED68F1" w:rsidRPr="00ED68F1" w:rsidRDefault="00ED68F1" w:rsidP="003258A6">
      <w:pPr>
        <w:numPr>
          <w:ilvl w:val="1"/>
          <w:numId w:val="13"/>
        </w:numPr>
        <w:spacing w:line="240" w:lineRule="auto"/>
        <w:ind w:left="1434" w:hanging="357"/>
        <w:rPr>
          <w:rFonts w:ascii="Calibri" w:eastAsia="Times New Roman" w:hAnsi="Calibri" w:cs="Times New Roman"/>
        </w:rPr>
      </w:pPr>
      <w:r w:rsidRPr="00ED68F1">
        <w:rPr>
          <w:rFonts w:ascii="Calibri" w:eastAsia="Times New Roman" w:hAnsi="Calibri" w:cs="Times New Roman"/>
          <w:i/>
          <w:iCs/>
          <w:lang w:eastAsia="en-AU"/>
        </w:rPr>
        <w:lastRenderedPageBreak/>
        <w:t>with a personal and/or family history of breast and/or ovarian cancer, from a population where a c</w:t>
      </w:r>
      <w:r w:rsidR="00166958">
        <w:rPr>
          <w:rFonts w:ascii="Calibri" w:eastAsia="Times New Roman" w:hAnsi="Calibri" w:cs="Times New Roman"/>
          <w:i/>
          <w:iCs/>
          <w:lang w:eastAsia="en-AU"/>
        </w:rPr>
        <w:t>ommon founder mutation exists.”</w:t>
      </w:r>
    </w:p>
    <w:p w14:paraId="6213DB10" w14:textId="4B24679C" w:rsidR="00ED68F1" w:rsidRPr="00166958" w:rsidRDefault="00166958" w:rsidP="00166958">
      <w:pPr>
        <w:spacing w:after="0"/>
        <w:rPr>
          <w:sz w:val="24"/>
          <w:szCs w:val="24"/>
          <w:u w:val="single"/>
        </w:rPr>
      </w:pPr>
      <w:r>
        <w:rPr>
          <w:sz w:val="24"/>
          <w:szCs w:val="24"/>
          <w:u w:val="single"/>
        </w:rPr>
        <w:t>Family members</w:t>
      </w:r>
    </w:p>
    <w:p w14:paraId="5DEBFACD" w14:textId="73F58391" w:rsidR="00C858E4" w:rsidRDefault="00166958" w:rsidP="00C858E4">
      <w:pPr>
        <w:rPr>
          <w:sz w:val="24"/>
          <w:szCs w:val="24"/>
        </w:rPr>
      </w:pPr>
      <w:r>
        <w:rPr>
          <w:i/>
          <w:iCs/>
        </w:rPr>
        <w:t>“Request </w:t>
      </w:r>
      <w:r w:rsidRPr="00166958">
        <w:rPr>
          <w:i/>
          <w:iCs/>
        </w:rPr>
        <w:t>by a specialist familial cancer physician</w:t>
      </w:r>
      <w:r>
        <w:rPr>
          <w:i/>
          <w:iCs/>
        </w:rPr>
        <w:t> for the detection of a previously identified single gene variant, in a relative of a patient with known breast or ovarian cancer where previous genetic testing has detected a variant causative of hereditary familial cancer predisposition."</w:t>
      </w:r>
    </w:p>
    <w:p w14:paraId="41016583" w14:textId="22B6ACC0" w:rsidR="00C858E4" w:rsidRDefault="00C858E4" w:rsidP="00ED68F1">
      <w:pPr>
        <w:tabs>
          <w:tab w:val="left" w:pos="2694"/>
        </w:tabs>
        <w:spacing w:after="0"/>
        <w:rPr>
          <w:sz w:val="24"/>
          <w:szCs w:val="24"/>
        </w:rPr>
      </w:pPr>
      <w:r w:rsidRPr="00B94F21">
        <w:rPr>
          <w:rStyle w:val="Heading2Char"/>
        </w:rPr>
        <w:t>Proposed MBS fee(s):</w:t>
      </w:r>
      <w:r w:rsidR="00ED68F1">
        <w:rPr>
          <w:b/>
          <w:sz w:val="24"/>
          <w:szCs w:val="24"/>
        </w:rPr>
        <w:tab/>
      </w:r>
      <w:r w:rsidR="00ED68F1">
        <w:rPr>
          <w:sz w:val="24"/>
          <w:szCs w:val="24"/>
        </w:rPr>
        <w:t>Affected individuals (initial)</w:t>
      </w:r>
      <w:r w:rsidR="00ED68F1">
        <w:rPr>
          <w:sz w:val="24"/>
          <w:szCs w:val="24"/>
        </w:rPr>
        <w:tab/>
      </w:r>
      <w:r w:rsidR="00ED68F1">
        <w:rPr>
          <w:sz w:val="24"/>
          <w:szCs w:val="24"/>
        </w:rPr>
        <w:tab/>
      </w:r>
      <w:r w:rsidR="00ED68F1">
        <w:rPr>
          <w:sz w:val="24"/>
          <w:szCs w:val="24"/>
        </w:rPr>
        <w:tab/>
        <w:t>$1725.00</w:t>
      </w:r>
    </w:p>
    <w:p w14:paraId="58BA6F35" w14:textId="6DD8DBC9" w:rsidR="00ED68F1" w:rsidRDefault="00ED68F1" w:rsidP="00ED68F1">
      <w:pPr>
        <w:spacing w:after="0"/>
        <w:ind w:left="2693"/>
        <w:rPr>
          <w:sz w:val="24"/>
          <w:szCs w:val="24"/>
        </w:rPr>
      </w:pPr>
      <w:r>
        <w:rPr>
          <w:sz w:val="24"/>
          <w:szCs w:val="24"/>
        </w:rPr>
        <w:t>Positive affected individuals (confirmatory)</w:t>
      </w:r>
      <w:r>
        <w:rPr>
          <w:sz w:val="24"/>
          <w:szCs w:val="24"/>
        </w:rPr>
        <w:tab/>
        <w:t>$402.50</w:t>
      </w:r>
    </w:p>
    <w:p w14:paraId="6BA86F3A" w14:textId="46709878" w:rsidR="00ED68F1" w:rsidRDefault="00ED68F1" w:rsidP="00ED68F1">
      <w:pPr>
        <w:spacing w:after="0"/>
        <w:ind w:left="2693"/>
        <w:rPr>
          <w:sz w:val="24"/>
          <w:szCs w:val="24"/>
        </w:rPr>
      </w:pPr>
      <w:r>
        <w:rPr>
          <w:sz w:val="24"/>
          <w:szCs w:val="24"/>
        </w:rPr>
        <w:t>Post-test genetic counselling (positive only)</w:t>
      </w:r>
      <w:r>
        <w:rPr>
          <w:sz w:val="24"/>
          <w:szCs w:val="24"/>
        </w:rPr>
        <w:tab/>
        <w:t>$263.90</w:t>
      </w:r>
    </w:p>
    <w:p w14:paraId="6896002B" w14:textId="3C3CDB9C" w:rsidR="00ED68F1" w:rsidRDefault="00ED68F1" w:rsidP="00817169">
      <w:pPr>
        <w:tabs>
          <w:tab w:val="left" w:pos="7230"/>
        </w:tabs>
        <w:spacing w:after="0"/>
        <w:ind w:left="2693"/>
        <w:rPr>
          <w:sz w:val="24"/>
          <w:szCs w:val="24"/>
        </w:rPr>
      </w:pPr>
      <w:r>
        <w:rPr>
          <w:sz w:val="24"/>
          <w:szCs w:val="24"/>
        </w:rPr>
        <w:t>Family members</w:t>
      </w:r>
      <w:r w:rsidR="00817169">
        <w:rPr>
          <w:sz w:val="24"/>
          <w:szCs w:val="24"/>
        </w:rPr>
        <w:tab/>
      </w:r>
      <w:r>
        <w:rPr>
          <w:sz w:val="24"/>
          <w:szCs w:val="24"/>
        </w:rPr>
        <w:t>$402.50</w:t>
      </w:r>
    </w:p>
    <w:p w14:paraId="6E34777D" w14:textId="23E1A654" w:rsidR="00ED68F1" w:rsidRPr="00BA7E98" w:rsidRDefault="00ED68F1" w:rsidP="00ED68F1">
      <w:pPr>
        <w:ind w:left="2693"/>
        <w:rPr>
          <w:sz w:val="24"/>
          <w:szCs w:val="24"/>
        </w:rPr>
      </w:pPr>
      <w:r>
        <w:rPr>
          <w:sz w:val="24"/>
          <w:szCs w:val="24"/>
        </w:rPr>
        <w:t>Post-test genetic counselling (positive only)</w:t>
      </w:r>
      <w:r>
        <w:rPr>
          <w:sz w:val="24"/>
          <w:szCs w:val="24"/>
        </w:rPr>
        <w:tab/>
        <w:t>$263.90</w:t>
      </w:r>
    </w:p>
    <w:p w14:paraId="55F82732" w14:textId="77777777" w:rsidR="00B94F21" w:rsidRPr="00B94F21" w:rsidRDefault="00C858E4" w:rsidP="00BE0F9E">
      <w:pPr>
        <w:pStyle w:val="Heading2"/>
        <w:numPr>
          <w:ilvl w:val="0"/>
          <w:numId w:val="0"/>
        </w:numPr>
        <w:ind w:left="718"/>
        <w:rPr>
          <w:rStyle w:val="Heading2Char"/>
          <w:b/>
          <w:bCs/>
        </w:rPr>
      </w:pPr>
      <w:r w:rsidRPr="00B94F21">
        <w:rPr>
          <w:rStyle w:val="Heading2Char"/>
          <w:b/>
          <w:bCs/>
        </w:rPr>
        <w:t>Key economic evaluation results:</w:t>
      </w:r>
    </w:p>
    <w:p w14:paraId="6DA020AA" w14:textId="4780E83D" w:rsidR="00C858E4" w:rsidRPr="00BA7E98" w:rsidRDefault="00CD6916" w:rsidP="00C858E4">
      <w:pPr>
        <w:rPr>
          <w:sz w:val="24"/>
          <w:szCs w:val="24"/>
        </w:rPr>
      </w:pPr>
      <w:r w:rsidRPr="00BA7E98">
        <w:rPr>
          <w:sz w:val="24"/>
          <w:szCs w:val="24"/>
        </w:rPr>
        <w:t>[TBA]</w:t>
      </w:r>
    </w:p>
    <w:p w14:paraId="375A3CDC" w14:textId="77777777" w:rsidR="00B94F21" w:rsidRDefault="00C858E4" w:rsidP="00BE0F9E">
      <w:pPr>
        <w:pStyle w:val="Heading2"/>
        <w:numPr>
          <w:ilvl w:val="0"/>
          <w:numId w:val="0"/>
        </w:numPr>
        <w:ind w:left="718"/>
      </w:pPr>
      <w:r w:rsidRPr="00BA7E98">
        <w:t xml:space="preserve">Key financial </w:t>
      </w:r>
      <w:r w:rsidR="008725C2" w:rsidRPr="00BA7E98">
        <w:t>implications</w:t>
      </w:r>
      <w:r w:rsidRPr="00BA7E98">
        <w:t xml:space="preserve">: </w:t>
      </w:r>
    </w:p>
    <w:p w14:paraId="3311FDF0" w14:textId="1BDD8F74" w:rsidR="00C858E4" w:rsidRPr="007B13AA" w:rsidRDefault="00CD6916" w:rsidP="00C858E4">
      <w:pPr>
        <w:rPr>
          <w:sz w:val="24"/>
          <w:szCs w:val="24"/>
        </w:rPr>
      </w:pPr>
      <w:r w:rsidRPr="00BA7E98">
        <w:rPr>
          <w:sz w:val="24"/>
          <w:szCs w:val="24"/>
        </w:rPr>
        <w:t>[TBA]</w:t>
      </w:r>
    </w:p>
    <w:p w14:paraId="3200DFBE" w14:textId="77777777" w:rsidR="00BA5E8C" w:rsidRDefault="00BA5E8C">
      <w:pPr>
        <w:rPr>
          <w:b/>
          <w:sz w:val="24"/>
          <w:szCs w:val="24"/>
        </w:rPr>
        <w:sectPr w:rsidR="00BA5E8C" w:rsidSect="008B5A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cols w:space="708"/>
          <w:docGrid w:linePitch="360"/>
        </w:sectPr>
      </w:pPr>
    </w:p>
    <w:p w14:paraId="72F0C034" w14:textId="77777777" w:rsidR="006B6D96" w:rsidRPr="00BA5E8C" w:rsidRDefault="006B6D96" w:rsidP="003258A6">
      <w:pPr>
        <w:pStyle w:val="Heading1"/>
        <w:numPr>
          <w:ilvl w:val="0"/>
          <w:numId w:val="14"/>
        </w:numPr>
      </w:pPr>
      <w:r w:rsidRPr="00BA5E8C">
        <w:lastRenderedPageBreak/>
        <w:t>DISEASE CHARACTERISTICS</w:t>
      </w:r>
    </w:p>
    <w:p w14:paraId="5C52BEA8" w14:textId="77777777" w:rsidR="004621A1" w:rsidRDefault="0005199D" w:rsidP="00BE0F9E">
      <w:pPr>
        <w:pStyle w:val="Heading2"/>
        <w:numPr>
          <w:ilvl w:val="1"/>
          <w:numId w:val="17"/>
        </w:numPr>
      </w:pPr>
      <w:r w:rsidRPr="00641F1A">
        <w:t xml:space="preserve">List the </w:t>
      </w:r>
      <w:r w:rsidR="00CF4FB4" w:rsidRPr="00641F1A">
        <w:t>n</w:t>
      </w:r>
      <w:r w:rsidR="006B6D96" w:rsidRPr="00641F1A">
        <w:t>ame</w:t>
      </w:r>
      <w:r w:rsidR="00CF4FB4" w:rsidRPr="00641F1A">
        <w:t>s</w:t>
      </w:r>
      <w:r w:rsidR="006B6D96" w:rsidRPr="00641F1A">
        <w:t xml:space="preserve"> of the </w:t>
      </w:r>
      <w:r w:rsidR="00CF4FB4" w:rsidRPr="00641F1A">
        <w:t>disease</w:t>
      </w:r>
      <w:r w:rsidR="005069C9" w:rsidRPr="00641F1A">
        <w:t>(</w:t>
      </w:r>
      <w:r w:rsidR="00CF4FB4" w:rsidRPr="00641F1A">
        <w:t>s</w:t>
      </w:r>
      <w:r w:rsidR="005069C9" w:rsidRPr="00641F1A">
        <w:t>)</w:t>
      </w:r>
      <w:r w:rsidR="00CF4FB4" w:rsidRPr="00641F1A">
        <w:t xml:space="preserve"> proposed for </w:t>
      </w:r>
      <w:r w:rsidR="005069C9" w:rsidRPr="00641F1A">
        <w:t xml:space="preserve">genetic </w:t>
      </w:r>
      <w:r w:rsidR="00874BA7" w:rsidRPr="00641F1A">
        <w:t>testing</w:t>
      </w:r>
      <w:r w:rsidR="004E63D3" w:rsidRPr="00641F1A">
        <w:t xml:space="preserve"> within the disease area</w:t>
      </w:r>
    </w:p>
    <w:p w14:paraId="190A858D" w14:textId="6D69169C" w:rsidR="006B6D96" w:rsidRPr="004621A1" w:rsidRDefault="00493B51" w:rsidP="004621A1">
      <w:pPr>
        <w:rPr>
          <w:b/>
          <w:sz w:val="24"/>
          <w:szCs w:val="24"/>
        </w:rPr>
      </w:pPr>
      <w:r w:rsidRPr="004621A1">
        <w:rPr>
          <w:b/>
          <w:sz w:val="24"/>
          <w:szCs w:val="24"/>
        </w:rPr>
        <w:t xml:space="preserve"> and provide the clinical rationale for this grouping</w:t>
      </w:r>
    </w:p>
    <w:p w14:paraId="43B23309" w14:textId="46926212" w:rsidR="006B6D96" w:rsidRPr="007B13AA" w:rsidRDefault="00D20F70" w:rsidP="005F18C2">
      <w:pPr>
        <w:rPr>
          <w:sz w:val="24"/>
          <w:szCs w:val="24"/>
        </w:rPr>
      </w:pPr>
      <w:r w:rsidRPr="007B13AA">
        <w:rPr>
          <w:sz w:val="24"/>
          <w:szCs w:val="24"/>
        </w:rPr>
        <w:t>Familial breast</w:t>
      </w:r>
      <w:r w:rsidR="00866ACF" w:rsidRPr="007B13AA">
        <w:rPr>
          <w:sz w:val="24"/>
          <w:szCs w:val="24"/>
        </w:rPr>
        <w:t xml:space="preserve"> and</w:t>
      </w:r>
      <w:r w:rsidRPr="007B13AA">
        <w:rPr>
          <w:sz w:val="24"/>
          <w:szCs w:val="24"/>
        </w:rPr>
        <w:t>/</w:t>
      </w:r>
      <w:r w:rsidR="00866ACF" w:rsidRPr="007B13AA">
        <w:rPr>
          <w:sz w:val="24"/>
          <w:szCs w:val="24"/>
        </w:rPr>
        <w:t xml:space="preserve">or </w:t>
      </w:r>
      <w:r w:rsidRPr="007B13AA">
        <w:rPr>
          <w:sz w:val="24"/>
          <w:szCs w:val="24"/>
        </w:rPr>
        <w:t>ovar</w:t>
      </w:r>
      <w:r w:rsidR="00866ACF" w:rsidRPr="007B13AA">
        <w:rPr>
          <w:sz w:val="24"/>
          <w:szCs w:val="24"/>
        </w:rPr>
        <w:t>ian</w:t>
      </w:r>
      <w:r w:rsidRPr="007B13AA">
        <w:rPr>
          <w:sz w:val="24"/>
          <w:szCs w:val="24"/>
        </w:rPr>
        <w:t xml:space="preserve"> cancer</w:t>
      </w:r>
      <w:r w:rsidR="0083383C" w:rsidRPr="007B13AA">
        <w:rPr>
          <w:sz w:val="24"/>
          <w:szCs w:val="24"/>
        </w:rPr>
        <w:t>.</w:t>
      </w:r>
    </w:p>
    <w:p w14:paraId="265CBEAE" w14:textId="0D4C710A" w:rsidR="006B6D96" w:rsidRPr="00DB1E4B" w:rsidRDefault="006B6D96" w:rsidP="00BE0F9E">
      <w:pPr>
        <w:pStyle w:val="Heading2"/>
        <w:numPr>
          <w:ilvl w:val="1"/>
          <w:numId w:val="19"/>
        </w:numPr>
      </w:pPr>
      <w:r w:rsidRPr="00DB1E4B">
        <w:t>OMIM# of the disease</w:t>
      </w:r>
      <w:r w:rsidR="000430B7" w:rsidRPr="00DB1E4B">
        <w:t>(</w:t>
      </w:r>
      <w:r w:rsidR="00C96968" w:rsidRPr="00DB1E4B">
        <w:t>s</w:t>
      </w:r>
      <w:r w:rsidR="000430B7" w:rsidRPr="00DB1E4B">
        <w:t>)</w:t>
      </w:r>
    </w:p>
    <w:p w14:paraId="4F0BEDF4" w14:textId="0350EC16" w:rsidR="006B6D96" w:rsidRPr="007B13AA" w:rsidRDefault="00693DD4" w:rsidP="005F18C2">
      <w:pPr>
        <w:rPr>
          <w:sz w:val="24"/>
          <w:szCs w:val="24"/>
        </w:rPr>
      </w:pPr>
      <w:r w:rsidRPr="007B13AA">
        <w:rPr>
          <w:sz w:val="24"/>
          <w:szCs w:val="24"/>
        </w:rPr>
        <w:t>114480</w:t>
      </w:r>
    </w:p>
    <w:p w14:paraId="562E3FB4" w14:textId="77777777" w:rsidR="004621A1" w:rsidRDefault="00CF4FB4" w:rsidP="00BE0F9E">
      <w:pPr>
        <w:pStyle w:val="Heading2"/>
        <w:numPr>
          <w:ilvl w:val="1"/>
          <w:numId w:val="18"/>
        </w:numPr>
      </w:pPr>
      <w:r w:rsidRPr="00641F1A">
        <w:t>List the n</w:t>
      </w:r>
      <w:r w:rsidR="006B6D96" w:rsidRPr="00641F1A">
        <w:t>ame</w:t>
      </w:r>
      <w:r w:rsidRPr="00641F1A">
        <w:t>s</w:t>
      </w:r>
      <w:r w:rsidR="006B6D96" w:rsidRPr="00641F1A">
        <w:t xml:space="preserve"> of the </w:t>
      </w:r>
      <w:r w:rsidR="00C96968" w:rsidRPr="00641F1A">
        <w:t xml:space="preserve">corresponding </w:t>
      </w:r>
      <w:r w:rsidR="00757C12" w:rsidRPr="00641F1A">
        <w:t xml:space="preserve">actionable </w:t>
      </w:r>
      <w:r w:rsidR="006B6D96" w:rsidRPr="00641F1A">
        <w:t xml:space="preserve">genes </w:t>
      </w:r>
      <w:r w:rsidRPr="00641F1A">
        <w:t xml:space="preserve">which are proposed for </w:t>
      </w:r>
      <w:r w:rsidR="005069C9" w:rsidRPr="00641F1A">
        <w:t xml:space="preserve">genetic </w:t>
      </w:r>
      <w:r w:rsidRPr="00641F1A">
        <w:t>testing</w:t>
      </w:r>
      <w:r w:rsidR="00493B51" w:rsidRPr="00641F1A">
        <w:t xml:space="preserve"> </w:t>
      </w:r>
    </w:p>
    <w:p w14:paraId="17B49431" w14:textId="3C612F3A" w:rsidR="006B6D96" w:rsidRPr="004621A1" w:rsidRDefault="004621A1" w:rsidP="004621A1">
      <w:pPr>
        <w:spacing w:after="0"/>
        <w:rPr>
          <w:b/>
          <w:sz w:val="24"/>
          <w:szCs w:val="24"/>
        </w:rPr>
      </w:pPr>
      <w:r>
        <w:rPr>
          <w:b/>
          <w:sz w:val="24"/>
          <w:szCs w:val="24"/>
        </w:rPr>
        <w:t>O</w:t>
      </w:r>
      <w:r w:rsidR="009F77C7" w:rsidRPr="004621A1">
        <w:rPr>
          <w:b/>
          <w:sz w:val="24"/>
          <w:szCs w:val="24"/>
        </w:rPr>
        <w:t>f these,</w:t>
      </w:r>
      <w:r w:rsidR="00493B51" w:rsidRPr="004621A1">
        <w:rPr>
          <w:b/>
          <w:sz w:val="24"/>
          <w:szCs w:val="24"/>
        </w:rPr>
        <w:t xml:space="preserve"> identify the “star performer</w:t>
      </w:r>
      <w:r w:rsidR="009F77C7" w:rsidRPr="004621A1">
        <w:rPr>
          <w:b/>
          <w:sz w:val="24"/>
          <w:szCs w:val="24"/>
        </w:rPr>
        <w:t>(</w:t>
      </w:r>
      <w:r w:rsidR="00493B51" w:rsidRPr="004621A1">
        <w:rPr>
          <w:b/>
          <w:sz w:val="24"/>
          <w:szCs w:val="24"/>
        </w:rPr>
        <w:t>s</w:t>
      </w:r>
      <w:r w:rsidR="009F77C7" w:rsidRPr="004621A1">
        <w:rPr>
          <w:b/>
          <w:sz w:val="24"/>
          <w:szCs w:val="24"/>
        </w:rPr>
        <w:t>)</w:t>
      </w:r>
      <w:r w:rsidR="00493B51" w:rsidRPr="004621A1">
        <w:rPr>
          <w:b/>
          <w:sz w:val="24"/>
          <w:szCs w:val="24"/>
        </w:rPr>
        <w:t>” in this list (</w:t>
      </w:r>
      <w:r w:rsidR="00AF5C78" w:rsidRPr="004621A1">
        <w:rPr>
          <w:b/>
          <w:sz w:val="24"/>
          <w:szCs w:val="24"/>
        </w:rPr>
        <w:t>that is,</w:t>
      </w:r>
      <w:r w:rsidR="00493B51" w:rsidRPr="004621A1">
        <w:rPr>
          <w:b/>
          <w:sz w:val="24"/>
          <w:szCs w:val="24"/>
        </w:rPr>
        <w:t xml:space="preserve"> the </w:t>
      </w:r>
      <w:r w:rsidR="00534105" w:rsidRPr="004621A1">
        <w:rPr>
          <w:b/>
          <w:sz w:val="24"/>
          <w:szCs w:val="24"/>
        </w:rPr>
        <w:t xml:space="preserve">actionable </w:t>
      </w:r>
      <w:r w:rsidR="00493B51" w:rsidRPr="004621A1">
        <w:rPr>
          <w:b/>
          <w:sz w:val="24"/>
          <w:szCs w:val="24"/>
        </w:rPr>
        <w:t>gen</w:t>
      </w:r>
      <w:r w:rsidR="00534105" w:rsidRPr="004621A1">
        <w:rPr>
          <w:b/>
          <w:sz w:val="24"/>
          <w:szCs w:val="24"/>
        </w:rPr>
        <w:t>e</w:t>
      </w:r>
      <w:r w:rsidR="00493B51" w:rsidRPr="004621A1">
        <w:rPr>
          <w:b/>
          <w:sz w:val="24"/>
          <w:szCs w:val="24"/>
        </w:rPr>
        <w:t>(s) for which the strongest clinical utility and/or cost-effectiveness argument is likely to apply</w:t>
      </w:r>
      <w:r w:rsidR="003A539C" w:rsidRPr="004621A1">
        <w:rPr>
          <w:b/>
          <w:sz w:val="24"/>
          <w:szCs w:val="24"/>
        </w:rPr>
        <w:t xml:space="preserve"> for an affected individual</w:t>
      </w:r>
      <w:r w:rsidR="00493B51" w:rsidRPr="004621A1">
        <w:rPr>
          <w:b/>
          <w:sz w:val="24"/>
          <w:szCs w:val="24"/>
        </w:rPr>
        <w:t>)</w:t>
      </w:r>
    </w:p>
    <w:p w14:paraId="6E9E557A" w14:textId="77777777" w:rsidR="009C774E" w:rsidRPr="009C774E" w:rsidRDefault="009C774E" w:rsidP="009C774E">
      <w:pPr>
        <w:rPr>
          <w:sz w:val="24"/>
          <w:szCs w:val="24"/>
        </w:rPr>
      </w:pPr>
      <w:r w:rsidRPr="00BA7E98">
        <w:rPr>
          <w:i/>
          <w:sz w:val="24"/>
          <w:szCs w:val="24"/>
        </w:rPr>
        <w:t>[Included genes which are not the “star performer(s)” must have both sufficient penetrance and also have some evidence that the results would have clinical utility (eg inclusion in well-regarded clinical guidelines).]</w:t>
      </w:r>
    </w:p>
    <w:p w14:paraId="2D9BD37A" w14:textId="66C7FF28" w:rsidR="00D94AC7" w:rsidRPr="007B13AA" w:rsidRDefault="00D20F70" w:rsidP="00D94AC7">
      <w:pPr>
        <w:spacing w:after="0"/>
        <w:rPr>
          <w:sz w:val="24"/>
          <w:szCs w:val="24"/>
        </w:rPr>
      </w:pPr>
      <w:r w:rsidRPr="007B13AA">
        <w:rPr>
          <w:sz w:val="24"/>
          <w:szCs w:val="24"/>
        </w:rPr>
        <w:t>BRCA1, HGNC ID = 1100</w:t>
      </w:r>
      <w:r w:rsidR="001E758B" w:rsidRPr="007B13AA">
        <w:rPr>
          <w:sz w:val="24"/>
          <w:szCs w:val="24"/>
        </w:rPr>
        <w:t xml:space="preserve"> </w:t>
      </w:r>
      <w:r w:rsidR="003375AE" w:rsidRPr="007B13AA">
        <w:rPr>
          <w:sz w:val="24"/>
          <w:szCs w:val="24"/>
        </w:rPr>
        <w:t>=</w:t>
      </w:r>
      <w:r w:rsidR="001E758B" w:rsidRPr="007B13AA">
        <w:rPr>
          <w:sz w:val="24"/>
          <w:szCs w:val="24"/>
        </w:rPr>
        <w:t xml:space="preserve"> “star performer gene</w:t>
      </w:r>
      <w:r w:rsidR="004D05A7" w:rsidRPr="007B13AA">
        <w:rPr>
          <w:sz w:val="24"/>
          <w:szCs w:val="24"/>
        </w:rPr>
        <w:t>*</w:t>
      </w:r>
      <w:r w:rsidR="003375AE" w:rsidRPr="007B13AA">
        <w:rPr>
          <w:sz w:val="24"/>
          <w:szCs w:val="24"/>
        </w:rPr>
        <w:t xml:space="preserve"> in breast </w:t>
      </w:r>
      <w:r w:rsidR="004D05A7" w:rsidRPr="007B13AA">
        <w:rPr>
          <w:sz w:val="24"/>
          <w:szCs w:val="24"/>
        </w:rPr>
        <w:t xml:space="preserve">and/or ovarian </w:t>
      </w:r>
      <w:r w:rsidR="003375AE" w:rsidRPr="007B13AA">
        <w:rPr>
          <w:sz w:val="24"/>
          <w:szCs w:val="24"/>
        </w:rPr>
        <w:t>cancer</w:t>
      </w:r>
      <w:r w:rsidR="001E758B" w:rsidRPr="007B13AA">
        <w:rPr>
          <w:sz w:val="24"/>
          <w:szCs w:val="24"/>
        </w:rPr>
        <w:t>”</w:t>
      </w:r>
      <w:r w:rsidRPr="007B13AA">
        <w:rPr>
          <w:sz w:val="24"/>
          <w:szCs w:val="24"/>
        </w:rPr>
        <w:br/>
        <w:t>BRCA2, HGNC ID = 1100</w:t>
      </w:r>
      <w:r w:rsidR="001E758B" w:rsidRPr="007B13AA">
        <w:rPr>
          <w:sz w:val="24"/>
          <w:szCs w:val="24"/>
        </w:rPr>
        <w:t xml:space="preserve"> </w:t>
      </w:r>
      <w:r w:rsidR="003375AE" w:rsidRPr="007B13AA">
        <w:rPr>
          <w:sz w:val="24"/>
          <w:szCs w:val="24"/>
        </w:rPr>
        <w:t>=</w:t>
      </w:r>
      <w:r w:rsidR="001E758B" w:rsidRPr="007B13AA">
        <w:rPr>
          <w:sz w:val="24"/>
          <w:szCs w:val="24"/>
        </w:rPr>
        <w:t xml:space="preserve"> “star performer gene</w:t>
      </w:r>
      <w:r w:rsidR="00013BFA" w:rsidRPr="007B13AA">
        <w:rPr>
          <w:sz w:val="24"/>
          <w:szCs w:val="24"/>
        </w:rPr>
        <w:t>*</w:t>
      </w:r>
      <w:r w:rsidR="003375AE" w:rsidRPr="007B13AA">
        <w:rPr>
          <w:sz w:val="24"/>
          <w:szCs w:val="24"/>
        </w:rPr>
        <w:t xml:space="preserve"> in breast </w:t>
      </w:r>
      <w:r w:rsidR="004D05A7" w:rsidRPr="007B13AA">
        <w:rPr>
          <w:sz w:val="24"/>
          <w:szCs w:val="24"/>
        </w:rPr>
        <w:t xml:space="preserve">and/or ovarian </w:t>
      </w:r>
      <w:r w:rsidR="003375AE" w:rsidRPr="007B13AA">
        <w:rPr>
          <w:sz w:val="24"/>
          <w:szCs w:val="24"/>
        </w:rPr>
        <w:t>cancer</w:t>
      </w:r>
      <w:r w:rsidR="001E758B" w:rsidRPr="007B13AA">
        <w:rPr>
          <w:sz w:val="24"/>
          <w:szCs w:val="24"/>
        </w:rPr>
        <w:t>”</w:t>
      </w:r>
      <w:r w:rsidRPr="007B13AA">
        <w:rPr>
          <w:sz w:val="24"/>
          <w:szCs w:val="24"/>
        </w:rPr>
        <w:br/>
        <w:t>PTEN, HGNC ID = 9588</w:t>
      </w:r>
      <w:r w:rsidRPr="007B13AA">
        <w:rPr>
          <w:sz w:val="24"/>
          <w:szCs w:val="24"/>
        </w:rPr>
        <w:br/>
        <w:t>STK11, HGNC ID = 11389</w:t>
      </w:r>
      <w:r w:rsidRPr="007B13AA">
        <w:rPr>
          <w:sz w:val="24"/>
          <w:szCs w:val="24"/>
        </w:rPr>
        <w:br/>
        <w:t>PALB2, HGNC ID = 26144</w:t>
      </w:r>
      <w:r w:rsidRPr="007B13AA">
        <w:rPr>
          <w:sz w:val="24"/>
          <w:szCs w:val="24"/>
        </w:rPr>
        <w:br/>
        <w:t>CHEK2, HGNC ID = 16627</w:t>
      </w:r>
      <w:r w:rsidRPr="007B13AA">
        <w:rPr>
          <w:sz w:val="24"/>
          <w:szCs w:val="24"/>
        </w:rPr>
        <w:br/>
        <w:t>TP53, HGNC ID = 11998</w:t>
      </w:r>
      <w:r w:rsidR="00422EEE" w:rsidRPr="007B13AA">
        <w:rPr>
          <w:sz w:val="24"/>
          <w:szCs w:val="24"/>
        </w:rPr>
        <w:br/>
        <w:t>CDH1, HGNC ID = 1748</w:t>
      </w:r>
    </w:p>
    <w:p w14:paraId="374EEAFB" w14:textId="77777777" w:rsidR="00BE7C5F" w:rsidRDefault="00013BFA" w:rsidP="00BE7C5F">
      <w:pPr>
        <w:ind w:left="851" w:hanging="142"/>
        <w:rPr>
          <w:sz w:val="24"/>
          <w:szCs w:val="24"/>
        </w:rPr>
      </w:pPr>
      <w:r w:rsidRPr="007B13AA">
        <w:rPr>
          <w:sz w:val="24"/>
          <w:szCs w:val="24"/>
        </w:rPr>
        <w:t>* In practical terms, the “star performer</w:t>
      </w:r>
      <w:r w:rsidR="00D94AC7" w:rsidRPr="007B13AA">
        <w:rPr>
          <w:sz w:val="24"/>
          <w:szCs w:val="24"/>
        </w:rPr>
        <w:t xml:space="preserve"> gene</w:t>
      </w:r>
      <w:r w:rsidRPr="007B13AA">
        <w:rPr>
          <w:sz w:val="24"/>
          <w:szCs w:val="24"/>
        </w:rPr>
        <w:t xml:space="preserve">” for this CUC means testing for (or detecting) any BRCA1 </w:t>
      </w:r>
      <w:r w:rsidR="00BE7C5F">
        <w:rPr>
          <w:sz w:val="24"/>
          <w:szCs w:val="24"/>
        </w:rPr>
        <w:t>mutation or any BRCA2 mutation.</w:t>
      </w:r>
    </w:p>
    <w:p w14:paraId="46BCD511" w14:textId="69998023" w:rsidR="006B6D96" w:rsidRPr="00BE7C5F" w:rsidRDefault="00C96968" w:rsidP="00BE0F9E">
      <w:pPr>
        <w:pStyle w:val="Heading2"/>
      </w:pPr>
      <w:r w:rsidRPr="00DB1E4B">
        <w:t>OMIM# of the genes</w:t>
      </w:r>
    </w:p>
    <w:p w14:paraId="5546C238" w14:textId="16FA50B6" w:rsidR="006B6D96" w:rsidRPr="007B13AA" w:rsidRDefault="00693DD4" w:rsidP="005F18C2">
      <w:pPr>
        <w:rPr>
          <w:sz w:val="24"/>
          <w:szCs w:val="24"/>
        </w:rPr>
      </w:pPr>
      <w:r w:rsidRPr="007B13AA">
        <w:rPr>
          <w:sz w:val="24"/>
          <w:szCs w:val="24"/>
        </w:rPr>
        <w:t>BRCA1, 113705</w:t>
      </w:r>
      <w:r w:rsidRPr="007B13AA">
        <w:rPr>
          <w:sz w:val="24"/>
          <w:szCs w:val="24"/>
        </w:rPr>
        <w:br/>
        <w:t>BRCA2, 600185</w:t>
      </w:r>
      <w:r w:rsidRPr="007B13AA">
        <w:rPr>
          <w:sz w:val="24"/>
          <w:szCs w:val="24"/>
        </w:rPr>
        <w:br/>
        <w:t>PTEN, 601728</w:t>
      </w:r>
      <w:r w:rsidRPr="007B13AA">
        <w:rPr>
          <w:sz w:val="24"/>
          <w:szCs w:val="24"/>
        </w:rPr>
        <w:br/>
        <w:t>STK11, 602216</w:t>
      </w:r>
      <w:r w:rsidRPr="007B13AA">
        <w:rPr>
          <w:sz w:val="24"/>
          <w:szCs w:val="24"/>
        </w:rPr>
        <w:br/>
        <w:t>PALB2, 610355</w:t>
      </w:r>
      <w:r w:rsidRPr="007B13AA">
        <w:rPr>
          <w:sz w:val="24"/>
          <w:szCs w:val="24"/>
        </w:rPr>
        <w:br/>
        <w:t xml:space="preserve">CHEK2, </w:t>
      </w:r>
      <w:r w:rsidR="0083383C" w:rsidRPr="007B13AA">
        <w:rPr>
          <w:sz w:val="24"/>
          <w:szCs w:val="24"/>
        </w:rPr>
        <w:t>604373</w:t>
      </w:r>
      <w:r w:rsidRPr="007B13AA">
        <w:rPr>
          <w:sz w:val="24"/>
          <w:szCs w:val="24"/>
        </w:rPr>
        <w:br/>
        <w:t>TP53, 191170</w:t>
      </w:r>
      <w:r w:rsidR="00422EEE" w:rsidRPr="007B13AA">
        <w:rPr>
          <w:sz w:val="24"/>
          <w:szCs w:val="24"/>
        </w:rPr>
        <w:br/>
        <w:t>CDH1, 192090</w:t>
      </w:r>
    </w:p>
    <w:p w14:paraId="2F0C55F4" w14:textId="77777777" w:rsidR="00C11C92" w:rsidRDefault="00C11C92">
      <w:pPr>
        <w:rPr>
          <w:b/>
          <w:sz w:val="24"/>
          <w:szCs w:val="24"/>
        </w:rPr>
      </w:pPr>
      <w:r>
        <w:rPr>
          <w:b/>
          <w:sz w:val="24"/>
          <w:szCs w:val="24"/>
        </w:rPr>
        <w:br w:type="page"/>
      </w:r>
    </w:p>
    <w:p w14:paraId="0F187A33" w14:textId="77777777" w:rsidR="00641F1A" w:rsidRDefault="00CF4FB4" w:rsidP="00BE0F9E">
      <w:pPr>
        <w:pStyle w:val="Heading2"/>
        <w:numPr>
          <w:ilvl w:val="1"/>
          <w:numId w:val="20"/>
        </w:numPr>
      </w:pPr>
      <w:r w:rsidRPr="00641F1A">
        <w:lastRenderedPageBreak/>
        <w:t xml:space="preserve">Target population for testing </w:t>
      </w:r>
    </w:p>
    <w:p w14:paraId="1695BE68" w14:textId="6999B0B9" w:rsidR="006B6D96" w:rsidRPr="00641F1A" w:rsidRDefault="00CF4FB4" w:rsidP="00641F1A">
      <w:pPr>
        <w:rPr>
          <w:b/>
        </w:rPr>
      </w:pPr>
      <w:r w:rsidRPr="00641F1A">
        <w:rPr>
          <w:b/>
        </w:rPr>
        <w:t xml:space="preserve"> </w:t>
      </w:r>
      <w:r w:rsidR="00AF5C78" w:rsidRPr="00641F1A">
        <w:rPr>
          <w:b/>
        </w:rPr>
        <w:t>that is,</w:t>
      </w:r>
      <w:r w:rsidRPr="00641F1A">
        <w:rPr>
          <w:b/>
        </w:rPr>
        <w:t xml:space="preserve"> what cli</w:t>
      </w:r>
      <w:r w:rsidR="006B6D96" w:rsidRPr="00641F1A">
        <w:rPr>
          <w:b/>
        </w:rPr>
        <w:t>nical</w:t>
      </w:r>
      <w:r w:rsidRPr="00641F1A">
        <w:rPr>
          <w:b/>
        </w:rPr>
        <w:t xml:space="preserve">/pathological or other </w:t>
      </w:r>
      <w:r w:rsidR="006B6D96" w:rsidRPr="00641F1A">
        <w:rPr>
          <w:b/>
        </w:rPr>
        <w:t>diagnostic criteria</w:t>
      </w:r>
      <w:r w:rsidRPr="00641F1A">
        <w:rPr>
          <w:b/>
        </w:rPr>
        <w:t xml:space="preserve"> should be used to determine </w:t>
      </w:r>
      <w:r w:rsidR="00493B51" w:rsidRPr="00641F1A">
        <w:rPr>
          <w:b/>
        </w:rPr>
        <w:t xml:space="preserve">the </w:t>
      </w:r>
      <w:r w:rsidR="00493D16" w:rsidRPr="00641F1A">
        <w:rPr>
          <w:b/>
        </w:rPr>
        <w:t>“</w:t>
      </w:r>
      <w:r w:rsidR="00493B51" w:rsidRPr="00641F1A">
        <w:rPr>
          <w:b/>
        </w:rPr>
        <w:t>phenome</w:t>
      </w:r>
      <w:r w:rsidR="00493D16" w:rsidRPr="00641F1A">
        <w:rPr>
          <w:b/>
        </w:rPr>
        <w:t>”</w:t>
      </w:r>
      <w:r w:rsidR="00493B51" w:rsidRPr="00641F1A">
        <w:rPr>
          <w:b/>
        </w:rPr>
        <w:t xml:space="preserve"> which should be </w:t>
      </w:r>
      <w:r w:rsidRPr="00641F1A">
        <w:rPr>
          <w:b/>
        </w:rPr>
        <w:t>eligib</w:t>
      </w:r>
      <w:r w:rsidR="00493B51" w:rsidRPr="00641F1A">
        <w:rPr>
          <w:b/>
        </w:rPr>
        <w:t>le</w:t>
      </w:r>
      <w:r w:rsidRPr="00641F1A">
        <w:rPr>
          <w:b/>
        </w:rPr>
        <w:t xml:space="preserve"> for testing</w:t>
      </w:r>
      <w:r w:rsidR="00C96968" w:rsidRPr="00641F1A">
        <w:rPr>
          <w:b/>
        </w:rPr>
        <w:t>?</w:t>
      </w:r>
      <w:r w:rsidR="00493B51" w:rsidRPr="00641F1A">
        <w:rPr>
          <w:b/>
        </w:rPr>
        <w:t xml:space="preserve"> Provide the evidence and/or clinical rationale for these criteria</w:t>
      </w:r>
      <w:r w:rsidR="00AF1D96" w:rsidRPr="00641F1A">
        <w:rPr>
          <w:b/>
        </w:rPr>
        <w:t xml:space="preserve"> </w:t>
      </w:r>
      <w:r w:rsidR="00534105" w:rsidRPr="00641F1A">
        <w:rPr>
          <w:b/>
        </w:rPr>
        <w:t xml:space="preserve">which would </w:t>
      </w:r>
      <w:r w:rsidR="00AF1D96" w:rsidRPr="00641F1A">
        <w:rPr>
          <w:b/>
        </w:rPr>
        <w:t>ensur</w:t>
      </w:r>
      <w:r w:rsidR="00534105" w:rsidRPr="00641F1A">
        <w:rPr>
          <w:b/>
        </w:rPr>
        <w:t>e</w:t>
      </w:r>
      <w:r w:rsidR="00AF1D96" w:rsidRPr="00641F1A">
        <w:rPr>
          <w:b/>
        </w:rPr>
        <w:t xml:space="preserve"> that the pre-test probability of a </w:t>
      </w:r>
      <w:r w:rsidR="00534105" w:rsidRPr="00641F1A">
        <w:rPr>
          <w:b/>
        </w:rPr>
        <w:t xml:space="preserve">pathogenic </w:t>
      </w:r>
      <w:r w:rsidR="00493D16" w:rsidRPr="00641F1A">
        <w:rPr>
          <w:b/>
        </w:rPr>
        <w:t>heritable</w:t>
      </w:r>
      <w:r w:rsidR="00AF1D96" w:rsidRPr="00641F1A">
        <w:rPr>
          <w:b/>
        </w:rPr>
        <w:t xml:space="preserve"> mutation </w:t>
      </w:r>
      <w:r w:rsidR="005069C9" w:rsidRPr="00641F1A">
        <w:rPr>
          <w:b/>
        </w:rPr>
        <w:t>or combination of mutations</w:t>
      </w:r>
      <w:r w:rsidR="00757C12" w:rsidRPr="00641F1A">
        <w:rPr>
          <w:b/>
        </w:rPr>
        <w:t xml:space="preserve"> for the “star performer(s)”</w:t>
      </w:r>
      <w:r w:rsidR="005069C9" w:rsidRPr="00641F1A">
        <w:rPr>
          <w:b/>
        </w:rPr>
        <w:t xml:space="preserve"> </w:t>
      </w:r>
      <w:r w:rsidR="00534105" w:rsidRPr="00641F1A">
        <w:rPr>
          <w:b/>
        </w:rPr>
        <w:t>would be</w:t>
      </w:r>
      <w:r w:rsidR="004D05A7" w:rsidRPr="00641F1A">
        <w:rPr>
          <w:b/>
        </w:rPr>
        <w:t xml:space="preserve"> ≥</w:t>
      </w:r>
      <w:r w:rsidR="00AF1D96" w:rsidRPr="00641F1A">
        <w:rPr>
          <w:b/>
        </w:rPr>
        <w:t>10%</w:t>
      </w:r>
      <w:r w:rsidR="00493B51" w:rsidRPr="00641F1A">
        <w:rPr>
          <w:b/>
        </w:rPr>
        <w:t>.</w:t>
      </w:r>
    </w:p>
    <w:p w14:paraId="69BD3D35" w14:textId="4C5D0955" w:rsidR="009C774E" w:rsidRPr="009C774E" w:rsidRDefault="009C774E" w:rsidP="00472852">
      <w:pPr>
        <w:spacing w:after="0"/>
        <w:rPr>
          <w:sz w:val="24"/>
          <w:szCs w:val="24"/>
        </w:rPr>
      </w:pPr>
      <w:r w:rsidRPr="00BA7E98">
        <w:rPr>
          <w:i/>
          <w:sz w:val="24"/>
          <w:szCs w:val="24"/>
        </w:rPr>
        <w:t>[Although accepted as being more influenced by clinical judgement than objective facts, the threshold of 10% for a pre-test probability of pathologic heritable mutation(s) for the “star performer(s) is influenced by MSAC preference for a low probability of an actionable result over a high probability of an uninterpretable or unactionable result.]</w:t>
      </w:r>
    </w:p>
    <w:p w14:paraId="283BCD55" w14:textId="77777777" w:rsidR="009C774E" w:rsidRDefault="009C774E" w:rsidP="00472852">
      <w:pPr>
        <w:spacing w:after="0"/>
        <w:rPr>
          <w:sz w:val="24"/>
          <w:szCs w:val="24"/>
        </w:rPr>
      </w:pPr>
    </w:p>
    <w:p w14:paraId="309B186D" w14:textId="3EF243F0" w:rsidR="00530E15" w:rsidRPr="007B13AA" w:rsidRDefault="00472852" w:rsidP="00472852">
      <w:pPr>
        <w:spacing w:after="0"/>
        <w:rPr>
          <w:sz w:val="24"/>
          <w:szCs w:val="24"/>
        </w:rPr>
      </w:pPr>
      <w:r w:rsidRPr="007B13AA">
        <w:rPr>
          <w:sz w:val="24"/>
          <w:szCs w:val="24"/>
        </w:rPr>
        <w:t>Heritable</w:t>
      </w:r>
      <w:r w:rsidR="00530E15" w:rsidRPr="007B13AA">
        <w:rPr>
          <w:sz w:val="24"/>
          <w:szCs w:val="24"/>
        </w:rPr>
        <w:t xml:space="preserve"> BRCA1/BRCA2 </w:t>
      </w:r>
      <w:r w:rsidR="006814E1" w:rsidRPr="007B13AA">
        <w:rPr>
          <w:sz w:val="24"/>
          <w:szCs w:val="24"/>
        </w:rPr>
        <w:t xml:space="preserve">mutation </w:t>
      </w:r>
      <w:r w:rsidR="00530E15" w:rsidRPr="007B13AA">
        <w:rPr>
          <w:sz w:val="24"/>
          <w:szCs w:val="24"/>
        </w:rPr>
        <w:t xml:space="preserve">testing should be considered in </w:t>
      </w:r>
      <w:r w:rsidR="006814E1" w:rsidRPr="007B13AA">
        <w:rPr>
          <w:sz w:val="24"/>
          <w:szCs w:val="24"/>
        </w:rPr>
        <w:t>a</w:t>
      </w:r>
      <w:r w:rsidR="00AE4815" w:rsidRPr="007B13AA">
        <w:rPr>
          <w:sz w:val="24"/>
          <w:szCs w:val="24"/>
        </w:rPr>
        <w:t>n</w:t>
      </w:r>
      <w:r w:rsidR="006814E1" w:rsidRPr="007B13AA">
        <w:rPr>
          <w:sz w:val="24"/>
          <w:szCs w:val="24"/>
        </w:rPr>
        <w:t xml:space="preserve"> </w:t>
      </w:r>
      <w:r w:rsidR="00530E15" w:rsidRPr="007B13AA">
        <w:rPr>
          <w:sz w:val="24"/>
          <w:szCs w:val="24"/>
        </w:rPr>
        <w:t>individual</w:t>
      </w:r>
      <w:r w:rsidRPr="007B13AA">
        <w:rPr>
          <w:sz w:val="24"/>
          <w:szCs w:val="24"/>
        </w:rPr>
        <w:t>:</w:t>
      </w:r>
    </w:p>
    <w:p w14:paraId="0325543D" w14:textId="01A54D63" w:rsidR="00530E15" w:rsidRPr="007B13AA" w:rsidRDefault="00530E15" w:rsidP="003258A6">
      <w:pPr>
        <w:pStyle w:val="ListParagraph"/>
        <w:numPr>
          <w:ilvl w:val="0"/>
          <w:numId w:val="7"/>
        </w:numPr>
        <w:rPr>
          <w:sz w:val="24"/>
          <w:szCs w:val="24"/>
        </w:rPr>
      </w:pPr>
      <w:r w:rsidRPr="007B13AA">
        <w:rPr>
          <w:sz w:val="24"/>
          <w:szCs w:val="24"/>
        </w:rPr>
        <w:t xml:space="preserve">with breast and/or ovarian cancer whose personal or family history of cancer </w:t>
      </w:r>
      <w:r w:rsidR="006814E1" w:rsidRPr="007B13AA">
        <w:rPr>
          <w:sz w:val="24"/>
          <w:szCs w:val="24"/>
        </w:rPr>
        <w:t xml:space="preserve">using a mutation prediction score </w:t>
      </w:r>
      <w:r w:rsidRPr="007B13AA">
        <w:rPr>
          <w:sz w:val="24"/>
          <w:szCs w:val="24"/>
        </w:rPr>
        <w:t>predicts a combined mutation carrier probability of &gt;10% according to either BOADICEA</w:t>
      </w:r>
      <w:r w:rsidR="00A94C03" w:rsidRPr="007B13AA">
        <w:rPr>
          <w:rStyle w:val="FootnoteReference"/>
          <w:sz w:val="24"/>
          <w:szCs w:val="24"/>
        </w:rPr>
        <w:footnoteReference w:id="1"/>
      </w:r>
      <w:r w:rsidRPr="007B13AA">
        <w:rPr>
          <w:sz w:val="24"/>
          <w:szCs w:val="24"/>
        </w:rPr>
        <w:t>, BRCAPRO</w:t>
      </w:r>
      <w:r w:rsidR="00A94C03" w:rsidRPr="007B13AA">
        <w:rPr>
          <w:rStyle w:val="FootnoteReference"/>
          <w:sz w:val="24"/>
          <w:szCs w:val="24"/>
        </w:rPr>
        <w:footnoteReference w:id="2"/>
      </w:r>
      <w:r w:rsidRPr="007B13AA">
        <w:rPr>
          <w:sz w:val="24"/>
          <w:szCs w:val="24"/>
        </w:rPr>
        <w:t xml:space="preserve"> or pathology-adjusted Manchester score (combined score of 16 or greater)</w:t>
      </w:r>
      <w:r w:rsidR="00A94C03" w:rsidRPr="007B13AA">
        <w:rPr>
          <w:rStyle w:val="FootnoteReference"/>
          <w:sz w:val="24"/>
          <w:szCs w:val="24"/>
        </w:rPr>
        <w:footnoteReference w:id="3"/>
      </w:r>
      <w:r w:rsidRPr="007B13AA">
        <w:rPr>
          <w:sz w:val="24"/>
          <w:szCs w:val="24"/>
        </w:rPr>
        <w:t xml:space="preserve"> </w:t>
      </w:r>
      <w:r w:rsidR="00472852" w:rsidRPr="007B13AA">
        <w:rPr>
          <w:sz w:val="24"/>
          <w:szCs w:val="24"/>
        </w:rPr>
        <w:t>OR</w:t>
      </w:r>
    </w:p>
    <w:p w14:paraId="6F68D45E" w14:textId="503D0A5D" w:rsidR="00530E15" w:rsidRPr="007B13AA" w:rsidRDefault="00530E15" w:rsidP="003258A6">
      <w:pPr>
        <w:pStyle w:val="ListParagraph"/>
        <w:numPr>
          <w:ilvl w:val="0"/>
          <w:numId w:val="7"/>
        </w:numPr>
        <w:rPr>
          <w:sz w:val="24"/>
          <w:szCs w:val="24"/>
        </w:rPr>
      </w:pPr>
      <w:r w:rsidRPr="007B13AA">
        <w:rPr>
          <w:sz w:val="24"/>
          <w:szCs w:val="24"/>
        </w:rPr>
        <w:t>who fall</w:t>
      </w:r>
      <w:r w:rsidR="006814E1" w:rsidRPr="007B13AA">
        <w:rPr>
          <w:sz w:val="24"/>
          <w:szCs w:val="24"/>
        </w:rPr>
        <w:t>s</w:t>
      </w:r>
      <w:r w:rsidRPr="007B13AA">
        <w:rPr>
          <w:sz w:val="24"/>
          <w:szCs w:val="24"/>
        </w:rPr>
        <w:t xml:space="preserve"> into one or more of the following specific categories:</w:t>
      </w:r>
    </w:p>
    <w:p w14:paraId="4863A2F3" w14:textId="44FBDBF2" w:rsidR="00530E15" w:rsidRPr="007B13AA" w:rsidRDefault="00530E15" w:rsidP="003258A6">
      <w:pPr>
        <w:pStyle w:val="ListParagraph"/>
        <w:numPr>
          <w:ilvl w:val="1"/>
          <w:numId w:val="7"/>
        </w:numPr>
        <w:ind w:left="1134"/>
        <w:rPr>
          <w:sz w:val="24"/>
          <w:szCs w:val="24"/>
        </w:rPr>
      </w:pPr>
      <w:r w:rsidRPr="007B13AA">
        <w:rPr>
          <w:sz w:val="24"/>
          <w:szCs w:val="24"/>
        </w:rPr>
        <w:t>with a triple negative breast cancer and aged ≤40 years</w:t>
      </w:r>
    </w:p>
    <w:p w14:paraId="2C12CD98" w14:textId="77777777" w:rsidR="00D94AC7" w:rsidRPr="007B13AA" w:rsidRDefault="00530E15" w:rsidP="003258A6">
      <w:pPr>
        <w:pStyle w:val="ListParagraph"/>
        <w:numPr>
          <w:ilvl w:val="1"/>
          <w:numId w:val="7"/>
        </w:numPr>
        <w:ind w:left="1134"/>
        <w:rPr>
          <w:sz w:val="24"/>
          <w:szCs w:val="24"/>
        </w:rPr>
      </w:pPr>
      <w:r w:rsidRPr="007B13AA">
        <w:rPr>
          <w:sz w:val="24"/>
          <w:szCs w:val="24"/>
        </w:rPr>
        <w:t>with an isolated high grade (Grades 2 &amp; 3) invasive non-mucinous ovarian, fallopian tube or primary perit</w:t>
      </w:r>
      <w:r w:rsidR="004D05A7" w:rsidRPr="007B13AA">
        <w:rPr>
          <w:sz w:val="24"/>
          <w:szCs w:val="24"/>
        </w:rPr>
        <w:t xml:space="preserve">oneal cancer </w:t>
      </w:r>
      <w:r w:rsidRPr="007B13AA">
        <w:rPr>
          <w:sz w:val="24"/>
          <w:szCs w:val="24"/>
        </w:rPr>
        <w:t>aged ≤70 years</w:t>
      </w:r>
    </w:p>
    <w:p w14:paraId="48785CCC" w14:textId="77777777" w:rsidR="00D94AC7" w:rsidRPr="007B13AA" w:rsidRDefault="00530E15" w:rsidP="003258A6">
      <w:pPr>
        <w:pStyle w:val="ListParagraph"/>
        <w:numPr>
          <w:ilvl w:val="1"/>
          <w:numId w:val="7"/>
        </w:numPr>
        <w:ind w:left="1134"/>
        <w:rPr>
          <w:sz w:val="24"/>
          <w:szCs w:val="24"/>
        </w:rPr>
      </w:pPr>
      <w:r w:rsidRPr="007B13AA">
        <w:rPr>
          <w:sz w:val="24"/>
          <w:szCs w:val="24"/>
        </w:rPr>
        <w:t>with invasive non-mucinous ovarian, fallopian tube or primary peritoneal cancer at any age and a family history of breast or ovarian cancer</w:t>
      </w:r>
    </w:p>
    <w:p w14:paraId="4ECE7276" w14:textId="4C8CD3C1" w:rsidR="00530E15" w:rsidRPr="007B13AA" w:rsidRDefault="00530E15" w:rsidP="003258A6">
      <w:pPr>
        <w:pStyle w:val="ListParagraph"/>
        <w:numPr>
          <w:ilvl w:val="1"/>
          <w:numId w:val="7"/>
        </w:numPr>
        <w:ind w:left="1134" w:hanging="357"/>
        <w:contextualSpacing w:val="0"/>
        <w:rPr>
          <w:sz w:val="24"/>
          <w:szCs w:val="24"/>
        </w:rPr>
      </w:pPr>
      <w:r w:rsidRPr="007B13AA">
        <w:t>with a personal and/or family history of breast and/or ovarian cancer, from a population where a common founder mutation exists</w:t>
      </w:r>
      <w:r w:rsidR="00A94C03" w:rsidRPr="007B13AA">
        <w:t>.</w:t>
      </w:r>
    </w:p>
    <w:p w14:paraId="03572D19" w14:textId="4ECC6186" w:rsidR="006B6D96" w:rsidRPr="00DB1E4B" w:rsidRDefault="00BA5E8C" w:rsidP="00BE0F9E">
      <w:pPr>
        <w:pStyle w:val="Heading2"/>
        <w:numPr>
          <w:ilvl w:val="0"/>
          <w:numId w:val="0"/>
        </w:numPr>
        <w:ind w:left="718"/>
      </w:pPr>
      <w:r w:rsidRPr="00DB1E4B">
        <w:t>1.6</w:t>
      </w:r>
      <w:r w:rsidRPr="00DB1E4B">
        <w:tab/>
      </w:r>
      <w:r w:rsidR="006B6D96" w:rsidRPr="00DB1E4B">
        <w:t xml:space="preserve">Estimated </w:t>
      </w:r>
      <w:r w:rsidR="003C3622" w:rsidRPr="00DB1E4B">
        <w:t xml:space="preserve">prevalence of </w:t>
      </w:r>
      <w:r w:rsidR="003E3DA7" w:rsidRPr="00DB1E4B">
        <w:t>heritable mutations of BRCA1/BRCA2</w:t>
      </w:r>
    </w:p>
    <w:p w14:paraId="4269C749" w14:textId="1BF70147" w:rsidR="006B6D96" w:rsidRPr="007B13AA" w:rsidRDefault="00472852" w:rsidP="005F18C2">
      <w:pPr>
        <w:spacing w:after="0"/>
        <w:rPr>
          <w:sz w:val="24"/>
          <w:szCs w:val="24"/>
        </w:rPr>
      </w:pPr>
      <w:r w:rsidRPr="007B13AA">
        <w:rPr>
          <w:i/>
          <w:sz w:val="24"/>
          <w:szCs w:val="24"/>
        </w:rPr>
        <w:t>A</w:t>
      </w:r>
      <w:r w:rsidR="005F18C2" w:rsidRPr="007B13AA">
        <w:rPr>
          <w:i/>
          <w:sz w:val="24"/>
          <w:szCs w:val="24"/>
        </w:rPr>
        <w:t>t birth:</w:t>
      </w:r>
      <w:r w:rsidR="00693DD4" w:rsidRPr="007B13AA">
        <w:rPr>
          <w:sz w:val="24"/>
          <w:szCs w:val="24"/>
        </w:rPr>
        <w:t xml:space="preserve"> </w:t>
      </w:r>
      <w:r w:rsidR="004D05A7" w:rsidRPr="007B13AA">
        <w:rPr>
          <w:sz w:val="24"/>
          <w:szCs w:val="24"/>
        </w:rPr>
        <w:t>1:500 to 1:1000</w:t>
      </w:r>
      <w:r w:rsidR="00422EEE" w:rsidRPr="007B13AA">
        <w:rPr>
          <w:sz w:val="24"/>
          <w:szCs w:val="24"/>
        </w:rPr>
        <w:t>.</w:t>
      </w:r>
    </w:p>
    <w:p w14:paraId="40194D67" w14:textId="65E33C38" w:rsidR="00BE694B" w:rsidRDefault="00472852" w:rsidP="002251DE">
      <w:pPr>
        <w:rPr>
          <w:sz w:val="24"/>
          <w:szCs w:val="24"/>
        </w:rPr>
      </w:pPr>
      <w:r w:rsidRPr="007B13AA">
        <w:rPr>
          <w:i/>
          <w:sz w:val="24"/>
          <w:szCs w:val="24"/>
        </w:rPr>
        <w:t>I</w:t>
      </w:r>
      <w:r w:rsidR="005F18C2" w:rsidRPr="007B13AA">
        <w:rPr>
          <w:i/>
          <w:sz w:val="24"/>
          <w:szCs w:val="24"/>
        </w:rPr>
        <w:t xml:space="preserve">n the </w:t>
      </w:r>
      <w:r w:rsidR="003C3622" w:rsidRPr="007B13AA">
        <w:rPr>
          <w:i/>
          <w:sz w:val="24"/>
          <w:szCs w:val="24"/>
        </w:rPr>
        <w:t>target population for testing identified at 1.5</w:t>
      </w:r>
      <w:r w:rsidR="005F18C2" w:rsidRPr="007B13AA">
        <w:rPr>
          <w:i/>
          <w:sz w:val="24"/>
          <w:szCs w:val="24"/>
        </w:rPr>
        <w:t>:</w:t>
      </w:r>
      <w:r w:rsidR="00693DD4" w:rsidRPr="007B13AA">
        <w:rPr>
          <w:sz w:val="24"/>
          <w:szCs w:val="24"/>
        </w:rPr>
        <w:t xml:space="preserve"> </w:t>
      </w:r>
      <w:r w:rsidR="004D05A7" w:rsidRPr="007B13AA">
        <w:rPr>
          <w:sz w:val="24"/>
          <w:szCs w:val="24"/>
        </w:rPr>
        <w:t>≥10%</w:t>
      </w:r>
      <w:r w:rsidR="00F21243">
        <w:rPr>
          <w:sz w:val="24"/>
          <w:szCs w:val="24"/>
        </w:rPr>
        <w:t>, with 15% as the base case estimate, and any sensitivity analyses to be 10% and 20%</w:t>
      </w:r>
      <w:r w:rsidR="00422EEE" w:rsidRPr="007B13AA">
        <w:rPr>
          <w:sz w:val="24"/>
          <w:szCs w:val="24"/>
        </w:rPr>
        <w:t>.</w:t>
      </w:r>
    </w:p>
    <w:p w14:paraId="3A0AEBB7" w14:textId="7D9F7B08" w:rsidR="002251DE" w:rsidRPr="00032C0D" w:rsidRDefault="00BA5E8C" w:rsidP="00032C0D">
      <w:pPr>
        <w:rPr>
          <w:b/>
          <w:sz w:val="24"/>
          <w:szCs w:val="24"/>
        </w:rPr>
      </w:pPr>
      <w:r w:rsidRPr="00032C0D">
        <w:rPr>
          <w:rStyle w:val="Heading2Char"/>
        </w:rPr>
        <w:t>1.7</w:t>
      </w:r>
      <w:r w:rsidRPr="00032C0D">
        <w:rPr>
          <w:rStyle w:val="Heading2Char"/>
        </w:rPr>
        <w:tab/>
      </w:r>
      <w:r w:rsidR="002251DE" w:rsidRPr="00032C0D">
        <w:rPr>
          <w:rStyle w:val="Heading2Char"/>
        </w:rPr>
        <w:t>Estimated proportion of affected individuals</w:t>
      </w:r>
      <w:r w:rsidR="002251DE" w:rsidRPr="00032C0D">
        <w:rPr>
          <w:b/>
          <w:sz w:val="24"/>
          <w:szCs w:val="24"/>
        </w:rPr>
        <w:t xml:space="preserve"> who fall within the target population for testing identified at 1.5</w:t>
      </w:r>
    </w:p>
    <w:p w14:paraId="6CB0668F" w14:textId="326849C8" w:rsidR="002251DE" w:rsidRPr="007B13AA" w:rsidRDefault="00B460E0" w:rsidP="00C975E1">
      <w:pPr>
        <w:spacing w:after="0"/>
        <w:rPr>
          <w:sz w:val="24"/>
          <w:szCs w:val="24"/>
        </w:rPr>
      </w:pPr>
      <w:r>
        <w:rPr>
          <w:sz w:val="24"/>
          <w:szCs w:val="24"/>
        </w:rPr>
        <w:t>10%</w:t>
      </w:r>
      <w:r w:rsidR="00F21243">
        <w:rPr>
          <w:sz w:val="24"/>
          <w:szCs w:val="24"/>
        </w:rPr>
        <w:t xml:space="preserve"> as the base case</w:t>
      </w:r>
      <w:r>
        <w:rPr>
          <w:sz w:val="24"/>
          <w:szCs w:val="24"/>
        </w:rPr>
        <w:t>, with any sensitivity analysis to be 5%.</w:t>
      </w:r>
    </w:p>
    <w:p w14:paraId="4E93FFD4" w14:textId="77777777" w:rsidR="00F73BB5" w:rsidRPr="007B13AA" w:rsidRDefault="00F73BB5">
      <w:pPr>
        <w:rPr>
          <w:b/>
          <w:sz w:val="24"/>
          <w:szCs w:val="24"/>
        </w:rPr>
      </w:pPr>
      <w:r w:rsidRPr="007B13AA">
        <w:rPr>
          <w:b/>
          <w:sz w:val="24"/>
          <w:szCs w:val="24"/>
        </w:rPr>
        <w:br w:type="page"/>
      </w:r>
    </w:p>
    <w:p w14:paraId="3E958F58" w14:textId="6EF75501" w:rsidR="00EF30A3" w:rsidRPr="00EF30A3" w:rsidRDefault="00EF30A3" w:rsidP="003258A6">
      <w:pPr>
        <w:pStyle w:val="Heading1"/>
        <w:numPr>
          <w:ilvl w:val="0"/>
          <w:numId w:val="14"/>
        </w:numPr>
      </w:pPr>
      <w:r w:rsidRPr="00B94F21">
        <w:lastRenderedPageBreak/>
        <w:t>TEST CHARACTERISTICS OF BRCA1 AND BRCA2</w:t>
      </w:r>
    </w:p>
    <w:p w14:paraId="14C39099" w14:textId="04585BB1" w:rsidR="00907D85" w:rsidRPr="007B13AA" w:rsidRDefault="00EF30A3" w:rsidP="00BE0F9E">
      <w:pPr>
        <w:pStyle w:val="Heading2"/>
        <w:numPr>
          <w:ilvl w:val="0"/>
          <w:numId w:val="0"/>
        </w:numPr>
      </w:pPr>
      <w:r>
        <w:t>2.1</w:t>
      </w:r>
      <w:r>
        <w:tab/>
      </w:r>
      <w:r w:rsidR="00907D85" w:rsidRPr="007B13AA">
        <w:t>Analytical performance</w:t>
      </w:r>
    </w:p>
    <w:p w14:paraId="2D8EEC0A" w14:textId="1FCAC2C5" w:rsidR="00907D85" w:rsidRPr="007B13AA" w:rsidRDefault="00907D85" w:rsidP="00907D85">
      <w:pPr>
        <w:spacing w:after="0"/>
        <w:rPr>
          <w:sz w:val="24"/>
          <w:szCs w:val="24"/>
        </w:rPr>
      </w:pPr>
      <w:r w:rsidRPr="007B13AA">
        <w:rPr>
          <w:i/>
          <w:sz w:val="24"/>
          <w:szCs w:val="24"/>
        </w:rPr>
        <w:t>Is there an analytical reference standard used to establish genotype:</w:t>
      </w:r>
      <w:r w:rsidRPr="007B13AA">
        <w:rPr>
          <w:sz w:val="24"/>
          <w:szCs w:val="24"/>
        </w:rPr>
        <w:t xml:space="preserve"> yes</w:t>
      </w:r>
    </w:p>
    <w:p w14:paraId="5F0206C9" w14:textId="63274A92" w:rsidR="00907D85" w:rsidRPr="009C774E" w:rsidRDefault="00907D85" w:rsidP="00907D85">
      <w:pPr>
        <w:rPr>
          <w:i/>
          <w:sz w:val="24"/>
          <w:szCs w:val="24"/>
        </w:rPr>
      </w:pPr>
      <w:r w:rsidRPr="009C774E">
        <w:rPr>
          <w:i/>
          <w:sz w:val="24"/>
          <w:szCs w:val="24"/>
        </w:rPr>
        <w:t xml:space="preserve">[If yes, complete </w:t>
      </w:r>
      <w:r w:rsidR="00A47534" w:rsidRPr="009C774E">
        <w:rPr>
          <w:i/>
          <w:sz w:val="24"/>
          <w:szCs w:val="24"/>
        </w:rPr>
        <w:t>2</w:t>
      </w:r>
      <w:r w:rsidRPr="009C774E">
        <w:rPr>
          <w:i/>
          <w:sz w:val="24"/>
          <w:szCs w:val="24"/>
        </w:rPr>
        <w:t xml:space="preserve">.1.1 below; if no, complete </w:t>
      </w:r>
      <w:r w:rsidR="00A47534" w:rsidRPr="009C774E">
        <w:rPr>
          <w:i/>
          <w:sz w:val="24"/>
          <w:szCs w:val="24"/>
        </w:rPr>
        <w:t>2</w:t>
      </w:r>
      <w:r w:rsidRPr="009C774E">
        <w:rPr>
          <w:i/>
          <w:sz w:val="24"/>
          <w:szCs w:val="24"/>
        </w:rPr>
        <w:t>.1.2 below</w:t>
      </w:r>
      <w:r w:rsidR="00332A72">
        <w:rPr>
          <w:i/>
          <w:sz w:val="24"/>
          <w:szCs w:val="24"/>
        </w:rPr>
        <w:t>.</w:t>
      </w:r>
      <w:r w:rsidRPr="009C774E">
        <w:rPr>
          <w:i/>
          <w:sz w:val="24"/>
          <w:szCs w:val="24"/>
        </w:rPr>
        <w:t>]</w:t>
      </w:r>
    </w:p>
    <w:p w14:paraId="6BCB2DF9" w14:textId="65A57FE4" w:rsidR="00907D85" w:rsidRPr="00D4528F" w:rsidRDefault="00D4528F" w:rsidP="006F19B7">
      <w:pPr>
        <w:pStyle w:val="Heading3"/>
      </w:pPr>
      <w:r>
        <w:rPr>
          <w:rStyle w:val="Heading3Char"/>
          <w:b/>
          <w:bCs/>
          <w:i/>
        </w:rPr>
        <w:t>2.1.1</w:t>
      </w:r>
      <w:r>
        <w:rPr>
          <w:rStyle w:val="Heading3Char"/>
          <w:b/>
          <w:bCs/>
          <w:i/>
        </w:rPr>
        <w:tab/>
      </w:r>
      <w:r w:rsidR="00907D85" w:rsidRPr="00D4528F">
        <w:rPr>
          <w:rStyle w:val="Heading3Char"/>
          <w:b/>
          <w:bCs/>
          <w:i/>
        </w:rPr>
        <w:t>Analytical validity possible</w:t>
      </w:r>
      <w:r w:rsidR="00A47534" w:rsidRPr="00D4528F">
        <w:t xml:space="preserve"> (to be answered if 2</w:t>
      </w:r>
      <w:r w:rsidR="003D5812" w:rsidRPr="00D4528F">
        <w:t>.1 was marked “yes”)</w:t>
      </w:r>
    </w:p>
    <w:p w14:paraId="6CAFAB4E" w14:textId="77777777" w:rsidR="00907D85" w:rsidRPr="007B13AA" w:rsidRDefault="00907D85" w:rsidP="00907D85">
      <w:pPr>
        <w:rPr>
          <w:sz w:val="24"/>
          <w:szCs w:val="24"/>
        </w:rPr>
      </w:pPr>
      <w:r w:rsidRPr="007B13AA">
        <w:rPr>
          <w:i/>
          <w:sz w:val="24"/>
          <w:szCs w:val="24"/>
        </w:rPr>
        <w:t>Define the analytical reference standard:</w:t>
      </w:r>
      <w:r w:rsidRPr="007B13AA">
        <w:rPr>
          <w:sz w:val="24"/>
          <w:szCs w:val="24"/>
        </w:rPr>
        <w:t xml:space="preserve"> </w:t>
      </w:r>
    </w:p>
    <w:p w14:paraId="5688886C" w14:textId="6F0A4CB3" w:rsidR="00BD14DF" w:rsidRPr="007B13AA" w:rsidRDefault="00BD14DF" w:rsidP="00BD14DF">
      <w:pPr>
        <w:rPr>
          <w:sz w:val="24"/>
          <w:szCs w:val="24"/>
        </w:rPr>
      </w:pPr>
      <w:r w:rsidRPr="007B13AA">
        <w:rPr>
          <w:sz w:val="24"/>
          <w:szCs w:val="24"/>
        </w:rPr>
        <w:t>The established analytical reference standard for detection of sequence variants in diagnostics has been Sanger sequencing; established reference methods for the detection of copy number variation due to large insertions or deletions include MLPA and DNA microarrays.</w:t>
      </w:r>
    </w:p>
    <w:p w14:paraId="4EE67CE9" w14:textId="29EB32E5" w:rsidR="00BD14DF" w:rsidRPr="007B13AA" w:rsidRDefault="00BD14DF" w:rsidP="00BD14DF">
      <w:pPr>
        <w:rPr>
          <w:sz w:val="24"/>
          <w:szCs w:val="24"/>
        </w:rPr>
      </w:pPr>
      <w:r w:rsidRPr="007B13AA">
        <w:rPr>
          <w:sz w:val="24"/>
          <w:szCs w:val="24"/>
        </w:rPr>
        <w:t>These reference methods have been in accepted use for over a decade with well-established quality assurance programs (QAP). The methods have a specificity and sensitivity of 96-100% for constitutional variants (expected to be present at proportions of 0%, 50%, or 100%). Sensitivity and specificity of Sanger sequencing is however much lower for mosaic variants, with limit of detection for mosaicism considered to be 20-30%. Low-level, multiple-tissue, constitutional mosaicism in BRCA1 has recently been reported and highlights the need to consider deep sequencing in affected individuals clinically suspected of having cancer predisposition (see Friedman E et al 2015).</w:t>
      </w:r>
    </w:p>
    <w:p w14:paraId="35E0B684" w14:textId="1AB9CD5C" w:rsidR="00BD14DF" w:rsidRPr="007B13AA" w:rsidRDefault="00BD14DF" w:rsidP="00BD14DF">
      <w:pPr>
        <w:rPr>
          <w:sz w:val="24"/>
          <w:szCs w:val="24"/>
        </w:rPr>
      </w:pPr>
      <w:r w:rsidRPr="007B13AA">
        <w:rPr>
          <w:sz w:val="24"/>
          <w:szCs w:val="24"/>
        </w:rPr>
        <w:t>The analytical performance and characteristics of other detection methods (e.g. High Resolution Melt-curve Analysis (HRMA) with Sanger sequencing confirmation, or alternatively, massively parallel sequencing with or without Sanger sequencing confirmation) are generally established by comparison with the reference method, and may be implemented if analytical performance is demonstrated to be equal or superior to the reference method.</w:t>
      </w:r>
    </w:p>
    <w:p w14:paraId="409EBFA1" w14:textId="08C6C916" w:rsidR="00BD14DF" w:rsidRPr="007B13AA" w:rsidRDefault="00BD14DF" w:rsidP="00BD14DF">
      <w:pPr>
        <w:rPr>
          <w:sz w:val="24"/>
          <w:szCs w:val="24"/>
        </w:rPr>
      </w:pPr>
      <w:r w:rsidRPr="007B13AA">
        <w:rPr>
          <w:sz w:val="24"/>
          <w:szCs w:val="24"/>
        </w:rPr>
        <w:t>For simplicity, the analytical reference standard will be considered as Sanger sequencing with massively parallel targeted sequencing considered as the comparator method.</w:t>
      </w:r>
    </w:p>
    <w:p w14:paraId="2A4BC74C" w14:textId="77777777" w:rsidR="00907D85" w:rsidRPr="007B13AA" w:rsidRDefault="00907D85" w:rsidP="00907D85">
      <w:pPr>
        <w:rPr>
          <w:sz w:val="24"/>
          <w:szCs w:val="24"/>
        </w:rPr>
      </w:pPr>
      <w:r w:rsidRPr="007B13AA">
        <w:rPr>
          <w:i/>
          <w:sz w:val="24"/>
          <w:szCs w:val="24"/>
        </w:rPr>
        <w:t>Present analytical sensitivity as the proportion of positive test results if the genotype is present according to the reference standard:</w:t>
      </w:r>
      <w:r w:rsidRPr="007B13AA">
        <w:rPr>
          <w:sz w:val="24"/>
          <w:szCs w:val="24"/>
        </w:rPr>
        <w:t xml:space="preserve"> </w:t>
      </w:r>
    </w:p>
    <w:p w14:paraId="0DEE8736" w14:textId="77777777" w:rsidR="00BD14DF" w:rsidRPr="007B13AA" w:rsidRDefault="00BD14DF" w:rsidP="00BD14DF">
      <w:pPr>
        <w:rPr>
          <w:sz w:val="24"/>
          <w:szCs w:val="24"/>
        </w:rPr>
      </w:pPr>
      <w:r w:rsidRPr="007B13AA">
        <w:rPr>
          <w:i/>
          <w:sz w:val="24"/>
          <w:szCs w:val="24"/>
        </w:rPr>
        <w:t>Present analytical specificity as the proportion of negative test results if the genotype is not present according to the reference standard:</w:t>
      </w:r>
      <w:r w:rsidRPr="007B13AA">
        <w:rPr>
          <w:sz w:val="24"/>
          <w:szCs w:val="24"/>
        </w:rPr>
        <w:t xml:space="preserve"> </w:t>
      </w:r>
    </w:p>
    <w:p w14:paraId="49747FD2" w14:textId="77777777" w:rsidR="00BD14DF" w:rsidRPr="007B13AA" w:rsidRDefault="00BD14DF" w:rsidP="00BD14DF">
      <w:pPr>
        <w:rPr>
          <w:sz w:val="24"/>
          <w:szCs w:val="24"/>
        </w:rPr>
      </w:pPr>
      <w:r w:rsidRPr="007B13AA">
        <w:rPr>
          <w:sz w:val="24"/>
          <w:szCs w:val="24"/>
        </w:rPr>
        <w:t>There are numerous publications in which the analytical sensitivity and specificity of targeted gene panels have been established as being equivalent to Sanger sequencing, both in the setting of the BRCA1 and BRCA2 analysis, or in other smaller targeted gene panels.</w:t>
      </w:r>
    </w:p>
    <w:p w14:paraId="1672B41D" w14:textId="1558797A" w:rsidR="00BD14DF" w:rsidRPr="007B13AA" w:rsidRDefault="00BD14DF" w:rsidP="00BD14DF">
      <w:pPr>
        <w:rPr>
          <w:sz w:val="24"/>
          <w:szCs w:val="24"/>
        </w:rPr>
      </w:pPr>
      <w:r w:rsidRPr="007B13AA">
        <w:rPr>
          <w:sz w:val="24"/>
          <w:szCs w:val="24"/>
        </w:rPr>
        <w:t>The table below provides a recent review of analytical validity of BRCA1 and BRCA2 massively parallel sequencing compared to established reference methods.</w:t>
      </w:r>
    </w:p>
    <w:tbl>
      <w:tblPr>
        <w:tblStyle w:val="TableGrid"/>
        <w:tblW w:w="0" w:type="auto"/>
        <w:tblLook w:val="04A0" w:firstRow="1" w:lastRow="0" w:firstColumn="1" w:lastColumn="0" w:noHBand="0" w:noVBand="1"/>
        <w:tblDescription w:val="Recent review of analytical validity of BRCA1 and BRCA2"/>
      </w:tblPr>
      <w:tblGrid>
        <w:gridCol w:w="2612"/>
        <w:gridCol w:w="1182"/>
        <w:gridCol w:w="1276"/>
        <w:gridCol w:w="1559"/>
        <w:gridCol w:w="2635"/>
      </w:tblGrid>
      <w:tr w:rsidR="00BD14DF" w:rsidRPr="007B13AA" w14:paraId="029054D6" w14:textId="77777777" w:rsidTr="00817169">
        <w:trPr>
          <w:tblHeader/>
        </w:trPr>
        <w:tc>
          <w:tcPr>
            <w:tcW w:w="2612" w:type="dxa"/>
          </w:tcPr>
          <w:p w14:paraId="36D9767C" w14:textId="77777777" w:rsidR="00BD14DF" w:rsidRPr="007B13AA" w:rsidRDefault="00BD14DF" w:rsidP="005069C9">
            <w:pPr>
              <w:rPr>
                <w:i/>
                <w:sz w:val="24"/>
                <w:szCs w:val="24"/>
              </w:rPr>
            </w:pPr>
            <w:r w:rsidRPr="007B13AA">
              <w:rPr>
                <w:i/>
                <w:sz w:val="24"/>
                <w:szCs w:val="24"/>
              </w:rPr>
              <w:lastRenderedPageBreak/>
              <w:t>Reference</w:t>
            </w:r>
          </w:p>
        </w:tc>
        <w:tc>
          <w:tcPr>
            <w:tcW w:w="1182" w:type="dxa"/>
          </w:tcPr>
          <w:p w14:paraId="4FA34F48" w14:textId="4D314BAE" w:rsidR="00BD14DF" w:rsidRPr="007B13AA" w:rsidRDefault="00BD14DF" w:rsidP="00BD14DF">
            <w:pPr>
              <w:rPr>
                <w:i/>
                <w:sz w:val="24"/>
                <w:szCs w:val="24"/>
              </w:rPr>
            </w:pPr>
            <w:r w:rsidRPr="007B13AA">
              <w:rPr>
                <w:i/>
                <w:sz w:val="24"/>
                <w:szCs w:val="24"/>
              </w:rPr>
              <w:t>Analytical sensitivity</w:t>
            </w:r>
          </w:p>
        </w:tc>
        <w:tc>
          <w:tcPr>
            <w:tcW w:w="1276" w:type="dxa"/>
          </w:tcPr>
          <w:p w14:paraId="47256E00" w14:textId="3542B716" w:rsidR="00BD14DF" w:rsidRPr="007B13AA" w:rsidRDefault="00BD14DF" w:rsidP="00BD14DF">
            <w:pPr>
              <w:rPr>
                <w:i/>
                <w:sz w:val="24"/>
                <w:szCs w:val="24"/>
              </w:rPr>
            </w:pPr>
            <w:r w:rsidRPr="007B13AA">
              <w:rPr>
                <w:i/>
                <w:sz w:val="24"/>
                <w:szCs w:val="24"/>
              </w:rPr>
              <w:t>Analytical specificity</w:t>
            </w:r>
          </w:p>
        </w:tc>
        <w:tc>
          <w:tcPr>
            <w:tcW w:w="1559" w:type="dxa"/>
          </w:tcPr>
          <w:p w14:paraId="01F9BE9C" w14:textId="77777777" w:rsidR="00BD14DF" w:rsidRPr="007B13AA" w:rsidRDefault="00BD14DF" w:rsidP="005069C9">
            <w:pPr>
              <w:rPr>
                <w:i/>
                <w:sz w:val="24"/>
                <w:szCs w:val="24"/>
              </w:rPr>
            </w:pPr>
            <w:r w:rsidRPr="007B13AA">
              <w:rPr>
                <w:i/>
                <w:sz w:val="24"/>
                <w:szCs w:val="24"/>
              </w:rPr>
              <w:t>Genes included</w:t>
            </w:r>
          </w:p>
        </w:tc>
        <w:tc>
          <w:tcPr>
            <w:tcW w:w="2635" w:type="dxa"/>
          </w:tcPr>
          <w:p w14:paraId="65121A85" w14:textId="77777777" w:rsidR="00BD14DF" w:rsidRPr="007B13AA" w:rsidRDefault="00BD14DF" w:rsidP="005069C9">
            <w:pPr>
              <w:rPr>
                <w:i/>
                <w:sz w:val="24"/>
                <w:szCs w:val="24"/>
              </w:rPr>
            </w:pPr>
            <w:r w:rsidRPr="007B13AA">
              <w:rPr>
                <w:i/>
                <w:sz w:val="24"/>
                <w:szCs w:val="24"/>
              </w:rPr>
              <w:t>Additional comments</w:t>
            </w:r>
          </w:p>
        </w:tc>
      </w:tr>
      <w:tr w:rsidR="00BD14DF" w:rsidRPr="007B13AA" w14:paraId="75A7A1A4" w14:textId="77777777" w:rsidTr="00BD14DF">
        <w:tc>
          <w:tcPr>
            <w:tcW w:w="2612" w:type="dxa"/>
          </w:tcPr>
          <w:p w14:paraId="76134B2A" w14:textId="5B768435" w:rsidR="00BD14DF" w:rsidRPr="007B13AA" w:rsidRDefault="00BD14DF" w:rsidP="00BD14DF">
            <w:pPr>
              <w:rPr>
                <w:sz w:val="24"/>
                <w:szCs w:val="24"/>
              </w:rPr>
            </w:pPr>
            <w:r w:rsidRPr="007B13AA">
              <w:rPr>
                <w:sz w:val="24"/>
                <w:szCs w:val="24"/>
              </w:rPr>
              <w:t xml:space="preserve">Dacheva D. </w:t>
            </w:r>
            <w:r w:rsidRPr="007B13AA">
              <w:rPr>
                <w:i/>
                <w:sz w:val="24"/>
                <w:szCs w:val="24"/>
              </w:rPr>
              <w:t>et al.</w:t>
            </w:r>
            <w:r w:rsidRPr="007B13AA">
              <w:rPr>
                <w:sz w:val="24"/>
                <w:szCs w:val="24"/>
              </w:rPr>
              <w:t xml:space="preserve"> Mol Diagn Ther. 2015 19(2):119-30.</w:t>
            </w:r>
          </w:p>
        </w:tc>
        <w:tc>
          <w:tcPr>
            <w:tcW w:w="1182" w:type="dxa"/>
          </w:tcPr>
          <w:p w14:paraId="5D3777A7" w14:textId="77777777" w:rsidR="00BD14DF" w:rsidRPr="007B13AA" w:rsidRDefault="00BD14DF" w:rsidP="002F5A47">
            <w:pPr>
              <w:jc w:val="center"/>
              <w:rPr>
                <w:rFonts w:cstheme="minorHAnsi"/>
                <w:sz w:val="24"/>
                <w:szCs w:val="24"/>
              </w:rPr>
            </w:pPr>
            <w:r w:rsidRPr="007B13AA">
              <w:rPr>
                <w:rFonts w:cstheme="minorHAnsi"/>
                <w:color w:val="000000"/>
                <w:sz w:val="24"/>
                <w:szCs w:val="24"/>
                <w:shd w:val="clear" w:color="auto" w:fill="FFFFFF"/>
              </w:rPr>
              <w:t>100%</w:t>
            </w:r>
          </w:p>
        </w:tc>
        <w:tc>
          <w:tcPr>
            <w:tcW w:w="1276" w:type="dxa"/>
          </w:tcPr>
          <w:p w14:paraId="33F639EE" w14:textId="77777777" w:rsidR="00BD14DF" w:rsidRPr="007B13AA" w:rsidRDefault="00BD14DF" w:rsidP="002F5A47">
            <w:pPr>
              <w:jc w:val="center"/>
              <w:rPr>
                <w:rFonts w:cstheme="minorHAnsi"/>
                <w:sz w:val="24"/>
                <w:szCs w:val="24"/>
              </w:rPr>
            </w:pPr>
            <w:r w:rsidRPr="007B13AA">
              <w:rPr>
                <w:rFonts w:cstheme="minorHAnsi"/>
                <w:color w:val="000000"/>
                <w:sz w:val="24"/>
                <w:szCs w:val="24"/>
                <w:shd w:val="clear" w:color="auto" w:fill="FFFFFF"/>
              </w:rPr>
              <w:t>95.9%</w:t>
            </w:r>
          </w:p>
        </w:tc>
        <w:tc>
          <w:tcPr>
            <w:tcW w:w="1559" w:type="dxa"/>
          </w:tcPr>
          <w:p w14:paraId="08192765" w14:textId="558F12E1" w:rsidR="00BD14DF" w:rsidRPr="007B13AA" w:rsidRDefault="00BD14DF" w:rsidP="005069C9">
            <w:pPr>
              <w:rPr>
                <w:sz w:val="24"/>
                <w:szCs w:val="24"/>
              </w:rPr>
            </w:pPr>
            <w:r w:rsidRPr="007B13AA">
              <w:rPr>
                <w:sz w:val="24"/>
                <w:szCs w:val="24"/>
              </w:rPr>
              <w:t>BRCA1</w:t>
            </w:r>
          </w:p>
          <w:p w14:paraId="48090F8E" w14:textId="77777777" w:rsidR="00BD14DF" w:rsidRPr="007B13AA" w:rsidRDefault="00BD14DF" w:rsidP="005069C9">
            <w:pPr>
              <w:rPr>
                <w:sz w:val="24"/>
                <w:szCs w:val="24"/>
              </w:rPr>
            </w:pPr>
            <w:r w:rsidRPr="007B13AA">
              <w:rPr>
                <w:sz w:val="24"/>
                <w:szCs w:val="24"/>
              </w:rPr>
              <w:t xml:space="preserve">BRCA2 </w:t>
            </w:r>
          </w:p>
        </w:tc>
        <w:tc>
          <w:tcPr>
            <w:tcW w:w="2635" w:type="dxa"/>
          </w:tcPr>
          <w:p w14:paraId="1EA68777" w14:textId="77777777" w:rsidR="00BD14DF" w:rsidRPr="007B13AA" w:rsidRDefault="00BD14DF" w:rsidP="005069C9">
            <w:pPr>
              <w:rPr>
                <w:sz w:val="24"/>
                <w:szCs w:val="24"/>
              </w:rPr>
            </w:pPr>
          </w:p>
        </w:tc>
      </w:tr>
      <w:tr w:rsidR="00BD14DF" w:rsidRPr="007B13AA" w14:paraId="1827C9F4" w14:textId="77777777" w:rsidTr="00BD14DF">
        <w:tc>
          <w:tcPr>
            <w:tcW w:w="2612" w:type="dxa"/>
          </w:tcPr>
          <w:p w14:paraId="3AF1005F" w14:textId="77777777" w:rsidR="00BD14DF" w:rsidRPr="007B13AA" w:rsidRDefault="00BD14DF" w:rsidP="005069C9">
            <w:pPr>
              <w:rPr>
                <w:sz w:val="24"/>
                <w:szCs w:val="24"/>
              </w:rPr>
            </w:pPr>
            <w:r w:rsidRPr="007B13AA">
              <w:rPr>
                <w:sz w:val="24"/>
                <w:szCs w:val="24"/>
              </w:rPr>
              <w:t xml:space="preserve">Ruiz A. </w:t>
            </w:r>
            <w:r w:rsidRPr="007B13AA">
              <w:rPr>
                <w:i/>
                <w:sz w:val="24"/>
                <w:szCs w:val="24"/>
              </w:rPr>
              <w:t>et al.</w:t>
            </w:r>
            <w:r w:rsidRPr="007B13AA">
              <w:rPr>
                <w:sz w:val="24"/>
                <w:szCs w:val="24"/>
              </w:rPr>
              <w:t xml:space="preserve"> Biomed Res Int. 2014:542541. doi: 10.1155/2014/542541. Epub 2014 Jun 26.</w:t>
            </w:r>
          </w:p>
        </w:tc>
        <w:tc>
          <w:tcPr>
            <w:tcW w:w="1182" w:type="dxa"/>
          </w:tcPr>
          <w:p w14:paraId="4AA816A6" w14:textId="77777777" w:rsidR="00BD14DF" w:rsidRPr="007B13AA" w:rsidRDefault="00BD14DF" w:rsidP="002F5A47">
            <w:pPr>
              <w:jc w:val="center"/>
              <w:rPr>
                <w:sz w:val="24"/>
                <w:szCs w:val="24"/>
              </w:rPr>
            </w:pPr>
            <w:r w:rsidRPr="007B13AA">
              <w:rPr>
                <w:sz w:val="24"/>
                <w:szCs w:val="24"/>
              </w:rPr>
              <w:t>100%</w:t>
            </w:r>
          </w:p>
        </w:tc>
        <w:tc>
          <w:tcPr>
            <w:tcW w:w="1276" w:type="dxa"/>
          </w:tcPr>
          <w:p w14:paraId="2D79CBDA" w14:textId="77777777" w:rsidR="00BD14DF" w:rsidRPr="00BA7E98" w:rsidRDefault="00BD14DF" w:rsidP="002F5A47">
            <w:pPr>
              <w:jc w:val="center"/>
              <w:rPr>
                <w:rFonts w:cstheme="minorHAnsi"/>
                <w:sz w:val="24"/>
                <w:szCs w:val="24"/>
              </w:rPr>
            </w:pPr>
            <w:r w:rsidRPr="00BA7E98">
              <w:rPr>
                <w:rFonts w:cstheme="minorHAnsi"/>
                <w:color w:val="000000"/>
                <w:sz w:val="24"/>
                <w:szCs w:val="24"/>
                <w:shd w:val="clear" w:color="auto" w:fill="FFFFFF"/>
              </w:rPr>
              <w:t>97.35%</w:t>
            </w:r>
          </w:p>
        </w:tc>
        <w:tc>
          <w:tcPr>
            <w:tcW w:w="1559" w:type="dxa"/>
          </w:tcPr>
          <w:p w14:paraId="348E331A" w14:textId="77777777" w:rsidR="00BD14DF" w:rsidRPr="007B13AA" w:rsidRDefault="00BD14DF" w:rsidP="005069C9">
            <w:pPr>
              <w:rPr>
                <w:sz w:val="24"/>
                <w:szCs w:val="24"/>
              </w:rPr>
            </w:pPr>
            <w:r w:rsidRPr="007B13AA">
              <w:rPr>
                <w:sz w:val="24"/>
                <w:szCs w:val="24"/>
              </w:rPr>
              <w:t>BRCA1</w:t>
            </w:r>
          </w:p>
          <w:p w14:paraId="4E4B3C2B" w14:textId="77777777" w:rsidR="00BD14DF" w:rsidRPr="007B13AA" w:rsidRDefault="00BD14DF" w:rsidP="005069C9">
            <w:pPr>
              <w:rPr>
                <w:sz w:val="24"/>
                <w:szCs w:val="24"/>
              </w:rPr>
            </w:pPr>
            <w:r w:rsidRPr="007B13AA">
              <w:rPr>
                <w:sz w:val="24"/>
                <w:szCs w:val="24"/>
              </w:rPr>
              <w:t>BRCA2</w:t>
            </w:r>
          </w:p>
        </w:tc>
        <w:tc>
          <w:tcPr>
            <w:tcW w:w="2635" w:type="dxa"/>
          </w:tcPr>
          <w:p w14:paraId="375021A7" w14:textId="77777777" w:rsidR="00BD14DF" w:rsidRPr="007B13AA" w:rsidRDefault="00BD14DF" w:rsidP="005069C9">
            <w:pPr>
              <w:rPr>
                <w:sz w:val="24"/>
                <w:szCs w:val="24"/>
              </w:rPr>
            </w:pPr>
          </w:p>
        </w:tc>
      </w:tr>
      <w:tr w:rsidR="00BD14DF" w:rsidRPr="007B13AA" w14:paraId="2E952A24" w14:textId="77777777" w:rsidTr="00BD14DF">
        <w:tc>
          <w:tcPr>
            <w:tcW w:w="2612" w:type="dxa"/>
          </w:tcPr>
          <w:p w14:paraId="497B57A7" w14:textId="73BFD9D3" w:rsidR="00BD14DF" w:rsidRPr="007B13AA" w:rsidRDefault="00BD14DF" w:rsidP="00BD14DF">
            <w:pPr>
              <w:ind w:right="-156"/>
              <w:rPr>
                <w:sz w:val="24"/>
                <w:szCs w:val="24"/>
              </w:rPr>
            </w:pPr>
            <w:r w:rsidRPr="007B13AA">
              <w:rPr>
                <w:sz w:val="24"/>
                <w:szCs w:val="24"/>
              </w:rPr>
              <w:t xml:space="preserve">Guan Y. </w:t>
            </w:r>
            <w:r w:rsidRPr="007B13AA">
              <w:rPr>
                <w:i/>
                <w:sz w:val="24"/>
                <w:szCs w:val="24"/>
              </w:rPr>
              <w:t>et al.</w:t>
            </w:r>
            <w:r w:rsidRPr="007B13AA">
              <w:rPr>
                <w:sz w:val="24"/>
                <w:szCs w:val="24"/>
              </w:rPr>
              <w:t xml:space="preserve"> Fam Cancer. 2015 14(1):9-18.</w:t>
            </w:r>
          </w:p>
        </w:tc>
        <w:tc>
          <w:tcPr>
            <w:tcW w:w="1182" w:type="dxa"/>
          </w:tcPr>
          <w:p w14:paraId="1BDE7C7C" w14:textId="77777777" w:rsidR="00BD14DF" w:rsidRPr="007B13AA" w:rsidRDefault="00BD14DF" w:rsidP="002F5A47">
            <w:pPr>
              <w:jc w:val="center"/>
              <w:rPr>
                <w:sz w:val="24"/>
                <w:szCs w:val="24"/>
              </w:rPr>
            </w:pPr>
            <w:r w:rsidRPr="007B13AA">
              <w:rPr>
                <w:sz w:val="24"/>
                <w:szCs w:val="24"/>
              </w:rPr>
              <w:t>93.66%</w:t>
            </w:r>
          </w:p>
        </w:tc>
        <w:tc>
          <w:tcPr>
            <w:tcW w:w="1276" w:type="dxa"/>
          </w:tcPr>
          <w:p w14:paraId="415A5A38" w14:textId="77777777" w:rsidR="00BD14DF" w:rsidRPr="007B13AA" w:rsidRDefault="00BD14DF" w:rsidP="002F5A47">
            <w:pPr>
              <w:jc w:val="center"/>
              <w:rPr>
                <w:sz w:val="24"/>
                <w:szCs w:val="24"/>
              </w:rPr>
            </w:pPr>
            <w:r w:rsidRPr="007B13AA">
              <w:rPr>
                <w:sz w:val="24"/>
                <w:szCs w:val="24"/>
              </w:rPr>
              <w:t>99.98%</w:t>
            </w:r>
          </w:p>
        </w:tc>
        <w:tc>
          <w:tcPr>
            <w:tcW w:w="1559" w:type="dxa"/>
          </w:tcPr>
          <w:p w14:paraId="4243E086" w14:textId="77777777" w:rsidR="00BD14DF" w:rsidRPr="007B13AA" w:rsidRDefault="00BD14DF" w:rsidP="005069C9">
            <w:pPr>
              <w:rPr>
                <w:sz w:val="24"/>
                <w:szCs w:val="24"/>
              </w:rPr>
            </w:pPr>
            <w:r w:rsidRPr="007B13AA">
              <w:rPr>
                <w:sz w:val="24"/>
                <w:szCs w:val="24"/>
              </w:rPr>
              <w:t>BRCA1</w:t>
            </w:r>
          </w:p>
          <w:p w14:paraId="410947C7" w14:textId="77777777" w:rsidR="00BD14DF" w:rsidRPr="007B13AA" w:rsidRDefault="00BD14DF" w:rsidP="005069C9">
            <w:pPr>
              <w:rPr>
                <w:sz w:val="24"/>
                <w:szCs w:val="24"/>
              </w:rPr>
            </w:pPr>
            <w:r w:rsidRPr="007B13AA">
              <w:rPr>
                <w:sz w:val="24"/>
                <w:szCs w:val="24"/>
              </w:rPr>
              <w:t>BRCA2</w:t>
            </w:r>
          </w:p>
        </w:tc>
        <w:tc>
          <w:tcPr>
            <w:tcW w:w="2635" w:type="dxa"/>
          </w:tcPr>
          <w:p w14:paraId="1C1361A1" w14:textId="6CD41A60" w:rsidR="00BD14DF" w:rsidRPr="007B13AA" w:rsidRDefault="00BD14DF" w:rsidP="00BD14DF">
            <w:pPr>
              <w:rPr>
                <w:sz w:val="24"/>
                <w:szCs w:val="24"/>
              </w:rPr>
            </w:pPr>
            <w:r w:rsidRPr="007B13AA">
              <w:rPr>
                <w:sz w:val="24"/>
                <w:szCs w:val="24"/>
              </w:rPr>
              <w:t>Accuracy evaluated at 99.97%</w:t>
            </w:r>
          </w:p>
        </w:tc>
      </w:tr>
      <w:tr w:rsidR="00BD14DF" w:rsidRPr="007B13AA" w14:paraId="05B99445" w14:textId="77777777" w:rsidTr="00BD14DF">
        <w:tc>
          <w:tcPr>
            <w:tcW w:w="2612" w:type="dxa"/>
          </w:tcPr>
          <w:p w14:paraId="2B7E79F3" w14:textId="77777777" w:rsidR="00BD14DF" w:rsidRPr="007B13AA" w:rsidRDefault="00BD14DF" w:rsidP="005069C9">
            <w:pPr>
              <w:rPr>
                <w:sz w:val="24"/>
                <w:szCs w:val="24"/>
              </w:rPr>
            </w:pPr>
            <w:r w:rsidRPr="007B13AA">
              <w:rPr>
                <w:sz w:val="24"/>
                <w:szCs w:val="24"/>
              </w:rPr>
              <w:t xml:space="preserve">Judkins T. </w:t>
            </w:r>
            <w:r w:rsidRPr="007B13AA">
              <w:rPr>
                <w:i/>
                <w:sz w:val="24"/>
                <w:szCs w:val="24"/>
              </w:rPr>
              <w:t xml:space="preserve">et al. </w:t>
            </w:r>
            <w:r w:rsidRPr="007B13AA">
              <w:rPr>
                <w:sz w:val="24"/>
                <w:szCs w:val="24"/>
              </w:rPr>
              <w:t>BMC Cancer. 2015; 15: 215.</w:t>
            </w:r>
          </w:p>
        </w:tc>
        <w:tc>
          <w:tcPr>
            <w:tcW w:w="1182" w:type="dxa"/>
          </w:tcPr>
          <w:p w14:paraId="2E193512" w14:textId="77777777" w:rsidR="00BD14DF" w:rsidRPr="007B13AA" w:rsidRDefault="00BD14DF" w:rsidP="002F5A47">
            <w:pPr>
              <w:jc w:val="center"/>
              <w:rPr>
                <w:sz w:val="24"/>
                <w:szCs w:val="24"/>
              </w:rPr>
            </w:pPr>
            <w:r w:rsidRPr="007B13AA">
              <w:rPr>
                <w:color w:val="000000"/>
                <w:sz w:val="24"/>
                <w:szCs w:val="24"/>
                <w:shd w:val="clear" w:color="auto" w:fill="FFFFFF"/>
              </w:rPr>
              <w:t>99.92%</w:t>
            </w:r>
          </w:p>
        </w:tc>
        <w:tc>
          <w:tcPr>
            <w:tcW w:w="1276" w:type="dxa"/>
          </w:tcPr>
          <w:p w14:paraId="1815CC8E" w14:textId="1F528DB2" w:rsidR="00BD14DF" w:rsidRPr="007B13AA" w:rsidRDefault="00BD14DF" w:rsidP="002F5A47">
            <w:pPr>
              <w:jc w:val="center"/>
              <w:rPr>
                <w:sz w:val="24"/>
                <w:szCs w:val="24"/>
              </w:rPr>
            </w:pPr>
            <w:r w:rsidRPr="007B13AA">
              <w:rPr>
                <w:color w:val="000000"/>
                <w:sz w:val="24"/>
                <w:szCs w:val="24"/>
                <w:shd w:val="clear" w:color="auto" w:fill="FFFFFF"/>
              </w:rPr>
              <w:t>99.99%</w:t>
            </w:r>
          </w:p>
        </w:tc>
        <w:tc>
          <w:tcPr>
            <w:tcW w:w="1559" w:type="dxa"/>
          </w:tcPr>
          <w:p w14:paraId="17553556" w14:textId="77777777" w:rsidR="00BD14DF" w:rsidRPr="007B13AA" w:rsidRDefault="00BD14DF" w:rsidP="005069C9">
            <w:pPr>
              <w:rPr>
                <w:sz w:val="24"/>
                <w:szCs w:val="24"/>
              </w:rPr>
            </w:pPr>
            <w:r w:rsidRPr="007B13AA">
              <w:rPr>
                <w:sz w:val="24"/>
                <w:szCs w:val="24"/>
              </w:rPr>
              <w:t>25 gene inherited cancer panel including BRCA1 and BRCA2, PALB2, ATM, TP53</w:t>
            </w:r>
          </w:p>
        </w:tc>
        <w:tc>
          <w:tcPr>
            <w:tcW w:w="2635" w:type="dxa"/>
          </w:tcPr>
          <w:p w14:paraId="3AEBDE3D" w14:textId="77777777" w:rsidR="00BD14DF" w:rsidRPr="007B13AA" w:rsidRDefault="00BD14DF" w:rsidP="005069C9">
            <w:pPr>
              <w:rPr>
                <w:sz w:val="24"/>
                <w:szCs w:val="24"/>
              </w:rPr>
            </w:pPr>
            <w:r w:rsidRPr="007B13AA">
              <w:rPr>
                <w:sz w:val="24"/>
                <w:szCs w:val="24"/>
              </w:rPr>
              <w:t>Comprehensive comparative analysis comparing NGS results for BRCA1 and BRCA2 with Sanger sequencing in 1864 patients who had undergone previous clinical testing</w:t>
            </w:r>
          </w:p>
        </w:tc>
      </w:tr>
    </w:tbl>
    <w:p w14:paraId="07230969" w14:textId="62635D6E" w:rsidR="00E50905" w:rsidRPr="00E50905" w:rsidRDefault="00E50905" w:rsidP="006F19B7">
      <w:pPr>
        <w:pStyle w:val="Heading3"/>
      </w:pPr>
      <w:r>
        <w:rPr>
          <w:rStyle w:val="Heading3Char"/>
          <w:b/>
          <w:bCs/>
          <w:i/>
        </w:rPr>
        <w:t>2.1.2</w:t>
      </w:r>
      <w:r>
        <w:rPr>
          <w:rStyle w:val="Heading3Char"/>
          <w:b/>
          <w:bCs/>
          <w:i/>
        </w:rPr>
        <w:tab/>
      </w:r>
      <w:r w:rsidR="00907D85" w:rsidRPr="00E50905">
        <w:rPr>
          <w:rStyle w:val="Heading3Char"/>
          <w:b/>
          <w:bCs/>
          <w:i/>
        </w:rPr>
        <w:t>Analytical validity not possible</w:t>
      </w:r>
      <w:r w:rsidR="00A47534" w:rsidRPr="00E50905">
        <w:t xml:space="preserve"> </w:t>
      </w:r>
    </w:p>
    <w:p w14:paraId="2B4AC220" w14:textId="662CC57A" w:rsidR="00907D85" w:rsidRPr="00E50905" w:rsidRDefault="00A47534" w:rsidP="00E50905">
      <w:pPr>
        <w:keepNext/>
        <w:spacing w:before="200" w:after="0"/>
        <w:rPr>
          <w:b/>
          <w:sz w:val="24"/>
          <w:szCs w:val="24"/>
        </w:rPr>
      </w:pPr>
      <w:r w:rsidRPr="00E50905">
        <w:rPr>
          <w:i/>
          <w:sz w:val="24"/>
          <w:szCs w:val="24"/>
        </w:rPr>
        <w:t>(to be answered if 2</w:t>
      </w:r>
      <w:r w:rsidR="003D5812" w:rsidRPr="00E50905">
        <w:rPr>
          <w:i/>
          <w:sz w:val="24"/>
          <w:szCs w:val="24"/>
        </w:rPr>
        <w:t>.1 was marked “no”)</w:t>
      </w:r>
    </w:p>
    <w:p w14:paraId="6E060CE1" w14:textId="571F06A0" w:rsidR="00907D85" w:rsidRPr="007B13AA" w:rsidRDefault="00907D85" w:rsidP="00907D85">
      <w:pPr>
        <w:rPr>
          <w:sz w:val="24"/>
          <w:szCs w:val="24"/>
        </w:rPr>
      </w:pPr>
      <w:r w:rsidRPr="007B13AA">
        <w:rPr>
          <w:i/>
          <w:sz w:val="24"/>
          <w:szCs w:val="24"/>
        </w:rPr>
        <w:t>Present</w:t>
      </w:r>
      <w:r w:rsidRPr="007B13AA">
        <w:rPr>
          <w:rFonts w:ascii="Times New Roman" w:hAnsi="Times New Roman"/>
          <w:sz w:val="24"/>
        </w:rPr>
        <w:t xml:space="preserve"> </w:t>
      </w:r>
      <w:r w:rsidRPr="007B13AA">
        <w:rPr>
          <w:i/>
          <w:sz w:val="24"/>
          <w:szCs w:val="24"/>
        </w:rPr>
        <w:t>analytical concordance across testing options (using proportions with their 95% CI and/or kappa statistics):</w:t>
      </w:r>
      <w:r w:rsidRPr="007B13AA">
        <w:rPr>
          <w:sz w:val="24"/>
          <w:szCs w:val="24"/>
        </w:rPr>
        <w:t xml:space="preserve"> </w:t>
      </w:r>
      <w:r w:rsidR="00A47534" w:rsidRPr="007B13AA">
        <w:rPr>
          <w:sz w:val="24"/>
          <w:szCs w:val="24"/>
        </w:rPr>
        <w:t>not applicable.</w:t>
      </w:r>
    </w:p>
    <w:p w14:paraId="36708793" w14:textId="3A68B2FA" w:rsidR="00907D85" w:rsidRPr="007B13AA" w:rsidRDefault="00907D85" w:rsidP="00AB2A0B">
      <w:pPr>
        <w:rPr>
          <w:sz w:val="24"/>
          <w:szCs w:val="24"/>
        </w:rPr>
      </w:pPr>
      <w:r w:rsidRPr="007B13AA">
        <w:rPr>
          <w:i/>
          <w:sz w:val="24"/>
          <w:szCs w:val="24"/>
        </w:rPr>
        <w:t>Present analytical reproducibility of each testing option (using proportions with their 95% CI and/or kappa statistics):</w:t>
      </w:r>
      <w:r w:rsidRPr="007B13AA">
        <w:rPr>
          <w:sz w:val="24"/>
          <w:szCs w:val="24"/>
        </w:rPr>
        <w:t xml:space="preserve"> </w:t>
      </w:r>
      <w:r w:rsidR="00A47534" w:rsidRPr="007B13AA">
        <w:rPr>
          <w:sz w:val="24"/>
          <w:szCs w:val="24"/>
        </w:rPr>
        <w:t>not applicable.</w:t>
      </w:r>
    </w:p>
    <w:p w14:paraId="0249E323" w14:textId="5DA6F63D" w:rsidR="00AB2A0B" w:rsidRPr="007B13AA" w:rsidRDefault="00907D85" w:rsidP="00AB2A0B">
      <w:pPr>
        <w:rPr>
          <w:sz w:val="24"/>
          <w:szCs w:val="24"/>
        </w:rPr>
      </w:pPr>
      <w:r w:rsidRPr="007B13AA">
        <w:rPr>
          <w:i/>
          <w:sz w:val="24"/>
          <w:szCs w:val="24"/>
        </w:rPr>
        <w:t>Present inter-rater or inter-laboratory reliability of each testing option (using kappa statistics):</w:t>
      </w:r>
      <w:r w:rsidRPr="007B13AA">
        <w:rPr>
          <w:sz w:val="24"/>
          <w:szCs w:val="24"/>
        </w:rPr>
        <w:t xml:space="preserve"> </w:t>
      </w:r>
      <w:r w:rsidR="00A47534" w:rsidRPr="007B13AA">
        <w:rPr>
          <w:sz w:val="24"/>
          <w:szCs w:val="24"/>
        </w:rPr>
        <w:t>not applicable.</w:t>
      </w:r>
    </w:p>
    <w:p w14:paraId="160DDE75" w14:textId="69415EB2" w:rsidR="00907D85" w:rsidRPr="007B13AA" w:rsidRDefault="00AB2A0B" w:rsidP="00AB2A0B">
      <w:pPr>
        <w:rPr>
          <w:sz w:val="24"/>
          <w:szCs w:val="24"/>
        </w:rPr>
      </w:pPr>
      <w:r w:rsidRPr="007B13AA">
        <w:rPr>
          <w:i/>
          <w:sz w:val="24"/>
          <w:szCs w:val="24"/>
        </w:rPr>
        <w:t>Present the limit of detection of each testing option:</w:t>
      </w:r>
      <w:r w:rsidRPr="007B13AA">
        <w:rPr>
          <w:sz w:val="24"/>
          <w:szCs w:val="24"/>
        </w:rPr>
        <w:t xml:space="preserve"> </w:t>
      </w:r>
      <w:r w:rsidR="00A47534" w:rsidRPr="007B13AA">
        <w:rPr>
          <w:sz w:val="24"/>
          <w:szCs w:val="24"/>
        </w:rPr>
        <w:t>not applicable.</w:t>
      </w:r>
    </w:p>
    <w:p w14:paraId="23D2B3AC" w14:textId="77777777" w:rsidR="00907D85" w:rsidRPr="007B13AA" w:rsidRDefault="00907D85" w:rsidP="003258A6">
      <w:pPr>
        <w:pStyle w:val="ListParagraph"/>
        <w:keepNext/>
        <w:numPr>
          <w:ilvl w:val="1"/>
          <w:numId w:val="15"/>
        </w:numPr>
        <w:ind w:left="709" w:hanging="709"/>
        <w:rPr>
          <w:b/>
          <w:sz w:val="24"/>
          <w:szCs w:val="24"/>
        </w:rPr>
      </w:pPr>
      <w:r w:rsidRPr="007B13AA">
        <w:rPr>
          <w:b/>
          <w:sz w:val="24"/>
          <w:szCs w:val="24"/>
        </w:rPr>
        <w:t>Clinical validity</w:t>
      </w:r>
    </w:p>
    <w:p w14:paraId="262B2879" w14:textId="7A47DE07" w:rsidR="005069C9" w:rsidRPr="00332A72" w:rsidRDefault="009C774E" w:rsidP="005069C9">
      <w:pPr>
        <w:contextualSpacing/>
        <w:rPr>
          <w:sz w:val="24"/>
          <w:szCs w:val="24"/>
        </w:rPr>
      </w:pPr>
      <w:r w:rsidRPr="00332A72">
        <w:rPr>
          <w:i/>
          <w:sz w:val="24"/>
          <w:szCs w:val="24"/>
        </w:rPr>
        <w:t>[</w:t>
      </w:r>
      <w:r w:rsidR="005069C9" w:rsidRPr="00332A72">
        <w:rPr>
          <w:i/>
          <w:sz w:val="24"/>
          <w:szCs w:val="24"/>
        </w:rPr>
        <w:t>Clinical validity is assessed in terms of variation in risk of future events between a cohort of affected individuals who test positive for the “star performer” mutation</w:t>
      </w:r>
      <w:r w:rsidRPr="00332A72">
        <w:rPr>
          <w:i/>
          <w:sz w:val="24"/>
          <w:szCs w:val="24"/>
        </w:rPr>
        <w:t>(s)</w:t>
      </w:r>
      <w:r w:rsidR="005069C9" w:rsidRPr="00332A72">
        <w:rPr>
          <w:i/>
          <w:sz w:val="24"/>
          <w:szCs w:val="24"/>
        </w:rPr>
        <w:t xml:space="preserve"> and a cohort of affected individuals who test negative for the “star performer” </w:t>
      </w:r>
      <w:r w:rsidRPr="00332A72">
        <w:rPr>
          <w:i/>
          <w:sz w:val="24"/>
          <w:szCs w:val="24"/>
        </w:rPr>
        <w:t>mutation(s)</w:t>
      </w:r>
      <w:r w:rsidR="005069C9" w:rsidRPr="00332A72">
        <w:rPr>
          <w:i/>
          <w:sz w:val="24"/>
          <w:szCs w:val="24"/>
        </w:rPr>
        <w:t>.</w:t>
      </w:r>
      <w:r w:rsidRPr="00332A72">
        <w:rPr>
          <w:i/>
          <w:sz w:val="24"/>
          <w:szCs w:val="24"/>
        </w:rPr>
        <w:t>]</w:t>
      </w:r>
    </w:p>
    <w:p w14:paraId="6543A380" w14:textId="77777777" w:rsidR="00907D85" w:rsidRPr="007B13AA" w:rsidRDefault="00907D85" w:rsidP="003258A6">
      <w:pPr>
        <w:pStyle w:val="ListParagraph"/>
        <w:keepNext/>
        <w:numPr>
          <w:ilvl w:val="2"/>
          <w:numId w:val="21"/>
        </w:numPr>
        <w:spacing w:before="200" w:after="0"/>
        <w:ind w:left="709" w:hanging="709"/>
        <w:rPr>
          <w:b/>
          <w:sz w:val="24"/>
          <w:szCs w:val="24"/>
        </w:rPr>
      </w:pPr>
      <w:r w:rsidRPr="007B13AA">
        <w:rPr>
          <w:b/>
          <w:i/>
          <w:sz w:val="24"/>
          <w:szCs w:val="24"/>
        </w:rPr>
        <w:t>Definition of clinical event used to determine clinical validity of the test in an affected individual:</w:t>
      </w:r>
      <w:r w:rsidRPr="007B13AA">
        <w:rPr>
          <w:sz w:val="24"/>
          <w:szCs w:val="24"/>
        </w:rPr>
        <w:t xml:space="preserve"> </w:t>
      </w:r>
    </w:p>
    <w:p w14:paraId="6EE4536B" w14:textId="6F808DED" w:rsidR="00907D85" w:rsidRPr="007B13AA" w:rsidRDefault="00907D85" w:rsidP="00907D85">
      <w:pPr>
        <w:rPr>
          <w:i/>
          <w:sz w:val="24"/>
          <w:szCs w:val="24"/>
        </w:rPr>
      </w:pPr>
      <w:r w:rsidRPr="007B13AA">
        <w:rPr>
          <w:i/>
          <w:sz w:val="24"/>
          <w:szCs w:val="24"/>
        </w:rPr>
        <w:t xml:space="preserve">[Possible events include developing a </w:t>
      </w:r>
      <w:r w:rsidRPr="00BA7E98">
        <w:rPr>
          <w:i/>
          <w:sz w:val="24"/>
          <w:szCs w:val="24"/>
        </w:rPr>
        <w:t xml:space="preserve">new </w:t>
      </w:r>
      <w:r w:rsidR="00332A72" w:rsidRPr="00BA7E98">
        <w:rPr>
          <w:i/>
          <w:sz w:val="24"/>
          <w:szCs w:val="24"/>
        </w:rPr>
        <w:t>clinical event related to the disease</w:t>
      </w:r>
      <w:r w:rsidRPr="00BA7E98">
        <w:rPr>
          <w:i/>
          <w:sz w:val="24"/>
          <w:szCs w:val="24"/>
        </w:rPr>
        <w:t>, or death.]</w:t>
      </w:r>
    </w:p>
    <w:p w14:paraId="65012A16" w14:textId="78B8722B" w:rsidR="003C4A66" w:rsidRPr="007B13AA" w:rsidRDefault="003C4A66" w:rsidP="003C4A66">
      <w:pPr>
        <w:rPr>
          <w:sz w:val="24"/>
          <w:szCs w:val="24"/>
        </w:rPr>
      </w:pPr>
      <w:r w:rsidRPr="007B13AA">
        <w:rPr>
          <w:sz w:val="24"/>
          <w:szCs w:val="24"/>
        </w:rPr>
        <w:t xml:space="preserve">Women with a diagnosis of breast cancer represent the greatest proportion of affected individuals. For these individuals the key clinical event is the occurrence of a metachronous second primary cancer, most commonly contralateral breast cancer (CBC) or serous ovarian </w:t>
      </w:r>
      <w:r w:rsidRPr="007B13AA">
        <w:rPr>
          <w:sz w:val="24"/>
          <w:szCs w:val="24"/>
        </w:rPr>
        <w:lastRenderedPageBreak/>
        <w:t>cancer. Available data on the incidence of ovarian cancer in mutation carriers frequently does not distinguish between the risk in unaffected women and the risk of ovarian cancer as a second primary. In contrast there is extensive published data on the rate of CBC and this will be used to evaluate clinic validity.</w:t>
      </w:r>
    </w:p>
    <w:p w14:paraId="48611B9E" w14:textId="77777777" w:rsidR="00907D85" w:rsidRPr="007B13AA" w:rsidRDefault="00907D85" w:rsidP="003258A6">
      <w:pPr>
        <w:pStyle w:val="ListParagraph"/>
        <w:keepNext/>
        <w:numPr>
          <w:ilvl w:val="2"/>
          <w:numId w:val="21"/>
        </w:numPr>
        <w:spacing w:before="200" w:after="0"/>
        <w:ind w:left="709" w:hanging="709"/>
        <w:rPr>
          <w:b/>
          <w:sz w:val="24"/>
          <w:szCs w:val="24"/>
        </w:rPr>
      </w:pPr>
      <w:r w:rsidRPr="007B13AA">
        <w:rPr>
          <w:b/>
          <w:i/>
          <w:sz w:val="24"/>
          <w:szCs w:val="24"/>
        </w:rPr>
        <w:t>Ratio of clinical events occurring in affected individuals who test positive to events occurring in affected individuals who test negative:</w:t>
      </w:r>
      <w:r w:rsidRPr="007B13AA">
        <w:rPr>
          <w:sz w:val="24"/>
          <w:szCs w:val="24"/>
        </w:rPr>
        <w:t xml:space="preserve"> </w:t>
      </w:r>
    </w:p>
    <w:p w14:paraId="506D5E08" w14:textId="4FEEBAD3" w:rsidR="00907D85" w:rsidRPr="007B13AA" w:rsidRDefault="00907D85" w:rsidP="00907D85">
      <w:pPr>
        <w:rPr>
          <w:i/>
          <w:sz w:val="24"/>
          <w:szCs w:val="24"/>
        </w:rPr>
      </w:pPr>
      <w:r w:rsidRPr="007B13AA">
        <w:rPr>
          <w:i/>
          <w:sz w:val="24"/>
          <w:szCs w:val="24"/>
        </w:rPr>
        <w:t>[Depending on the event and the type of cohort study or studies available, ratios can be presented as an odds ratios (OR), relative risk (RR), or hazard ratio (HR).</w:t>
      </w:r>
      <w:r w:rsidR="009F7E7D">
        <w:rPr>
          <w:i/>
          <w:sz w:val="24"/>
          <w:szCs w:val="24"/>
        </w:rPr>
        <w:t xml:space="preserve"> Also report the rate of development of the clinical event in either </w:t>
      </w:r>
      <w:r w:rsidR="009F7E7D" w:rsidRPr="00ED5804">
        <w:rPr>
          <w:i/>
          <w:sz w:val="24"/>
          <w:szCs w:val="24"/>
        </w:rPr>
        <w:t xml:space="preserve">mutation test-positive </w:t>
      </w:r>
      <w:r w:rsidR="009F7E7D">
        <w:rPr>
          <w:i/>
          <w:sz w:val="24"/>
          <w:szCs w:val="24"/>
        </w:rPr>
        <w:t>affected individuals or</w:t>
      </w:r>
      <w:r w:rsidR="009F7E7D" w:rsidRPr="00ED5804">
        <w:rPr>
          <w:i/>
          <w:sz w:val="24"/>
          <w:szCs w:val="24"/>
        </w:rPr>
        <w:t xml:space="preserve"> </w:t>
      </w:r>
      <w:r w:rsidR="009F7E7D">
        <w:rPr>
          <w:i/>
          <w:sz w:val="24"/>
          <w:szCs w:val="24"/>
        </w:rPr>
        <w:t xml:space="preserve">mutation </w:t>
      </w:r>
      <w:r w:rsidR="009F7E7D" w:rsidRPr="00ED5804">
        <w:rPr>
          <w:i/>
          <w:sz w:val="24"/>
          <w:szCs w:val="24"/>
        </w:rPr>
        <w:t xml:space="preserve">test-negative affected </w:t>
      </w:r>
      <w:r w:rsidR="009F7E7D">
        <w:rPr>
          <w:i/>
          <w:sz w:val="24"/>
          <w:szCs w:val="24"/>
        </w:rPr>
        <w:t>individuals.</w:t>
      </w:r>
      <w:r w:rsidRPr="007B13AA">
        <w:rPr>
          <w:i/>
          <w:sz w:val="24"/>
          <w:szCs w:val="24"/>
        </w:rPr>
        <w:t>]</w:t>
      </w:r>
    </w:p>
    <w:p w14:paraId="5700D634" w14:textId="43D246BF" w:rsidR="003C4A66" w:rsidRDefault="003C4A66" w:rsidP="00907D85">
      <w:pPr>
        <w:rPr>
          <w:sz w:val="24"/>
          <w:szCs w:val="24"/>
        </w:rPr>
      </w:pPr>
      <w:r w:rsidRPr="007B13AA">
        <w:rPr>
          <w:sz w:val="24"/>
          <w:szCs w:val="24"/>
        </w:rPr>
        <w:t>The risk of CBC is elevated for carriers of both BRCA1 and BRCA2. The risk is greatest for women who have a first diagnosis of breast cancer at an early age (&lt; 50 years), but remains elevated at all ages. Representative data from the largest published cohort (Rhiem et al., Breast Cancer Res 2012 14:R156) is shown below:</w:t>
      </w:r>
    </w:p>
    <w:p w14:paraId="12ABC185" w14:textId="622BBC51" w:rsidR="00463D83" w:rsidRPr="007B13AA" w:rsidRDefault="00463D83" w:rsidP="00463D83">
      <w:pPr>
        <w:spacing w:after="0"/>
        <w:rPr>
          <w:sz w:val="24"/>
          <w:szCs w:val="24"/>
        </w:rPr>
      </w:pPr>
      <w:r w:rsidRPr="007B13AA">
        <w:rPr>
          <w:rFonts w:ascii="Calibri" w:eastAsia="Times New Roman" w:hAnsi="Calibri" w:cs="Times New Roman"/>
          <w:b/>
          <w:color w:val="000000"/>
        </w:rPr>
        <w:t>15-year risk of contralateral breast cancer in non-familial breast cancer and affected BRCA1 and BRCA2 mutation carriers</w:t>
      </w:r>
    </w:p>
    <w:tbl>
      <w:tblPr>
        <w:tblStyle w:val="TableGrid"/>
        <w:tblW w:w="9640" w:type="dxa"/>
        <w:tblInd w:w="-176" w:type="dxa"/>
        <w:tblLayout w:type="fixed"/>
        <w:tblLook w:val="04A0" w:firstRow="1" w:lastRow="0" w:firstColumn="1" w:lastColumn="0" w:noHBand="0" w:noVBand="1"/>
        <w:tblDescription w:val="15-year risk of contralateral breast cancer in non-familial breast cancer and affected BRCA1 and BRCA2 mutation carriers. The table shows the cumulative risk for patient populations with a BRCA1 or BRCA2 mutation and less than 40 years, between 40-49 years and 50 years or older."/>
      </w:tblPr>
      <w:tblGrid>
        <w:gridCol w:w="1418"/>
        <w:gridCol w:w="1276"/>
        <w:gridCol w:w="1276"/>
        <w:gridCol w:w="1276"/>
        <w:gridCol w:w="899"/>
        <w:gridCol w:w="1276"/>
        <w:gridCol w:w="1227"/>
        <w:gridCol w:w="992"/>
      </w:tblGrid>
      <w:tr w:rsidR="00452D22" w:rsidRPr="007B13AA" w14:paraId="39731803" w14:textId="77777777" w:rsidTr="00853793">
        <w:trPr>
          <w:trHeight w:val="560"/>
          <w:tblHeader/>
        </w:trPr>
        <w:tc>
          <w:tcPr>
            <w:tcW w:w="1418" w:type="dxa"/>
            <w:vAlign w:val="bottom"/>
            <w:hideMark/>
          </w:tcPr>
          <w:p w14:paraId="162943AF" w14:textId="649AFB86" w:rsidR="003C4A66" w:rsidRPr="007B13AA" w:rsidRDefault="003C4A66" w:rsidP="00853793">
            <w:pPr>
              <w:jc w:val="right"/>
              <w:rPr>
                <w:rFonts w:ascii="Calibri" w:eastAsia="Times New Roman" w:hAnsi="Calibri" w:cs="Times New Roman"/>
                <w:color w:val="000000"/>
              </w:rPr>
            </w:pPr>
            <w:r w:rsidRPr="007B13AA">
              <w:rPr>
                <w:rFonts w:ascii="Calibri" w:eastAsia="Times New Roman" w:hAnsi="Calibri" w:cs="Times New Roman"/>
                <w:color w:val="000000"/>
              </w:rPr>
              <w:t xml:space="preserve">Age </w:t>
            </w:r>
            <w:r w:rsidR="00452D22" w:rsidRPr="007B13AA">
              <w:rPr>
                <w:rFonts w:ascii="Calibri" w:eastAsia="Times New Roman" w:hAnsi="Calibri" w:cs="Times New Roman"/>
                <w:color w:val="000000"/>
              </w:rPr>
              <w:t>a</w:t>
            </w:r>
            <w:r w:rsidRPr="007B13AA">
              <w:rPr>
                <w:rFonts w:ascii="Calibri" w:eastAsia="Times New Roman" w:hAnsi="Calibri" w:cs="Times New Roman"/>
                <w:color w:val="000000"/>
              </w:rPr>
              <w:t>ffected</w:t>
            </w:r>
          </w:p>
        </w:tc>
        <w:tc>
          <w:tcPr>
            <w:tcW w:w="1276" w:type="dxa"/>
            <w:noWrap/>
            <w:hideMark/>
          </w:tcPr>
          <w:p w14:paraId="48164F4A" w14:textId="0FD0121C" w:rsidR="003C4A66" w:rsidRPr="007B13AA" w:rsidRDefault="00853793" w:rsidP="00452D22">
            <w:pPr>
              <w:jc w:val="center"/>
              <w:rPr>
                <w:rFonts w:ascii="Calibri" w:eastAsia="Times New Roman" w:hAnsi="Calibri" w:cs="Times New Roman"/>
                <w:color w:val="000000"/>
              </w:rPr>
            </w:pPr>
            <w:r w:rsidRPr="007B13AA">
              <w:rPr>
                <w:rFonts w:ascii="Calibri" w:eastAsia="Times New Roman" w:hAnsi="Calibri" w:cs="Times New Roman"/>
                <w:color w:val="000000"/>
              </w:rPr>
              <w:t>Population breast ca</w:t>
            </w:r>
            <w:r w:rsidRPr="007B13AA">
              <w:rPr>
                <w:rFonts w:ascii="Calibri" w:eastAsia="Times New Roman" w:hAnsi="Calibri" w:cs="Times New Roman"/>
                <w:color w:val="000000"/>
                <w:vertAlign w:val="superscript"/>
              </w:rPr>
              <w:t>1</w:t>
            </w:r>
            <w:r>
              <w:rPr>
                <w:rFonts w:ascii="Calibri" w:eastAsia="Times New Roman" w:hAnsi="Calibri" w:cs="Times New Roman"/>
                <w:color w:val="000000"/>
                <w:vertAlign w:val="superscript"/>
              </w:rPr>
              <w:t xml:space="preserve"> </w:t>
            </w:r>
            <w:r w:rsidR="003C4A66" w:rsidRPr="007B13AA">
              <w:rPr>
                <w:rFonts w:ascii="Calibri" w:eastAsia="Times New Roman" w:hAnsi="Calibri" w:cs="Times New Roman"/>
                <w:color w:val="000000"/>
              </w:rPr>
              <w:t>Cum</w:t>
            </w:r>
            <w:r w:rsidR="00452D22" w:rsidRPr="007B13AA">
              <w:rPr>
                <w:rFonts w:ascii="Calibri" w:eastAsia="Times New Roman" w:hAnsi="Calibri" w:cs="Times New Roman"/>
                <w:color w:val="000000"/>
              </w:rPr>
              <w:t>ulative</w:t>
            </w:r>
            <w:r w:rsidR="003C4A66" w:rsidRPr="007B13AA">
              <w:rPr>
                <w:rFonts w:ascii="Calibri" w:eastAsia="Times New Roman" w:hAnsi="Calibri" w:cs="Times New Roman"/>
                <w:color w:val="000000"/>
              </w:rPr>
              <w:t xml:space="preserve"> </w:t>
            </w:r>
            <w:r w:rsidR="00452D22" w:rsidRPr="007B13AA">
              <w:rPr>
                <w:rFonts w:ascii="Calibri" w:eastAsia="Times New Roman" w:hAnsi="Calibri" w:cs="Times New Roman"/>
                <w:color w:val="000000"/>
              </w:rPr>
              <w:t>r</w:t>
            </w:r>
            <w:r w:rsidR="003C4A66" w:rsidRPr="007B13AA">
              <w:rPr>
                <w:rFonts w:ascii="Calibri" w:eastAsia="Times New Roman" w:hAnsi="Calibri" w:cs="Times New Roman"/>
                <w:color w:val="000000"/>
              </w:rPr>
              <w:t>isk %</w:t>
            </w:r>
          </w:p>
        </w:tc>
        <w:tc>
          <w:tcPr>
            <w:tcW w:w="1276" w:type="dxa"/>
            <w:noWrap/>
            <w:hideMark/>
          </w:tcPr>
          <w:p w14:paraId="05ECA670" w14:textId="77777777" w:rsidR="00853793" w:rsidRDefault="00853793" w:rsidP="003C4A66">
            <w:pPr>
              <w:jc w:val="center"/>
              <w:rPr>
                <w:rFonts w:ascii="Calibri" w:eastAsia="Times New Roman" w:hAnsi="Calibri" w:cs="Times New Roman"/>
                <w:color w:val="000000"/>
                <w:vertAlign w:val="superscript"/>
              </w:rPr>
            </w:pPr>
            <w:r w:rsidRPr="007B13AA">
              <w:rPr>
                <w:rFonts w:ascii="Calibri" w:eastAsia="Times New Roman" w:hAnsi="Calibri" w:cs="Times New Roman"/>
                <w:iCs/>
                <w:color w:val="000000"/>
              </w:rPr>
              <w:t>BRCA1</w:t>
            </w:r>
            <w:r w:rsidRPr="007B13AA">
              <w:rPr>
                <w:rFonts w:ascii="Calibri" w:eastAsia="Times New Roman" w:hAnsi="Calibri" w:cs="Times New Roman"/>
                <w:color w:val="000000"/>
                <w:vertAlign w:val="superscript"/>
              </w:rPr>
              <w:t>2</w:t>
            </w:r>
          </w:p>
          <w:p w14:paraId="1AECA500" w14:textId="62B9BFD2"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Cum</w:t>
            </w:r>
            <w:r w:rsidR="00452D22" w:rsidRPr="007B13AA">
              <w:rPr>
                <w:rFonts w:ascii="Calibri" w:eastAsia="Times New Roman" w:hAnsi="Calibri" w:cs="Times New Roman"/>
                <w:color w:val="000000"/>
              </w:rPr>
              <w:t>ulative r</w:t>
            </w:r>
            <w:r w:rsidRPr="007B13AA">
              <w:rPr>
                <w:rFonts w:ascii="Calibri" w:eastAsia="Times New Roman" w:hAnsi="Calibri" w:cs="Times New Roman"/>
                <w:color w:val="000000"/>
              </w:rPr>
              <w:t>isk %</w:t>
            </w:r>
          </w:p>
        </w:tc>
        <w:tc>
          <w:tcPr>
            <w:tcW w:w="1276" w:type="dxa"/>
            <w:noWrap/>
            <w:hideMark/>
          </w:tcPr>
          <w:p w14:paraId="395634F1" w14:textId="77777777" w:rsidR="00853793" w:rsidRDefault="00853793" w:rsidP="003C4A66">
            <w:pPr>
              <w:jc w:val="center"/>
              <w:rPr>
                <w:rFonts w:ascii="Calibri" w:eastAsia="Times New Roman" w:hAnsi="Calibri" w:cs="Times New Roman"/>
                <w:color w:val="000000"/>
                <w:vertAlign w:val="superscript"/>
              </w:rPr>
            </w:pPr>
            <w:r w:rsidRPr="007B13AA">
              <w:rPr>
                <w:rFonts w:ascii="Calibri" w:eastAsia="Times New Roman" w:hAnsi="Calibri" w:cs="Times New Roman"/>
                <w:iCs/>
                <w:color w:val="000000"/>
              </w:rPr>
              <w:t>BRCA1</w:t>
            </w:r>
            <w:r w:rsidRPr="007B13AA">
              <w:rPr>
                <w:rFonts w:ascii="Calibri" w:eastAsia="Times New Roman" w:hAnsi="Calibri" w:cs="Times New Roman"/>
                <w:color w:val="000000"/>
                <w:vertAlign w:val="superscript"/>
              </w:rPr>
              <w:t>2</w:t>
            </w:r>
          </w:p>
          <w:p w14:paraId="03829FAF" w14:textId="3B39C270"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95%CI</w:t>
            </w:r>
          </w:p>
        </w:tc>
        <w:tc>
          <w:tcPr>
            <w:tcW w:w="899" w:type="dxa"/>
            <w:noWrap/>
            <w:hideMark/>
          </w:tcPr>
          <w:p w14:paraId="3F3EE4CD" w14:textId="77777777" w:rsidR="00853793" w:rsidRDefault="00853793" w:rsidP="003C4A66">
            <w:pPr>
              <w:jc w:val="center"/>
              <w:rPr>
                <w:rFonts w:ascii="Calibri" w:eastAsia="Times New Roman" w:hAnsi="Calibri" w:cs="Times New Roman"/>
                <w:color w:val="000000"/>
                <w:vertAlign w:val="superscript"/>
              </w:rPr>
            </w:pPr>
            <w:r w:rsidRPr="007B13AA">
              <w:rPr>
                <w:rFonts w:ascii="Calibri" w:eastAsia="Times New Roman" w:hAnsi="Calibri" w:cs="Times New Roman"/>
                <w:iCs/>
                <w:color w:val="000000"/>
              </w:rPr>
              <w:t>BRCA1</w:t>
            </w:r>
            <w:r w:rsidRPr="007B13AA">
              <w:rPr>
                <w:rFonts w:ascii="Calibri" w:eastAsia="Times New Roman" w:hAnsi="Calibri" w:cs="Times New Roman"/>
                <w:color w:val="000000"/>
                <w:vertAlign w:val="superscript"/>
              </w:rPr>
              <w:t>2</w:t>
            </w:r>
          </w:p>
          <w:p w14:paraId="4534B645" w14:textId="6ADC5108"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RR</w:t>
            </w:r>
          </w:p>
        </w:tc>
        <w:tc>
          <w:tcPr>
            <w:tcW w:w="1276" w:type="dxa"/>
            <w:noWrap/>
            <w:hideMark/>
          </w:tcPr>
          <w:p w14:paraId="2F7733A4" w14:textId="77777777" w:rsidR="00853793" w:rsidRDefault="00853793" w:rsidP="00452D22">
            <w:pPr>
              <w:jc w:val="center"/>
              <w:rPr>
                <w:rFonts w:ascii="Calibri" w:eastAsia="Times New Roman" w:hAnsi="Calibri" w:cs="Times New Roman"/>
                <w:color w:val="000000"/>
                <w:vertAlign w:val="superscript"/>
              </w:rPr>
            </w:pPr>
            <w:r w:rsidRPr="007B13AA">
              <w:rPr>
                <w:rFonts w:ascii="Calibri" w:eastAsia="Times New Roman" w:hAnsi="Calibri" w:cs="Times New Roman"/>
                <w:iCs/>
                <w:color w:val="000000"/>
              </w:rPr>
              <w:t>BRCA2</w:t>
            </w:r>
            <w:r w:rsidRPr="007B13AA">
              <w:rPr>
                <w:rFonts w:ascii="Calibri" w:eastAsia="Times New Roman" w:hAnsi="Calibri" w:cs="Times New Roman"/>
                <w:color w:val="000000"/>
                <w:vertAlign w:val="superscript"/>
              </w:rPr>
              <w:t>2</w:t>
            </w:r>
          </w:p>
          <w:p w14:paraId="124149AA" w14:textId="0B04DA32" w:rsidR="003C4A66" w:rsidRPr="007B13AA" w:rsidRDefault="003C4A66" w:rsidP="00452D22">
            <w:pPr>
              <w:jc w:val="center"/>
              <w:rPr>
                <w:rFonts w:ascii="Calibri" w:eastAsia="Times New Roman" w:hAnsi="Calibri" w:cs="Times New Roman"/>
                <w:color w:val="000000"/>
              </w:rPr>
            </w:pPr>
            <w:r w:rsidRPr="007B13AA">
              <w:rPr>
                <w:rFonts w:ascii="Calibri" w:eastAsia="Times New Roman" w:hAnsi="Calibri" w:cs="Times New Roman"/>
                <w:color w:val="000000"/>
              </w:rPr>
              <w:t>Cum</w:t>
            </w:r>
            <w:r w:rsidR="00452D22" w:rsidRPr="007B13AA">
              <w:rPr>
                <w:rFonts w:ascii="Calibri" w:eastAsia="Times New Roman" w:hAnsi="Calibri" w:cs="Times New Roman"/>
                <w:color w:val="000000"/>
              </w:rPr>
              <w:t>ulative</w:t>
            </w:r>
            <w:r w:rsidRPr="007B13AA">
              <w:rPr>
                <w:rFonts w:ascii="Calibri" w:eastAsia="Times New Roman" w:hAnsi="Calibri" w:cs="Times New Roman"/>
                <w:color w:val="000000"/>
              </w:rPr>
              <w:t xml:space="preserve"> </w:t>
            </w:r>
            <w:r w:rsidR="00452D22" w:rsidRPr="007B13AA">
              <w:rPr>
                <w:rFonts w:ascii="Calibri" w:eastAsia="Times New Roman" w:hAnsi="Calibri" w:cs="Times New Roman"/>
                <w:color w:val="000000"/>
              </w:rPr>
              <w:t>r</w:t>
            </w:r>
            <w:r w:rsidRPr="007B13AA">
              <w:rPr>
                <w:rFonts w:ascii="Calibri" w:eastAsia="Times New Roman" w:hAnsi="Calibri" w:cs="Times New Roman"/>
                <w:color w:val="000000"/>
              </w:rPr>
              <w:t>isk %</w:t>
            </w:r>
          </w:p>
        </w:tc>
        <w:tc>
          <w:tcPr>
            <w:tcW w:w="1227" w:type="dxa"/>
            <w:noWrap/>
            <w:hideMark/>
          </w:tcPr>
          <w:p w14:paraId="53BBAE27" w14:textId="77777777" w:rsidR="00853793" w:rsidRDefault="00853793" w:rsidP="003C4A66">
            <w:pPr>
              <w:jc w:val="center"/>
              <w:rPr>
                <w:rFonts w:ascii="Calibri" w:eastAsia="Times New Roman" w:hAnsi="Calibri" w:cs="Times New Roman"/>
                <w:color w:val="000000"/>
                <w:vertAlign w:val="superscript"/>
              </w:rPr>
            </w:pPr>
            <w:r w:rsidRPr="007B13AA">
              <w:rPr>
                <w:rFonts w:ascii="Calibri" w:eastAsia="Times New Roman" w:hAnsi="Calibri" w:cs="Times New Roman"/>
                <w:iCs/>
                <w:color w:val="000000"/>
              </w:rPr>
              <w:t>BRCA2</w:t>
            </w:r>
            <w:r w:rsidRPr="007B13AA">
              <w:rPr>
                <w:rFonts w:ascii="Calibri" w:eastAsia="Times New Roman" w:hAnsi="Calibri" w:cs="Times New Roman"/>
                <w:color w:val="000000"/>
                <w:vertAlign w:val="superscript"/>
              </w:rPr>
              <w:t>2</w:t>
            </w:r>
          </w:p>
          <w:p w14:paraId="6DB3B501" w14:textId="6214F2B8"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95%CI</w:t>
            </w:r>
          </w:p>
        </w:tc>
        <w:tc>
          <w:tcPr>
            <w:tcW w:w="992" w:type="dxa"/>
            <w:noWrap/>
            <w:hideMark/>
          </w:tcPr>
          <w:p w14:paraId="045B56D0" w14:textId="77777777" w:rsidR="00853793" w:rsidRDefault="00853793" w:rsidP="003C4A66">
            <w:pPr>
              <w:jc w:val="center"/>
              <w:rPr>
                <w:rFonts w:ascii="Calibri" w:eastAsia="Times New Roman" w:hAnsi="Calibri" w:cs="Times New Roman"/>
                <w:color w:val="000000"/>
                <w:vertAlign w:val="superscript"/>
              </w:rPr>
            </w:pPr>
            <w:r w:rsidRPr="007B13AA">
              <w:rPr>
                <w:rFonts w:ascii="Calibri" w:eastAsia="Times New Roman" w:hAnsi="Calibri" w:cs="Times New Roman"/>
                <w:iCs/>
                <w:color w:val="000000"/>
              </w:rPr>
              <w:t>BRCA2</w:t>
            </w:r>
            <w:r w:rsidRPr="007B13AA">
              <w:rPr>
                <w:rFonts w:ascii="Calibri" w:eastAsia="Times New Roman" w:hAnsi="Calibri" w:cs="Times New Roman"/>
                <w:color w:val="000000"/>
                <w:vertAlign w:val="superscript"/>
              </w:rPr>
              <w:t>2</w:t>
            </w:r>
          </w:p>
          <w:p w14:paraId="2233D4B0" w14:textId="3F1E20A3"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RR</w:t>
            </w:r>
          </w:p>
        </w:tc>
      </w:tr>
      <w:tr w:rsidR="00452D22" w:rsidRPr="007B13AA" w14:paraId="5B24173C" w14:textId="77777777" w:rsidTr="00853793">
        <w:trPr>
          <w:trHeight w:val="300"/>
        </w:trPr>
        <w:tc>
          <w:tcPr>
            <w:tcW w:w="1418" w:type="dxa"/>
            <w:noWrap/>
            <w:hideMark/>
          </w:tcPr>
          <w:p w14:paraId="0F6D0E26"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Any</w:t>
            </w:r>
          </w:p>
        </w:tc>
        <w:tc>
          <w:tcPr>
            <w:tcW w:w="1276" w:type="dxa"/>
            <w:noWrap/>
            <w:hideMark/>
          </w:tcPr>
          <w:p w14:paraId="65C48039"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8.4</w:t>
            </w:r>
          </w:p>
        </w:tc>
        <w:tc>
          <w:tcPr>
            <w:tcW w:w="1276" w:type="dxa"/>
            <w:noWrap/>
            <w:hideMark/>
          </w:tcPr>
          <w:p w14:paraId="3E78024B"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28.7</w:t>
            </w:r>
          </w:p>
        </w:tc>
        <w:tc>
          <w:tcPr>
            <w:tcW w:w="1276" w:type="dxa"/>
            <w:noWrap/>
            <w:hideMark/>
          </w:tcPr>
          <w:p w14:paraId="1CFCCD31"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(24.4-32.9)</w:t>
            </w:r>
          </w:p>
        </w:tc>
        <w:tc>
          <w:tcPr>
            <w:tcW w:w="899" w:type="dxa"/>
            <w:noWrap/>
            <w:hideMark/>
          </w:tcPr>
          <w:p w14:paraId="29589164"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3.4</w:t>
            </w:r>
          </w:p>
        </w:tc>
        <w:tc>
          <w:tcPr>
            <w:tcW w:w="1276" w:type="dxa"/>
            <w:noWrap/>
            <w:hideMark/>
          </w:tcPr>
          <w:p w14:paraId="45CE72D5"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19</w:t>
            </w:r>
          </w:p>
        </w:tc>
        <w:tc>
          <w:tcPr>
            <w:tcW w:w="1227" w:type="dxa"/>
            <w:noWrap/>
            <w:hideMark/>
          </w:tcPr>
          <w:p w14:paraId="1C18367D"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(13.5-24.4)</w:t>
            </w:r>
          </w:p>
        </w:tc>
        <w:tc>
          <w:tcPr>
            <w:tcW w:w="992" w:type="dxa"/>
            <w:noWrap/>
            <w:hideMark/>
          </w:tcPr>
          <w:p w14:paraId="67EF1C78"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2.3</w:t>
            </w:r>
          </w:p>
        </w:tc>
      </w:tr>
      <w:tr w:rsidR="00452D22" w:rsidRPr="007B13AA" w14:paraId="2D654230" w14:textId="77777777" w:rsidTr="00853793">
        <w:trPr>
          <w:trHeight w:val="300"/>
        </w:trPr>
        <w:tc>
          <w:tcPr>
            <w:tcW w:w="1418" w:type="dxa"/>
            <w:noWrap/>
            <w:hideMark/>
          </w:tcPr>
          <w:p w14:paraId="1C50D50B" w14:textId="62F6A743"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&lt;</w:t>
            </w:r>
            <w:r w:rsidR="00452D22" w:rsidRPr="007B13AA">
              <w:rPr>
                <w:rFonts w:ascii="Calibri" w:eastAsia="Times New Roman" w:hAnsi="Calibri" w:cs="Times New Roman"/>
                <w:color w:val="000000"/>
              </w:rPr>
              <w:t> </w:t>
            </w:r>
            <w:r w:rsidRPr="007B13AA">
              <w:rPr>
                <w:rFonts w:ascii="Calibri" w:eastAsia="Times New Roman" w:hAnsi="Calibri" w:cs="Times New Roman"/>
                <w:color w:val="000000"/>
              </w:rPr>
              <w:t>40</w:t>
            </w:r>
            <w:r w:rsidR="00452D22" w:rsidRPr="007B13AA">
              <w:rPr>
                <w:rFonts w:ascii="Calibri" w:eastAsia="Times New Roman" w:hAnsi="Calibri" w:cs="Times New Roman"/>
                <w:color w:val="000000"/>
              </w:rPr>
              <w:t xml:space="preserve"> </w:t>
            </w:r>
            <w:r w:rsidRPr="007B13AA">
              <w:rPr>
                <w:rFonts w:ascii="Calibri" w:eastAsia="Times New Roman" w:hAnsi="Calibri" w:cs="Times New Roman"/>
                <w:color w:val="000000"/>
              </w:rPr>
              <w:t>y</w:t>
            </w:r>
            <w:r w:rsidR="00452D22" w:rsidRPr="007B13AA">
              <w:rPr>
                <w:rFonts w:ascii="Calibri" w:eastAsia="Times New Roman" w:hAnsi="Calibri" w:cs="Times New Roman"/>
                <w:color w:val="000000"/>
              </w:rPr>
              <w:t>ea</w:t>
            </w:r>
            <w:r w:rsidRPr="007B13AA">
              <w:rPr>
                <w:rFonts w:ascii="Calibri" w:eastAsia="Times New Roman" w:hAnsi="Calibri" w:cs="Times New Roman"/>
                <w:color w:val="000000"/>
              </w:rPr>
              <w:t>r</w:t>
            </w:r>
            <w:r w:rsidR="00452D22" w:rsidRPr="007B13AA">
              <w:rPr>
                <w:rFonts w:ascii="Calibri" w:eastAsia="Times New Roman" w:hAnsi="Calibri" w:cs="Times New Roman"/>
                <w:color w:val="000000"/>
              </w:rPr>
              <w:t>s</w:t>
            </w:r>
          </w:p>
        </w:tc>
        <w:tc>
          <w:tcPr>
            <w:tcW w:w="1276" w:type="dxa"/>
            <w:noWrap/>
            <w:hideMark/>
          </w:tcPr>
          <w:p w14:paraId="6409D4EB"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8.5</w:t>
            </w:r>
          </w:p>
        </w:tc>
        <w:tc>
          <w:tcPr>
            <w:tcW w:w="1276" w:type="dxa"/>
            <w:noWrap/>
            <w:hideMark/>
          </w:tcPr>
          <w:p w14:paraId="683A37FA"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40.8</w:t>
            </w:r>
          </w:p>
        </w:tc>
        <w:tc>
          <w:tcPr>
            <w:tcW w:w="1276" w:type="dxa"/>
            <w:noWrap/>
            <w:hideMark/>
          </w:tcPr>
          <w:p w14:paraId="1C824E49"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(33.2-48.3)</w:t>
            </w:r>
          </w:p>
        </w:tc>
        <w:tc>
          <w:tcPr>
            <w:tcW w:w="899" w:type="dxa"/>
            <w:noWrap/>
            <w:hideMark/>
          </w:tcPr>
          <w:p w14:paraId="4E01FF8A"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4.8</w:t>
            </w:r>
          </w:p>
        </w:tc>
        <w:tc>
          <w:tcPr>
            <w:tcW w:w="1276" w:type="dxa"/>
            <w:noWrap/>
            <w:hideMark/>
          </w:tcPr>
          <w:p w14:paraId="3DB533BD"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20.9</w:t>
            </w:r>
          </w:p>
        </w:tc>
        <w:tc>
          <w:tcPr>
            <w:tcW w:w="1227" w:type="dxa"/>
            <w:noWrap/>
            <w:hideMark/>
          </w:tcPr>
          <w:p w14:paraId="6B8EB4FF"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(9.7-32.1)</w:t>
            </w:r>
          </w:p>
        </w:tc>
        <w:tc>
          <w:tcPr>
            <w:tcW w:w="992" w:type="dxa"/>
            <w:noWrap/>
            <w:hideMark/>
          </w:tcPr>
          <w:p w14:paraId="5CC28495"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2.5</w:t>
            </w:r>
          </w:p>
        </w:tc>
      </w:tr>
      <w:tr w:rsidR="00452D22" w:rsidRPr="007B13AA" w14:paraId="47849F32" w14:textId="77777777" w:rsidTr="00853793">
        <w:trPr>
          <w:trHeight w:val="300"/>
        </w:trPr>
        <w:tc>
          <w:tcPr>
            <w:tcW w:w="1418" w:type="dxa"/>
            <w:noWrap/>
            <w:hideMark/>
          </w:tcPr>
          <w:p w14:paraId="20A90128" w14:textId="2B7B9AB8"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40-49</w:t>
            </w:r>
            <w:r w:rsidR="00452D22" w:rsidRPr="007B13AA">
              <w:rPr>
                <w:rFonts w:ascii="Calibri" w:eastAsia="Times New Roman" w:hAnsi="Calibri" w:cs="Times New Roman"/>
                <w:color w:val="000000"/>
              </w:rPr>
              <w:t xml:space="preserve"> years</w:t>
            </w:r>
          </w:p>
        </w:tc>
        <w:tc>
          <w:tcPr>
            <w:tcW w:w="1276" w:type="dxa"/>
            <w:noWrap/>
            <w:hideMark/>
          </w:tcPr>
          <w:p w14:paraId="0E9E2D95"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8.5</w:t>
            </w:r>
          </w:p>
        </w:tc>
        <w:tc>
          <w:tcPr>
            <w:tcW w:w="1276" w:type="dxa"/>
            <w:noWrap/>
            <w:hideMark/>
          </w:tcPr>
          <w:p w14:paraId="65475CA2"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23.2</w:t>
            </w:r>
          </w:p>
        </w:tc>
        <w:tc>
          <w:tcPr>
            <w:tcW w:w="1276" w:type="dxa"/>
            <w:noWrap/>
            <w:hideMark/>
          </w:tcPr>
          <w:p w14:paraId="7DB992D5"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(16.9-29.6)</w:t>
            </w:r>
          </w:p>
        </w:tc>
        <w:tc>
          <w:tcPr>
            <w:tcW w:w="899" w:type="dxa"/>
            <w:noWrap/>
            <w:hideMark/>
          </w:tcPr>
          <w:p w14:paraId="5342E95E"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2.7</w:t>
            </w:r>
          </w:p>
        </w:tc>
        <w:tc>
          <w:tcPr>
            <w:tcW w:w="1276" w:type="dxa"/>
            <w:noWrap/>
            <w:hideMark/>
          </w:tcPr>
          <w:p w14:paraId="48FF9BE1"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22</w:t>
            </w:r>
          </w:p>
        </w:tc>
        <w:tc>
          <w:tcPr>
            <w:tcW w:w="1227" w:type="dxa"/>
            <w:noWrap/>
            <w:hideMark/>
          </w:tcPr>
          <w:p w14:paraId="110BF3B0"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(12.1-31.9)</w:t>
            </w:r>
          </w:p>
        </w:tc>
        <w:tc>
          <w:tcPr>
            <w:tcW w:w="992" w:type="dxa"/>
            <w:noWrap/>
            <w:hideMark/>
          </w:tcPr>
          <w:p w14:paraId="12905E76"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2.6</w:t>
            </w:r>
          </w:p>
        </w:tc>
      </w:tr>
      <w:tr w:rsidR="00452D22" w:rsidRPr="007B13AA" w14:paraId="3972A484" w14:textId="77777777" w:rsidTr="00853793">
        <w:trPr>
          <w:trHeight w:val="300"/>
        </w:trPr>
        <w:tc>
          <w:tcPr>
            <w:tcW w:w="1418" w:type="dxa"/>
            <w:noWrap/>
            <w:hideMark/>
          </w:tcPr>
          <w:p w14:paraId="45DC2232" w14:textId="20514415" w:rsidR="003C4A66" w:rsidRPr="007B13AA" w:rsidRDefault="00452D22" w:rsidP="00452D22">
            <w:pPr>
              <w:jc w:val="center"/>
              <w:rPr>
                <w:rFonts w:ascii="Calibri" w:eastAsia="Times New Roman" w:hAnsi="Calibri" w:cs="Times New Roman"/>
                <w:color w:val="000000"/>
              </w:rPr>
            </w:pPr>
            <w:r w:rsidRPr="007B13AA">
              <w:rPr>
                <w:rFonts w:ascii="Calibri" w:eastAsia="Times New Roman" w:hAnsi="Calibri" w:cs="Times New Roman"/>
                <w:color w:val="000000"/>
              </w:rPr>
              <w:t>≥ </w:t>
            </w:r>
            <w:r w:rsidR="003C4A66" w:rsidRPr="007B13AA">
              <w:rPr>
                <w:rFonts w:ascii="Calibri" w:eastAsia="Times New Roman" w:hAnsi="Calibri" w:cs="Times New Roman"/>
                <w:color w:val="000000"/>
              </w:rPr>
              <w:t>50</w:t>
            </w:r>
            <w:r w:rsidRPr="007B13AA">
              <w:rPr>
                <w:rFonts w:ascii="Calibri" w:eastAsia="Times New Roman" w:hAnsi="Calibri" w:cs="Times New Roman"/>
                <w:color w:val="000000"/>
              </w:rPr>
              <w:t xml:space="preserve"> years</w:t>
            </w:r>
          </w:p>
        </w:tc>
        <w:tc>
          <w:tcPr>
            <w:tcW w:w="1276" w:type="dxa"/>
            <w:noWrap/>
            <w:hideMark/>
          </w:tcPr>
          <w:p w14:paraId="2918BA9F"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8.4</w:t>
            </w:r>
          </w:p>
        </w:tc>
        <w:tc>
          <w:tcPr>
            <w:tcW w:w="1276" w:type="dxa"/>
            <w:noWrap/>
            <w:hideMark/>
          </w:tcPr>
          <w:p w14:paraId="34BC332A"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18.7</w:t>
            </w:r>
          </w:p>
        </w:tc>
        <w:tc>
          <w:tcPr>
            <w:tcW w:w="1276" w:type="dxa"/>
            <w:noWrap/>
            <w:hideMark/>
          </w:tcPr>
          <w:p w14:paraId="33039E16"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(11.0-26,3)</w:t>
            </w:r>
          </w:p>
        </w:tc>
        <w:tc>
          <w:tcPr>
            <w:tcW w:w="899" w:type="dxa"/>
            <w:noWrap/>
            <w:hideMark/>
          </w:tcPr>
          <w:p w14:paraId="2CD484F0"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2.2</w:t>
            </w:r>
          </w:p>
        </w:tc>
        <w:tc>
          <w:tcPr>
            <w:tcW w:w="1276" w:type="dxa"/>
            <w:noWrap/>
            <w:hideMark/>
          </w:tcPr>
          <w:p w14:paraId="6FFCC7F2"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15.5</w:t>
            </w:r>
          </w:p>
        </w:tc>
        <w:tc>
          <w:tcPr>
            <w:tcW w:w="1227" w:type="dxa"/>
            <w:noWrap/>
            <w:hideMark/>
          </w:tcPr>
          <w:p w14:paraId="4F8F8A2C" w14:textId="77777777" w:rsidR="003C4A66" w:rsidRPr="007B13AA" w:rsidRDefault="003C4A66" w:rsidP="003C4A66">
            <w:pPr>
              <w:jc w:val="center"/>
              <w:rPr>
                <w:rFonts w:ascii="Calibri" w:eastAsia="Times New Roman" w:hAnsi="Calibri" w:cs="Times New Roman"/>
                <w:color w:val="000000"/>
              </w:rPr>
            </w:pPr>
            <w:r w:rsidRPr="007B13AA">
              <w:rPr>
                <w:rFonts w:ascii="Calibri" w:eastAsia="Times New Roman" w:hAnsi="Calibri" w:cs="Times New Roman"/>
                <w:color w:val="000000"/>
              </w:rPr>
              <w:t>(7.8-23.3)</w:t>
            </w:r>
          </w:p>
        </w:tc>
        <w:tc>
          <w:tcPr>
            <w:tcW w:w="992" w:type="dxa"/>
            <w:noWrap/>
            <w:hideMark/>
          </w:tcPr>
          <w:p w14:paraId="50B48C2E" w14:textId="77777777" w:rsidR="003C4A66" w:rsidRPr="007B13AA" w:rsidRDefault="003C4A66" w:rsidP="003C4A66">
            <w:pPr>
              <w:jc w:val="center"/>
              <w:rPr>
                <w:rFonts w:ascii="Calibri" w:eastAsia="Times New Roman" w:hAnsi="Calibri" w:cs="Times New Roman"/>
                <w:b/>
                <w:bCs/>
                <w:color w:val="000000"/>
              </w:rPr>
            </w:pPr>
            <w:r w:rsidRPr="007B13AA">
              <w:rPr>
                <w:rFonts w:ascii="Calibri" w:eastAsia="Times New Roman" w:hAnsi="Calibri" w:cs="Times New Roman"/>
                <w:b/>
                <w:bCs/>
                <w:color w:val="000000"/>
              </w:rPr>
              <w:t>1.8</w:t>
            </w:r>
          </w:p>
        </w:tc>
      </w:tr>
    </w:tbl>
    <w:p w14:paraId="74F0F502" w14:textId="7E1E33B1" w:rsidR="003C4A66" w:rsidRPr="007B13AA" w:rsidRDefault="003C4A66" w:rsidP="00907D85">
      <w:pPr>
        <w:rPr>
          <w:rFonts w:ascii="Calibri" w:hAnsi="Calibri" w:cs="Calibri"/>
        </w:rPr>
      </w:pPr>
      <w:r w:rsidRPr="007B13AA">
        <w:rPr>
          <w:rFonts w:ascii="Calibri" w:hAnsi="Calibri" w:cs="Calibri"/>
          <w:vertAlign w:val="superscript"/>
        </w:rPr>
        <w:t>1</w:t>
      </w:r>
      <w:r w:rsidRPr="007B13AA">
        <w:rPr>
          <w:rFonts w:ascii="Calibri" w:hAnsi="Calibri" w:cs="Calibri"/>
        </w:rPr>
        <w:t xml:space="preserve">Breast cancer in women without a strong family history. Figures from: Narod et al., Clin Genet 2015 Apr 29. doi: 10.1111/cge.12604 </w:t>
      </w:r>
      <w:r w:rsidRPr="007B13AA">
        <w:rPr>
          <w:rFonts w:ascii="Calibri" w:hAnsi="Calibri" w:cs="Calibri"/>
          <w:vertAlign w:val="superscript"/>
        </w:rPr>
        <w:t>2</w:t>
      </w:r>
      <w:r w:rsidRPr="007B13AA">
        <w:rPr>
          <w:rFonts w:ascii="Calibri" w:hAnsi="Calibri" w:cs="Calibri"/>
        </w:rPr>
        <w:t>Rhiem et al., 2012 Breast Cancer Res 14(6) R156</w:t>
      </w:r>
    </w:p>
    <w:p w14:paraId="659D1A63" w14:textId="33FD55EE" w:rsidR="003C4A66" w:rsidRPr="007B13AA" w:rsidRDefault="003C4A66" w:rsidP="003C4A66">
      <w:pPr>
        <w:widowControl w:val="0"/>
        <w:autoSpaceDE w:val="0"/>
        <w:autoSpaceDN w:val="0"/>
        <w:adjustRightInd w:val="0"/>
        <w:rPr>
          <w:rFonts w:ascii="Calibri" w:hAnsi="Calibri" w:cs="Calibri"/>
          <w:sz w:val="24"/>
          <w:szCs w:val="24"/>
        </w:rPr>
      </w:pPr>
      <w:r w:rsidRPr="007B13AA">
        <w:rPr>
          <w:rFonts w:ascii="Calibri" w:hAnsi="Calibri" w:cs="Calibri"/>
          <w:sz w:val="24"/>
          <w:szCs w:val="24"/>
        </w:rPr>
        <w:t>The level of risk, variation with age of first breast cancer diagnosis</w:t>
      </w:r>
      <w:r w:rsidR="00452D22" w:rsidRPr="007B13AA">
        <w:rPr>
          <w:rFonts w:ascii="Calibri" w:hAnsi="Calibri" w:cs="Calibri"/>
          <w:sz w:val="24"/>
          <w:szCs w:val="24"/>
        </w:rPr>
        <w:t>,</w:t>
      </w:r>
      <w:r w:rsidRPr="007B13AA">
        <w:rPr>
          <w:rFonts w:ascii="Calibri" w:hAnsi="Calibri" w:cs="Calibri"/>
          <w:sz w:val="24"/>
          <w:szCs w:val="24"/>
        </w:rPr>
        <w:t xml:space="preserve"> and variation between carriers of mutations in BRCA1 and BRCA2 have been confirmed in prospective studies and a meta-analysis of published data (Molina-Montes et al., The Breast 2014 23:721-742).</w:t>
      </w:r>
    </w:p>
    <w:p w14:paraId="0EBD2663" w14:textId="77777777" w:rsidR="00907D85" w:rsidRPr="007B13AA" w:rsidRDefault="00907D85" w:rsidP="003258A6">
      <w:pPr>
        <w:pStyle w:val="ListParagraph"/>
        <w:keepNext/>
        <w:numPr>
          <w:ilvl w:val="2"/>
          <w:numId w:val="21"/>
        </w:numPr>
        <w:spacing w:before="200" w:after="0"/>
        <w:ind w:left="709" w:hanging="709"/>
        <w:rPr>
          <w:b/>
          <w:sz w:val="24"/>
          <w:szCs w:val="24"/>
        </w:rPr>
      </w:pPr>
      <w:r w:rsidRPr="007B13AA">
        <w:rPr>
          <w:b/>
          <w:i/>
          <w:sz w:val="24"/>
          <w:szCs w:val="24"/>
        </w:rPr>
        <w:t>Mean or median duration of follow-up across the cohort study associated with this ratio:</w:t>
      </w:r>
      <w:r w:rsidRPr="007B13AA">
        <w:rPr>
          <w:sz w:val="24"/>
          <w:szCs w:val="24"/>
        </w:rPr>
        <w:t xml:space="preserve"> </w:t>
      </w:r>
    </w:p>
    <w:p w14:paraId="09765067" w14:textId="77777777" w:rsidR="00907D85" w:rsidRPr="007B13AA" w:rsidRDefault="00907D85" w:rsidP="00907D85">
      <w:pPr>
        <w:rPr>
          <w:i/>
          <w:sz w:val="24"/>
          <w:szCs w:val="24"/>
        </w:rPr>
      </w:pPr>
      <w:r w:rsidRPr="007B13AA">
        <w:rPr>
          <w:i/>
          <w:sz w:val="24"/>
          <w:szCs w:val="24"/>
        </w:rPr>
        <w:t>[Preferably, more than one ratio should be reported for more than one time point.]</w:t>
      </w:r>
    </w:p>
    <w:p w14:paraId="59A6E76B" w14:textId="058521EF" w:rsidR="00BB61B0" w:rsidRPr="007B13AA" w:rsidRDefault="00BB61B0" w:rsidP="00907D85">
      <w:pPr>
        <w:rPr>
          <w:sz w:val="24"/>
          <w:szCs w:val="24"/>
        </w:rPr>
      </w:pPr>
      <w:r w:rsidRPr="007B13AA">
        <w:rPr>
          <w:sz w:val="24"/>
          <w:szCs w:val="24"/>
        </w:rPr>
        <w:t>The relative risks are estimated from 6235 BRCA1/BRCA2 carriers with a mean follow up of 7.76 years (48,390 person-years of observation).</w:t>
      </w:r>
    </w:p>
    <w:p w14:paraId="1AF727E2" w14:textId="77777777" w:rsidR="00907D85" w:rsidRPr="007B13AA" w:rsidRDefault="00907D85" w:rsidP="003258A6">
      <w:pPr>
        <w:pStyle w:val="ListParagraph"/>
        <w:keepNext/>
        <w:numPr>
          <w:ilvl w:val="2"/>
          <w:numId w:val="21"/>
        </w:numPr>
        <w:spacing w:before="200" w:after="0"/>
        <w:ind w:left="709" w:hanging="709"/>
        <w:rPr>
          <w:b/>
          <w:sz w:val="24"/>
          <w:szCs w:val="24"/>
        </w:rPr>
      </w:pPr>
      <w:r w:rsidRPr="007B13AA">
        <w:rPr>
          <w:b/>
          <w:i/>
          <w:sz w:val="24"/>
          <w:szCs w:val="24"/>
        </w:rPr>
        <w:t>Mean or median age across the cohort study associated with this ratio:</w:t>
      </w:r>
      <w:r w:rsidRPr="007B13AA">
        <w:rPr>
          <w:sz w:val="24"/>
          <w:szCs w:val="24"/>
        </w:rPr>
        <w:t xml:space="preserve"> </w:t>
      </w:r>
    </w:p>
    <w:p w14:paraId="16C1BFE1" w14:textId="77777777" w:rsidR="00907D85" w:rsidRPr="007B13AA" w:rsidRDefault="00907D85" w:rsidP="00907D85">
      <w:pPr>
        <w:rPr>
          <w:i/>
          <w:sz w:val="24"/>
          <w:szCs w:val="24"/>
        </w:rPr>
      </w:pPr>
      <w:r w:rsidRPr="007B13AA">
        <w:rPr>
          <w:i/>
          <w:sz w:val="24"/>
          <w:szCs w:val="24"/>
        </w:rPr>
        <w:t>[If the ratio is expected to vary by age, present any available data which enables an assessment of the association between age and clinical validity.]</w:t>
      </w:r>
    </w:p>
    <w:p w14:paraId="43F9DF88" w14:textId="720B9454" w:rsidR="00BB61B0" w:rsidRPr="007B13AA" w:rsidRDefault="00BB61B0" w:rsidP="00907D85">
      <w:pPr>
        <w:rPr>
          <w:sz w:val="24"/>
          <w:szCs w:val="24"/>
        </w:rPr>
      </w:pPr>
      <w:r w:rsidRPr="007B13AA">
        <w:rPr>
          <w:sz w:val="24"/>
          <w:szCs w:val="24"/>
        </w:rPr>
        <w:lastRenderedPageBreak/>
        <w:t>The median age of first breast cancer (i.e. study entry) for individuals included in the estimate of CBC risk was 43.5 years (inter-quartile range 37.5-51.5) for BRCA1 carriers and 48.1 (40.4-58.5) for BRCA2 carriers. The median age of CBC was 47.7 years (40.1-55.5) for BRCA1 and 53.1 (44.7-62.6) for BRCA2.</w:t>
      </w:r>
    </w:p>
    <w:p w14:paraId="21EAC5C0" w14:textId="77777777" w:rsidR="00907D85" w:rsidRPr="007B13AA" w:rsidRDefault="00907D85" w:rsidP="003258A6">
      <w:pPr>
        <w:pStyle w:val="ListParagraph"/>
        <w:keepNext/>
        <w:numPr>
          <w:ilvl w:val="2"/>
          <w:numId w:val="21"/>
        </w:numPr>
        <w:spacing w:before="200" w:after="0"/>
        <w:ind w:left="709" w:hanging="709"/>
        <w:rPr>
          <w:b/>
          <w:sz w:val="24"/>
          <w:szCs w:val="24"/>
        </w:rPr>
      </w:pPr>
      <w:r w:rsidRPr="007B13AA">
        <w:rPr>
          <w:b/>
          <w:i/>
          <w:sz w:val="24"/>
          <w:szCs w:val="24"/>
        </w:rPr>
        <w:t>Prevalence (or diagnostic yield) associated with this ratio:</w:t>
      </w:r>
      <w:r w:rsidRPr="007B13AA">
        <w:rPr>
          <w:sz w:val="24"/>
          <w:szCs w:val="24"/>
        </w:rPr>
        <w:t xml:space="preserve"> </w:t>
      </w:r>
    </w:p>
    <w:p w14:paraId="41465C5E" w14:textId="04CFAC5B" w:rsidR="00BB61B0" w:rsidRPr="007B13AA" w:rsidRDefault="00907D85" w:rsidP="00907D85">
      <w:pPr>
        <w:rPr>
          <w:i/>
          <w:sz w:val="24"/>
          <w:szCs w:val="24"/>
        </w:rPr>
      </w:pPr>
      <w:r w:rsidRPr="007B13AA">
        <w:rPr>
          <w:i/>
          <w:sz w:val="24"/>
          <w:szCs w:val="24"/>
        </w:rPr>
        <w:t xml:space="preserve">[If the prevalence is likely to vary from the study population of affected </w:t>
      </w:r>
      <w:r w:rsidR="00216C49" w:rsidRPr="007B13AA">
        <w:rPr>
          <w:i/>
          <w:sz w:val="24"/>
          <w:szCs w:val="24"/>
        </w:rPr>
        <w:t>individuals</w:t>
      </w:r>
      <w:r w:rsidRPr="007B13AA">
        <w:rPr>
          <w:i/>
          <w:sz w:val="24"/>
          <w:szCs w:val="24"/>
        </w:rPr>
        <w:t xml:space="preserve"> and the target population for testing at 1.5, present the attributable fractions for the two populations.]</w:t>
      </w:r>
    </w:p>
    <w:p w14:paraId="20CC1592" w14:textId="00E1768F" w:rsidR="00B111DC" w:rsidRPr="007B13AA" w:rsidRDefault="00BB61B0" w:rsidP="00907D85">
      <w:pPr>
        <w:rPr>
          <w:sz w:val="24"/>
          <w:szCs w:val="24"/>
        </w:rPr>
      </w:pPr>
      <w:r w:rsidRPr="007B13AA">
        <w:rPr>
          <w:sz w:val="24"/>
          <w:szCs w:val="24"/>
        </w:rPr>
        <w:t xml:space="preserve">The study cohort was ascertained on standard selection criteria consistent with those outlined at 1.5. The cumulative risk of CBC in this study was measured in non-index cases from families carrying a mutation to reduce the effect of ascertainment. The higher CBC rate in index cases means that the RRs provided at </w:t>
      </w:r>
      <w:r w:rsidR="00BF48D5" w:rsidRPr="007B13AA">
        <w:rPr>
          <w:sz w:val="24"/>
          <w:szCs w:val="24"/>
        </w:rPr>
        <w:t>S</w:t>
      </w:r>
      <w:r w:rsidR="00A47534" w:rsidRPr="007B13AA">
        <w:rPr>
          <w:sz w:val="24"/>
          <w:szCs w:val="24"/>
        </w:rPr>
        <w:t>ubsection 2</w:t>
      </w:r>
      <w:r w:rsidRPr="007B13AA">
        <w:rPr>
          <w:sz w:val="24"/>
          <w:szCs w:val="24"/>
        </w:rPr>
        <w:t xml:space="preserve">.2.2 </w:t>
      </w:r>
      <w:r w:rsidR="00A47534" w:rsidRPr="007B13AA">
        <w:rPr>
          <w:sz w:val="24"/>
          <w:szCs w:val="24"/>
        </w:rPr>
        <w:t xml:space="preserve">above </w:t>
      </w:r>
      <w:r w:rsidRPr="007B13AA">
        <w:rPr>
          <w:sz w:val="24"/>
          <w:szCs w:val="24"/>
        </w:rPr>
        <w:t>may be considered conservative.</w:t>
      </w:r>
      <w:r w:rsidR="00B111DC" w:rsidRPr="007B13AA">
        <w:rPr>
          <w:sz w:val="24"/>
          <w:szCs w:val="24"/>
        </w:rPr>
        <w:br w:type="page"/>
      </w:r>
    </w:p>
    <w:p w14:paraId="21288D82" w14:textId="77777777" w:rsidR="00520B70" w:rsidRPr="007B13AA" w:rsidRDefault="00520B70" w:rsidP="003258A6">
      <w:pPr>
        <w:pStyle w:val="Heading1"/>
        <w:numPr>
          <w:ilvl w:val="0"/>
          <w:numId w:val="21"/>
        </w:numPr>
      </w:pPr>
      <w:r w:rsidRPr="007B13AA">
        <w:lastRenderedPageBreak/>
        <w:t>CLINICAL UTILITY OF BRCA1 AND BRCA2 FOR AFFECTED INDIVIDUALS</w:t>
      </w:r>
    </w:p>
    <w:p w14:paraId="7AC9EFA5" w14:textId="0FBA1B1A" w:rsidR="00C250EB" w:rsidRPr="007B13AA" w:rsidRDefault="00520B70" w:rsidP="003258A6">
      <w:pPr>
        <w:pStyle w:val="ListParagraph"/>
        <w:numPr>
          <w:ilvl w:val="1"/>
          <w:numId w:val="22"/>
        </w:numPr>
        <w:ind w:left="709" w:hanging="709"/>
        <w:contextualSpacing w:val="0"/>
        <w:rPr>
          <w:b/>
          <w:sz w:val="24"/>
          <w:szCs w:val="24"/>
        </w:rPr>
      </w:pPr>
      <w:r w:rsidRPr="007B13AA">
        <w:rPr>
          <w:b/>
          <w:sz w:val="24"/>
          <w:szCs w:val="24"/>
        </w:rPr>
        <w:t xml:space="preserve">Can a </w:t>
      </w:r>
      <w:r w:rsidR="004E019E" w:rsidRPr="007B13AA">
        <w:rPr>
          <w:b/>
          <w:sz w:val="24"/>
          <w:szCs w:val="24"/>
        </w:rPr>
        <w:t xml:space="preserve">genetic </w:t>
      </w:r>
      <w:r w:rsidRPr="007B13AA">
        <w:rPr>
          <w:b/>
          <w:sz w:val="24"/>
          <w:szCs w:val="24"/>
        </w:rPr>
        <w:t>diagnosis be made other than through a genetic test?</w:t>
      </w:r>
      <w:r w:rsidRPr="007B13AA">
        <w:rPr>
          <w:sz w:val="24"/>
          <w:szCs w:val="24"/>
        </w:rPr>
        <w:tab/>
      </w:r>
      <w:r w:rsidRPr="007B13AA">
        <w:rPr>
          <w:sz w:val="24"/>
          <w:szCs w:val="24"/>
        </w:rPr>
        <w:tab/>
        <w:t>no</w:t>
      </w:r>
    </w:p>
    <w:p w14:paraId="625703F5" w14:textId="491C07F8" w:rsidR="00520B70" w:rsidRPr="007B13AA" w:rsidRDefault="00520B70" w:rsidP="003258A6">
      <w:pPr>
        <w:pStyle w:val="ListParagraph"/>
        <w:numPr>
          <w:ilvl w:val="1"/>
          <w:numId w:val="22"/>
        </w:numPr>
        <w:ind w:left="709" w:hanging="709"/>
        <w:rPr>
          <w:b/>
          <w:sz w:val="24"/>
          <w:szCs w:val="24"/>
        </w:rPr>
      </w:pPr>
      <w:r w:rsidRPr="007B13AA">
        <w:rPr>
          <w:b/>
          <w:sz w:val="24"/>
          <w:szCs w:val="24"/>
        </w:rPr>
        <w:t xml:space="preserve">How would disease management of the affected </w:t>
      </w:r>
      <w:r w:rsidR="00216C49" w:rsidRPr="007B13AA">
        <w:rPr>
          <w:b/>
          <w:sz w:val="24"/>
          <w:szCs w:val="24"/>
        </w:rPr>
        <w:t>individual</w:t>
      </w:r>
      <w:r w:rsidRPr="007B13AA">
        <w:rPr>
          <w:b/>
          <w:sz w:val="24"/>
          <w:szCs w:val="24"/>
        </w:rPr>
        <w:t xml:space="preserve"> be influenced by the result of the genetic test compared with not testing?</w:t>
      </w:r>
    </w:p>
    <w:p w14:paraId="3F3FC391" w14:textId="62F2FD96" w:rsidR="00520B70" w:rsidRDefault="00520B70" w:rsidP="00393D50">
      <w:pPr>
        <w:rPr>
          <w:i/>
          <w:sz w:val="24"/>
          <w:szCs w:val="24"/>
        </w:rPr>
      </w:pPr>
      <w:r w:rsidRPr="007B13AA">
        <w:rPr>
          <w:i/>
          <w:sz w:val="24"/>
          <w:szCs w:val="24"/>
        </w:rPr>
        <w:t>Summariz</w:t>
      </w:r>
      <w:r w:rsidRPr="00BA7E98">
        <w:rPr>
          <w:i/>
          <w:sz w:val="24"/>
          <w:szCs w:val="24"/>
        </w:rPr>
        <w:t xml:space="preserve">e </w:t>
      </w:r>
      <w:r w:rsidR="00332A72" w:rsidRPr="00BA7E98">
        <w:rPr>
          <w:i/>
          <w:sz w:val="24"/>
          <w:szCs w:val="24"/>
        </w:rPr>
        <w:t xml:space="preserve">the differences in </w:t>
      </w:r>
      <w:r w:rsidRPr="00BA7E98">
        <w:rPr>
          <w:i/>
          <w:sz w:val="24"/>
          <w:szCs w:val="24"/>
        </w:rPr>
        <w:t xml:space="preserve">optimal treatment for mutation positive and negative </w:t>
      </w:r>
      <w:r w:rsidR="00847B1B" w:rsidRPr="00BA7E98">
        <w:rPr>
          <w:i/>
          <w:sz w:val="24"/>
          <w:szCs w:val="24"/>
        </w:rPr>
        <w:t xml:space="preserve">affected </w:t>
      </w:r>
      <w:r w:rsidRPr="00BA7E98">
        <w:rPr>
          <w:i/>
          <w:sz w:val="24"/>
          <w:szCs w:val="24"/>
        </w:rPr>
        <w:t xml:space="preserve">individuals for the incident current </w:t>
      </w:r>
      <w:r w:rsidR="00332A72" w:rsidRPr="00BA7E98">
        <w:rPr>
          <w:i/>
          <w:sz w:val="24"/>
          <w:szCs w:val="24"/>
        </w:rPr>
        <w:t>manifestation of the disease</w:t>
      </w:r>
      <w:r w:rsidRPr="00BA7E98">
        <w:rPr>
          <w:i/>
          <w:sz w:val="24"/>
          <w:szCs w:val="24"/>
        </w:rPr>
        <w:t xml:space="preserve">, with each management strategy for mutation-positive </w:t>
      </w:r>
      <w:r w:rsidR="00847B1B" w:rsidRPr="00BA7E98">
        <w:rPr>
          <w:i/>
          <w:sz w:val="24"/>
          <w:szCs w:val="24"/>
        </w:rPr>
        <w:t xml:space="preserve">affected </w:t>
      </w:r>
      <w:r w:rsidRPr="00BA7E98">
        <w:rPr>
          <w:i/>
          <w:sz w:val="24"/>
          <w:szCs w:val="24"/>
        </w:rPr>
        <w:t xml:space="preserve">individuals and mutation-negative </w:t>
      </w:r>
      <w:r w:rsidR="00847B1B" w:rsidRPr="00BA7E98">
        <w:rPr>
          <w:i/>
          <w:sz w:val="24"/>
          <w:szCs w:val="24"/>
        </w:rPr>
        <w:t xml:space="preserve">affected </w:t>
      </w:r>
      <w:r w:rsidRPr="00BA7E98">
        <w:rPr>
          <w:i/>
          <w:sz w:val="24"/>
          <w:szCs w:val="24"/>
        </w:rPr>
        <w:t>individuals being compared with the comparator of clinical management in the absence of testing.</w:t>
      </w:r>
    </w:p>
    <w:p w14:paraId="41B4C9BC" w14:textId="4FAC05D1" w:rsidR="00A7798D" w:rsidRPr="00BA7E98" w:rsidRDefault="00A7798D" w:rsidP="00A7798D">
      <w:pPr>
        <w:spacing w:after="0"/>
        <w:rPr>
          <w:i/>
          <w:sz w:val="24"/>
          <w:szCs w:val="24"/>
        </w:rPr>
      </w:pPr>
      <w:r w:rsidRPr="007B13AA">
        <w:rPr>
          <w:b/>
          <w:sz w:val="24"/>
          <w:szCs w:val="24"/>
        </w:rPr>
        <w:t>Early breast</w:t>
      </w:r>
      <w:r>
        <w:rPr>
          <w:b/>
          <w:sz w:val="24"/>
          <w:szCs w:val="24"/>
        </w:rPr>
        <w:t xml:space="preserve"> cancer</w:t>
      </w:r>
    </w:p>
    <w:tbl>
      <w:tblPr>
        <w:tblStyle w:val="TableGrid"/>
        <w:tblW w:w="0" w:type="auto"/>
        <w:tblLook w:val="04A0" w:firstRow="1" w:lastRow="0" w:firstColumn="1" w:lastColumn="0" w:noHBand="0" w:noVBand="1"/>
        <w:tblDescription w:val="Table to identify: disease management of the affected individual be influenced by the result of the genetic test compared with not testing"/>
      </w:tblPr>
      <w:tblGrid>
        <w:gridCol w:w="1809"/>
        <w:gridCol w:w="2977"/>
        <w:gridCol w:w="2126"/>
        <w:gridCol w:w="2352"/>
      </w:tblGrid>
      <w:tr w:rsidR="00520B70" w:rsidRPr="007B13AA" w14:paraId="3B29AB5B" w14:textId="77777777" w:rsidTr="00C858E4">
        <w:trPr>
          <w:tblHeader/>
        </w:trPr>
        <w:tc>
          <w:tcPr>
            <w:tcW w:w="1809" w:type="dxa"/>
          </w:tcPr>
          <w:p w14:paraId="0C3E6B4B" w14:textId="308D7DE5" w:rsidR="00520B70" w:rsidRPr="00BA7E98" w:rsidRDefault="00520B70" w:rsidP="00332A72">
            <w:pPr>
              <w:keepNext/>
              <w:rPr>
                <w:i/>
                <w:sz w:val="24"/>
                <w:szCs w:val="24"/>
              </w:rPr>
            </w:pPr>
            <w:r w:rsidRPr="00BA7E98">
              <w:rPr>
                <w:i/>
                <w:sz w:val="24"/>
                <w:szCs w:val="24"/>
              </w:rPr>
              <w:t xml:space="preserve">Incident </w:t>
            </w:r>
            <w:r w:rsidR="00332A72" w:rsidRPr="00BA7E98">
              <w:rPr>
                <w:i/>
                <w:sz w:val="24"/>
                <w:szCs w:val="24"/>
              </w:rPr>
              <w:t>disease</w:t>
            </w:r>
            <w:r w:rsidRPr="00BA7E98">
              <w:rPr>
                <w:i/>
                <w:sz w:val="24"/>
                <w:szCs w:val="24"/>
              </w:rPr>
              <w:t>*</w:t>
            </w:r>
          </w:p>
        </w:tc>
        <w:tc>
          <w:tcPr>
            <w:tcW w:w="2977" w:type="dxa"/>
          </w:tcPr>
          <w:p w14:paraId="51A6D903" w14:textId="77777777" w:rsidR="00520B70" w:rsidRPr="00BA7E98" w:rsidRDefault="00520B70" w:rsidP="00C858E4">
            <w:pPr>
              <w:keepNext/>
              <w:rPr>
                <w:i/>
                <w:sz w:val="24"/>
                <w:szCs w:val="24"/>
              </w:rPr>
            </w:pPr>
            <w:r w:rsidRPr="00BA7E98">
              <w:rPr>
                <w:i/>
                <w:sz w:val="24"/>
                <w:szCs w:val="24"/>
              </w:rPr>
              <w:t>Mutation positive</w:t>
            </w:r>
          </w:p>
        </w:tc>
        <w:tc>
          <w:tcPr>
            <w:tcW w:w="2126" w:type="dxa"/>
          </w:tcPr>
          <w:p w14:paraId="08E02DD9" w14:textId="77777777" w:rsidR="00520B70" w:rsidRPr="00BA7E98" w:rsidRDefault="00520B70" w:rsidP="00C858E4">
            <w:pPr>
              <w:keepNext/>
              <w:rPr>
                <w:i/>
                <w:sz w:val="24"/>
                <w:szCs w:val="24"/>
              </w:rPr>
            </w:pPr>
            <w:r w:rsidRPr="00BA7E98">
              <w:rPr>
                <w:i/>
                <w:sz w:val="24"/>
                <w:szCs w:val="24"/>
              </w:rPr>
              <w:t>Mutation negative</w:t>
            </w:r>
          </w:p>
        </w:tc>
        <w:tc>
          <w:tcPr>
            <w:tcW w:w="2352" w:type="dxa"/>
          </w:tcPr>
          <w:p w14:paraId="1B4B8493" w14:textId="77777777" w:rsidR="00520B70" w:rsidRPr="007B13AA" w:rsidRDefault="00520B70" w:rsidP="00C858E4">
            <w:pPr>
              <w:keepNext/>
              <w:rPr>
                <w:i/>
                <w:sz w:val="24"/>
                <w:szCs w:val="24"/>
              </w:rPr>
            </w:pPr>
            <w:r w:rsidRPr="00BA7E98">
              <w:rPr>
                <w:i/>
                <w:sz w:val="24"/>
                <w:szCs w:val="24"/>
              </w:rPr>
              <w:t>Incremental benefit of the differential approach</w:t>
            </w:r>
          </w:p>
        </w:tc>
      </w:tr>
      <w:tr w:rsidR="00520B70" w:rsidRPr="007B13AA" w14:paraId="42F235A1" w14:textId="77777777" w:rsidTr="00C858E4">
        <w:tc>
          <w:tcPr>
            <w:tcW w:w="1809" w:type="dxa"/>
          </w:tcPr>
          <w:p w14:paraId="230DB477" w14:textId="77777777" w:rsidR="00520B70" w:rsidRPr="007B13AA" w:rsidRDefault="00520B70" w:rsidP="00C858E4">
            <w:pPr>
              <w:keepNext/>
              <w:rPr>
                <w:sz w:val="24"/>
                <w:szCs w:val="24"/>
              </w:rPr>
            </w:pPr>
            <w:r w:rsidRPr="007B13AA">
              <w:rPr>
                <w:sz w:val="24"/>
                <w:szCs w:val="24"/>
              </w:rPr>
              <w:t>Surgery</w:t>
            </w:r>
          </w:p>
        </w:tc>
        <w:tc>
          <w:tcPr>
            <w:tcW w:w="2977" w:type="dxa"/>
          </w:tcPr>
          <w:p w14:paraId="5FD1110B" w14:textId="77777777" w:rsidR="00520B70" w:rsidRPr="007B13AA" w:rsidRDefault="00520B70" w:rsidP="00C858E4">
            <w:pPr>
              <w:keepNext/>
              <w:rPr>
                <w:sz w:val="24"/>
                <w:szCs w:val="24"/>
              </w:rPr>
            </w:pPr>
            <w:r w:rsidRPr="007B13AA">
              <w:rPr>
                <w:sz w:val="24"/>
                <w:szCs w:val="24"/>
              </w:rPr>
              <w:t>Bilateral mastectomy recommendation (especially if aged ≤ 50 years)</w:t>
            </w:r>
          </w:p>
        </w:tc>
        <w:tc>
          <w:tcPr>
            <w:tcW w:w="2126" w:type="dxa"/>
          </w:tcPr>
          <w:p w14:paraId="7287CEB3" w14:textId="77777777" w:rsidR="00520B70" w:rsidRPr="007B13AA" w:rsidRDefault="00520B70" w:rsidP="00C858E4">
            <w:pPr>
              <w:keepNext/>
              <w:rPr>
                <w:sz w:val="24"/>
                <w:szCs w:val="24"/>
              </w:rPr>
            </w:pPr>
            <w:r w:rsidRPr="007B13AA">
              <w:rPr>
                <w:sz w:val="24"/>
                <w:szCs w:val="24"/>
              </w:rPr>
              <w:t>Breast conserving surgery or mastectomy as appropriate for the cancer-affected breast</w:t>
            </w:r>
          </w:p>
        </w:tc>
        <w:tc>
          <w:tcPr>
            <w:tcW w:w="2352" w:type="dxa"/>
          </w:tcPr>
          <w:p w14:paraId="5F11A4F5" w14:textId="77777777" w:rsidR="00520B70" w:rsidRPr="007B13AA" w:rsidRDefault="00520B70" w:rsidP="00C858E4">
            <w:pPr>
              <w:keepNext/>
              <w:rPr>
                <w:sz w:val="24"/>
                <w:szCs w:val="24"/>
              </w:rPr>
            </w:pPr>
            <w:r w:rsidRPr="007B13AA">
              <w:rPr>
                <w:sz w:val="24"/>
                <w:szCs w:val="24"/>
              </w:rPr>
              <w:t>Contralateral mastectomy in mutation carriers reduces the risk of contralateral breast cancer to 1%</w:t>
            </w:r>
          </w:p>
        </w:tc>
      </w:tr>
      <w:tr w:rsidR="00520B70" w:rsidRPr="007B13AA" w14:paraId="66E13C04" w14:textId="77777777" w:rsidTr="00C858E4">
        <w:tc>
          <w:tcPr>
            <w:tcW w:w="1809" w:type="dxa"/>
          </w:tcPr>
          <w:p w14:paraId="6100272B" w14:textId="77777777" w:rsidR="00520B70" w:rsidRPr="007B13AA" w:rsidRDefault="00520B70" w:rsidP="00C858E4">
            <w:pPr>
              <w:keepNext/>
              <w:rPr>
                <w:sz w:val="24"/>
                <w:szCs w:val="24"/>
              </w:rPr>
            </w:pPr>
            <w:r w:rsidRPr="007B13AA">
              <w:rPr>
                <w:sz w:val="24"/>
                <w:szCs w:val="24"/>
              </w:rPr>
              <w:t>Radiotherapy</w:t>
            </w:r>
          </w:p>
        </w:tc>
        <w:tc>
          <w:tcPr>
            <w:tcW w:w="2977" w:type="dxa"/>
          </w:tcPr>
          <w:p w14:paraId="5DEB99FA" w14:textId="77777777" w:rsidR="00520B70" w:rsidRPr="007B13AA" w:rsidRDefault="00520B70" w:rsidP="00C858E4">
            <w:pPr>
              <w:keepNext/>
              <w:rPr>
                <w:sz w:val="24"/>
                <w:szCs w:val="24"/>
              </w:rPr>
            </w:pPr>
            <w:r w:rsidRPr="007B13AA">
              <w:rPr>
                <w:sz w:val="24"/>
                <w:szCs w:val="24"/>
              </w:rPr>
              <w:t>Unchanged, but in some cases avoided</w:t>
            </w:r>
          </w:p>
        </w:tc>
        <w:tc>
          <w:tcPr>
            <w:tcW w:w="2126" w:type="dxa"/>
          </w:tcPr>
          <w:p w14:paraId="327EE13D" w14:textId="77777777" w:rsidR="00520B70" w:rsidRPr="007B13AA" w:rsidRDefault="00520B70" w:rsidP="00C858E4">
            <w:pPr>
              <w:keepNext/>
              <w:rPr>
                <w:sz w:val="24"/>
                <w:szCs w:val="24"/>
              </w:rPr>
            </w:pPr>
            <w:r w:rsidRPr="007B13AA">
              <w:rPr>
                <w:sz w:val="24"/>
                <w:szCs w:val="24"/>
              </w:rPr>
              <w:t>Unchanged</w:t>
            </w:r>
          </w:p>
        </w:tc>
        <w:tc>
          <w:tcPr>
            <w:tcW w:w="2352" w:type="dxa"/>
          </w:tcPr>
          <w:p w14:paraId="4893BDB2" w14:textId="77777777" w:rsidR="00520B70" w:rsidRPr="007B13AA" w:rsidRDefault="00520B70" w:rsidP="00C858E4">
            <w:pPr>
              <w:keepNext/>
              <w:rPr>
                <w:sz w:val="24"/>
                <w:szCs w:val="24"/>
              </w:rPr>
            </w:pPr>
            <w:r w:rsidRPr="007B13AA">
              <w:rPr>
                <w:sz w:val="24"/>
                <w:szCs w:val="24"/>
              </w:rPr>
              <w:t>Expected better cosmetic outcome if bilateral mastectomy without radiotherapy is possible</w:t>
            </w:r>
          </w:p>
        </w:tc>
      </w:tr>
      <w:tr w:rsidR="00520B70" w:rsidRPr="007B13AA" w14:paraId="401B50CE" w14:textId="77777777" w:rsidTr="00C858E4">
        <w:tc>
          <w:tcPr>
            <w:tcW w:w="1809" w:type="dxa"/>
          </w:tcPr>
          <w:p w14:paraId="69C843EF" w14:textId="77777777" w:rsidR="00520B70" w:rsidRPr="007B13AA" w:rsidRDefault="00520B70" w:rsidP="00C858E4">
            <w:pPr>
              <w:keepNext/>
              <w:rPr>
                <w:sz w:val="24"/>
                <w:szCs w:val="24"/>
              </w:rPr>
            </w:pPr>
            <w:r w:rsidRPr="007B13AA">
              <w:rPr>
                <w:sz w:val="24"/>
                <w:szCs w:val="24"/>
              </w:rPr>
              <w:t>Chemotherapy</w:t>
            </w:r>
          </w:p>
        </w:tc>
        <w:tc>
          <w:tcPr>
            <w:tcW w:w="2977" w:type="dxa"/>
          </w:tcPr>
          <w:p w14:paraId="42E329E6" w14:textId="77777777" w:rsidR="00520B70" w:rsidRPr="007B13AA" w:rsidRDefault="00520B70" w:rsidP="00C858E4">
            <w:pPr>
              <w:keepNext/>
              <w:rPr>
                <w:sz w:val="24"/>
                <w:szCs w:val="24"/>
              </w:rPr>
            </w:pPr>
            <w:r w:rsidRPr="007B13AA">
              <w:rPr>
                <w:sz w:val="24"/>
                <w:szCs w:val="24"/>
              </w:rPr>
              <w:t>Adjuvant chemotherapy unchanged at present but consideration is given to platinum agents in the relapse setting. May be involved in clinical trials of targeted therapy, eg PARP inhibitors</w:t>
            </w:r>
          </w:p>
        </w:tc>
        <w:tc>
          <w:tcPr>
            <w:tcW w:w="2126" w:type="dxa"/>
          </w:tcPr>
          <w:p w14:paraId="1FCB42FC" w14:textId="77777777" w:rsidR="00520B70" w:rsidRPr="007B13AA" w:rsidRDefault="00520B70" w:rsidP="00C858E4">
            <w:pPr>
              <w:keepNext/>
              <w:rPr>
                <w:sz w:val="24"/>
                <w:szCs w:val="24"/>
              </w:rPr>
            </w:pPr>
            <w:r w:rsidRPr="007B13AA">
              <w:rPr>
                <w:sz w:val="24"/>
                <w:szCs w:val="24"/>
              </w:rPr>
              <w:t>Unchanged</w:t>
            </w:r>
          </w:p>
        </w:tc>
        <w:tc>
          <w:tcPr>
            <w:tcW w:w="2352" w:type="dxa"/>
          </w:tcPr>
          <w:p w14:paraId="53D57CA3" w14:textId="77777777" w:rsidR="00520B70" w:rsidRPr="007B13AA" w:rsidRDefault="00520B70" w:rsidP="00C858E4">
            <w:pPr>
              <w:keepNext/>
              <w:rPr>
                <w:sz w:val="24"/>
                <w:szCs w:val="24"/>
              </w:rPr>
            </w:pPr>
            <w:r w:rsidRPr="007B13AA">
              <w:rPr>
                <w:sz w:val="24"/>
                <w:szCs w:val="24"/>
              </w:rPr>
              <w:t>Expected future developments in targeted therapy</w:t>
            </w:r>
          </w:p>
        </w:tc>
      </w:tr>
    </w:tbl>
    <w:p w14:paraId="2E526A30" w14:textId="77777777" w:rsidR="00520B70" w:rsidRPr="007B13AA" w:rsidRDefault="00520B70" w:rsidP="00520B70">
      <w:pPr>
        <w:ind w:left="284" w:hanging="141"/>
        <w:rPr>
          <w:i/>
          <w:sz w:val="24"/>
          <w:szCs w:val="24"/>
        </w:rPr>
      </w:pPr>
      <w:r w:rsidRPr="007B13AA">
        <w:rPr>
          <w:i/>
          <w:sz w:val="24"/>
          <w:szCs w:val="24"/>
        </w:rPr>
        <w:t>* Of tested individuals, 5% are likely to receive the management identified for the mutation-positive column irrespective the testing outcome (due to other high risk factors).</w:t>
      </w:r>
    </w:p>
    <w:p w14:paraId="246E4C0E" w14:textId="15C1BE49" w:rsidR="00A7798D" w:rsidRDefault="00A7798D" w:rsidP="00A7798D">
      <w:pPr>
        <w:keepNext/>
        <w:spacing w:before="200" w:after="0"/>
        <w:rPr>
          <w:i/>
          <w:sz w:val="24"/>
          <w:szCs w:val="24"/>
        </w:rPr>
      </w:pPr>
      <w:r w:rsidRPr="007B13AA">
        <w:rPr>
          <w:b/>
          <w:sz w:val="24"/>
          <w:szCs w:val="24"/>
        </w:rPr>
        <w:lastRenderedPageBreak/>
        <w:t>Ovarian/fallopian tube</w:t>
      </w:r>
      <w:r>
        <w:rPr>
          <w:b/>
          <w:sz w:val="24"/>
          <w:szCs w:val="24"/>
        </w:rPr>
        <w:t xml:space="preserve"> cancer</w:t>
      </w:r>
    </w:p>
    <w:tbl>
      <w:tblPr>
        <w:tblStyle w:val="TableGrid"/>
        <w:tblW w:w="0" w:type="auto"/>
        <w:tblLook w:val="04A0" w:firstRow="1" w:lastRow="0" w:firstColumn="1" w:lastColumn="0" w:noHBand="0" w:noVBand="1"/>
        <w:tblDescription w:val="Table to identify: disease management of the affected individual be influenced by the result of the genetic test compared with not testing"/>
      </w:tblPr>
      <w:tblGrid>
        <w:gridCol w:w="1809"/>
        <w:gridCol w:w="2977"/>
        <w:gridCol w:w="2126"/>
        <w:gridCol w:w="2352"/>
      </w:tblGrid>
      <w:tr w:rsidR="00A7798D" w:rsidRPr="007B13AA" w14:paraId="66E25D7A" w14:textId="77777777" w:rsidTr="006F19B7">
        <w:trPr>
          <w:tblHeader/>
        </w:trPr>
        <w:tc>
          <w:tcPr>
            <w:tcW w:w="1809" w:type="dxa"/>
          </w:tcPr>
          <w:p w14:paraId="674D6893" w14:textId="77777777" w:rsidR="00A7798D" w:rsidRPr="00BA7E98" w:rsidRDefault="00A7798D" w:rsidP="006F19B7">
            <w:pPr>
              <w:keepNext/>
              <w:rPr>
                <w:i/>
                <w:sz w:val="24"/>
                <w:szCs w:val="24"/>
              </w:rPr>
            </w:pPr>
            <w:r w:rsidRPr="00BA7E98">
              <w:rPr>
                <w:i/>
                <w:sz w:val="24"/>
                <w:szCs w:val="24"/>
              </w:rPr>
              <w:t>Incident disease*</w:t>
            </w:r>
          </w:p>
        </w:tc>
        <w:tc>
          <w:tcPr>
            <w:tcW w:w="2977" w:type="dxa"/>
          </w:tcPr>
          <w:p w14:paraId="1FB1B083" w14:textId="77777777" w:rsidR="00A7798D" w:rsidRPr="00BA7E98" w:rsidRDefault="00A7798D" w:rsidP="006F19B7">
            <w:pPr>
              <w:keepNext/>
              <w:rPr>
                <w:i/>
                <w:sz w:val="24"/>
                <w:szCs w:val="24"/>
              </w:rPr>
            </w:pPr>
            <w:r w:rsidRPr="00BA7E98">
              <w:rPr>
                <w:i/>
                <w:sz w:val="24"/>
                <w:szCs w:val="24"/>
              </w:rPr>
              <w:t>Mutation positive</w:t>
            </w:r>
          </w:p>
        </w:tc>
        <w:tc>
          <w:tcPr>
            <w:tcW w:w="2126" w:type="dxa"/>
          </w:tcPr>
          <w:p w14:paraId="7ECD54A6" w14:textId="77777777" w:rsidR="00A7798D" w:rsidRPr="00BA7E98" w:rsidRDefault="00A7798D" w:rsidP="006F19B7">
            <w:pPr>
              <w:keepNext/>
              <w:rPr>
                <w:i/>
                <w:sz w:val="24"/>
                <w:szCs w:val="24"/>
              </w:rPr>
            </w:pPr>
            <w:r w:rsidRPr="00BA7E98">
              <w:rPr>
                <w:i/>
                <w:sz w:val="24"/>
                <w:szCs w:val="24"/>
              </w:rPr>
              <w:t>Mutation negative</w:t>
            </w:r>
          </w:p>
        </w:tc>
        <w:tc>
          <w:tcPr>
            <w:tcW w:w="2352" w:type="dxa"/>
          </w:tcPr>
          <w:p w14:paraId="263553F3" w14:textId="77777777" w:rsidR="00A7798D" w:rsidRPr="007B13AA" w:rsidRDefault="00A7798D" w:rsidP="006F19B7">
            <w:pPr>
              <w:keepNext/>
              <w:rPr>
                <w:i/>
                <w:sz w:val="24"/>
                <w:szCs w:val="24"/>
              </w:rPr>
            </w:pPr>
            <w:r w:rsidRPr="00BA7E98">
              <w:rPr>
                <w:i/>
                <w:sz w:val="24"/>
                <w:szCs w:val="24"/>
              </w:rPr>
              <w:t>Incremental benefit of the differential approach</w:t>
            </w:r>
          </w:p>
        </w:tc>
      </w:tr>
      <w:tr w:rsidR="00A7798D" w:rsidRPr="007B13AA" w14:paraId="36DA41D6" w14:textId="77777777" w:rsidTr="006F19B7">
        <w:tc>
          <w:tcPr>
            <w:tcW w:w="1809" w:type="dxa"/>
          </w:tcPr>
          <w:p w14:paraId="7855C73D" w14:textId="77777777" w:rsidR="00A7798D" w:rsidRPr="007B13AA" w:rsidRDefault="00A7798D" w:rsidP="006F19B7">
            <w:pPr>
              <w:keepNext/>
              <w:rPr>
                <w:sz w:val="24"/>
                <w:szCs w:val="24"/>
              </w:rPr>
            </w:pPr>
            <w:r w:rsidRPr="007B13AA">
              <w:rPr>
                <w:sz w:val="24"/>
                <w:szCs w:val="24"/>
              </w:rPr>
              <w:t>Surgery</w:t>
            </w:r>
          </w:p>
        </w:tc>
        <w:tc>
          <w:tcPr>
            <w:tcW w:w="2977" w:type="dxa"/>
          </w:tcPr>
          <w:p w14:paraId="0DC96FE4" w14:textId="77777777" w:rsidR="00A7798D" w:rsidRPr="007B13AA" w:rsidRDefault="00A7798D" w:rsidP="006F19B7">
            <w:pPr>
              <w:keepNext/>
              <w:rPr>
                <w:sz w:val="24"/>
                <w:szCs w:val="24"/>
              </w:rPr>
            </w:pPr>
            <w:r w:rsidRPr="007B13AA">
              <w:rPr>
                <w:sz w:val="24"/>
                <w:szCs w:val="24"/>
              </w:rPr>
              <w:t>Unchanged</w:t>
            </w:r>
          </w:p>
        </w:tc>
        <w:tc>
          <w:tcPr>
            <w:tcW w:w="2126" w:type="dxa"/>
          </w:tcPr>
          <w:p w14:paraId="03D6338E" w14:textId="77777777" w:rsidR="00A7798D" w:rsidRPr="007B13AA" w:rsidRDefault="00A7798D" w:rsidP="006F19B7">
            <w:pPr>
              <w:keepNext/>
              <w:rPr>
                <w:sz w:val="24"/>
                <w:szCs w:val="24"/>
              </w:rPr>
            </w:pPr>
            <w:r w:rsidRPr="007B13AA">
              <w:rPr>
                <w:sz w:val="24"/>
                <w:szCs w:val="24"/>
              </w:rPr>
              <w:t>Unchanged</w:t>
            </w:r>
          </w:p>
        </w:tc>
        <w:tc>
          <w:tcPr>
            <w:tcW w:w="2352" w:type="dxa"/>
          </w:tcPr>
          <w:p w14:paraId="4B848B21" w14:textId="77777777" w:rsidR="00A7798D" w:rsidRPr="007B13AA" w:rsidRDefault="00A7798D" w:rsidP="006F19B7">
            <w:pPr>
              <w:keepNext/>
              <w:rPr>
                <w:sz w:val="24"/>
                <w:szCs w:val="24"/>
              </w:rPr>
            </w:pPr>
            <w:r w:rsidRPr="007B13AA">
              <w:rPr>
                <w:sz w:val="24"/>
                <w:szCs w:val="24"/>
              </w:rPr>
              <w:t>Not applicable</w:t>
            </w:r>
          </w:p>
        </w:tc>
      </w:tr>
      <w:tr w:rsidR="00A7798D" w:rsidRPr="007B13AA" w14:paraId="22D5F864" w14:textId="77777777" w:rsidTr="006F19B7">
        <w:tc>
          <w:tcPr>
            <w:tcW w:w="1809" w:type="dxa"/>
          </w:tcPr>
          <w:p w14:paraId="6E1C8834" w14:textId="77777777" w:rsidR="00A7798D" w:rsidRPr="007B13AA" w:rsidRDefault="00A7798D" w:rsidP="006F19B7">
            <w:pPr>
              <w:keepNext/>
              <w:rPr>
                <w:sz w:val="24"/>
                <w:szCs w:val="24"/>
              </w:rPr>
            </w:pPr>
            <w:r w:rsidRPr="007B13AA">
              <w:rPr>
                <w:sz w:val="24"/>
                <w:szCs w:val="24"/>
              </w:rPr>
              <w:t>Radiotherapy</w:t>
            </w:r>
          </w:p>
        </w:tc>
        <w:tc>
          <w:tcPr>
            <w:tcW w:w="2977" w:type="dxa"/>
          </w:tcPr>
          <w:p w14:paraId="57A22E72" w14:textId="77777777" w:rsidR="00A7798D" w:rsidRPr="007B13AA" w:rsidRDefault="00A7798D" w:rsidP="006F19B7">
            <w:pPr>
              <w:keepNext/>
              <w:rPr>
                <w:sz w:val="24"/>
                <w:szCs w:val="24"/>
              </w:rPr>
            </w:pPr>
            <w:r w:rsidRPr="007B13AA">
              <w:rPr>
                <w:sz w:val="24"/>
                <w:szCs w:val="24"/>
              </w:rPr>
              <w:t>Unchanged</w:t>
            </w:r>
          </w:p>
        </w:tc>
        <w:tc>
          <w:tcPr>
            <w:tcW w:w="2126" w:type="dxa"/>
          </w:tcPr>
          <w:p w14:paraId="03DCB97D" w14:textId="77777777" w:rsidR="00A7798D" w:rsidRPr="007B13AA" w:rsidRDefault="00A7798D" w:rsidP="006F19B7">
            <w:pPr>
              <w:keepNext/>
              <w:rPr>
                <w:sz w:val="24"/>
                <w:szCs w:val="24"/>
              </w:rPr>
            </w:pPr>
            <w:r w:rsidRPr="007B13AA">
              <w:rPr>
                <w:sz w:val="24"/>
                <w:szCs w:val="24"/>
              </w:rPr>
              <w:t>Unchanged</w:t>
            </w:r>
          </w:p>
        </w:tc>
        <w:tc>
          <w:tcPr>
            <w:tcW w:w="2352" w:type="dxa"/>
          </w:tcPr>
          <w:p w14:paraId="45C49D5E" w14:textId="77777777" w:rsidR="00A7798D" w:rsidRPr="007B13AA" w:rsidRDefault="00A7798D" w:rsidP="006F19B7">
            <w:pPr>
              <w:keepNext/>
              <w:rPr>
                <w:sz w:val="24"/>
                <w:szCs w:val="24"/>
              </w:rPr>
            </w:pPr>
            <w:r w:rsidRPr="007B13AA">
              <w:rPr>
                <w:sz w:val="24"/>
                <w:szCs w:val="24"/>
              </w:rPr>
              <w:t>Not applicable</w:t>
            </w:r>
          </w:p>
        </w:tc>
      </w:tr>
      <w:tr w:rsidR="00A7798D" w:rsidRPr="007B13AA" w14:paraId="76112BF9" w14:textId="77777777" w:rsidTr="006F19B7">
        <w:tc>
          <w:tcPr>
            <w:tcW w:w="1809" w:type="dxa"/>
          </w:tcPr>
          <w:p w14:paraId="05A6D49F" w14:textId="77777777" w:rsidR="00A7798D" w:rsidRPr="007B13AA" w:rsidRDefault="00A7798D" w:rsidP="006F19B7">
            <w:pPr>
              <w:keepNext/>
              <w:rPr>
                <w:sz w:val="24"/>
                <w:szCs w:val="24"/>
              </w:rPr>
            </w:pPr>
            <w:r w:rsidRPr="007B13AA">
              <w:rPr>
                <w:sz w:val="24"/>
                <w:szCs w:val="24"/>
              </w:rPr>
              <w:t>Chemotherapy</w:t>
            </w:r>
          </w:p>
        </w:tc>
        <w:tc>
          <w:tcPr>
            <w:tcW w:w="2977" w:type="dxa"/>
          </w:tcPr>
          <w:p w14:paraId="6C378564" w14:textId="77777777" w:rsidR="00A7798D" w:rsidRPr="007B13AA" w:rsidRDefault="00A7798D" w:rsidP="006F19B7">
            <w:pPr>
              <w:keepNext/>
              <w:rPr>
                <w:sz w:val="24"/>
                <w:szCs w:val="24"/>
              </w:rPr>
            </w:pPr>
            <w:r w:rsidRPr="007B13AA">
              <w:rPr>
                <w:sz w:val="24"/>
                <w:szCs w:val="24"/>
              </w:rPr>
              <w:t>Adjuvant chemotherapy unchanged at present but consideration is given to repeated use of platinum agents in the relapse setting. May be involved in clinical trials of targeted therapy, eg PARP inhibitors</w:t>
            </w:r>
          </w:p>
        </w:tc>
        <w:tc>
          <w:tcPr>
            <w:tcW w:w="2126" w:type="dxa"/>
          </w:tcPr>
          <w:p w14:paraId="29053EEC" w14:textId="77777777" w:rsidR="00A7798D" w:rsidRPr="007B13AA" w:rsidRDefault="00A7798D" w:rsidP="006F19B7">
            <w:pPr>
              <w:keepNext/>
              <w:rPr>
                <w:sz w:val="24"/>
                <w:szCs w:val="24"/>
              </w:rPr>
            </w:pPr>
            <w:r w:rsidRPr="007B13AA">
              <w:rPr>
                <w:sz w:val="24"/>
                <w:szCs w:val="24"/>
              </w:rPr>
              <w:t>Unchanged</w:t>
            </w:r>
          </w:p>
        </w:tc>
        <w:tc>
          <w:tcPr>
            <w:tcW w:w="2352" w:type="dxa"/>
          </w:tcPr>
          <w:p w14:paraId="494BA54C" w14:textId="77777777" w:rsidR="00A7798D" w:rsidRPr="007B13AA" w:rsidRDefault="00A7798D" w:rsidP="006F19B7">
            <w:pPr>
              <w:keepNext/>
              <w:rPr>
                <w:sz w:val="24"/>
                <w:szCs w:val="24"/>
              </w:rPr>
            </w:pPr>
            <w:r w:rsidRPr="007B13AA">
              <w:rPr>
                <w:sz w:val="24"/>
                <w:szCs w:val="24"/>
              </w:rPr>
              <w:t>Expected future developments in targeted therapy</w:t>
            </w:r>
          </w:p>
        </w:tc>
      </w:tr>
    </w:tbl>
    <w:p w14:paraId="36686EC8" w14:textId="40D5E0B3" w:rsidR="00A7798D" w:rsidRDefault="00A7798D" w:rsidP="00A7798D">
      <w:pPr>
        <w:ind w:left="284" w:hanging="141"/>
        <w:rPr>
          <w:i/>
          <w:sz w:val="24"/>
          <w:szCs w:val="24"/>
        </w:rPr>
      </w:pPr>
      <w:r w:rsidRPr="007B13AA">
        <w:rPr>
          <w:i/>
          <w:sz w:val="24"/>
          <w:szCs w:val="24"/>
        </w:rPr>
        <w:t>* Of tested individuals, 5% are likely to receive the management identified for the mutation-positive column irrespective the testing outcome (d</w:t>
      </w:r>
      <w:r>
        <w:rPr>
          <w:i/>
          <w:sz w:val="24"/>
          <w:szCs w:val="24"/>
        </w:rPr>
        <w:t>ue to other high risk factors).</w:t>
      </w:r>
    </w:p>
    <w:p w14:paraId="2AC081AA" w14:textId="77777777" w:rsidR="00520B70" w:rsidRPr="007B13AA" w:rsidRDefault="00520B70" w:rsidP="00520B70">
      <w:pPr>
        <w:keepNext/>
        <w:spacing w:before="200"/>
        <w:rPr>
          <w:i/>
          <w:sz w:val="24"/>
          <w:szCs w:val="24"/>
        </w:rPr>
      </w:pPr>
      <w:r w:rsidRPr="007B13AA">
        <w:rPr>
          <w:i/>
          <w:sz w:val="24"/>
          <w:szCs w:val="24"/>
        </w:rPr>
        <w:t>Provide supporting evidence for the claimed magnitudes of benefits for the selections above.</w:t>
      </w:r>
    </w:p>
    <w:p w14:paraId="363B2283" w14:textId="103B8050" w:rsidR="00520B70" w:rsidRPr="007B13AA" w:rsidRDefault="00520B70" w:rsidP="00520B70">
      <w:pPr>
        <w:spacing w:before="200"/>
        <w:rPr>
          <w:sz w:val="24"/>
          <w:szCs w:val="24"/>
        </w:rPr>
      </w:pPr>
      <w:r w:rsidRPr="007B13AA">
        <w:rPr>
          <w:sz w:val="24"/>
          <w:szCs w:val="24"/>
        </w:rPr>
        <w:t>Supporting evidence for the above is referenced in:</w:t>
      </w:r>
      <w:r w:rsidRPr="007B13AA">
        <w:rPr>
          <w:sz w:val="24"/>
          <w:szCs w:val="24"/>
        </w:rPr>
        <w:br/>
      </w:r>
      <w:hyperlink r:id="rId17" w:tooltip="Link to supporting evidence for the above is referenced here" w:history="1">
        <w:r w:rsidRPr="007B13AA">
          <w:rPr>
            <w:rStyle w:val="Hyperlink"/>
            <w:sz w:val="24"/>
            <w:szCs w:val="24"/>
          </w:rPr>
          <w:t>http://guidelines.canceraustralia.gov.au/guidelines/gene_mutation/index.php</w:t>
        </w:r>
      </w:hyperlink>
    </w:p>
    <w:p w14:paraId="15A7C792" w14:textId="7D418793" w:rsidR="00520B70" w:rsidRDefault="00520B70" w:rsidP="00520B70">
      <w:pPr>
        <w:keepNext/>
        <w:rPr>
          <w:i/>
          <w:sz w:val="24"/>
          <w:szCs w:val="24"/>
        </w:rPr>
      </w:pPr>
      <w:r w:rsidRPr="007B13AA">
        <w:rPr>
          <w:i/>
          <w:sz w:val="24"/>
          <w:szCs w:val="24"/>
        </w:rPr>
        <w:lastRenderedPageBreak/>
        <w:t xml:space="preserve">Summarize the differences between prevention strategies for mutation positive and negative </w:t>
      </w:r>
      <w:r w:rsidR="00847B1B" w:rsidRPr="007B13AA">
        <w:rPr>
          <w:i/>
          <w:sz w:val="24"/>
          <w:szCs w:val="24"/>
        </w:rPr>
        <w:t xml:space="preserve">affected </w:t>
      </w:r>
      <w:r w:rsidRPr="007B13AA">
        <w:rPr>
          <w:i/>
          <w:sz w:val="24"/>
          <w:szCs w:val="24"/>
        </w:rPr>
        <w:t xml:space="preserve">individuals, with each management strategy for mutation-positive </w:t>
      </w:r>
      <w:r w:rsidR="00847B1B" w:rsidRPr="007B13AA">
        <w:rPr>
          <w:i/>
          <w:sz w:val="24"/>
          <w:szCs w:val="24"/>
        </w:rPr>
        <w:t xml:space="preserve">affected </w:t>
      </w:r>
      <w:r w:rsidRPr="007B13AA">
        <w:rPr>
          <w:i/>
          <w:sz w:val="24"/>
          <w:szCs w:val="24"/>
        </w:rPr>
        <w:t xml:space="preserve">individuals and mutation-negative </w:t>
      </w:r>
      <w:r w:rsidR="00847B1B" w:rsidRPr="007B13AA">
        <w:rPr>
          <w:i/>
          <w:sz w:val="24"/>
          <w:szCs w:val="24"/>
        </w:rPr>
        <w:t xml:space="preserve">affected </w:t>
      </w:r>
      <w:r w:rsidRPr="007B13AA">
        <w:rPr>
          <w:i/>
          <w:sz w:val="24"/>
          <w:szCs w:val="24"/>
        </w:rPr>
        <w:t>individuals being compared with the comparator of clinical management in the absence of testing.</w:t>
      </w:r>
    </w:p>
    <w:p w14:paraId="33CB3727" w14:textId="160FA105" w:rsidR="00463D83" w:rsidRPr="007B13AA" w:rsidRDefault="00463D83" w:rsidP="00463D83">
      <w:pPr>
        <w:keepNext/>
        <w:spacing w:after="0"/>
        <w:rPr>
          <w:i/>
          <w:sz w:val="24"/>
          <w:szCs w:val="24"/>
        </w:rPr>
      </w:pPr>
      <w:r w:rsidRPr="007B13AA">
        <w:rPr>
          <w:b/>
          <w:sz w:val="24"/>
          <w:szCs w:val="24"/>
        </w:rPr>
        <w:t>Breast</w:t>
      </w:r>
      <w:r>
        <w:rPr>
          <w:b/>
          <w:sz w:val="24"/>
          <w:szCs w:val="24"/>
        </w:rPr>
        <w:t xml:space="preserve"> cancer</w:t>
      </w:r>
    </w:p>
    <w:tbl>
      <w:tblPr>
        <w:tblStyle w:val="TableGrid"/>
        <w:tblW w:w="0" w:type="auto"/>
        <w:tblLook w:val="04A0" w:firstRow="1" w:lastRow="0" w:firstColumn="1" w:lastColumn="0" w:noHBand="0" w:noVBand="1"/>
        <w:tblDescription w:val="Table: Summarize the differences between prevention strategies for mutation positive and negative affected individuals, with each management strategy for mutation-positive affected individuals and mutation-negative affected individuals being compared with the comparator of clinical management in the absence of testing."/>
      </w:tblPr>
      <w:tblGrid>
        <w:gridCol w:w="1809"/>
        <w:gridCol w:w="2977"/>
        <w:gridCol w:w="2126"/>
        <w:gridCol w:w="2352"/>
      </w:tblGrid>
      <w:tr w:rsidR="00520B70" w:rsidRPr="007B13AA" w14:paraId="5759DA05" w14:textId="77777777" w:rsidTr="00C858E4">
        <w:trPr>
          <w:tblHeader/>
        </w:trPr>
        <w:tc>
          <w:tcPr>
            <w:tcW w:w="1809" w:type="dxa"/>
          </w:tcPr>
          <w:p w14:paraId="609FE68E" w14:textId="4BA78104" w:rsidR="00520B70" w:rsidRPr="00BA7E98" w:rsidRDefault="00520B70" w:rsidP="005D1C27">
            <w:pPr>
              <w:keepNext/>
              <w:rPr>
                <w:i/>
                <w:sz w:val="24"/>
                <w:szCs w:val="24"/>
              </w:rPr>
            </w:pPr>
            <w:r w:rsidRPr="00BA7E98">
              <w:rPr>
                <w:i/>
                <w:sz w:val="24"/>
                <w:szCs w:val="24"/>
              </w:rPr>
              <w:t xml:space="preserve">Prevention of </w:t>
            </w:r>
            <w:r w:rsidR="005D1C27" w:rsidRPr="00BA7E98">
              <w:rPr>
                <w:i/>
                <w:sz w:val="24"/>
                <w:szCs w:val="24"/>
              </w:rPr>
              <w:t>disease</w:t>
            </w:r>
          </w:p>
        </w:tc>
        <w:tc>
          <w:tcPr>
            <w:tcW w:w="2977" w:type="dxa"/>
          </w:tcPr>
          <w:p w14:paraId="715CD077" w14:textId="77777777" w:rsidR="00520B70" w:rsidRPr="007B13AA" w:rsidRDefault="00520B70" w:rsidP="00C858E4">
            <w:pPr>
              <w:keepNext/>
              <w:rPr>
                <w:i/>
                <w:sz w:val="24"/>
                <w:szCs w:val="24"/>
              </w:rPr>
            </w:pPr>
            <w:r w:rsidRPr="007B13AA">
              <w:rPr>
                <w:i/>
                <w:sz w:val="24"/>
                <w:szCs w:val="24"/>
              </w:rPr>
              <w:t>Mutation positive</w:t>
            </w:r>
          </w:p>
        </w:tc>
        <w:tc>
          <w:tcPr>
            <w:tcW w:w="2126" w:type="dxa"/>
          </w:tcPr>
          <w:p w14:paraId="10B6613D" w14:textId="77777777" w:rsidR="00520B70" w:rsidRPr="007B13AA" w:rsidRDefault="00520B70" w:rsidP="00C858E4">
            <w:pPr>
              <w:keepNext/>
              <w:rPr>
                <w:i/>
                <w:sz w:val="24"/>
                <w:szCs w:val="24"/>
              </w:rPr>
            </w:pPr>
            <w:r w:rsidRPr="007B13AA">
              <w:rPr>
                <w:i/>
                <w:sz w:val="24"/>
                <w:szCs w:val="24"/>
              </w:rPr>
              <w:t>Mutation negative</w:t>
            </w:r>
          </w:p>
        </w:tc>
        <w:tc>
          <w:tcPr>
            <w:tcW w:w="2352" w:type="dxa"/>
          </w:tcPr>
          <w:p w14:paraId="3FBD2C50" w14:textId="77777777" w:rsidR="00520B70" w:rsidRPr="007B13AA" w:rsidRDefault="00520B70" w:rsidP="00C858E4">
            <w:pPr>
              <w:keepNext/>
              <w:rPr>
                <w:i/>
                <w:sz w:val="24"/>
                <w:szCs w:val="24"/>
              </w:rPr>
            </w:pPr>
            <w:r w:rsidRPr="007B13AA">
              <w:rPr>
                <w:i/>
                <w:sz w:val="24"/>
                <w:szCs w:val="24"/>
              </w:rPr>
              <w:t>Incremental benefit of differential approach</w:t>
            </w:r>
          </w:p>
        </w:tc>
      </w:tr>
      <w:tr w:rsidR="00520B70" w:rsidRPr="007B13AA" w14:paraId="755071D4" w14:textId="77777777" w:rsidTr="00C858E4">
        <w:tc>
          <w:tcPr>
            <w:tcW w:w="1809" w:type="dxa"/>
          </w:tcPr>
          <w:p w14:paraId="19699561" w14:textId="77777777" w:rsidR="00520B70" w:rsidRPr="007B13AA" w:rsidRDefault="00520B70" w:rsidP="00C858E4">
            <w:pPr>
              <w:keepNext/>
              <w:rPr>
                <w:sz w:val="24"/>
                <w:szCs w:val="24"/>
              </w:rPr>
            </w:pPr>
            <w:r w:rsidRPr="007B13AA">
              <w:rPr>
                <w:sz w:val="24"/>
                <w:szCs w:val="24"/>
              </w:rPr>
              <w:t>Surgery</w:t>
            </w:r>
          </w:p>
        </w:tc>
        <w:tc>
          <w:tcPr>
            <w:tcW w:w="2977" w:type="dxa"/>
          </w:tcPr>
          <w:p w14:paraId="02945A59" w14:textId="77777777" w:rsidR="00520B70" w:rsidRPr="007B13AA" w:rsidRDefault="00520B70" w:rsidP="003258A6">
            <w:pPr>
              <w:pStyle w:val="ListParagraph"/>
              <w:keepNext/>
              <w:numPr>
                <w:ilvl w:val="0"/>
                <w:numId w:val="9"/>
              </w:numPr>
              <w:ind w:left="176" w:hanging="218"/>
              <w:rPr>
                <w:sz w:val="24"/>
                <w:szCs w:val="24"/>
              </w:rPr>
            </w:pPr>
            <w:r w:rsidRPr="007B13AA">
              <w:rPr>
                <w:sz w:val="24"/>
                <w:szCs w:val="24"/>
              </w:rPr>
              <w:t>Bilateral mastectomy</w:t>
            </w:r>
          </w:p>
          <w:p w14:paraId="105AACFA" w14:textId="77777777" w:rsidR="00520B70" w:rsidRPr="007B13AA" w:rsidRDefault="00520B70" w:rsidP="00C858E4">
            <w:pPr>
              <w:keepNext/>
              <w:ind w:left="-42"/>
              <w:rPr>
                <w:sz w:val="24"/>
                <w:szCs w:val="24"/>
              </w:rPr>
            </w:pPr>
          </w:p>
          <w:p w14:paraId="01AA9F7C" w14:textId="77777777" w:rsidR="00520B70" w:rsidRPr="007B13AA" w:rsidRDefault="00520B70" w:rsidP="00C858E4">
            <w:pPr>
              <w:keepNext/>
              <w:ind w:left="-42"/>
              <w:rPr>
                <w:sz w:val="24"/>
                <w:szCs w:val="24"/>
              </w:rPr>
            </w:pPr>
          </w:p>
          <w:p w14:paraId="09B5060E" w14:textId="77777777" w:rsidR="00520B70" w:rsidRPr="007B13AA" w:rsidRDefault="00520B70" w:rsidP="003258A6">
            <w:pPr>
              <w:pStyle w:val="ListParagraph"/>
              <w:keepNext/>
              <w:numPr>
                <w:ilvl w:val="0"/>
                <w:numId w:val="9"/>
              </w:numPr>
              <w:ind w:left="176" w:hanging="218"/>
              <w:rPr>
                <w:sz w:val="24"/>
                <w:szCs w:val="24"/>
              </w:rPr>
            </w:pPr>
            <w:r w:rsidRPr="007B13AA">
              <w:rPr>
                <w:sz w:val="24"/>
                <w:szCs w:val="24"/>
              </w:rPr>
              <w:t>Bilateral salpingo-oophorectomy</w:t>
            </w:r>
          </w:p>
        </w:tc>
        <w:tc>
          <w:tcPr>
            <w:tcW w:w="2126" w:type="dxa"/>
          </w:tcPr>
          <w:p w14:paraId="00B60ECD" w14:textId="77777777" w:rsidR="00520B70" w:rsidRPr="007B13AA" w:rsidRDefault="00520B70" w:rsidP="00C858E4">
            <w:pPr>
              <w:keepNext/>
              <w:rPr>
                <w:sz w:val="24"/>
                <w:szCs w:val="24"/>
              </w:rPr>
            </w:pPr>
            <w:r w:rsidRPr="007B13AA">
              <w:rPr>
                <w:sz w:val="24"/>
                <w:szCs w:val="24"/>
              </w:rPr>
              <w:t>Unchanged</w:t>
            </w:r>
          </w:p>
        </w:tc>
        <w:tc>
          <w:tcPr>
            <w:tcW w:w="2352" w:type="dxa"/>
          </w:tcPr>
          <w:p w14:paraId="63626C0F" w14:textId="77777777" w:rsidR="00520B70" w:rsidRPr="007B13AA" w:rsidRDefault="00520B70" w:rsidP="003258A6">
            <w:pPr>
              <w:pStyle w:val="ListParagraph"/>
              <w:keepNext/>
              <w:numPr>
                <w:ilvl w:val="0"/>
                <w:numId w:val="10"/>
              </w:numPr>
              <w:ind w:left="176" w:hanging="218"/>
              <w:rPr>
                <w:sz w:val="24"/>
                <w:szCs w:val="24"/>
              </w:rPr>
            </w:pPr>
            <w:r w:rsidRPr="007B13AA">
              <w:rPr>
                <w:sz w:val="24"/>
                <w:szCs w:val="24"/>
              </w:rPr>
              <w:t>Risk of breast cancer reduced by ≥ 90%</w:t>
            </w:r>
          </w:p>
          <w:p w14:paraId="51D862BB" w14:textId="702736F9" w:rsidR="00520B70" w:rsidRPr="007B13AA" w:rsidRDefault="00520B70" w:rsidP="003258A6">
            <w:pPr>
              <w:pStyle w:val="ListParagraph"/>
              <w:keepNext/>
              <w:numPr>
                <w:ilvl w:val="0"/>
                <w:numId w:val="10"/>
              </w:numPr>
              <w:ind w:left="176" w:hanging="218"/>
              <w:rPr>
                <w:sz w:val="24"/>
                <w:szCs w:val="24"/>
              </w:rPr>
            </w:pPr>
            <w:r w:rsidRPr="007B13AA">
              <w:rPr>
                <w:sz w:val="24"/>
                <w:szCs w:val="24"/>
              </w:rPr>
              <w:t xml:space="preserve">Risk of breast cancer reduced by ~ 50% if </w:t>
            </w:r>
            <w:r w:rsidR="0037615D" w:rsidRPr="007B13AA">
              <w:rPr>
                <w:sz w:val="24"/>
                <w:szCs w:val="24"/>
              </w:rPr>
              <w:t>carrier</w:t>
            </w:r>
            <w:r w:rsidRPr="007B13AA">
              <w:rPr>
                <w:sz w:val="24"/>
                <w:szCs w:val="24"/>
              </w:rPr>
              <w:t xml:space="preserve"> is aged ~ 40 years</w:t>
            </w:r>
          </w:p>
        </w:tc>
      </w:tr>
      <w:tr w:rsidR="00520B70" w:rsidRPr="007B13AA" w14:paraId="228C24F8" w14:textId="77777777" w:rsidTr="00C858E4">
        <w:tc>
          <w:tcPr>
            <w:tcW w:w="1809" w:type="dxa"/>
          </w:tcPr>
          <w:p w14:paraId="2A2BC050" w14:textId="77777777" w:rsidR="00520B70" w:rsidRPr="007B13AA" w:rsidRDefault="00520B70" w:rsidP="00C858E4">
            <w:pPr>
              <w:keepNext/>
              <w:rPr>
                <w:sz w:val="24"/>
                <w:szCs w:val="24"/>
              </w:rPr>
            </w:pPr>
            <w:r w:rsidRPr="007B13AA">
              <w:rPr>
                <w:sz w:val="24"/>
                <w:szCs w:val="24"/>
              </w:rPr>
              <w:t>Screening</w:t>
            </w:r>
          </w:p>
        </w:tc>
        <w:tc>
          <w:tcPr>
            <w:tcW w:w="2977" w:type="dxa"/>
          </w:tcPr>
          <w:p w14:paraId="6B7D7EEC" w14:textId="77777777" w:rsidR="00520B70" w:rsidRPr="007B13AA" w:rsidRDefault="00520B70" w:rsidP="00C858E4">
            <w:pPr>
              <w:keepNext/>
              <w:rPr>
                <w:sz w:val="24"/>
                <w:szCs w:val="24"/>
              </w:rPr>
            </w:pPr>
            <w:r w:rsidRPr="007B13AA">
              <w:rPr>
                <w:sz w:val="24"/>
                <w:szCs w:val="24"/>
              </w:rPr>
              <w:t>MRI is superior to mammogram/ultrasound for detection of breast cancer in mutation carriers aged ≤ 50 years because MRI detects tumours which are smaller and more likely to be node-negative</w:t>
            </w:r>
          </w:p>
        </w:tc>
        <w:tc>
          <w:tcPr>
            <w:tcW w:w="2126" w:type="dxa"/>
          </w:tcPr>
          <w:p w14:paraId="487B16F9" w14:textId="77777777" w:rsidR="00520B70" w:rsidRPr="007B13AA" w:rsidRDefault="00520B70" w:rsidP="00C858E4">
            <w:pPr>
              <w:keepNext/>
              <w:rPr>
                <w:sz w:val="24"/>
                <w:szCs w:val="24"/>
              </w:rPr>
            </w:pPr>
            <w:r w:rsidRPr="007B13AA">
              <w:rPr>
                <w:sz w:val="24"/>
                <w:szCs w:val="24"/>
              </w:rPr>
              <w:t>Unchanged</w:t>
            </w:r>
          </w:p>
        </w:tc>
        <w:tc>
          <w:tcPr>
            <w:tcW w:w="2352" w:type="dxa"/>
          </w:tcPr>
          <w:p w14:paraId="352D3662" w14:textId="77777777" w:rsidR="00520B70" w:rsidRPr="007B13AA" w:rsidRDefault="00520B70" w:rsidP="00C858E4">
            <w:pPr>
              <w:keepNext/>
              <w:rPr>
                <w:sz w:val="24"/>
                <w:szCs w:val="24"/>
              </w:rPr>
            </w:pPr>
            <w:r w:rsidRPr="007B13AA">
              <w:rPr>
                <w:sz w:val="24"/>
                <w:szCs w:val="24"/>
              </w:rPr>
              <w:t>Early detection expected to reduce breast cancer mortality (no data yet available to estimate extent of reduction)</w:t>
            </w:r>
          </w:p>
        </w:tc>
      </w:tr>
      <w:tr w:rsidR="00520B70" w:rsidRPr="007B13AA" w14:paraId="1796ED30" w14:textId="77777777" w:rsidTr="00C858E4">
        <w:tc>
          <w:tcPr>
            <w:tcW w:w="1809" w:type="dxa"/>
          </w:tcPr>
          <w:p w14:paraId="75730FFD" w14:textId="77777777" w:rsidR="00520B70" w:rsidRPr="007B13AA" w:rsidRDefault="00520B70" w:rsidP="00C858E4">
            <w:pPr>
              <w:keepNext/>
              <w:rPr>
                <w:sz w:val="24"/>
                <w:szCs w:val="24"/>
              </w:rPr>
            </w:pPr>
            <w:r w:rsidRPr="007B13AA">
              <w:rPr>
                <w:sz w:val="24"/>
                <w:szCs w:val="24"/>
              </w:rPr>
              <w:t>Medical prophylaxis</w:t>
            </w:r>
          </w:p>
        </w:tc>
        <w:tc>
          <w:tcPr>
            <w:tcW w:w="2977" w:type="dxa"/>
          </w:tcPr>
          <w:p w14:paraId="5A394B34" w14:textId="77777777" w:rsidR="00520B70" w:rsidRPr="007B13AA" w:rsidRDefault="00520B70" w:rsidP="003258A6">
            <w:pPr>
              <w:pStyle w:val="ListParagraph"/>
              <w:keepNext/>
              <w:numPr>
                <w:ilvl w:val="0"/>
                <w:numId w:val="6"/>
              </w:numPr>
              <w:ind w:left="34" w:hanging="142"/>
              <w:rPr>
                <w:sz w:val="24"/>
                <w:szCs w:val="24"/>
              </w:rPr>
            </w:pPr>
            <w:r w:rsidRPr="007B13AA">
              <w:rPr>
                <w:sz w:val="24"/>
                <w:szCs w:val="24"/>
              </w:rPr>
              <w:t>Tamoxifen</w:t>
            </w:r>
          </w:p>
          <w:p w14:paraId="6306F21D" w14:textId="77777777" w:rsidR="00520B70" w:rsidRPr="007B13AA" w:rsidRDefault="00520B70" w:rsidP="003258A6">
            <w:pPr>
              <w:pStyle w:val="ListParagraph"/>
              <w:keepNext/>
              <w:numPr>
                <w:ilvl w:val="0"/>
                <w:numId w:val="6"/>
              </w:numPr>
              <w:ind w:left="34" w:hanging="142"/>
              <w:rPr>
                <w:sz w:val="24"/>
                <w:szCs w:val="24"/>
              </w:rPr>
            </w:pPr>
            <w:r w:rsidRPr="007B13AA">
              <w:rPr>
                <w:sz w:val="24"/>
                <w:szCs w:val="24"/>
              </w:rPr>
              <w:t>Raloxifene</w:t>
            </w:r>
          </w:p>
        </w:tc>
        <w:tc>
          <w:tcPr>
            <w:tcW w:w="2126" w:type="dxa"/>
          </w:tcPr>
          <w:p w14:paraId="1C8335C7" w14:textId="77777777" w:rsidR="00520B70" w:rsidRPr="007B13AA" w:rsidRDefault="00520B70" w:rsidP="00C858E4">
            <w:pPr>
              <w:keepNext/>
              <w:rPr>
                <w:sz w:val="24"/>
                <w:szCs w:val="24"/>
              </w:rPr>
            </w:pPr>
            <w:r w:rsidRPr="007B13AA">
              <w:rPr>
                <w:sz w:val="24"/>
                <w:szCs w:val="24"/>
              </w:rPr>
              <w:t>Unchanged</w:t>
            </w:r>
          </w:p>
        </w:tc>
        <w:tc>
          <w:tcPr>
            <w:tcW w:w="2352" w:type="dxa"/>
          </w:tcPr>
          <w:p w14:paraId="70B2D4B4" w14:textId="77777777" w:rsidR="00520B70" w:rsidRPr="007B13AA" w:rsidRDefault="00520B70" w:rsidP="00C858E4">
            <w:pPr>
              <w:keepNext/>
              <w:rPr>
                <w:sz w:val="24"/>
                <w:szCs w:val="24"/>
              </w:rPr>
            </w:pPr>
            <w:r w:rsidRPr="007B13AA">
              <w:rPr>
                <w:sz w:val="24"/>
                <w:szCs w:val="24"/>
              </w:rPr>
              <w:t>Proven 40% reduction of breast cancer incidence in those at higher baseline risk</w:t>
            </w:r>
          </w:p>
        </w:tc>
      </w:tr>
    </w:tbl>
    <w:p w14:paraId="470FC686" w14:textId="77777777" w:rsidR="00463D83" w:rsidRDefault="00463D83" w:rsidP="00463D83">
      <w:pPr>
        <w:spacing w:before="200" w:after="0"/>
        <w:rPr>
          <w:b/>
          <w:sz w:val="24"/>
          <w:szCs w:val="24"/>
        </w:rPr>
      </w:pPr>
    </w:p>
    <w:p w14:paraId="060C9432" w14:textId="77777777" w:rsidR="00463D83" w:rsidRDefault="00463D83">
      <w:pPr>
        <w:rPr>
          <w:b/>
          <w:sz w:val="24"/>
          <w:szCs w:val="24"/>
        </w:rPr>
      </w:pPr>
      <w:r>
        <w:rPr>
          <w:b/>
          <w:sz w:val="24"/>
          <w:szCs w:val="24"/>
        </w:rPr>
        <w:br w:type="page"/>
      </w:r>
    </w:p>
    <w:p w14:paraId="79204160" w14:textId="433FEA4E" w:rsidR="00463D83" w:rsidRDefault="00463D83" w:rsidP="00463D83">
      <w:pPr>
        <w:spacing w:before="200" w:after="0"/>
        <w:rPr>
          <w:i/>
          <w:sz w:val="24"/>
          <w:szCs w:val="24"/>
        </w:rPr>
      </w:pPr>
      <w:r w:rsidRPr="007B13AA">
        <w:rPr>
          <w:b/>
          <w:sz w:val="24"/>
          <w:szCs w:val="24"/>
        </w:rPr>
        <w:lastRenderedPageBreak/>
        <w:t>Ovarian/fallopian tube</w:t>
      </w:r>
      <w:r>
        <w:rPr>
          <w:b/>
          <w:sz w:val="24"/>
          <w:szCs w:val="24"/>
        </w:rPr>
        <w:t xml:space="preserve"> cancer</w:t>
      </w:r>
    </w:p>
    <w:tbl>
      <w:tblPr>
        <w:tblStyle w:val="TableGrid"/>
        <w:tblW w:w="0" w:type="auto"/>
        <w:tblLook w:val="04A0" w:firstRow="1" w:lastRow="0" w:firstColumn="1" w:lastColumn="0" w:noHBand="0" w:noVBand="1"/>
        <w:tblDescription w:val="Table: Summarize the differences between prevention strategies for mutation positive and negative affected individuals, with each management strategy for mutation-positive affected individuals and mutation-negative affected individuals being compared with the comparator of clinical management in the absence of testing."/>
      </w:tblPr>
      <w:tblGrid>
        <w:gridCol w:w="1809"/>
        <w:gridCol w:w="2977"/>
        <w:gridCol w:w="2126"/>
        <w:gridCol w:w="2352"/>
      </w:tblGrid>
      <w:tr w:rsidR="00463D83" w:rsidRPr="007B13AA" w14:paraId="46AD6931" w14:textId="77777777" w:rsidTr="00463D83">
        <w:trPr>
          <w:tblHeader/>
        </w:trPr>
        <w:tc>
          <w:tcPr>
            <w:tcW w:w="1809" w:type="dxa"/>
          </w:tcPr>
          <w:p w14:paraId="57131B87" w14:textId="77777777" w:rsidR="00463D83" w:rsidRPr="007B13AA" w:rsidRDefault="00463D83" w:rsidP="006F19B7">
            <w:pPr>
              <w:keepNext/>
              <w:rPr>
                <w:sz w:val="24"/>
                <w:szCs w:val="24"/>
              </w:rPr>
            </w:pPr>
            <w:r w:rsidRPr="007B13AA">
              <w:rPr>
                <w:sz w:val="24"/>
                <w:szCs w:val="24"/>
              </w:rPr>
              <w:t>Surgery</w:t>
            </w:r>
          </w:p>
        </w:tc>
        <w:tc>
          <w:tcPr>
            <w:tcW w:w="2977" w:type="dxa"/>
          </w:tcPr>
          <w:p w14:paraId="1313DBCB" w14:textId="77777777" w:rsidR="00463D83" w:rsidRPr="007B13AA" w:rsidRDefault="00463D83" w:rsidP="006F19B7">
            <w:pPr>
              <w:keepNext/>
              <w:rPr>
                <w:sz w:val="24"/>
                <w:szCs w:val="24"/>
              </w:rPr>
            </w:pPr>
            <w:r w:rsidRPr="007B13AA">
              <w:rPr>
                <w:sz w:val="24"/>
                <w:szCs w:val="24"/>
              </w:rPr>
              <w:t>Bilateral salpingo-oophorectomy</w:t>
            </w:r>
          </w:p>
        </w:tc>
        <w:tc>
          <w:tcPr>
            <w:tcW w:w="2126" w:type="dxa"/>
          </w:tcPr>
          <w:p w14:paraId="7BE3B4BD" w14:textId="77777777" w:rsidR="00463D83" w:rsidRPr="007B13AA" w:rsidRDefault="00463D83" w:rsidP="006F19B7">
            <w:pPr>
              <w:keepNext/>
              <w:rPr>
                <w:sz w:val="24"/>
                <w:szCs w:val="24"/>
              </w:rPr>
            </w:pPr>
            <w:r w:rsidRPr="007B13AA">
              <w:rPr>
                <w:sz w:val="24"/>
                <w:szCs w:val="24"/>
              </w:rPr>
              <w:t>Unchanged</w:t>
            </w:r>
          </w:p>
        </w:tc>
        <w:tc>
          <w:tcPr>
            <w:tcW w:w="2352" w:type="dxa"/>
          </w:tcPr>
          <w:p w14:paraId="6999A720" w14:textId="77777777" w:rsidR="00463D83" w:rsidRPr="007B13AA" w:rsidRDefault="00463D83" w:rsidP="006F19B7">
            <w:pPr>
              <w:keepNext/>
              <w:rPr>
                <w:sz w:val="24"/>
                <w:szCs w:val="24"/>
              </w:rPr>
            </w:pPr>
            <w:r w:rsidRPr="007B13AA">
              <w:rPr>
                <w:sz w:val="24"/>
                <w:szCs w:val="24"/>
              </w:rPr>
              <w:t>Risk of ovarian/ fallopian cancer reduced by ≥80% and risk of breast cancer reduced by ~ 50% if carrier is aged ~ 40 years, with proven reduction of breast cancer related, ovarian cancer related, and all-cause mortality</w:t>
            </w:r>
          </w:p>
        </w:tc>
      </w:tr>
      <w:tr w:rsidR="00463D83" w:rsidRPr="007B13AA" w14:paraId="4E9B164C" w14:textId="77777777" w:rsidTr="006F19B7">
        <w:tc>
          <w:tcPr>
            <w:tcW w:w="1809" w:type="dxa"/>
          </w:tcPr>
          <w:p w14:paraId="05A94C3B" w14:textId="77777777" w:rsidR="00463D83" w:rsidRPr="007B13AA" w:rsidRDefault="00463D83" w:rsidP="006F19B7">
            <w:pPr>
              <w:keepNext/>
              <w:rPr>
                <w:sz w:val="24"/>
                <w:szCs w:val="24"/>
              </w:rPr>
            </w:pPr>
            <w:r w:rsidRPr="007B13AA">
              <w:rPr>
                <w:sz w:val="24"/>
                <w:szCs w:val="24"/>
              </w:rPr>
              <w:t>Screening</w:t>
            </w:r>
          </w:p>
        </w:tc>
        <w:tc>
          <w:tcPr>
            <w:tcW w:w="2977" w:type="dxa"/>
          </w:tcPr>
          <w:p w14:paraId="4ADE153A" w14:textId="77777777" w:rsidR="00463D83" w:rsidRPr="007B13AA" w:rsidRDefault="00463D83" w:rsidP="006F19B7">
            <w:pPr>
              <w:keepNext/>
              <w:rPr>
                <w:sz w:val="24"/>
                <w:szCs w:val="24"/>
              </w:rPr>
            </w:pPr>
            <w:r w:rsidRPr="007B13AA">
              <w:rPr>
                <w:sz w:val="24"/>
                <w:szCs w:val="24"/>
              </w:rPr>
              <w:t>Not applicable as no effective screening</w:t>
            </w:r>
          </w:p>
        </w:tc>
        <w:tc>
          <w:tcPr>
            <w:tcW w:w="2126" w:type="dxa"/>
          </w:tcPr>
          <w:p w14:paraId="44E128D6" w14:textId="77777777" w:rsidR="00463D83" w:rsidRPr="007B13AA" w:rsidRDefault="00463D83" w:rsidP="006F19B7">
            <w:pPr>
              <w:keepNext/>
              <w:rPr>
                <w:sz w:val="24"/>
                <w:szCs w:val="24"/>
              </w:rPr>
            </w:pPr>
            <w:r w:rsidRPr="007B13AA">
              <w:rPr>
                <w:sz w:val="24"/>
                <w:szCs w:val="24"/>
              </w:rPr>
              <w:t>Not applicable: no effective screening</w:t>
            </w:r>
          </w:p>
        </w:tc>
        <w:tc>
          <w:tcPr>
            <w:tcW w:w="2352" w:type="dxa"/>
          </w:tcPr>
          <w:p w14:paraId="0CE8809F" w14:textId="77777777" w:rsidR="00463D83" w:rsidRPr="007B13AA" w:rsidRDefault="00463D83" w:rsidP="006F19B7">
            <w:pPr>
              <w:keepNext/>
              <w:rPr>
                <w:sz w:val="24"/>
                <w:szCs w:val="24"/>
              </w:rPr>
            </w:pPr>
            <w:r w:rsidRPr="007B13AA">
              <w:rPr>
                <w:sz w:val="24"/>
                <w:szCs w:val="24"/>
              </w:rPr>
              <w:t>Not applicable</w:t>
            </w:r>
          </w:p>
        </w:tc>
      </w:tr>
      <w:tr w:rsidR="00463D83" w:rsidRPr="007B13AA" w14:paraId="3CF2FCAC" w14:textId="77777777" w:rsidTr="006F19B7">
        <w:tc>
          <w:tcPr>
            <w:tcW w:w="1809" w:type="dxa"/>
          </w:tcPr>
          <w:p w14:paraId="2EB346D7" w14:textId="77777777" w:rsidR="00463D83" w:rsidRPr="007B13AA" w:rsidRDefault="00463D83" w:rsidP="006F19B7">
            <w:pPr>
              <w:rPr>
                <w:sz w:val="24"/>
                <w:szCs w:val="24"/>
              </w:rPr>
            </w:pPr>
            <w:r w:rsidRPr="007B13AA">
              <w:rPr>
                <w:sz w:val="24"/>
                <w:szCs w:val="24"/>
              </w:rPr>
              <w:t>Medical prophylaxis</w:t>
            </w:r>
          </w:p>
        </w:tc>
        <w:tc>
          <w:tcPr>
            <w:tcW w:w="2977" w:type="dxa"/>
          </w:tcPr>
          <w:p w14:paraId="2EB168CB" w14:textId="77777777" w:rsidR="00463D83" w:rsidRPr="007B13AA" w:rsidRDefault="00463D83" w:rsidP="006F19B7">
            <w:pPr>
              <w:keepNext/>
              <w:rPr>
                <w:sz w:val="24"/>
                <w:szCs w:val="24"/>
              </w:rPr>
            </w:pPr>
            <w:r w:rsidRPr="007B13AA">
              <w:rPr>
                <w:sz w:val="24"/>
                <w:szCs w:val="24"/>
              </w:rPr>
              <w:t>Unchanged</w:t>
            </w:r>
          </w:p>
        </w:tc>
        <w:tc>
          <w:tcPr>
            <w:tcW w:w="2126" w:type="dxa"/>
          </w:tcPr>
          <w:p w14:paraId="670E008C" w14:textId="77777777" w:rsidR="00463D83" w:rsidRPr="007B13AA" w:rsidRDefault="00463D83" w:rsidP="006F19B7">
            <w:pPr>
              <w:keepNext/>
              <w:rPr>
                <w:sz w:val="24"/>
                <w:szCs w:val="24"/>
              </w:rPr>
            </w:pPr>
            <w:r w:rsidRPr="007B13AA">
              <w:rPr>
                <w:sz w:val="24"/>
                <w:szCs w:val="24"/>
              </w:rPr>
              <w:t>Unchanged</w:t>
            </w:r>
          </w:p>
        </w:tc>
        <w:tc>
          <w:tcPr>
            <w:tcW w:w="2352" w:type="dxa"/>
          </w:tcPr>
          <w:p w14:paraId="1F37DBAB" w14:textId="77777777" w:rsidR="00463D83" w:rsidRPr="007B13AA" w:rsidRDefault="00463D83" w:rsidP="006F19B7">
            <w:pPr>
              <w:keepNext/>
              <w:rPr>
                <w:sz w:val="24"/>
                <w:szCs w:val="24"/>
              </w:rPr>
            </w:pPr>
            <w:r w:rsidRPr="007B13AA">
              <w:rPr>
                <w:sz w:val="24"/>
                <w:szCs w:val="24"/>
              </w:rPr>
              <w:t>Not applicable</w:t>
            </w:r>
          </w:p>
        </w:tc>
      </w:tr>
    </w:tbl>
    <w:p w14:paraId="191D0B8A" w14:textId="77777777" w:rsidR="00463D83" w:rsidRDefault="00463D83" w:rsidP="00520B70">
      <w:pPr>
        <w:spacing w:before="200"/>
        <w:rPr>
          <w:i/>
          <w:sz w:val="24"/>
          <w:szCs w:val="24"/>
        </w:rPr>
      </w:pPr>
    </w:p>
    <w:p w14:paraId="3469C18D" w14:textId="77777777" w:rsidR="00520B70" w:rsidRPr="007B13AA" w:rsidRDefault="00520B70" w:rsidP="00520B70">
      <w:pPr>
        <w:spacing w:before="200"/>
        <w:rPr>
          <w:i/>
          <w:sz w:val="24"/>
          <w:szCs w:val="24"/>
        </w:rPr>
      </w:pPr>
      <w:r w:rsidRPr="007B13AA">
        <w:rPr>
          <w:i/>
          <w:sz w:val="24"/>
          <w:szCs w:val="24"/>
        </w:rPr>
        <w:t>Provide supporting evidence for the claimed magnitudes of benefit for the selections above.</w:t>
      </w:r>
    </w:p>
    <w:p w14:paraId="58330853" w14:textId="41B75E63" w:rsidR="00520B70" w:rsidRPr="007B13AA" w:rsidRDefault="00520B70" w:rsidP="00520B70">
      <w:pPr>
        <w:spacing w:before="200"/>
        <w:rPr>
          <w:sz w:val="24"/>
          <w:szCs w:val="24"/>
        </w:rPr>
      </w:pPr>
      <w:r w:rsidRPr="007B13AA">
        <w:rPr>
          <w:sz w:val="24"/>
          <w:szCs w:val="24"/>
        </w:rPr>
        <w:t>Supporting evidence for the above is referenced in:</w:t>
      </w:r>
      <w:r w:rsidRPr="007B13AA">
        <w:rPr>
          <w:sz w:val="24"/>
          <w:szCs w:val="24"/>
        </w:rPr>
        <w:br/>
      </w:r>
      <w:hyperlink r:id="rId18" w:tooltip="Link to supporting evidence for the above" w:history="1">
        <w:r w:rsidRPr="007B13AA">
          <w:rPr>
            <w:rStyle w:val="Hyperlink"/>
            <w:sz w:val="24"/>
            <w:szCs w:val="24"/>
          </w:rPr>
          <w:t>https://www.eviq.org.au/Protocol/tabid/66/categoryid/66/id/170/Risk+Management+for+an+Unaffected+Female+BRCA1+Mutation+Carrier.aspx</w:t>
        </w:r>
      </w:hyperlink>
    </w:p>
    <w:p w14:paraId="38D34AA5" w14:textId="77777777" w:rsidR="00520B70" w:rsidRPr="007B13AA" w:rsidRDefault="00520B70" w:rsidP="00520B70">
      <w:pPr>
        <w:rPr>
          <w:sz w:val="24"/>
          <w:szCs w:val="24"/>
        </w:rPr>
      </w:pPr>
      <w:r w:rsidRPr="007B13AA">
        <w:rPr>
          <w:sz w:val="24"/>
          <w:szCs w:val="24"/>
        </w:rPr>
        <w:br w:type="page"/>
      </w:r>
    </w:p>
    <w:p w14:paraId="30BA33B3" w14:textId="77777777" w:rsidR="00BE7C5F" w:rsidRPr="007B13AA" w:rsidRDefault="00BE7C5F" w:rsidP="003258A6">
      <w:pPr>
        <w:pStyle w:val="Heading1"/>
        <w:numPr>
          <w:ilvl w:val="0"/>
          <w:numId w:val="22"/>
        </w:numPr>
      </w:pPr>
      <w:r w:rsidRPr="007B13AA">
        <w:lastRenderedPageBreak/>
        <w:t>IMPLEMENTATION ISSUES AND RATIONALE FOR ANY CASCADE TESTING</w:t>
      </w:r>
    </w:p>
    <w:p w14:paraId="30A7406B" w14:textId="719B78A2" w:rsidR="00AF1D96" w:rsidRPr="007B13AA" w:rsidRDefault="00347BCF" w:rsidP="00BE0F9E">
      <w:pPr>
        <w:pStyle w:val="Heading2"/>
        <w:numPr>
          <w:ilvl w:val="0"/>
          <w:numId w:val="0"/>
        </w:numPr>
        <w:ind w:left="576"/>
      </w:pPr>
      <w:r>
        <w:t>4.1</w:t>
      </w:r>
      <w:r>
        <w:tab/>
      </w:r>
      <w:r w:rsidR="00AF1D96" w:rsidRPr="007B13AA">
        <w:t>Clinical context of testing</w:t>
      </w:r>
      <w:r w:rsidR="003707B3" w:rsidRPr="007B13AA">
        <w:t xml:space="preserve"> for an individual presenting with an eligible </w:t>
      </w:r>
      <w:r w:rsidR="00974FA7" w:rsidRPr="007B13AA">
        <w:t>“</w:t>
      </w:r>
      <w:r w:rsidR="003707B3" w:rsidRPr="007B13AA">
        <w:t>phenome</w:t>
      </w:r>
      <w:r w:rsidR="00974FA7" w:rsidRPr="007B13AA">
        <w:t>”</w:t>
      </w:r>
    </w:p>
    <w:p w14:paraId="1B5F2363" w14:textId="3B2DBA6D" w:rsidR="00AF1D96" w:rsidRPr="007B13AA" w:rsidRDefault="00AF1D96" w:rsidP="00AF1D96">
      <w:pPr>
        <w:rPr>
          <w:sz w:val="24"/>
          <w:szCs w:val="24"/>
        </w:rPr>
      </w:pPr>
      <w:r w:rsidRPr="007B13AA">
        <w:rPr>
          <w:i/>
          <w:sz w:val="24"/>
          <w:szCs w:val="24"/>
        </w:rPr>
        <w:t xml:space="preserve">Clinical setting in which testing can be ordered </w:t>
      </w:r>
      <w:r w:rsidR="00BE694B" w:rsidRPr="007B13AA">
        <w:rPr>
          <w:i/>
          <w:sz w:val="24"/>
          <w:szCs w:val="24"/>
        </w:rPr>
        <w:t xml:space="preserve">and the test results are interpreted </w:t>
      </w:r>
      <w:r w:rsidR="0018047F" w:rsidRPr="007B13AA">
        <w:rPr>
          <w:i/>
          <w:sz w:val="24"/>
          <w:szCs w:val="24"/>
        </w:rPr>
        <w:t xml:space="preserve">for an individual presenting with an eligible </w:t>
      </w:r>
      <w:r w:rsidR="00C975E1" w:rsidRPr="007B13AA">
        <w:rPr>
          <w:i/>
          <w:sz w:val="24"/>
          <w:szCs w:val="24"/>
        </w:rPr>
        <w:t>“</w:t>
      </w:r>
      <w:r w:rsidR="0018047F" w:rsidRPr="007B13AA">
        <w:rPr>
          <w:i/>
          <w:sz w:val="24"/>
          <w:szCs w:val="24"/>
        </w:rPr>
        <w:t>phenome</w:t>
      </w:r>
      <w:r w:rsidR="00C975E1" w:rsidRPr="007B13AA">
        <w:rPr>
          <w:i/>
          <w:sz w:val="24"/>
          <w:szCs w:val="24"/>
        </w:rPr>
        <w:t>”</w:t>
      </w:r>
      <w:r w:rsidR="003375AE" w:rsidRPr="007B13AA">
        <w:rPr>
          <w:i/>
          <w:sz w:val="24"/>
          <w:szCs w:val="24"/>
        </w:rPr>
        <w:t>:</w:t>
      </w:r>
      <w:r w:rsidR="0018047F" w:rsidRPr="007B13AA">
        <w:rPr>
          <w:sz w:val="24"/>
          <w:szCs w:val="24"/>
        </w:rPr>
        <w:t xml:space="preserve"> </w:t>
      </w:r>
      <w:r w:rsidRPr="007B13AA">
        <w:rPr>
          <w:sz w:val="24"/>
          <w:szCs w:val="24"/>
        </w:rPr>
        <w:t>specialist physician/surgeon</w:t>
      </w:r>
      <w:r w:rsidR="0009606C" w:rsidRPr="007B13AA">
        <w:rPr>
          <w:sz w:val="24"/>
          <w:szCs w:val="24"/>
        </w:rPr>
        <w:t>.</w:t>
      </w:r>
    </w:p>
    <w:p w14:paraId="7972C0F3" w14:textId="594767B4" w:rsidR="00B85039" w:rsidRPr="007B13AA" w:rsidRDefault="00AF1D96" w:rsidP="00B85039">
      <w:pPr>
        <w:rPr>
          <w:sz w:val="24"/>
          <w:szCs w:val="24"/>
        </w:rPr>
      </w:pPr>
      <w:r w:rsidRPr="007B13AA">
        <w:rPr>
          <w:i/>
          <w:sz w:val="24"/>
          <w:szCs w:val="24"/>
        </w:rPr>
        <w:t xml:space="preserve">Role of </w:t>
      </w:r>
      <w:r w:rsidR="00D94AC7" w:rsidRPr="007B13AA">
        <w:rPr>
          <w:i/>
          <w:sz w:val="24"/>
          <w:szCs w:val="24"/>
        </w:rPr>
        <w:t xml:space="preserve">pre-test </w:t>
      </w:r>
      <w:r w:rsidRPr="007B13AA">
        <w:rPr>
          <w:i/>
          <w:sz w:val="24"/>
          <w:szCs w:val="24"/>
        </w:rPr>
        <w:t xml:space="preserve">genetic counselling </w:t>
      </w:r>
      <w:r w:rsidR="00D94AC7" w:rsidRPr="007B13AA">
        <w:rPr>
          <w:i/>
          <w:sz w:val="24"/>
          <w:szCs w:val="24"/>
        </w:rPr>
        <w:t xml:space="preserve">or information </w:t>
      </w:r>
      <w:r w:rsidR="0018047F" w:rsidRPr="007B13AA">
        <w:rPr>
          <w:i/>
          <w:sz w:val="24"/>
          <w:szCs w:val="24"/>
        </w:rPr>
        <w:t>for th</w:t>
      </w:r>
      <w:r w:rsidR="00BE694B" w:rsidRPr="007B13AA">
        <w:rPr>
          <w:i/>
          <w:sz w:val="24"/>
          <w:szCs w:val="24"/>
        </w:rPr>
        <w:t>is individual</w:t>
      </w:r>
      <w:r w:rsidRPr="007B13AA">
        <w:rPr>
          <w:i/>
          <w:sz w:val="24"/>
          <w:szCs w:val="24"/>
        </w:rPr>
        <w:t>:</w:t>
      </w:r>
      <w:r w:rsidR="003375AE" w:rsidRPr="007B13AA">
        <w:rPr>
          <w:sz w:val="24"/>
          <w:szCs w:val="24"/>
        </w:rPr>
        <w:t xml:space="preserve"> </w:t>
      </w:r>
      <w:r w:rsidR="00612A44" w:rsidRPr="007B13AA">
        <w:rPr>
          <w:sz w:val="24"/>
          <w:szCs w:val="24"/>
        </w:rPr>
        <w:t>required.</w:t>
      </w:r>
    </w:p>
    <w:p w14:paraId="2BEC775D" w14:textId="2AB1F02F" w:rsidR="00B85039" w:rsidRPr="007B13AA" w:rsidRDefault="00B85039" w:rsidP="00B85039">
      <w:pPr>
        <w:spacing w:after="0"/>
        <w:ind w:left="709"/>
        <w:rPr>
          <w:sz w:val="24"/>
          <w:szCs w:val="24"/>
        </w:rPr>
      </w:pPr>
      <w:r w:rsidRPr="007B13AA">
        <w:rPr>
          <w:i/>
          <w:sz w:val="24"/>
          <w:szCs w:val="24"/>
        </w:rPr>
        <w:t>If required, nature of counselling or information to be provided:</w:t>
      </w:r>
      <w:r w:rsidRPr="007B13AA">
        <w:rPr>
          <w:sz w:val="24"/>
          <w:szCs w:val="24"/>
        </w:rPr>
        <w:t xml:space="preserve"> a positive test result would mean:</w:t>
      </w:r>
    </w:p>
    <w:p w14:paraId="358E28ED" w14:textId="6B2B9A08" w:rsidR="00B85039" w:rsidRPr="007B13AA" w:rsidRDefault="00B2380C" w:rsidP="003258A6">
      <w:pPr>
        <w:pStyle w:val="ListParagraph"/>
        <w:numPr>
          <w:ilvl w:val="0"/>
          <w:numId w:val="8"/>
        </w:numPr>
        <w:rPr>
          <w:sz w:val="24"/>
          <w:szCs w:val="24"/>
        </w:rPr>
      </w:pPr>
      <w:r w:rsidRPr="007B13AA">
        <w:rPr>
          <w:sz w:val="24"/>
          <w:szCs w:val="24"/>
        </w:rPr>
        <w:t xml:space="preserve">the individual is </w:t>
      </w:r>
      <w:r w:rsidR="00B85039" w:rsidRPr="007B13AA">
        <w:rPr>
          <w:sz w:val="24"/>
          <w:szCs w:val="24"/>
        </w:rPr>
        <w:t xml:space="preserve">at increased risk of </w:t>
      </w:r>
      <w:r w:rsidR="00354992">
        <w:rPr>
          <w:sz w:val="24"/>
          <w:szCs w:val="24"/>
        </w:rPr>
        <w:t>further breast cancer</w:t>
      </w:r>
    </w:p>
    <w:p w14:paraId="762B48C5" w14:textId="34F52551" w:rsidR="00A1558D" w:rsidRDefault="00B2380C" w:rsidP="003258A6">
      <w:pPr>
        <w:pStyle w:val="ListParagraph"/>
        <w:numPr>
          <w:ilvl w:val="0"/>
          <w:numId w:val="8"/>
        </w:numPr>
        <w:rPr>
          <w:sz w:val="24"/>
          <w:szCs w:val="24"/>
        </w:rPr>
      </w:pPr>
      <w:r w:rsidRPr="007B13AA">
        <w:rPr>
          <w:sz w:val="24"/>
          <w:szCs w:val="24"/>
        </w:rPr>
        <w:t xml:space="preserve">the individual is </w:t>
      </w:r>
      <w:r w:rsidR="00B85039" w:rsidRPr="007B13AA">
        <w:rPr>
          <w:sz w:val="24"/>
          <w:szCs w:val="24"/>
        </w:rPr>
        <w:t xml:space="preserve">at increased risk of </w:t>
      </w:r>
      <w:r w:rsidR="00C23C50">
        <w:rPr>
          <w:sz w:val="24"/>
          <w:szCs w:val="24"/>
        </w:rPr>
        <w:t>ovarian cancer</w:t>
      </w:r>
    </w:p>
    <w:p w14:paraId="1306F768" w14:textId="0D4E0070" w:rsidR="001A42D2" w:rsidRPr="007B13AA" w:rsidRDefault="001A42D2" w:rsidP="003258A6">
      <w:pPr>
        <w:pStyle w:val="ListParagraph"/>
        <w:numPr>
          <w:ilvl w:val="0"/>
          <w:numId w:val="8"/>
        </w:numPr>
        <w:rPr>
          <w:sz w:val="24"/>
          <w:szCs w:val="24"/>
        </w:rPr>
      </w:pPr>
      <w:r>
        <w:rPr>
          <w:sz w:val="24"/>
          <w:szCs w:val="24"/>
        </w:rPr>
        <w:t>there may be an increased risk of additional other cancers</w:t>
      </w:r>
    </w:p>
    <w:p w14:paraId="51A283F8" w14:textId="517BDB4B" w:rsidR="00354992" w:rsidRDefault="00C23C50" w:rsidP="003258A6">
      <w:pPr>
        <w:pStyle w:val="ListParagraph"/>
        <w:numPr>
          <w:ilvl w:val="0"/>
          <w:numId w:val="8"/>
        </w:numPr>
        <w:rPr>
          <w:sz w:val="24"/>
          <w:szCs w:val="24"/>
        </w:rPr>
      </w:pPr>
      <w:r>
        <w:rPr>
          <w:sz w:val="24"/>
          <w:szCs w:val="24"/>
        </w:rPr>
        <w:t>c</w:t>
      </w:r>
      <w:r w:rsidR="00354992">
        <w:rPr>
          <w:sz w:val="24"/>
          <w:szCs w:val="24"/>
        </w:rPr>
        <w:t>ancer management decisions may change</w:t>
      </w:r>
    </w:p>
    <w:p w14:paraId="0473903F" w14:textId="561CEC2E" w:rsidR="001A42D2" w:rsidRPr="007B13AA" w:rsidRDefault="00C23C50" w:rsidP="003258A6">
      <w:pPr>
        <w:pStyle w:val="ListParagraph"/>
        <w:numPr>
          <w:ilvl w:val="0"/>
          <w:numId w:val="8"/>
        </w:numPr>
        <w:rPr>
          <w:sz w:val="24"/>
          <w:szCs w:val="24"/>
        </w:rPr>
      </w:pPr>
      <w:r>
        <w:rPr>
          <w:sz w:val="24"/>
          <w:szCs w:val="24"/>
        </w:rPr>
        <w:t>t</w:t>
      </w:r>
      <w:r w:rsidR="001A42D2">
        <w:rPr>
          <w:sz w:val="24"/>
          <w:szCs w:val="24"/>
        </w:rPr>
        <w:t>here are options for early detection/cancer prevention</w:t>
      </w:r>
    </w:p>
    <w:p w14:paraId="1034B595" w14:textId="2E9D8A96" w:rsidR="00A1558D" w:rsidRDefault="00B2380C" w:rsidP="003258A6">
      <w:pPr>
        <w:pStyle w:val="ListParagraph"/>
        <w:numPr>
          <w:ilvl w:val="0"/>
          <w:numId w:val="8"/>
        </w:numPr>
        <w:rPr>
          <w:sz w:val="24"/>
          <w:szCs w:val="24"/>
        </w:rPr>
      </w:pPr>
      <w:r w:rsidRPr="007B13AA">
        <w:rPr>
          <w:sz w:val="24"/>
          <w:szCs w:val="24"/>
        </w:rPr>
        <w:t xml:space="preserve">family members of the individual </w:t>
      </w:r>
      <w:r w:rsidR="00354992">
        <w:rPr>
          <w:sz w:val="24"/>
          <w:szCs w:val="24"/>
        </w:rPr>
        <w:t>may be</w:t>
      </w:r>
      <w:r w:rsidR="00354992" w:rsidRPr="007B13AA">
        <w:rPr>
          <w:sz w:val="24"/>
          <w:szCs w:val="24"/>
        </w:rPr>
        <w:t xml:space="preserve"> </w:t>
      </w:r>
      <w:r w:rsidRPr="007B13AA">
        <w:rPr>
          <w:sz w:val="24"/>
          <w:szCs w:val="24"/>
        </w:rPr>
        <w:t>at increased risk of developing cancer</w:t>
      </w:r>
    </w:p>
    <w:p w14:paraId="2700D3D3" w14:textId="77777777" w:rsidR="00C23C50" w:rsidRDefault="00C23C50" w:rsidP="003258A6">
      <w:pPr>
        <w:pStyle w:val="ListParagraph"/>
        <w:numPr>
          <w:ilvl w:val="0"/>
          <w:numId w:val="8"/>
        </w:numPr>
        <w:rPr>
          <w:sz w:val="24"/>
          <w:szCs w:val="24"/>
        </w:rPr>
      </w:pPr>
      <w:r>
        <w:rPr>
          <w:sz w:val="24"/>
          <w:szCs w:val="24"/>
        </w:rPr>
        <w:t>t</w:t>
      </w:r>
      <w:r w:rsidR="001A42D2">
        <w:rPr>
          <w:sz w:val="24"/>
          <w:szCs w:val="24"/>
        </w:rPr>
        <w:t>here may be</w:t>
      </w:r>
      <w:r w:rsidR="00354992">
        <w:rPr>
          <w:sz w:val="24"/>
          <w:szCs w:val="24"/>
        </w:rPr>
        <w:t xml:space="preserve"> psychosocial implications</w:t>
      </w:r>
    </w:p>
    <w:p w14:paraId="62AD9A25" w14:textId="1AAC8146" w:rsidR="00354992" w:rsidRDefault="00C23C50" w:rsidP="003258A6">
      <w:pPr>
        <w:pStyle w:val="ListParagraph"/>
        <w:numPr>
          <w:ilvl w:val="0"/>
          <w:numId w:val="8"/>
        </w:numPr>
        <w:rPr>
          <w:sz w:val="24"/>
          <w:szCs w:val="24"/>
        </w:rPr>
      </w:pPr>
      <w:r>
        <w:rPr>
          <w:sz w:val="24"/>
          <w:szCs w:val="24"/>
        </w:rPr>
        <w:t>t</w:t>
      </w:r>
      <w:r w:rsidR="001A42D2">
        <w:rPr>
          <w:sz w:val="24"/>
          <w:szCs w:val="24"/>
        </w:rPr>
        <w:t>here may be</w:t>
      </w:r>
      <w:r w:rsidR="00354992">
        <w:rPr>
          <w:sz w:val="24"/>
          <w:szCs w:val="24"/>
        </w:rPr>
        <w:t xml:space="preserve"> insurance </w:t>
      </w:r>
      <w:r w:rsidR="001A42D2">
        <w:rPr>
          <w:sz w:val="24"/>
          <w:szCs w:val="24"/>
        </w:rPr>
        <w:t>implications</w:t>
      </w:r>
    </w:p>
    <w:p w14:paraId="438771BE" w14:textId="7967916A" w:rsidR="001A42D2" w:rsidRPr="007B13AA" w:rsidRDefault="00C23C50" w:rsidP="003258A6">
      <w:pPr>
        <w:pStyle w:val="ListParagraph"/>
        <w:numPr>
          <w:ilvl w:val="0"/>
          <w:numId w:val="8"/>
        </w:numPr>
        <w:rPr>
          <w:sz w:val="24"/>
          <w:szCs w:val="24"/>
        </w:rPr>
      </w:pPr>
      <w:r>
        <w:rPr>
          <w:sz w:val="24"/>
          <w:szCs w:val="24"/>
        </w:rPr>
        <w:t>t</w:t>
      </w:r>
      <w:r w:rsidR="001A42D2">
        <w:rPr>
          <w:sz w:val="24"/>
          <w:szCs w:val="24"/>
        </w:rPr>
        <w:t>here may be family planning implications</w:t>
      </w:r>
      <w:r>
        <w:rPr>
          <w:sz w:val="24"/>
          <w:szCs w:val="24"/>
        </w:rPr>
        <w:t>.</w:t>
      </w:r>
    </w:p>
    <w:p w14:paraId="2BDD50A0" w14:textId="5126E1C8" w:rsidR="00AF1D96" w:rsidRPr="007B13AA" w:rsidRDefault="00A1558D" w:rsidP="00A1558D">
      <w:pPr>
        <w:ind w:left="709"/>
        <w:rPr>
          <w:sz w:val="24"/>
          <w:szCs w:val="24"/>
        </w:rPr>
      </w:pPr>
      <w:r w:rsidRPr="007B13AA">
        <w:rPr>
          <w:i/>
          <w:sz w:val="24"/>
          <w:szCs w:val="24"/>
        </w:rPr>
        <w:t>If not required, brief explanation of why not:</w:t>
      </w:r>
      <w:r w:rsidRPr="007B13AA">
        <w:rPr>
          <w:sz w:val="24"/>
          <w:szCs w:val="24"/>
        </w:rPr>
        <w:t xml:space="preserve"> not applicable.</w:t>
      </w:r>
    </w:p>
    <w:p w14:paraId="23661B70" w14:textId="78135C75" w:rsidR="00D94AC7" w:rsidRPr="007B13AA" w:rsidRDefault="00AF1D96" w:rsidP="00D94AC7">
      <w:pPr>
        <w:rPr>
          <w:sz w:val="24"/>
          <w:szCs w:val="24"/>
        </w:rPr>
      </w:pPr>
      <w:r w:rsidRPr="007B13AA">
        <w:rPr>
          <w:i/>
          <w:sz w:val="24"/>
          <w:szCs w:val="24"/>
        </w:rPr>
        <w:t>Role of post-test</w:t>
      </w:r>
      <w:r w:rsidR="003707B3" w:rsidRPr="007B13AA">
        <w:rPr>
          <w:i/>
          <w:sz w:val="24"/>
          <w:szCs w:val="24"/>
        </w:rPr>
        <w:t xml:space="preserve"> </w:t>
      </w:r>
      <w:r w:rsidR="00D94AC7" w:rsidRPr="007B13AA">
        <w:rPr>
          <w:i/>
          <w:sz w:val="24"/>
          <w:szCs w:val="24"/>
        </w:rPr>
        <w:t xml:space="preserve">genetic counselling or information </w:t>
      </w:r>
      <w:r w:rsidR="003707B3" w:rsidRPr="007B13AA">
        <w:rPr>
          <w:i/>
          <w:sz w:val="24"/>
          <w:szCs w:val="24"/>
        </w:rPr>
        <w:t>for th</w:t>
      </w:r>
      <w:r w:rsidR="00D94AC7" w:rsidRPr="007B13AA">
        <w:rPr>
          <w:i/>
          <w:sz w:val="24"/>
          <w:szCs w:val="24"/>
        </w:rPr>
        <w:t>is</w:t>
      </w:r>
      <w:r w:rsidR="00612A44" w:rsidRPr="007B13AA">
        <w:rPr>
          <w:i/>
          <w:sz w:val="24"/>
          <w:szCs w:val="24"/>
        </w:rPr>
        <w:t xml:space="preserve"> individual</w:t>
      </w:r>
      <w:r w:rsidR="003707B3" w:rsidRPr="007B13AA">
        <w:rPr>
          <w:i/>
          <w:sz w:val="24"/>
          <w:szCs w:val="24"/>
        </w:rPr>
        <w:t xml:space="preserve">, including in relation to any referral </w:t>
      </w:r>
      <w:r w:rsidR="00612A44" w:rsidRPr="007B13AA">
        <w:rPr>
          <w:i/>
          <w:sz w:val="24"/>
          <w:szCs w:val="24"/>
        </w:rPr>
        <w:t xml:space="preserve">to a hereditary cancer clinic or family cancer centre </w:t>
      </w:r>
      <w:r w:rsidR="00BE694B" w:rsidRPr="007B13AA">
        <w:rPr>
          <w:i/>
          <w:sz w:val="24"/>
          <w:szCs w:val="24"/>
        </w:rPr>
        <w:t>to manage</w:t>
      </w:r>
      <w:r w:rsidR="003707B3" w:rsidRPr="007B13AA">
        <w:rPr>
          <w:i/>
          <w:sz w:val="24"/>
          <w:szCs w:val="24"/>
        </w:rPr>
        <w:t xml:space="preserve"> family members</w:t>
      </w:r>
      <w:r w:rsidR="00D37A67">
        <w:rPr>
          <w:i/>
          <w:sz w:val="24"/>
          <w:szCs w:val="24"/>
        </w:rPr>
        <w:t xml:space="preserve"> </w:t>
      </w:r>
      <w:r w:rsidR="00D37A67" w:rsidRPr="00BA7E98">
        <w:rPr>
          <w:i/>
          <w:sz w:val="24"/>
          <w:szCs w:val="24"/>
        </w:rPr>
        <w:t>(focussing on first-degree relatives for simplicity, noting that this is not intended to necessarily limit any public funding of cascade testing to first-degree relatives)</w:t>
      </w:r>
      <w:r w:rsidRPr="00BA7E98">
        <w:rPr>
          <w:i/>
          <w:sz w:val="24"/>
          <w:szCs w:val="24"/>
        </w:rPr>
        <w:t>:</w:t>
      </w:r>
    </w:p>
    <w:p w14:paraId="16B0B13A" w14:textId="77777777" w:rsidR="00B85039" w:rsidRPr="007B13AA" w:rsidRDefault="00D94AC7" w:rsidP="00D94AC7">
      <w:pPr>
        <w:rPr>
          <w:sz w:val="24"/>
          <w:szCs w:val="24"/>
        </w:rPr>
      </w:pPr>
      <w:r w:rsidRPr="007B13AA">
        <w:rPr>
          <w:sz w:val="24"/>
          <w:szCs w:val="24"/>
        </w:rPr>
        <w:t xml:space="preserve">A. </w:t>
      </w:r>
      <w:r w:rsidRPr="007B13AA">
        <w:rPr>
          <w:i/>
          <w:sz w:val="24"/>
          <w:szCs w:val="24"/>
        </w:rPr>
        <w:t>in event of a positive test result:</w:t>
      </w:r>
      <w:r w:rsidRPr="007B13AA">
        <w:rPr>
          <w:sz w:val="24"/>
          <w:szCs w:val="24"/>
        </w:rPr>
        <w:t xml:space="preserve"> </w:t>
      </w:r>
      <w:r w:rsidR="00612A44" w:rsidRPr="007B13AA">
        <w:rPr>
          <w:sz w:val="24"/>
          <w:szCs w:val="24"/>
        </w:rPr>
        <w:t>required</w:t>
      </w:r>
      <w:r w:rsidR="00B85039" w:rsidRPr="007B13AA">
        <w:rPr>
          <w:sz w:val="24"/>
          <w:szCs w:val="24"/>
        </w:rPr>
        <w:t>.</w:t>
      </w:r>
    </w:p>
    <w:p w14:paraId="625C2CEE" w14:textId="608F46DF" w:rsidR="00A1558D" w:rsidRDefault="00B85039" w:rsidP="00C23C50">
      <w:pPr>
        <w:spacing w:after="0"/>
        <w:ind w:left="709"/>
        <w:rPr>
          <w:sz w:val="24"/>
          <w:szCs w:val="24"/>
        </w:rPr>
      </w:pPr>
      <w:r w:rsidRPr="007B13AA">
        <w:rPr>
          <w:i/>
          <w:sz w:val="24"/>
          <w:szCs w:val="24"/>
        </w:rPr>
        <w:t>If required, nature of counselling or information to be provided:</w:t>
      </w:r>
    </w:p>
    <w:p w14:paraId="6FD89020" w14:textId="2EDAB1D8" w:rsidR="005008F9" w:rsidRPr="005008F9" w:rsidRDefault="00C23C50" w:rsidP="003258A6">
      <w:pPr>
        <w:pStyle w:val="ListParagraph"/>
        <w:numPr>
          <w:ilvl w:val="0"/>
          <w:numId w:val="8"/>
        </w:numPr>
        <w:rPr>
          <w:sz w:val="24"/>
          <w:szCs w:val="24"/>
        </w:rPr>
      </w:pPr>
      <w:r>
        <w:rPr>
          <w:sz w:val="24"/>
          <w:szCs w:val="24"/>
        </w:rPr>
        <w:t>a g</w:t>
      </w:r>
      <w:r w:rsidR="005008F9" w:rsidRPr="005008F9">
        <w:rPr>
          <w:sz w:val="24"/>
          <w:szCs w:val="24"/>
        </w:rPr>
        <w:t>eneral explanation of cancer and hereditary cancer predisposition</w:t>
      </w:r>
    </w:p>
    <w:p w14:paraId="7483F984" w14:textId="77777777" w:rsidR="001A42D2" w:rsidRPr="007B13AA" w:rsidRDefault="001A42D2" w:rsidP="003258A6">
      <w:pPr>
        <w:pStyle w:val="ListParagraph"/>
        <w:numPr>
          <w:ilvl w:val="0"/>
          <w:numId w:val="8"/>
        </w:numPr>
        <w:rPr>
          <w:sz w:val="24"/>
          <w:szCs w:val="24"/>
        </w:rPr>
      </w:pPr>
      <w:r w:rsidRPr="007B13AA">
        <w:rPr>
          <w:sz w:val="24"/>
          <w:szCs w:val="24"/>
        </w:rPr>
        <w:t xml:space="preserve">the individual is at increased risk of breast cancer </w:t>
      </w:r>
      <w:r>
        <w:rPr>
          <w:sz w:val="24"/>
          <w:szCs w:val="24"/>
        </w:rPr>
        <w:t>or a further breast cancer</w:t>
      </w:r>
    </w:p>
    <w:p w14:paraId="06082448" w14:textId="7DE77CFD" w:rsidR="001A42D2" w:rsidRDefault="001A42D2" w:rsidP="003258A6">
      <w:pPr>
        <w:pStyle w:val="ListParagraph"/>
        <w:numPr>
          <w:ilvl w:val="0"/>
          <w:numId w:val="8"/>
        </w:numPr>
        <w:rPr>
          <w:sz w:val="24"/>
          <w:szCs w:val="24"/>
        </w:rPr>
      </w:pPr>
      <w:r w:rsidRPr="007B13AA">
        <w:rPr>
          <w:sz w:val="24"/>
          <w:szCs w:val="24"/>
        </w:rPr>
        <w:t>the individual is at i</w:t>
      </w:r>
      <w:r w:rsidR="00C23C50">
        <w:rPr>
          <w:sz w:val="24"/>
          <w:szCs w:val="24"/>
        </w:rPr>
        <w:t>ncreased risk of ovarian cancer</w:t>
      </w:r>
    </w:p>
    <w:p w14:paraId="0164A438" w14:textId="77777777" w:rsidR="001A42D2" w:rsidRPr="007B13AA" w:rsidRDefault="001A42D2" w:rsidP="003258A6">
      <w:pPr>
        <w:pStyle w:val="ListParagraph"/>
        <w:numPr>
          <w:ilvl w:val="0"/>
          <w:numId w:val="8"/>
        </w:numPr>
        <w:rPr>
          <w:sz w:val="24"/>
          <w:szCs w:val="24"/>
        </w:rPr>
      </w:pPr>
      <w:r>
        <w:rPr>
          <w:sz w:val="24"/>
          <w:szCs w:val="24"/>
        </w:rPr>
        <w:t>there may be an increased risk of additional other cancers</w:t>
      </w:r>
    </w:p>
    <w:p w14:paraId="0CFCA574" w14:textId="5092C88A" w:rsidR="001A42D2" w:rsidRDefault="00C23C50" w:rsidP="003258A6">
      <w:pPr>
        <w:pStyle w:val="ListParagraph"/>
        <w:numPr>
          <w:ilvl w:val="0"/>
          <w:numId w:val="8"/>
        </w:numPr>
        <w:rPr>
          <w:sz w:val="24"/>
          <w:szCs w:val="24"/>
        </w:rPr>
      </w:pPr>
      <w:r>
        <w:rPr>
          <w:sz w:val="24"/>
          <w:szCs w:val="24"/>
        </w:rPr>
        <w:t>c</w:t>
      </w:r>
      <w:r w:rsidR="001A42D2">
        <w:rPr>
          <w:sz w:val="24"/>
          <w:szCs w:val="24"/>
        </w:rPr>
        <w:t>ancer management decisions may change</w:t>
      </w:r>
    </w:p>
    <w:p w14:paraId="536413F4" w14:textId="4B877BA7" w:rsidR="001A42D2" w:rsidRPr="007B13AA" w:rsidRDefault="00C23C50" w:rsidP="003258A6">
      <w:pPr>
        <w:pStyle w:val="ListParagraph"/>
        <w:numPr>
          <w:ilvl w:val="0"/>
          <w:numId w:val="8"/>
        </w:numPr>
        <w:rPr>
          <w:sz w:val="24"/>
          <w:szCs w:val="24"/>
        </w:rPr>
      </w:pPr>
      <w:r>
        <w:rPr>
          <w:sz w:val="24"/>
          <w:szCs w:val="24"/>
        </w:rPr>
        <w:t>t</w:t>
      </w:r>
      <w:r w:rsidR="001A42D2">
        <w:rPr>
          <w:sz w:val="24"/>
          <w:szCs w:val="24"/>
        </w:rPr>
        <w:t>here are options for early detection/cancer prevention</w:t>
      </w:r>
    </w:p>
    <w:p w14:paraId="2FBB96DE" w14:textId="122A83A0" w:rsidR="005008F9" w:rsidRPr="00C23C50" w:rsidRDefault="00C23C50" w:rsidP="003258A6">
      <w:pPr>
        <w:pStyle w:val="ListParagraph"/>
        <w:numPr>
          <w:ilvl w:val="0"/>
          <w:numId w:val="8"/>
        </w:numPr>
        <w:rPr>
          <w:sz w:val="24"/>
          <w:szCs w:val="24"/>
        </w:rPr>
      </w:pPr>
      <w:r w:rsidRPr="00C23C50">
        <w:rPr>
          <w:sz w:val="24"/>
          <w:szCs w:val="24"/>
        </w:rPr>
        <w:t>a</w:t>
      </w:r>
      <w:r w:rsidR="001A42D2" w:rsidRPr="00C23C50">
        <w:rPr>
          <w:sz w:val="24"/>
          <w:szCs w:val="24"/>
        </w:rPr>
        <w:t>dult family members of the individual may be at increased risk of developing cancer and require referral to a family cancer clinic to consider predictive genetic testing</w:t>
      </w:r>
    </w:p>
    <w:p w14:paraId="055BE98E" w14:textId="004ADF71" w:rsidR="001A42D2" w:rsidRDefault="00C23C50" w:rsidP="003258A6">
      <w:pPr>
        <w:pStyle w:val="ListParagraph"/>
        <w:numPr>
          <w:ilvl w:val="0"/>
          <w:numId w:val="8"/>
        </w:numPr>
        <w:rPr>
          <w:sz w:val="24"/>
          <w:szCs w:val="24"/>
        </w:rPr>
      </w:pPr>
      <w:r>
        <w:rPr>
          <w:sz w:val="24"/>
          <w:szCs w:val="24"/>
        </w:rPr>
        <w:t>t</w:t>
      </w:r>
      <w:r w:rsidR="001A42D2">
        <w:rPr>
          <w:sz w:val="24"/>
          <w:szCs w:val="24"/>
        </w:rPr>
        <w:t>here may be psychosocial implications</w:t>
      </w:r>
    </w:p>
    <w:p w14:paraId="5CD14193" w14:textId="3DE6F782" w:rsidR="001A42D2" w:rsidRDefault="00C23C50" w:rsidP="003258A6">
      <w:pPr>
        <w:pStyle w:val="ListParagraph"/>
        <w:numPr>
          <w:ilvl w:val="0"/>
          <w:numId w:val="8"/>
        </w:numPr>
        <w:rPr>
          <w:sz w:val="24"/>
          <w:szCs w:val="24"/>
        </w:rPr>
      </w:pPr>
      <w:r>
        <w:rPr>
          <w:sz w:val="24"/>
          <w:szCs w:val="24"/>
        </w:rPr>
        <w:t>t</w:t>
      </w:r>
      <w:r w:rsidR="001A42D2">
        <w:rPr>
          <w:sz w:val="24"/>
          <w:szCs w:val="24"/>
        </w:rPr>
        <w:t>here may be insurance implications</w:t>
      </w:r>
    </w:p>
    <w:p w14:paraId="62CD9F0F" w14:textId="32568FA2" w:rsidR="001A42D2" w:rsidRPr="007B13AA" w:rsidRDefault="00C23C50" w:rsidP="003258A6">
      <w:pPr>
        <w:pStyle w:val="ListParagraph"/>
        <w:numPr>
          <w:ilvl w:val="0"/>
          <w:numId w:val="8"/>
        </w:numPr>
        <w:rPr>
          <w:sz w:val="24"/>
          <w:szCs w:val="24"/>
        </w:rPr>
      </w:pPr>
      <w:r>
        <w:rPr>
          <w:sz w:val="24"/>
          <w:szCs w:val="24"/>
        </w:rPr>
        <w:lastRenderedPageBreak/>
        <w:t>t</w:t>
      </w:r>
      <w:r w:rsidR="001A42D2">
        <w:rPr>
          <w:sz w:val="24"/>
          <w:szCs w:val="24"/>
        </w:rPr>
        <w:t>here may be family planning implications</w:t>
      </w:r>
      <w:r>
        <w:rPr>
          <w:sz w:val="24"/>
          <w:szCs w:val="24"/>
        </w:rPr>
        <w:t>.</w:t>
      </w:r>
    </w:p>
    <w:p w14:paraId="1F37653E" w14:textId="0534846D" w:rsidR="00D94AC7" w:rsidRPr="007B13AA" w:rsidRDefault="00A1558D" w:rsidP="00A1558D">
      <w:pPr>
        <w:ind w:left="709"/>
        <w:rPr>
          <w:sz w:val="24"/>
          <w:szCs w:val="24"/>
        </w:rPr>
      </w:pPr>
      <w:r w:rsidRPr="007B13AA">
        <w:rPr>
          <w:i/>
          <w:sz w:val="24"/>
          <w:szCs w:val="24"/>
        </w:rPr>
        <w:t>If not required, brief explanation of why not:</w:t>
      </w:r>
      <w:r w:rsidRPr="007B13AA">
        <w:rPr>
          <w:sz w:val="24"/>
          <w:szCs w:val="24"/>
        </w:rPr>
        <w:t xml:space="preserve"> not applicable.</w:t>
      </w:r>
    </w:p>
    <w:p w14:paraId="4BA86843" w14:textId="3DD1096D" w:rsidR="00A1558D" w:rsidRPr="007B13AA" w:rsidRDefault="00D94AC7" w:rsidP="00A1558D">
      <w:pPr>
        <w:rPr>
          <w:sz w:val="24"/>
          <w:szCs w:val="24"/>
        </w:rPr>
      </w:pPr>
      <w:r w:rsidRPr="007B13AA">
        <w:rPr>
          <w:sz w:val="24"/>
          <w:szCs w:val="24"/>
        </w:rPr>
        <w:t xml:space="preserve">B. </w:t>
      </w:r>
      <w:r w:rsidRPr="007B13AA">
        <w:rPr>
          <w:i/>
          <w:sz w:val="24"/>
          <w:szCs w:val="24"/>
        </w:rPr>
        <w:t>in event of a negative test result:</w:t>
      </w:r>
      <w:r w:rsidRPr="007B13AA">
        <w:rPr>
          <w:sz w:val="24"/>
          <w:szCs w:val="24"/>
        </w:rPr>
        <w:t xml:space="preserve"> </w:t>
      </w:r>
      <w:r w:rsidR="00612A44" w:rsidRPr="007B13AA">
        <w:rPr>
          <w:sz w:val="24"/>
          <w:szCs w:val="24"/>
        </w:rPr>
        <w:t>required</w:t>
      </w:r>
      <w:r w:rsidRPr="007B13AA">
        <w:rPr>
          <w:sz w:val="24"/>
          <w:szCs w:val="24"/>
        </w:rPr>
        <w:t>.</w:t>
      </w:r>
    </w:p>
    <w:p w14:paraId="34B67DEE" w14:textId="176370B1" w:rsidR="00A1558D" w:rsidRDefault="00A1558D" w:rsidP="00A1558D">
      <w:pPr>
        <w:ind w:left="709"/>
        <w:rPr>
          <w:sz w:val="24"/>
          <w:szCs w:val="24"/>
        </w:rPr>
      </w:pPr>
      <w:r w:rsidRPr="007B13AA">
        <w:rPr>
          <w:i/>
          <w:sz w:val="24"/>
          <w:szCs w:val="24"/>
        </w:rPr>
        <w:t>If required, nature of counselling or information to be provided:</w:t>
      </w:r>
      <w:r w:rsidRPr="007B13AA">
        <w:rPr>
          <w:sz w:val="24"/>
          <w:szCs w:val="24"/>
        </w:rPr>
        <w:t xml:space="preserve"> </w:t>
      </w:r>
    </w:p>
    <w:p w14:paraId="1CD031E5" w14:textId="4B75A8B2" w:rsidR="001A42D2" w:rsidRPr="001A42D2" w:rsidRDefault="001A42D2" w:rsidP="00C23C50">
      <w:pPr>
        <w:spacing w:after="0"/>
        <w:ind w:left="709"/>
        <w:rPr>
          <w:sz w:val="24"/>
          <w:szCs w:val="24"/>
        </w:rPr>
      </w:pPr>
      <w:r w:rsidRPr="00C23C50">
        <w:rPr>
          <w:sz w:val="24"/>
          <w:szCs w:val="24"/>
        </w:rPr>
        <w:t xml:space="preserve">If no definite genetic cause is identified by the testing the following issues may still need to be considered </w:t>
      </w:r>
      <w:r>
        <w:rPr>
          <w:sz w:val="24"/>
          <w:szCs w:val="24"/>
        </w:rPr>
        <w:t xml:space="preserve">in post-test counselling </w:t>
      </w:r>
      <w:r w:rsidRPr="00C23C50">
        <w:rPr>
          <w:sz w:val="24"/>
          <w:szCs w:val="24"/>
        </w:rPr>
        <w:t>on the basis of the clinical situation (personal and family history)</w:t>
      </w:r>
      <w:r w:rsidR="00C23C50">
        <w:rPr>
          <w:sz w:val="24"/>
          <w:szCs w:val="24"/>
        </w:rPr>
        <w:t>:</w:t>
      </w:r>
    </w:p>
    <w:p w14:paraId="4A6B34F5" w14:textId="6C24CD93" w:rsidR="001A42D2" w:rsidRPr="007B13AA" w:rsidRDefault="001A42D2" w:rsidP="003258A6">
      <w:pPr>
        <w:pStyle w:val="ListParagraph"/>
        <w:numPr>
          <w:ilvl w:val="0"/>
          <w:numId w:val="8"/>
        </w:numPr>
        <w:rPr>
          <w:sz w:val="24"/>
          <w:szCs w:val="24"/>
        </w:rPr>
      </w:pPr>
      <w:r w:rsidRPr="007B13AA">
        <w:rPr>
          <w:sz w:val="24"/>
          <w:szCs w:val="24"/>
        </w:rPr>
        <w:t xml:space="preserve">the individual </w:t>
      </w:r>
      <w:r>
        <w:rPr>
          <w:sz w:val="24"/>
          <w:szCs w:val="24"/>
        </w:rPr>
        <w:t xml:space="preserve">may be </w:t>
      </w:r>
      <w:r w:rsidRPr="007B13AA">
        <w:rPr>
          <w:sz w:val="24"/>
          <w:szCs w:val="24"/>
        </w:rPr>
        <w:t xml:space="preserve">at increased risk of breast cancer </w:t>
      </w:r>
      <w:r>
        <w:rPr>
          <w:sz w:val="24"/>
          <w:szCs w:val="24"/>
        </w:rPr>
        <w:t>or a further breast cancer</w:t>
      </w:r>
    </w:p>
    <w:p w14:paraId="0DDB6D47" w14:textId="4C77E923" w:rsidR="001A42D2" w:rsidRDefault="001A42D2" w:rsidP="003258A6">
      <w:pPr>
        <w:pStyle w:val="ListParagraph"/>
        <w:numPr>
          <w:ilvl w:val="0"/>
          <w:numId w:val="8"/>
        </w:numPr>
        <w:rPr>
          <w:sz w:val="24"/>
          <w:szCs w:val="24"/>
        </w:rPr>
      </w:pPr>
      <w:r w:rsidRPr="007B13AA">
        <w:rPr>
          <w:sz w:val="24"/>
          <w:szCs w:val="24"/>
        </w:rPr>
        <w:t xml:space="preserve">the individual </w:t>
      </w:r>
      <w:r>
        <w:rPr>
          <w:sz w:val="24"/>
          <w:szCs w:val="24"/>
        </w:rPr>
        <w:t>may be</w:t>
      </w:r>
      <w:r w:rsidRPr="007B13AA">
        <w:rPr>
          <w:sz w:val="24"/>
          <w:szCs w:val="24"/>
        </w:rPr>
        <w:t xml:space="preserve"> at i</w:t>
      </w:r>
      <w:r w:rsidR="00C23C50">
        <w:rPr>
          <w:sz w:val="24"/>
          <w:szCs w:val="24"/>
        </w:rPr>
        <w:t>ncreased risk of ovarian cancer</w:t>
      </w:r>
    </w:p>
    <w:p w14:paraId="35FC0134" w14:textId="77777777" w:rsidR="001A42D2" w:rsidRPr="007B13AA" w:rsidRDefault="001A42D2" w:rsidP="003258A6">
      <w:pPr>
        <w:pStyle w:val="ListParagraph"/>
        <w:numPr>
          <w:ilvl w:val="0"/>
          <w:numId w:val="8"/>
        </w:numPr>
        <w:rPr>
          <w:sz w:val="24"/>
          <w:szCs w:val="24"/>
        </w:rPr>
      </w:pPr>
      <w:r>
        <w:rPr>
          <w:sz w:val="24"/>
          <w:szCs w:val="24"/>
        </w:rPr>
        <w:t>there may be an increased risk of additional other cancers</w:t>
      </w:r>
    </w:p>
    <w:p w14:paraId="1FC6FB83" w14:textId="07B7CA8A" w:rsidR="001A42D2" w:rsidRDefault="00C23C50" w:rsidP="003258A6">
      <w:pPr>
        <w:pStyle w:val="ListParagraph"/>
        <w:numPr>
          <w:ilvl w:val="0"/>
          <w:numId w:val="8"/>
        </w:numPr>
        <w:rPr>
          <w:sz w:val="24"/>
          <w:szCs w:val="24"/>
        </w:rPr>
      </w:pPr>
      <w:r>
        <w:rPr>
          <w:sz w:val="24"/>
          <w:szCs w:val="24"/>
        </w:rPr>
        <w:t>c</w:t>
      </w:r>
      <w:r w:rsidR="001A42D2">
        <w:rPr>
          <w:sz w:val="24"/>
          <w:szCs w:val="24"/>
        </w:rPr>
        <w:t>ancer management decisions may change</w:t>
      </w:r>
    </w:p>
    <w:p w14:paraId="2FAB9F57" w14:textId="5F50D265" w:rsidR="001A42D2" w:rsidRPr="007B13AA" w:rsidRDefault="00C23C50" w:rsidP="003258A6">
      <w:pPr>
        <w:pStyle w:val="ListParagraph"/>
        <w:numPr>
          <w:ilvl w:val="0"/>
          <w:numId w:val="8"/>
        </w:numPr>
        <w:rPr>
          <w:sz w:val="24"/>
          <w:szCs w:val="24"/>
        </w:rPr>
      </w:pPr>
      <w:r>
        <w:rPr>
          <w:sz w:val="24"/>
          <w:szCs w:val="24"/>
        </w:rPr>
        <w:t>t</w:t>
      </w:r>
      <w:r w:rsidR="001A42D2">
        <w:rPr>
          <w:sz w:val="24"/>
          <w:szCs w:val="24"/>
        </w:rPr>
        <w:t>here are options for early detection/cancer prevention</w:t>
      </w:r>
    </w:p>
    <w:p w14:paraId="310BFB9F" w14:textId="3AA45A03" w:rsidR="001A42D2" w:rsidRPr="00C23C50" w:rsidRDefault="001A42D2" w:rsidP="003258A6">
      <w:pPr>
        <w:pStyle w:val="ListParagraph"/>
        <w:numPr>
          <w:ilvl w:val="0"/>
          <w:numId w:val="8"/>
        </w:numPr>
        <w:rPr>
          <w:sz w:val="24"/>
          <w:szCs w:val="24"/>
        </w:rPr>
      </w:pPr>
      <w:r w:rsidRPr="007B13AA">
        <w:rPr>
          <w:sz w:val="24"/>
          <w:szCs w:val="24"/>
        </w:rPr>
        <w:t xml:space="preserve">family members of the individual </w:t>
      </w:r>
      <w:r>
        <w:rPr>
          <w:sz w:val="24"/>
          <w:szCs w:val="24"/>
        </w:rPr>
        <w:t>may be</w:t>
      </w:r>
      <w:r w:rsidRPr="007B13AA">
        <w:rPr>
          <w:sz w:val="24"/>
          <w:szCs w:val="24"/>
        </w:rPr>
        <w:t xml:space="preserve"> at increased risk of developing cancer</w:t>
      </w:r>
      <w:r w:rsidR="00C23C50">
        <w:rPr>
          <w:sz w:val="24"/>
          <w:szCs w:val="24"/>
        </w:rPr>
        <w:t>,</w:t>
      </w:r>
      <w:r>
        <w:rPr>
          <w:sz w:val="24"/>
          <w:szCs w:val="24"/>
        </w:rPr>
        <w:t xml:space="preserve"> but there is no genetic test available to them</w:t>
      </w:r>
      <w:r w:rsidRPr="007B13AA">
        <w:rPr>
          <w:sz w:val="24"/>
          <w:szCs w:val="24"/>
        </w:rPr>
        <w:t>.</w:t>
      </w:r>
    </w:p>
    <w:p w14:paraId="73D7EAFA" w14:textId="74F78483" w:rsidR="00AF1D96" w:rsidRPr="007B13AA" w:rsidRDefault="00A1558D" w:rsidP="00A1558D">
      <w:pPr>
        <w:ind w:left="709"/>
        <w:rPr>
          <w:sz w:val="24"/>
          <w:szCs w:val="24"/>
        </w:rPr>
      </w:pPr>
      <w:r w:rsidRPr="007B13AA">
        <w:rPr>
          <w:i/>
          <w:sz w:val="24"/>
          <w:szCs w:val="24"/>
        </w:rPr>
        <w:t>If not required, brief explanation of why not:</w:t>
      </w:r>
      <w:r w:rsidRPr="007B13AA">
        <w:rPr>
          <w:sz w:val="24"/>
          <w:szCs w:val="24"/>
        </w:rPr>
        <w:t xml:space="preserve"> </w:t>
      </w:r>
      <w:r w:rsidR="00C23C50" w:rsidRPr="007B13AA">
        <w:rPr>
          <w:sz w:val="24"/>
          <w:szCs w:val="24"/>
        </w:rPr>
        <w:t>not applicable</w:t>
      </w:r>
      <w:r w:rsidR="00C23C50">
        <w:rPr>
          <w:sz w:val="24"/>
          <w:szCs w:val="24"/>
        </w:rPr>
        <w:t>.</w:t>
      </w:r>
    </w:p>
    <w:p w14:paraId="623FEBF4" w14:textId="77777777" w:rsidR="00393D50" w:rsidRDefault="00393D50" w:rsidP="00BE0F9E">
      <w:pPr>
        <w:pStyle w:val="Heading2"/>
        <w:numPr>
          <w:ilvl w:val="0"/>
          <w:numId w:val="0"/>
        </w:numPr>
        <w:ind w:left="576"/>
      </w:pPr>
      <w:r>
        <w:t>4.2</w:t>
      </w:r>
      <w:r>
        <w:tab/>
      </w:r>
      <w:r w:rsidR="00422CAF" w:rsidRPr="007B13AA">
        <w:t xml:space="preserve">Genetic risk assessment in family members of a </w:t>
      </w:r>
      <w:r w:rsidR="005069C9" w:rsidRPr="007B13AA">
        <w:t xml:space="preserve">proband </w:t>
      </w:r>
    </w:p>
    <w:p w14:paraId="4623239B" w14:textId="494BC954" w:rsidR="00422CAF" w:rsidRPr="00393D50" w:rsidRDefault="005069C9" w:rsidP="00393D50">
      <w:pPr>
        <w:spacing w:line="240" w:lineRule="auto"/>
        <w:rPr>
          <w:b/>
          <w:sz w:val="24"/>
          <w:szCs w:val="24"/>
        </w:rPr>
      </w:pPr>
      <w:r w:rsidRPr="00393D50">
        <w:rPr>
          <w:b/>
          <w:sz w:val="24"/>
          <w:szCs w:val="24"/>
        </w:rPr>
        <w:t>(i.e. an affected individual who has tested positive for mutation)</w:t>
      </w:r>
    </w:p>
    <w:p w14:paraId="47CA8CEB" w14:textId="15C9BC98" w:rsidR="004055D3" w:rsidRPr="00BE7C5F" w:rsidRDefault="007A04DD" w:rsidP="00BE7C5F">
      <w:pPr>
        <w:rPr>
          <w:b/>
          <w:sz w:val="24"/>
          <w:szCs w:val="24"/>
        </w:rPr>
      </w:pPr>
      <w:r w:rsidRPr="00BE7C5F">
        <w:rPr>
          <w:b/>
          <w:sz w:val="24"/>
          <w:szCs w:val="24"/>
        </w:rPr>
        <w:t>4.2.1</w:t>
      </w:r>
      <w:r w:rsidRPr="00BE7C5F">
        <w:rPr>
          <w:b/>
          <w:sz w:val="24"/>
          <w:szCs w:val="24"/>
        </w:rPr>
        <w:tab/>
      </w:r>
      <w:r w:rsidR="004055D3" w:rsidRPr="00BE7C5F">
        <w:rPr>
          <w:b/>
          <w:sz w:val="24"/>
          <w:szCs w:val="24"/>
        </w:rPr>
        <w:t xml:space="preserve">Definition of clinical event used to determine clinical validity of the test in a family member of a proband: </w:t>
      </w:r>
    </w:p>
    <w:p w14:paraId="408CFB72" w14:textId="77777777" w:rsidR="004055D3" w:rsidRDefault="004055D3" w:rsidP="004055D3">
      <w:pPr>
        <w:rPr>
          <w:sz w:val="24"/>
          <w:szCs w:val="24"/>
        </w:rPr>
      </w:pPr>
      <w:r w:rsidRPr="00BA7E98">
        <w:rPr>
          <w:i/>
          <w:sz w:val="24"/>
          <w:szCs w:val="24"/>
        </w:rPr>
        <w:t>[Possible events include diagnosis of the disease.]</w:t>
      </w:r>
      <w:r w:rsidRPr="00BA7E98">
        <w:rPr>
          <w:sz w:val="24"/>
          <w:szCs w:val="24"/>
        </w:rPr>
        <w:t xml:space="preserve"> </w:t>
      </w:r>
    </w:p>
    <w:p w14:paraId="1D9DD113" w14:textId="3019D416" w:rsidR="00BA7E98" w:rsidRPr="00BA7E98" w:rsidRDefault="00BA7E98" w:rsidP="004055D3">
      <w:pPr>
        <w:rPr>
          <w:sz w:val="24"/>
          <w:szCs w:val="24"/>
        </w:rPr>
      </w:pPr>
      <w:r>
        <w:rPr>
          <w:sz w:val="24"/>
          <w:szCs w:val="24"/>
        </w:rPr>
        <w:t>For family members of a proband, the primary clinical event of interest is the diagnosis of breast cancer.</w:t>
      </w:r>
    </w:p>
    <w:p w14:paraId="7B9729B7" w14:textId="77777777" w:rsidR="004055D3" w:rsidRPr="00BA7E98" w:rsidRDefault="004055D3" w:rsidP="003258A6">
      <w:pPr>
        <w:keepNext/>
        <w:numPr>
          <w:ilvl w:val="2"/>
          <w:numId w:val="16"/>
        </w:numPr>
        <w:ind w:left="709" w:hanging="709"/>
        <w:contextualSpacing/>
        <w:rPr>
          <w:b/>
          <w:sz w:val="24"/>
          <w:szCs w:val="24"/>
        </w:rPr>
      </w:pPr>
      <w:r w:rsidRPr="00BA7E98">
        <w:rPr>
          <w:b/>
          <w:i/>
          <w:sz w:val="24"/>
          <w:szCs w:val="24"/>
        </w:rPr>
        <w:t>Ratio of clinical events occurring in mutation test-positive family members to clinical events occurring in mutation test-negative family members:</w:t>
      </w:r>
      <w:r w:rsidRPr="00BA7E98">
        <w:rPr>
          <w:sz w:val="24"/>
          <w:szCs w:val="24"/>
        </w:rPr>
        <w:t xml:space="preserve"> </w:t>
      </w:r>
    </w:p>
    <w:p w14:paraId="7128417F" w14:textId="77777777" w:rsidR="004055D3" w:rsidRDefault="004055D3" w:rsidP="004055D3">
      <w:pPr>
        <w:rPr>
          <w:sz w:val="24"/>
          <w:szCs w:val="24"/>
        </w:rPr>
      </w:pPr>
      <w:r w:rsidRPr="00BA7E98">
        <w:rPr>
          <w:i/>
          <w:sz w:val="24"/>
          <w:szCs w:val="24"/>
        </w:rPr>
        <w:t>[Depending on the event and the type of cohort study or studies available, ratios can be presented as an odds ratios (OR), relative risk (RR), or hazard ratio (HR). Also report the rate of development of the clinical event in either mutation test-positive family members or mutation test-negative family members.]</w:t>
      </w:r>
      <w:r w:rsidRPr="00BA7E98">
        <w:rPr>
          <w:sz w:val="24"/>
          <w:szCs w:val="24"/>
        </w:rPr>
        <w:t xml:space="preserve"> </w:t>
      </w:r>
    </w:p>
    <w:p w14:paraId="609CF56A" w14:textId="21707991" w:rsidR="007F14A0" w:rsidRPr="007A04DD" w:rsidRDefault="00973FD9" w:rsidP="007A04DD">
      <w:pPr>
        <w:rPr>
          <w:sz w:val="24"/>
          <w:szCs w:val="24"/>
        </w:rPr>
      </w:pPr>
      <w:r w:rsidRPr="00973FD9">
        <w:rPr>
          <w:sz w:val="24"/>
          <w:szCs w:val="24"/>
        </w:rPr>
        <w:t xml:space="preserve">The relative risk of female breast and ovarian cancer has been established in multiple large scale international cohort studies in both the population setting (summarised in Antoniou et al., Am J Hum Genet 2002 72:1117-30) and clinic-based cohorts (summarised in Chen et al., JCO 2007 25(10):1329-33) that have been adapted to the Australian setting (Suthers. ANZ J Surg 2007 77:314-19). All studies have confirmed markedly elevated risks for female breast </w:t>
      </w:r>
      <w:r w:rsidRPr="00973FD9">
        <w:rPr>
          <w:sz w:val="24"/>
          <w:szCs w:val="24"/>
        </w:rPr>
        <w:lastRenderedPageBreak/>
        <w:t>and ovarian cancer for both genes and more moderate increases in risk for male breast and prostate cancer in male BRCA2 carriers. The relative risks are greatest for early onset cancers (&lt;50 years) but remain substantially increased at all ages</w:t>
      </w:r>
      <w:r>
        <w:rPr>
          <w:sz w:val="24"/>
          <w:szCs w:val="24"/>
        </w:rPr>
        <w:t>.</w:t>
      </w:r>
      <w:r w:rsidR="009F7E7D" w:rsidRPr="009F7E7D">
        <w:rPr>
          <w:sz w:val="24"/>
          <w:szCs w:val="24"/>
        </w:rPr>
        <w:t xml:space="preserve"> Representative data from </w:t>
      </w:r>
      <w:r w:rsidR="00FA7C9F">
        <w:rPr>
          <w:sz w:val="24"/>
          <w:szCs w:val="24"/>
        </w:rPr>
        <w:t xml:space="preserve">a </w:t>
      </w:r>
      <w:r w:rsidR="009F7E7D" w:rsidRPr="009F7E7D">
        <w:rPr>
          <w:sz w:val="24"/>
          <w:szCs w:val="24"/>
        </w:rPr>
        <w:t>combined analysis of 8,139 individuals with breast or ovarian cancer and their families, including 280 BRCA1-mutation and 218 BRCA2-mutation families, is shown below (from Antoniou et al):</w:t>
      </w:r>
    </w:p>
    <w:p w14:paraId="29227B51" w14:textId="27C43184" w:rsidR="009F7E7D" w:rsidRDefault="009F7E7D" w:rsidP="009F7E7D">
      <w:pPr>
        <w:spacing w:after="0"/>
        <w:rPr>
          <w:rFonts w:ascii="Calibri" w:eastAsia="Times New Roman" w:hAnsi="Calibri" w:cs="Times New Roman"/>
          <w:b/>
          <w:color w:val="000000"/>
        </w:rPr>
      </w:pPr>
      <w:r>
        <w:rPr>
          <w:b/>
        </w:rPr>
        <w:t>Relative risk (95% CI) of cancer for female</w:t>
      </w:r>
      <w:r w:rsidRPr="00BA7E98">
        <w:rPr>
          <w:rFonts w:ascii="Calibri" w:eastAsia="Times New Roman" w:hAnsi="Calibri" w:cs="Times New Roman"/>
          <w:b/>
          <w:color w:val="000000"/>
        </w:rPr>
        <w:t xml:space="preserve"> </w:t>
      </w:r>
      <w:r w:rsidRPr="007B13AA">
        <w:rPr>
          <w:rFonts w:ascii="Calibri" w:eastAsia="Times New Roman" w:hAnsi="Calibri" w:cs="Times New Roman"/>
          <w:b/>
          <w:color w:val="000000"/>
        </w:rPr>
        <w:t>BRCA1 and BRCA2 mutation carriers</w:t>
      </w:r>
    </w:p>
    <w:tbl>
      <w:tblPr>
        <w:tblStyle w:val="TableGrid"/>
        <w:tblW w:w="6376" w:type="dxa"/>
        <w:tblLook w:val="04A0" w:firstRow="1" w:lastRow="0" w:firstColumn="1" w:lastColumn="0" w:noHBand="0" w:noVBand="1"/>
        <w:tblDescription w:val="Relative risk (95%) of cancer for female BRCA1 and BRCA1 mutation carriers. The table shows the relative risk in 5 different age ranges"/>
      </w:tblPr>
      <w:tblGrid>
        <w:gridCol w:w="1840"/>
        <w:gridCol w:w="2127"/>
        <w:gridCol w:w="2409"/>
      </w:tblGrid>
      <w:tr w:rsidR="00297462" w14:paraId="3428FA5D" w14:textId="77777777" w:rsidTr="001F5EF5">
        <w:trPr>
          <w:trHeight w:val="320"/>
          <w:tblHeader/>
        </w:trPr>
        <w:tc>
          <w:tcPr>
            <w:tcW w:w="1840" w:type="dxa"/>
            <w:noWrap/>
            <w:hideMark/>
          </w:tcPr>
          <w:p w14:paraId="3E782303" w14:textId="2CAC67AD" w:rsidR="00297462" w:rsidRDefault="00297462" w:rsidP="009F7E7D">
            <w:pPr>
              <w:rPr>
                <w:rFonts w:ascii="Calibri" w:hAnsi="Calibri"/>
              </w:rPr>
            </w:pPr>
            <w:r>
              <w:rPr>
                <w:rFonts w:ascii="Calibri" w:hAnsi="Calibri"/>
              </w:rPr>
              <w:t>Age</w:t>
            </w:r>
          </w:p>
        </w:tc>
        <w:tc>
          <w:tcPr>
            <w:tcW w:w="2127" w:type="dxa"/>
            <w:noWrap/>
            <w:hideMark/>
          </w:tcPr>
          <w:p w14:paraId="424F8074" w14:textId="6B1ED497" w:rsidR="00297462" w:rsidRPr="00973FD9" w:rsidRDefault="00297462" w:rsidP="009F7E7D">
            <w:pPr>
              <w:jc w:val="center"/>
              <w:rPr>
                <w:rFonts w:ascii="Calibri" w:hAnsi="Calibri"/>
              </w:rPr>
            </w:pPr>
            <w:r w:rsidRPr="00973FD9">
              <w:rPr>
                <w:iCs/>
              </w:rPr>
              <w:t>BRCA1</w:t>
            </w:r>
          </w:p>
        </w:tc>
        <w:tc>
          <w:tcPr>
            <w:tcW w:w="2409" w:type="dxa"/>
            <w:noWrap/>
            <w:hideMark/>
          </w:tcPr>
          <w:p w14:paraId="7EFFBE00" w14:textId="18CE9939" w:rsidR="00297462" w:rsidRPr="00973FD9" w:rsidRDefault="00297462" w:rsidP="009F7E7D">
            <w:pPr>
              <w:jc w:val="center"/>
              <w:rPr>
                <w:rFonts w:ascii="Calibri" w:hAnsi="Calibri"/>
              </w:rPr>
            </w:pPr>
            <w:r w:rsidRPr="00973FD9">
              <w:rPr>
                <w:iCs/>
              </w:rPr>
              <w:t>BRCA2</w:t>
            </w:r>
          </w:p>
        </w:tc>
      </w:tr>
      <w:tr w:rsidR="00297462" w14:paraId="7F650FAB" w14:textId="77777777" w:rsidTr="001F5EF5">
        <w:trPr>
          <w:trHeight w:val="300"/>
        </w:trPr>
        <w:tc>
          <w:tcPr>
            <w:tcW w:w="1840" w:type="dxa"/>
            <w:noWrap/>
            <w:hideMark/>
          </w:tcPr>
          <w:p w14:paraId="137A8DD4" w14:textId="5B4B6BC6" w:rsidR="00297462" w:rsidRDefault="00297462" w:rsidP="009F7E7D">
            <w:pPr>
              <w:rPr>
                <w:rFonts w:ascii="Calibri" w:hAnsi="Calibri"/>
              </w:rPr>
            </w:pPr>
            <w:r>
              <w:t>20-29</w:t>
            </w:r>
          </w:p>
        </w:tc>
        <w:tc>
          <w:tcPr>
            <w:tcW w:w="2127" w:type="dxa"/>
            <w:noWrap/>
            <w:hideMark/>
          </w:tcPr>
          <w:p w14:paraId="0EE163FF" w14:textId="09C75323" w:rsidR="00297462" w:rsidRDefault="00297462" w:rsidP="00297462">
            <w:pPr>
              <w:jc w:val="center"/>
              <w:rPr>
                <w:rFonts w:ascii="Calibri" w:hAnsi="Calibri"/>
              </w:rPr>
            </w:pPr>
            <w:r>
              <w:t>17 (4.2-71)</w:t>
            </w:r>
          </w:p>
        </w:tc>
        <w:tc>
          <w:tcPr>
            <w:tcW w:w="2409" w:type="dxa"/>
            <w:noWrap/>
            <w:hideMark/>
          </w:tcPr>
          <w:p w14:paraId="77C5EEBF" w14:textId="500E5C44" w:rsidR="00297462" w:rsidRDefault="00297462" w:rsidP="00297462">
            <w:pPr>
              <w:jc w:val="center"/>
              <w:rPr>
                <w:rFonts w:ascii="Calibri" w:hAnsi="Calibri"/>
              </w:rPr>
            </w:pPr>
            <w:r>
              <w:t>19 (4.5-81)</w:t>
            </w:r>
          </w:p>
        </w:tc>
      </w:tr>
      <w:tr w:rsidR="00297462" w14:paraId="47357F84" w14:textId="77777777" w:rsidTr="001F5EF5">
        <w:trPr>
          <w:trHeight w:val="300"/>
        </w:trPr>
        <w:tc>
          <w:tcPr>
            <w:tcW w:w="1840" w:type="dxa"/>
            <w:noWrap/>
          </w:tcPr>
          <w:p w14:paraId="3E5185B1" w14:textId="7772770C" w:rsidR="00297462" w:rsidRDefault="00297462" w:rsidP="009F7E7D">
            <w:r>
              <w:t>30-39</w:t>
            </w:r>
          </w:p>
        </w:tc>
        <w:tc>
          <w:tcPr>
            <w:tcW w:w="2127" w:type="dxa"/>
            <w:noWrap/>
          </w:tcPr>
          <w:p w14:paraId="2A7ED07B" w14:textId="51F67F28" w:rsidR="00297462" w:rsidRDefault="00297462" w:rsidP="009F7E7D">
            <w:pPr>
              <w:jc w:val="center"/>
            </w:pPr>
            <w:r>
              <w:t>33 (23-49)</w:t>
            </w:r>
          </w:p>
        </w:tc>
        <w:tc>
          <w:tcPr>
            <w:tcW w:w="2409" w:type="dxa"/>
            <w:noWrap/>
          </w:tcPr>
          <w:p w14:paraId="5E10D7D9" w14:textId="4D5DC29D" w:rsidR="00297462" w:rsidRDefault="00297462" w:rsidP="009F7E7D">
            <w:pPr>
              <w:jc w:val="center"/>
            </w:pPr>
            <w:r>
              <w:t>16 (9.3-29)</w:t>
            </w:r>
          </w:p>
        </w:tc>
      </w:tr>
      <w:tr w:rsidR="00297462" w14:paraId="240ADF6C" w14:textId="77777777" w:rsidTr="001F5EF5">
        <w:trPr>
          <w:trHeight w:val="300"/>
        </w:trPr>
        <w:tc>
          <w:tcPr>
            <w:tcW w:w="1840" w:type="dxa"/>
            <w:noWrap/>
          </w:tcPr>
          <w:p w14:paraId="171CC89A" w14:textId="77FFC305" w:rsidR="00297462" w:rsidRDefault="00297462" w:rsidP="009F7E7D">
            <w:r>
              <w:t>40-49</w:t>
            </w:r>
          </w:p>
        </w:tc>
        <w:tc>
          <w:tcPr>
            <w:tcW w:w="2127" w:type="dxa"/>
            <w:noWrap/>
          </w:tcPr>
          <w:p w14:paraId="6529456B" w14:textId="7879154B" w:rsidR="00297462" w:rsidRDefault="00297462" w:rsidP="009F7E7D">
            <w:pPr>
              <w:jc w:val="center"/>
            </w:pPr>
            <w:r>
              <w:t>32 (24-43)</w:t>
            </w:r>
          </w:p>
        </w:tc>
        <w:tc>
          <w:tcPr>
            <w:tcW w:w="2409" w:type="dxa"/>
            <w:noWrap/>
          </w:tcPr>
          <w:p w14:paraId="7B59186C" w14:textId="20FFD5EE" w:rsidR="00297462" w:rsidRDefault="00297462" w:rsidP="009F7E7D">
            <w:pPr>
              <w:jc w:val="center"/>
            </w:pPr>
            <w:r>
              <w:t>9.9 (6.1-16)</w:t>
            </w:r>
          </w:p>
        </w:tc>
      </w:tr>
      <w:tr w:rsidR="00297462" w14:paraId="1269DC76" w14:textId="77777777" w:rsidTr="001F5EF5">
        <w:trPr>
          <w:trHeight w:val="300"/>
        </w:trPr>
        <w:tc>
          <w:tcPr>
            <w:tcW w:w="1840" w:type="dxa"/>
            <w:noWrap/>
          </w:tcPr>
          <w:p w14:paraId="35EA0C71" w14:textId="29E99CDD" w:rsidR="00297462" w:rsidRDefault="00297462" w:rsidP="009F7E7D">
            <w:r>
              <w:t>50-59</w:t>
            </w:r>
          </w:p>
        </w:tc>
        <w:tc>
          <w:tcPr>
            <w:tcW w:w="2127" w:type="dxa"/>
            <w:noWrap/>
          </w:tcPr>
          <w:p w14:paraId="721F89B7" w14:textId="5832D070" w:rsidR="00297462" w:rsidRDefault="00297462" w:rsidP="009F7E7D">
            <w:pPr>
              <w:jc w:val="center"/>
            </w:pPr>
            <w:r>
              <w:t>18 (11-30)</w:t>
            </w:r>
          </w:p>
        </w:tc>
        <w:tc>
          <w:tcPr>
            <w:tcW w:w="2409" w:type="dxa"/>
            <w:noWrap/>
          </w:tcPr>
          <w:p w14:paraId="3EF32F49" w14:textId="11BEDD96" w:rsidR="00297462" w:rsidRDefault="00297462" w:rsidP="009F7E7D">
            <w:pPr>
              <w:jc w:val="center"/>
            </w:pPr>
            <w:r>
              <w:t>12 (7.4-19)</w:t>
            </w:r>
          </w:p>
        </w:tc>
      </w:tr>
      <w:tr w:rsidR="00297462" w14:paraId="5A89E142" w14:textId="77777777" w:rsidTr="001F5EF5">
        <w:trPr>
          <w:trHeight w:val="300"/>
        </w:trPr>
        <w:tc>
          <w:tcPr>
            <w:tcW w:w="1840" w:type="dxa"/>
            <w:noWrap/>
          </w:tcPr>
          <w:p w14:paraId="6D80BB00" w14:textId="0233A27B" w:rsidR="00297462" w:rsidRDefault="00297462" w:rsidP="009F7E7D">
            <w:r>
              <w:t>60-69</w:t>
            </w:r>
          </w:p>
        </w:tc>
        <w:tc>
          <w:tcPr>
            <w:tcW w:w="2127" w:type="dxa"/>
            <w:noWrap/>
          </w:tcPr>
          <w:p w14:paraId="61D63EEA" w14:textId="30732BA2" w:rsidR="00297462" w:rsidRDefault="00297462" w:rsidP="009F7E7D">
            <w:pPr>
              <w:jc w:val="center"/>
            </w:pPr>
            <w:r>
              <w:t>14 (6.3-31)</w:t>
            </w:r>
          </w:p>
        </w:tc>
        <w:tc>
          <w:tcPr>
            <w:tcW w:w="2409" w:type="dxa"/>
            <w:noWrap/>
          </w:tcPr>
          <w:p w14:paraId="7338866C" w14:textId="624779F7" w:rsidR="00297462" w:rsidRDefault="00297462" w:rsidP="009F7E7D">
            <w:pPr>
              <w:jc w:val="center"/>
            </w:pPr>
            <w:r>
              <w:t>11 (6.3-20)</w:t>
            </w:r>
          </w:p>
        </w:tc>
      </w:tr>
    </w:tbl>
    <w:p w14:paraId="49174B6B" w14:textId="096A9256" w:rsidR="00973FD9" w:rsidRDefault="00973FD9" w:rsidP="00297462">
      <w:pPr>
        <w:spacing w:before="200"/>
        <w:rPr>
          <w:sz w:val="24"/>
          <w:szCs w:val="24"/>
        </w:rPr>
      </w:pPr>
      <w:r w:rsidRPr="00973FD9">
        <w:rPr>
          <w:sz w:val="24"/>
          <w:szCs w:val="24"/>
        </w:rPr>
        <w:t>These risks have been validated in a prospective series (EMBRACE) of 978 BRCA1-mutation carriers and 909 BRCA2-mutation carriers</w:t>
      </w:r>
      <w:r>
        <w:rPr>
          <w:sz w:val="24"/>
          <w:szCs w:val="24"/>
        </w:rPr>
        <w:t xml:space="preserve"> as presented in the table below.</w:t>
      </w:r>
    </w:p>
    <w:p w14:paraId="69EA124D" w14:textId="297323FF" w:rsidR="00BA7E98" w:rsidRDefault="00BA7E98" w:rsidP="00973FD9">
      <w:pPr>
        <w:spacing w:after="0"/>
        <w:rPr>
          <w:rFonts w:ascii="Calibri" w:eastAsia="Times New Roman" w:hAnsi="Calibri" w:cs="Times New Roman"/>
          <w:b/>
          <w:color w:val="000000"/>
        </w:rPr>
      </w:pPr>
      <w:r w:rsidRPr="00BA7E98">
        <w:rPr>
          <w:b/>
        </w:rPr>
        <w:t xml:space="preserve">Cumulative lifetime risk </w:t>
      </w:r>
      <w:r w:rsidR="00F96108">
        <w:rPr>
          <w:b/>
        </w:rPr>
        <w:t xml:space="preserve">(95% CI) </w:t>
      </w:r>
      <w:r w:rsidRPr="00BA7E98">
        <w:rPr>
          <w:b/>
        </w:rPr>
        <w:t xml:space="preserve">of female breast cancer </w:t>
      </w:r>
      <w:r w:rsidRPr="00BA7E98">
        <w:rPr>
          <w:rFonts w:ascii="Calibri" w:eastAsia="Times New Roman" w:hAnsi="Calibri" w:cs="Times New Roman"/>
          <w:b/>
          <w:color w:val="000000"/>
        </w:rPr>
        <w:t xml:space="preserve">in </w:t>
      </w:r>
      <w:r w:rsidR="00973FD9">
        <w:rPr>
          <w:rFonts w:ascii="Calibri" w:eastAsia="Times New Roman" w:hAnsi="Calibri" w:cs="Times New Roman"/>
          <w:b/>
          <w:color w:val="000000"/>
        </w:rPr>
        <w:t xml:space="preserve">Australian population </w:t>
      </w:r>
      <w:r w:rsidRPr="00BA7E98">
        <w:rPr>
          <w:rFonts w:ascii="Calibri" w:eastAsia="Times New Roman" w:hAnsi="Calibri" w:cs="Times New Roman"/>
          <w:b/>
          <w:color w:val="000000"/>
        </w:rPr>
        <w:t xml:space="preserve">and affected </w:t>
      </w:r>
      <w:r w:rsidRPr="007B13AA">
        <w:rPr>
          <w:rFonts w:ascii="Calibri" w:eastAsia="Times New Roman" w:hAnsi="Calibri" w:cs="Times New Roman"/>
          <w:b/>
          <w:color w:val="000000"/>
        </w:rPr>
        <w:t>BRCA1 and BRCA2 mutation carriers</w:t>
      </w:r>
    </w:p>
    <w:tbl>
      <w:tblPr>
        <w:tblStyle w:val="TableGrid"/>
        <w:tblW w:w="9087" w:type="dxa"/>
        <w:tblLook w:val="04A0" w:firstRow="1" w:lastRow="0" w:firstColumn="1" w:lastColumn="0" w:noHBand="0" w:noVBand="1"/>
        <w:tblDescription w:val="Cumulative lifetime risk (95% CI) of female breast cancer in Australian population and affected BRCA1 and BRCA2 mutation carriers. The table compares the cumulative lifetime risk of female breast cancer at any age for the Australian population, BRCA1 and BRCA2 mutation carriers."/>
      </w:tblPr>
      <w:tblGrid>
        <w:gridCol w:w="1840"/>
        <w:gridCol w:w="2711"/>
        <w:gridCol w:w="2127"/>
        <w:gridCol w:w="2409"/>
      </w:tblGrid>
      <w:tr w:rsidR="00BA7E98" w14:paraId="274738E9" w14:textId="77777777" w:rsidTr="00F96108">
        <w:trPr>
          <w:trHeight w:val="320"/>
          <w:tblHeader/>
        </w:trPr>
        <w:tc>
          <w:tcPr>
            <w:tcW w:w="1840" w:type="dxa"/>
            <w:noWrap/>
            <w:hideMark/>
          </w:tcPr>
          <w:p w14:paraId="2993E74F" w14:textId="3AB015E4" w:rsidR="00BA7E98" w:rsidRDefault="00BA7E98" w:rsidP="00973FD9">
            <w:pPr>
              <w:rPr>
                <w:rFonts w:ascii="Calibri" w:hAnsi="Calibri"/>
              </w:rPr>
            </w:pPr>
          </w:p>
        </w:tc>
        <w:tc>
          <w:tcPr>
            <w:tcW w:w="2711" w:type="dxa"/>
            <w:noWrap/>
            <w:hideMark/>
          </w:tcPr>
          <w:p w14:paraId="2A1D910D" w14:textId="1080408C" w:rsidR="00BA7E98" w:rsidRDefault="00BA7E98" w:rsidP="00973FD9">
            <w:pPr>
              <w:rPr>
                <w:rFonts w:ascii="Calibri" w:hAnsi="Calibri"/>
              </w:rPr>
            </w:pPr>
            <w:r>
              <w:t xml:space="preserve">Australian </w:t>
            </w:r>
            <w:r w:rsidR="00973FD9">
              <w:t>p</w:t>
            </w:r>
            <w:r>
              <w:t>op</w:t>
            </w:r>
            <w:r w:rsidR="00973FD9">
              <w:t>ulation</w:t>
            </w:r>
            <w:r>
              <w:rPr>
                <w:vertAlign w:val="superscript"/>
              </w:rPr>
              <w:t>1</w:t>
            </w:r>
          </w:p>
        </w:tc>
        <w:tc>
          <w:tcPr>
            <w:tcW w:w="2127" w:type="dxa"/>
            <w:noWrap/>
            <w:hideMark/>
          </w:tcPr>
          <w:p w14:paraId="4B5260E9" w14:textId="77777777" w:rsidR="00BA7E98" w:rsidRPr="00973FD9" w:rsidRDefault="00BA7E98" w:rsidP="00973FD9">
            <w:pPr>
              <w:jc w:val="center"/>
              <w:rPr>
                <w:rFonts w:ascii="Calibri" w:hAnsi="Calibri"/>
              </w:rPr>
            </w:pPr>
            <w:r w:rsidRPr="00973FD9">
              <w:rPr>
                <w:iCs/>
              </w:rPr>
              <w:t>BRCA1</w:t>
            </w:r>
            <w:r w:rsidRPr="00973FD9">
              <w:rPr>
                <w:iCs/>
                <w:vertAlign w:val="superscript"/>
              </w:rPr>
              <w:t>2</w:t>
            </w:r>
          </w:p>
        </w:tc>
        <w:tc>
          <w:tcPr>
            <w:tcW w:w="2409" w:type="dxa"/>
            <w:noWrap/>
            <w:hideMark/>
          </w:tcPr>
          <w:p w14:paraId="325CA589" w14:textId="77777777" w:rsidR="00BA7E98" w:rsidRPr="00973FD9" w:rsidRDefault="00BA7E98" w:rsidP="00973FD9">
            <w:pPr>
              <w:jc w:val="center"/>
              <w:rPr>
                <w:rFonts w:ascii="Calibri" w:hAnsi="Calibri"/>
              </w:rPr>
            </w:pPr>
            <w:r w:rsidRPr="00973FD9">
              <w:rPr>
                <w:iCs/>
              </w:rPr>
              <w:t>BRCA2</w:t>
            </w:r>
            <w:r w:rsidRPr="00973FD9">
              <w:rPr>
                <w:iCs/>
                <w:vertAlign w:val="superscript"/>
              </w:rPr>
              <w:t>2</w:t>
            </w:r>
          </w:p>
        </w:tc>
      </w:tr>
      <w:tr w:rsidR="00BA7E98" w14:paraId="389F2E4D" w14:textId="77777777" w:rsidTr="00F96108">
        <w:trPr>
          <w:trHeight w:val="300"/>
        </w:trPr>
        <w:tc>
          <w:tcPr>
            <w:tcW w:w="1840" w:type="dxa"/>
            <w:noWrap/>
            <w:hideMark/>
          </w:tcPr>
          <w:p w14:paraId="4E413048" w14:textId="77777777" w:rsidR="00F96108" w:rsidRDefault="00F96108" w:rsidP="00973FD9">
            <w:r>
              <w:t>Cumulative lifetime risk, % (95% CI)</w:t>
            </w:r>
          </w:p>
          <w:p w14:paraId="725F08B3" w14:textId="35E60636" w:rsidR="00BA7E98" w:rsidRDefault="00BA7E98" w:rsidP="00973FD9">
            <w:pPr>
              <w:rPr>
                <w:rFonts w:ascii="Calibri" w:hAnsi="Calibri"/>
              </w:rPr>
            </w:pPr>
            <w:r>
              <w:t>Female</w:t>
            </w:r>
            <w:r w:rsidR="009F7E7D">
              <w:t>, any age</w:t>
            </w:r>
            <w:r w:rsidR="00F058F2">
              <w:t xml:space="preserve"> breast cancer</w:t>
            </w:r>
          </w:p>
        </w:tc>
        <w:tc>
          <w:tcPr>
            <w:tcW w:w="2711" w:type="dxa"/>
            <w:noWrap/>
            <w:vAlign w:val="center"/>
            <w:hideMark/>
          </w:tcPr>
          <w:p w14:paraId="42DDB4DC" w14:textId="14849EA8" w:rsidR="00BA7E98" w:rsidRDefault="00F058F2" w:rsidP="00F96108">
            <w:pPr>
              <w:jc w:val="center"/>
              <w:rPr>
                <w:rFonts w:ascii="Times New Roman" w:eastAsia="Times New Roman" w:hAnsi="Times New Roman"/>
                <w:sz w:val="20"/>
                <w:szCs w:val="20"/>
              </w:rPr>
            </w:pPr>
            <w:r>
              <w:t>9.3</w:t>
            </w:r>
          </w:p>
        </w:tc>
        <w:tc>
          <w:tcPr>
            <w:tcW w:w="2127" w:type="dxa"/>
            <w:noWrap/>
            <w:vAlign w:val="center"/>
            <w:hideMark/>
          </w:tcPr>
          <w:p w14:paraId="4E70433F" w14:textId="336C1F3D" w:rsidR="00BA7E98" w:rsidRDefault="00F058F2" w:rsidP="00F96108">
            <w:pPr>
              <w:jc w:val="center"/>
              <w:rPr>
                <w:rFonts w:ascii="Times New Roman" w:eastAsia="Times New Roman" w:hAnsi="Times New Roman"/>
                <w:sz w:val="20"/>
                <w:szCs w:val="20"/>
              </w:rPr>
            </w:pPr>
            <w:r>
              <w:t>60 (44-75)</w:t>
            </w:r>
          </w:p>
        </w:tc>
        <w:tc>
          <w:tcPr>
            <w:tcW w:w="2409" w:type="dxa"/>
            <w:noWrap/>
            <w:vAlign w:val="center"/>
            <w:hideMark/>
          </w:tcPr>
          <w:p w14:paraId="43D0B43C" w14:textId="06DDA54C" w:rsidR="00BA7E98" w:rsidRDefault="00F058F2" w:rsidP="00F96108">
            <w:pPr>
              <w:jc w:val="center"/>
              <w:rPr>
                <w:rFonts w:ascii="Calibri" w:hAnsi="Calibri"/>
              </w:rPr>
            </w:pPr>
            <w:r>
              <w:t>55 (41-70)</w:t>
            </w:r>
          </w:p>
        </w:tc>
      </w:tr>
    </w:tbl>
    <w:p w14:paraId="6378506F" w14:textId="77777777" w:rsidR="00BA7E98" w:rsidRDefault="00BA7E98" w:rsidP="00973FD9">
      <w:pPr>
        <w:spacing w:after="0"/>
        <w:rPr>
          <w:rFonts w:ascii="Calibri" w:hAnsi="Calibri"/>
        </w:rPr>
      </w:pPr>
      <w:r>
        <w:rPr>
          <w:color w:val="000000"/>
          <w:vertAlign w:val="superscript"/>
        </w:rPr>
        <w:t>1</w:t>
      </w:r>
      <w:r>
        <w:rPr>
          <w:color w:val="000000"/>
        </w:rPr>
        <w:t>cumulative risk to age 75, AIHW cancer statistics 2011</w:t>
      </w:r>
    </w:p>
    <w:p w14:paraId="1EF79D9A" w14:textId="7122BF68" w:rsidR="00BA7E98" w:rsidRDefault="00BA7E98" w:rsidP="00973FD9">
      <w:pPr>
        <w:rPr>
          <w:color w:val="000000"/>
        </w:rPr>
      </w:pPr>
      <w:r>
        <w:rPr>
          <w:color w:val="000000"/>
          <w:vertAlign w:val="superscript"/>
        </w:rPr>
        <w:t>2</w:t>
      </w:r>
      <w:r>
        <w:rPr>
          <w:color w:val="000000"/>
        </w:rPr>
        <w:t>cumulative risk to age 70 in a UK series (Mavaddat et al</w:t>
      </w:r>
      <w:r w:rsidR="00973FD9" w:rsidRPr="00973FD9">
        <w:rPr>
          <w:color w:val="000000"/>
        </w:rPr>
        <w:t>., J Natl Cancer Inst 2013 105:812-822</w:t>
      </w:r>
      <w:r>
        <w:rPr>
          <w:color w:val="000000"/>
        </w:rPr>
        <w:t>)</w:t>
      </w:r>
    </w:p>
    <w:p w14:paraId="5A56EE02" w14:textId="7C53A921" w:rsidR="00297462" w:rsidRPr="00297462" w:rsidRDefault="00297462" w:rsidP="00973FD9">
      <w:pPr>
        <w:rPr>
          <w:sz w:val="24"/>
          <w:szCs w:val="24"/>
        </w:rPr>
      </w:pPr>
      <w:r>
        <w:rPr>
          <w:sz w:val="24"/>
          <w:szCs w:val="24"/>
        </w:rPr>
        <w:t>The relative risks over the Australian population are 60/9.3 = 6.4 for BRCA1 and 55/9.3 = 5.9 for BRCA2.</w:t>
      </w:r>
    </w:p>
    <w:p w14:paraId="30659442" w14:textId="77777777" w:rsidR="004055D3" w:rsidRPr="00BA7E98" w:rsidRDefault="004055D3" w:rsidP="003258A6">
      <w:pPr>
        <w:keepNext/>
        <w:numPr>
          <w:ilvl w:val="2"/>
          <w:numId w:val="16"/>
        </w:numPr>
        <w:ind w:left="709" w:hanging="709"/>
        <w:contextualSpacing/>
        <w:rPr>
          <w:b/>
          <w:sz w:val="24"/>
          <w:szCs w:val="24"/>
        </w:rPr>
      </w:pPr>
      <w:r w:rsidRPr="00BA7E98">
        <w:rPr>
          <w:b/>
          <w:i/>
          <w:sz w:val="24"/>
          <w:szCs w:val="24"/>
        </w:rPr>
        <w:t>Mean or median duration of follow-up across the cohort study associated with this ratio:</w:t>
      </w:r>
      <w:r w:rsidRPr="00BA7E98">
        <w:rPr>
          <w:sz w:val="24"/>
          <w:szCs w:val="24"/>
        </w:rPr>
        <w:t xml:space="preserve"> </w:t>
      </w:r>
    </w:p>
    <w:p w14:paraId="3E38B06D" w14:textId="403EEFD9" w:rsidR="007F14A0" w:rsidRPr="007A04DD" w:rsidRDefault="004055D3" w:rsidP="007A04DD">
      <w:pPr>
        <w:rPr>
          <w:sz w:val="24"/>
          <w:szCs w:val="24"/>
        </w:rPr>
      </w:pPr>
      <w:r w:rsidRPr="00BA7E98">
        <w:rPr>
          <w:i/>
          <w:sz w:val="24"/>
          <w:szCs w:val="24"/>
        </w:rPr>
        <w:t>[Preferably, more than one ratio should be reported for more than one time point.]</w:t>
      </w:r>
      <w:r w:rsidRPr="00BA7E98">
        <w:rPr>
          <w:sz w:val="24"/>
          <w:szCs w:val="24"/>
        </w:rPr>
        <w:t xml:space="preserve"> </w:t>
      </w:r>
    </w:p>
    <w:p w14:paraId="43F569D7" w14:textId="7A29D70C" w:rsidR="004055D3" w:rsidRPr="00BA7E98" w:rsidRDefault="00FA7C9F" w:rsidP="004055D3">
      <w:pPr>
        <w:rPr>
          <w:sz w:val="24"/>
          <w:szCs w:val="24"/>
        </w:rPr>
      </w:pPr>
      <w:r>
        <w:rPr>
          <w:sz w:val="24"/>
          <w:szCs w:val="24"/>
        </w:rPr>
        <w:t>The Antonio</w:t>
      </w:r>
      <w:r w:rsidR="00AD0C72">
        <w:rPr>
          <w:sz w:val="24"/>
          <w:szCs w:val="24"/>
        </w:rPr>
        <w:t>u</w:t>
      </w:r>
      <w:r>
        <w:rPr>
          <w:sz w:val="24"/>
          <w:szCs w:val="24"/>
        </w:rPr>
        <w:t xml:space="preserve"> et al </w:t>
      </w:r>
      <w:r w:rsidR="00165D77">
        <w:rPr>
          <w:sz w:val="24"/>
          <w:szCs w:val="24"/>
        </w:rPr>
        <w:t xml:space="preserve">combined </w:t>
      </w:r>
      <w:r>
        <w:rPr>
          <w:sz w:val="24"/>
          <w:szCs w:val="24"/>
        </w:rPr>
        <w:t>analysis</w:t>
      </w:r>
      <w:r w:rsidR="00165D77">
        <w:rPr>
          <w:sz w:val="24"/>
          <w:szCs w:val="24"/>
        </w:rPr>
        <w:t xml:space="preserve"> did not report any duration of follow-up; Mavaddat et al reported a mean duration of follow-up </w:t>
      </w:r>
      <w:r w:rsidR="00AC39EF">
        <w:rPr>
          <w:sz w:val="24"/>
          <w:szCs w:val="24"/>
        </w:rPr>
        <w:t>of 3.3 years for women unaffected with breast cancer or ovarian cancer, 3.0 years for women without an ovarian cancer diagnosis and 3.0 years for women with unilateral breast cancer</w:t>
      </w:r>
      <w:r w:rsidR="00165D77">
        <w:rPr>
          <w:sz w:val="24"/>
          <w:szCs w:val="24"/>
        </w:rPr>
        <w:t>.</w:t>
      </w:r>
    </w:p>
    <w:p w14:paraId="38EA29FC" w14:textId="77777777" w:rsidR="004055D3" w:rsidRPr="00BA7E98" w:rsidRDefault="004055D3" w:rsidP="003258A6">
      <w:pPr>
        <w:keepNext/>
        <w:numPr>
          <w:ilvl w:val="2"/>
          <w:numId w:val="16"/>
        </w:numPr>
        <w:ind w:left="709" w:hanging="709"/>
        <w:contextualSpacing/>
        <w:rPr>
          <w:b/>
          <w:sz w:val="24"/>
          <w:szCs w:val="24"/>
        </w:rPr>
      </w:pPr>
      <w:r w:rsidRPr="00BA7E98">
        <w:rPr>
          <w:b/>
          <w:i/>
          <w:sz w:val="24"/>
          <w:szCs w:val="24"/>
        </w:rPr>
        <w:t>Mean or median age across the cohort study associated with this ratio:</w:t>
      </w:r>
      <w:r w:rsidRPr="00BA7E98">
        <w:rPr>
          <w:sz w:val="24"/>
          <w:szCs w:val="24"/>
        </w:rPr>
        <w:t xml:space="preserve"> </w:t>
      </w:r>
    </w:p>
    <w:p w14:paraId="3B06B0E4" w14:textId="2237B470" w:rsidR="00CD7926" w:rsidRDefault="004055D3" w:rsidP="00CD7926">
      <w:pPr>
        <w:rPr>
          <w:sz w:val="24"/>
          <w:szCs w:val="24"/>
        </w:rPr>
      </w:pPr>
      <w:r w:rsidRPr="00BA7E98">
        <w:rPr>
          <w:i/>
          <w:sz w:val="24"/>
          <w:szCs w:val="24"/>
        </w:rPr>
        <w:t>[If the ratio is expected to vary by age, present any available data which enables an assessment of the association between age and clinical validity.]</w:t>
      </w:r>
      <w:r w:rsidRPr="00BA7E98">
        <w:rPr>
          <w:sz w:val="24"/>
          <w:szCs w:val="24"/>
        </w:rPr>
        <w:t xml:space="preserve"> </w:t>
      </w:r>
    </w:p>
    <w:p w14:paraId="0A5969F6" w14:textId="322BDDD2" w:rsidR="004055D3" w:rsidRPr="00BA7E98" w:rsidRDefault="00CD7926" w:rsidP="00CD7926">
      <w:pPr>
        <w:rPr>
          <w:sz w:val="24"/>
          <w:szCs w:val="24"/>
        </w:rPr>
      </w:pPr>
      <w:r>
        <w:rPr>
          <w:sz w:val="24"/>
          <w:szCs w:val="24"/>
        </w:rPr>
        <w:lastRenderedPageBreak/>
        <w:t>The Antonio</w:t>
      </w:r>
      <w:r w:rsidR="00AD0C72">
        <w:rPr>
          <w:sz w:val="24"/>
          <w:szCs w:val="24"/>
        </w:rPr>
        <w:t>u</w:t>
      </w:r>
      <w:r>
        <w:rPr>
          <w:sz w:val="24"/>
          <w:szCs w:val="24"/>
        </w:rPr>
        <w:t xml:space="preserve"> et al combined analysis did not report any mean or median age; Mavaddat et al reported a mean age at start of follow-up </w:t>
      </w:r>
      <w:r w:rsidR="00AC39EF">
        <w:rPr>
          <w:sz w:val="24"/>
          <w:szCs w:val="24"/>
        </w:rPr>
        <w:t>of 41.2 years for women unaffected with breast cancer or ovarian cancer, 43.7 years for women without an ovarian cancer diagnosis and 50.2 years for women with unilateral breast cancer</w:t>
      </w:r>
      <w:r>
        <w:rPr>
          <w:sz w:val="24"/>
          <w:szCs w:val="24"/>
        </w:rPr>
        <w:t>.</w:t>
      </w:r>
    </w:p>
    <w:p w14:paraId="2342CBCD" w14:textId="77777777" w:rsidR="004055D3" w:rsidRPr="00BA7E98" w:rsidRDefault="004055D3" w:rsidP="003258A6">
      <w:pPr>
        <w:keepNext/>
        <w:numPr>
          <w:ilvl w:val="2"/>
          <w:numId w:val="16"/>
        </w:numPr>
        <w:ind w:left="709" w:hanging="709"/>
        <w:contextualSpacing/>
        <w:rPr>
          <w:b/>
          <w:sz w:val="24"/>
          <w:szCs w:val="24"/>
        </w:rPr>
      </w:pPr>
      <w:r w:rsidRPr="00BA7E98">
        <w:rPr>
          <w:b/>
          <w:i/>
          <w:sz w:val="24"/>
          <w:szCs w:val="24"/>
        </w:rPr>
        <w:t>Prevalence (or diagnostic yield) associated with this ratio:</w:t>
      </w:r>
      <w:r w:rsidRPr="00BA7E98">
        <w:rPr>
          <w:sz w:val="24"/>
          <w:szCs w:val="24"/>
        </w:rPr>
        <w:t xml:space="preserve"> </w:t>
      </w:r>
    </w:p>
    <w:p w14:paraId="54912B3F" w14:textId="1A204E1B" w:rsidR="004055D3" w:rsidRPr="00E42E8D" w:rsidRDefault="00AC39EF" w:rsidP="004055D3">
      <w:pPr>
        <w:rPr>
          <w:sz w:val="24"/>
          <w:szCs w:val="24"/>
        </w:rPr>
      </w:pPr>
      <w:r>
        <w:rPr>
          <w:sz w:val="24"/>
          <w:szCs w:val="24"/>
        </w:rPr>
        <w:t>Cumulative lifetime risks are reported in Subsection 2.2.2 above.</w:t>
      </w:r>
    </w:p>
    <w:p w14:paraId="4D19C29B" w14:textId="247E8BA1" w:rsidR="00422CAF" w:rsidRPr="007B13AA" w:rsidRDefault="00847B1B" w:rsidP="003258A6">
      <w:pPr>
        <w:pStyle w:val="ListParagraph"/>
        <w:keepNext/>
        <w:numPr>
          <w:ilvl w:val="2"/>
          <w:numId w:val="16"/>
        </w:numPr>
        <w:spacing w:before="200"/>
        <w:ind w:left="709" w:hanging="709"/>
        <w:rPr>
          <w:b/>
          <w:sz w:val="24"/>
          <w:szCs w:val="24"/>
        </w:rPr>
      </w:pPr>
      <w:r w:rsidRPr="007B13AA">
        <w:rPr>
          <w:b/>
          <w:i/>
          <w:sz w:val="24"/>
          <w:szCs w:val="24"/>
        </w:rPr>
        <w:t>How w</w:t>
      </w:r>
      <w:r w:rsidR="006C0D10" w:rsidRPr="007B13AA">
        <w:rPr>
          <w:b/>
          <w:i/>
          <w:sz w:val="24"/>
          <w:szCs w:val="24"/>
        </w:rPr>
        <w:t>ould</w:t>
      </w:r>
      <w:r w:rsidR="00422CAF" w:rsidRPr="007B13AA">
        <w:rPr>
          <w:b/>
          <w:i/>
          <w:sz w:val="24"/>
          <w:szCs w:val="24"/>
        </w:rPr>
        <w:t xml:space="preserve"> </w:t>
      </w:r>
      <w:r w:rsidR="00612A44" w:rsidRPr="007B13AA">
        <w:rPr>
          <w:b/>
          <w:i/>
          <w:sz w:val="24"/>
          <w:szCs w:val="24"/>
        </w:rPr>
        <w:t>disease management of the family member be influenced by the result of the genetic test</w:t>
      </w:r>
      <w:r w:rsidRPr="007B13AA">
        <w:rPr>
          <w:b/>
          <w:i/>
          <w:sz w:val="24"/>
          <w:szCs w:val="24"/>
        </w:rPr>
        <w:t xml:space="preserve"> compared with not testing</w:t>
      </w:r>
      <w:r w:rsidR="00422CAF" w:rsidRPr="007B13AA">
        <w:rPr>
          <w:b/>
          <w:i/>
          <w:sz w:val="24"/>
          <w:szCs w:val="24"/>
        </w:rPr>
        <w:t>?</w:t>
      </w:r>
    </w:p>
    <w:p w14:paraId="046AF31A" w14:textId="43E15277" w:rsidR="00612A44" w:rsidRDefault="00612A44" w:rsidP="00612A44">
      <w:pPr>
        <w:keepNext/>
        <w:rPr>
          <w:i/>
          <w:sz w:val="24"/>
          <w:szCs w:val="24"/>
        </w:rPr>
      </w:pPr>
      <w:r w:rsidRPr="007B13AA">
        <w:rPr>
          <w:i/>
          <w:sz w:val="24"/>
          <w:szCs w:val="24"/>
        </w:rPr>
        <w:t xml:space="preserve">Summarize the differences between prevention strategies for mutation positive and negative </w:t>
      </w:r>
      <w:r w:rsidR="00847B1B" w:rsidRPr="007B13AA">
        <w:rPr>
          <w:i/>
          <w:sz w:val="24"/>
          <w:szCs w:val="24"/>
        </w:rPr>
        <w:t>family members</w:t>
      </w:r>
      <w:r w:rsidRPr="007B13AA">
        <w:rPr>
          <w:i/>
          <w:sz w:val="24"/>
          <w:szCs w:val="24"/>
        </w:rPr>
        <w:t xml:space="preserve">, with each management strategy for mutation-positive individuals and mutation-negative individuals being compared with </w:t>
      </w:r>
      <w:r w:rsidR="00847B1B" w:rsidRPr="007B13AA">
        <w:rPr>
          <w:i/>
          <w:sz w:val="24"/>
          <w:szCs w:val="24"/>
        </w:rPr>
        <w:t xml:space="preserve">the comparator of </w:t>
      </w:r>
      <w:r w:rsidRPr="007B13AA">
        <w:rPr>
          <w:i/>
          <w:sz w:val="24"/>
          <w:szCs w:val="24"/>
        </w:rPr>
        <w:t>clinical management in the absence of testing. [Where appropriate, split the following table into males and females or nominate the gender for which the clinical utility arguments are the strongest.]</w:t>
      </w:r>
    </w:p>
    <w:p w14:paraId="71DCDFA8" w14:textId="417D1C14" w:rsidR="00140619" w:rsidRPr="007B13AA" w:rsidRDefault="00140619" w:rsidP="00BE0F9E">
      <w:pPr>
        <w:pStyle w:val="Heading2"/>
        <w:numPr>
          <w:ilvl w:val="0"/>
          <w:numId w:val="0"/>
        </w:numPr>
        <w:ind w:left="576"/>
        <w:rPr>
          <w:i/>
        </w:rPr>
      </w:pPr>
      <w:r w:rsidRPr="007B13AA">
        <w:t xml:space="preserve">Breast </w:t>
      </w:r>
      <w:r>
        <w:t xml:space="preserve">cancer </w:t>
      </w:r>
      <w:r w:rsidRPr="007B13AA">
        <w:t>(female)</w:t>
      </w:r>
    </w:p>
    <w:tbl>
      <w:tblPr>
        <w:tblStyle w:val="TableGrid"/>
        <w:tblW w:w="0" w:type="auto"/>
        <w:tblLook w:val="04A0" w:firstRow="1" w:lastRow="0" w:firstColumn="1" w:lastColumn="0" w:noHBand="0" w:noVBand="1"/>
        <w:tblDescription w:val="Table: Summarize the differences between prevention strategies for mutation positive and negative family members, with each management strategy for mutation-positive individuals and mutation-negative individuals being compared with the comparator of clinical management in the absence of testing. [Where appropriate, split the following table into males and females or nominate the gender for which the clinical utility arguments are the strongest.]"/>
      </w:tblPr>
      <w:tblGrid>
        <w:gridCol w:w="1784"/>
        <w:gridCol w:w="2719"/>
        <w:gridCol w:w="2409"/>
        <w:gridCol w:w="2352"/>
      </w:tblGrid>
      <w:tr w:rsidR="00612A44" w:rsidRPr="007B13AA" w14:paraId="1C28FAEE" w14:textId="77777777" w:rsidTr="001F5EF5">
        <w:trPr>
          <w:tblHeader/>
        </w:trPr>
        <w:tc>
          <w:tcPr>
            <w:tcW w:w="1784" w:type="dxa"/>
          </w:tcPr>
          <w:p w14:paraId="15FCF1E8" w14:textId="07EC5C4B" w:rsidR="00612A44" w:rsidRPr="00D46C36" w:rsidRDefault="00612A44" w:rsidP="005D1C27">
            <w:pPr>
              <w:keepNext/>
              <w:rPr>
                <w:i/>
                <w:sz w:val="24"/>
                <w:szCs w:val="24"/>
              </w:rPr>
            </w:pPr>
            <w:r w:rsidRPr="00D46C36">
              <w:rPr>
                <w:i/>
                <w:sz w:val="24"/>
                <w:szCs w:val="24"/>
              </w:rPr>
              <w:t xml:space="preserve">Prevention of </w:t>
            </w:r>
            <w:r w:rsidR="005D1C27" w:rsidRPr="00D46C36">
              <w:rPr>
                <w:i/>
                <w:sz w:val="24"/>
                <w:szCs w:val="24"/>
              </w:rPr>
              <w:t>disease</w:t>
            </w:r>
            <w:r w:rsidRPr="00D46C36">
              <w:rPr>
                <w:i/>
                <w:sz w:val="24"/>
                <w:szCs w:val="24"/>
              </w:rPr>
              <w:t>*</w:t>
            </w:r>
          </w:p>
        </w:tc>
        <w:tc>
          <w:tcPr>
            <w:tcW w:w="2719" w:type="dxa"/>
          </w:tcPr>
          <w:p w14:paraId="23D9135F" w14:textId="77777777" w:rsidR="00612A44" w:rsidRPr="007B13AA" w:rsidRDefault="00612A44" w:rsidP="005069C9">
            <w:pPr>
              <w:keepNext/>
              <w:rPr>
                <w:i/>
                <w:sz w:val="24"/>
                <w:szCs w:val="24"/>
              </w:rPr>
            </w:pPr>
            <w:r w:rsidRPr="007B13AA">
              <w:rPr>
                <w:i/>
                <w:sz w:val="24"/>
                <w:szCs w:val="24"/>
              </w:rPr>
              <w:t>Mutation positive</w:t>
            </w:r>
          </w:p>
        </w:tc>
        <w:tc>
          <w:tcPr>
            <w:tcW w:w="2409" w:type="dxa"/>
          </w:tcPr>
          <w:p w14:paraId="59C8DEEE" w14:textId="77777777" w:rsidR="00612A44" w:rsidRPr="007B13AA" w:rsidRDefault="00612A44" w:rsidP="005069C9">
            <w:pPr>
              <w:keepNext/>
              <w:rPr>
                <w:i/>
                <w:sz w:val="24"/>
                <w:szCs w:val="24"/>
              </w:rPr>
            </w:pPr>
            <w:r w:rsidRPr="007B13AA">
              <w:rPr>
                <w:i/>
                <w:sz w:val="24"/>
                <w:szCs w:val="24"/>
              </w:rPr>
              <w:t>Mutation negative</w:t>
            </w:r>
          </w:p>
        </w:tc>
        <w:tc>
          <w:tcPr>
            <w:tcW w:w="2352" w:type="dxa"/>
          </w:tcPr>
          <w:p w14:paraId="0A1D2BE1" w14:textId="77777777" w:rsidR="00612A44" w:rsidRPr="007B13AA" w:rsidRDefault="00612A44" w:rsidP="005069C9">
            <w:pPr>
              <w:keepNext/>
              <w:rPr>
                <w:i/>
                <w:sz w:val="24"/>
                <w:szCs w:val="24"/>
              </w:rPr>
            </w:pPr>
            <w:r w:rsidRPr="007B13AA">
              <w:rPr>
                <w:i/>
                <w:sz w:val="24"/>
                <w:szCs w:val="24"/>
              </w:rPr>
              <w:t>Incremental benefit of differential approach</w:t>
            </w:r>
          </w:p>
        </w:tc>
      </w:tr>
      <w:tr w:rsidR="00F0130C" w:rsidRPr="007B13AA" w14:paraId="741807F8" w14:textId="77777777" w:rsidTr="001F5EF5">
        <w:tc>
          <w:tcPr>
            <w:tcW w:w="1784" w:type="dxa"/>
          </w:tcPr>
          <w:p w14:paraId="517A7D62" w14:textId="77777777" w:rsidR="00F0130C" w:rsidRPr="007B13AA" w:rsidRDefault="00F0130C" w:rsidP="005069C9">
            <w:pPr>
              <w:keepNext/>
              <w:rPr>
                <w:sz w:val="24"/>
                <w:szCs w:val="24"/>
              </w:rPr>
            </w:pPr>
            <w:r w:rsidRPr="007B13AA">
              <w:rPr>
                <w:sz w:val="24"/>
                <w:szCs w:val="24"/>
              </w:rPr>
              <w:t>Surgery</w:t>
            </w:r>
          </w:p>
        </w:tc>
        <w:tc>
          <w:tcPr>
            <w:tcW w:w="2719" w:type="dxa"/>
          </w:tcPr>
          <w:p w14:paraId="4DFD203F" w14:textId="77777777" w:rsidR="00F0130C" w:rsidRPr="007B13AA" w:rsidRDefault="00F0130C" w:rsidP="003258A6">
            <w:pPr>
              <w:pStyle w:val="ListParagraph"/>
              <w:keepNext/>
              <w:numPr>
                <w:ilvl w:val="0"/>
                <w:numId w:val="11"/>
              </w:numPr>
              <w:ind w:left="186" w:hanging="273"/>
              <w:rPr>
                <w:sz w:val="24"/>
                <w:szCs w:val="24"/>
              </w:rPr>
            </w:pPr>
            <w:r w:rsidRPr="007B13AA">
              <w:rPr>
                <w:sz w:val="24"/>
                <w:szCs w:val="24"/>
              </w:rPr>
              <w:t>Bilateral mastectomy</w:t>
            </w:r>
          </w:p>
          <w:p w14:paraId="3D315807" w14:textId="77777777" w:rsidR="00F0130C" w:rsidRPr="007B13AA" w:rsidRDefault="00F0130C" w:rsidP="00F0130C">
            <w:pPr>
              <w:keepNext/>
              <w:ind w:left="-87"/>
              <w:rPr>
                <w:sz w:val="24"/>
                <w:szCs w:val="24"/>
              </w:rPr>
            </w:pPr>
          </w:p>
          <w:p w14:paraId="73A31CCA" w14:textId="77777777" w:rsidR="00F0130C" w:rsidRPr="007B13AA" w:rsidRDefault="00F0130C" w:rsidP="00F0130C">
            <w:pPr>
              <w:keepNext/>
              <w:ind w:left="-87"/>
              <w:rPr>
                <w:sz w:val="24"/>
                <w:szCs w:val="24"/>
              </w:rPr>
            </w:pPr>
          </w:p>
          <w:p w14:paraId="63290732" w14:textId="02CAE7F5" w:rsidR="00F0130C" w:rsidRPr="007B13AA" w:rsidRDefault="00F0130C" w:rsidP="003258A6">
            <w:pPr>
              <w:pStyle w:val="ListParagraph"/>
              <w:keepNext/>
              <w:numPr>
                <w:ilvl w:val="0"/>
                <w:numId w:val="11"/>
              </w:numPr>
              <w:ind w:left="186" w:hanging="273"/>
              <w:rPr>
                <w:sz w:val="24"/>
                <w:szCs w:val="24"/>
              </w:rPr>
            </w:pPr>
            <w:r w:rsidRPr="007B13AA">
              <w:rPr>
                <w:sz w:val="24"/>
                <w:szCs w:val="24"/>
              </w:rPr>
              <w:t>Bilateral salpingo-oophorectomy</w:t>
            </w:r>
          </w:p>
        </w:tc>
        <w:tc>
          <w:tcPr>
            <w:tcW w:w="2409" w:type="dxa"/>
          </w:tcPr>
          <w:p w14:paraId="64AB24FB" w14:textId="77777777" w:rsidR="00F0130C" w:rsidRPr="007B13AA" w:rsidRDefault="00F0130C" w:rsidP="005069C9">
            <w:pPr>
              <w:keepNext/>
              <w:rPr>
                <w:sz w:val="24"/>
                <w:szCs w:val="24"/>
              </w:rPr>
            </w:pPr>
            <w:r w:rsidRPr="007B13AA">
              <w:rPr>
                <w:sz w:val="24"/>
                <w:szCs w:val="24"/>
              </w:rPr>
              <w:t>Unchanged</w:t>
            </w:r>
          </w:p>
          <w:p w14:paraId="3805E6E6" w14:textId="2425A8C1" w:rsidR="00F0130C" w:rsidRPr="007B13AA" w:rsidRDefault="00F0130C" w:rsidP="005069C9">
            <w:pPr>
              <w:keepNext/>
              <w:rPr>
                <w:sz w:val="24"/>
                <w:szCs w:val="24"/>
              </w:rPr>
            </w:pPr>
            <w:r w:rsidRPr="007B13AA">
              <w:rPr>
                <w:sz w:val="24"/>
                <w:szCs w:val="24"/>
              </w:rPr>
              <w:t>(but avoids unnecessary surgery)</w:t>
            </w:r>
          </w:p>
        </w:tc>
        <w:tc>
          <w:tcPr>
            <w:tcW w:w="2352" w:type="dxa"/>
          </w:tcPr>
          <w:p w14:paraId="765AB41F" w14:textId="77777777" w:rsidR="00F0130C" w:rsidRPr="007B13AA" w:rsidRDefault="00F0130C" w:rsidP="003258A6">
            <w:pPr>
              <w:pStyle w:val="ListParagraph"/>
              <w:keepNext/>
              <w:numPr>
                <w:ilvl w:val="0"/>
                <w:numId w:val="12"/>
              </w:numPr>
              <w:ind w:left="176" w:hanging="284"/>
              <w:rPr>
                <w:sz w:val="24"/>
                <w:szCs w:val="24"/>
              </w:rPr>
            </w:pPr>
            <w:r w:rsidRPr="007B13AA">
              <w:rPr>
                <w:sz w:val="24"/>
                <w:szCs w:val="24"/>
              </w:rPr>
              <w:t>Risk of breast cancer reduced by ≥ 90%</w:t>
            </w:r>
          </w:p>
          <w:p w14:paraId="5577E84F" w14:textId="31CCFBB3" w:rsidR="00F0130C" w:rsidRPr="007B13AA" w:rsidRDefault="00F0130C" w:rsidP="003258A6">
            <w:pPr>
              <w:pStyle w:val="ListParagraph"/>
              <w:keepNext/>
              <w:numPr>
                <w:ilvl w:val="0"/>
                <w:numId w:val="12"/>
              </w:numPr>
              <w:ind w:left="176" w:hanging="284"/>
              <w:rPr>
                <w:sz w:val="24"/>
                <w:szCs w:val="24"/>
              </w:rPr>
            </w:pPr>
            <w:r w:rsidRPr="007B13AA">
              <w:rPr>
                <w:sz w:val="24"/>
                <w:szCs w:val="24"/>
              </w:rPr>
              <w:t xml:space="preserve">Risk of breast cancer reduced by ~ 50% if </w:t>
            </w:r>
            <w:r w:rsidR="00A06BA9" w:rsidRPr="007B13AA">
              <w:rPr>
                <w:sz w:val="24"/>
                <w:szCs w:val="24"/>
              </w:rPr>
              <w:t>carrier</w:t>
            </w:r>
            <w:r w:rsidRPr="007B13AA">
              <w:rPr>
                <w:sz w:val="24"/>
                <w:szCs w:val="24"/>
              </w:rPr>
              <w:t xml:space="preserve"> is aged ~ 40 years</w:t>
            </w:r>
          </w:p>
        </w:tc>
      </w:tr>
      <w:tr w:rsidR="00F0130C" w:rsidRPr="007B13AA" w14:paraId="2C283B7E" w14:textId="77777777" w:rsidTr="001F5EF5">
        <w:tc>
          <w:tcPr>
            <w:tcW w:w="1784" w:type="dxa"/>
          </w:tcPr>
          <w:p w14:paraId="58F6BD2A" w14:textId="77777777" w:rsidR="00F0130C" w:rsidRPr="007B13AA" w:rsidRDefault="00F0130C" w:rsidP="005069C9">
            <w:pPr>
              <w:keepNext/>
              <w:rPr>
                <w:sz w:val="24"/>
                <w:szCs w:val="24"/>
              </w:rPr>
            </w:pPr>
            <w:r w:rsidRPr="007B13AA">
              <w:rPr>
                <w:sz w:val="24"/>
                <w:szCs w:val="24"/>
              </w:rPr>
              <w:t>Screening</w:t>
            </w:r>
          </w:p>
        </w:tc>
        <w:tc>
          <w:tcPr>
            <w:tcW w:w="2719" w:type="dxa"/>
          </w:tcPr>
          <w:p w14:paraId="0CC3C8B5" w14:textId="6FDFB7D5" w:rsidR="00F0130C" w:rsidRPr="007B13AA" w:rsidRDefault="00F0130C" w:rsidP="005069C9">
            <w:pPr>
              <w:keepNext/>
              <w:rPr>
                <w:sz w:val="24"/>
                <w:szCs w:val="24"/>
              </w:rPr>
            </w:pPr>
            <w:r w:rsidRPr="007B13AA">
              <w:rPr>
                <w:sz w:val="24"/>
                <w:szCs w:val="24"/>
              </w:rPr>
              <w:t>MRI is superior to mammogram/ultrasound for detection of breast cancer in mutation carriers aged ≤ 50 years because MRI detects tumours which are smaller and more likely to be node-negative</w:t>
            </w:r>
          </w:p>
        </w:tc>
        <w:tc>
          <w:tcPr>
            <w:tcW w:w="2409" w:type="dxa"/>
          </w:tcPr>
          <w:p w14:paraId="749C4B9B" w14:textId="77777777" w:rsidR="00F0130C" w:rsidRPr="007B13AA" w:rsidRDefault="00F0130C" w:rsidP="005069C9">
            <w:pPr>
              <w:keepNext/>
              <w:rPr>
                <w:sz w:val="24"/>
                <w:szCs w:val="24"/>
              </w:rPr>
            </w:pPr>
            <w:r w:rsidRPr="007B13AA">
              <w:rPr>
                <w:sz w:val="24"/>
                <w:szCs w:val="24"/>
              </w:rPr>
              <w:t>Unchanged</w:t>
            </w:r>
          </w:p>
          <w:p w14:paraId="4DF77011" w14:textId="2B0D626F" w:rsidR="00F0130C" w:rsidRPr="007B13AA" w:rsidRDefault="00F0130C" w:rsidP="005069C9">
            <w:pPr>
              <w:keepNext/>
              <w:rPr>
                <w:sz w:val="24"/>
                <w:szCs w:val="24"/>
              </w:rPr>
            </w:pPr>
            <w:r w:rsidRPr="007B13AA">
              <w:rPr>
                <w:sz w:val="24"/>
                <w:szCs w:val="24"/>
              </w:rPr>
              <w:t>(but avoids unnecessary additional screening)</w:t>
            </w:r>
          </w:p>
        </w:tc>
        <w:tc>
          <w:tcPr>
            <w:tcW w:w="2352" w:type="dxa"/>
          </w:tcPr>
          <w:p w14:paraId="28930B60" w14:textId="3B86102B" w:rsidR="00F0130C" w:rsidRPr="007B13AA" w:rsidRDefault="00F0130C" w:rsidP="005069C9">
            <w:pPr>
              <w:keepNext/>
              <w:rPr>
                <w:sz w:val="24"/>
                <w:szCs w:val="24"/>
              </w:rPr>
            </w:pPr>
            <w:r w:rsidRPr="007B13AA">
              <w:rPr>
                <w:sz w:val="24"/>
                <w:szCs w:val="24"/>
              </w:rPr>
              <w:t>Early detection expected to reduce breast cancer mortality (no data yet available to estimate extent of reduction)</w:t>
            </w:r>
          </w:p>
        </w:tc>
      </w:tr>
      <w:tr w:rsidR="00F0130C" w:rsidRPr="007B13AA" w14:paraId="7EA4D8B3" w14:textId="77777777" w:rsidTr="001F5EF5">
        <w:tc>
          <w:tcPr>
            <w:tcW w:w="1784" w:type="dxa"/>
          </w:tcPr>
          <w:p w14:paraId="1E7F0D8B" w14:textId="77777777" w:rsidR="00F0130C" w:rsidRPr="007B13AA" w:rsidRDefault="00F0130C" w:rsidP="005069C9">
            <w:pPr>
              <w:rPr>
                <w:sz w:val="24"/>
                <w:szCs w:val="24"/>
              </w:rPr>
            </w:pPr>
            <w:r w:rsidRPr="007B13AA">
              <w:rPr>
                <w:sz w:val="24"/>
                <w:szCs w:val="24"/>
              </w:rPr>
              <w:t>Medical prophylaxis</w:t>
            </w:r>
          </w:p>
        </w:tc>
        <w:tc>
          <w:tcPr>
            <w:tcW w:w="2719" w:type="dxa"/>
          </w:tcPr>
          <w:p w14:paraId="7B0981A8" w14:textId="77777777" w:rsidR="00F0130C" w:rsidRPr="007B13AA" w:rsidRDefault="00F0130C" w:rsidP="003258A6">
            <w:pPr>
              <w:pStyle w:val="ListParagraph"/>
              <w:keepNext/>
              <w:numPr>
                <w:ilvl w:val="0"/>
                <w:numId w:val="6"/>
              </w:numPr>
              <w:ind w:left="34" w:hanging="142"/>
              <w:rPr>
                <w:sz w:val="24"/>
                <w:szCs w:val="24"/>
              </w:rPr>
            </w:pPr>
            <w:r w:rsidRPr="007B13AA">
              <w:rPr>
                <w:sz w:val="24"/>
                <w:szCs w:val="24"/>
              </w:rPr>
              <w:t>Tamoxifen</w:t>
            </w:r>
          </w:p>
          <w:p w14:paraId="0B374CE4" w14:textId="36C0133A" w:rsidR="00F0130C" w:rsidRPr="007B13AA" w:rsidRDefault="00F0130C" w:rsidP="003258A6">
            <w:pPr>
              <w:pStyle w:val="ListParagraph"/>
              <w:keepNext/>
              <w:numPr>
                <w:ilvl w:val="0"/>
                <w:numId w:val="6"/>
              </w:numPr>
              <w:ind w:left="34" w:hanging="142"/>
              <w:rPr>
                <w:sz w:val="24"/>
                <w:szCs w:val="24"/>
              </w:rPr>
            </w:pPr>
            <w:r w:rsidRPr="007B13AA">
              <w:rPr>
                <w:sz w:val="24"/>
                <w:szCs w:val="24"/>
              </w:rPr>
              <w:t>Raloxifene</w:t>
            </w:r>
          </w:p>
        </w:tc>
        <w:tc>
          <w:tcPr>
            <w:tcW w:w="2409" w:type="dxa"/>
          </w:tcPr>
          <w:p w14:paraId="50290BF2" w14:textId="77777777" w:rsidR="00F0130C" w:rsidRPr="007B13AA" w:rsidRDefault="00F0130C" w:rsidP="005069C9">
            <w:pPr>
              <w:keepNext/>
              <w:rPr>
                <w:sz w:val="24"/>
                <w:szCs w:val="24"/>
              </w:rPr>
            </w:pPr>
            <w:r w:rsidRPr="007B13AA">
              <w:rPr>
                <w:sz w:val="24"/>
                <w:szCs w:val="24"/>
              </w:rPr>
              <w:t>Unchanged</w:t>
            </w:r>
          </w:p>
          <w:p w14:paraId="638D6D90" w14:textId="51BC310F" w:rsidR="00F0130C" w:rsidRPr="007B13AA" w:rsidRDefault="00F0130C" w:rsidP="005069C9">
            <w:pPr>
              <w:keepNext/>
              <w:rPr>
                <w:sz w:val="24"/>
                <w:szCs w:val="24"/>
              </w:rPr>
            </w:pPr>
            <w:r w:rsidRPr="007B13AA">
              <w:rPr>
                <w:sz w:val="24"/>
                <w:szCs w:val="24"/>
              </w:rPr>
              <w:t>(but avoids unnecessary medical prophylaxis)</w:t>
            </w:r>
          </w:p>
        </w:tc>
        <w:tc>
          <w:tcPr>
            <w:tcW w:w="2352" w:type="dxa"/>
          </w:tcPr>
          <w:p w14:paraId="43B129FE" w14:textId="3BB2E6BD" w:rsidR="00F0130C" w:rsidRPr="007B13AA" w:rsidRDefault="00F0130C" w:rsidP="005069C9">
            <w:pPr>
              <w:keepNext/>
              <w:rPr>
                <w:sz w:val="24"/>
                <w:szCs w:val="24"/>
              </w:rPr>
            </w:pPr>
            <w:r w:rsidRPr="007B13AA">
              <w:rPr>
                <w:sz w:val="24"/>
                <w:szCs w:val="24"/>
              </w:rPr>
              <w:t>Proven 40% reduction of breast cancer incidence in those at higher baseline risk</w:t>
            </w:r>
          </w:p>
        </w:tc>
      </w:tr>
    </w:tbl>
    <w:p w14:paraId="21F15A7A" w14:textId="43046B49" w:rsidR="00140619" w:rsidRDefault="00140619" w:rsidP="0094230F">
      <w:pPr>
        <w:ind w:left="284" w:hanging="141"/>
        <w:rPr>
          <w:i/>
          <w:sz w:val="24"/>
          <w:szCs w:val="24"/>
        </w:rPr>
      </w:pPr>
    </w:p>
    <w:p w14:paraId="1B949727" w14:textId="77777777" w:rsidR="00140619" w:rsidRDefault="00140619">
      <w:pPr>
        <w:rPr>
          <w:i/>
          <w:sz w:val="24"/>
          <w:szCs w:val="24"/>
        </w:rPr>
      </w:pPr>
      <w:r>
        <w:rPr>
          <w:i/>
          <w:sz w:val="24"/>
          <w:szCs w:val="24"/>
        </w:rPr>
        <w:br w:type="page"/>
      </w:r>
    </w:p>
    <w:p w14:paraId="57A963BC" w14:textId="63404F52" w:rsidR="00140619" w:rsidRDefault="00140619" w:rsidP="00140619">
      <w:pPr>
        <w:spacing w:after="0"/>
        <w:ind w:left="284" w:hanging="141"/>
        <w:rPr>
          <w:i/>
          <w:sz w:val="24"/>
          <w:szCs w:val="24"/>
        </w:rPr>
      </w:pPr>
      <w:r w:rsidRPr="007B13AA">
        <w:rPr>
          <w:b/>
          <w:sz w:val="24"/>
          <w:szCs w:val="24"/>
        </w:rPr>
        <w:lastRenderedPageBreak/>
        <w:t>Ovarian/fallopian tube</w:t>
      </w:r>
      <w:r>
        <w:rPr>
          <w:b/>
          <w:sz w:val="24"/>
          <w:szCs w:val="24"/>
        </w:rPr>
        <w:t xml:space="preserve"> cancer</w:t>
      </w:r>
    </w:p>
    <w:tbl>
      <w:tblPr>
        <w:tblStyle w:val="TableGrid"/>
        <w:tblW w:w="0" w:type="auto"/>
        <w:tblLook w:val="04A0" w:firstRow="1" w:lastRow="0" w:firstColumn="1" w:lastColumn="0" w:noHBand="0" w:noVBand="1"/>
        <w:tblDescription w:val="Table: Summarize the differences between prevention strategies for mutation positive and negative family members, with each management strategy for mutation-positive individuals and mutation-negative individuals being compared with the comparator of clinical management in the absence of testing. [Where appropriate, split the following table into males and females or nominate the gender for which the clinical utility arguments are the strongest.]"/>
      </w:tblPr>
      <w:tblGrid>
        <w:gridCol w:w="1784"/>
        <w:gridCol w:w="3002"/>
        <w:gridCol w:w="2126"/>
        <w:gridCol w:w="2352"/>
      </w:tblGrid>
      <w:tr w:rsidR="00140619" w:rsidRPr="007B13AA" w14:paraId="5C890256" w14:textId="77777777" w:rsidTr="001F5EF5">
        <w:trPr>
          <w:tblHeader/>
        </w:trPr>
        <w:tc>
          <w:tcPr>
            <w:tcW w:w="1784" w:type="dxa"/>
          </w:tcPr>
          <w:p w14:paraId="08466568" w14:textId="77777777" w:rsidR="00140619" w:rsidRPr="00D46C36" w:rsidRDefault="00140619" w:rsidP="006F19B7">
            <w:pPr>
              <w:keepNext/>
              <w:rPr>
                <w:i/>
                <w:sz w:val="24"/>
                <w:szCs w:val="24"/>
              </w:rPr>
            </w:pPr>
            <w:r w:rsidRPr="00D46C36">
              <w:rPr>
                <w:i/>
                <w:sz w:val="24"/>
                <w:szCs w:val="24"/>
              </w:rPr>
              <w:t>Prevention of disease*</w:t>
            </w:r>
          </w:p>
        </w:tc>
        <w:tc>
          <w:tcPr>
            <w:tcW w:w="3002" w:type="dxa"/>
          </w:tcPr>
          <w:p w14:paraId="0FACFB89" w14:textId="77777777" w:rsidR="00140619" w:rsidRPr="007B13AA" w:rsidRDefault="00140619" w:rsidP="006F19B7">
            <w:pPr>
              <w:keepNext/>
              <w:rPr>
                <w:i/>
                <w:sz w:val="24"/>
                <w:szCs w:val="24"/>
              </w:rPr>
            </w:pPr>
            <w:r w:rsidRPr="007B13AA">
              <w:rPr>
                <w:i/>
                <w:sz w:val="24"/>
                <w:szCs w:val="24"/>
              </w:rPr>
              <w:t>Mutation positive</w:t>
            </w:r>
          </w:p>
        </w:tc>
        <w:tc>
          <w:tcPr>
            <w:tcW w:w="2126" w:type="dxa"/>
          </w:tcPr>
          <w:p w14:paraId="7A3A6572" w14:textId="77777777" w:rsidR="00140619" w:rsidRPr="007B13AA" w:rsidRDefault="00140619" w:rsidP="006F19B7">
            <w:pPr>
              <w:keepNext/>
              <w:rPr>
                <w:i/>
                <w:sz w:val="24"/>
                <w:szCs w:val="24"/>
              </w:rPr>
            </w:pPr>
            <w:r w:rsidRPr="007B13AA">
              <w:rPr>
                <w:i/>
                <w:sz w:val="24"/>
                <w:szCs w:val="24"/>
              </w:rPr>
              <w:t>Mutation negative</w:t>
            </w:r>
          </w:p>
        </w:tc>
        <w:tc>
          <w:tcPr>
            <w:tcW w:w="2352" w:type="dxa"/>
          </w:tcPr>
          <w:p w14:paraId="2D52CCD6" w14:textId="77777777" w:rsidR="00140619" w:rsidRPr="007B13AA" w:rsidRDefault="00140619" w:rsidP="006F19B7">
            <w:pPr>
              <w:keepNext/>
              <w:rPr>
                <w:i/>
                <w:sz w:val="24"/>
                <w:szCs w:val="24"/>
              </w:rPr>
            </w:pPr>
            <w:r w:rsidRPr="007B13AA">
              <w:rPr>
                <w:i/>
                <w:sz w:val="24"/>
                <w:szCs w:val="24"/>
              </w:rPr>
              <w:t>Incremental benefit of differential approach</w:t>
            </w:r>
          </w:p>
        </w:tc>
      </w:tr>
      <w:tr w:rsidR="00140619" w:rsidRPr="007B13AA" w14:paraId="5591EB1A" w14:textId="77777777" w:rsidTr="001F5EF5">
        <w:trPr>
          <w:tblHeader/>
        </w:trPr>
        <w:tc>
          <w:tcPr>
            <w:tcW w:w="1784" w:type="dxa"/>
          </w:tcPr>
          <w:p w14:paraId="4A9C9DA7" w14:textId="77777777" w:rsidR="00140619" w:rsidRPr="007B13AA" w:rsidRDefault="00140619" w:rsidP="006F19B7">
            <w:pPr>
              <w:keepNext/>
              <w:rPr>
                <w:sz w:val="24"/>
                <w:szCs w:val="24"/>
              </w:rPr>
            </w:pPr>
            <w:r w:rsidRPr="007B13AA">
              <w:rPr>
                <w:sz w:val="24"/>
                <w:szCs w:val="24"/>
              </w:rPr>
              <w:t>Surgery</w:t>
            </w:r>
          </w:p>
        </w:tc>
        <w:tc>
          <w:tcPr>
            <w:tcW w:w="3002" w:type="dxa"/>
          </w:tcPr>
          <w:p w14:paraId="7558EDDA" w14:textId="77777777" w:rsidR="00140619" w:rsidRPr="007B13AA" w:rsidRDefault="00140619" w:rsidP="006F19B7">
            <w:pPr>
              <w:keepNext/>
              <w:rPr>
                <w:sz w:val="24"/>
                <w:szCs w:val="24"/>
              </w:rPr>
            </w:pPr>
            <w:r w:rsidRPr="007B13AA">
              <w:rPr>
                <w:sz w:val="24"/>
                <w:szCs w:val="24"/>
              </w:rPr>
              <w:t>Bilateral salpingo-oophorectomy</w:t>
            </w:r>
          </w:p>
        </w:tc>
        <w:tc>
          <w:tcPr>
            <w:tcW w:w="2126" w:type="dxa"/>
          </w:tcPr>
          <w:p w14:paraId="6FA9AA65" w14:textId="77777777" w:rsidR="00140619" w:rsidRPr="007B13AA" w:rsidRDefault="00140619" w:rsidP="006F19B7">
            <w:pPr>
              <w:keepNext/>
              <w:rPr>
                <w:sz w:val="24"/>
                <w:szCs w:val="24"/>
              </w:rPr>
            </w:pPr>
            <w:r w:rsidRPr="007B13AA">
              <w:rPr>
                <w:sz w:val="24"/>
                <w:szCs w:val="24"/>
              </w:rPr>
              <w:t>Unchanged</w:t>
            </w:r>
          </w:p>
          <w:p w14:paraId="5AFADB9A" w14:textId="77777777" w:rsidR="00140619" w:rsidRPr="007B13AA" w:rsidRDefault="00140619" w:rsidP="006F19B7">
            <w:pPr>
              <w:keepNext/>
              <w:rPr>
                <w:sz w:val="24"/>
                <w:szCs w:val="24"/>
              </w:rPr>
            </w:pPr>
            <w:r w:rsidRPr="007B13AA">
              <w:rPr>
                <w:sz w:val="24"/>
                <w:szCs w:val="24"/>
              </w:rPr>
              <w:t>(but avoids unnecessary surgery)</w:t>
            </w:r>
          </w:p>
        </w:tc>
        <w:tc>
          <w:tcPr>
            <w:tcW w:w="2352" w:type="dxa"/>
          </w:tcPr>
          <w:p w14:paraId="64C786F9" w14:textId="77777777" w:rsidR="00140619" w:rsidRPr="007B13AA" w:rsidRDefault="00140619" w:rsidP="006F19B7">
            <w:pPr>
              <w:pStyle w:val="ListParagraph"/>
              <w:keepNext/>
              <w:ind w:left="0"/>
              <w:rPr>
                <w:sz w:val="24"/>
                <w:szCs w:val="24"/>
              </w:rPr>
            </w:pPr>
            <w:r w:rsidRPr="007B13AA">
              <w:rPr>
                <w:sz w:val="24"/>
                <w:szCs w:val="24"/>
              </w:rPr>
              <w:t>Risk of ovarian/ fallopian cancer reduced by ≥80% and risk of breast cancer reduced by ~ 50% if carrier is aged ~ 40 years, with proven reduction of breast cancer related, ovarian cancer related, and all-cause mortality</w:t>
            </w:r>
          </w:p>
        </w:tc>
      </w:tr>
      <w:tr w:rsidR="00140619" w:rsidRPr="007B13AA" w14:paraId="7C249CE1" w14:textId="77777777" w:rsidTr="001F5EF5">
        <w:tc>
          <w:tcPr>
            <w:tcW w:w="1784" w:type="dxa"/>
          </w:tcPr>
          <w:p w14:paraId="59F52CD2" w14:textId="77777777" w:rsidR="00140619" w:rsidRPr="007B13AA" w:rsidRDefault="00140619" w:rsidP="006F19B7">
            <w:pPr>
              <w:keepNext/>
              <w:rPr>
                <w:sz w:val="24"/>
                <w:szCs w:val="24"/>
              </w:rPr>
            </w:pPr>
            <w:r w:rsidRPr="007B13AA">
              <w:rPr>
                <w:sz w:val="24"/>
                <w:szCs w:val="24"/>
              </w:rPr>
              <w:t>Screening</w:t>
            </w:r>
          </w:p>
        </w:tc>
        <w:tc>
          <w:tcPr>
            <w:tcW w:w="3002" w:type="dxa"/>
          </w:tcPr>
          <w:p w14:paraId="2DC54F1B" w14:textId="77777777" w:rsidR="00140619" w:rsidRPr="007B13AA" w:rsidRDefault="00140619" w:rsidP="006F19B7">
            <w:pPr>
              <w:keepNext/>
              <w:rPr>
                <w:sz w:val="24"/>
                <w:szCs w:val="24"/>
              </w:rPr>
            </w:pPr>
            <w:r w:rsidRPr="007B13AA">
              <w:rPr>
                <w:sz w:val="24"/>
                <w:szCs w:val="24"/>
              </w:rPr>
              <w:t>Not applicable as no effective screening</w:t>
            </w:r>
          </w:p>
        </w:tc>
        <w:tc>
          <w:tcPr>
            <w:tcW w:w="2126" w:type="dxa"/>
          </w:tcPr>
          <w:p w14:paraId="057877FC" w14:textId="77777777" w:rsidR="00140619" w:rsidRPr="007B13AA" w:rsidRDefault="00140619" w:rsidP="006F19B7">
            <w:pPr>
              <w:keepNext/>
              <w:rPr>
                <w:sz w:val="24"/>
                <w:szCs w:val="24"/>
              </w:rPr>
            </w:pPr>
            <w:r w:rsidRPr="007B13AA">
              <w:rPr>
                <w:sz w:val="24"/>
                <w:szCs w:val="24"/>
              </w:rPr>
              <w:t>Not applicable: no effective screening</w:t>
            </w:r>
          </w:p>
        </w:tc>
        <w:tc>
          <w:tcPr>
            <w:tcW w:w="2352" w:type="dxa"/>
          </w:tcPr>
          <w:p w14:paraId="799FA25C" w14:textId="77777777" w:rsidR="00140619" w:rsidRPr="007B13AA" w:rsidRDefault="00140619" w:rsidP="006F19B7">
            <w:pPr>
              <w:keepNext/>
              <w:rPr>
                <w:sz w:val="24"/>
                <w:szCs w:val="24"/>
              </w:rPr>
            </w:pPr>
            <w:r w:rsidRPr="007B13AA">
              <w:rPr>
                <w:sz w:val="24"/>
                <w:szCs w:val="24"/>
              </w:rPr>
              <w:t>Not applicable</w:t>
            </w:r>
          </w:p>
        </w:tc>
      </w:tr>
      <w:tr w:rsidR="00140619" w:rsidRPr="007B13AA" w14:paraId="202A9220" w14:textId="77777777" w:rsidTr="001F5EF5">
        <w:tc>
          <w:tcPr>
            <w:tcW w:w="1784" w:type="dxa"/>
          </w:tcPr>
          <w:p w14:paraId="23A34E83" w14:textId="77777777" w:rsidR="00140619" w:rsidRPr="007B13AA" w:rsidRDefault="00140619" w:rsidP="006F19B7">
            <w:pPr>
              <w:keepNext/>
              <w:rPr>
                <w:sz w:val="24"/>
                <w:szCs w:val="24"/>
              </w:rPr>
            </w:pPr>
            <w:r w:rsidRPr="007B13AA">
              <w:rPr>
                <w:sz w:val="24"/>
                <w:szCs w:val="24"/>
              </w:rPr>
              <w:t>Medical prophylaxis</w:t>
            </w:r>
          </w:p>
        </w:tc>
        <w:tc>
          <w:tcPr>
            <w:tcW w:w="3002" w:type="dxa"/>
          </w:tcPr>
          <w:p w14:paraId="4B07CB49" w14:textId="77777777" w:rsidR="00140619" w:rsidRPr="007B13AA" w:rsidRDefault="00140619" w:rsidP="006F19B7">
            <w:pPr>
              <w:keepNext/>
              <w:rPr>
                <w:sz w:val="24"/>
                <w:szCs w:val="24"/>
              </w:rPr>
            </w:pPr>
            <w:r w:rsidRPr="007B13AA">
              <w:rPr>
                <w:sz w:val="24"/>
                <w:szCs w:val="24"/>
              </w:rPr>
              <w:t>Unchanged</w:t>
            </w:r>
          </w:p>
        </w:tc>
        <w:tc>
          <w:tcPr>
            <w:tcW w:w="2126" w:type="dxa"/>
          </w:tcPr>
          <w:p w14:paraId="050E853E" w14:textId="77777777" w:rsidR="00140619" w:rsidRPr="007B13AA" w:rsidRDefault="00140619" w:rsidP="006F19B7">
            <w:pPr>
              <w:keepNext/>
              <w:rPr>
                <w:sz w:val="24"/>
                <w:szCs w:val="24"/>
              </w:rPr>
            </w:pPr>
            <w:r w:rsidRPr="007B13AA">
              <w:rPr>
                <w:sz w:val="24"/>
                <w:szCs w:val="24"/>
              </w:rPr>
              <w:t>Unchanged</w:t>
            </w:r>
          </w:p>
        </w:tc>
        <w:tc>
          <w:tcPr>
            <w:tcW w:w="2352" w:type="dxa"/>
          </w:tcPr>
          <w:p w14:paraId="191A4736" w14:textId="77777777" w:rsidR="00140619" w:rsidRPr="007B13AA" w:rsidRDefault="00140619" w:rsidP="006F19B7">
            <w:pPr>
              <w:keepNext/>
              <w:rPr>
                <w:sz w:val="24"/>
                <w:szCs w:val="24"/>
              </w:rPr>
            </w:pPr>
            <w:r w:rsidRPr="007B13AA">
              <w:rPr>
                <w:sz w:val="24"/>
                <w:szCs w:val="24"/>
              </w:rPr>
              <w:t>Not applicable</w:t>
            </w:r>
          </w:p>
        </w:tc>
      </w:tr>
    </w:tbl>
    <w:p w14:paraId="4328B07E" w14:textId="70C95C66" w:rsidR="00140619" w:rsidRDefault="00140619" w:rsidP="00140619">
      <w:pPr>
        <w:spacing w:before="240" w:after="0"/>
        <w:ind w:left="284" w:hanging="141"/>
        <w:rPr>
          <w:i/>
          <w:sz w:val="24"/>
          <w:szCs w:val="24"/>
        </w:rPr>
      </w:pPr>
      <w:r w:rsidRPr="007B13AA">
        <w:rPr>
          <w:b/>
          <w:sz w:val="24"/>
          <w:szCs w:val="24"/>
        </w:rPr>
        <w:t>Male breast/prostate</w:t>
      </w:r>
      <w:r>
        <w:rPr>
          <w:b/>
          <w:sz w:val="24"/>
          <w:szCs w:val="24"/>
        </w:rPr>
        <w:t xml:space="preserve"> cancer</w:t>
      </w:r>
    </w:p>
    <w:tbl>
      <w:tblPr>
        <w:tblStyle w:val="TableGrid"/>
        <w:tblW w:w="0" w:type="auto"/>
        <w:tblLook w:val="04A0" w:firstRow="1" w:lastRow="0" w:firstColumn="1" w:lastColumn="0" w:noHBand="0" w:noVBand="1"/>
        <w:tblDescription w:val="Table: Summarize the differences between prevention strategies for mutation positive and negative family members, with each management strategy for mutation-positive individuals and mutation-negative individuals being compared with the comparator of clinical management in the absence of testing. [Where appropriate, split the following table into males and females or nominate the gender for which the clinical utility arguments are the strongest.]"/>
      </w:tblPr>
      <w:tblGrid>
        <w:gridCol w:w="1784"/>
        <w:gridCol w:w="3002"/>
        <w:gridCol w:w="2126"/>
        <w:gridCol w:w="2352"/>
      </w:tblGrid>
      <w:tr w:rsidR="00140619" w:rsidRPr="007B13AA" w14:paraId="5A191A7E" w14:textId="77777777" w:rsidTr="00530066">
        <w:trPr>
          <w:tblHeader/>
        </w:trPr>
        <w:tc>
          <w:tcPr>
            <w:tcW w:w="1784" w:type="dxa"/>
          </w:tcPr>
          <w:p w14:paraId="0F2B79DB" w14:textId="77777777" w:rsidR="00140619" w:rsidRPr="00D46C36" w:rsidRDefault="00140619" w:rsidP="006F19B7">
            <w:pPr>
              <w:keepNext/>
              <w:rPr>
                <w:i/>
                <w:sz w:val="24"/>
                <w:szCs w:val="24"/>
              </w:rPr>
            </w:pPr>
            <w:r w:rsidRPr="00D46C36">
              <w:rPr>
                <w:i/>
                <w:sz w:val="24"/>
                <w:szCs w:val="24"/>
              </w:rPr>
              <w:t>Prevention of disease*</w:t>
            </w:r>
          </w:p>
        </w:tc>
        <w:tc>
          <w:tcPr>
            <w:tcW w:w="3002" w:type="dxa"/>
          </w:tcPr>
          <w:p w14:paraId="11EE8D85" w14:textId="77777777" w:rsidR="00140619" w:rsidRPr="007B13AA" w:rsidRDefault="00140619" w:rsidP="006F19B7">
            <w:pPr>
              <w:keepNext/>
              <w:rPr>
                <w:i/>
                <w:sz w:val="24"/>
                <w:szCs w:val="24"/>
              </w:rPr>
            </w:pPr>
            <w:r w:rsidRPr="007B13AA">
              <w:rPr>
                <w:i/>
                <w:sz w:val="24"/>
                <w:szCs w:val="24"/>
              </w:rPr>
              <w:t>Mutation positive</w:t>
            </w:r>
          </w:p>
        </w:tc>
        <w:tc>
          <w:tcPr>
            <w:tcW w:w="2126" w:type="dxa"/>
          </w:tcPr>
          <w:p w14:paraId="07B7DB52" w14:textId="77777777" w:rsidR="00140619" w:rsidRPr="007B13AA" w:rsidRDefault="00140619" w:rsidP="006F19B7">
            <w:pPr>
              <w:keepNext/>
              <w:rPr>
                <w:i/>
                <w:sz w:val="24"/>
                <w:szCs w:val="24"/>
              </w:rPr>
            </w:pPr>
            <w:r w:rsidRPr="007B13AA">
              <w:rPr>
                <w:i/>
                <w:sz w:val="24"/>
                <w:szCs w:val="24"/>
              </w:rPr>
              <w:t>Mutation negative</w:t>
            </w:r>
          </w:p>
        </w:tc>
        <w:tc>
          <w:tcPr>
            <w:tcW w:w="2352" w:type="dxa"/>
          </w:tcPr>
          <w:p w14:paraId="33658E84" w14:textId="77777777" w:rsidR="00140619" w:rsidRPr="007B13AA" w:rsidRDefault="00140619" w:rsidP="006F19B7">
            <w:pPr>
              <w:keepNext/>
              <w:rPr>
                <w:i/>
                <w:sz w:val="24"/>
                <w:szCs w:val="24"/>
              </w:rPr>
            </w:pPr>
            <w:r w:rsidRPr="007B13AA">
              <w:rPr>
                <w:i/>
                <w:sz w:val="24"/>
                <w:szCs w:val="24"/>
              </w:rPr>
              <w:t>Incremental benefit of differential approach</w:t>
            </w:r>
          </w:p>
        </w:tc>
      </w:tr>
      <w:tr w:rsidR="00140619" w:rsidRPr="007B13AA" w14:paraId="05829C2B" w14:textId="77777777" w:rsidTr="00530066">
        <w:trPr>
          <w:tblHeader/>
        </w:trPr>
        <w:tc>
          <w:tcPr>
            <w:tcW w:w="1784" w:type="dxa"/>
          </w:tcPr>
          <w:p w14:paraId="488AA858" w14:textId="77777777" w:rsidR="00140619" w:rsidRPr="007B13AA" w:rsidRDefault="00140619" w:rsidP="006F19B7">
            <w:pPr>
              <w:keepNext/>
              <w:rPr>
                <w:sz w:val="24"/>
                <w:szCs w:val="24"/>
              </w:rPr>
            </w:pPr>
            <w:r w:rsidRPr="007B13AA">
              <w:rPr>
                <w:sz w:val="24"/>
                <w:szCs w:val="24"/>
              </w:rPr>
              <w:t>Surgery</w:t>
            </w:r>
          </w:p>
        </w:tc>
        <w:tc>
          <w:tcPr>
            <w:tcW w:w="3002" w:type="dxa"/>
          </w:tcPr>
          <w:p w14:paraId="0A692358" w14:textId="77777777" w:rsidR="00140619" w:rsidRPr="007B13AA" w:rsidRDefault="00140619" w:rsidP="006F19B7">
            <w:pPr>
              <w:keepNext/>
              <w:rPr>
                <w:sz w:val="24"/>
                <w:szCs w:val="24"/>
              </w:rPr>
            </w:pPr>
            <w:r w:rsidRPr="007B13AA">
              <w:rPr>
                <w:sz w:val="24"/>
                <w:szCs w:val="24"/>
              </w:rPr>
              <w:t>Unchanged</w:t>
            </w:r>
          </w:p>
        </w:tc>
        <w:tc>
          <w:tcPr>
            <w:tcW w:w="2126" w:type="dxa"/>
          </w:tcPr>
          <w:p w14:paraId="7E7DA59B" w14:textId="77777777" w:rsidR="00140619" w:rsidRPr="007B13AA" w:rsidRDefault="00140619" w:rsidP="006F19B7">
            <w:pPr>
              <w:keepNext/>
              <w:rPr>
                <w:sz w:val="24"/>
                <w:szCs w:val="24"/>
              </w:rPr>
            </w:pPr>
            <w:r w:rsidRPr="007B13AA">
              <w:rPr>
                <w:sz w:val="24"/>
                <w:szCs w:val="24"/>
              </w:rPr>
              <w:t>Unchanged</w:t>
            </w:r>
          </w:p>
        </w:tc>
        <w:tc>
          <w:tcPr>
            <w:tcW w:w="2352" w:type="dxa"/>
          </w:tcPr>
          <w:p w14:paraId="354725D1" w14:textId="77777777" w:rsidR="00140619" w:rsidRPr="007B13AA" w:rsidRDefault="00140619" w:rsidP="006F19B7">
            <w:pPr>
              <w:keepNext/>
              <w:rPr>
                <w:sz w:val="24"/>
                <w:szCs w:val="24"/>
              </w:rPr>
            </w:pPr>
            <w:r w:rsidRPr="007B13AA">
              <w:rPr>
                <w:sz w:val="24"/>
                <w:szCs w:val="24"/>
              </w:rPr>
              <w:t>Nota applicable</w:t>
            </w:r>
          </w:p>
        </w:tc>
      </w:tr>
      <w:tr w:rsidR="00140619" w:rsidRPr="007B13AA" w14:paraId="0401DFA4" w14:textId="77777777" w:rsidTr="006F19B7">
        <w:tc>
          <w:tcPr>
            <w:tcW w:w="1784" w:type="dxa"/>
          </w:tcPr>
          <w:p w14:paraId="7EADDDE8" w14:textId="77777777" w:rsidR="00140619" w:rsidRPr="007B13AA" w:rsidRDefault="00140619" w:rsidP="006F19B7">
            <w:pPr>
              <w:keepNext/>
              <w:rPr>
                <w:sz w:val="24"/>
                <w:szCs w:val="24"/>
              </w:rPr>
            </w:pPr>
            <w:r w:rsidRPr="007B13AA">
              <w:rPr>
                <w:sz w:val="24"/>
                <w:szCs w:val="24"/>
              </w:rPr>
              <w:t>Screening</w:t>
            </w:r>
          </w:p>
        </w:tc>
        <w:tc>
          <w:tcPr>
            <w:tcW w:w="3002" w:type="dxa"/>
          </w:tcPr>
          <w:p w14:paraId="6F2707A3" w14:textId="77777777" w:rsidR="00140619" w:rsidRPr="007B13AA" w:rsidRDefault="00140619" w:rsidP="006F19B7">
            <w:pPr>
              <w:keepNext/>
              <w:rPr>
                <w:sz w:val="24"/>
                <w:szCs w:val="24"/>
              </w:rPr>
            </w:pPr>
            <w:r w:rsidRPr="007B13AA">
              <w:rPr>
                <w:sz w:val="24"/>
                <w:szCs w:val="24"/>
              </w:rPr>
              <w:t>Breast: advice on chest area awareness and pectoral area palpation on a regular basis</w:t>
            </w:r>
          </w:p>
          <w:p w14:paraId="475CE9E2" w14:textId="77777777" w:rsidR="00140619" w:rsidRPr="007B13AA" w:rsidRDefault="00140619" w:rsidP="006F19B7">
            <w:pPr>
              <w:keepNext/>
              <w:rPr>
                <w:sz w:val="24"/>
                <w:szCs w:val="24"/>
              </w:rPr>
            </w:pPr>
          </w:p>
          <w:p w14:paraId="52854BB5" w14:textId="77777777" w:rsidR="00140619" w:rsidRPr="007B13AA" w:rsidRDefault="00140619" w:rsidP="006F19B7">
            <w:pPr>
              <w:keepNext/>
              <w:rPr>
                <w:sz w:val="24"/>
                <w:szCs w:val="24"/>
              </w:rPr>
            </w:pPr>
            <w:r w:rsidRPr="007B13AA">
              <w:rPr>
                <w:sz w:val="24"/>
                <w:szCs w:val="24"/>
              </w:rPr>
              <w:t>Prostate: consider annual PSA + Digital Rectal Exam (DRE) from early 40 years of age</w:t>
            </w:r>
          </w:p>
        </w:tc>
        <w:tc>
          <w:tcPr>
            <w:tcW w:w="2126" w:type="dxa"/>
          </w:tcPr>
          <w:p w14:paraId="5EB638F7" w14:textId="77777777" w:rsidR="00140619" w:rsidRPr="007B13AA" w:rsidRDefault="00140619" w:rsidP="006F19B7">
            <w:pPr>
              <w:keepNext/>
              <w:rPr>
                <w:sz w:val="24"/>
                <w:szCs w:val="24"/>
              </w:rPr>
            </w:pPr>
            <w:r w:rsidRPr="007B13AA">
              <w:rPr>
                <w:sz w:val="24"/>
                <w:szCs w:val="24"/>
              </w:rPr>
              <w:t>Unchanged</w:t>
            </w:r>
          </w:p>
        </w:tc>
        <w:tc>
          <w:tcPr>
            <w:tcW w:w="2352" w:type="dxa"/>
          </w:tcPr>
          <w:p w14:paraId="0FB4503F" w14:textId="77777777" w:rsidR="00140619" w:rsidRPr="007B13AA" w:rsidRDefault="00140619" w:rsidP="006F19B7">
            <w:pPr>
              <w:keepNext/>
              <w:rPr>
                <w:sz w:val="24"/>
                <w:szCs w:val="24"/>
              </w:rPr>
            </w:pPr>
            <w:r w:rsidRPr="007B13AA">
              <w:rPr>
                <w:sz w:val="24"/>
                <w:szCs w:val="24"/>
              </w:rPr>
              <w:t>Unknown.</w:t>
            </w:r>
          </w:p>
          <w:p w14:paraId="137745AD" w14:textId="77777777" w:rsidR="00140619" w:rsidRPr="007B13AA" w:rsidRDefault="00140619" w:rsidP="006F19B7">
            <w:pPr>
              <w:keepNext/>
              <w:rPr>
                <w:sz w:val="24"/>
                <w:szCs w:val="24"/>
              </w:rPr>
            </w:pPr>
            <w:r w:rsidRPr="007B13AA">
              <w:rPr>
                <w:sz w:val="24"/>
                <w:szCs w:val="24"/>
              </w:rPr>
              <w:t>Breast: no trials have evaluated whether manual palpation is effective.</w:t>
            </w:r>
          </w:p>
          <w:p w14:paraId="61B8A795" w14:textId="77777777" w:rsidR="00140619" w:rsidRPr="007B13AA" w:rsidRDefault="00140619" w:rsidP="006F19B7">
            <w:pPr>
              <w:keepNext/>
              <w:rPr>
                <w:sz w:val="24"/>
                <w:szCs w:val="24"/>
              </w:rPr>
            </w:pPr>
            <w:r w:rsidRPr="007B13AA">
              <w:rPr>
                <w:sz w:val="24"/>
                <w:szCs w:val="24"/>
              </w:rPr>
              <w:t>Prostate: preliminary evidence for value in surveillance, as data suggests that BRCA-related prostate cancer is aggressive and occurs at a younger age than sporadic prostate cancer.</w:t>
            </w:r>
          </w:p>
        </w:tc>
      </w:tr>
      <w:tr w:rsidR="00140619" w:rsidRPr="007B13AA" w14:paraId="0A853546" w14:textId="77777777" w:rsidTr="006F19B7">
        <w:tc>
          <w:tcPr>
            <w:tcW w:w="1784" w:type="dxa"/>
          </w:tcPr>
          <w:p w14:paraId="56ED4841" w14:textId="77777777" w:rsidR="00140619" w:rsidRPr="007B13AA" w:rsidRDefault="00140619" w:rsidP="006F19B7">
            <w:pPr>
              <w:keepNext/>
              <w:rPr>
                <w:sz w:val="24"/>
                <w:szCs w:val="24"/>
              </w:rPr>
            </w:pPr>
            <w:r w:rsidRPr="007B13AA">
              <w:rPr>
                <w:sz w:val="24"/>
                <w:szCs w:val="24"/>
              </w:rPr>
              <w:t>Medical prophylaxis</w:t>
            </w:r>
          </w:p>
        </w:tc>
        <w:tc>
          <w:tcPr>
            <w:tcW w:w="3002" w:type="dxa"/>
          </w:tcPr>
          <w:p w14:paraId="67F9CFDC" w14:textId="77777777" w:rsidR="00140619" w:rsidRPr="007B13AA" w:rsidRDefault="00140619" w:rsidP="006F19B7">
            <w:pPr>
              <w:keepNext/>
              <w:rPr>
                <w:sz w:val="24"/>
                <w:szCs w:val="24"/>
              </w:rPr>
            </w:pPr>
            <w:r w:rsidRPr="007B13AA">
              <w:rPr>
                <w:sz w:val="24"/>
                <w:szCs w:val="24"/>
              </w:rPr>
              <w:t>Not applicable</w:t>
            </w:r>
          </w:p>
        </w:tc>
        <w:tc>
          <w:tcPr>
            <w:tcW w:w="2126" w:type="dxa"/>
          </w:tcPr>
          <w:p w14:paraId="75A81A7D" w14:textId="77777777" w:rsidR="00140619" w:rsidRPr="007B13AA" w:rsidRDefault="00140619" w:rsidP="006F19B7">
            <w:pPr>
              <w:keepNext/>
              <w:rPr>
                <w:sz w:val="24"/>
                <w:szCs w:val="24"/>
              </w:rPr>
            </w:pPr>
            <w:r w:rsidRPr="007B13AA">
              <w:rPr>
                <w:sz w:val="24"/>
                <w:szCs w:val="24"/>
              </w:rPr>
              <w:t>Not applicable</w:t>
            </w:r>
          </w:p>
        </w:tc>
        <w:tc>
          <w:tcPr>
            <w:tcW w:w="2352" w:type="dxa"/>
          </w:tcPr>
          <w:p w14:paraId="4D0D1902" w14:textId="77777777" w:rsidR="00140619" w:rsidRPr="007B13AA" w:rsidRDefault="00140619" w:rsidP="006F19B7">
            <w:pPr>
              <w:keepNext/>
              <w:rPr>
                <w:sz w:val="24"/>
                <w:szCs w:val="24"/>
              </w:rPr>
            </w:pPr>
            <w:r w:rsidRPr="007B13AA">
              <w:rPr>
                <w:sz w:val="24"/>
                <w:szCs w:val="24"/>
              </w:rPr>
              <w:t>Not applicable</w:t>
            </w:r>
          </w:p>
        </w:tc>
      </w:tr>
    </w:tbl>
    <w:p w14:paraId="151A4CA8" w14:textId="77256F4D" w:rsidR="00612A44" w:rsidRPr="007B13AA" w:rsidRDefault="00612A44" w:rsidP="0094230F">
      <w:pPr>
        <w:ind w:left="284" w:hanging="141"/>
        <w:rPr>
          <w:i/>
          <w:sz w:val="24"/>
          <w:szCs w:val="24"/>
        </w:rPr>
      </w:pPr>
      <w:r w:rsidRPr="007B13AA">
        <w:rPr>
          <w:i/>
          <w:sz w:val="24"/>
          <w:szCs w:val="24"/>
        </w:rPr>
        <w:t>*</w:t>
      </w:r>
      <w:r w:rsidR="00A67956" w:rsidRPr="007B13AA">
        <w:rPr>
          <w:i/>
          <w:sz w:val="24"/>
          <w:szCs w:val="24"/>
        </w:rPr>
        <w:tab/>
      </w:r>
      <w:r w:rsidRPr="00D46C36">
        <w:rPr>
          <w:i/>
          <w:sz w:val="24"/>
          <w:szCs w:val="24"/>
        </w:rPr>
        <w:t>Note that</w:t>
      </w:r>
      <w:r w:rsidR="00A67956" w:rsidRPr="00D46C36">
        <w:rPr>
          <w:i/>
          <w:sz w:val="24"/>
          <w:szCs w:val="24"/>
        </w:rPr>
        <w:t xml:space="preserve"> the above generally refers to individuals unaffected by </w:t>
      </w:r>
      <w:r w:rsidR="005D1C27" w:rsidRPr="00D46C36">
        <w:rPr>
          <w:i/>
          <w:sz w:val="24"/>
          <w:szCs w:val="24"/>
        </w:rPr>
        <w:t>disease</w:t>
      </w:r>
      <w:r w:rsidR="00A67956" w:rsidRPr="00D46C36">
        <w:rPr>
          <w:i/>
          <w:sz w:val="24"/>
          <w:szCs w:val="24"/>
        </w:rPr>
        <w:t xml:space="preserve">. </w:t>
      </w:r>
      <w:r w:rsidR="00D37A67" w:rsidRPr="00D46C36">
        <w:rPr>
          <w:i/>
          <w:sz w:val="24"/>
          <w:szCs w:val="24"/>
        </w:rPr>
        <w:t xml:space="preserve">If test results mean that further investigations detect signs of sub-clinical disease (for example an ECHO detecting hypertrophy of the ventricle in cardiac disease), extend the table to include any </w:t>
      </w:r>
      <w:r w:rsidR="00D37A67" w:rsidRPr="00D46C36">
        <w:rPr>
          <w:i/>
          <w:sz w:val="24"/>
          <w:szCs w:val="24"/>
        </w:rPr>
        <w:lastRenderedPageBreak/>
        <w:t xml:space="preserve">differences in clinical management of sub-clinical disease. </w:t>
      </w:r>
      <w:r w:rsidR="00A67956" w:rsidRPr="00D46C36">
        <w:rPr>
          <w:i/>
          <w:sz w:val="24"/>
          <w:szCs w:val="24"/>
        </w:rPr>
        <w:t>F</w:t>
      </w:r>
      <w:r w:rsidRPr="00D46C36">
        <w:rPr>
          <w:i/>
          <w:sz w:val="24"/>
          <w:szCs w:val="24"/>
        </w:rPr>
        <w:t xml:space="preserve">or family members who already have a </w:t>
      </w:r>
      <w:r w:rsidR="009D2632" w:rsidRPr="00D46C36">
        <w:rPr>
          <w:i/>
          <w:sz w:val="24"/>
          <w:szCs w:val="24"/>
        </w:rPr>
        <w:t xml:space="preserve">clinical </w:t>
      </w:r>
      <w:r w:rsidRPr="00D46C36">
        <w:rPr>
          <w:i/>
          <w:sz w:val="24"/>
          <w:szCs w:val="24"/>
        </w:rPr>
        <w:t>diagnosis of the disease, refer to the treatment table in Subsection</w:t>
      </w:r>
      <w:r w:rsidRPr="007B13AA">
        <w:rPr>
          <w:i/>
          <w:sz w:val="24"/>
          <w:szCs w:val="24"/>
        </w:rPr>
        <w:t xml:space="preserve"> </w:t>
      </w:r>
      <w:r w:rsidR="009D2632" w:rsidRPr="007B13AA">
        <w:rPr>
          <w:i/>
          <w:sz w:val="24"/>
          <w:szCs w:val="24"/>
        </w:rPr>
        <w:t>3</w:t>
      </w:r>
      <w:r w:rsidRPr="007B13AA">
        <w:rPr>
          <w:i/>
          <w:sz w:val="24"/>
          <w:szCs w:val="24"/>
        </w:rPr>
        <w:t>.2.</w:t>
      </w:r>
    </w:p>
    <w:p w14:paraId="719531CF" w14:textId="3778C807" w:rsidR="00EC02FE" w:rsidRPr="007B13AA" w:rsidRDefault="00612A44" w:rsidP="00EC02FE">
      <w:pPr>
        <w:rPr>
          <w:i/>
          <w:sz w:val="24"/>
          <w:szCs w:val="24"/>
        </w:rPr>
      </w:pPr>
      <w:r w:rsidRPr="007B13AA">
        <w:rPr>
          <w:i/>
          <w:sz w:val="24"/>
          <w:szCs w:val="24"/>
        </w:rPr>
        <w:t>Provide supporting evidence for the claimed magnitudes of benefit for the selections</w:t>
      </w:r>
      <w:r w:rsidR="00D37A67">
        <w:rPr>
          <w:i/>
          <w:sz w:val="24"/>
          <w:szCs w:val="24"/>
        </w:rPr>
        <w:t xml:space="preserve"> above</w:t>
      </w:r>
      <w:r w:rsidRPr="007B13AA">
        <w:rPr>
          <w:i/>
          <w:sz w:val="24"/>
          <w:szCs w:val="24"/>
        </w:rPr>
        <w:t>.</w:t>
      </w:r>
    </w:p>
    <w:p w14:paraId="7922284C" w14:textId="0FE53E5B" w:rsidR="00EC02FE" w:rsidRPr="007B13AA" w:rsidRDefault="00EC02FE" w:rsidP="00EC02FE">
      <w:pPr>
        <w:spacing w:before="200"/>
        <w:rPr>
          <w:color w:val="0000FF" w:themeColor="hyperlink"/>
          <w:sz w:val="24"/>
          <w:szCs w:val="24"/>
          <w:u w:val="single"/>
        </w:rPr>
      </w:pPr>
      <w:r w:rsidRPr="007B13AA">
        <w:rPr>
          <w:sz w:val="24"/>
          <w:szCs w:val="24"/>
        </w:rPr>
        <w:t>Supporting evidence for the above is referenced in:</w:t>
      </w:r>
      <w:r w:rsidRPr="007B13AA">
        <w:rPr>
          <w:sz w:val="24"/>
          <w:szCs w:val="24"/>
        </w:rPr>
        <w:br/>
      </w:r>
      <w:hyperlink r:id="rId19" w:tooltip="Link for supporting evidence for the above" w:history="1">
        <w:r w:rsidRPr="007B13AA">
          <w:rPr>
            <w:color w:val="0000FF" w:themeColor="hyperlink"/>
            <w:sz w:val="24"/>
            <w:szCs w:val="24"/>
            <w:u w:val="single"/>
          </w:rPr>
          <w:t>https://www.eviq.org.au/Protocol/tabid/66/categoryid/66/id/170/Risk+Management+for+an+Unaffected+Female+BRCA1+Mutation+Carrier.aspx</w:t>
        </w:r>
      </w:hyperlink>
    </w:p>
    <w:p w14:paraId="03A4CE82" w14:textId="713E2C66" w:rsidR="00EC02FE" w:rsidRPr="007B13AA" w:rsidRDefault="00EC02FE" w:rsidP="00EC02FE">
      <w:pPr>
        <w:spacing w:before="200"/>
        <w:rPr>
          <w:color w:val="0000FF" w:themeColor="hyperlink"/>
          <w:sz w:val="24"/>
          <w:szCs w:val="24"/>
          <w:u w:val="single"/>
        </w:rPr>
      </w:pPr>
      <w:r w:rsidRPr="007B13AA">
        <w:t>and in</w:t>
      </w:r>
      <w:r w:rsidR="00C250EB" w:rsidRPr="007B13AA">
        <w:t>:</w:t>
      </w:r>
      <w:r w:rsidRPr="007B13AA">
        <w:br/>
      </w:r>
      <w:hyperlink r:id="rId20" w:tooltip="Link for supporting evidence for the above" w:history="1">
        <w:r w:rsidR="00847B1B" w:rsidRPr="007B13AA">
          <w:rPr>
            <w:rStyle w:val="Hyperlink"/>
            <w:sz w:val="24"/>
            <w:szCs w:val="24"/>
          </w:rPr>
          <w:t>https://www.eviq.org.au/Protocol/tabid/66/categoryid/66/id/656/Risk+Management+for+Unaffected+Male+BRCA1+or+BRCA+2+Mutation+Carrier.aspx</w:t>
        </w:r>
      </w:hyperlink>
    </w:p>
    <w:p w14:paraId="10F1C855" w14:textId="78098309" w:rsidR="00CA2EE2" w:rsidRPr="00D46C36" w:rsidRDefault="00CA2EE2" w:rsidP="00CA2EE2">
      <w:pPr>
        <w:spacing w:before="200"/>
        <w:rPr>
          <w:sz w:val="24"/>
          <w:szCs w:val="24"/>
        </w:rPr>
      </w:pPr>
      <w:r w:rsidRPr="00D46C36">
        <w:rPr>
          <w:i/>
          <w:sz w:val="24"/>
          <w:szCs w:val="24"/>
        </w:rPr>
        <w:t>Does the previous table provide sufficient justification in terms of clinical utility for cascade testing when limited to first-degree family members of a proband?</w:t>
      </w:r>
      <w:r w:rsidRPr="00D46C36">
        <w:rPr>
          <w:i/>
          <w:sz w:val="24"/>
          <w:szCs w:val="24"/>
        </w:rPr>
        <w:tab/>
      </w:r>
      <w:r w:rsidRPr="00D46C36">
        <w:rPr>
          <w:i/>
          <w:sz w:val="24"/>
          <w:szCs w:val="24"/>
        </w:rPr>
        <w:tab/>
      </w:r>
      <w:r w:rsidRPr="00D46C36">
        <w:rPr>
          <w:sz w:val="24"/>
          <w:szCs w:val="24"/>
        </w:rPr>
        <w:t>yes</w:t>
      </w:r>
    </w:p>
    <w:p w14:paraId="269F1463" w14:textId="19BAE104" w:rsidR="00CA2EE2" w:rsidRPr="00D46C36" w:rsidRDefault="00CA2EE2" w:rsidP="00C155EB">
      <w:pPr>
        <w:spacing w:before="200"/>
        <w:ind w:left="709"/>
        <w:rPr>
          <w:i/>
          <w:sz w:val="24"/>
          <w:szCs w:val="24"/>
        </w:rPr>
      </w:pPr>
      <w:r w:rsidRPr="00D46C36">
        <w:rPr>
          <w:i/>
          <w:sz w:val="24"/>
          <w:szCs w:val="24"/>
        </w:rPr>
        <w:t>If yes, there is no need to extend the justification further, noting that this is not intended to necessarily limit any public funding of cascade testing to first-degree relatives.</w:t>
      </w:r>
    </w:p>
    <w:p w14:paraId="3FDDD396" w14:textId="6097C927" w:rsidR="00CA2EE2" w:rsidRDefault="00CA2EE2" w:rsidP="00C155EB">
      <w:pPr>
        <w:spacing w:before="200"/>
        <w:ind w:left="709"/>
        <w:rPr>
          <w:sz w:val="24"/>
          <w:szCs w:val="24"/>
        </w:rPr>
      </w:pPr>
      <w:r w:rsidRPr="00D46C36">
        <w:rPr>
          <w:i/>
          <w:sz w:val="24"/>
          <w:szCs w:val="24"/>
        </w:rPr>
        <w:t>If no, briefly describe the significance of any variation in prevention strategies across first- to third-degree family members.</w:t>
      </w:r>
      <w:r w:rsidR="00C155EB" w:rsidRPr="00D46C36">
        <w:rPr>
          <w:sz w:val="24"/>
          <w:szCs w:val="24"/>
        </w:rPr>
        <w:t xml:space="preserve"> Not applicable.</w:t>
      </w:r>
    </w:p>
    <w:p w14:paraId="2CA2D1B3" w14:textId="77777777" w:rsidR="00847B1B" w:rsidRPr="007B13AA" w:rsidRDefault="00847B1B" w:rsidP="00847B1B">
      <w:pPr>
        <w:spacing w:before="200"/>
        <w:rPr>
          <w:i/>
          <w:sz w:val="24"/>
          <w:szCs w:val="24"/>
        </w:rPr>
      </w:pPr>
      <w:r w:rsidRPr="007B13AA">
        <w:rPr>
          <w:i/>
          <w:sz w:val="24"/>
          <w:szCs w:val="24"/>
        </w:rPr>
        <w:t>If cascade testing is undertaken on a relevant actionable gene other than the “star performer gene(s)”, indicate whether the expected benefits would be:</w:t>
      </w:r>
    </w:p>
    <w:p w14:paraId="7D5383FC" w14:textId="3B8F842D" w:rsidR="00847B1B" w:rsidRPr="00C23C50" w:rsidRDefault="00847B1B" w:rsidP="0004583C">
      <w:pPr>
        <w:tabs>
          <w:tab w:val="left" w:pos="3544"/>
        </w:tabs>
        <w:spacing w:before="200"/>
        <w:rPr>
          <w:sz w:val="24"/>
          <w:szCs w:val="24"/>
        </w:rPr>
      </w:pPr>
      <w:r w:rsidRPr="007B13AA">
        <w:rPr>
          <w:sz w:val="24"/>
          <w:szCs w:val="24"/>
        </w:rPr>
        <w:t xml:space="preserve">A. </w:t>
      </w:r>
      <w:r w:rsidRPr="007B13AA">
        <w:rPr>
          <w:i/>
          <w:sz w:val="24"/>
          <w:szCs w:val="24"/>
        </w:rPr>
        <w:t>the same as</w:t>
      </w:r>
      <w:r w:rsidR="0004583C">
        <w:rPr>
          <w:i/>
          <w:sz w:val="24"/>
          <w:szCs w:val="24"/>
        </w:rPr>
        <w:tab/>
      </w:r>
      <w:r w:rsidRPr="00C23C50">
        <w:rPr>
          <w:sz w:val="24"/>
          <w:szCs w:val="24"/>
        </w:rPr>
        <w:t>yes</w:t>
      </w:r>
    </w:p>
    <w:p w14:paraId="07FB5116" w14:textId="06321B28" w:rsidR="00847B1B" w:rsidRPr="00C23C50" w:rsidRDefault="00847B1B" w:rsidP="000526B4">
      <w:pPr>
        <w:tabs>
          <w:tab w:val="left" w:pos="3544"/>
        </w:tabs>
        <w:spacing w:before="200"/>
        <w:rPr>
          <w:sz w:val="24"/>
          <w:szCs w:val="24"/>
        </w:rPr>
      </w:pPr>
      <w:r w:rsidRPr="00C23C50">
        <w:rPr>
          <w:sz w:val="24"/>
          <w:szCs w:val="24"/>
        </w:rPr>
        <w:t>B.</w:t>
      </w:r>
      <w:r w:rsidRPr="00C23C50">
        <w:rPr>
          <w:i/>
          <w:sz w:val="24"/>
          <w:szCs w:val="24"/>
        </w:rPr>
        <w:t xml:space="preserve"> less than or</w:t>
      </w:r>
      <w:r w:rsidR="000526B4">
        <w:rPr>
          <w:i/>
          <w:sz w:val="24"/>
          <w:szCs w:val="24"/>
        </w:rPr>
        <w:tab/>
      </w:r>
      <w:r w:rsidRPr="00C23C50">
        <w:rPr>
          <w:sz w:val="24"/>
          <w:szCs w:val="24"/>
        </w:rPr>
        <w:t>no</w:t>
      </w:r>
    </w:p>
    <w:p w14:paraId="4F627A1B" w14:textId="669AFD97" w:rsidR="00847B1B" w:rsidRPr="00C23C50" w:rsidRDefault="00847B1B" w:rsidP="00847B1B">
      <w:pPr>
        <w:spacing w:before="200"/>
        <w:rPr>
          <w:sz w:val="24"/>
          <w:szCs w:val="24"/>
        </w:rPr>
      </w:pPr>
      <w:r w:rsidRPr="00C23C50">
        <w:rPr>
          <w:sz w:val="24"/>
          <w:szCs w:val="24"/>
        </w:rPr>
        <w:t>C.</w:t>
      </w:r>
      <w:r w:rsidRPr="00C23C50">
        <w:rPr>
          <w:i/>
          <w:sz w:val="24"/>
          <w:szCs w:val="24"/>
        </w:rPr>
        <w:t xml:space="preserve"> greater than</w:t>
      </w:r>
      <w:r w:rsidRPr="00C23C50">
        <w:rPr>
          <w:sz w:val="24"/>
          <w:szCs w:val="24"/>
        </w:rPr>
        <w:tab/>
      </w:r>
      <w:r w:rsidRPr="00C23C50">
        <w:rPr>
          <w:sz w:val="24"/>
          <w:szCs w:val="24"/>
        </w:rPr>
        <w:tab/>
      </w:r>
      <w:r w:rsidRPr="00C23C50">
        <w:rPr>
          <w:sz w:val="24"/>
          <w:szCs w:val="24"/>
        </w:rPr>
        <w:tab/>
        <w:t>no</w:t>
      </w:r>
    </w:p>
    <w:p w14:paraId="3E600ED0" w14:textId="5091F73A" w:rsidR="00847B1B" w:rsidRPr="007B13AA" w:rsidRDefault="00847B1B" w:rsidP="00EC02FE">
      <w:pPr>
        <w:spacing w:before="200"/>
        <w:rPr>
          <w:i/>
          <w:sz w:val="24"/>
          <w:szCs w:val="24"/>
        </w:rPr>
      </w:pPr>
      <w:r w:rsidRPr="00C23C50">
        <w:rPr>
          <w:i/>
          <w:sz w:val="24"/>
          <w:szCs w:val="24"/>
        </w:rPr>
        <w:t>that observed with the “star perform</w:t>
      </w:r>
      <w:r w:rsidRPr="007B13AA">
        <w:rPr>
          <w:i/>
          <w:sz w:val="24"/>
          <w:szCs w:val="24"/>
        </w:rPr>
        <w:t>er</w:t>
      </w:r>
      <w:r w:rsidR="008725C2" w:rsidRPr="007B13AA">
        <w:rPr>
          <w:i/>
          <w:sz w:val="24"/>
          <w:szCs w:val="24"/>
        </w:rPr>
        <w:t xml:space="preserve"> gene(s)</w:t>
      </w:r>
      <w:r w:rsidRPr="007B13AA">
        <w:rPr>
          <w:i/>
          <w:sz w:val="24"/>
          <w:szCs w:val="24"/>
        </w:rPr>
        <w:t>”.</w:t>
      </w:r>
    </w:p>
    <w:p w14:paraId="63C10A83" w14:textId="6EF6F9A7" w:rsidR="00BE694B" w:rsidRPr="007B13AA" w:rsidRDefault="00BE694B" w:rsidP="003258A6">
      <w:pPr>
        <w:pStyle w:val="ListParagraph"/>
        <w:keepNext/>
        <w:numPr>
          <w:ilvl w:val="2"/>
          <w:numId w:val="16"/>
        </w:numPr>
        <w:spacing w:before="200"/>
        <w:ind w:left="709" w:hanging="709"/>
        <w:rPr>
          <w:b/>
          <w:sz w:val="24"/>
          <w:szCs w:val="24"/>
        </w:rPr>
      </w:pPr>
      <w:r w:rsidRPr="007B13AA">
        <w:rPr>
          <w:b/>
          <w:i/>
          <w:sz w:val="24"/>
          <w:szCs w:val="24"/>
        </w:rPr>
        <w:t>Clinical context of testing for a family member of a</w:t>
      </w:r>
      <w:r w:rsidR="0037615D" w:rsidRPr="007B13AA">
        <w:rPr>
          <w:b/>
          <w:i/>
          <w:sz w:val="24"/>
          <w:szCs w:val="24"/>
        </w:rPr>
        <w:t xml:space="preserve"> proband</w:t>
      </w:r>
    </w:p>
    <w:p w14:paraId="7FBD2272" w14:textId="2D452540" w:rsidR="00BE694B" w:rsidRPr="007B13AA" w:rsidRDefault="00BE694B" w:rsidP="00BE694B">
      <w:pPr>
        <w:rPr>
          <w:sz w:val="24"/>
          <w:szCs w:val="24"/>
        </w:rPr>
      </w:pPr>
      <w:r w:rsidRPr="007B13AA">
        <w:rPr>
          <w:i/>
          <w:sz w:val="24"/>
          <w:szCs w:val="24"/>
        </w:rPr>
        <w:t>Clinical setting in which family members can be approached, testing can be ordered, and the test results are interpreted</w:t>
      </w:r>
      <w:r w:rsidR="003375AE" w:rsidRPr="007B13AA">
        <w:rPr>
          <w:i/>
          <w:sz w:val="24"/>
          <w:szCs w:val="24"/>
        </w:rPr>
        <w:t>:</w:t>
      </w:r>
      <w:r w:rsidR="00AF5C78" w:rsidRPr="007B13AA">
        <w:rPr>
          <w:sz w:val="24"/>
          <w:szCs w:val="24"/>
        </w:rPr>
        <w:t xml:space="preserve"> </w:t>
      </w:r>
      <w:r w:rsidRPr="007B13AA">
        <w:rPr>
          <w:sz w:val="24"/>
          <w:szCs w:val="24"/>
        </w:rPr>
        <w:t xml:space="preserve">hereditary </w:t>
      </w:r>
      <w:r w:rsidR="003375AE" w:rsidRPr="007B13AA">
        <w:rPr>
          <w:sz w:val="24"/>
          <w:szCs w:val="24"/>
        </w:rPr>
        <w:t>cancer clinic or</w:t>
      </w:r>
      <w:r w:rsidRPr="007B13AA">
        <w:rPr>
          <w:sz w:val="24"/>
          <w:szCs w:val="24"/>
        </w:rPr>
        <w:t xml:space="preserve"> </w:t>
      </w:r>
      <w:r w:rsidR="003375AE" w:rsidRPr="007B13AA">
        <w:rPr>
          <w:sz w:val="24"/>
          <w:szCs w:val="24"/>
        </w:rPr>
        <w:t>family cancer centre</w:t>
      </w:r>
      <w:r w:rsidR="00B43FA3" w:rsidRPr="007B13AA">
        <w:rPr>
          <w:sz w:val="24"/>
          <w:szCs w:val="24"/>
        </w:rPr>
        <w:t>.</w:t>
      </w:r>
    </w:p>
    <w:p w14:paraId="1E25BD70" w14:textId="59247A97" w:rsidR="00B65171" w:rsidRPr="007B13AA" w:rsidRDefault="00F80F8B" w:rsidP="00B65171">
      <w:pPr>
        <w:rPr>
          <w:sz w:val="24"/>
          <w:szCs w:val="24"/>
        </w:rPr>
      </w:pPr>
      <w:r w:rsidRPr="007B13AA">
        <w:rPr>
          <w:i/>
          <w:sz w:val="24"/>
          <w:szCs w:val="24"/>
        </w:rPr>
        <w:t xml:space="preserve">Role of pre-test genetic counselling </w:t>
      </w:r>
      <w:r w:rsidR="008725C2" w:rsidRPr="007B13AA">
        <w:rPr>
          <w:i/>
          <w:sz w:val="24"/>
          <w:szCs w:val="24"/>
        </w:rPr>
        <w:t xml:space="preserve">or information </w:t>
      </w:r>
      <w:r w:rsidRPr="007B13AA">
        <w:rPr>
          <w:i/>
          <w:sz w:val="24"/>
          <w:szCs w:val="24"/>
        </w:rPr>
        <w:t>for the family member:</w:t>
      </w:r>
      <w:r w:rsidRPr="007B13AA">
        <w:rPr>
          <w:sz w:val="24"/>
          <w:szCs w:val="24"/>
        </w:rPr>
        <w:t xml:space="preserve"> required.</w:t>
      </w:r>
    </w:p>
    <w:p w14:paraId="28E14336" w14:textId="072286F2" w:rsidR="00B65171" w:rsidRDefault="00B65171" w:rsidP="00B65171">
      <w:pPr>
        <w:ind w:left="709"/>
        <w:rPr>
          <w:sz w:val="24"/>
          <w:szCs w:val="24"/>
        </w:rPr>
      </w:pPr>
      <w:r w:rsidRPr="007B13AA">
        <w:rPr>
          <w:i/>
          <w:sz w:val="24"/>
          <w:szCs w:val="24"/>
        </w:rPr>
        <w:t xml:space="preserve">If required, nature of counselling </w:t>
      </w:r>
      <w:r w:rsidR="008725C2" w:rsidRPr="007B13AA">
        <w:rPr>
          <w:i/>
          <w:sz w:val="24"/>
          <w:szCs w:val="24"/>
        </w:rPr>
        <w:t xml:space="preserve">or information </w:t>
      </w:r>
      <w:r w:rsidRPr="007B13AA">
        <w:rPr>
          <w:i/>
          <w:sz w:val="24"/>
          <w:szCs w:val="24"/>
        </w:rPr>
        <w:t>to be provided:</w:t>
      </w:r>
      <w:r w:rsidRPr="007B13AA">
        <w:rPr>
          <w:sz w:val="24"/>
          <w:szCs w:val="24"/>
        </w:rPr>
        <w:t xml:space="preserve"> </w:t>
      </w:r>
    </w:p>
    <w:p w14:paraId="4413E328" w14:textId="6A44703E" w:rsidR="005008F9" w:rsidRPr="005008F9" w:rsidRDefault="00C23C50" w:rsidP="003258A6">
      <w:pPr>
        <w:pStyle w:val="ListParagraph"/>
        <w:numPr>
          <w:ilvl w:val="0"/>
          <w:numId w:val="8"/>
        </w:numPr>
        <w:rPr>
          <w:sz w:val="24"/>
          <w:szCs w:val="24"/>
        </w:rPr>
      </w:pPr>
      <w:r>
        <w:rPr>
          <w:sz w:val="24"/>
          <w:szCs w:val="24"/>
        </w:rPr>
        <w:t>a g</w:t>
      </w:r>
      <w:r w:rsidR="005008F9" w:rsidRPr="005008F9">
        <w:rPr>
          <w:sz w:val="24"/>
          <w:szCs w:val="24"/>
        </w:rPr>
        <w:t>eneral explanation of cancer and hereditary cancer predisposition</w:t>
      </w:r>
    </w:p>
    <w:p w14:paraId="49FE53CA" w14:textId="1D48E6CD" w:rsidR="005008F9" w:rsidRPr="007B13AA" w:rsidRDefault="005008F9" w:rsidP="003258A6">
      <w:pPr>
        <w:pStyle w:val="ListParagraph"/>
        <w:numPr>
          <w:ilvl w:val="0"/>
          <w:numId w:val="8"/>
        </w:numPr>
        <w:rPr>
          <w:sz w:val="24"/>
          <w:szCs w:val="24"/>
        </w:rPr>
      </w:pPr>
      <w:r w:rsidRPr="007B13AA">
        <w:rPr>
          <w:sz w:val="24"/>
          <w:szCs w:val="24"/>
        </w:rPr>
        <w:t xml:space="preserve">the individual </w:t>
      </w:r>
      <w:r>
        <w:rPr>
          <w:sz w:val="24"/>
          <w:szCs w:val="24"/>
        </w:rPr>
        <w:t>may be</w:t>
      </w:r>
      <w:r w:rsidRPr="007B13AA">
        <w:rPr>
          <w:sz w:val="24"/>
          <w:szCs w:val="24"/>
        </w:rPr>
        <w:t xml:space="preserve"> at increased risk of breast cancer </w:t>
      </w:r>
      <w:r>
        <w:rPr>
          <w:sz w:val="24"/>
          <w:szCs w:val="24"/>
        </w:rPr>
        <w:t>or a further breast cancer</w:t>
      </w:r>
    </w:p>
    <w:p w14:paraId="3CE1598E" w14:textId="45761C97" w:rsidR="005008F9" w:rsidRDefault="005008F9" w:rsidP="003258A6">
      <w:pPr>
        <w:pStyle w:val="ListParagraph"/>
        <w:numPr>
          <w:ilvl w:val="0"/>
          <w:numId w:val="8"/>
        </w:numPr>
        <w:rPr>
          <w:sz w:val="24"/>
          <w:szCs w:val="24"/>
        </w:rPr>
      </w:pPr>
      <w:r w:rsidRPr="007B13AA">
        <w:rPr>
          <w:sz w:val="24"/>
          <w:szCs w:val="24"/>
        </w:rPr>
        <w:t xml:space="preserve">the individual </w:t>
      </w:r>
      <w:r>
        <w:rPr>
          <w:sz w:val="24"/>
          <w:szCs w:val="24"/>
        </w:rPr>
        <w:t>may be</w:t>
      </w:r>
      <w:r w:rsidRPr="007B13AA">
        <w:rPr>
          <w:sz w:val="24"/>
          <w:szCs w:val="24"/>
        </w:rPr>
        <w:t xml:space="preserve"> at i</w:t>
      </w:r>
      <w:r w:rsidR="00C23C50">
        <w:rPr>
          <w:sz w:val="24"/>
          <w:szCs w:val="24"/>
        </w:rPr>
        <w:t>ncreased risk of ovarian cancer</w:t>
      </w:r>
    </w:p>
    <w:p w14:paraId="2C356904" w14:textId="77777777" w:rsidR="005008F9" w:rsidRPr="007B13AA" w:rsidRDefault="005008F9" w:rsidP="003258A6">
      <w:pPr>
        <w:pStyle w:val="ListParagraph"/>
        <w:numPr>
          <w:ilvl w:val="0"/>
          <w:numId w:val="8"/>
        </w:numPr>
        <w:rPr>
          <w:sz w:val="24"/>
          <w:szCs w:val="24"/>
        </w:rPr>
      </w:pPr>
      <w:r>
        <w:rPr>
          <w:sz w:val="24"/>
          <w:szCs w:val="24"/>
        </w:rPr>
        <w:lastRenderedPageBreak/>
        <w:t>there may be an increased risk of additional other cancers</w:t>
      </w:r>
    </w:p>
    <w:p w14:paraId="180A7C6C" w14:textId="5BCE097D" w:rsidR="005008F9" w:rsidRDefault="00C23C50" w:rsidP="003258A6">
      <w:pPr>
        <w:pStyle w:val="ListParagraph"/>
        <w:numPr>
          <w:ilvl w:val="0"/>
          <w:numId w:val="8"/>
        </w:numPr>
        <w:rPr>
          <w:sz w:val="24"/>
          <w:szCs w:val="24"/>
        </w:rPr>
      </w:pPr>
      <w:r>
        <w:rPr>
          <w:sz w:val="24"/>
          <w:szCs w:val="24"/>
        </w:rPr>
        <w:t>c</w:t>
      </w:r>
      <w:r w:rsidR="005008F9">
        <w:rPr>
          <w:sz w:val="24"/>
          <w:szCs w:val="24"/>
        </w:rPr>
        <w:t>ancer management decisions may change</w:t>
      </w:r>
    </w:p>
    <w:p w14:paraId="6553F706" w14:textId="11AF718A" w:rsidR="005008F9" w:rsidRPr="007B13AA" w:rsidRDefault="00C23C50" w:rsidP="003258A6">
      <w:pPr>
        <w:pStyle w:val="ListParagraph"/>
        <w:numPr>
          <w:ilvl w:val="0"/>
          <w:numId w:val="8"/>
        </w:numPr>
        <w:rPr>
          <w:sz w:val="24"/>
          <w:szCs w:val="24"/>
        </w:rPr>
      </w:pPr>
      <w:r>
        <w:rPr>
          <w:sz w:val="24"/>
          <w:szCs w:val="24"/>
        </w:rPr>
        <w:t>t</w:t>
      </w:r>
      <w:r w:rsidR="005008F9">
        <w:rPr>
          <w:sz w:val="24"/>
          <w:szCs w:val="24"/>
        </w:rPr>
        <w:t>here are options for early detection/cancer prevention</w:t>
      </w:r>
    </w:p>
    <w:p w14:paraId="544941A3" w14:textId="75917306" w:rsidR="005008F9" w:rsidRPr="00C23C50" w:rsidRDefault="00C23C50" w:rsidP="003258A6">
      <w:pPr>
        <w:pStyle w:val="ListParagraph"/>
        <w:numPr>
          <w:ilvl w:val="0"/>
          <w:numId w:val="8"/>
        </w:numPr>
        <w:rPr>
          <w:sz w:val="24"/>
          <w:szCs w:val="24"/>
        </w:rPr>
      </w:pPr>
      <w:r>
        <w:rPr>
          <w:sz w:val="24"/>
          <w:szCs w:val="24"/>
        </w:rPr>
        <w:t>a</w:t>
      </w:r>
      <w:r w:rsidR="005008F9">
        <w:rPr>
          <w:sz w:val="24"/>
          <w:szCs w:val="24"/>
        </w:rPr>
        <w:t xml:space="preserve">dult </w:t>
      </w:r>
      <w:r w:rsidR="005008F9" w:rsidRPr="007B13AA">
        <w:rPr>
          <w:sz w:val="24"/>
          <w:szCs w:val="24"/>
        </w:rPr>
        <w:t xml:space="preserve">family members of the individual </w:t>
      </w:r>
      <w:r w:rsidR="005008F9">
        <w:rPr>
          <w:sz w:val="24"/>
          <w:szCs w:val="24"/>
        </w:rPr>
        <w:t>may be</w:t>
      </w:r>
      <w:r w:rsidR="005008F9" w:rsidRPr="007B13AA">
        <w:rPr>
          <w:sz w:val="24"/>
          <w:szCs w:val="24"/>
        </w:rPr>
        <w:t xml:space="preserve"> at increased risk of developing cancer</w:t>
      </w:r>
      <w:r w:rsidR="005008F9">
        <w:rPr>
          <w:sz w:val="24"/>
          <w:szCs w:val="24"/>
        </w:rPr>
        <w:t xml:space="preserve"> and require referral to a family cancer clinic to consider predictive genetic testing</w:t>
      </w:r>
    </w:p>
    <w:p w14:paraId="1967DBAA" w14:textId="7C0A8A11" w:rsidR="005008F9" w:rsidRDefault="00C23C50" w:rsidP="003258A6">
      <w:pPr>
        <w:pStyle w:val="ListParagraph"/>
        <w:numPr>
          <w:ilvl w:val="0"/>
          <w:numId w:val="8"/>
        </w:numPr>
        <w:rPr>
          <w:sz w:val="24"/>
          <w:szCs w:val="24"/>
        </w:rPr>
      </w:pPr>
      <w:r>
        <w:rPr>
          <w:sz w:val="24"/>
          <w:szCs w:val="24"/>
        </w:rPr>
        <w:t>t</w:t>
      </w:r>
      <w:r w:rsidR="005008F9">
        <w:rPr>
          <w:sz w:val="24"/>
          <w:szCs w:val="24"/>
        </w:rPr>
        <w:t>here may be psychosocial implications</w:t>
      </w:r>
    </w:p>
    <w:p w14:paraId="4062CD3E" w14:textId="62B419E9" w:rsidR="005008F9" w:rsidRDefault="00C23C50" w:rsidP="003258A6">
      <w:pPr>
        <w:pStyle w:val="ListParagraph"/>
        <w:numPr>
          <w:ilvl w:val="0"/>
          <w:numId w:val="8"/>
        </w:numPr>
        <w:rPr>
          <w:sz w:val="24"/>
          <w:szCs w:val="24"/>
        </w:rPr>
      </w:pPr>
      <w:r>
        <w:rPr>
          <w:sz w:val="24"/>
          <w:szCs w:val="24"/>
        </w:rPr>
        <w:t>t</w:t>
      </w:r>
      <w:r w:rsidR="005008F9">
        <w:rPr>
          <w:sz w:val="24"/>
          <w:szCs w:val="24"/>
        </w:rPr>
        <w:t>here may be insurance implications</w:t>
      </w:r>
    </w:p>
    <w:p w14:paraId="29689E1D" w14:textId="5649EA58" w:rsidR="005008F9" w:rsidRPr="007B13AA" w:rsidRDefault="00C23C50" w:rsidP="003258A6">
      <w:pPr>
        <w:pStyle w:val="ListParagraph"/>
        <w:numPr>
          <w:ilvl w:val="0"/>
          <w:numId w:val="8"/>
        </w:numPr>
        <w:rPr>
          <w:sz w:val="24"/>
          <w:szCs w:val="24"/>
        </w:rPr>
      </w:pPr>
      <w:r>
        <w:rPr>
          <w:sz w:val="24"/>
          <w:szCs w:val="24"/>
        </w:rPr>
        <w:t>t</w:t>
      </w:r>
      <w:r w:rsidR="005008F9">
        <w:rPr>
          <w:sz w:val="24"/>
          <w:szCs w:val="24"/>
        </w:rPr>
        <w:t>here may be family planning implications</w:t>
      </w:r>
      <w:r>
        <w:rPr>
          <w:sz w:val="24"/>
          <w:szCs w:val="24"/>
        </w:rPr>
        <w:t>.</w:t>
      </w:r>
    </w:p>
    <w:p w14:paraId="208F9AB1" w14:textId="0355073E" w:rsidR="00F80F8B" w:rsidRPr="007B13AA" w:rsidRDefault="00B65171" w:rsidP="00B65171">
      <w:pPr>
        <w:ind w:left="709"/>
        <w:rPr>
          <w:sz w:val="24"/>
          <w:szCs w:val="24"/>
        </w:rPr>
      </w:pPr>
      <w:r w:rsidRPr="007B13AA">
        <w:rPr>
          <w:i/>
          <w:sz w:val="24"/>
          <w:szCs w:val="24"/>
        </w:rPr>
        <w:t>If not required, brief explanation of why not:</w:t>
      </w:r>
      <w:r w:rsidRPr="007B13AA">
        <w:rPr>
          <w:sz w:val="24"/>
          <w:szCs w:val="24"/>
        </w:rPr>
        <w:t xml:space="preserve"> </w:t>
      </w:r>
      <w:r w:rsidR="00A1558D" w:rsidRPr="007B13AA">
        <w:rPr>
          <w:sz w:val="24"/>
          <w:szCs w:val="24"/>
        </w:rPr>
        <w:t>not applicable.</w:t>
      </w:r>
    </w:p>
    <w:p w14:paraId="402E4CD2" w14:textId="6F800E80" w:rsidR="00F80F8B" w:rsidRPr="007B13AA" w:rsidRDefault="00F80F8B" w:rsidP="00F80F8B">
      <w:pPr>
        <w:rPr>
          <w:sz w:val="24"/>
          <w:szCs w:val="24"/>
        </w:rPr>
      </w:pPr>
      <w:r w:rsidRPr="007B13AA">
        <w:rPr>
          <w:i/>
          <w:sz w:val="24"/>
          <w:szCs w:val="24"/>
        </w:rPr>
        <w:t xml:space="preserve">Role of post-test genetic counselling </w:t>
      </w:r>
      <w:r w:rsidR="008725C2" w:rsidRPr="007B13AA">
        <w:rPr>
          <w:i/>
          <w:sz w:val="24"/>
          <w:szCs w:val="24"/>
        </w:rPr>
        <w:t xml:space="preserve">or information </w:t>
      </w:r>
      <w:r w:rsidRPr="007B13AA">
        <w:rPr>
          <w:i/>
          <w:sz w:val="24"/>
          <w:szCs w:val="24"/>
        </w:rPr>
        <w:t>for the family member:</w:t>
      </w:r>
      <w:r w:rsidRPr="007B13AA">
        <w:rPr>
          <w:sz w:val="24"/>
          <w:szCs w:val="24"/>
        </w:rPr>
        <w:t xml:space="preserve"> </w:t>
      </w:r>
    </w:p>
    <w:p w14:paraId="6EC23E2F" w14:textId="3658F72D" w:rsidR="00B85039" w:rsidRPr="007B13AA" w:rsidRDefault="00F80F8B" w:rsidP="00B85039">
      <w:pPr>
        <w:rPr>
          <w:sz w:val="24"/>
          <w:szCs w:val="24"/>
        </w:rPr>
      </w:pPr>
      <w:r w:rsidRPr="007B13AA">
        <w:rPr>
          <w:sz w:val="24"/>
          <w:szCs w:val="24"/>
        </w:rPr>
        <w:t xml:space="preserve">A. </w:t>
      </w:r>
      <w:r w:rsidRPr="007B13AA">
        <w:rPr>
          <w:i/>
          <w:sz w:val="24"/>
          <w:szCs w:val="24"/>
        </w:rPr>
        <w:t>in event of a positive test result:</w:t>
      </w:r>
      <w:r w:rsidRPr="007B13AA">
        <w:rPr>
          <w:sz w:val="24"/>
          <w:szCs w:val="24"/>
        </w:rPr>
        <w:t xml:space="preserve"> required</w:t>
      </w:r>
      <w:r w:rsidR="00B85039" w:rsidRPr="007B13AA">
        <w:rPr>
          <w:sz w:val="24"/>
          <w:szCs w:val="24"/>
        </w:rPr>
        <w:t>.</w:t>
      </w:r>
    </w:p>
    <w:p w14:paraId="4D54CBED" w14:textId="0B61ADCA" w:rsidR="00B43FA3" w:rsidRDefault="00B85039" w:rsidP="00B43FA3">
      <w:pPr>
        <w:ind w:left="709"/>
        <w:rPr>
          <w:sz w:val="24"/>
          <w:szCs w:val="24"/>
        </w:rPr>
      </w:pPr>
      <w:r w:rsidRPr="007B13AA">
        <w:rPr>
          <w:i/>
          <w:sz w:val="24"/>
          <w:szCs w:val="24"/>
        </w:rPr>
        <w:t xml:space="preserve">If required, nature of counselling </w:t>
      </w:r>
      <w:r w:rsidR="008725C2" w:rsidRPr="007B13AA">
        <w:rPr>
          <w:i/>
          <w:sz w:val="24"/>
          <w:szCs w:val="24"/>
        </w:rPr>
        <w:t xml:space="preserve">or information </w:t>
      </w:r>
      <w:r w:rsidRPr="007B13AA">
        <w:rPr>
          <w:i/>
          <w:sz w:val="24"/>
          <w:szCs w:val="24"/>
        </w:rPr>
        <w:t>to be provided:</w:t>
      </w:r>
      <w:r w:rsidRPr="007B13AA">
        <w:rPr>
          <w:sz w:val="24"/>
          <w:szCs w:val="24"/>
        </w:rPr>
        <w:t xml:space="preserve"> </w:t>
      </w:r>
    </w:p>
    <w:p w14:paraId="5624BA28" w14:textId="77777777" w:rsidR="005008F9" w:rsidRPr="007B13AA" w:rsidRDefault="005008F9" w:rsidP="003258A6">
      <w:pPr>
        <w:pStyle w:val="ListParagraph"/>
        <w:numPr>
          <w:ilvl w:val="0"/>
          <w:numId w:val="8"/>
        </w:numPr>
        <w:rPr>
          <w:sz w:val="24"/>
          <w:szCs w:val="24"/>
        </w:rPr>
      </w:pPr>
      <w:r w:rsidRPr="007B13AA">
        <w:rPr>
          <w:sz w:val="24"/>
          <w:szCs w:val="24"/>
        </w:rPr>
        <w:t xml:space="preserve">the individual is at increased risk of breast cancer </w:t>
      </w:r>
      <w:r>
        <w:rPr>
          <w:sz w:val="24"/>
          <w:szCs w:val="24"/>
        </w:rPr>
        <w:t>or a further breast cancer</w:t>
      </w:r>
    </w:p>
    <w:p w14:paraId="5A068199" w14:textId="7AE3EC81" w:rsidR="005008F9" w:rsidRDefault="005008F9" w:rsidP="003258A6">
      <w:pPr>
        <w:pStyle w:val="ListParagraph"/>
        <w:numPr>
          <w:ilvl w:val="0"/>
          <w:numId w:val="8"/>
        </w:numPr>
        <w:rPr>
          <w:sz w:val="24"/>
          <w:szCs w:val="24"/>
        </w:rPr>
      </w:pPr>
      <w:r w:rsidRPr="007B13AA">
        <w:rPr>
          <w:sz w:val="24"/>
          <w:szCs w:val="24"/>
        </w:rPr>
        <w:t>the individual is at i</w:t>
      </w:r>
      <w:r w:rsidR="00AF3A8D">
        <w:rPr>
          <w:sz w:val="24"/>
          <w:szCs w:val="24"/>
        </w:rPr>
        <w:t>ncreased risk of ovarian cancer</w:t>
      </w:r>
    </w:p>
    <w:p w14:paraId="46A6A818" w14:textId="77777777" w:rsidR="005008F9" w:rsidRPr="007B13AA" w:rsidRDefault="005008F9" w:rsidP="003258A6">
      <w:pPr>
        <w:pStyle w:val="ListParagraph"/>
        <w:numPr>
          <w:ilvl w:val="0"/>
          <w:numId w:val="8"/>
        </w:numPr>
        <w:rPr>
          <w:sz w:val="24"/>
          <w:szCs w:val="24"/>
        </w:rPr>
      </w:pPr>
      <w:r>
        <w:rPr>
          <w:sz w:val="24"/>
          <w:szCs w:val="24"/>
        </w:rPr>
        <w:t>there may be an increased risk of additional other cancers</w:t>
      </w:r>
    </w:p>
    <w:p w14:paraId="028B6E93" w14:textId="165DA4CA" w:rsidR="005008F9" w:rsidRDefault="00AF3A8D" w:rsidP="003258A6">
      <w:pPr>
        <w:pStyle w:val="ListParagraph"/>
        <w:numPr>
          <w:ilvl w:val="0"/>
          <w:numId w:val="8"/>
        </w:numPr>
        <w:rPr>
          <w:sz w:val="24"/>
          <w:szCs w:val="24"/>
        </w:rPr>
      </w:pPr>
      <w:r>
        <w:rPr>
          <w:sz w:val="24"/>
          <w:szCs w:val="24"/>
        </w:rPr>
        <w:t>c</w:t>
      </w:r>
      <w:r w:rsidR="005008F9">
        <w:rPr>
          <w:sz w:val="24"/>
          <w:szCs w:val="24"/>
        </w:rPr>
        <w:t>ancer management decisions may change</w:t>
      </w:r>
    </w:p>
    <w:p w14:paraId="3A1DA650" w14:textId="6BF69A44" w:rsidR="005008F9" w:rsidRPr="007B13AA" w:rsidRDefault="00AF3A8D" w:rsidP="003258A6">
      <w:pPr>
        <w:pStyle w:val="ListParagraph"/>
        <w:numPr>
          <w:ilvl w:val="0"/>
          <w:numId w:val="8"/>
        </w:numPr>
        <w:rPr>
          <w:sz w:val="24"/>
          <w:szCs w:val="24"/>
        </w:rPr>
      </w:pPr>
      <w:r>
        <w:rPr>
          <w:sz w:val="24"/>
          <w:szCs w:val="24"/>
        </w:rPr>
        <w:t>t</w:t>
      </w:r>
      <w:r w:rsidR="005008F9">
        <w:rPr>
          <w:sz w:val="24"/>
          <w:szCs w:val="24"/>
        </w:rPr>
        <w:t>here are options for early detection/cancer prevention</w:t>
      </w:r>
    </w:p>
    <w:p w14:paraId="02D14EF5" w14:textId="5FA4A6FE" w:rsidR="005008F9" w:rsidRPr="00AF3A8D" w:rsidRDefault="00AF3A8D" w:rsidP="003258A6">
      <w:pPr>
        <w:pStyle w:val="ListParagraph"/>
        <w:numPr>
          <w:ilvl w:val="0"/>
          <w:numId w:val="8"/>
        </w:numPr>
        <w:rPr>
          <w:sz w:val="24"/>
          <w:szCs w:val="24"/>
        </w:rPr>
      </w:pPr>
      <w:r>
        <w:rPr>
          <w:sz w:val="24"/>
          <w:szCs w:val="24"/>
        </w:rPr>
        <w:t>a</w:t>
      </w:r>
      <w:r w:rsidR="005008F9">
        <w:rPr>
          <w:sz w:val="24"/>
          <w:szCs w:val="24"/>
        </w:rPr>
        <w:t xml:space="preserve">dult </w:t>
      </w:r>
      <w:r w:rsidR="005008F9" w:rsidRPr="007B13AA">
        <w:rPr>
          <w:sz w:val="24"/>
          <w:szCs w:val="24"/>
        </w:rPr>
        <w:t xml:space="preserve">family members of the individual </w:t>
      </w:r>
      <w:r w:rsidR="005008F9">
        <w:rPr>
          <w:sz w:val="24"/>
          <w:szCs w:val="24"/>
        </w:rPr>
        <w:t>may be</w:t>
      </w:r>
      <w:r w:rsidR="005008F9" w:rsidRPr="007B13AA">
        <w:rPr>
          <w:sz w:val="24"/>
          <w:szCs w:val="24"/>
        </w:rPr>
        <w:t xml:space="preserve"> at increased risk of developing cancer</w:t>
      </w:r>
      <w:r w:rsidR="005008F9">
        <w:rPr>
          <w:sz w:val="24"/>
          <w:szCs w:val="24"/>
        </w:rPr>
        <w:t xml:space="preserve"> and require referral to a family cancer clinic to consider predictive genetic testing</w:t>
      </w:r>
    </w:p>
    <w:p w14:paraId="32CEC3B4" w14:textId="113C675E" w:rsidR="005008F9" w:rsidRDefault="00AF3A8D" w:rsidP="003258A6">
      <w:pPr>
        <w:pStyle w:val="ListParagraph"/>
        <w:numPr>
          <w:ilvl w:val="0"/>
          <w:numId w:val="8"/>
        </w:numPr>
        <w:rPr>
          <w:sz w:val="24"/>
          <w:szCs w:val="24"/>
        </w:rPr>
      </w:pPr>
      <w:r>
        <w:rPr>
          <w:sz w:val="24"/>
          <w:szCs w:val="24"/>
        </w:rPr>
        <w:t>t</w:t>
      </w:r>
      <w:r w:rsidR="005008F9">
        <w:rPr>
          <w:sz w:val="24"/>
          <w:szCs w:val="24"/>
        </w:rPr>
        <w:t>here may be psychosocial implications</w:t>
      </w:r>
    </w:p>
    <w:p w14:paraId="41369ACC" w14:textId="67D1886C" w:rsidR="005008F9" w:rsidRDefault="00AF3A8D" w:rsidP="003258A6">
      <w:pPr>
        <w:pStyle w:val="ListParagraph"/>
        <w:numPr>
          <w:ilvl w:val="0"/>
          <w:numId w:val="8"/>
        </w:numPr>
        <w:rPr>
          <w:sz w:val="24"/>
          <w:szCs w:val="24"/>
        </w:rPr>
      </w:pPr>
      <w:r>
        <w:rPr>
          <w:sz w:val="24"/>
          <w:szCs w:val="24"/>
        </w:rPr>
        <w:t>t</w:t>
      </w:r>
      <w:r w:rsidR="005008F9">
        <w:rPr>
          <w:sz w:val="24"/>
          <w:szCs w:val="24"/>
        </w:rPr>
        <w:t>here may be insurance implications</w:t>
      </w:r>
    </w:p>
    <w:p w14:paraId="66DD5CBF" w14:textId="75D71E48" w:rsidR="005008F9" w:rsidRPr="007B13AA" w:rsidRDefault="00AF3A8D" w:rsidP="003258A6">
      <w:pPr>
        <w:pStyle w:val="ListParagraph"/>
        <w:numPr>
          <w:ilvl w:val="0"/>
          <w:numId w:val="8"/>
        </w:numPr>
        <w:rPr>
          <w:sz w:val="24"/>
          <w:szCs w:val="24"/>
        </w:rPr>
      </w:pPr>
      <w:r>
        <w:rPr>
          <w:sz w:val="24"/>
          <w:szCs w:val="24"/>
        </w:rPr>
        <w:t>t</w:t>
      </w:r>
      <w:r w:rsidR="005008F9">
        <w:rPr>
          <w:sz w:val="24"/>
          <w:szCs w:val="24"/>
        </w:rPr>
        <w:t>here may be family planning implications</w:t>
      </w:r>
      <w:r>
        <w:rPr>
          <w:sz w:val="24"/>
          <w:szCs w:val="24"/>
        </w:rPr>
        <w:t>.</w:t>
      </w:r>
    </w:p>
    <w:p w14:paraId="492018D1" w14:textId="70038254" w:rsidR="00B43FA3" w:rsidRPr="007B13AA" w:rsidRDefault="00B43FA3" w:rsidP="00B43FA3">
      <w:pPr>
        <w:ind w:left="709"/>
        <w:rPr>
          <w:sz w:val="24"/>
          <w:szCs w:val="24"/>
        </w:rPr>
      </w:pPr>
      <w:r w:rsidRPr="007B13AA">
        <w:rPr>
          <w:i/>
          <w:sz w:val="24"/>
          <w:szCs w:val="24"/>
        </w:rPr>
        <w:t>If not required, brief explanation of why not:</w:t>
      </w:r>
      <w:r w:rsidRPr="007B13AA">
        <w:rPr>
          <w:sz w:val="24"/>
          <w:szCs w:val="24"/>
        </w:rPr>
        <w:t xml:space="preserve"> </w:t>
      </w:r>
      <w:r w:rsidR="00A1558D" w:rsidRPr="007B13AA">
        <w:rPr>
          <w:sz w:val="24"/>
          <w:szCs w:val="24"/>
        </w:rPr>
        <w:t>not applicable.</w:t>
      </w:r>
    </w:p>
    <w:p w14:paraId="542C40E7" w14:textId="656DEF52" w:rsidR="0072055B" w:rsidRPr="007B13AA" w:rsidRDefault="00F80F8B" w:rsidP="00F80F8B">
      <w:pPr>
        <w:rPr>
          <w:sz w:val="24"/>
          <w:szCs w:val="24"/>
        </w:rPr>
      </w:pPr>
      <w:r w:rsidRPr="007B13AA">
        <w:rPr>
          <w:sz w:val="24"/>
          <w:szCs w:val="24"/>
        </w:rPr>
        <w:t xml:space="preserve">B. </w:t>
      </w:r>
      <w:r w:rsidRPr="007B13AA">
        <w:rPr>
          <w:i/>
          <w:sz w:val="24"/>
          <w:szCs w:val="24"/>
        </w:rPr>
        <w:t>in event of a negative test result:</w:t>
      </w:r>
      <w:r w:rsidRPr="007B13AA">
        <w:rPr>
          <w:sz w:val="24"/>
          <w:szCs w:val="24"/>
        </w:rPr>
        <w:t xml:space="preserve"> not required.</w:t>
      </w:r>
    </w:p>
    <w:p w14:paraId="33E6D3BF" w14:textId="3FC4F63B" w:rsidR="00B43FA3" w:rsidRPr="007B13AA" w:rsidRDefault="00B43FA3" w:rsidP="00B43FA3">
      <w:pPr>
        <w:ind w:left="709"/>
        <w:rPr>
          <w:sz w:val="24"/>
          <w:szCs w:val="24"/>
        </w:rPr>
      </w:pPr>
      <w:r w:rsidRPr="007B13AA">
        <w:rPr>
          <w:i/>
          <w:sz w:val="24"/>
          <w:szCs w:val="24"/>
        </w:rPr>
        <w:t xml:space="preserve">If required, nature of counselling </w:t>
      </w:r>
      <w:r w:rsidR="008725C2" w:rsidRPr="007B13AA">
        <w:rPr>
          <w:i/>
          <w:sz w:val="24"/>
          <w:szCs w:val="24"/>
        </w:rPr>
        <w:t xml:space="preserve">or information </w:t>
      </w:r>
      <w:r w:rsidRPr="007B13AA">
        <w:rPr>
          <w:i/>
          <w:sz w:val="24"/>
          <w:szCs w:val="24"/>
        </w:rPr>
        <w:t>to be provided:</w:t>
      </w:r>
      <w:r w:rsidRPr="007B13AA">
        <w:rPr>
          <w:sz w:val="24"/>
          <w:szCs w:val="24"/>
        </w:rPr>
        <w:t xml:space="preserve"> </w:t>
      </w:r>
      <w:r w:rsidR="00A1558D" w:rsidRPr="007B13AA">
        <w:rPr>
          <w:sz w:val="24"/>
          <w:szCs w:val="24"/>
        </w:rPr>
        <w:t>not applicable.</w:t>
      </w:r>
    </w:p>
    <w:p w14:paraId="45FEE44A" w14:textId="16008A11" w:rsidR="005008F9" w:rsidRDefault="00B43FA3" w:rsidP="000C32C9">
      <w:pPr>
        <w:ind w:left="709"/>
        <w:rPr>
          <w:sz w:val="24"/>
          <w:szCs w:val="24"/>
        </w:rPr>
      </w:pPr>
      <w:r w:rsidRPr="007B13AA">
        <w:rPr>
          <w:i/>
          <w:sz w:val="24"/>
          <w:szCs w:val="24"/>
        </w:rPr>
        <w:t>If not required, brief explanation of why not:</w:t>
      </w:r>
      <w:r w:rsidRPr="007B13AA">
        <w:rPr>
          <w:sz w:val="24"/>
          <w:szCs w:val="24"/>
        </w:rPr>
        <w:t xml:space="preserve"> </w:t>
      </w:r>
    </w:p>
    <w:p w14:paraId="45830F5B" w14:textId="7DF7A6E6" w:rsidR="0072055B" w:rsidRPr="005008F9" w:rsidRDefault="005008F9" w:rsidP="000C32C9">
      <w:pPr>
        <w:ind w:left="709"/>
        <w:rPr>
          <w:sz w:val="24"/>
          <w:szCs w:val="24"/>
        </w:rPr>
      </w:pPr>
      <w:r w:rsidRPr="00AF3A8D">
        <w:rPr>
          <w:sz w:val="24"/>
          <w:szCs w:val="24"/>
        </w:rPr>
        <w:t>If an individual tests negative for a know</w:t>
      </w:r>
      <w:r>
        <w:rPr>
          <w:sz w:val="24"/>
          <w:szCs w:val="24"/>
        </w:rPr>
        <w:t>n</w:t>
      </w:r>
      <w:r w:rsidRPr="00AF3A8D">
        <w:rPr>
          <w:sz w:val="24"/>
          <w:szCs w:val="24"/>
        </w:rPr>
        <w:t xml:space="preserve"> cancer associated gene mutation,</w:t>
      </w:r>
      <w:r w:rsidRPr="00BD1F73">
        <w:rPr>
          <w:sz w:val="24"/>
          <w:szCs w:val="24"/>
        </w:rPr>
        <w:t xml:space="preserve"> they and their off</w:t>
      </w:r>
      <w:r w:rsidRPr="00AF3A8D">
        <w:rPr>
          <w:sz w:val="24"/>
          <w:szCs w:val="24"/>
        </w:rPr>
        <w:t xml:space="preserve">spring revert to </w:t>
      </w:r>
      <w:r w:rsidR="00AF3A8D">
        <w:rPr>
          <w:sz w:val="24"/>
          <w:szCs w:val="24"/>
        </w:rPr>
        <w:t xml:space="preserve">the background </w:t>
      </w:r>
      <w:r w:rsidRPr="00AF3A8D">
        <w:rPr>
          <w:sz w:val="24"/>
          <w:szCs w:val="24"/>
        </w:rPr>
        <w:t>population risk for the involved cancers unless there is further fami</w:t>
      </w:r>
      <w:r w:rsidR="00BD1F73" w:rsidRPr="00BD1F73">
        <w:rPr>
          <w:sz w:val="24"/>
          <w:szCs w:val="24"/>
        </w:rPr>
        <w:t xml:space="preserve">ly history (not accounted for </w:t>
      </w:r>
      <w:r w:rsidRPr="00AF3A8D">
        <w:rPr>
          <w:sz w:val="24"/>
          <w:szCs w:val="24"/>
        </w:rPr>
        <w:t>by the gene mutation)</w:t>
      </w:r>
      <w:r w:rsidR="00AF3A8D">
        <w:rPr>
          <w:sz w:val="24"/>
          <w:szCs w:val="24"/>
        </w:rPr>
        <w:t>,</w:t>
      </w:r>
      <w:r w:rsidRPr="00AF3A8D">
        <w:rPr>
          <w:sz w:val="24"/>
          <w:szCs w:val="24"/>
        </w:rPr>
        <w:t xml:space="preserve"> or unless there are </w:t>
      </w:r>
      <w:r w:rsidR="00BD1F73">
        <w:rPr>
          <w:sz w:val="24"/>
          <w:szCs w:val="24"/>
        </w:rPr>
        <w:t xml:space="preserve">other </w:t>
      </w:r>
      <w:r w:rsidR="00BD1F73" w:rsidRPr="00BD1F73">
        <w:rPr>
          <w:sz w:val="24"/>
          <w:szCs w:val="24"/>
        </w:rPr>
        <w:t>non-genetic</w:t>
      </w:r>
      <w:r w:rsidRPr="00AF3A8D">
        <w:rPr>
          <w:sz w:val="24"/>
          <w:szCs w:val="24"/>
        </w:rPr>
        <w:t xml:space="preserve"> risk factors</w:t>
      </w:r>
      <w:r w:rsidR="00AF3A8D">
        <w:rPr>
          <w:sz w:val="24"/>
          <w:szCs w:val="24"/>
        </w:rPr>
        <w:t>.</w:t>
      </w:r>
      <w:r w:rsidR="0072055B" w:rsidRPr="005008F9">
        <w:rPr>
          <w:sz w:val="24"/>
          <w:szCs w:val="24"/>
        </w:rPr>
        <w:br w:type="page"/>
      </w:r>
    </w:p>
    <w:p w14:paraId="4FF0E57B" w14:textId="18A4E7B8" w:rsidR="0072055B" w:rsidRPr="007B13AA" w:rsidRDefault="0072055B" w:rsidP="003258A6">
      <w:pPr>
        <w:pStyle w:val="Heading1"/>
        <w:numPr>
          <w:ilvl w:val="0"/>
          <w:numId w:val="16"/>
        </w:numPr>
      </w:pPr>
      <w:r w:rsidRPr="007B13AA">
        <w:lastRenderedPageBreak/>
        <w:t xml:space="preserve">DESCRIPTION OF </w:t>
      </w:r>
      <w:r w:rsidR="004E019E" w:rsidRPr="007B13AA">
        <w:t xml:space="preserve">GENETIC </w:t>
      </w:r>
      <w:r w:rsidRPr="007B13AA">
        <w:t xml:space="preserve">TESTING FOR BREAST </w:t>
      </w:r>
      <w:r w:rsidR="000430B7" w:rsidRPr="007B13AA">
        <w:t xml:space="preserve">AND/OR OVARIAN </w:t>
      </w:r>
      <w:r w:rsidRPr="007B13AA">
        <w:t>CANCER</w:t>
      </w:r>
    </w:p>
    <w:p w14:paraId="67A08E33" w14:textId="542DCE6F" w:rsidR="0072055B" w:rsidRPr="007B13AA" w:rsidRDefault="006F19B7" w:rsidP="00BE0F9E">
      <w:pPr>
        <w:pStyle w:val="Heading2"/>
        <w:numPr>
          <w:ilvl w:val="0"/>
          <w:numId w:val="0"/>
        </w:numPr>
      </w:pPr>
      <w:r>
        <w:t>5.1</w:t>
      </w:r>
      <w:r>
        <w:tab/>
      </w:r>
      <w:r w:rsidR="0072055B" w:rsidRPr="007B13AA">
        <w:t xml:space="preserve">Proposed description of testing for differential </w:t>
      </w:r>
      <w:r w:rsidR="004E019E" w:rsidRPr="007B13AA">
        <w:t xml:space="preserve">genetic </w:t>
      </w:r>
      <w:r w:rsidR="0072055B" w:rsidRPr="007B13AA">
        <w:t>diagnosis</w:t>
      </w:r>
    </w:p>
    <w:p w14:paraId="157C37A9" w14:textId="77777777" w:rsidR="0072055B" w:rsidRPr="007B13AA" w:rsidRDefault="0072055B" w:rsidP="0072055B">
      <w:pPr>
        <w:rPr>
          <w:sz w:val="24"/>
          <w:szCs w:val="24"/>
        </w:rPr>
      </w:pPr>
      <w:r w:rsidRPr="007B13AA">
        <w:rPr>
          <w:i/>
          <w:sz w:val="24"/>
          <w:szCs w:val="24"/>
        </w:rPr>
        <w:t>Describe the mutational spectrum in terms of the frequency and nature of the aberrations (such as deletions and copy number variations) that occur within the target genes listed in 1.3 in order to justify the nature and range of the proposed testing needed both to detect any relevant mutations and also to validate their detection.</w:t>
      </w:r>
    </w:p>
    <w:p w14:paraId="1EA0DFE4" w14:textId="77777777" w:rsidR="006F19B7" w:rsidRPr="006F19B7" w:rsidRDefault="0072055B" w:rsidP="006F19B7">
      <w:pPr>
        <w:pStyle w:val="Heading3"/>
      </w:pPr>
      <w:r w:rsidRPr="006F19B7">
        <w:t xml:space="preserve">Genes with mutations frequently associated with a high </w:t>
      </w:r>
      <w:r w:rsidR="006F19B7" w:rsidRPr="006F19B7">
        <w:t>relative risk for breast cancer</w:t>
      </w:r>
    </w:p>
    <w:p w14:paraId="59700EE8" w14:textId="5054C1E7" w:rsidR="0072055B" w:rsidRPr="006F19B7" w:rsidRDefault="0072055B" w:rsidP="006F19B7">
      <w:pPr>
        <w:rPr>
          <w:sz w:val="24"/>
          <w:szCs w:val="24"/>
          <w:u w:val="single"/>
        </w:rPr>
      </w:pPr>
      <w:r w:rsidRPr="006F19B7">
        <w:rPr>
          <w:sz w:val="24"/>
          <w:szCs w:val="24"/>
          <w:u w:val="single"/>
        </w:rPr>
        <w:t>BRCA1 and BRCA2 (“star performers”)</w:t>
      </w:r>
    </w:p>
    <w:p w14:paraId="3AF8C32E" w14:textId="77777777" w:rsidR="0072055B" w:rsidRPr="007B13AA" w:rsidRDefault="0072055B" w:rsidP="0072055B">
      <w:pPr>
        <w:rPr>
          <w:sz w:val="24"/>
          <w:szCs w:val="24"/>
        </w:rPr>
      </w:pPr>
      <w:r w:rsidRPr="007B13AA">
        <w:rPr>
          <w:sz w:val="24"/>
          <w:szCs w:val="24"/>
        </w:rPr>
        <w:t>BRCA1 and BRCA1 are the “star performers” in relation to determining the heritable risk of developing breast cancer with well over 2000 mutations distributed over the entire coding regions of the two genes having been identified. The vast majority (&gt;40%) of class 5 (pathogenic) mutations reported in the Human Genome Mutations Database (HGMD) database are small deletions, insertions and indels that result in a shift in the reading frame and premature truncation of the BRCA1 or BRCA2 proteins followed by nonsense substitutions that again result in premature truncation of the BRCA1 or BRCA2 proteins. There is one reported example of a BRCA2 protein truncating mutation, p.Lys3326Ter that is considered a polymorphic variant with low relative risk (1.4) due likely, to its position at the 3’ end of the gene, for breast cancer however, the majority of BRCA1 and BRCA2 protein truncating mutations are considered to be associated with a high relative risk. Mutations that alter the splicing of BRCA1 or BRCA2 and which usually occur at the invariant splice donor or acceptor, or at highly conserved sequences within ~5 bases of an exon boundary constitute another 9% of mutations. A small number of mutations that affect splicing and are more remote to an exon boundary have also been associated with breast cancer development. Approximately 10% of reported mutations in BRCA1 (8%) and BRCA2 (1.8%) involve larger rearrangements such as deletions or insertions of exons or multiple exons which remain largely undetected by common sequencing strategies. Missense mutations in BRCA1 and BRCA2 account for approximately 30% of all detected variants and are the most challenging in terms of classifying their associated risk for the development of breast cancer.</w:t>
      </w:r>
    </w:p>
    <w:p w14:paraId="7464A0F0" w14:textId="7C6A97C2" w:rsidR="0072055B" w:rsidRPr="007B13AA" w:rsidRDefault="00BF48D5" w:rsidP="0072055B">
      <w:pPr>
        <w:rPr>
          <w:sz w:val="24"/>
          <w:szCs w:val="24"/>
        </w:rPr>
      </w:pPr>
      <w:r w:rsidRPr="007B13AA">
        <w:rPr>
          <w:sz w:val="24"/>
          <w:szCs w:val="24"/>
        </w:rPr>
        <w:t>Mutations in g</w:t>
      </w:r>
      <w:r w:rsidR="0072055B" w:rsidRPr="007B13AA">
        <w:rPr>
          <w:sz w:val="24"/>
          <w:szCs w:val="24"/>
        </w:rPr>
        <w:t xml:space="preserve">enes other than BRCA1 and BRCA2 listed in </w:t>
      </w:r>
      <w:r w:rsidRPr="007B13AA">
        <w:rPr>
          <w:sz w:val="24"/>
          <w:szCs w:val="24"/>
        </w:rPr>
        <w:t>Sub</w:t>
      </w:r>
      <w:r w:rsidR="0072055B" w:rsidRPr="007B13AA">
        <w:rPr>
          <w:sz w:val="24"/>
          <w:szCs w:val="24"/>
        </w:rPr>
        <w:t xml:space="preserve">section </w:t>
      </w:r>
      <w:r w:rsidRPr="007B13AA">
        <w:rPr>
          <w:sz w:val="24"/>
          <w:szCs w:val="24"/>
        </w:rPr>
        <w:t>1.</w:t>
      </w:r>
      <w:r w:rsidR="0072055B" w:rsidRPr="007B13AA">
        <w:rPr>
          <w:sz w:val="24"/>
          <w:szCs w:val="24"/>
        </w:rPr>
        <w:t>3, whilst associated with significantly increased risk of developing breast cancer, occur at much lower frequency within high risk breast cancer families and are sometimes associated with other syndromic features suggestive of a particular gene involvement. The mutation spectrum across these genes in terms of breast cancer risk is variable therefore a number of key points will be made about selected specific genes.</w:t>
      </w:r>
    </w:p>
    <w:p w14:paraId="7A5A0691" w14:textId="77777777" w:rsidR="00BE0F9E" w:rsidRDefault="00BE0F9E">
      <w:pPr>
        <w:rPr>
          <w:rStyle w:val="Heading3Char"/>
        </w:rPr>
      </w:pPr>
      <w:r>
        <w:rPr>
          <w:rStyle w:val="Heading3Char"/>
        </w:rPr>
        <w:br w:type="page"/>
      </w:r>
    </w:p>
    <w:p w14:paraId="2696558D" w14:textId="77777777" w:rsidR="00BE0F9E" w:rsidRDefault="0072055B" w:rsidP="00BE0F9E">
      <w:pPr>
        <w:pStyle w:val="Heading3"/>
      </w:pPr>
      <w:r w:rsidRPr="006F19B7">
        <w:rPr>
          <w:rStyle w:val="Heading3Char"/>
        </w:rPr>
        <w:lastRenderedPageBreak/>
        <w:t>Genes with mutations infrequently associated with a moderate-high relative risk for breast</w:t>
      </w:r>
      <w:r w:rsidR="00BE0F9E">
        <w:rPr>
          <w:rStyle w:val="Heading3Char"/>
        </w:rPr>
        <w:t xml:space="preserve"> </w:t>
      </w:r>
      <w:r w:rsidR="00BE0F9E">
        <w:t>cancer</w:t>
      </w:r>
    </w:p>
    <w:p w14:paraId="537F003C" w14:textId="705CD5FD" w:rsidR="0072055B" w:rsidRPr="00BE0F9E" w:rsidRDefault="0072055B" w:rsidP="00BE0F9E">
      <w:pPr>
        <w:rPr>
          <w:sz w:val="24"/>
          <w:szCs w:val="24"/>
          <w:u w:val="single"/>
        </w:rPr>
      </w:pPr>
      <w:r w:rsidRPr="00BE0F9E">
        <w:rPr>
          <w:sz w:val="24"/>
          <w:szCs w:val="24"/>
          <w:u w:val="single"/>
        </w:rPr>
        <w:t>PALB2 and CHEK2</w:t>
      </w:r>
    </w:p>
    <w:p w14:paraId="4A38F11C" w14:textId="77777777" w:rsidR="0072055B" w:rsidRPr="007B13AA" w:rsidRDefault="0072055B" w:rsidP="0072055B">
      <w:pPr>
        <w:rPr>
          <w:sz w:val="24"/>
          <w:szCs w:val="24"/>
        </w:rPr>
      </w:pPr>
      <w:r w:rsidRPr="007B13AA">
        <w:rPr>
          <w:sz w:val="24"/>
          <w:szCs w:val="24"/>
        </w:rPr>
        <w:t xml:space="preserve">Mutations in the </w:t>
      </w:r>
      <w:r w:rsidRPr="007B13AA">
        <w:rPr>
          <w:b/>
          <w:sz w:val="24"/>
          <w:szCs w:val="24"/>
        </w:rPr>
        <w:t>PALB2</w:t>
      </w:r>
      <w:r w:rsidRPr="007B13AA">
        <w:rPr>
          <w:sz w:val="24"/>
          <w:szCs w:val="24"/>
        </w:rPr>
        <w:t xml:space="preserve"> gene have been reported to be associated with a relative risk of developing breast cancer of 5.3. While the relative risk for other PALB2 mutations is still under investigation, the PALB2:c.3113G&gt;A truncating mutation has been associated with a high estimated risk of breast cancer risk in Australian women from high risk breast and/or ovarian cancer families. Large rearrangements of the PALB2 gene represent 9% of all PALB2 mutations reported in HGMD and splice site mutations account for approximately 8%.</w:t>
      </w:r>
    </w:p>
    <w:p w14:paraId="0586ADEB" w14:textId="77777777" w:rsidR="0072055B" w:rsidRPr="007B13AA" w:rsidRDefault="0072055B" w:rsidP="0072055B">
      <w:pPr>
        <w:rPr>
          <w:sz w:val="24"/>
          <w:szCs w:val="24"/>
        </w:rPr>
      </w:pPr>
      <w:r w:rsidRPr="007B13AA">
        <w:rPr>
          <w:sz w:val="24"/>
          <w:szCs w:val="24"/>
        </w:rPr>
        <w:t xml:space="preserve">The 1100delC mutation is relatively common in the </w:t>
      </w:r>
      <w:r w:rsidRPr="007B13AA">
        <w:rPr>
          <w:b/>
          <w:sz w:val="24"/>
          <w:szCs w:val="24"/>
        </w:rPr>
        <w:t>CHEK2</w:t>
      </w:r>
      <w:r w:rsidRPr="007B13AA">
        <w:rPr>
          <w:sz w:val="24"/>
          <w:szCs w:val="24"/>
        </w:rPr>
        <w:t xml:space="preserve"> gene and has been associated with an increased relative risk of 3.0 for breast cancer however, the relative breast cancer risk associated with other mutations in the CHEK2 have not yet been established. Large rearrangements and splice site mutations represent 7% each of the CHEK2 mutations reported in HGMD.</w:t>
      </w:r>
    </w:p>
    <w:p w14:paraId="228B02EB" w14:textId="17802CBE" w:rsidR="00BE0F9E" w:rsidRDefault="0072055B" w:rsidP="00BE0F9E">
      <w:pPr>
        <w:pStyle w:val="Heading3"/>
      </w:pPr>
      <w:r w:rsidRPr="007B13AA">
        <w:t xml:space="preserve">Genes </w:t>
      </w:r>
      <w:r w:rsidR="00BF48D5" w:rsidRPr="007B13AA">
        <w:t>a</w:t>
      </w:r>
      <w:r w:rsidRPr="007B13AA">
        <w:t>ssociated with other heritable tumour syndrom</w:t>
      </w:r>
      <w:r w:rsidR="00BE0F9E">
        <w:t>es that have breast cancer as a feature</w:t>
      </w:r>
    </w:p>
    <w:p w14:paraId="1ACAD5AF" w14:textId="49FBB21C" w:rsidR="0072055B" w:rsidRPr="00BE0F9E" w:rsidRDefault="0072055B" w:rsidP="00BE0F9E">
      <w:pPr>
        <w:rPr>
          <w:sz w:val="24"/>
          <w:szCs w:val="24"/>
          <w:u w:val="single"/>
        </w:rPr>
      </w:pPr>
      <w:r w:rsidRPr="00BE0F9E">
        <w:rPr>
          <w:sz w:val="24"/>
          <w:szCs w:val="24"/>
          <w:u w:val="single"/>
        </w:rPr>
        <w:t>Tp53, PTEN, STK11 and CDH1</w:t>
      </w:r>
    </w:p>
    <w:p w14:paraId="72744EB9" w14:textId="77777777" w:rsidR="0072055B" w:rsidRPr="007B13AA" w:rsidRDefault="0072055B" w:rsidP="0072055B">
      <w:pPr>
        <w:rPr>
          <w:sz w:val="24"/>
          <w:szCs w:val="24"/>
        </w:rPr>
      </w:pPr>
      <w:r w:rsidRPr="007B13AA">
        <w:rPr>
          <w:sz w:val="24"/>
          <w:szCs w:val="24"/>
        </w:rPr>
        <w:t>Note that ascertainment bias makes estimating the frequency of mutations in these genes outside of their specific syndromes difficult.</w:t>
      </w:r>
    </w:p>
    <w:p w14:paraId="72FCF93A" w14:textId="77777777" w:rsidR="0072055B" w:rsidRPr="007B13AA" w:rsidRDefault="0072055B" w:rsidP="0072055B">
      <w:pPr>
        <w:rPr>
          <w:sz w:val="24"/>
          <w:szCs w:val="24"/>
        </w:rPr>
      </w:pPr>
      <w:r w:rsidRPr="007B13AA">
        <w:rPr>
          <w:sz w:val="24"/>
          <w:szCs w:val="24"/>
        </w:rPr>
        <w:t xml:space="preserve">Mutations in </w:t>
      </w:r>
      <w:r w:rsidRPr="007B13AA">
        <w:rPr>
          <w:b/>
          <w:sz w:val="24"/>
          <w:szCs w:val="24"/>
        </w:rPr>
        <w:t>Tp53</w:t>
      </w:r>
      <w:r w:rsidRPr="007B13AA">
        <w:rPr>
          <w:sz w:val="24"/>
          <w:szCs w:val="24"/>
        </w:rPr>
        <w:t xml:space="preserve"> are typically associated with the Li Fraumeni syndrome which has breast cancer as a feature and HGMD indicates that 12% of reported Tp53 mutations are associated with a breast cancer phenotype. Large rearrangements and splice mutations comprise 4% and 11% of all reported Tp53 mutations in this database, respectively.</w:t>
      </w:r>
    </w:p>
    <w:p w14:paraId="6DF2272B" w14:textId="77777777" w:rsidR="0072055B" w:rsidRPr="007B13AA" w:rsidRDefault="0072055B" w:rsidP="0072055B">
      <w:pPr>
        <w:rPr>
          <w:sz w:val="24"/>
          <w:szCs w:val="24"/>
        </w:rPr>
      </w:pPr>
      <w:r w:rsidRPr="007B13AA">
        <w:rPr>
          <w:sz w:val="24"/>
          <w:szCs w:val="24"/>
        </w:rPr>
        <w:t xml:space="preserve">Mutations in the </w:t>
      </w:r>
      <w:r w:rsidRPr="007B13AA">
        <w:rPr>
          <w:b/>
          <w:sz w:val="24"/>
          <w:szCs w:val="24"/>
        </w:rPr>
        <w:t>PTEN</w:t>
      </w:r>
      <w:r w:rsidRPr="007B13AA">
        <w:rPr>
          <w:sz w:val="24"/>
          <w:szCs w:val="24"/>
        </w:rPr>
        <w:t xml:space="preserve"> genes are associated with Cowden syndrome which includes breast cancer in its clinical phenotype and HGMD indicates that 4% of reported PTEN mutations are associated with a breast cancer phenotype. Large rearrangements and splice site mutations account for 9% and 8% of all reported PTEN mutations in this database, respectively.</w:t>
      </w:r>
    </w:p>
    <w:p w14:paraId="7DD59B9F" w14:textId="77777777" w:rsidR="0072055B" w:rsidRPr="007B13AA" w:rsidRDefault="0072055B" w:rsidP="0072055B">
      <w:pPr>
        <w:rPr>
          <w:sz w:val="24"/>
          <w:szCs w:val="24"/>
        </w:rPr>
      </w:pPr>
      <w:r w:rsidRPr="007B13AA">
        <w:rPr>
          <w:sz w:val="24"/>
          <w:szCs w:val="24"/>
        </w:rPr>
        <w:t xml:space="preserve">Mutations in the </w:t>
      </w:r>
      <w:r w:rsidRPr="007B13AA">
        <w:rPr>
          <w:b/>
          <w:sz w:val="24"/>
          <w:szCs w:val="24"/>
        </w:rPr>
        <w:t>STK11</w:t>
      </w:r>
      <w:r w:rsidRPr="007B13AA">
        <w:rPr>
          <w:sz w:val="24"/>
          <w:szCs w:val="24"/>
        </w:rPr>
        <w:t xml:space="preserve"> gene are typically associated with Peutz Jeghers syndrome which confers an increased risk of developing breast cancer. However, HGMD indicates only 0.3% of STK11 mutations being associated with a breast or breast/ovarian cancer phenotype. Large rearrangements of the STK11 gene comprise 21% of all the STK11 mutations reported in HGMD and would be largely undetectable by common sequencing strategies. Therefore, assays designed to detect CNV (copy number variations) are likely to detect a significant number of clinically actionable mutations in this gene. Splice site mutations represent 10% of the total STK11 mutations reported in HGMD.</w:t>
      </w:r>
    </w:p>
    <w:p w14:paraId="06C01E79" w14:textId="77777777" w:rsidR="0072055B" w:rsidRPr="007B13AA" w:rsidRDefault="0072055B" w:rsidP="0072055B">
      <w:pPr>
        <w:rPr>
          <w:sz w:val="24"/>
          <w:szCs w:val="24"/>
        </w:rPr>
      </w:pPr>
      <w:r w:rsidRPr="007B13AA">
        <w:rPr>
          <w:sz w:val="24"/>
          <w:szCs w:val="24"/>
        </w:rPr>
        <w:t xml:space="preserve">Protein truncating mutations in the </w:t>
      </w:r>
      <w:r w:rsidRPr="007B13AA">
        <w:rPr>
          <w:b/>
          <w:sz w:val="24"/>
          <w:szCs w:val="24"/>
        </w:rPr>
        <w:t>CDH1</w:t>
      </w:r>
      <w:r w:rsidRPr="007B13AA">
        <w:rPr>
          <w:sz w:val="24"/>
          <w:szCs w:val="24"/>
        </w:rPr>
        <w:t xml:space="preserve"> gene are typically associated with diffuse gastric cancer, however 11% of CDH1 mutations reported in HGMD are associated with a breast </w:t>
      </w:r>
      <w:r w:rsidRPr="007B13AA">
        <w:rPr>
          <w:sz w:val="24"/>
          <w:szCs w:val="24"/>
        </w:rPr>
        <w:lastRenderedPageBreak/>
        <w:t>cancer phenotype. An increased relative risk of 6.6 for developing breast cancer, particularly the lobular subtype, due to harbouring a CDH1 truncating mutation, has been reported. Large deletions represent 6% of the CDH1 mutations reported in HGMD.</w:t>
      </w:r>
    </w:p>
    <w:p w14:paraId="135DB73D" w14:textId="77777777" w:rsidR="0072055B" w:rsidRPr="007B13AA" w:rsidRDefault="0072055B" w:rsidP="0072055B">
      <w:pPr>
        <w:rPr>
          <w:sz w:val="24"/>
          <w:szCs w:val="24"/>
        </w:rPr>
      </w:pPr>
      <w:r w:rsidRPr="007B13AA">
        <w:rPr>
          <w:i/>
          <w:sz w:val="24"/>
          <w:szCs w:val="24"/>
        </w:rPr>
        <w:t>What is the range of testing which therefore needs to be done, and what is the justification for this approach to testing? What samples are involved (eg cheek swabs, blood)?</w:t>
      </w:r>
    </w:p>
    <w:p w14:paraId="0D4B6A3E" w14:textId="77777777" w:rsidR="0072055B" w:rsidRPr="007B13AA" w:rsidRDefault="0072055B" w:rsidP="00BE0F9E">
      <w:pPr>
        <w:pStyle w:val="Heading3"/>
      </w:pPr>
      <w:r w:rsidRPr="007B13AA">
        <w:t>Range of testing required to determine heritable breast cancer predisposition risk</w:t>
      </w:r>
    </w:p>
    <w:p w14:paraId="21378027" w14:textId="542B70A8" w:rsidR="0072055B" w:rsidRPr="007B13AA" w:rsidRDefault="0072055B" w:rsidP="0072055B">
      <w:pPr>
        <w:rPr>
          <w:sz w:val="24"/>
          <w:szCs w:val="24"/>
        </w:rPr>
      </w:pPr>
      <w:r w:rsidRPr="007B13AA">
        <w:rPr>
          <w:sz w:val="24"/>
          <w:szCs w:val="24"/>
        </w:rPr>
        <w:t xml:space="preserve">The mutational spectrum described above for the genes listed in </w:t>
      </w:r>
      <w:r w:rsidR="00BF48D5" w:rsidRPr="007B13AA">
        <w:rPr>
          <w:sz w:val="24"/>
          <w:szCs w:val="24"/>
        </w:rPr>
        <w:t>Sub</w:t>
      </w:r>
      <w:r w:rsidRPr="007B13AA">
        <w:rPr>
          <w:sz w:val="24"/>
          <w:szCs w:val="24"/>
        </w:rPr>
        <w:t xml:space="preserve">section </w:t>
      </w:r>
      <w:r w:rsidR="00BF48D5" w:rsidRPr="007B13AA">
        <w:rPr>
          <w:sz w:val="24"/>
          <w:szCs w:val="24"/>
        </w:rPr>
        <w:t>1.</w:t>
      </w:r>
      <w:r w:rsidRPr="007B13AA">
        <w:rPr>
          <w:sz w:val="24"/>
          <w:szCs w:val="24"/>
        </w:rPr>
        <w:t>3 requires both sequencing and copy number assays to identify the majority of mutations likely to be identified in these genes. DNA sequencing performed by either Next generation or Sanger methodologies should be designed to ensure that all coding regions of BRCA1 and BRCA2, including exon/intron boundaries are interrogated with high sensitivity and specificity (&gt;95%). The minimum regions covered for the genes other than BRCA1 and BRCA2 comprise those regions of each gene that, if a mutation is identified, provides a moderate to high relative risk estimate for the development of hereditable breast cancer. Information currently available suggests that full gene screening for Tp53, PTEN, and STK11 should be performed however, as a minimum a targeted region in CHEK2 covering the 1100delC mutation may be appropriate. Presently, risk estimates for individual PALB2 mutations are not defined. However, data for specific truncating mutations such as PALB2:c.3113G&gt;A indicate high risk estimates and it is likely that other protein truncating mutations will exhibit similar risk estimates, warranting full gene screening.</w:t>
      </w:r>
    </w:p>
    <w:p w14:paraId="693C1169" w14:textId="77777777" w:rsidR="0072055B" w:rsidRPr="007B13AA" w:rsidRDefault="0072055B" w:rsidP="0072055B">
      <w:pPr>
        <w:rPr>
          <w:sz w:val="24"/>
          <w:szCs w:val="24"/>
        </w:rPr>
      </w:pPr>
      <w:r w:rsidRPr="007B13AA">
        <w:rPr>
          <w:sz w:val="24"/>
          <w:szCs w:val="24"/>
        </w:rPr>
        <w:t>Copy number assessment can be achieved by techniques such as MLPA or exon resolution microarray analysis and must cover the relevant minimal regions of each gene.</w:t>
      </w:r>
    </w:p>
    <w:p w14:paraId="4074E0A8" w14:textId="77777777" w:rsidR="0072055B" w:rsidRPr="007B13AA" w:rsidRDefault="0072055B" w:rsidP="00BE0F9E">
      <w:pPr>
        <w:pStyle w:val="Heading3"/>
      </w:pPr>
      <w:r w:rsidRPr="007B13AA">
        <w:t>Samples</w:t>
      </w:r>
    </w:p>
    <w:p w14:paraId="5EDB5C01" w14:textId="0028A239" w:rsidR="0072055B" w:rsidRPr="007B13AA" w:rsidRDefault="0072055B" w:rsidP="0072055B">
      <w:pPr>
        <w:rPr>
          <w:sz w:val="24"/>
          <w:szCs w:val="24"/>
        </w:rPr>
      </w:pPr>
      <w:r w:rsidRPr="007B13AA">
        <w:rPr>
          <w:sz w:val="24"/>
          <w:szCs w:val="24"/>
        </w:rPr>
        <w:t xml:space="preserve">The samples analysed are most commonly blood samples from affected individuals except in the case of cascade testing where duplicate and independent blood samples from affected and/or unaffected family members are submitted for specific analysis. In situations where a blood sample from an affected </w:t>
      </w:r>
      <w:r w:rsidR="00216C49" w:rsidRPr="007B13AA">
        <w:rPr>
          <w:sz w:val="24"/>
          <w:szCs w:val="24"/>
        </w:rPr>
        <w:t>individual in a high-</w:t>
      </w:r>
      <w:r w:rsidRPr="007B13AA">
        <w:rPr>
          <w:sz w:val="24"/>
          <w:szCs w:val="24"/>
        </w:rPr>
        <w:t>risk family is unavailable, tissue samples from deceased individuals may be provided.</w:t>
      </w:r>
    </w:p>
    <w:p w14:paraId="20657D70" w14:textId="77777777" w:rsidR="0072055B" w:rsidRPr="00BE0F9E" w:rsidRDefault="0072055B" w:rsidP="00BE0F9E">
      <w:pPr>
        <w:pStyle w:val="Heading2"/>
        <w:numPr>
          <w:ilvl w:val="1"/>
          <w:numId w:val="25"/>
        </w:numPr>
        <w:ind w:hanging="792"/>
      </w:pPr>
      <w:r w:rsidRPr="00BE0F9E">
        <w:t>Scale of gene analysis?</w:t>
      </w:r>
    </w:p>
    <w:p w14:paraId="7089FAD1" w14:textId="77777777" w:rsidR="0072055B" w:rsidRPr="007B13AA" w:rsidRDefault="0072055B" w:rsidP="0072055B">
      <w:pPr>
        <w:rPr>
          <w:sz w:val="24"/>
          <w:szCs w:val="24"/>
        </w:rPr>
      </w:pPr>
      <w:r w:rsidRPr="007B13AA">
        <w:rPr>
          <w:i/>
          <w:sz w:val="24"/>
          <w:szCs w:val="24"/>
        </w:rPr>
        <w:t>What is the scale of gene analysis? Select one or more from the following five categories:</w:t>
      </w:r>
    </w:p>
    <w:p w14:paraId="7868088D" w14:textId="77777777" w:rsidR="0072055B" w:rsidRPr="007B13AA" w:rsidRDefault="0072055B" w:rsidP="0072055B">
      <w:pPr>
        <w:rPr>
          <w:sz w:val="24"/>
          <w:szCs w:val="24"/>
        </w:rPr>
      </w:pPr>
      <w:r w:rsidRPr="007B13AA">
        <w:rPr>
          <w:sz w:val="24"/>
          <w:szCs w:val="24"/>
        </w:rPr>
        <w:t xml:space="preserve">A. </w:t>
      </w:r>
      <w:r w:rsidRPr="007B13AA">
        <w:rPr>
          <w:i/>
          <w:sz w:val="24"/>
          <w:szCs w:val="24"/>
        </w:rPr>
        <w:t>monogenic testing – limited mutation testing or whole gene testing</w:t>
      </w:r>
      <w:r w:rsidRPr="007B13AA">
        <w:rPr>
          <w:sz w:val="24"/>
          <w:szCs w:val="24"/>
        </w:rPr>
        <w:tab/>
      </w:r>
      <w:r w:rsidRPr="007B13AA">
        <w:rPr>
          <w:sz w:val="24"/>
          <w:szCs w:val="24"/>
        </w:rPr>
        <w:tab/>
        <w:t>yes</w:t>
      </w:r>
    </w:p>
    <w:p w14:paraId="4A1D0754" w14:textId="0A6F3827" w:rsidR="0072055B" w:rsidRPr="007B13AA" w:rsidRDefault="0072055B" w:rsidP="00561961">
      <w:pPr>
        <w:tabs>
          <w:tab w:val="left" w:pos="7938"/>
        </w:tabs>
        <w:rPr>
          <w:sz w:val="24"/>
          <w:szCs w:val="24"/>
        </w:rPr>
      </w:pPr>
      <w:r w:rsidRPr="007B13AA">
        <w:rPr>
          <w:sz w:val="24"/>
          <w:szCs w:val="24"/>
        </w:rPr>
        <w:t xml:space="preserve">B. </w:t>
      </w:r>
      <w:r w:rsidRPr="007B13AA">
        <w:rPr>
          <w:i/>
          <w:sz w:val="24"/>
          <w:szCs w:val="24"/>
        </w:rPr>
        <w:t>small gene panel – assaying 2 to ≤10 genes</w:t>
      </w:r>
      <w:r w:rsidR="00561961">
        <w:rPr>
          <w:i/>
          <w:sz w:val="24"/>
          <w:szCs w:val="24"/>
        </w:rPr>
        <w:tab/>
      </w:r>
      <w:r w:rsidRPr="007B13AA">
        <w:rPr>
          <w:sz w:val="24"/>
          <w:szCs w:val="24"/>
        </w:rPr>
        <w:t>yes</w:t>
      </w:r>
    </w:p>
    <w:p w14:paraId="56AEEFF7" w14:textId="76E231B9" w:rsidR="0072055B" w:rsidRPr="007B13AA" w:rsidRDefault="0072055B" w:rsidP="00B604D7">
      <w:pPr>
        <w:tabs>
          <w:tab w:val="left" w:pos="7938"/>
        </w:tabs>
        <w:rPr>
          <w:sz w:val="24"/>
          <w:szCs w:val="24"/>
        </w:rPr>
      </w:pPr>
      <w:r w:rsidRPr="007B13AA">
        <w:rPr>
          <w:sz w:val="24"/>
          <w:szCs w:val="24"/>
        </w:rPr>
        <w:t xml:space="preserve">C. </w:t>
      </w:r>
      <w:r w:rsidRPr="007B13AA">
        <w:rPr>
          <w:i/>
          <w:sz w:val="24"/>
          <w:szCs w:val="24"/>
        </w:rPr>
        <w:t>medium gene panel – assaying 11 to ≤200 genes</w:t>
      </w:r>
      <w:r w:rsidR="00B604D7">
        <w:rPr>
          <w:i/>
          <w:sz w:val="24"/>
          <w:szCs w:val="24"/>
        </w:rPr>
        <w:tab/>
      </w:r>
      <w:r w:rsidRPr="007B13AA">
        <w:rPr>
          <w:sz w:val="24"/>
          <w:szCs w:val="24"/>
        </w:rPr>
        <w:t>no</w:t>
      </w:r>
    </w:p>
    <w:p w14:paraId="1038B764" w14:textId="77777777" w:rsidR="0072055B" w:rsidRPr="007B13AA" w:rsidRDefault="0072055B" w:rsidP="0072055B">
      <w:pPr>
        <w:rPr>
          <w:sz w:val="24"/>
          <w:szCs w:val="24"/>
        </w:rPr>
      </w:pPr>
      <w:r w:rsidRPr="007B13AA">
        <w:rPr>
          <w:sz w:val="24"/>
          <w:szCs w:val="24"/>
        </w:rPr>
        <w:t xml:space="preserve">D. </w:t>
      </w:r>
      <w:r w:rsidRPr="007B13AA">
        <w:rPr>
          <w:i/>
          <w:sz w:val="24"/>
          <w:szCs w:val="24"/>
        </w:rPr>
        <w:t>large gene panel – assaying &gt;200 genes, but remaining sub-exome</w:t>
      </w:r>
      <w:r w:rsidRPr="007B13AA">
        <w:rPr>
          <w:sz w:val="24"/>
          <w:szCs w:val="24"/>
        </w:rPr>
        <w:tab/>
      </w:r>
      <w:r w:rsidRPr="007B13AA">
        <w:rPr>
          <w:sz w:val="24"/>
          <w:szCs w:val="24"/>
        </w:rPr>
        <w:tab/>
        <w:t>no</w:t>
      </w:r>
    </w:p>
    <w:p w14:paraId="6AE036F1" w14:textId="77777777" w:rsidR="0072055B" w:rsidRPr="007B13AA" w:rsidRDefault="0072055B" w:rsidP="0072055B">
      <w:pPr>
        <w:rPr>
          <w:sz w:val="24"/>
          <w:szCs w:val="24"/>
        </w:rPr>
      </w:pPr>
      <w:r w:rsidRPr="007B13AA">
        <w:rPr>
          <w:sz w:val="24"/>
          <w:szCs w:val="24"/>
        </w:rPr>
        <w:t xml:space="preserve">E. </w:t>
      </w:r>
      <w:r w:rsidRPr="007B13AA">
        <w:rPr>
          <w:i/>
          <w:sz w:val="24"/>
          <w:szCs w:val="24"/>
        </w:rPr>
        <w:t>non-targeted – whole exome sequencing or whole genome sequencing</w:t>
      </w:r>
      <w:r w:rsidRPr="007B13AA">
        <w:rPr>
          <w:sz w:val="24"/>
          <w:szCs w:val="24"/>
        </w:rPr>
        <w:tab/>
      </w:r>
      <w:r w:rsidRPr="007B13AA">
        <w:rPr>
          <w:sz w:val="24"/>
          <w:szCs w:val="24"/>
        </w:rPr>
        <w:tab/>
        <w:t>no</w:t>
      </w:r>
    </w:p>
    <w:p w14:paraId="36A89D8F" w14:textId="66CF6408" w:rsidR="0072055B" w:rsidRPr="007B13AA" w:rsidRDefault="0072055B" w:rsidP="0072055B">
      <w:pPr>
        <w:rPr>
          <w:sz w:val="24"/>
          <w:szCs w:val="24"/>
        </w:rPr>
      </w:pPr>
      <w:r w:rsidRPr="007B13AA">
        <w:rPr>
          <w:i/>
          <w:sz w:val="24"/>
          <w:szCs w:val="24"/>
        </w:rPr>
        <w:lastRenderedPageBreak/>
        <w:t xml:space="preserve">Provide responses to </w:t>
      </w:r>
      <w:r w:rsidR="00BF48D5" w:rsidRPr="007B13AA">
        <w:rPr>
          <w:i/>
          <w:sz w:val="24"/>
          <w:szCs w:val="24"/>
        </w:rPr>
        <w:t>Sub</w:t>
      </w:r>
      <w:r w:rsidRPr="007B13AA">
        <w:rPr>
          <w:i/>
          <w:sz w:val="24"/>
          <w:szCs w:val="24"/>
        </w:rPr>
        <w:t xml:space="preserve">sections </w:t>
      </w:r>
      <w:r w:rsidR="00BF48D5" w:rsidRPr="007B13AA">
        <w:rPr>
          <w:i/>
          <w:sz w:val="24"/>
          <w:szCs w:val="24"/>
        </w:rPr>
        <w:t>5</w:t>
      </w:r>
      <w:r w:rsidRPr="007B13AA">
        <w:rPr>
          <w:i/>
          <w:sz w:val="24"/>
          <w:szCs w:val="24"/>
        </w:rPr>
        <w:t xml:space="preserve">.3 to </w:t>
      </w:r>
      <w:r w:rsidR="00BF48D5" w:rsidRPr="007B13AA">
        <w:rPr>
          <w:i/>
          <w:sz w:val="24"/>
          <w:szCs w:val="24"/>
        </w:rPr>
        <w:t>5</w:t>
      </w:r>
      <w:r w:rsidRPr="007B13AA">
        <w:rPr>
          <w:i/>
          <w:sz w:val="24"/>
          <w:szCs w:val="24"/>
        </w:rPr>
        <w:t xml:space="preserve">.6 below consecutively for </w:t>
      </w:r>
      <w:r w:rsidRPr="007B13AA">
        <w:rPr>
          <w:i/>
          <w:sz w:val="24"/>
          <w:szCs w:val="24"/>
          <w:u w:val="single"/>
        </w:rPr>
        <w:t>each</w:t>
      </w:r>
      <w:r w:rsidRPr="007B13AA">
        <w:rPr>
          <w:i/>
          <w:sz w:val="24"/>
          <w:szCs w:val="24"/>
        </w:rPr>
        <w:t xml:space="preserve"> category selected above (A to E).</w:t>
      </w:r>
    </w:p>
    <w:p w14:paraId="7DB140E6" w14:textId="77777777" w:rsidR="0072055B" w:rsidRPr="007B13AA" w:rsidRDefault="0072055B" w:rsidP="000C32C9">
      <w:pPr>
        <w:keepNext/>
        <w:rPr>
          <w:b/>
          <w:sz w:val="24"/>
          <w:szCs w:val="24"/>
          <w:u w:val="single"/>
        </w:rPr>
      </w:pPr>
      <w:r w:rsidRPr="007B13AA">
        <w:rPr>
          <w:b/>
          <w:sz w:val="24"/>
          <w:szCs w:val="24"/>
          <w:u w:val="single"/>
        </w:rPr>
        <w:t>A. Monogenic testing</w:t>
      </w:r>
    </w:p>
    <w:p w14:paraId="1413C27A" w14:textId="77777777" w:rsidR="0072055B" w:rsidRPr="007B13AA" w:rsidRDefault="0072055B" w:rsidP="00BE0F9E">
      <w:pPr>
        <w:pStyle w:val="Heading2"/>
        <w:ind w:hanging="792"/>
      </w:pPr>
      <w:r w:rsidRPr="007B13AA">
        <w:t>Analytical validation of testing</w:t>
      </w:r>
    </w:p>
    <w:p w14:paraId="55186CCE" w14:textId="627A4A9C" w:rsidR="0072055B" w:rsidRPr="007B13AA" w:rsidRDefault="0072055B" w:rsidP="007A2377">
      <w:pPr>
        <w:tabs>
          <w:tab w:val="left" w:pos="7938"/>
        </w:tabs>
        <w:rPr>
          <w:sz w:val="24"/>
          <w:szCs w:val="24"/>
        </w:rPr>
      </w:pPr>
      <w:r w:rsidRPr="007B13AA">
        <w:rPr>
          <w:i/>
          <w:sz w:val="24"/>
          <w:szCs w:val="24"/>
        </w:rPr>
        <w:t>Is it possible?</w:t>
      </w:r>
      <w:r w:rsidR="007A2377">
        <w:rPr>
          <w:i/>
          <w:sz w:val="24"/>
          <w:szCs w:val="24"/>
        </w:rPr>
        <w:tab/>
      </w:r>
      <w:r w:rsidR="007A2377" w:rsidRPr="007B13AA">
        <w:rPr>
          <w:sz w:val="24"/>
          <w:szCs w:val="24"/>
        </w:rPr>
        <w:t xml:space="preserve"> </w:t>
      </w:r>
      <w:r w:rsidRPr="007B13AA">
        <w:rPr>
          <w:sz w:val="24"/>
          <w:szCs w:val="24"/>
        </w:rPr>
        <w:t>yes</w:t>
      </w:r>
    </w:p>
    <w:p w14:paraId="2512F44D" w14:textId="33F57E94" w:rsidR="0072055B" w:rsidRPr="007B13AA" w:rsidRDefault="0072055B" w:rsidP="0072055B">
      <w:pPr>
        <w:rPr>
          <w:sz w:val="24"/>
          <w:szCs w:val="24"/>
        </w:rPr>
      </w:pPr>
      <w:r w:rsidRPr="007B13AA">
        <w:rPr>
          <w:i/>
          <w:sz w:val="24"/>
          <w:szCs w:val="24"/>
        </w:rPr>
        <w:t>If yes, elaborate on what is required.</w:t>
      </w:r>
      <w:r w:rsidR="00EC42ED" w:rsidRPr="007B13AA">
        <w:rPr>
          <w:i/>
          <w:sz w:val="24"/>
          <w:szCs w:val="24"/>
        </w:rPr>
        <w:t xml:space="preserve"> If no, briefly explain why not.</w:t>
      </w:r>
    </w:p>
    <w:p w14:paraId="6333032A" w14:textId="77777777" w:rsidR="0072055B" w:rsidRPr="007B13AA" w:rsidRDefault="0072055B" w:rsidP="0072055B">
      <w:pPr>
        <w:rPr>
          <w:rFonts w:cstheme="majorHAnsi"/>
          <w:sz w:val="24"/>
          <w:szCs w:val="24"/>
        </w:rPr>
      </w:pPr>
      <w:r w:rsidRPr="007B13AA">
        <w:rPr>
          <w:rFonts w:cstheme="majorHAnsi"/>
          <w:sz w:val="24"/>
          <w:szCs w:val="24"/>
        </w:rPr>
        <w:t xml:space="preserve">The scope of the test would need to include comprehensive analysis for all described/possible DNA variants in any </w:t>
      </w:r>
      <w:r w:rsidRPr="007B13AA">
        <w:rPr>
          <w:rFonts w:cstheme="majorHAnsi"/>
          <w:i/>
          <w:sz w:val="24"/>
          <w:szCs w:val="24"/>
        </w:rPr>
        <w:t>single gene</w:t>
      </w:r>
      <w:r w:rsidRPr="007B13AA">
        <w:rPr>
          <w:rFonts w:cstheme="majorHAnsi"/>
          <w:sz w:val="24"/>
          <w:szCs w:val="24"/>
        </w:rPr>
        <w:t xml:space="preserve"> of the eight (8) listed genes. This would therefore necessarily include</w:t>
      </w:r>
    </w:p>
    <w:p w14:paraId="370D5041" w14:textId="77777777" w:rsidR="0072055B" w:rsidRPr="007B13AA" w:rsidRDefault="0072055B" w:rsidP="003258A6">
      <w:pPr>
        <w:pStyle w:val="ListParagraph"/>
        <w:numPr>
          <w:ilvl w:val="0"/>
          <w:numId w:val="2"/>
        </w:numPr>
        <w:rPr>
          <w:rFonts w:cstheme="majorHAnsi"/>
          <w:sz w:val="24"/>
          <w:szCs w:val="24"/>
        </w:rPr>
      </w:pPr>
      <w:r w:rsidRPr="007B13AA">
        <w:rPr>
          <w:rFonts w:cstheme="majorHAnsi"/>
          <w:sz w:val="24"/>
          <w:szCs w:val="24"/>
        </w:rPr>
        <w:t>Sequence level variants/changes and</w:t>
      </w:r>
    </w:p>
    <w:p w14:paraId="14CC99F8" w14:textId="77777777" w:rsidR="0072055B" w:rsidRPr="007B13AA" w:rsidRDefault="0072055B" w:rsidP="003258A6">
      <w:pPr>
        <w:pStyle w:val="ListParagraph"/>
        <w:numPr>
          <w:ilvl w:val="0"/>
          <w:numId w:val="2"/>
        </w:numPr>
        <w:rPr>
          <w:rFonts w:cstheme="majorHAnsi"/>
          <w:sz w:val="24"/>
          <w:szCs w:val="24"/>
        </w:rPr>
      </w:pPr>
      <w:r w:rsidRPr="007B13AA">
        <w:rPr>
          <w:rFonts w:cstheme="majorHAnsi"/>
          <w:sz w:val="24"/>
          <w:szCs w:val="24"/>
        </w:rPr>
        <w:t>DNA copy number variants/changes.</w:t>
      </w:r>
    </w:p>
    <w:p w14:paraId="083B7618" w14:textId="77777777" w:rsidR="0072055B" w:rsidRPr="007B13AA" w:rsidRDefault="0072055B" w:rsidP="0072055B">
      <w:pPr>
        <w:rPr>
          <w:rFonts w:cstheme="majorHAnsi"/>
          <w:sz w:val="24"/>
          <w:szCs w:val="24"/>
        </w:rPr>
      </w:pPr>
      <w:r w:rsidRPr="007B13AA">
        <w:rPr>
          <w:rFonts w:cstheme="majorHAnsi"/>
          <w:sz w:val="24"/>
          <w:szCs w:val="24"/>
        </w:rPr>
        <w:t>This would involve sequencing of all exons and intron/exon boundaries (two sequencing methodologies in potential current use – Sanger or massively parallel sequencing) for any single gene of the eight listed genes, in association with a method to detect copy number changes (two methods potentially in current use – MLPA and DNA microarrays). Future methods may incorporate sequencing and copy number change data into a single workflow/method.</w:t>
      </w:r>
    </w:p>
    <w:p w14:paraId="6C2E36A1" w14:textId="77777777" w:rsidR="0072055B" w:rsidRPr="007B13AA" w:rsidRDefault="0072055B" w:rsidP="00BE0F9E">
      <w:pPr>
        <w:pStyle w:val="Heading2"/>
        <w:ind w:hanging="792"/>
      </w:pPr>
      <w:r w:rsidRPr="007B13AA">
        <w:t>Need for any analytical confirmatory testing</w:t>
      </w:r>
    </w:p>
    <w:p w14:paraId="43F2BC5E" w14:textId="4DD6BF19" w:rsidR="0072055B" w:rsidRPr="007B13AA" w:rsidRDefault="0072055B" w:rsidP="00D36C50">
      <w:pPr>
        <w:tabs>
          <w:tab w:val="left" w:pos="7938"/>
        </w:tabs>
        <w:rPr>
          <w:sz w:val="24"/>
          <w:szCs w:val="24"/>
        </w:rPr>
      </w:pPr>
      <w:r w:rsidRPr="007B13AA">
        <w:rPr>
          <w:i/>
          <w:sz w:val="24"/>
          <w:szCs w:val="24"/>
        </w:rPr>
        <w:t>If a mutation is detected, is any further testing required to confirm its presence using an orthogonal method?</w:t>
      </w:r>
      <w:r w:rsidR="00D36C50">
        <w:rPr>
          <w:i/>
          <w:sz w:val="24"/>
          <w:szCs w:val="24"/>
        </w:rPr>
        <w:tab/>
      </w:r>
      <w:r w:rsidR="00D36C50" w:rsidRPr="007B13AA">
        <w:rPr>
          <w:sz w:val="24"/>
          <w:szCs w:val="24"/>
        </w:rPr>
        <w:t xml:space="preserve"> </w:t>
      </w:r>
      <w:r w:rsidRPr="007B13AA">
        <w:rPr>
          <w:sz w:val="24"/>
          <w:szCs w:val="24"/>
        </w:rPr>
        <w:t>yes</w:t>
      </w:r>
    </w:p>
    <w:p w14:paraId="523141FB" w14:textId="2492EF5D" w:rsidR="0072055B" w:rsidRPr="007B13AA" w:rsidRDefault="0072055B" w:rsidP="0072055B">
      <w:pPr>
        <w:rPr>
          <w:sz w:val="24"/>
          <w:szCs w:val="24"/>
        </w:rPr>
      </w:pPr>
      <w:r w:rsidRPr="007B13AA">
        <w:rPr>
          <w:i/>
          <w:sz w:val="24"/>
          <w:szCs w:val="24"/>
        </w:rPr>
        <w:t>If yes, identify the confirmatory assays required.</w:t>
      </w:r>
      <w:r w:rsidR="00EC42ED" w:rsidRPr="007B13AA">
        <w:rPr>
          <w:i/>
          <w:sz w:val="24"/>
          <w:szCs w:val="24"/>
        </w:rPr>
        <w:t xml:space="preserve"> If no, briefly explain why not.</w:t>
      </w:r>
    </w:p>
    <w:p w14:paraId="46BD203C" w14:textId="77777777" w:rsidR="0072055B" w:rsidRPr="007B13AA" w:rsidRDefault="0072055B" w:rsidP="0072055B">
      <w:pPr>
        <w:rPr>
          <w:sz w:val="24"/>
          <w:szCs w:val="24"/>
        </w:rPr>
      </w:pPr>
      <w:r w:rsidRPr="007B13AA">
        <w:rPr>
          <w:sz w:val="24"/>
          <w:szCs w:val="24"/>
        </w:rPr>
        <w:t>In some instances, additional analytical confirmatory testing would be required.</w:t>
      </w:r>
    </w:p>
    <w:p w14:paraId="608A86C5" w14:textId="77777777" w:rsidR="0072055B" w:rsidRPr="007B13AA" w:rsidRDefault="0072055B" w:rsidP="0072055B">
      <w:pPr>
        <w:rPr>
          <w:sz w:val="24"/>
          <w:szCs w:val="24"/>
        </w:rPr>
      </w:pPr>
      <w:r w:rsidRPr="007B13AA">
        <w:rPr>
          <w:sz w:val="24"/>
          <w:szCs w:val="24"/>
        </w:rPr>
        <w:t>Details are provided below:</w:t>
      </w:r>
    </w:p>
    <w:p w14:paraId="3D611FC3" w14:textId="77777777" w:rsidR="0072055B" w:rsidRPr="007B13AA" w:rsidRDefault="0072055B" w:rsidP="0072055B">
      <w:pPr>
        <w:rPr>
          <w:sz w:val="24"/>
          <w:szCs w:val="24"/>
        </w:rPr>
      </w:pPr>
      <w:r w:rsidRPr="007B13AA">
        <w:rPr>
          <w:sz w:val="24"/>
          <w:szCs w:val="24"/>
        </w:rPr>
        <w:t xml:space="preserve">Single gene testing performed by Sanger sequencing </w:t>
      </w:r>
      <w:r w:rsidRPr="007B13AA">
        <w:rPr>
          <w:b/>
          <w:sz w:val="24"/>
          <w:szCs w:val="24"/>
        </w:rPr>
        <w:t>does not require</w:t>
      </w:r>
      <w:r w:rsidRPr="007B13AA">
        <w:rPr>
          <w:sz w:val="24"/>
          <w:szCs w:val="24"/>
        </w:rPr>
        <w:t xml:space="preserve"> additional confirmatory testing of clinically relevant (actionable) mutations due to the degree of prior validation, and known performance characteristics of the Sanger sequencing methodology. However, confirmatory testing on a second sample from the tested individual prior to performing family cascade testing would constitute best laboratory practice in this situation.</w:t>
      </w:r>
    </w:p>
    <w:p w14:paraId="520C60C4" w14:textId="77777777" w:rsidR="0072055B" w:rsidRPr="007B13AA" w:rsidRDefault="0072055B" w:rsidP="0072055B">
      <w:pPr>
        <w:rPr>
          <w:sz w:val="24"/>
          <w:szCs w:val="24"/>
        </w:rPr>
      </w:pPr>
      <w:r w:rsidRPr="007B13AA">
        <w:rPr>
          <w:sz w:val="24"/>
          <w:szCs w:val="24"/>
        </w:rPr>
        <w:t xml:space="preserve">However, analytical confirmation of single exon deletions detected by a single MLPA probe </w:t>
      </w:r>
      <w:r w:rsidRPr="007B13AA">
        <w:rPr>
          <w:b/>
          <w:sz w:val="24"/>
          <w:szCs w:val="24"/>
        </w:rPr>
        <w:t>is required</w:t>
      </w:r>
      <w:r w:rsidRPr="007B13AA">
        <w:rPr>
          <w:sz w:val="24"/>
          <w:szCs w:val="24"/>
        </w:rPr>
        <w:t xml:space="preserve"> due to the possibility of the presence of a single nucleotide polymorphism (SNP) within the probe sequence and particularly near the MLPA ligation site that could provide a false positive result for an exon deletion. The possibility of a SNP should be excluded by comparison to sequence obtained from the probe site. If the full MLPA probe site is not </w:t>
      </w:r>
      <w:r w:rsidRPr="007B13AA">
        <w:rPr>
          <w:sz w:val="24"/>
          <w:szCs w:val="24"/>
        </w:rPr>
        <w:lastRenderedPageBreak/>
        <w:t>covered by the routine sequencing strategy employed, this region should be sequenced in a separate assay. Alternatively, confirmation for both single and multiple exon deletions could be provided by MLPA analysis with alternative probe sites if available. The use of microarrays would be subject to similar considerations and consideration should be given to the number of probes interrogated for a single exon deletion.</w:t>
      </w:r>
    </w:p>
    <w:p w14:paraId="3FE932BE" w14:textId="77777777" w:rsidR="0072055B" w:rsidRPr="007B13AA" w:rsidRDefault="0072055B" w:rsidP="00BE0F9E">
      <w:pPr>
        <w:pStyle w:val="Heading2"/>
        <w:ind w:hanging="792"/>
      </w:pPr>
      <w:r w:rsidRPr="007B13AA">
        <w:t>Need for any other supplementary testing</w:t>
      </w:r>
    </w:p>
    <w:p w14:paraId="704C804E" w14:textId="4EE19540" w:rsidR="0072055B" w:rsidRPr="007B13AA" w:rsidRDefault="0072055B" w:rsidP="00B355D7">
      <w:pPr>
        <w:tabs>
          <w:tab w:val="left" w:pos="7938"/>
        </w:tabs>
        <w:rPr>
          <w:sz w:val="24"/>
          <w:szCs w:val="24"/>
        </w:rPr>
      </w:pPr>
      <w:r w:rsidRPr="007B13AA">
        <w:rPr>
          <w:i/>
          <w:sz w:val="24"/>
          <w:szCs w:val="24"/>
        </w:rPr>
        <w:t>Is there a need for any other supplementary testing (for example,</w:t>
      </w:r>
      <w:r w:rsidRPr="007B13AA">
        <w:rPr>
          <w:i/>
        </w:rPr>
        <w:t xml:space="preserve"> </w:t>
      </w:r>
      <w:r w:rsidRPr="007B13AA">
        <w:rPr>
          <w:i/>
          <w:sz w:val="24"/>
          <w:szCs w:val="24"/>
        </w:rPr>
        <w:t>gene expression studies, deletion screens or checking for copy number variations)?</w:t>
      </w:r>
      <w:r w:rsidR="00B355D7">
        <w:rPr>
          <w:i/>
          <w:sz w:val="24"/>
          <w:szCs w:val="24"/>
        </w:rPr>
        <w:tab/>
      </w:r>
      <w:r w:rsidR="00B355D7" w:rsidRPr="007B13AA">
        <w:rPr>
          <w:sz w:val="24"/>
          <w:szCs w:val="24"/>
        </w:rPr>
        <w:t xml:space="preserve"> </w:t>
      </w:r>
      <w:r w:rsidRPr="007B13AA">
        <w:rPr>
          <w:sz w:val="24"/>
          <w:szCs w:val="24"/>
        </w:rPr>
        <w:t>yes</w:t>
      </w:r>
    </w:p>
    <w:p w14:paraId="41E33602" w14:textId="1ED676A9" w:rsidR="0072055B" w:rsidRPr="007B13AA" w:rsidRDefault="0072055B" w:rsidP="0072055B">
      <w:pPr>
        <w:rPr>
          <w:sz w:val="24"/>
          <w:szCs w:val="24"/>
        </w:rPr>
      </w:pPr>
      <w:r w:rsidRPr="007B13AA">
        <w:rPr>
          <w:i/>
          <w:sz w:val="24"/>
          <w:szCs w:val="24"/>
        </w:rPr>
        <w:t>If yes, identify all supplementary assay(s), explain why each is needed, and estimate how often supplementary testing would be needed (as a % of all those for whom the primary test would be rendered).</w:t>
      </w:r>
      <w:r w:rsidR="00EC42ED" w:rsidRPr="007B13AA">
        <w:rPr>
          <w:i/>
          <w:sz w:val="24"/>
          <w:szCs w:val="24"/>
        </w:rPr>
        <w:t xml:space="preserve"> If no, briefly explain why not.</w:t>
      </w:r>
    </w:p>
    <w:p w14:paraId="449BC65D" w14:textId="77777777" w:rsidR="0072055B" w:rsidRPr="007B13AA" w:rsidRDefault="0072055B" w:rsidP="0072055B">
      <w:pPr>
        <w:rPr>
          <w:sz w:val="24"/>
          <w:szCs w:val="24"/>
        </w:rPr>
      </w:pPr>
      <w:r w:rsidRPr="007B13AA">
        <w:rPr>
          <w:sz w:val="24"/>
          <w:szCs w:val="24"/>
        </w:rPr>
        <w:t>The clinical expectation of comprehensive testing in this setting includes copy number analysis, and this is therefore included as mandatory in the scope of analysis, as above.</w:t>
      </w:r>
    </w:p>
    <w:p w14:paraId="2715BD3F" w14:textId="77777777" w:rsidR="0072055B" w:rsidRPr="007B13AA" w:rsidRDefault="0072055B" w:rsidP="0072055B">
      <w:pPr>
        <w:rPr>
          <w:sz w:val="24"/>
          <w:szCs w:val="24"/>
        </w:rPr>
      </w:pPr>
      <w:r w:rsidRPr="007B13AA">
        <w:rPr>
          <w:sz w:val="24"/>
          <w:szCs w:val="24"/>
        </w:rPr>
        <w:t xml:space="preserve">In ~ 2% of cases, supplementary RNA studies would be recommended to assess the significance of variants predicted by </w:t>
      </w:r>
      <w:r w:rsidRPr="007B13AA">
        <w:rPr>
          <w:i/>
          <w:sz w:val="24"/>
          <w:szCs w:val="24"/>
        </w:rPr>
        <w:t>in silico</w:t>
      </w:r>
      <w:r w:rsidRPr="007B13AA">
        <w:rPr>
          <w:sz w:val="24"/>
          <w:szCs w:val="24"/>
        </w:rPr>
        <w:t xml:space="preserve"> algorithms to potentially affect normal splicing.</w:t>
      </w:r>
    </w:p>
    <w:p w14:paraId="0809DD1A" w14:textId="77777777" w:rsidR="0072055B" w:rsidRPr="007B13AA" w:rsidRDefault="0072055B" w:rsidP="00BE0F9E">
      <w:pPr>
        <w:pStyle w:val="Heading2"/>
        <w:ind w:hanging="792"/>
      </w:pPr>
      <w:r w:rsidRPr="007B13AA">
        <w:t>Interpretive complexity</w:t>
      </w:r>
    </w:p>
    <w:p w14:paraId="7D73DF4C" w14:textId="77777777" w:rsidR="0072055B" w:rsidRPr="007B13AA" w:rsidRDefault="0072055B" w:rsidP="0072055B">
      <w:pPr>
        <w:rPr>
          <w:sz w:val="24"/>
          <w:szCs w:val="24"/>
        </w:rPr>
      </w:pPr>
      <w:r w:rsidRPr="007B13AA">
        <w:rPr>
          <w:i/>
          <w:sz w:val="24"/>
          <w:szCs w:val="24"/>
        </w:rPr>
        <w:t>What is the interpretive complexity? Select one from the following three categories:</w:t>
      </w:r>
    </w:p>
    <w:p w14:paraId="614A50EE" w14:textId="22D29D64" w:rsidR="0072055B" w:rsidRPr="007B13AA" w:rsidRDefault="0072055B" w:rsidP="0083226F">
      <w:pPr>
        <w:tabs>
          <w:tab w:val="left" w:pos="3544"/>
        </w:tabs>
        <w:rPr>
          <w:sz w:val="24"/>
          <w:szCs w:val="24"/>
        </w:rPr>
      </w:pPr>
      <w:r w:rsidRPr="007B13AA">
        <w:rPr>
          <w:sz w:val="24"/>
          <w:szCs w:val="24"/>
        </w:rPr>
        <w:t xml:space="preserve">A. </w:t>
      </w:r>
      <w:r w:rsidRPr="007B13AA">
        <w:rPr>
          <w:i/>
          <w:sz w:val="24"/>
          <w:szCs w:val="24"/>
        </w:rPr>
        <w:t>low</w:t>
      </w:r>
      <w:r w:rsidR="0083226F">
        <w:rPr>
          <w:i/>
          <w:sz w:val="24"/>
          <w:szCs w:val="24"/>
        </w:rPr>
        <w:tab/>
      </w:r>
      <w:r w:rsidRPr="007B13AA">
        <w:rPr>
          <w:sz w:val="24"/>
          <w:szCs w:val="24"/>
        </w:rPr>
        <w:t>no</w:t>
      </w:r>
    </w:p>
    <w:p w14:paraId="7B0FB112" w14:textId="7117C8CA" w:rsidR="0072055B" w:rsidRPr="007B13AA" w:rsidRDefault="0072055B" w:rsidP="00A146DE">
      <w:pPr>
        <w:tabs>
          <w:tab w:val="left" w:pos="3544"/>
        </w:tabs>
        <w:rPr>
          <w:sz w:val="24"/>
          <w:szCs w:val="24"/>
        </w:rPr>
      </w:pPr>
      <w:r w:rsidRPr="007B13AA">
        <w:rPr>
          <w:sz w:val="24"/>
          <w:szCs w:val="24"/>
        </w:rPr>
        <w:t xml:space="preserve">B. </w:t>
      </w:r>
      <w:r w:rsidRPr="007B13AA">
        <w:rPr>
          <w:i/>
          <w:sz w:val="24"/>
          <w:szCs w:val="24"/>
        </w:rPr>
        <w:t>intermediate</w:t>
      </w:r>
      <w:r w:rsidR="00A146DE">
        <w:rPr>
          <w:sz w:val="24"/>
          <w:szCs w:val="24"/>
        </w:rPr>
        <w:tab/>
      </w:r>
      <w:r w:rsidRPr="007B13AA">
        <w:rPr>
          <w:sz w:val="24"/>
          <w:szCs w:val="24"/>
        </w:rPr>
        <w:t>yes</w:t>
      </w:r>
    </w:p>
    <w:p w14:paraId="2408EDFC" w14:textId="60237AFD" w:rsidR="0072055B" w:rsidRPr="007B13AA" w:rsidRDefault="0072055B" w:rsidP="00A146DE">
      <w:pPr>
        <w:tabs>
          <w:tab w:val="left" w:pos="3544"/>
        </w:tabs>
        <w:rPr>
          <w:sz w:val="24"/>
          <w:szCs w:val="24"/>
        </w:rPr>
      </w:pPr>
      <w:r w:rsidRPr="007B13AA">
        <w:rPr>
          <w:sz w:val="24"/>
          <w:szCs w:val="24"/>
        </w:rPr>
        <w:t xml:space="preserve">C. </w:t>
      </w:r>
      <w:r w:rsidRPr="007B13AA">
        <w:rPr>
          <w:i/>
          <w:sz w:val="24"/>
          <w:szCs w:val="24"/>
        </w:rPr>
        <w:t>high</w:t>
      </w:r>
      <w:r w:rsidR="00A146DE">
        <w:rPr>
          <w:i/>
          <w:sz w:val="24"/>
          <w:szCs w:val="24"/>
        </w:rPr>
        <w:tab/>
      </w:r>
      <w:r w:rsidRPr="007B13AA">
        <w:rPr>
          <w:sz w:val="24"/>
          <w:szCs w:val="24"/>
        </w:rPr>
        <w:t>no</w:t>
      </w:r>
    </w:p>
    <w:p w14:paraId="059EAC80" w14:textId="74692435" w:rsidR="0072055B" w:rsidRPr="007B13AA" w:rsidRDefault="0072055B" w:rsidP="0072055B">
      <w:pPr>
        <w:rPr>
          <w:sz w:val="24"/>
          <w:szCs w:val="24"/>
        </w:rPr>
      </w:pPr>
      <w:r w:rsidRPr="007B13AA">
        <w:rPr>
          <w:i/>
          <w:sz w:val="24"/>
          <w:szCs w:val="24"/>
        </w:rPr>
        <w:t>Considerations here include qualitative aspects (for example, level of expertise required, complexity of bioinformatics pipelines, software requirements), and quantitative aspects (for example, time component of labour required, cost of software licencing).</w:t>
      </w:r>
      <w:r w:rsidR="00EC42ED" w:rsidRPr="007B13AA">
        <w:rPr>
          <w:i/>
          <w:sz w:val="24"/>
          <w:szCs w:val="24"/>
        </w:rPr>
        <w:t xml:space="preserve"> This information should be sufficient to enable an estimate of the resources required to generate an adequate interpretation of the test results.</w:t>
      </w:r>
    </w:p>
    <w:p w14:paraId="334C56B5" w14:textId="77777777" w:rsidR="0072055B" w:rsidRPr="007B13AA" w:rsidRDefault="0072055B" w:rsidP="0072055B">
      <w:pPr>
        <w:rPr>
          <w:rFonts w:cstheme="majorHAnsi"/>
          <w:sz w:val="24"/>
          <w:szCs w:val="24"/>
        </w:rPr>
      </w:pPr>
      <w:r w:rsidRPr="007B13AA">
        <w:rPr>
          <w:rFonts w:cstheme="majorHAnsi"/>
          <w:sz w:val="24"/>
          <w:szCs w:val="24"/>
        </w:rPr>
        <w:t>Interpretive complexity for genetic testing results is dependent on:</w:t>
      </w:r>
    </w:p>
    <w:p w14:paraId="12A73E0A" w14:textId="77777777" w:rsidR="0072055B" w:rsidRPr="007B13AA" w:rsidRDefault="0072055B" w:rsidP="003258A6">
      <w:pPr>
        <w:pStyle w:val="ListParagraph"/>
        <w:numPr>
          <w:ilvl w:val="0"/>
          <w:numId w:val="3"/>
        </w:numPr>
        <w:rPr>
          <w:rFonts w:cstheme="majorHAnsi"/>
          <w:sz w:val="24"/>
          <w:szCs w:val="24"/>
        </w:rPr>
      </w:pPr>
      <w:r w:rsidRPr="007B13AA">
        <w:rPr>
          <w:rFonts w:cstheme="majorHAnsi"/>
          <w:sz w:val="24"/>
          <w:szCs w:val="24"/>
        </w:rPr>
        <w:t>The type of variants identified and</w:t>
      </w:r>
    </w:p>
    <w:p w14:paraId="3503C8C5" w14:textId="77777777" w:rsidR="0072055B" w:rsidRPr="007B13AA" w:rsidRDefault="0072055B" w:rsidP="003258A6">
      <w:pPr>
        <w:pStyle w:val="ListParagraph"/>
        <w:numPr>
          <w:ilvl w:val="0"/>
          <w:numId w:val="3"/>
        </w:numPr>
        <w:rPr>
          <w:rFonts w:cstheme="majorHAnsi"/>
          <w:sz w:val="24"/>
          <w:szCs w:val="24"/>
        </w:rPr>
      </w:pPr>
      <w:r w:rsidRPr="007B13AA">
        <w:rPr>
          <w:rFonts w:cstheme="majorHAnsi"/>
          <w:sz w:val="24"/>
          <w:szCs w:val="24"/>
        </w:rPr>
        <w:t>The number of variants identified (this is often proportional to the amount of sequence which is interrogated and analysed).</w:t>
      </w:r>
    </w:p>
    <w:p w14:paraId="6D39FDD0" w14:textId="77777777" w:rsidR="0072055B" w:rsidRPr="007B13AA" w:rsidRDefault="0072055B" w:rsidP="0072055B">
      <w:pPr>
        <w:rPr>
          <w:rFonts w:cstheme="majorHAnsi"/>
          <w:sz w:val="24"/>
          <w:szCs w:val="24"/>
        </w:rPr>
      </w:pPr>
      <w:r w:rsidRPr="007B13AA">
        <w:rPr>
          <w:rFonts w:cstheme="majorHAnsi"/>
          <w:sz w:val="24"/>
          <w:szCs w:val="24"/>
        </w:rPr>
        <w:t>Published studies have reported the amount of time taken to effectively manually review, report and curate actionable variants is ~one hour per variant.</w:t>
      </w:r>
    </w:p>
    <w:p w14:paraId="64CB0301" w14:textId="77777777" w:rsidR="0072055B" w:rsidRPr="007B13AA" w:rsidRDefault="0072055B" w:rsidP="0072055B">
      <w:pPr>
        <w:rPr>
          <w:rFonts w:cstheme="majorHAnsi"/>
          <w:sz w:val="24"/>
          <w:szCs w:val="24"/>
        </w:rPr>
      </w:pPr>
      <w:r w:rsidRPr="007B13AA">
        <w:rPr>
          <w:rFonts w:cstheme="majorHAnsi"/>
          <w:sz w:val="24"/>
          <w:szCs w:val="24"/>
        </w:rPr>
        <w:lastRenderedPageBreak/>
        <w:t>The analyses discussed here (single gene and small gene panels), interrogate and report on only a very small portion of the genome, and therefore a relatively small and manageable number of variants is expected to be identified. These variants would be expected to span a range of interpretive complexity, from well-recognised and annotated to complex variants of unknown significance. Thus, overall, the interpretive complexity would be expected to be intermediate and well within the capability of most laboratories already performing gene sequencing in a diagnostic setting for familial cancer predispositions.</w:t>
      </w:r>
    </w:p>
    <w:p w14:paraId="5B3F33AC" w14:textId="77777777" w:rsidR="0072055B" w:rsidRPr="007B13AA" w:rsidRDefault="0072055B" w:rsidP="000C32C9">
      <w:pPr>
        <w:keepNext/>
        <w:rPr>
          <w:b/>
          <w:sz w:val="24"/>
          <w:szCs w:val="24"/>
          <w:u w:val="single"/>
        </w:rPr>
      </w:pPr>
      <w:r w:rsidRPr="007B13AA">
        <w:rPr>
          <w:b/>
          <w:sz w:val="24"/>
          <w:szCs w:val="24"/>
          <w:u w:val="single"/>
        </w:rPr>
        <w:t>B. Small gene panel</w:t>
      </w:r>
    </w:p>
    <w:p w14:paraId="22AE466C" w14:textId="77777777" w:rsidR="0072055B" w:rsidRPr="007B13AA" w:rsidRDefault="0072055B" w:rsidP="00BE0F9E">
      <w:pPr>
        <w:pStyle w:val="ListParagraph"/>
        <w:keepNext/>
        <w:numPr>
          <w:ilvl w:val="1"/>
          <w:numId w:val="1"/>
        </w:numPr>
        <w:ind w:hanging="792"/>
        <w:rPr>
          <w:b/>
          <w:sz w:val="24"/>
          <w:szCs w:val="24"/>
        </w:rPr>
      </w:pPr>
      <w:r w:rsidRPr="007B13AA">
        <w:rPr>
          <w:b/>
          <w:sz w:val="24"/>
          <w:szCs w:val="24"/>
        </w:rPr>
        <w:t>Analytical validation of testing</w:t>
      </w:r>
    </w:p>
    <w:p w14:paraId="12D05728" w14:textId="081E2095" w:rsidR="0072055B" w:rsidRPr="007B13AA" w:rsidRDefault="0072055B" w:rsidP="00A146DE">
      <w:pPr>
        <w:tabs>
          <w:tab w:val="left" w:pos="7938"/>
        </w:tabs>
        <w:rPr>
          <w:sz w:val="24"/>
          <w:szCs w:val="24"/>
        </w:rPr>
      </w:pPr>
      <w:r w:rsidRPr="007B13AA">
        <w:rPr>
          <w:i/>
          <w:sz w:val="24"/>
          <w:szCs w:val="24"/>
        </w:rPr>
        <w:t>Is it possible?</w:t>
      </w:r>
      <w:r w:rsidR="00A146DE">
        <w:rPr>
          <w:i/>
          <w:sz w:val="24"/>
          <w:szCs w:val="24"/>
        </w:rPr>
        <w:tab/>
      </w:r>
      <w:r w:rsidR="00A146DE" w:rsidRPr="007B13AA">
        <w:rPr>
          <w:sz w:val="24"/>
          <w:szCs w:val="24"/>
        </w:rPr>
        <w:t xml:space="preserve"> </w:t>
      </w:r>
      <w:r w:rsidRPr="007B13AA">
        <w:rPr>
          <w:sz w:val="24"/>
          <w:szCs w:val="24"/>
        </w:rPr>
        <w:t>yes</w:t>
      </w:r>
    </w:p>
    <w:p w14:paraId="5DAC5CAA" w14:textId="77777777" w:rsidR="0072055B" w:rsidRPr="007B13AA" w:rsidRDefault="0072055B" w:rsidP="0072055B">
      <w:pPr>
        <w:rPr>
          <w:sz w:val="24"/>
          <w:szCs w:val="24"/>
        </w:rPr>
      </w:pPr>
      <w:r w:rsidRPr="007B13AA">
        <w:rPr>
          <w:i/>
          <w:sz w:val="24"/>
          <w:szCs w:val="24"/>
        </w:rPr>
        <w:t>If yes, elaborate on what is required.</w:t>
      </w:r>
    </w:p>
    <w:p w14:paraId="386BDC5F" w14:textId="77777777" w:rsidR="0072055B" w:rsidRPr="007B13AA" w:rsidRDefault="0072055B" w:rsidP="0072055B">
      <w:pPr>
        <w:rPr>
          <w:rFonts w:cstheme="majorHAnsi"/>
          <w:sz w:val="24"/>
          <w:szCs w:val="24"/>
        </w:rPr>
      </w:pPr>
      <w:r w:rsidRPr="007B13AA">
        <w:rPr>
          <w:rFonts w:cstheme="majorHAnsi"/>
          <w:sz w:val="24"/>
          <w:szCs w:val="24"/>
        </w:rPr>
        <w:t>The scope of the test would need to include comprehensive analysis for all described/possible DNA variants in all genes tested. This would therefore necessarily include</w:t>
      </w:r>
    </w:p>
    <w:p w14:paraId="1CF1F098" w14:textId="77777777" w:rsidR="0072055B" w:rsidRPr="007B13AA" w:rsidRDefault="0072055B" w:rsidP="003258A6">
      <w:pPr>
        <w:pStyle w:val="ListParagraph"/>
        <w:numPr>
          <w:ilvl w:val="0"/>
          <w:numId w:val="5"/>
        </w:numPr>
        <w:rPr>
          <w:rFonts w:cstheme="majorHAnsi"/>
          <w:sz w:val="24"/>
          <w:szCs w:val="24"/>
        </w:rPr>
      </w:pPr>
      <w:r w:rsidRPr="007B13AA">
        <w:rPr>
          <w:rFonts w:cstheme="majorHAnsi"/>
          <w:sz w:val="24"/>
          <w:szCs w:val="24"/>
        </w:rPr>
        <w:t>Sequence level variants/changes and</w:t>
      </w:r>
    </w:p>
    <w:p w14:paraId="08A7C705" w14:textId="77777777" w:rsidR="0072055B" w:rsidRPr="007B13AA" w:rsidRDefault="0072055B" w:rsidP="003258A6">
      <w:pPr>
        <w:pStyle w:val="ListParagraph"/>
        <w:numPr>
          <w:ilvl w:val="0"/>
          <w:numId w:val="5"/>
        </w:numPr>
        <w:rPr>
          <w:rFonts w:cstheme="majorHAnsi"/>
          <w:sz w:val="24"/>
          <w:szCs w:val="24"/>
        </w:rPr>
      </w:pPr>
      <w:r w:rsidRPr="007B13AA">
        <w:rPr>
          <w:rFonts w:cstheme="majorHAnsi"/>
          <w:sz w:val="24"/>
          <w:szCs w:val="24"/>
        </w:rPr>
        <w:t>DNA copy number variants/changes</w:t>
      </w:r>
    </w:p>
    <w:p w14:paraId="278ACF74" w14:textId="77777777" w:rsidR="0072055B" w:rsidRPr="007B13AA" w:rsidRDefault="0072055B" w:rsidP="0072055B">
      <w:pPr>
        <w:rPr>
          <w:rFonts w:cstheme="majorHAnsi"/>
          <w:sz w:val="24"/>
          <w:szCs w:val="24"/>
        </w:rPr>
      </w:pPr>
      <w:r w:rsidRPr="007B13AA">
        <w:rPr>
          <w:rFonts w:cstheme="majorHAnsi"/>
          <w:sz w:val="24"/>
          <w:szCs w:val="24"/>
        </w:rPr>
        <w:t>for any combination of the eight (8) listed genes that are tested with a minimum requirement for BRCA1 and BRCA2 where neither of these genes has been previously tested.</w:t>
      </w:r>
    </w:p>
    <w:p w14:paraId="1345574E" w14:textId="77777777" w:rsidR="0072055B" w:rsidRPr="007B13AA" w:rsidRDefault="0072055B" w:rsidP="0072055B">
      <w:pPr>
        <w:rPr>
          <w:rFonts w:cstheme="majorHAnsi"/>
          <w:sz w:val="24"/>
          <w:szCs w:val="24"/>
        </w:rPr>
      </w:pPr>
      <w:r w:rsidRPr="007B13AA">
        <w:rPr>
          <w:rFonts w:cstheme="majorHAnsi"/>
          <w:sz w:val="24"/>
          <w:szCs w:val="24"/>
        </w:rPr>
        <w:t>This would involve sequencing of all exons and intron/exon boundaries (two methods potentially in current use – Sanger or massively parallel sequencing) for any combination of the eight listed genes with a minimum requirement for BRCA1 and BRCA2, in association with a method to detect copy number changes (two methods in potential current use – MLPA and DNA microarrays). Future methods may incorporate sequencing and copy number change data into a single workflow/method.</w:t>
      </w:r>
    </w:p>
    <w:p w14:paraId="66330DB8" w14:textId="77777777" w:rsidR="0072055B" w:rsidRPr="007B13AA" w:rsidRDefault="0072055B" w:rsidP="00BE0F9E">
      <w:pPr>
        <w:pStyle w:val="Heading2"/>
        <w:numPr>
          <w:ilvl w:val="1"/>
          <w:numId w:val="26"/>
        </w:numPr>
        <w:ind w:hanging="792"/>
      </w:pPr>
      <w:r w:rsidRPr="007B13AA">
        <w:t>Need for any analytical confirmatory testing</w:t>
      </w:r>
    </w:p>
    <w:p w14:paraId="4FA2497F" w14:textId="307B517F" w:rsidR="0072055B" w:rsidRPr="007B13AA" w:rsidRDefault="0072055B" w:rsidP="00F276CC">
      <w:pPr>
        <w:tabs>
          <w:tab w:val="left" w:pos="8080"/>
        </w:tabs>
        <w:rPr>
          <w:sz w:val="24"/>
          <w:szCs w:val="24"/>
        </w:rPr>
      </w:pPr>
      <w:r w:rsidRPr="007B13AA">
        <w:rPr>
          <w:i/>
          <w:sz w:val="24"/>
          <w:szCs w:val="24"/>
        </w:rPr>
        <w:t>If a mutation is detected, is any further testing required to confirm its presence using an orthogonal method?</w:t>
      </w:r>
      <w:r w:rsidR="00F276CC">
        <w:rPr>
          <w:i/>
          <w:sz w:val="24"/>
          <w:szCs w:val="24"/>
        </w:rPr>
        <w:tab/>
      </w:r>
      <w:r w:rsidRPr="007B13AA">
        <w:rPr>
          <w:sz w:val="24"/>
          <w:szCs w:val="24"/>
        </w:rPr>
        <w:t>yes</w:t>
      </w:r>
    </w:p>
    <w:p w14:paraId="1FEA7E6E" w14:textId="76CFD976" w:rsidR="0072055B" w:rsidRPr="007B13AA" w:rsidRDefault="0072055B" w:rsidP="0072055B">
      <w:pPr>
        <w:rPr>
          <w:sz w:val="24"/>
          <w:szCs w:val="24"/>
        </w:rPr>
      </w:pPr>
      <w:r w:rsidRPr="007B13AA">
        <w:rPr>
          <w:i/>
          <w:sz w:val="24"/>
          <w:szCs w:val="24"/>
        </w:rPr>
        <w:t>If yes, identify the confirmatory assays required.</w:t>
      </w:r>
      <w:r w:rsidR="00EC42ED" w:rsidRPr="007B13AA">
        <w:rPr>
          <w:i/>
          <w:sz w:val="24"/>
          <w:szCs w:val="24"/>
        </w:rPr>
        <w:t xml:space="preserve"> If no, briefly explain why not.</w:t>
      </w:r>
    </w:p>
    <w:p w14:paraId="02010E04" w14:textId="77777777" w:rsidR="0072055B" w:rsidRPr="007B13AA" w:rsidRDefault="0072055B" w:rsidP="0072055B">
      <w:pPr>
        <w:rPr>
          <w:rFonts w:cstheme="majorHAnsi"/>
          <w:sz w:val="24"/>
          <w:szCs w:val="24"/>
        </w:rPr>
      </w:pPr>
      <w:r w:rsidRPr="007B13AA">
        <w:rPr>
          <w:rFonts w:cstheme="majorHAnsi"/>
          <w:sz w:val="24"/>
          <w:szCs w:val="24"/>
        </w:rPr>
        <w:t>In some instances, additional analytical confirmatory testing would be required.</w:t>
      </w:r>
    </w:p>
    <w:p w14:paraId="7D8370F0" w14:textId="77777777" w:rsidR="0072055B" w:rsidRPr="007B13AA" w:rsidRDefault="0072055B" w:rsidP="0072055B">
      <w:pPr>
        <w:rPr>
          <w:rFonts w:cstheme="majorHAnsi"/>
          <w:sz w:val="24"/>
          <w:szCs w:val="24"/>
        </w:rPr>
      </w:pPr>
      <w:r w:rsidRPr="007B13AA">
        <w:rPr>
          <w:rFonts w:cstheme="majorHAnsi"/>
          <w:sz w:val="24"/>
          <w:szCs w:val="24"/>
        </w:rPr>
        <w:t>Details are provided below:</w:t>
      </w:r>
    </w:p>
    <w:p w14:paraId="36909DF4" w14:textId="77777777" w:rsidR="0072055B" w:rsidRPr="007B13AA" w:rsidRDefault="0072055B" w:rsidP="0072055B">
      <w:pPr>
        <w:rPr>
          <w:rFonts w:cstheme="majorHAnsi"/>
          <w:sz w:val="24"/>
          <w:szCs w:val="24"/>
        </w:rPr>
      </w:pPr>
      <w:r w:rsidRPr="007B13AA">
        <w:rPr>
          <w:rFonts w:cstheme="majorHAnsi"/>
          <w:sz w:val="24"/>
          <w:szCs w:val="24"/>
        </w:rPr>
        <w:t xml:space="preserve">For small number gene panels, the requirement for confirmatory testing is dependent on the level of validation and experience of the individual laboratory with the technique in use. </w:t>
      </w:r>
    </w:p>
    <w:p w14:paraId="6508604C" w14:textId="77777777" w:rsidR="0072055B" w:rsidRPr="007B13AA" w:rsidRDefault="0072055B" w:rsidP="0072055B">
      <w:pPr>
        <w:rPr>
          <w:rFonts w:cstheme="majorHAnsi"/>
          <w:sz w:val="24"/>
          <w:szCs w:val="24"/>
        </w:rPr>
      </w:pPr>
      <w:r w:rsidRPr="007B13AA">
        <w:rPr>
          <w:rFonts w:cstheme="majorHAnsi"/>
          <w:sz w:val="24"/>
          <w:szCs w:val="24"/>
        </w:rPr>
        <w:lastRenderedPageBreak/>
        <w:t>In general, sequence variants detected by Sanger sequencing do not require confirmatory testing by a second method due to known and acceptable performance characteristics of the Sanger sequencing methodology in diagnostics. It is expected that, with growing experience and improvements in massively parallel sequencing technologies, samples testing with these methods for small gene panels may also not need additional confirmatory testing within the next 3-5 years.</w:t>
      </w:r>
    </w:p>
    <w:p w14:paraId="0D632877" w14:textId="77777777" w:rsidR="0072055B" w:rsidRPr="007B13AA" w:rsidRDefault="0072055B" w:rsidP="0072055B">
      <w:pPr>
        <w:rPr>
          <w:rFonts w:cstheme="majorHAnsi"/>
          <w:sz w:val="24"/>
          <w:szCs w:val="24"/>
        </w:rPr>
      </w:pPr>
      <w:r w:rsidRPr="007B13AA">
        <w:rPr>
          <w:rFonts w:cstheme="majorHAnsi"/>
          <w:sz w:val="24"/>
          <w:szCs w:val="24"/>
        </w:rPr>
        <w:t>Currently, requirements are as follows:</w:t>
      </w:r>
    </w:p>
    <w:p w14:paraId="30142371" w14:textId="77777777" w:rsidR="0072055B" w:rsidRPr="007B13AA" w:rsidRDefault="0072055B" w:rsidP="0072055B">
      <w:pPr>
        <w:rPr>
          <w:rFonts w:cstheme="majorHAnsi"/>
          <w:sz w:val="24"/>
          <w:szCs w:val="24"/>
        </w:rPr>
      </w:pPr>
      <w:r w:rsidRPr="007B13AA">
        <w:rPr>
          <w:rFonts w:cstheme="majorHAnsi"/>
          <w:sz w:val="24"/>
          <w:szCs w:val="24"/>
        </w:rPr>
        <w:t xml:space="preserve">If the validation has been performed to NPAAC IVD and NPAAC nucleic acid standards for an individual gene, then variants identified in that gene </w:t>
      </w:r>
      <w:r w:rsidRPr="007B13AA">
        <w:rPr>
          <w:rFonts w:cstheme="majorHAnsi"/>
          <w:b/>
          <w:sz w:val="24"/>
          <w:szCs w:val="24"/>
        </w:rPr>
        <w:t>do not require</w:t>
      </w:r>
      <w:r w:rsidRPr="007B13AA">
        <w:rPr>
          <w:rFonts w:cstheme="majorHAnsi"/>
          <w:sz w:val="24"/>
          <w:szCs w:val="24"/>
        </w:rPr>
        <w:t xml:space="preserve"> mandatory analytical confirmatory testing, although confirmatory testing on a second sample prior to performing family cascade testing would constitute best laboratory practice in this situation.</w:t>
      </w:r>
    </w:p>
    <w:p w14:paraId="0FA06119" w14:textId="77777777" w:rsidR="0072055B" w:rsidRPr="007B13AA" w:rsidRDefault="0072055B" w:rsidP="0072055B">
      <w:pPr>
        <w:rPr>
          <w:sz w:val="24"/>
          <w:szCs w:val="24"/>
        </w:rPr>
      </w:pPr>
      <w:r w:rsidRPr="007B13AA">
        <w:rPr>
          <w:rFonts w:cstheme="majorHAnsi"/>
          <w:sz w:val="24"/>
          <w:szCs w:val="24"/>
        </w:rPr>
        <w:t xml:space="preserve">Where validation of an individual gene within a panel has not been performed to NPAAC IVD and NPAAC nucleic acid standards, then confirmatory testing </w:t>
      </w:r>
      <w:r w:rsidRPr="007B13AA">
        <w:rPr>
          <w:rFonts w:cstheme="majorHAnsi"/>
          <w:b/>
          <w:sz w:val="24"/>
          <w:szCs w:val="24"/>
        </w:rPr>
        <w:t>would be required</w:t>
      </w:r>
      <w:r w:rsidRPr="007B13AA">
        <w:rPr>
          <w:rFonts w:cstheme="majorHAnsi"/>
          <w:sz w:val="24"/>
          <w:szCs w:val="24"/>
        </w:rPr>
        <w:t xml:space="preserve"> for all </w:t>
      </w:r>
      <w:r w:rsidRPr="007B13AA">
        <w:rPr>
          <w:rFonts w:cstheme="majorHAnsi"/>
          <w:b/>
          <w:sz w:val="24"/>
          <w:szCs w:val="24"/>
        </w:rPr>
        <w:t>actionable variants</w:t>
      </w:r>
      <w:r w:rsidRPr="007B13AA">
        <w:rPr>
          <w:rFonts w:cstheme="majorHAnsi"/>
          <w:sz w:val="24"/>
          <w:szCs w:val="24"/>
        </w:rPr>
        <w:t xml:space="preserve"> identified in those genes. Ideally, this confirmatory testing should be performed by Sanger sequencing. Where Sanger sequencing is not possible due to the number of genes analysed and variants identified, this confirmatory testing could be performed by duplicate testing using NGS</w:t>
      </w:r>
      <w:r w:rsidRPr="007B13AA">
        <w:rPr>
          <w:sz w:val="24"/>
          <w:szCs w:val="24"/>
        </w:rPr>
        <w:t>.</w:t>
      </w:r>
    </w:p>
    <w:p w14:paraId="16B9B4A8" w14:textId="77777777" w:rsidR="0072055B" w:rsidRPr="007B13AA" w:rsidRDefault="0072055B" w:rsidP="0072055B">
      <w:pPr>
        <w:rPr>
          <w:rFonts w:cstheme="majorHAnsi"/>
          <w:sz w:val="24"/>
          <w:szCs w:val="24"/>
        </w:rPr>
      </w:pPr>
      <w:r w:rsidRPr="007B13AA">
        <w:rPr>
          <w:rFonts w:cstheme="majorHAnsi"/>
          <w:sz w:val="24"/>
          <w:szCs w:val="24"/>
        </w:rPr>
        <w:t>As per single gene testing (discussed above), analytical confirmation of single exon deletions detected by a single MLPA probe is required due to the possibility of the presence of a single nucleotide polymorphism (SNP) within the probe sequence and particularly near the MLPA ligation site that could provide a false positive result for an exon deletion. The possibility of a SNP should be excluded by comparison to sequence obtained from the probe site. If the full MLPA probe site is not covered by the routine sequencing strategy employed, then this region should be sequenced in a separate assay.</w:t>
      </w:r>
      <w:r w:rsidRPr="007B13AA">
        <w:rPr>
          <w:sz w:val="24"/>
          <w:szCs w:val="24"/>
        </w:rPr>
        <w:t xml:space="preserve"> </w:t>
      </w:r>
      <w:r w:rsidRPr="007B13AA">
        <w:rPr>
          <w:rFonts w:cstheme="majorHAnsi"/>
          <w:sz w:val="24"/>
          <w:szCs w:val="24"/>
        </w:rPr>
        <w:t>Alternatively, confirmation for both single and multiple exon deletions could be provided by MLPA analysis with alternative probe sites where available. This is available for both BRCA1 and BRCA2. The use of microarrays would be subject to similar recommendations and consideration should be given to the number of probes interrogated for a single exon deletion.</w:t>
      </w:r>
    </w:p>
    <w:p w14:paraId="6D5449D3" w14:textId="77777777" w:rsidR="0072055B" w:rsidRPr="007B13AA" w:rsidRDefault="0072055B" w:rsidP="0090090F">
      <w:pPr>
        <w:pStyle w:val="Heading2"/>
        <w:ind w:hanging="792"/>
      </w:pPr>
      <w:r w:rsidRPr="007B13AA">
        <w:t>Need for any other supplementary testing</w:t>
      </w:r>
    </w:p>
    <w:p w14:paraId="55A117B7" w14:textId="09776305" w:rsidR="0072055B" w:rsidRPr="007B13AA" w:rsidRDefault="0072055B" w:rsidP="00B524CD">
      <w:pPr>
        <w:tabs>
          <w:tab w:val="left" w:pos="7938"/>
        </w:tabs>
        <w:rPr>
          <w:sz w:val="24"/>
          <w:szCs w:val="24"/>
        </w:rPr>
      </w:pPr>
      <w:r w:rsidRPr="007B13AA">
        <w:rPr>
          <w:i/>
          <w:sz w:val="24"/>
          <w:szCs w:val="24"/>
        </w:rPr>
        <w:t>Is there a need for any other supplementary testing (for example,</w:t>
      </w:r>
      <w:r w:rsidRPr="007B13AA">
        <w:rPr>
          <w:i/>
        </w:rPr>
        <w:t xml:space="preserve"> </w:t>
      </w:r>
      <w:r w:rsidRPr="007B13AA">
        <w:rPr>
          <w:i/>
          <w:sz w:val="24"/>
          <w:szCs w:val="24"/>
        </w:rPr>
        <w:t>gene expression studies, deletion screens or checking for copy number variations)?</w:t>
      </w:r>
      <w:r w:rsidR="00B524CD">
        <w:rPr>
          <w:i/>
          <w:sz w:val="24"/>
          <w:szCs w:val="24"/>
        </w:rPr>
        <w:tab/>
      </w:r>
      <w:r w:rsidR="00B524CD" w:rsidRPr="007B13AA">
        <w:rPr>
          <w:sz w:val="24"/>
          <w:szCs w:val="24"/>
        </w:rPr>
        <w:t xml:space="preserve"> </w:t>
      </w:r>
      <w:r w:rsidRPr="007B13AA">
        <w:rPr>
          <w:sz w:val="24"/>
          <w:szCs w:val="24"/>
        </w:rPr>
        <w:t>yes</w:t>
      </w:r>
    </w:p>
    <w:p w14:paraId="2017AF42" w14:textId="1673E2C8" w:rsidR="0072055B" w:rsidRPr="007B13AA" w:rsidRDefault="0072055B" w:rsidP="0072055B">
      <w:pPr>
        <w:rPr>
          <w:sz w:val="24"/>
          <w:szCs w:val="24"/>
        </w:rPr>
      </w:pPr>
      <w:r w:rsidRPr="007B13AA">
        <w:rPr>
          <w:i/>
          <w:sz w:val="24"/>
          <w:szCs w:val="24"/>
        </w:rPr>
        <w:t>If yes, identify all supplementary assay(s), explain why each is needed, and estimate how often supplementary testing would be needed (as a % of all those for whom the primary test would be rendered).</w:t>
      </w:r>
      <w:r w:rsidR="00EC42ED" w:rsidRPr="007B13AA">
        <w:rPr>
          <w:i/>
          <w:sz w:val="24"/>
          <w:szCs w:val="24"/>
        </w:rPr>
        <w:t xml:space="preserve"> If no, briefly explain why not.</w:t>
      </w:r>
    </w:p>
    <w:p w14:paraId="47AB4068" w14:textId="77777777" w:rsidR="0072055B" w:rsidRPr="007B13AA" w:rsidRDefault="0072055B" w:rsidP="0072055B">
      <w:pPr>
        <w:rPr>
          <w:sz w:val="24"/>
          <w:szCs w:val="24"/>
        </w:rPr>
      </w:pPr>
      <w:r w:rsidRPr="007B13AA">
        <w:rPr>
          <w:sz w:val="24"/>
          <w:szCs w:val="24"/>
        </w:rPr>
        <w:t>The clinical expectation of comprehensive testing in this setting includes copy number analysis, and this is therefore included as mandatory in the scope of analysis, as above.</w:t>
      </w:r>
    </w:p>
    <w:p w14:paraId="0FD2AFEC" w14:textId="77777777" w:rsidR="0072055B" w:rsidRPr="007B13AA" w:rsidRDefault="0072055B" w:rsidP="0072055B">
      <w:pPr>
        <w:rPr>
          <w:sz w:val="24"/>
          <w:szCs w:val="24"/>
        </w:rPr>
      </w:pPr>
      <w:r w:rsidRPr="007B13AA">
        <w:rPr>
          <w:sz w:val="24"/>
          <w:szCs w:val="24"/>
        </w:rPr>
        <w:lastRenderedPageBreak/>
        <w:t xml:space="preserve">In ~ 2% of cases, supplementary RNA studies would be recommended to assess the significance of variants predicted by </w:t>
      </w:r>
      <w:r w:rsidRPr="007B13AA">
        <w:rPr>
          <w:i/>
          <w:sz w:val="24"/>
          <w:szCs w:val="24"/>
        </w:rPr>
        <w:t>in silico</w:t>
      </w:r>
      <w:r w:rsidRPr="007B13AA">
        <w:rPr>
          <w:sz w:val="24"/>
          <w:szCs w:val="24"/>
        </w:rPr>
        <w:t xml:space="preserve"> algorithms to potentially affect normal splicing.</w:t>
      </w:r>
    </w:p>
    <w:p w14:paraId="20B3B7EB" w14:textId="77777777" w:rsidR="0072055B" w:rsidRPr="007B13AA" w:rsidRDefault="0072055B" w:rsidP="0090090F">
      <w:pPr>
        <w:pStyle w:val="Heading2"/>
        <w:ind w:hanging="792"/>
      </w:pPr>
      <w:r w:rsidRPr="007B13AA">
        <w:t>Interpretive complexity</w:t>
      </w:r>
    </w:p>
    <w:p w14:paraId="29A37B47" w14:textId="77777777" w:rsidR="0072055B" w:rsidRPr="007B13AA" w:rsidRDefault="0072055B" w:rsidP="0072055B">
      <w:pPr>
        <w:rPr>
          <w:i/>
          <w:sz w:val="24"/>
          <w:szCs w:val="24"/>
        </w:rPr>
      </w:pPr>
      <w:r w:rsidRPr="007B13AA">
        <w:rPr>
          <w:i/>
          <w:sz w:val="24"/>
          <w:szCs w:val="24"/>
        </w:rPr>
        <w:t>What is the interpretive complexity? Select one from the following three categories:</w:t>
      </w:r>
    </w:p>
    <w:p w14:paraId="7FBD2283" w14:textId="5571F319" w:rsidR="0072055B" w:rsidRPr="007B13AA" w:rsidRDefault="0072055B" w:rsidP="00F17ADD">
      <w:pPr>
        <w:tabs>
          <w:tab w:val="left" w:pos="3544"/>
        </w:tabs>
        <w:rPr>
          <w:sz w:val="24"/>
          <w:szCs w:val="24"/>
        </w:rPr>
      </w:pPr>
      <w:r w:rsidRPr="007B13AA">
        <w:rPr>
          <w:sz w:val="24"/>
          <w:szCs w:val="24"/>
        </w:rPr>
        <w:t xml:space="preserve">A. </w:t>
      </w:r>
      <w:r w:rsidRPr="007B13AA">
        <w:rPr>
          <w:i/>
          <w:sz w:val="24"/>
          <w:szCs w:val="24"/>
        </w:rPr>
        <w:t>low</w:t>
      </w:r>
      <w:r w:rsidR="00F17ADD">
        <w:rPr>
          <w:i/>
          <w:sz w:val="24"/>
          <w:szCs w:val="24"/>
        </w:rPr>
        <w:tab/>
      </w:r>
      <w:r w:rsidRPr="007B13AA">
        <w:rPr>
          <w:sz w:val="24"/>
          <w:szCs w:val="24"/>
        </w:rPr>
        <w:t>no</w:t>
      </w:r>
    </w:p>
    <w:p w14:paraId="15E205FC" w14:textId="75B06193" w:rsidR="0072055B" w:rsidRPr="007B13AA" w:rsidRDefault="0072055B" w:rsidP="00C23C51">
      <w:pPr>
        <w:tabs>
          <w:tab w:val="left" w:pos="3544"/>
        </w:tabs>
        <w:rPr>
          <w:sz w:val="24"/>
          <w:szCs w:val="24"/>
        </w:rPr>
      </w:pPr>
      <w:r w:rsidRPr="007B13AA">
        <w:rPr>
          <w:sz w:val="24"/>
          <w:szCs w:val="24"/>
        </w:rPr>
        <w:t xml:space="preserve">B. </w:t>
      </w:r>
      <w:r w:rsidRPr="007B13AA">
        <w:rPr>
          <w:i/>
          <w:sz w:val="24"/>
          <w:szCs w:val="24"/>
        </w:rPr>
        <w:t>intermediate</w:t>
      </w:r>
      <w:r w:rsidR="00C23C51">
        <w:rPr>
          <w:sz w:val="24"/>
          <w:szCs w:val="24"/>
        </w:rPr>
        <w:tab/>
      </w:r>
      <w:r w:rsidRPr="007B13AA">
        <w:rPr>
          <w:sz w:val="24"/>
          <w:szCs w:val="24"/>
        </w:rPr>
        <w:t>yes</w:t>
      </w:r>
    </w:p>
    <w:p w14:paraId="1B0C5AE8" w14:textId="1AE18D21" w:rsidR="0072055B" w:rsidRPr="007B13AA" w:rsidRDefault="0072055B" w:rsidP="00C23C51">
      <w:pPr>
        <w:tabs>
          <w:tab w:val="left" w:pos="3544"/>
        </w:tabs>
        <w:rPr>
          <w:sz w:val="24"/>
          <w:szCs w:val="24"/>
        </w:rPr>
      </w:pPr>
      <w:r w:rsidRPr="007B13AA">
        <w:rPr>
          <w:sz w:val="24"/>
          <w:szCs w:val="24"/>
        </w:rPr>
        <w:t xml:space="preserve">C. </w:t>
      </w:r>
      <w:r w:rsidRPr="007B13AA">
        <w:rPr>
          <w:i/>
          <w:sz w:val="24"/>
          <w:szCs w:val="24"/>
        </w:rPr>
        <w:t>high</w:t>
      </w:r>
      <w:r w:rsidR="00C23C51">
        <w:rPr>
          <w:i/>
          <w:sz w:val="24"/>
          <w:szCs w:val="24"/>
        </w:rPr>
        <w:tab/>
      </w:r>
      <w:r w:rsidRPr="007B13AA">
        <w:rPr>
          <w:sz w:val="24"/>
          <w:szCs w:val="24"/>
        </w:rPr>
        <w:t>no</w:t>
      </w:r>
    </w:p>
    <w:p w14:paraId="44083F43" w14:textId="6CA1ADB4" w:rsidR="0072055B" w:rsidRPr="007B13AA" w:rsidRDefault="0072055B" w:rsidP="0072055B">
      <w:pPr>
        <w:rPr>
          <w:sz w:val="24"/>
          <w:szCs w:val="24"/>
        </w:rPr>
      </w:pPr>
      <w:r w:rsidRPr="007B13AA">
        <w:rPr>
          <w:i/>
          <w:sz w:val="24"/>
          <w:szCs w:val="24"/>
        </w:rPr>
        <w:t>Considerations here include qualitative aspects (for example, level of expertise required, complexity of bioinformatics pipelines, software requirements), and quantitative aspects (for example, time component of labour required, cost of software licencing).</w:t>
      </w:r>
      <w:r w:rsidR="00EC42ED" w:rsidRPr="007B13AA">
        <w:rPr>
          <w:i/>
          <w:sz w:val="24"/>
          <w:szCs w:val="24"/>
        </w:rPr>
        <w:t xml:space="preserve"> This information should be sufficient to enable an estimate of the resources required to generate an adequate interpretation of the test results.</w:t>
      </w:r>
    </w:p>
    <w:p w14:paraId="0B6FC409" w14:textId="77777777" w:rsidR="0072055B" w:rsidRPr="007B13AA" w:rsidRDefault="0072055B" w:rsidP="0072055B">
      <w:pPr>
        <w:rPr>
          <w:rFonts w:cstheme="majorHAnsi"/>
          <w:sz w:val="24"/>
          <w:szCs w:val="24"/>
        </w:rPr>
      </w:pPr>
      <w:r w:rsidRPr="007B13AA">
        <w:rPr>
          <w:rFonts w:cstheme="majorHAnsi"/>
          <w:sz w:val="24"/>
          <w:szCs w:val="24"/>
        </w:rPr>
        <w:t>Interpretive complexity for genetic testing results is dependent on:</w:t>
      </w:r>
    </w:p>
    <w:p w14:paraId="59C046D0" w14:textId="77777777" w:rsidR="0072055B" w:rsidRPr="007B13AA" w:rsidRDefault="0072055B" w:rsidP="003258A6">
      <w:pPr>
        <w:pStyle w:val="ListParagraph"/>
        <w:numPr>
          <w:ilvl w:val="0"/>
          <w:numId w:val="4"/>
        </w:numPr>
        <w:rPr>
          <w:rFonts w:cstheme="majorHAnsi"/>
          <w:sz w:val="24"/>
          <w:szCs w:val="24"/>
        </w:rPr>
      </w:pPr>
      <w:r w:rsidRPr="007B13AA">
        <w:rPr>
          <w:rFonts w:cstheme="majorHAnsi"/>
          <w:sz w:val="24"/>
          <w:szCs w:val="24"/>
        </w:rPr>
        <w:t>The type of variants identified and</w:t>
      </w:r>
    </w:p>
    <w:p w14:paraId="40698695" w14:textId="77777777" w:rsidR="0072055B" w:rsidRPr="007B13AA" w:rsidRDefault="0072055B" w:rsidP="003258A6">
      <w:pPr>
        <w:pStyle w:val="ListParagraph"/>
        <w:numPr>
          <w:ilvl w:val="0"/>
          <w:numId w:val="4"/>
        </w:numPr>
        <w:rPr>
          <w:rFonts w:cstheme="majorHAnsi"/>
          <w:sz w:val="24"/>
          <w:szCs w:val="24"/>
        </w:rPr>
      </w:pPr>
      <w:r w:rsidRPr="007B13AA">
        <w:rPr>
          <w:rFonts w:cstheme="majorHAnsi"/>
          <w:sz w:val="24"/>
          <w:szCs w:val="24"/>
        </w:rPr>
        <w:t>The number of variants identified (this is often proportional to the amount of sequence which is interrogated and analysed).</w:t>
      </w:r>
    </w:p>
    <w:p w14:paraId="2B5CE6FC" w14:textId="77777777" w:rsidR="0072055B" w:rsidRPr="007B13AA" w:rsidRDefault="0072055B" w:rsidP="0072055B">
      <w:pPr>
        <w:rPr>
          <w:rFonts w:cstheme="majorHAnsi"/>
          <w:sz w:val="24"/>
          <w:szCs w:val="24"/>
        </w:rPr>
      </w:pPr>
      <w:r w:rsidRPr="007B13AA">
        <w:rPr>
          <w:rFonts w:cstheme="majorHAnsi"/>
          <w:sz w:val="24"/>
          <w:szCs w:val="24"/>
        </w:rPr>
        <w:t>Published studies have reported the amount of time taken to effectively manually review, report and curate actionable variants is ~one hour per variant.</w:t>
      </w:r>
    </w:p>
    <w:p w14:paraId="261617C2" w14:textId="77777777" w:rsidR="0072055B" w:rsidRPr="007B13AA" w:rsidRDefault="0072055B" w:rsidP="0072055B">
      <w:pPr>
        <w:rPr>
          <w:sz w:val="24"/>
          <w:szCs w:val="24"/>
        </w:rPr>
      </w:pPr>
      <w:r w:rsidRPr="007B13AA">
        <w:rPr>
          <w:rFonts w:cstheme="majorHAnsi"/>
          <w:sz w:val="24"/>
          <w:szCs w:val="24"/>
        </w:rPr>
        <w:t>The analyses discussed here (single gene and small gene panels), interrogate and report on only a very small portion of the genome, and therefore a relatively small and manageable number of variants is expected to be identified. These variants would be expected to span a range of interpretive complexity, from well-recognised and annotated to complex variants of unknown significance. Thus, overall, the interpretive complexity would be expected to be intermediate and well within the capability of most laboratories already performing gene sequencing in a diagnostic setting for familial cancer predispositions.</w:t>
      </w:r>
      <w:r w:rsidRPr="007B13AA">
        <w:rPr>
          <w:sz w:val="24"/>
          <w:szCs w:val="24"/>
        </w:rPr>
        <w:br w:type="page"/>
      </w:r>
    </w:p>
    <w:p w14:paraId="0FECA790" w14:textId="77777777" w:rsidR="00B91440" w:rsidRPr="007B13AA" w:rsidRDefault="00B91440" w:rsidP="003258A6">
      <w:pPr>
        <w:pStyle w:val="Heading1"/>
        <w:numPr>
          <w:ilvl w:val="0"/>
          <w:numId w:val="23"/>
        </w:numPr>
      </w:pPr>
      <w:r w:rsidRPr="007B13AA">
        <w:lastRenderedPageBreak/>
        <w:t>ECONOMIC EVALUATIONS OF TESTING AFFECTED INDIVIDUALS AND CASCADE TESTING</w:t>
      </w:r>
    </w:p>
    <w:p w14:paraId="157C9602" w14:textId="6793817F" w:rsidR="00CD6916" w:rsidRPr="007B13AA" w:rsidRDefault="00CD6916" w:rsidP="00B91440">
      <w:pPr>
        <w:rPr>
          <w:sz w:val="24"/>
          <w:szCs w:val="24"/>
        </w:rPr>
      </w:pPr>
      <w:r w:rsidRPr="00D46C36">
        <w:rPr>
          <w:sz w:val="24"/>
          <w:szCs w:val="24"/>
        </w:rPr>
        <w:t>[TBA]</w:t>
      </w:r>
    </w:p>
    <w:p w14:paraId="04E502AD" w14:textId="77777777" w:rsidR="00B91440" w:rsidRPr="007B13AA" w:rsidRDefault="00B91440" w:rsidP="00B91440">
      <w:pPr>
        <w:rPr>
          <w:sz w:val="24"/>
          <w:szCs w:val="24"/>
        </w:rPr>
      </w:pPr>
      <w:r w:rsidRPr="007B13AA">
        <w:rPr>
          <w:sz w:val="24"/>
          <w:szCs w:val="24"/>
        </w:rPr>
        <w:br w:type="page"/>
      </w:r>
    </w:p>
    <w:p w14:paraId="60A465A3" w14:textId="77777777" w:rsidR="00B91440" w:rsidRPr="00B94F21" w:rsidRDefault="00B91440" w:rsidP="003258A6">
      <w:pPr>
        <w:pStyle w:val="Heading1"/>
        <w:numPr>
          <w:ilvl w:val="0"/>
          <w:numId w:val="23"/>
        </w:numPr>
      </w:pPr>
      <w:r w:rsidRPr="00B94F21">
        <w:lastRenderedPageBreak/>
        <w:t>FINANCIAL IMPLICATIONS OF TESTING AFFECTED INDIVIDUALS AND CASCADE TESTING</w:t>
      </w:r>
    </w:p>
    <w:p w14:paraId="0D7BE787" w14:textId="255A5506" w:rsidR="00F80F8B" w:rsidRPr="00877E44" w:rsidRDefault="00CD6916" w:rsidP="00F80F8B">
      <w:pPr>
        <w:rPr>
          <w:sz w:val="24"/>
          <w:szCs w:val="24"/>
        </w:rPr>
      </w:pPr>
      <w:r w:rsidRPr="00D46C36">
        <w:rPr>
          <w:sz w:val="24"/>
          <w:szCs w:val="24"/>
        </w:rPr>
        <w:t>[TBA]</w:t>
      </w:r>
    </w:p>
    <w:sectPr w:rsidR="00F80F8B" w:rsidRPr="00877E44" w:rsidSect="008B5AB2">
      <w:pgSz w:w="11906" w:h="16838"/>
      <w:pgMar w:top="1440" w:right="1440" w:bottom="1440"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425BD" w15:done="0"/>
  <w15:commentEx w15:paraId="5DE09B00" w15:done="0"/>
  <w15:commentEx w15:paraId="27A157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3A067" w14:textId="77777777" w:rsidR="00282988" w:rsidRDefault="00282988" w:rsidP="008B5AB2">
      <w:pPr>
        <w:spacing w:after="0" w:line="240" w:lineRule="auto"/>
      </w:pPr>
      <w:r>
        <w:separator/>
      </w:r>
    </w:p>
  </w:endnote>
  <w:endnote w:type="continuationSeparator" w:id="0">
    <w:p w14:paraId="669987B5" w14:textId="77777777" w:rsidR="00282988" w:rsidRDefault="00282988"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DE58E" w14:textId="77777777" w:rsidR="00427672" w:rsidRDefault="00427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A2EE" w14:textId="0F6F6FD2" w:rsidR="0086527E" w:rsidRDefault="0086527E" w:rsidP="005069C9">
    <w:pPr>
      <w:pStyle w:val="Footer"/>
      <w:tabs>
        <w:tab w:val="clear" w:pos="4513"/>
        <w:tab w:val="left" w:pos="1985"/>
      </w:tabs>
    </w:pPr>
    <w:r w:rsidRPr="007B13AA">
      <w:t>October</w:t>
    </w:r>
    <w:r>
      <w:t xml:space="preserve"> 2015</w:t>
    </w:r>
    <w:r>
      <w:tab/>
    </w:r>
    <w:r>
      <w:rPr>
        <w:color w:val="FF0000"/>
      </w:rPr>
      <w:t>BREAST AND/OR OVARIAN CANCER</w:t>
    </w:r>
    <w:r>
      <w:ptab w:relativeTo="margin" w:alignment="right" w:leader="none"/>
    </w:r>
    <w:r>
      <w:t xml:space="preserve">MSAC website: </w:t>
    </w:r>
    <w:hyperlink r:id="rId1" w:tooltip="Link to MSAC website" w:history="1">
      <w:r w:rsidRPr="003C77DC">
        <w:rPr>
          <w:rStyle w:val="Hyperlink"/>
        </w:rPr>
        <w:t>www.msac.gov.au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F3853" w14:textId="77777777" w:rsidR="00427672" w:rsidRDefault="00427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531D6" w14:textId="77777777" w:rsidR="00282988" w:rsidRDefault="00282988" w:rsidP="008B5AB2">
      <w:pPr>
        <w:spacing w:after="0" w:line="240" w:lineRule="auto"/>
      </w:pPr>
      <w:r>
        <w:separator/>
      </w:r>
    </w:p>
  </w:footnote>
  <w:footnote w:type="continuationSeparator" w:id="0">
    <w:p w14:paraId="438685C0" w14:textId="77777777" w:rsidR="00282988" w:rsidRDefault="00282988" w:rsidP="008B5AB2">
      <w:pPr>
        <w:spacing w:after="0" w:line="240" w:lineRule="auto"/>
      </w:pPr>
      <w:r>
        <w:continuationSeparator/>
      </w:r>
    </w:p>
  </w:footnote>
  <w:footnote w:id="1">
    <w:p w14:paraId="63B5448E" w14:textId="54AA9FEA" w:rsidR="0086527E" w:rsidRDefault="0086527E">
      <w:pPr>
        <w:pStyle w:val="FootnoteText"/>
      </w:pPr>
      <w:r>
        <w:rPr>
          <w:rStyle w:val="FootnoteReference"/>
        </w:rPr>
        <w:footnoteRef/>
      </w:r>
      <w:r>
        <w:t xml:space="preserve"> </w:t>
      </w:r>
      <w:r w:rsidRPr="00A94C03">
        <w:t>Antoniou, A. C., A. P. Cunningham, J. Peto, et al. 2008. "The BOADICEA model of genetic susceptibility to breast and ovarian cancers: updates and extensions." Br J Cancer 98(8):1457-1466.</w:t>
      </w:r>
    </w:p>
  </w:footnote>
  <w:footnote w:id="2">
    <w:p w14:paraId="64DD3648" w14:textId="2A12D65C" w:rsidR="0086527E" w:rsidRDefault="0086527E">
      <w:pPr>
        <w:pStyle w:val="FootnoteText"/>
      </w:pPr>
      <w:r>
        <w:rPr>
          <w:rStyle w:val="FootnoteReference"/>
        </w:rPr>
        <w:footnoteRef/>
      </w:r>
      <w:r>
        <w:t xml:space="preserve"> </w:t>
      </w:r>
      <w:r w:rsidRPr="00A94C03">
        <w:t>James, P. A., R. Doherty, M. Harris, et al. 2006. "Optimal selection of individuals for BRCA mutation testing: a comparison of available methods." J Clin Oncol 24(4):707-715.</w:t>
      </w:r>
    </w:p>
  </w:footnote>
  <w:footnote w:id="3">
    <w:p w14:paraId="00E98E19" w14:textId="111DFFB7" w:rsidR="0086527E" w:rsidRDefault="0086527E">
      <w:pPr>
        <w:pStyle w:val="FootnoteText"/>
      </w:pPr>
      <w:r>
        <w:rPr>
          <w:rStyle w:val="FootnoteReference"/>
        </w:rPr>
        <w:footnoteRef/>
      </w:r>
      <w:r>
        <w:t xml:space="preserve"> </w:t>
      </w:r>
      <w:r w:rsidRPr="00A94C03">
        <w:t>Evans, D. G., F. Lalloo, A. Cramer, et al. 2009. "Addition of pathology and biomarker information significantly improves the performance of the Manchester scoring system for BRCA1 and BRCA2 testing." J Med Genet 46(12):811-817.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699D2" w14:textId="77777777" w:rsidR="00427672" w:rsidRDefault="00427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E46D" w14:textId="6ACDF98E" w:rsidR="0086527E" w:rsidRDefault="0086527E" w:rsidP="00F16D50">
    <w:pPr>
      <w:pStyle w:val="Header"/>
      <w:jc w:val="right"/>
    </w:pPr>
    <w:r>
      <w:t xml:space="preserve">Page </w:t>
    </w:r>
    <w:r>
      <w:fldChar w:fldCharType="begin"/>
    </w:r>
    <w:r>
      <w:instrText xml:space="preserve"> PAGE   \* MERGEFORMAT </w:instrText>
    </w:r>
    <w:r>
      <w:fldChar w:fldCharType="separate"/>
    </w:r>
    <w:r w:rsidR="002A7769">
      <w:rPr>
        <w:noProof/>
      </w:rPr>
      <w:t>2</w:t>
    </w:r>
    <w:r>
      <w:fldChar w:fldCharType="end"/>
    </w:r>
    <w:r>
      <w:t xml:space="preserve"> of </w:t>
    </w:r>
    <w:r w:rsidR="002A7769">
      <w:fldChar w:fldCharType="begin"/>
    </w:r>
    <w:r w:rsidR="002A7769">
      <w:instrText xml:space="preserve"> NUMPAGES   \* MERGEFORMAT </w:instrText>
    </w:r>
    <w:r w:rsidR="002A7769">
      <w:fldChar w:fldCharType="separate"/>
    </w:r>
    <w:r w:rsidR="002A7769">
      <w:rPr>
        <w:noProof/>
      </w:rPr>
      <w:t>31</w:t>
    </w:r>
    <w:r w:rsidR="002A7769">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8F33A" w14:textId="77777777" w:rsidR="00427672" w:rsidRDefault="00427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BD1"/>
    <w:multiLevelType w:val="multilevel"/>
    <w:tmpl w:val="1C5E9516"/>
    <w:lvl w:ilvl="0">
      <w:start w:val="5"/>
      <w:numFmt w:val="decimal"/>
      <w:lvlText w:val="%1."/>
      <w:lvlJc w:val="left"/>
      <w:pPr>
        <w:ind w:left="360" w:hanging="360"/>
      </w:pPr>
      <w:rPr>
        <w:rFonts w:hint="default"/>
      </w:rPr>
    </w:lvl>
    <w:lvl w:ilvl="1">
      <w:start w:val="2"/>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312D94"/>
    <w:multiLevelType w:val="multilevel"/>
    <w:tmpl w:val="0494084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291110"/>
    <w:multiLevelType w:val="hybridMultilevel"/>
    <w:tmpl w:val="9CD62990"/>
    <w:lvl w:ilvl="0" w:tplc="0C090015">
      <w:start w:val="1"/>
      <w:numFmt w:val="upperLetter"/>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
    <w:nsid w:val="06CD1BBA"/>
    <w:multiLevelType w:val="multilevel"/>
    <w:tmpl w:val="DEFA9E3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EA1116"/>
    <w:multiLevelType w:val="multilevel"/>
    <w:tmpl w:val="C068085C"/>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0855EFD"/>
    <w:multiLevelType w:val="hybridMultilevel"/>
    <w:tmpl w:val="CF826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6C3A8B"/>
    <w:multiLevelType w:val="hybridMultilevel"/>
    <w:tmpl w:val="99E2F656"/>
    <w:lvl w:ilvl="0" w:tplc="B4FEF2F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48558BE"/>
    <w:multiLevelType w:val="multilevel"/>
    <w:tmpl w:val="9262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6D77831"/>
    <w:multiLevelType w:val="multilevel"/>
    <w:tmpl w:val="67605A76"/>
    <w:lvl w:ilvl="0">
      <w:start w:val="1"/>
      <w:numFmt w:val="decimal"/>
      <w:pStyle w:val="Heading1"/>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AD76C0F"/>
    <w:multiLevelType w:val="multilevel"/>
    <w:tmpl w:val="ABC8A9F4"/>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6C474C"/>
    <w:multiLevelType w:val="multilevel"/>
    <w:tmpl w:val="AA32BBE2"/>
    <w:lvl w:ilvl="0">
      <w:start w:val="1"/>
      <w:numFmt w:val="decimal"/>
      <w:lvlText w:val="%1"/>
      <w:lvlJc w:val="left"/>
      <w:pPr>
        <w:ind w:left="432" w:hanging="432"/>
      </w:pPr>
      <w:rPr>
        <w:rFonts w:hint="default"/>
      </w:rPr>
    </w:lvl>
    <w:lvl w:ilvl="1">
      <w:start w:val="4"/>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28C12C1"/>
    <w:multiLevelType w:val="multilevel"/>
    <w:tmpl w:val="683C5152"/>
    <w:lvl w:ilvl="0">
      <w:start w:val="3"/>
      <w:numFmt w:val="decimal"/>
      <w:lvlText w:val="%1."/>
      <w:lvlJc w:val="left"/>
      <w:pPr>
        <w:ind w:left="360" w:hanging="360"/>
      </w:pPr>
      <w:rPr>
        <w:rFonts w:hint="default"/>
      </w:rPr>
    </w:lvl>
    <w:lvl w:ilvl="1">
      <w:start w:val="5"/>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923909"/>
    <w:multiLevelType w:val="hybridMultilevel"/>
    <w:tmpl w:val="B81C9D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5D6FB5"/>
    <w:multiLevelType w:val="hybridMultilevel"/>
    <w:tmpl w:val="DC3479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472661"/>
    <w:multiLevelType w:val="hybridMultilevel"/>
    <w:tmpl w:val="E244E920"/>
    <w:lvl w:ilvl="0" w:tplc="30A4500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2A14C79"/>
    <w:multiLevelType w:val="hybridMultilevel"/>
    <w:tmpl w:val="2B769BEE"/>
    <w:lvl w:ilvl="0" w:tplc="396EA4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FD1177"/>
    <w:multiLevelType w:val="hybridMultilevel"/>
    <w:tmpl w:val="4856955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5E934EA"/>
    <w:multiLevelType w:val="hybridMultilevel"/>
    <w:tmpl w:val="DC3479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9D51BE"/>
    <w:multiLevelType w:val="multilevel"/>
    <w:tmpl w:val="28A0DC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0202D7A"/>
    <w:multiLevelType w:val="multilevel"/>
    <w:tmpl w:val="D8F4989C"/>
    <w:lvl w:ilvl="0">
      <w:start w:val="3"/>
      <w:numFmt w:val="decimal"/>
      <w:lvlText w:val="%1."/>
      <w:lvlJc w:val="left"/>
      <w:pPr>
        <w:ind w:left="360" w:hanging="360"/>
      </w:pPr>
      <w:rPr>
        <w:rFonts w:hint="default"/>
      </w:rPr>
    </w:lvl>
    <w:lvl w:ilvl="1">
      <w:start w:val="3"/>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74E26DC"/>
    <w:multiLevelType w:val="multilevel"/>
    <w:tmpl w:val="D16488B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E06FD2"/>
    <w:multiLevelType w:val="hybridMultilevel"/>
    <w:tmpl w:val="1A883F7E"/>
    <w:lvl w:ilvl="0" w:tplc="D83873B0">
      <w:start w:val="1"/>
      <w:numFmt w:val="upperLetter"/>
      <w:lvlText w:val="%1."/>
      <w:lvlJc w:val="left"/>
      <w:pPr>
        <w:ind w:left="6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7F3C98"/>
    <w:multiLevelType w:val="hybridMultilevel"/>
    <w:tmpl w:val="CAC2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ED7E0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2"/>
  </w:num>
  <w:num w:numId="3">
    <w:abstractNumId w:val="13"/>
  </w:num>
  <w:num w:numId="4">
    <w:abstractNumId w:val="17"/>
  </w:num>
  <w:num w:numId="5">
    <w:abstractNumId w:val="15"/>
  </w:num>
  <w:num w:numId="6">
    <w:abstractNumId w:val="5"/>
  </w:num>
  <w:num w:numId="7">
    <w:abstractNumId w:val="12"/>
  </w:num>
  <w:num w:numId="8">
    <w:abstractNumId w:val="16"/>
  </w:num>
  <w:num w:numId="9">
    <w:abstractNumId w:val="2"/>
  </w:num>
  <w:num w:numId="10">
    <w:abstractNumId w:val="21"/>
  </w:num>
  <w:num w:numId="11">
    <w:abstractNumId w:val="6"/>
  </w:num>
  <w:num w:numId="12">
    <w:abstractNumId w:val="14"/>
  </w:num>
  <w:num w:numId="13">
    <w:abstractNumId w:val="7"/>
  </w:num>
  <w:num w:numId="14">
    <w:abstractNumId w:val="2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1"/>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0"/>
  </w:num>
  <w:num w:numId="24">
    <w:abstractNumId w:val="8"/>
  </w:num>
  <w:num w:numId="25">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Kirk">
    <w15:presenceInfo w15:providerId="None" w15:userId="Judy Ki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68E4"/>
    <w:rsid w:val="00013BFA"/>
    <w:rsid w:val="000245EB"/>
    <w:rsid w:val="0003147F"/>
    <w:rsid w:val="00032C0D"/>
    <w:rsid w:val="000372EB"/>
    <w:rsid w:val="000430B7"/>
    <w:rsid w:val="0004583C"/>
    <w:rsid w:val="0005199D"/>
    <w:rsid w:val="000526B4"/>
    <w:rsid w:val="00063DDC"/>
    <w:rsid w:val="0008280D"/>
    <w:rsid w:val="0009606C"/>
    <w:rsid w:val="00097D54"/>
    <w:rsid w:val="000A6441"/>
    <w:rsid w:val="000B5D19"/>
    <w:rsid w:val="000C21D6"/>
    <w:rsid w:val="000C32C9"/>
    <w:rsid w:val="000D26D4"/>
    <w:rsid w:val="000D5304"/>
    <w:rsid w:val="000F173F"/>
    <w:rsid w:val="000F503D"/>
    <w:rsid w:val="00101164"/>
    <w:rsid w:val="00113F71"/>
    <w:rsid w:val="00140619"/>
    <w:rsid w:val="00162181"/>
    <w:rsid w:val="00165D77"/>
    <w:rsid w:val="00166958"/>
    <w:rsid w:val="00171BA6"/>
    <w:rsid w:val="0018047F"/>
    <w:rsid w:val="00186B70"/>
    <w:rsid w:val="001A42D2"/>
    <w:rsid w:val="001A5FF6"/>
    <w:rsid w:val="001A7267"/>
    <w:rsid w:val="001C1925"/>
    <w:rsid w:val="001C3CC1"/>
    <w:rsid w:val="001C689C"/>
    <w:rsid w:val="001E6C5C"/>
    <w:rsid w:val="001E758B"/>
    <w:rsid w:val="001F5EF5"/>
    <w:rsid w:val="0020701D"/>
    <w:rsid w:val="00216C49"/>
    <w:rsid w:val="002251DE"/>
    <w:rsid w:val="00231BA5"/>
    <w:rsid w:val="0023571A"/>
    <w:rsid w:val="002521F0"/>
    <w:rsid w:val="00255D12"/>
    <w:rsid w:val="00267B0B"/>
    <w:rsid w:val="00277345"/>
    <w:rsid w:val="00282988"/>
    <w:rsid w:val="00284222"/>
    <w:rsid w:val="0028785E"/>
    <w:rsid w:val="00297462"/>
    <w:rsid w:val="002A7769"/>
    <w:rsid w:val="002A7B74"/>
    <w:rsid w:val="002C23F0"/>
    <w:rsid w:val="002C32F8"/>
    <w:rsid w:val="002E3E4E"/>
    <w:rsid w:val="002E463E"/>
    <w:rsid w:val="002F5A47"/>
    <w:rsid w:val="00314B4F"/>
    <w:rsid w:val="003258A6"/>
    <w:rsid w:val="00332A72"/>
    <w:rsid w:val="003375AE"/>
    <w:rsid w:val="00343A78"/>
    <w:rsid w:val="0034619C"/>
    <w:rsid w:val="00347857"/>
    <w:rsid w:val="00347BCF"/>
    <w:rsid w:val="00350C8D"/>
    <w:rsid w:val="00353E8B"/>
    <w:rsid w:val="00354992"/>
    <w:rsid w:val="003644A9"/>
    <w:rsid w:val="003707B3"/>
    <w:rsid w:val="0037615D"/>
    <w:rsid w:val="00382C83"/>
    <w:rsid w:val="00384B40"/>
    <w:rsid w:val="00393B51"/>
    <w:rsid w:val="00393D50"/>
    <w:rsid w:val="003A3A40"/>
    <w:rsid w:val="003A539C"/>
    <w:rsid w:val="003B16AA"/>
    <w:rsid w:val="003C3622"/>
    <w:rsid w:val="003C4A66"/>
    <w:rsid w:val="003D5812"/>
    <w:rsid w:val="003E1F3E"/>
    <w:rsid w:val="003E3DA7"/>
    <w:rsid w:val="003F196A"/>
    <w:rsid w:val="0040230F"/>
    <w:rsid w:val="00404B28"/>
    <w:rsid w:val="004055D3"/>
    <w:rsid w:val="00405C5D"/>
    <w:rsid w:val="0040692E"/>
    <w:rsid w:val="0041331F"/>
    <w:rsid w:val="00413E51"/>
    <w:rsid w:val="00421CF1"/>
    <w:rsid w:val="00422CAF"/>
    <w:rsid w:val="00422EEE"/>
    <w:rsid w:val="00427672"/>
    <w:rsid w:val="00432F6E"/>
    <w:rsid w:val="00440074"/>
    <w:rsid w:val="00452D22"/>
    <w:rsid w:val="00457C3D"/>
    <w:rsid w:val="004621A1"/>
    <w:rsid w:val="00463D83"/>
    <w:rsid w:val="00472852"/>
    <w:rsid w:val="00474BCA"/>
    <w:rsid w:val="00493B51"/>
    <w:rsid w:val="00493D16"/>
    <w:rsid w:val="0049550F"/>
    <w:rsid w:val="004D05A7"/>
    <w:rsid w:val="004D3968"/>
    <w:rsid w:val="004E019E"/>
    <w:rsid w:val="004E63D3"/>
    <w:rsid w:val="004F129B"/>
    <w:rsid w:val="004F4E72"/>
    <w:rsid w:val="004F7A58"/>
    <w:rsid w:val="005008F9"/>
    <w:rsid w:val="00500B93"/>
    <w:rsid w:val="00504BA5"/>
    <w:rsid w:val="00505F2F"/>
    <w:rsid w:val="005069C9"/>
    <w:rsid w:val="00507419"/>
    <w:rsid w:val="00513343"/>
    <w:rsid w:val="00520B70"/>
    <w:rsid w:val="005234C1"/>
    <w:rsid w:val="00530066"/>
    <w:rsid w:val="00530E15"/>
    <w:rsid w:val="00534105"/>
    <w:rsid w:val="00535503"/>
    <w:rsid w:val="00540C54"/>
    <w:rsid w:val="00557F74"/>
    <w:rsid w:val="00561961"/>
    <w:rsid w:val="005833E3"/>
    <w:rsid w:val="00584301"/>
    <w:rsid w:val="005A3778"/>
    <w:rsid w:val="005B1837"/>
    <w:rsid w:val="005B2326"/>
    <w:rsid w:val="005D1C27"/>
    <w:rsid w:val="005D774D"/>
    <w:rsid w:val="005E257B"/>
    <w:rsid w:val="005E2B88"/>
    <w:rsid w:val="005E4BE0"/>
    <w:rsid w:val="005F0481"/>
    <w:rsid w:val="005F18C2"/>
    <w:rsid w:val="006042F1"/>
    <w:rsid w:val="00612A44"/>
    <w:rsid w:val="00616627"/>
    <w:rsid w:val="00627C5F"/>
    <w:rsid w:val="00641F1A"/>
    <w:rsid w:val="00645229"/>
    <w:rsid w:val="00663825"/>
    <w:rsid w:val="006814E1"/>
    <w:rsid w:val="00693DD4"/>
    <w:rsid w:val="006B6D96"/>
    <w:rsid w:val="006C0D10"/>
    <w:rsid w:val="006C39DD"/>
    <w:rsid w:val="006C5746"/>
    <w:rsid w:val="006C5E6E"/>
    <w:rsid w:val="006D155C"/>
    <w:rsid w:val="006E2469"/>
    <w:rsid w:val="006F19B7"/>
    <w:rsid w:val="0072055B"/>
    <w:rsid w:val="0073138F"/>
    <w:rsid w:val="00731E55"/>
    <w:rsid w:val="00732570"/>
    <w:rsid w:val="00734138"/>
    <w:rsid w:val="00744F5C"/>
    <w:rsid w:val="00757639"/>
    <w:rsid w:val="00757C12"/>
    <w:rsid w:val="00773725"/>
    <w:rsid w:val="007969EE"/>
    <w:rsid w:val="007A04DD"/>
    <w:rsid w:val="007A0FF1"/>
    <w:rsid w:val="007A2377"/>
    <w:rsid w:val="007B13AA"/>
    <w:rsid w:val="007B2D4C"/>
    <w:rsid w:val="007B65A1"/>
    <w:rsid w:val="007D6BC7"/>
    <w:rsid w:val="007D6BE5"/>
    <w:rsid w:val="007E6C29"/>
    <w:rsid w:val="007F14A0"/>
    <w:rsid w:val="007F5D79"/>
    <w:rsid w:val="00815EC5"/>
    <w:rsid w:val="00816094"/>
    <w:rsid w:val="00817169"/>
    <w:rsid w:val="0082531F"/>
    <w:rsid w:val="0083226F"/>
    <w:rsid w:val="0083383C"/>
    <w:rsid w:val="008378D4"/>
    <w:rsid w:val="00847B1B"/>
    <w:rsid w:val="00853793"/>
    <w:rsid w:val="0086527E"/>
    <w:rsid w:val="00866ACF"/>
    <w:rsid w:val="008725C2"/>
    <w:rsid w:val="00874BA7"/>
    <w:rsid w:val="008766C5"/>
    <w:rsid w:val="00877E44"/>
    <w:rsid w:val="00884D95"/>
    <w:rsid w:val="008857A7"/>
    <w:rsid w:val="00890E2B"/>
    <w:rsid w:val="008A691B"/>
    <w:rsid w:val="008B1DF9"/>
    <w:rsid w:val="008B4918"/>
    <w:rsid w:val="008B5AB2"/>
    <w:rsid w:val="008C5671"/>
    <w:rsid w:val="008D4D22"/>
    <w:rsid w:val="008D67B6"/>
    <w:rsid w:val="008F2C2A"/>
    <w:rsid w:val="008F65DC"/>
    <w:rsid w:val="0090090F"/>
    <w:rsid w:val="00904053"/>
    <w:rsid w:val="00906EF6"/>
    <w:rsid w:val="00907D85"/>
    <w:rsid w:val="00924AFF"/>
    <w:rsid w:val="00932291"/>
    <w:rsid w:val="0094230F"/>
    <w:rsid w:val="00954479"/>
    <w:rsid w:val="009676C7"/>
    <w:rsid w:val="00973FD9"/>
    <w:rsid w:val="00974FA7"/>
    <w:rsid w:val="009768DF"/>
    <w:rsid w:val="009A061B"/>
    <w:rsid w:val="009A5E57"/>
    <w:rsid w:val="009A6A4E"/>
    <w:rsid w:val="009C774E"/>
    <w:rsid w:val="009D2632"/>
    <w:rsid w:val="009F0122"/>
    <w:rsid w:val="009F1375"/>
    <w:rsid w:val="009F4C52"/>
    <w:rsid w:val="009F4DB1"/>
    <w:rsid w:val="009F501B"/>
    <w:rsid w:val="009F77C7"/>
    <w:rsid w:val="009F7E7D"/>
    <w:rsid w:val="00A06BA9"/>
    <w:rsid w:val="00A146DE"/>
    <w:rsid w:val="00A1558D"/>
    <w:rsid w:val="00A16297"/>
    <w:rsid w:val="00A32A53"/>
    <w:rsid w:val="00A44A22"/>
    <w:rsid w:val="00A47534"/>
    <w:rsid w:val="00A54D86"/>
    <w:rsid w:val="00A66C86"/>
    <w:rsid w:val="00A67956"/>
    <w:rsid w:val="00A7798D"/>
    <w:rsid w:val="00A878F4"/>
    <w:rsid w:val="00A94C03"/>
    <w:rsid w:val="00A96A02"/>
    <w:rsid w:val="00AA0B2C"/>
    <w:rsid w:val="00AA1F4A"/>
    <w:rsid w:val="00AB2A0B"/>
    <w:rsid w:val="00AC39EF"/>
    <w:rsid w:val="00AD0C72"/>
    <w:rsid w:val="00AE4815"/>
    <w:rsid w:val="00AF1D96"/>
    <w:rsid w:val="00AF3A8D"/>
    <w:rsid w:val="00AF3C4D"/>
    <w:rsid w:val="00AF5C78"/>
    <w:rsid w:val="00B02903"/>
    <w:rsid w:val="00B111DC"/>
    <w:rsid w:val="00B2380C"/>
    <w:rsid w:val="00B26BB3"/>
    <w:rsid w:val="00B355D7"/>
    <w:rsid w:val="00B43FA3"/>
    <w:rsid w:val="00B460C8"/>
    <w:rsid w:val="00B460E0"/>
    <w:rsid w:val="00B524CD"/>
    <w:rsid w:val="00B604D7"/>
    <w:rsid w:val="00B65171"/>
    <w:rsid w:val="00B81E00"/>
    <w:rsid w:val="00B82BA9"/>
    <w:rsid w:val="00B85039"/>
    <w:rsid w:val="00B91440"/>
    <w:rsid w:val="00B91483"/>
    <w:rsid w:val="00B94F21"/>
    <w:rsid w:val="00BA2617"/>
    <w:rsid w:val="00BA2AEB"/>
    <w:rsid w:val="00BA2E1D"/>
    <w:rsid w:val="00BA5E8C"/>
    <w:rsid w:val="00BA684D"/>
    <w:rsid w:val="00BA7E98"/>
    <w:rsid w:val="00BB61B0"/>
    <w:rsid w:val="00BC04B7"/>
    <w:rsid w:val="00BC39C2"/>
    <w:rsid w:val="00BC6CAA"/>
    <w:rsid w:val="00BD14DF"/>
    <w:rsid w:val="00BD1F73"/>
    <w:rsid w:val="00BD52CA"/>
    <w:rsid w:val="00BE0F9E"/>
    <w:rsid w:val="00BE694B"/>
    <w:rsid w:val="00BE7C5F"/>
    <w:rsid w:val="00BF48D5"/>
    <w:rsid w:val="00C03B17"/>
    <w:rsid w:val="00C078D7"/>
    <w:rsid w:val="00C11C92"/>
    <w:rsid w:val="00C155EB"/>
    <w:rsid w:val="00C23C50"/>
    <w:rsid w:val="00C23C51"/>
    <w:rsid w:val="00C250EB"/>
    <w:rsid w:val="00C35615"/>
    <w:rsid w:val="00C466E3"/>
    <w:rsid w:val="00C55C04"/>
    <w:rsid w:val="00C638E1"/>
    <w:rsid w:val="00C82DD1"/>
    <w:rsid w:val="00C858E4"/>
    <w:rsid w:val="00C96968"/>
    <w:rsid w:val="00C975E1"/>
    <w:rsid w:val="00CA2EE2"/>
    <w:rsid w:val="00CC3C00"/>
    <w:rsid w:val="00CD534F"/>
    <w:rsid w:val="00CD6916"/>
    <w:rsid w:val="00CD7926"/>
    <w:rsid w:val="00CE08AE"/>
    <w:rsid w:val="00CF4FB4"/>
    <w:rsid w:val="00D033F9"/>
    <w:rsid w:val="00D122A2"/>
    <w:rsid w:val="00D164BD"/>
    <w:rsid w:val="00D20F70"/>
    <w:rsid w:val="00D2793E"/>
    <w:rsid w:val="00D31353"/>
    <w:rsid w:val="00D36C50"/>
    <w:rsid w:val="00D37964"/>
    <w:rsid w:val="00D37A67"/>
    <w:rsid w:val="00D4323D"/>
    <w:rsid w:val="00D4528F"/>
    <w:rsid w:val="00D45718"/>
    <w:rsid w:val="00D46C36"/>
    <w:rsid w:val="00D51214"/>
    <w:rsid w:val="00D57682"/>
    <w:rsid w:val="00D94AC7"/>
    <w:rsid w:val="00DA3EBE"/>
    <w:rsid w:val="00DA5883"/>
    <w:rsid w:val="00DA6FB0"/>
    <w:rsid w:val="00DB1E4B"/>
    <w:rsid w:val="00DF306D"/>
    <w:rsid w:val="00E07B0E"/>
    <w:rsid w:val="00E134A5"/>
    <w:rsid w:val="00E25C92"/>
    <w:rsid w:val="00E37570"/>
    <w:rsid w:val="00E50905"/>
    <w:rsid w:val="00E74A24"/>
    <w:rsid w:val="00E838F3"/>
    <w:rsid w:val="00E85EA0"/>
    <w:rsid w:val="00E86052"/>
    <w:rsid w:val="00E936BB"/>
    <w:rsid w:val="00EB7866"/>
    <w:rsid w:val="00EC015F"/>
    <w:rsid w:val="00EC02FE"/>
    <w:rsid w:val="00EC0860"/>
    <w:rsid w:val="00EC42ED"/>
    <w:rsid w:val="00EC54E1"/>
    <w:rsid w:val="00ED68F1"/>
    <w:rsid w:val="00EE1B54"/>
    <w:rsid w:val="00EE6E40"/>
    <w:rsid w:val="00EF30A3"/>
    <w:rsid w:val="00EF3ED2"/>
    <w:rsid w:val="00EF409F"/>
    <w:rsid w:val="00F0130C"/>
    <w:rsid w:val="00F03BDD"/>
    <w:rsid w:val="00F058F2"/>
    <w:rsid w:val="00F137DB"/>
    <w:rsid w:val="00F16D50"/>
    <w:rsid w:val="00F17ADD"/>
    <w:rsid w:val="00F21243"/>
    <w:rsid w:val="00F276CC"/>
    <w:rsid w:val="00F36E0E"/>
    <w:rsid w:val="00F562CC"/>
    <w:rsid w:val="00F614D9"/>
    <w:rsid w:val="00F73BB5"/>
    <w:rsid w:val="00F80F8B"/>
    <w:rsid w:val="00F85769"/>
    <w:rsid w:val="00F932FD"/>
    <w:rsid w:val="00F96108"/>
    <w:rsid w:val="00FA627F"/>
    <w:rsid w:val="00FA6442"/>
    <w:rsid w:val="00FA7C9F"/>
    <w:rsid w:val="00FF13AA"/>
    <w:rsid w:val="00FF2A01"/>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7267"/>
    <w:pPr>
      <w:keepNext/>
      <w:keepLines/>
      <w:numPr>
        <w:numId w:val="24"/>
      </w:numPr>
      <w:spacing w:after="120"/>
      <w:outlineLvl w:val="0"/>
    </w:pPr>
    <w:rPr>
      <w:rFonts w:eastAsiaTheme="majorEastAsia" w:cstheme="majorBidi"/>
      <w:b/>
      <w:bCs/>
      <w:sz w:val="24"/>
      <w:szCs w:val="28"/>
    </w:rPr>
  </w:style>
  <w:style w:type="paragraph" w:styleId="Heading2">
    <w:name w:val="heading 2"/>
    <w:basedOn w:val="ListParagraph"/>
    <w:next w:val="Normal"/>
    <w:link w:val="Heading2Char"/>
    <w:uiPriority w:val="9"/>
    <w:unhideWhenUsed/>
    <w:qFormat/>
    <w:rsid w:val="00BE0F9E"/>
    <w:pPr>
      <w:keepNext/>
      <w:numPr>
        <w:ilvl w:val="1"/>
        <w:numId w:val="23"/>
      </w:numPr>
      <w:outlineLvl w:val="1"/>
    </w:pPr>
    <w:rPr>
      <w:b/>
      <w:sz w:val="24"/>
      <w:szCs w:val="24"/>
    </w:rPr>
  </w:style>
  <w:style w:type="paragraph" w:styleId="Heading3">
    <w:name w:val="heading 3"/>
    <w:basedOn w:val="Normal"/>
    <w:next w:val="Normal"/>
    <w:link w:val="Heading3Char"/>
    <w:uiPriority w:val="9"/>
    <w:unhideWhenUsed/>
    <w:qFormat/>
    <w:rsid w:val="006F19B7"/>
    <w:pPr>
      <w:spacing w:after="0" w:line="240" w:lineRule="auto"/>
      <w:outlineLvl w:val="2"/>
    </w:pPr>
    <w:rPr>
      <w:sz w:val="24"/>
      <w:szCs w:val="24"/>
      <w:u w:val="single"/>
    </w:rPr>
  </w:style>
  <w:style w:type="paragraph" w:styleId="Heading4">
    <w:name w:val="heading 4"/>
    <w:basedOn w:val="Normal"/>
    <w:next w:val="Normal"/>
    <w:link w:val="Heading4Char"/>
    <w:uiPriority w:val="9"/>
    <w:unhideWhenUsed/>
    <w:qFormat/>
    <w:rsid w:val="006F19B7"/>
    <w:pPr>
      <w:keepNext/>
      <w:keepLines/>
      <w:numPr>
        <w:ilvl w:val="3"/>
        <w:numId w:val="24"/>
      </w:numPr>
      <w:spacing w:before="200" w:after="0"/>
      <w:outlineLvl w:val="3"/>
    </w:pPr>
    <w:rPr>
      <w:rFonts w:eastAsiaTheme="majorEastAsia" w:cstheme="majorBidi"/>
      <w:bCs/>
      <w:iCs/>
      <w:sz w:val="24"/>
      <w:u w:val="single"/>
    </w:rPr>
  </w:style>
  <w:style w:type="paragraph" w:styleId="Heading5">
    <w:name w:val="heading 5"/>
    <w:basedOn w:val="Normal"/>
    <w:next w:val="Normal"/>
    <w:link w:val="Heading5Char"/>
    <w:uiPriority w:val="9"/>
    <w:semiHidden/>
    <w:unhideWhenUsed/>
    <w:qFormat/>
    <w:rsid w:val="00BA5E8C"/>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5E8C"/>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5E8C"/>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5E8C"/>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5E8C"/>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customStyle="1" w:styleId="2909F619802848F09E01365C32F34654">
    <w:name w:val="2909F619802848F09E01365C32F34654"/>
    <w:rsid w:val="006B6D96"/>
    <w:rPr>
      <w:rFonts w:eastAsiaTheme="minorEastAsia"/>
      <w:lang w:val="en-US" w:eastAsia="ja-JP"/>
    </w:rPr>
  </w:style>
  <w:style w:type="character" w:styleId="CommentReference">
    <w:name w:val="annotation reference"/>
    <w:basedOn w:val="DefaultParagraphFont"/>
    <w:uiPriority w:val="99"/>
    <w:semiHidden/>
    <w:unhideWhenUsed/>
    <w:rsid w:val="00097D54"/>
    <w:rPr>
      <w:sz w:val="16"/>
      <w:szCs w:val="16"/>
    </w:rPr>
  </w:style>
  <w:style w:type="paragraph" w:styleId="CommentText">
    <w:name w:val="annotation text"/>
    <w:basedOn w:val="Normal"/>
    <w:link w:val="CommentTextChar"/>
    <w:uiPriority w:val="99"/>
    <w:unhideWhenUsed/>
    <w:rsid w:val="00097D54"/>
    <w:pPr>
      <w:spacing w:line="240" w:lineRule="auto"/>
    </w:pPr>
    <w:rPr>
      <w:sz w:val="20"/>
      <w:szCs w:val="20"/>
    </w:rPr>
  </w:style>
  <w:style w:type="character" w:customStyle="1" w:styleId="CommentTextChar">
    <w:name w:val="Comment Text Char"/>
    <w:basedOn w:val="DefaultParagraphFont"/>
    <w:link w:val="CommentText"/>
    <w:uiPriority w:val="99"/>
    <w:rsid w:val="00097D54"/>
    <w:rPr>
      <w:sz w:val="20"/>
      <w:szCs w:val="20"/>
    </w:rPr>
  </w:style>
  <w:style w:type="paragraph" w:styleId="CommentSubject">
    <w:name w:val="annotation subject"/>
    <w:basedOn w:val="CommentText"/>
    <w:next w:val="CommentText"/>
    <w:link w:val="CommentSubjectChar"/>
    <w:uiPriority w:val="99"/>
    <w:semiHidden/>
    <w:unhideWhenUsed/>
    <w:rsid w:val="00097D54"/>
    <w:rPr>
      <w:b/>
      <w:bCs/>
    </w:rPr>
  </w:style>
  <w:style w:type="character" w:customStyle="1" w:styleId="CommentSubjectChar">
    <w:name w:val="Comment Subject Char"/>
    <w:basedOn w:val="CommentTextChar"/>
    <w:link w:val="CommentSubject"/>
    <w:uiPriority w:val="99"/>
    <w:semiHidden/>
    <w:rsid w:val="00097D54"/>
    <w:rPr>
      <w:b/>
      <w:bCs/>
      <w:sz w:val="20"/>
      <w:szCs w:val="20"/>
    </w:rPr>
  </w:style>
  <w:style w:type="paragraph" w:styleId="EndnoteText">
    <w:name w:val="endnote text"/>
    <w:basedOn w:val="Normal"/>
    <w:link w:val="EndnoteTextChar"/>
    <w:uiPriority w:val="99"/>
    <w:semiHidden/>
    <w:unhideWhenUsed/>
    <w:rsid w:val="004D3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968"/>
    <w:rPr>
      <w:sz w:val="20"/>
      <w:szCs w:val="20"/>
    </w:rPr>
  </w:style>
  <w:style w:type="character" w:styleId="EndnoteReference">
    <w:name w:val="endnote reference"/>
    <w:basedOn w:val="DefaultParagraphFont"/>
    <w:uiPriority w:val="99"/>
    <w:semiHidden/>
    <w:unhideWhenUsed/>
    <w:rsid w:val="004D3968"/>
    <w:rPr>
      <w:vertAlign w:val="superscript"/>
    </w:rPr>
  </w:style>
  <w:style w:type="paragraph" w:styleId="FootnoteText">
    <w:name w:val="footnote text"/>
    <w:basedOn w:val="Normal"/>
    <w:link w:val="FootnoteTextChar"/>
    <w:uiPriority w:val="99"/>
    <w:semiHidden/>
    <w:unhideWhenUsed/>
    <w:rsid w:val="004D3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968"/>
    <w:rPr>
      <w:sz w:val="20"/>
      <w:szCs w:val="20"/>
    </w:rPr>
  </w:style>
  <w:style w:type="character" w:styleId="FootnoteReference">
    <w:name w:val="footnote reference"/>
    <w:basedOn w:val="DefaultParagraphFont"/>
    <w:uiPriority w:val="99"/>
    <w:semiHidden/>
    <w:unhideWhenUsed/>
    <w:rsid w:val="004D3968"/>
    <w:rPr>
      <w:vertAlign w:val="superscript"/>
    </w:rPr>
  </w:style>
  <w:style w:type="paragraph" w:styleId="Revision">
    <w:name w:val="Revision"/>
    <w:hidden/>
    <w:uiPriority w:val="99"/>
    <w:semiHidden/>
    <w:rsid w:val="00EF409F"/>
    <w:pPr>
      <w:spacing w:after="0" w:line="240" w:lineRule="auto"/>
    </w:pPr>
  </w:style>
  <w:style w:type="character" w:customStyle="1" w:styleId="apple-converted-space">
    <w:name w:val="apple-converted-space"/>
    <w:basedOn w:val="DefaultParagraphFont"/>
    <w:rsid w:val="00BD14DF"/>
  </w:style>
  <w:style w:type="character" w:customStyle="1" w:styleId="Heading1Char">
    <w:name w:val="Heading 1 Char"/>
    <w:basedOn w:val="DefaultParagraphFont"/>
    <w:link w:val="Heading1"/>
    <w:uiPriority w:val="9"/>
    <w:rsid w:val="001A7267"/>
    <w:rPr>
      <w:rFonts w:eastAsiaTheme="majorEastAsia" w:cstheme="majorBidi"/>
      <w:b/>
      <w:bCs/>
      <w:sz w:val="24"/>
      <w:szCs w:val="28"/>
    </w:rPr>
  </w:style>
  <w:style w:type="character" w:customStyle="1" w:styleId="Heading2Char">
    <w:name w:val="Heading 2 Char"/>
    <w:basedOn w:val="DefaultParagraphFont"/>
    <w:link w:val="Heading2"/>
    <w:uiPriority w:val="9"/>
    <w:rsid w:val="00BE0F9E"/>
    <w:rPr>
      <w:b/>
      <w:sz w:val="24"/>
      <w:szCs w:val="24"/>
    </w:rPr>
  </w:style>
  <w:style w:type="character" w:customStyle="1" w:styleId="Heading3Char">
    <w:name w:val="Heading 3 Char"/>
    <w:basedOn w:val="DefaultParagraphFont"/>
    <w:link w:val="Heading3"/>
    <w:uiPriority w:val="9"/>
    <w:rsid w:val="006F19B7"/>
    <w:rPr>
      <w:sz w:val="24"/>
      <w:szCs w:val="24"/>
      <w:u w:val="single"/>
    </w:rPr>
  </w:style>
  <w:style w:type="character" w:customStyle="1" w:styleId="Heading4Char">
    <w:name w:val="Heading 4 Char"/>
    <w:basedOn w:val="DefaultParagraphFont"/>
    <w:link w:val="Heading4"/>
    <w:uiPriority w:val="9"/>
    <w:rsid w:val="006F19B7"/>
    <w:rPr>
      <w:rFonts w:eastAsiaTheme="majorEastAsia" w:cstheme="majorBidi"/>
      <w:bCs/>
      <w:iCs/>
      <w:sz w:val="24"/>
      <w:u w:val="single"/>
    </w:rPr>
  </w:style>
  <w:style w:type="character" w:customStyle="1" w:styleId="Heading5Char">
    <w:name w:val="Heading 5 Char"/>
    <w:basedOn w:val="DefaultParagraphFont"/>
    <w:link w:val="Heading5"/>
    <w:uiPriority w:val="9"/>
    <w:semiHidden/>
    <w:rsid w:val="00BA5E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5E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A5E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5E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5E8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7267"/>
    <w:pPr>
      <w:keepNext/>
      <w:keepLines/>
      <w:numPr>
        <w:numId w:val="24"/>
      </w:numPr>
      <w:spacing w:after="120"/>
      <w:outlineLvl w:val="0"/>
    </w:pPr>
    <w:rPr>
      <w:rFonts w:eastAsiaTheme="majorEastAsia" w:cstheme="majorBidi"/>
      <w:b/>
      <w:bCs/>
      <w:sz w:val="24"/>
      <w:szCs w:val="28"/>
    </w:rPr>
  </w:style>
  <w:style w:type="paragraph" w:styleId="Heading2">
    <w:name w:val="heading 2"/>
    <w:basedOn w:val="ListParagraph"/>
    <w:next w:val="Normal"/>
    <w:link w:val="Heading2Char"/>
    <w:uiPriority w:val="9"/>
    <w:unhideWhenUsed/>
    <w:qFormat/>
    <w:rsid w:val="00BE0F9E"/>
    <w:pPr>
      <w:keepNext/>
      <w:numPr>
        <w:ilvl w:val="1"/>
        <w:numId w:val="23"/>
      </w:numPr>
      <w:outlineLvl w:val="1"/>
    </w:pPr>
    <w:rPr>
      <w:b/>
      <w:sz w:val="24"/>
      <w:szCs w:val="24"/>
    </w:rPr>
  </w:style>
  <w:style w:type="paragraph" w:styleId="Heading3">
    <w:name w:val="heading 3"/>
    <w:basedOn w:val="Normal"/>
    <w:next w:val="Normal"/>
    <w:link w:val="Heading3Char"/>
    <w:uiPriority w:val="9"/>
    <w:unhideWhenUsed/>
    <w:qFormat/>
    <w:rsid w:val="006F19B7"/>
    <w:pPr>
      <w:spacing w:after="0" w:line="240" w:lineRule="auto"/>
      <w:outlineLvl w:val="2"/>
    </w:pPr>
    <w:rPr>
      <w:sz w:val="24"/>
      <w:szCs w:val="24"/>
      <w:u w:val="single"/>
    </w:rPr>
  </w:style>
  <w:style w:type="paragraph" w:styleId="Heading4">
    <w:name w:val="heading 4"/>
    <w:basedOn w:val="Normal"/>
    <w:next w:val="Normal"/>
    <w:link w:val="Heading4Char"/>
    <w:uiPriority w:val="9"/>
    <w:unhideWhenUsed/>
    <w:qFormat/>
    <w:rsid w:val="006F19B7"/>
    <w:pPr>
      <w:keepNext/>
      <w:keepLines/>
      <w:numPr>
        <w:ilvl w:val="3"/>
        <w:numId w:val="24"/>
      </w:numPr>
      <w:spacing w:before="200" w:after="0"/>
      <w:outlineLvl w:val="3"/>
    </w:pPr>
    <w:rPr>
      <w:rFonts w:eastAsiaTheme="majorEastAsia" w:cstheme="majorBidi"/>
      <w:bCs/>
      <w:iCs/>
      <w:sz w:val="24"/>
      <w:u w:val="single"/>
    </w:rPr>
  </w:style>
  <w:style w:type="paragraph" w:styleId="Heading5">
    <w:name w:val="heading 5"/>
    <w:basedOn w:val="Normal"/>
    <w:next w:val="Normal"/>
    <w:link w:val="Heading5Char"/>
    <w:uiPriority w:val="9"/>
    <w:semiHidden/>
    <w:unhideWhenUsed/>
    <w:qFormat/>
    <w:rsid w:val="00BA5E8C"/>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5E8C"/>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5E8C"/>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5E8C"/>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A5E8C"/>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39"/>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customStyle="1" w:styleId="2909F619802848F09E01365C32F34654">
    <w:name w:val="2909F619802848F09E01365C32F34654"/>
    <w:rsid w:val="006B6D96"/>
    <w:rPr>
      <w:rFonts w:eastAsiaTheme="minorEastAsia"/>
      <w:lang w:val="en-US" w:eastAsia="ja-JP"/>
    </w:rPr>
  </w:style>
  <w:style w:type="character" w:styleId="CommentReference">
    <w:name w:val="annotation reference"/>
    <w:basedOn w:val="DefaultParagraphFont"/>
    <w:uiPriority w:val="99"/>
    <w:semiHidden/>
    <w:unhideWhenUsed/>
    <w:rsid w:val="00097D54"/>
    <w:rPr>
      <w:sz w:val="16"/>
      <w:szCs w:val="16"/>
    </w:rPr>
  </w:style>
  <w:style w:type="paragraph" w:styleId="CommentText">
    <w:name w:val="annotation text"/>
    <w:basedOn w:val="Normal"/>
    <w:link w:val="CommentTextChar"/>
    <w:uiPriority w:val="99"/>
    <w:unhideWhenUsed/>
    <w:rsid w:val="00097D54"/>
    <w:pPr>
      <w:spacing w:line="240" w:lineRule="auto"/>
    </w:pPr>
    <w:rPr>
      <w:sz w:val="20"/>
      <w:szCs w:val="20"/>
    </w:rPr>
  </w:style>
  <w:style w:type="character" w:customStyle="1" w:styleId="CommentTextChar">
    <w:name w:val="Comment Text Char"/>
    <w:basedOn w:val="DefaultParagraphFont"/>
    <w:link w:val="CommentText"/>
    <w:uiPriority w:val="99"/>
    <w:rsid w:val="00097D54"/>
    <w:rPr>
      <w:sz w:val="20"/>
      <w:szCs w:val="20"/>
    </w:rPr>
  </w:style>
  <w:style w:type="paragraph" w:styleId="CommentSubject">
    <w:name w:val="annotation subject"/>
    <w:basedOn w:val="CommentText"/>
    <w:next w:val="CommentText"/>
    <w:link w:val="CommentSubjectChar"/>
    <w:uiPriority w:val="99"/>
    <w:semiHidden/>
    <w:unhideWhenUsed/>
    <w:rsid w:val="00097D54"/>
    <w:rPr>
      <w:b/>
      <w:bCs/>
    </w:rPr>
  </w:style>
  <w:style w:type="character" w:customStyle="1" w:styleId="CommentSubjectChar">
    <w:name w:val="Comment Subject Char"/>
    <w:basedOn w:val="CommentTextChar"/>
    <w:link w:val="CommentSubject"/>
    <w:uiPriority w:val="99"/>
    <w:semiHidden/>
    <w:rsid w:val="00097D54"/>
    <w:rPr>
      <w:b/>
      <w:bCs/>
      <w:sz w:val="20"/>
      <w:szCs w:val="20"/>
    </w:rPr>
  </w:style>
  <w:style w:type="paragraph" w:styleId="EndnoteText">
    <w:name w:val="endnote text"/>
    <w:basedOn w:val="Normal"/>
    <w:link w:val="EndnoteTextChar"/>
    <w:uiPriority w:val="99"/>
    <w:semiHidden/>
    <w:unhideWhenUsed/>
    <w:rsid w:val="004D3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3968"/>
    <w:rPr>
      <w:sz w:val="20"/>
      <w:szCs w:val="20"/>
    </w:rPr>
  </w:style>
  <w:style w:type="character" w:styleId="EndnoteReference">
    <w:name w:val="endnote reference"/>
    <w:basedOn w:val="DefaultParagraphFont"/>
    <w:uiPriority w:val="99"/>
    <w:semiHidden/>
    <w:unhideWhenUsed/>
    <w:rsid w:val="004D3968"/>
    <w:rPr>
      <w:vertAlign w:val="superscript"/>
    </w:rPr>
  </w:style>
  <w:style w:type="paragraph" w:styleId="FootnoteText">
    <w:name w:val="footnote text"/>
    <w:basedOn w:val="Normal"/>
    <w:link w:val="FootnoteTextChar"/>
    <w:uiPriority w:val="99"/>
    <w:semiHidden/>
    <w:unhideWhenUsed/>
    <w:rsid w:val="004D3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968"/>
    <w:rPr>
      <w:sz w:val="20"/>
      <w:szCs w:val="20"/>
    </w:rPr>
  </w:style>
  <w:style w:type="character" w:styleId="FootnoteReference">
    <w:name w:val="footnote reference"/>
    <w:basedOn w:val="DefaultParagraphFont"/>
    <w:uiPriority w:val="99"/>
    <w:semiHidden/>
    <w:unhideWhenUsed/>
    <w:rsid w:val="004D3968"/>
    <w:rPr>
      <w:vertAlign w:val="superscript"/>
    </w:rPr>
  </w:style>
  <w:style w:type="paragraph" w:styleId="Revision">
    <w:name w:val="Revision"/>
    <w:hidden/>
    <w:uiPriority w:val="99"/>
    <w:semiHidden/>
    <w:rsid w:val="00EF409F"/>
    <w:pPr>
      <w:spacing w:after="0" w:line="240" w:lineRule="auto"/>
    </w:pPr>
  </w:style>
  <w:style w:type="character" w:customStyle="1" w:styleId="apple-converted-space">
    <w:name w:val="apple-converted-space"/>
    <w:basedOn w:val="DefaultParagraphFont"/>
    <w:rsid w:val="00BD14DF"/>
  </w:style>
  <w:style w:type="character" w:customStyle="1" w:styleId="Heading1Char">
    <w:name w:val="Heading 1 Char"/>
    <w:basedOn w:val="DefaultParagraphFont"/>
    <w:link w:val="Heading1"/>
    <w:uiPriority w:val="9"/>
    <w:rsid w:val="001A7267"/>
    <w:rPr>
      <w:rFonts w:eastAsiaTheme="majorEastAsia" w:cstheme="majorBidi"/>
      <w:b/>
      <w:bCs/>
      <w:sz w:val="24"/>
      <w:szCs w:val="28"/>
    </w:rPr>
  </w:style>
  <w:style w:type="character" w:customStyle="1" w:styleId="Heading2Char">
    <w:name w:val="Heading 2 Char"/>
    <w:basedOn w:val="DefaultParagraphFont"/>
    <w:link w:val="Heading2"/>
    <w:uiPriority w:val="9"/>
    <w:rsid w:val="00BE0F9E"/>
    <w:rPr>
      <w:b/>
      <w:sz w:val="24"/>
      <w:szCs w:val="24"/>
    </w:rPr>
  </w:style>
  <w:style w:type="character" w:customStyle="1" w:styleId="Heading3Char">
    <w:name w:val="Heading 3 Char"/>
    <w:basedOn w:val="DefaultParagraphFont"/>
    <w:link w:val="Heading3"/>
    <w:uiPriority w:val="9"/>
    <w:rsid w:val="006F19B7"/>
    <w:rPr>
      <w:sz w:val="24"/>
      <w:szCs w:val="24"/>
      <w:u w:val="single"/>
    </w:rPr>
  </w:style>
  <w:style w:type="character" w:customStyle="1" w:styleId="Heading4Char">
    <w:name w:val="Heading 4 Char"/>
    <w:basedOn w:val="DefaultParagraphFont"/>
    <w:link w:val="Heading4"/>
    <w:uiPriority w:val="9"/>
    <w:rsid w:val="006F19B7"/>
    <w:rPr>
      <w:rFonts w:eastAsiaTheme="majorEastAsia" w:cstheme="majorBidi"/>
      <w:bCs/>
      <w:iCs/>
      <w:sz w:val="24"/>
      <w:u w:val="single"/>
    </w:rPr>
  </w:style>
  <w:style w:type="character" w:customStyle="1" w:styleId="Heading5Char">
    <w:name w:val="Heading 5 Char"/>
    <w:basedOn w:val="DefaultParagraphFont"/>
    <w:link w:val="Heading5"/>
    <w:uiPriority w:val="9"/>
    <w:semiHidden/>
    <w:rsid w:val="00BA5E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A5E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A5E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5E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5E8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71762">
      <w:bodyDiv w:val="1"/>
      <w:marLeft w:val="0"/>
      <w:marRight w:val="0"/>
      <w:marTop w:val="0"/>
      <w:marBottom w:val="0"/>
      <w:divBdr>
        <w:top w:val="none" w:sz="0" w:space="0" w:color="auto"/>
        <w:left w:val="none" w:sz="0" w:space="0" w:color="auto"/>
        <w:bottom w:val="none" w:sz="0" w:space="0" w:color="auto"/>
        <w:right w:val="none" w:sz="0" w:space="0" w:color="auto"/>
      </w:divBdr>
    </w:div>
    <w:div w:id="723136893">
      <w:bodyDiv w:val="1"/>
      <w:marLeft w:val="0"/>
      <w:marRight w:val="0"/>
      <w:marTop w:val="0"/>
      <w:marBottom w:val="0"/>
      <w:divBdr>
        <w:top w:val="none" w:sz="0" w:space="0" w:color="auto"/>
        <w:left w:val="none" w:sz="0" w:space="0" w:color="auto"/>
        <w:bottom w:val="none" w:sz="0" w:space="0" w:color="auto"/>
        <w:right w:val="none" w:sz="0" w:space="0" w:color="auto"/>
      </w:divBdr>
    </w:div>
    <w:div w:id="19773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viq.org.au/Protocol/tabid/66/categoryid/66/id/170/Risk+Management+for+an+Unaffected+Female+BRCA1+Mutation+Carrier.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guidelines.canceraustralia.gov.au/guidelines/gene_mutation/index.ph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eviq.org.au/Protocol/tabid/66/categoryid/66/id/656/Risk+Management+for+Unaffected+Male+BRCA1+or+BRCA+2+Mutation+Carrier.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eurogentest.org/index.php?id=668" TargetMode="External"/><Relationship Id="rId19" Type="http://schemas.openxmlformats.org/officeDocument/2006/relationships/hyperlink" Target="https://www.eviq.org.au/Protocol/tabid/66/categoryid/66/id/170/Risk+Management+for+an+Unaffected+Female+BRCA1+Mutation+Carrier.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4510-D3A7-4221-842F-68D2B0EF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8631</Words>
  <Characters>49199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1411.1 CUC Breast Ovarian Cancer Genetic Testing</vt:lpstr>
    </vt:vector>
  </TitlesOfParts>
  <Company/>
  <LinksUpToDate>false</LinksUpToDate>
  <CharactersWithSpaces>57715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1411.1 CUC Breast Ovarian Cancer Genetic Testing</dc:title>
  <dc:creator/>
  <cp:lastModifiedBy/>
  <cp:revision>1</cp:revision>
  <dcterms:created xsi:type="dcterms:W3CDTF">2016-10-11T03:33:00Z</dcterms:created>
  <dcterms:modified xsi:type="dcterms:W3CDTF">2016-10-11T03:43:00Z</dcterms:modified>
</cp:coreProperties>
</file>