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620" w14:textId="77777777" w:rsidR="005F030B" w:rsidRDefault="008A7191" w:rsidP="005F030B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9C6182" wp14:editId="4CA144F9">
                <wp:simplePos x="0" y="0"/>
                <wp:positionH relativeFrom="page">
                  <wp:posOffset>290830</wp:posOffset>
                </wp:positionH>
                <wp:positionV relativeFrom="page">
                  <wp:posOffset>246380</wp:posOffset>
                </wp:positionV>
                <wp:extent cx="7315200" cy="9601200"/>
                <wp:effectExtent l="0" t="0" r="1270" b="571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95400</wp14:pctHeight>
                </wp14:sizeRelV>
              </wp:anchor>
            </w:drawing>
          </mc:Choice>
          <mc:Fallback>
            <w:pict>
              <v:rect w14:anchorId="145936B7" id="Rectangle 2" o:spid="_x0000_s1026" alt="&quot;&quot;" style="position:absolute;margin-left:22.9pt;margin-top:19.4pt;width:8in;height:756pt;z-index:-251657216;visibility:visible;mso-wrap-style:square;mso-width-percent:941;mso-height-percent:954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54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" fillcolor="#eeece1 [3214]" stroked="f">
                <w10:wrap anchorx="page" anchory="page"/>
              </v:rect>
            </w:pict>
          </mc:Fallback>
        </mc:AlternateContent>
      </w:r>
    </w:p>
    <w:sdt>
      <w:sdtPr>
        <w:id w:val="-335071290"/>
        <w:docPartObj>
          <w:docPartGallery w:val="Cover Pages"/>
          <w:docPartUnique/>
        </w:docPartObj>
      </w:sdtPr>
      <w:sdtEndPr>
        <w:rPr>
          <w:rFonts w:ascii="Cambria" w:eastAsiaTheme="majorEastAsia" w:hAnsi="Cambria" w:cstheme="majorBidi"/>
          <w:b/>
          <w:color w:val="000000" w:themeColor="text1"/>
          <w:sz w:val="22"/>
          <w:szCs w:val="22"/>
          <w:u w:val="single"/>
          <w:lang w:val="en-US"/>
        </w:rPr>
      </w:sdtEndPr>
      <w:sdtContent>
        <w:p w14:paraId="57852C24" w14:textId="5B6E93A1" w:rsidR="008A7191" w:rsidRPr="006D0529" w:rsidRDefault="008A7191" w:rsidP="00B30BBC">
          <w:pPr>
            <w:spacing w:before="1440"/>
            <w:jc w:val="center"/>
            <w:rPr>
              <w:rStyle w:val="TitleChar"/>
            </w:rPr>
          </w:pPr>
          <w:r w:rsidRPr="006D0529">
            <w:rPr>
              <w:rStyle w:val="TitleChar"/>
            </w:rPr>
            <w:t>A review of the current testing methodologies for the detection of mismatch repair deficiency in tumours</w:t>
          </w:r>
        </w:p>
        <w:p w14:paraId="2AFB367F" w14:textId="77777777" w:rsidR="008A7191" w:rsidRDefault="008A7191" w:rsidP="00B30BBC">
          <w:pPr>
            <w:spacing w:before="1200"/>
            <w:jc w:val="center"/>
            <w:rPr>
              <w:rFonts w:ascii="Kohinoor Devanagari Medium" w:hAnsi="Kohinoor Devanagari Medium"/>
              <w:color w:val="660066"/>
              <w:sz w:val="28"/>
              <w:szCs w:val="28"/>
            </w:rPr>
          </w:pPr>
          <w:r w:rsidRPr="00A96A2E">
            <w:rPr>
              <w:rFonts w:ascii="Kohinoor Devanagari Medium" w:hAnsi="Kohinoor Devanagari Medium"/>
              <w:color w:val="660066"/>
              <w:sz w:val="28"/>
              <w:szCs w:val="28"/>
            </w:rPr>
            <w:t xml:space="preserve">Report prepared by </w:t>
          </w:r>
          <w:proofErr w:type="spellStart"/>
          <w:r>
            <w:rPr>
              <w:rFonts w:ascii="Kohinoor Devanagari Medium" w:hAnsi="Kohinoor Devanagari Medium"/>
              <w:color w:val="660066"/>
              <w:sz w:val="28"/>
              <w:szCs w:val="28"/>
            </w:rPr>
            <w:t>Medex</w:t>
          </w:r>
          <w:proofErr w:type="spellEnd"/>
          <w:r>
            <w:rPr>
              <w:rFonts w:ascii="Kohinoor Devanagari Medium" w:hAnsi="Kohinoor Devanagari Medium"/>
              <w:color w:val="660066"/>
              <w:sz w:val="28"/>
              <w:szCs w:val="28"/>
            </w:rPr>
            <w:t xml:space="preserve"> Consulting</w:t>
          </w:r>
        </w:p>
        <w:p w14:paraId="026682AD" w14:textId="0B8E2C21" w:rsidR="008A7191" w:rsidRDefault="008A7191" w:rsidP="008A7191">
          <w:pPr>
            <w:jc w:val="center"/>
            <w:rPr>
              <w:rFonts w:ascii="Kohinoor Devanagari Medium" w:hAnsi="Kohinoor Devanagari Medium"/>
              <w:color w:val="660066"/>
              <w:sz w:val="28"/>
              <w:szCs w:val="28"/>
            </w:rPr>
          </w:pPr>
          <w:r>
            <w:rPr>
              <w:rFonts w:ascii="Kohinoor Devanagari Medium" w:hAnsi="Kohinoor Devanagari Medium"/>
              <w:color w:val="660066"/>
              <w:sz w:val="28"/>
              <w:szCs w:val="28"/>
            </w:rPr>
            <w:t>Dr Prudence Scott</w:t>
          </w:r>
        </w:p>
        <w:p w14:paraId="683FAF2C" w14:textId="77777777" w:rsidR="00272414" w:rsidRPr="00A96A2E" w:rsidRDefault="00272414" w:rsidP="008A7191">
          <w:pPr>
            <w:jc w:val="center"/>
            <w:rPr>
              <w:rFonts w:ascii="Kohinoor Devanagari Medium" w:hAnsi="Kohinoor Devanagari Medium"/>
              <w:color w:val="660066"/>
              <w:sz w:val="28"/>
              <w:szCs w:val="28"/>
            </w:rPr>
          </w:pPr>
        </w:p>
        <w:p w14:paraId="79D91113" w14:textId="7F4341E0" w:rsidR="000C7A11" w:rsidRDefault="00272414" w:rsidP="008A7191">
          <w:pPr>
            <w:jc w:val="center"/>
            <w:rPr>
              <w:rFonts w:ascii="Kohinoor Devanagari Medium" w:hAnsi="Kohinoor Devanagari Medium"/>
              <w:color w:val="660066"/>
              <w:sz w:val="28"/>
              <w:szCs w:val="28"/>
            </w:rPr>
          </w:pPr>
          <w:r>
            <w:rPr>
              <w:rFonts w:ascii="Kohinoor Devanagari Medium" w:hAnsi="Kohinoor Devanagari Medium"/>
              <w:color w:val="660066"/>
              <w:sz w:val="28"/>
              <w:szCs w:val="28"/>
            </w:rPr>
            <w:t>January 2020</w:t>
          </w:r>
        </w:p>
        <w:p w14:paraId="512B6BC4" w14:textId="7F629110" w:rsidR="00272414" w:rsidRPr="00B30BBC" w:rsidRDefault="00272414" w:rsidP="00272414">
          <w:pPr>
            <w:spacing w:after="3120"/>
            <w:jc w:val="center"/>
            <w:rPr>
              <w:rFonts w:ascii="Kohinoor Devanagari Medium" w:hAnsi="Kohinoor Devanagari Medium"/>
              <w:color w:val="660066"/>
              <w:sz w:val="28"/>
              <w:szCs w:val="28"/>
            </w:rPr>
          </w:pPr>
          <w:r>
            <w:rPr>
              <w:rFonts w:ascii="Kohinoor Devanagari Medium" w:hAnsi="Kohinoor Devanagari Medium"/>
              <w:color w:val="660066"/>
            </w:rPr>
            <w:t>Received April 2019, finalised August 2019</w:t>
          </w:r>
        </w:p>
        <w:p w14:paraId="1252EEB5" w14:textId="0B1CB1E1" w:rsidR="008A7191" w:rsidRPr="00F513E5" w:rsidRDefault="008A7191" w:rsidP="00F513E5">
          <w:pPr>
            <w:jc w:val="center"/>
            <w:rPr>
              <w:color w:val="800000"/>
              <w:sz w:val="40"/>
              <w:szCs w:val="40"/>
            </w:rPr>
          </w:pPr>
          <w:r w:rsidRPr="00483B01">
            <w:rPr>
              <w:noProof/>
              <w:color w:val="800000"/>
              <w:sz w:val="40"/>
              <w:szCs w:val="40"/>
              <w:lang w:eastAsia="en-AU"/>
            </w:rPr>
            <w:drawing>
              <wp:inline distT="0" distB="0" distL="0" distR="0" wp14:anchorId="765D06B7" wp14:editId="5020CAD4">
                <wp:extent cx="4284921" cy="1290320"/>
                <wp:effectExtent l="0" t="0" r="1905" b="5080"/>
                <wp:docPr id="24" name="Picture 12" descr="Logo for Medex Consult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0331" cy="1291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b/>
              <w:color w:val="000000" w:themeColor="text1"/>
              <w:sz w:val="22"/>
              <w:szCs w:val="22"/>
              <w:u w:val="single"/>
              <w:lang w:val="en-US"/>
            </w:rPr>
            <w:br w:type="page"/>
          </w:r>
        </w:p>
      </w:sdtContent>
    </w:sdt>
    <w:p w14:paraId="0B4035E8" w14:textId="77777777" w:rsidR="002E6CB4" w:rsidRPr="002E6CB4" w:rsidRDefault="002E6CB4" w:rsidP="002E6CB4">
      <w:pPr>
        <w:pStyle w:val="Heading1"/>
        <w:rPr>
          <w:b/>
          <w:color w:val="660066"/>
        </w:rPr>
      </w:pPr>
      <w:r w:rsidRPr="002E6CB4">
        <w:rPr>
          <w:b/>
          <w:color w:val="660066"/>
        </w:rPr>
        <w:lastRenderedPageBreak/>
        <w:t>Executive summary</w:t>
      </w:r>
    </w:p>
    <w:p w14:paraId="4F99A6B5" w14:textId="53883FB2" w:rsidR="00A25BF8" w:rsidRPr="00446C99" w:rsidRDefault="00A25BF8" w:rsidP="00446C99">
      <w:pPr>
        <w:pStyle w:val="ListParagraph"/>
        <w:numPr>
          <w:ilvl w:val="0"/>
          <w:numId w:val="30"/>
        </w:numPr>
        <w:spacing w:before="240" w:after="240"/>
        <w:ind w:left="71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 w:rsidRPr="007719D7">
        <w:rPr>
          <w:rFonts w:ascii="Cambria" w:hAnsi="Cambria"/>
          <w:sz w:val="22"/>
          <w:szCs w:val="22"/>
          <w:lang w:val="en-US"/>
        </w:rPr>
        <w:t>Microsatellite instability and/or loss of expression of the four mismatch repair proteins are both markers of a deficiency in the mismatch repair pathway.</w:t>
      </w:r>
    </w:p>
    <w:p w14:paraId="31FA63B1" w14:textId="74A3AB6D" w:rsidR="00A25BF8" w:rsidRPr="00446C99" w:rsidRDefault="00A25BF8" w:rsidP="00446C99">
      <w:pPr>
        <w:pStyle w:val="ListParagraph"/>
        <w:numPr>
          <w:ilvl w:val="0"/>
          <w:numId w:val="30"/>
        </w:numPr>
        <w:spacing w:before="240" w:after="240"/>
        <w:ind w:left="71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 w:rsidRPr="007719D7">
        <w:rPr>
          <w:rFonts w:ascii="Cambria" w:hAnsi="Cambria"/>
          <w:sz w:val="22"/>
          <w:szCs w:val="22"/>
          <w:lang w:val="en-US"/>
        </w:rPr>
        <w:t xml:space="preserve">Cancers that have deficient mismatch repair pathways are </w:t>
      </w:r>
      <w:proofErr w:type="spellStart"/>
      <w:r w:rsidRPr="007719D7">
        <w:rPr>
          <w:rFonts w:ascii="Cambria" w:hAnsi="Cambria"/>
          <w:sz w:val="22"/>
          <w:szCs w:val="22"/>
          <w:lang w:val="en-US"/>
        </w:rPr>
        <w:t>characterised</w:t>
      </w:r>
      <w:proofErr w:type="spellEnd"/>
      <w:r w:rsidRPr="007719D7">
        <w:rPr>
          <w:rFonts w:ascii="Cambria" w:hAnsi="Cambria"/>
          <w:sz w:val="22"/>
          <w:szCs w:val="22"/>
          <w:lang w:val="en-US"/>
        </w:rPr>
        <w:t xml:space="preserve"> by a high mutation load (‘</w:t>
      </w:r>
      <w:proofErr w:type="spellStart"/>
      <w:r w:rsidRPr="007719D7">
        <w:rPr>
          <w:rFonts w:ascii="Cambria" w:hAnsi="Cambria"/>
          <w:sz w:val="22"/>
          <w:szCs w:val="22"/>
          <w:lang w:val="en-US"/>
        </w:rPr>
        <w:t>neoantigenic</w:t>
      </w:r>
      <w:proofErr w:type="spellEnd"/>
      <w:r w:rsidRPr="007719D7">
        <w:rPr>
          <w:rFonts w:ascii="Cambria" w:hAnsi="Cambria"/>
          <w:sz w:val="22"/>
          <w:szCs w:val="22"/>
          <w:lang w:val="en-US"/>
        </w:rPr>
        <w:t xml:space="preserve">’), </w:t>
      </w:r>
      <w:r w:rsidR="007719D7">
        <w:rPr>
          <w:rFonts w:ascii="Cambria" w:hAnsi="Cambria"/>
          <w:sz w:val="22"/>
          <w:szCs w:val="22"/>
          <w:lang w:val="en-US"/>
        </w:rPr>
        <w:t xml:space="preserve">with </w:t>
      </w:r>
      <w:r w:rsidRPr="007719D7">
        <w:rPr>
          <w:rFonts w:ascii="Cambria" w:hAnsi="Cambria"/>
          <w:sz w:val="22"/>
          <w:szCs w:val="22"/>
          <w:lang w:val="en-US"/>
        </w:rPr>
        <w:t xml:space="preserve">activated </w:t>
      </w:r>
      <w:proofErr w:type="spellStart"/>
      <w:r w:rsidRPr="007719D7">
        <w:rPr>
          <w:rFonts w:ascii="Cambria" w:hAnsi="Cambria"/>
          <w:sz w:val="22"/>
          <w:szCs w:val="22"/>
          <w:lang w:val="en-US"/>
        </w:rPr>
        <w:t>tumour</w:t>
      </w:r>
      <w:proofErr w:type="spellEnd"/>
      <w:r w:rsidRPr="007719D7">
        <w:rPr>
          <w:rFonts w:ascii="Cambria" w:hAnsi="Cambria"/>
          <w:sz w:val="22"/>
          <w:szCs w:val="22"/>
          <w:lang w:val="en-US"/>
        </w:rPr>
        <w:t xml:space="preserve"> infiltrating lymphocytes (‘hot’ </w:t>
      </w:r>
      <w:proofErr w:type="spellStart"/>
      <w:r w:rsidRPr="007719D7"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Pr="007719D7">
        <w:rPr>
          <w:rFonts w:ascii="Cambria" w:hAnsi="Cambria"/>
          <w:sz w:val="22"/>
          <w:szCs w:val="22"/>
          <w:lang w:val="en-US"/>
        </w:rPr>
        <w:t>) and therefore, are a target for immunotherapeutic treatment strategies.</w:t>
      </w:r>
    </w:p>
    <w:p w14:paraId="28145FCC" w14:textId="2B483188" w:rsidR="00A25BF8" w:rsidRPr="00446C99" w:rsidRDefault="00AF1138" w:rsidP="00446C99">
      <w:pPr>
        <w:pStyle w:val="ListParagraph"/>
        <w:numPr>
          <w:ilvl w:val="0"/>
          <w:numId w:val="30"/>
        </w:numPr>
        <w:spacing w:before="240" w:after="240"/>
        <w:ind w:left="71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 w:rsidRPr="007719D7">
        <w:rPr>
          <w:rFonts w:ascii="Cambria" w:hAnsi="Cambria"/>
          <w:sz w:val="22"/>
          <w:szCs w:val="22"/>
          <w:lang w:val="en-US"/>
        </w:rPr>
        <w:t xml:space="preserve">In 2017, </w:t>
      </w:r>
      <w:r w:rsidR="00A25BF8" w:rsidRPr="007719D7">
        <w:rPr>
          <w:rFonts w:ascii="Cambria" w:hAnsi="Cambria"/>
          <w:sz w:val="22"/>
          <w:szCs w:val="22"/>
          <w:lang w:val="en-US"/>
        </w:rPr>
        <w:t>US FDA</w:t>
      </w:r>
      <w:r w:rsidRPr="007719D7">
        <w:rPr>
          <w:rFonts w:ascii="Cambria" w:hAnsi="Cambria"/>
          <w:sz w:val="22"/>
          <w:szCs w:val="22"/>
          <w:lang w:val="en-US"/>
        </w:rPr>
        <w:t xml:space="preserve"> </w:t>
      </w:r>
      <w:r w:rsidR="00A25BF8" w:rsidRPr="007719D7">
        <w:rPr>
          <w:rFonts w:ascii="Cambria" w:hAnsi="Cambria"/>
          <w:sz w:val="22"/>
          <w:szCs w:val="22"/>
          <w:lang w:val="en-US"/>
        </w:rPr>
        <w:t>approved two PD-1 inhibitors for</w:t>
      </w:r>
      <w:r w:rsidR="00407775">
        <w:rPr>
          <w:rFonts w:ascii="Cambria" w:hAnsi="Cambria"/>
          <w:sz w:val="22"/>
          <w:szCs w:val="22"/>
          <w:lang w:val="en-US"/>
        </w:rPr>
        <w:t xml:space="preserve"> </w:t>
      </w:r>
      <w:r w:rsidR="00A25BF8" w:rsidRPr="007719D7">
        <w:rPr>
          <w:rFonts w:ascii="Cambria" w:hAnsi="Cambria"/>
          <w:sz w:val="22"/>
          <w:szCs w:val="22"/>
          <w:lang w:val="en-US"/>
        </w:rPr>
        <w:t xml:space="preserve">the treatment of MSI-high/dMMR colorectal cancer (nivolumab and pembrolizumab) </w:t>
      </w:r>
      <w:r w:rsidRPr="007719D7">
        <w:rPr>
          <w:rFonts w:ascii="Cambria" w:hAnsi="Cambria"/>
          <w:sz w:val="22"/>
          <w:szCs w:val="22"/>
          <w:lang w:val="en-US"/>
        </w:rPr>
        <w:t>with a</w:t>
      </w:r>
      <w:r w:rsidR="00A25BF8" w:rsidRPr="007719D7">
        <w:rPr>
          <w:rFonts w:ascii="Cambria" w:hAnsi="Cambria"/>
          <w:sz w:val="22"/>
          <w:szCs w:val="22"/>
          <w:lang w:val="en-US"/>
        </w:rPr>
        <w:t xml:space="preserve"> pan-</w:t>
      </w:r>
      <w:proofErr w:type="spellStart"/>
      <w:r w:rsidR="00A25BF8" w:rsidRPr="007719D7">
        <w:rPr>
          <w:rFonts w:ascii="Cambria" w:hAnsi="Cambria"/>
          <w:sz w:val="22"/>
          <w:szCs w:val="22"/>
          <w:lang w:val="en-US"/>
        </w:rPr>
        <w:t>tumour</w:t>
      </w:r>
      <w:proofErr w:type="spellEnd"/>
      <w:r w:rsidRPr="007719D7">
        <w:rPr>
          <w:rFonts w:ascii="Cambria" w:hAnsi="Cambria"/>
          <w:sz w:val="22"/>
          <w:szCs w:val="22"/>
          <w:lang w:val="en-US"/>
        </w:rPr>
        <w:t xml:space="preserve"> approval </w:t>
      </w:r>
      <w:r w:rsidR="007719D7" w:rsidRPr="007719D7">
        <w:rPr>
          <w:rFonts w:ascii="Cambria" w:hAnsi="Cambria"/>
          <w:sz w:val="22"/>
          <w:szCs w:val="22"/>
          <w:lang w:val="en-US"/>
        </w:rPr>
        <w:t xml:space="preserve">for pembrolizumab </w:t>
      </w:r>
      <w:r w:rsidRPr="007719D7">
        <w:rPr>
          <w:rFonts w:ascii="Cambria" w:hAnsi="Cambria"/>
          <w:sz w:val="22"/>
          <w:szCs w:val="22"/>
          <w:lang w:val="en-US"/>
        </w:rPr>
        <w:t xml:space="preserve">for </w:t>
      </w:r>
      <w:r w:rsidR="007719D7">
        <w:rPr>
          <w:rFonts w:ascii="Cambria" w:hAnsi="Cambria"/>
          <w:sz w:val="22"/>
          <w:szCs w:val="22"/>
          <w:lang w:val="en-US"/>
        </w:rPr>
        <w:t xml:space="preserve">the treatment of </w:t>
      </w:r>
      <w:r w:rsidRPr="007719D7">
        <w:rPr>
          <w:rFonts w:ascii="Cambria" w:hAnsi="Cambria"/>
          <w:sz w:val="22"/>
          <w:szCs w:val="22"/>
          <w:lang w:val="en-US"/>
        </w:rPr>
        <w:t>MSI-high/dMMR cancers.</w:t>
      </w:r>
    </w:p>
    <w:p w14:paraId="6AAB6834" w14:textId="4B415A26" w:rsidR="00A25BF8" w:rsidRPr="00446C99" w:rsidRDefault="00A25BF8" w:rsidP="00446C99">
      <w:pPr>
        <w:pStyle w:val="ListParagraph"/>
        <w:numPr>
          <w:ilvl w:val="0"/>
          <w:numId w:val="30"/>
        </w:numPr>
        <w:spacing w:after="240"/>
        <w:ind w:left="71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 w:rsidRPr="007719D7">
        <w:rPr>
          <w:rFonts w:ascii="Cambria" w:hAnsi="Cambria"/>
          <w:sz w:val="22"/>
          <w:szCs w:val="22"/>
          <w:lang w:val="en-US"/>
        </w:rPr>
        <w:t xml:space="preserve">Initially MSI PCR and IHC tests were developed largely as a prognostic test in colorectal cancer, and as a screening tool for </w:t>
      </w:r>
      <w:r w:rsidR="000F580C" w:rsidRPr="007719D7">
        <w:rPr>
          <w:rFonts w:ascii="Cambria" w:hAnsi="Cambria"/>
          <w:sz w:val="22"/>
          <w:szCs w:val="22"/>
          <w:lang w:val="en-US"/>
        </w:rPr>
        <w:t xml:space="preserve">the </w:t>
      </w:r>
      <w:r w:rsidRPr="007719D7">
        <w:rPr>
          <w:rFonts w:ascii="Cambria" w:hAnsi="Cambria"/>
          <w:sz w:val="22"/>
          <w:szCs w:val="22"/>
          <w:lang w:val="en-US"/>
        </w:rPr>
        <w:t>detection of Lynch syndrome</w:t>
      </w:r>
      <w:r w:rsidR="000F580C" w:rsidRPr="007719D7">
        <w:rPr>
          <w:rFonts w:ascii="Cambria" w:hAnsi="Cambria"/>
          <w:sz w:val="22"/>
          <w:szCs w:val="22"/>
          <w:lang w:val="en-US"/>
        </w:rPr>
        <w:t xml:space="preserve"> (</w:t>
      </w:r>
      <w:proofErr w:type="spellStart"/>
      <w:r w:rsidR="000F580C" w:rsidRPr="007719D7">
        <w:rPr>
          <w:rFonts w:ascii="Cambria" w:hAnsi="Cambria"/>
          <w:sz w:val="22"/>
          <w:szCs w:val="22"/>
          <w:lang w:val="en-US"/>
        </w:rPr>
        <w:t>characterised</w:t>
      </w:r>
      <w:proofErr w:type="spellEnd"/>
      <w:r w:rsidR="000F580C" w:rsidRPr="007719D7">
        <w:rPr>
          <w:rFonts w:ascii="Cambria" w:hAnsi="Cambria"/>
          <w:sz w:val="22"/>
          <w:szCs w:val="22"/>
          <w:lang w:val="en-US"/>
        </w:rPr>
        <w:t xml:space="preserve"> by a germline mutation in one of five genes involved in the dMMR pathway, and a</w:t>
      </w:r>
      <w:r w:rsidR="007719D7">
        <w:rPr>
          <w:rFonts w:ascii="Cambria" w:hAnsi="Cambria"/>
          <w:sz w:val="22"/>
          <w:szCs w:val="22"/>
          <w:lang w:val="en-US"/>
        </w:rPr>
        <w:t>n inherited</w:t>
      </w:r>
      <w:r w:rsidR="000F580C" w:rsidRPr="007719D7">
        <w:rPr>
          <w:rFonts w:ascii="Cambria" w:hAnsi="Cambria"/>
          <w:sz w:val="22"/>
          <w:szCs w:val="22"/>
          <w:lang w:val="en-US"/>
        </w:rPr>
        <w:t xml:space="preserve"> predisposition to a range of cancers).</w:t>
      </w:r>
      <w:r w:rsidR="00112160">
        <w:rPr>
          <w:rFonts w:ascii="Cambria" w:hAnsi="Cambria"/>
          <w:sz w:val="22"/>
          <w:szCs w:val="22"/>
          <w:lang w:val="en-US"/>
        </w:rPr>
        <w:t xml:space="preserve"> These tests are complementary and have a high degree of concordance in colorectal cancer, but less so in other Lynch syndrome cancers.</w:t>
      </w:r>
    </w:p>
    <w:p w14:paraId="1C3F8E74" w14:textId="019D6DB3" w:rsidR="007719D7" w:rsidRPr="00446C99" w:rsidRDefault="00800DA8" w:rsidP="00446C99">
      <w:pPr>
        <w:pStyle w:val="ListParagraph"/>
        <w:numPr>
          <w:ilvl w:val="0"/>
          <w:numId w:val="30"/>
        </w:numPr>
        <w:spacing w:after="240"/>
        <w:ind w:left="71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dMMR by </w:t>
      </w:r>
      <w:r w:rsidR="007719D7" w:rsidRPr="007719D7">
        <w:rPr>
          <w:rFonts w:ascii="Cambria" w:hAnsi="Cambria"/>
          <w:sz w:val="22"/>
          <w:szCs w:val="22"/>
          <w:lang w:val="en-US"/>
        </w:rPr>
        <w:t xml:space="preserve">MSI PCR </w:t>
      </w:r>
      <w:r>
        <w:rPr>
          <w:rFonts w:ascii="Cambria" w:hAnsi="Cambria"/>
          <w:sz w:val="22"/>
          <w:szCs w:val="22"/>
          <w:lang w:val="en-US"/>
        </w:rPr>
        <w:t>is</w:t>
      </w:r>
      <w:r w:rsidR="007719D7" w:rsidRPr="007719D7">
        <w:rPr>
          <w:rFonts w:ascii="Cambria" w:hAnsi="Cambria"/>
          <w:sz w:val="22"/>
          <w:szCs w:val="22"/>
          <w:lang w:val="en-US"/>
        </w:rPr>
        <w:t xml:space="preserve"> well-established and validated in colorectal cancer, and to a lesser extent in the other </w:t>
      </w:r>
      <w:r w:rsidR="00112160">
        <w:rPr>
          <w:rFonts w:ascii="Cambria" w:hAnsi="Cambria"/>
          <w:sz w:val="22"/>
          <w:szCs w:val="22"/>
          <w:lang w:val="en-US"/>
        </w:rPr>
        <w:t xml:space="preserve">cancer types, including other </w:t>
      </w:r>
      <w:r w:rsidR="007719D7" w:rsidRPr="007719D7">
        <w:rPr>
          <w:rFonts w:ascii="Cambria" w:hAnsi="Cambria"/>
          <w:sz w:val="22"/>
          <w:szCs w:val="22"/>
          <w:lang w:val="en-US"/>
        </w:rPr>
        <w:t xml:space="preserve">Lynch syndrome cancers. </w:t>
      </w:r>
    </w:p>
    <w:p w14:paraId="103A2C17" w14:textId="4FD3EC12" w:rsidR="007719D7" w:rsidRPr="00446C99" w:rsidRDefault="00800DA8" w:rsidP="00446C99">
      <w:pPr>
        <w:pStyle w:val="ListParagraph"/>
        <w:numPr>
          <w:ilvl w:val="0"/>
          <w:numId w:val="30"/>
        </w:numPr>
        <w:spacing w:after="240"/>
        <w:ind w:left="71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dMMR detection by </w:t>
      </w:r>
      <w:r w:rsidR="007719D7" w:rsidRPr="007719D7">
        <w:rPr>
          <w:rFonts w:ascii="Cambria" w:hAnsi="Cambria"/>
          <w:sz w:val="22"/>
          <w:szCs w:val="22"/>
          <w:lang w:val="en-US"/>
        </w:rPr>
        <w:t xml:space="preserve">IHC </w:t>
      </w:r>
      <w:r>
        <w:rPr>
          <w:rFonts w:ascii="Cambria" w:hAnsi="Cambria"/>
          <w:sz w:val="22"/>
          <w:szCs w:val="22"/>
          <w:lang w:val="en-US"/>
        </w:rPr>
        <w:t xml:space="preserve">is </w:t>
      </w:r>
      <w:r w:rsidR="007719D7" w:rsidRPr="007719D7">
        <w:rPr>
          <w:rFonts w:ascii="Cambria" w:hAnsi="Cambria"/>
          <w:sz w:val="22"/>
          <w:szCs w:val="22"/>
          <w:lang w:val="en-US"/>
        </w:rPr>
        <w:t xml:space="preserve">well-established and validated in colorectal cancers and endometrial cancers, </w:t>
      </w:r>
      <w:r>
        <w:rPr>
          <w:rFonts w:ascii="Cambria" w:hAnsi="Cambria"/>
          <w:sz w:val="22"/>
          <w:szCs w:val="22"/>
          <w:lang w:val="en-US"/>
        </w:rPr>
        <w:t xml:space="preserve">but </w:t>
      </w:r>
      <w:r w:rsidR="007719D7" w:rsidRPr="007719D7">
        <w:rPr>
          <w:rFonts w:ascii="Cambria" w:hAnsi="Cambria"/>
          <w:sz w:val="22"/>
          <w:szCs w:val="22"/>
          <w:lang w:val="en-US"/>
        </w:rPr>
        <w:t>more data are required to confirm the sensitivity and specificity in the less common Lynch syndrome cancers and other rare cancer subtypes r</w:t>
      </w:r>
      <w:r w:rsidR="00573870">
        <w:rPr>
          <w:rFonts w:ascii="Cambria" w:hAnsi="Cambria"/>
          <w:sz w:val="22"/>
          <w:szCs w:val="22"/>
          <w:lang w:val="en-US"/>
        </w:rPr>
        <w:t>ecently identified as MSI-high.</w:t>
      </w:r>
    </w:p>
    <w:p w14:paraId="469FE1C6" w14:textId="68BC3105" w:rsidR="00112160" w:rsidRPr="00446C99" w:rsidRDefault="00112160" w:rsidP="00446C99">
      <w:pPr>
        <w:pStyle w:val="ListParagraph"/>
        <w:numPr>
          <w:ilvl w:val="0"/>
          <w:numId w:val="30"/>
        </w:numPr>
        <w:spacing w:after="240"/>
        <w:ind w:left="71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 w:rsidRPr="007719D7">
        <w:rPr>
          <w:rFonts w:ascii="Cambria" w:hAnsi="Cambria"/>
          <w:sz w:val="22"/>
          <w:szCs w:val="22"/>
          <w:lang w:val="en-US"/>
        </w:rPr>
        <w:t>Recent studies have identified 2.2% of a large, unselected series</w:t>
      </w:r>
      <w:r>
        <w:rPr>
          <w:rFonts w:ascii="Cambria" w:hAnsi="Cambria"/>
          <w:sz w:val="22"/>
          <w:szCs w:val="22"/>
          <w:lang w:val="en-US"/>
        </w:rPr>
        <w:t xml:space="preserve"> of </w:t>
      </w:r>
      <w:proofErr w:type="spellStart"/>
      <w:r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Pr="007719D7">
        <w:rPr>
          <w:rFonts w:ascii="Cambria" w:hAnsi="Cambria"/>
          <w:sz w:val="22"/>
          <w:szCs w:val="22"/>
          <w:lang w:val="en-US"/>
        </w:rPr>
        <w:t xml:space="preserve"> were MSI-high by NGS, with 16% having germline mutations in dMMR genes (Lynch syndrome). These </w:t>
      </w:r>
      <w:r>
        <w:rPr>
          <w:rFonts w:ascii="Cambria" w:hAnsi="Cambria"/>
          <w:sz w:val="22"/>
          <w:szCs w:val="22"/>
          <w:lang w:val="en-US"/>
        </w:rPr>
        <w:t xml:space="preserve">included </w:t>
      </w:r>
      <w:r w:rsidRPr="007719D7">
        <w:rPr>
          <w:rFonts w:ascii="Cambria" w:hAnsi="Cambria"/>
          <w:sz w:val="22"/>
          <w:szCs w:val="22"/>
          <w:lang w:val="en-US"/>
        </w:rPr>
        <w:t>rarer, non-canonical Lynch syndrome cancers</w:t>
      </w:r>
      <w:r>
        <w:rPr>
          <w:rFonts w:ascii="Cambria" w:hAnsi="Cambria"/>
          <w:sz w:val="22"/>
          <w:szCs w:val="22"/>
          <w:lang w:val="en-US"/>
        </w:rPr>
        <w:t xml:space="preserve"> and</w:t>
      </w:r>
      <w:r w:rsidRPr="007719D7">
        <w:rPr>
          <w:rFonts w:ascii="Cambria" w:hAnsi="Cambria"/>
          <w:sz w:val="22"/>
          <w:szCs w:val="22"/>
          <w:lang w:val="en-US"/>
        </w:rPr>
        <w:t xml:space="preserve"> the familial risks </w:t>
      </w:r>
      <w:r>
        <w:rPr>
          <w:rFonts w:ascii="Cambria" w:hAnsi="Cambria"/>
          <w:sz w:val="22"/>
          <w:szCs w:val="22"/>
          <w:lang w:val="en-US"/>
        </w:rPr>
        <w:t xml:space="preserve">are not yet fully </w:t>
      </w:r>
      <w:r w:rsidRPr="007719D7">
        <w:rPr>
          <w:rFonts w:ascii="Cambria" w:hAnsi="Cambria"/>
          <w:sz w:val="22"/>
          <w:szCs w:val="22"/>
          <w:lang w:val="en-US"/>
        </w:rPr>
        <w:t>understood.</w:t>
      </w:r>
    </w:p>
    <w:p w14:paraId="4C8983DB" w14:textId="55B858F2" w:rsidR="00BE169B" w:rsidRPr="00446C99" w:rsidRDefault="00112160" w:rsidP="00446C99">
      <w:pPr>
        <w:pStyle w:val="ListParagraph"/>
        <w:numPr>
          <w:ilvl w:val="0"/>
          <w:numId w:val="30"/>
        </w:numPr>
        <w:spacing w:after="240"/>
        <w:ind w:left="71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Increased awareness of the </w:t>
      </w:r>
      <w:r w:rsidR="00094F3A">
        <w:rPr>
          <w:rFonts w:ascii="Cambria" w:hAnsi="Cambria"/>
          <w:sz w:val="22"/>
          <w:szCs w:val="22"/>
          <w:lang w:val="en-US"/>
        </w:rPr>
        <w:t xml:space="preserve">potential </w:t>
      </w:r>
      <w:r>
        <w:rPr>
          <w:rFonts w:ascii="Cambria" w:hAnsi="Cambria"/>
          <w:sz w:val="22"/>
          <w:szCs w:val="22"/>
          <w:lang w:val="en-US"/>
        </w:rPr>
        <w:t xml:space="preserve">range of </w:t>
      </w:r>
      <w:r w:rsidR="00094F3A">
        <w:rPr>
          <w:rFonts w:ascii="Cambria" w:hAnsi="Cambria"/>
          <w:sz w:val="22"/>
          <w:szCs w:val="22"/>
          <w:lang w:val="en-US"/>
        </w:rPr>
        <w:t xml:space="preserve">dMMR </w:t>
      </w:r>
      <w:proofErr w:type="spellStart"/>
      <w:r>
        <w:rPr>
          <w:rFonts w:ascii="Cambria" w:hAnsi="Cambria"/>
          <w:sz w:val="22"/>
          <w:szCs w:val="22"/>
          <w:lang w:val="en-US"/>
        </w:rPr>
        <w:t>tumour</w:t>
      </w:r>
      <w:r w:rsidR="00094F3A">
        <w:rPr>
          <w:rFonts w:ascii="Cambria" w:hAnsi="Cambria"/>
          <w:sz w:val="22"/>
          <w:szCs w:val="22"/>
          <w:lang w:val="en-US"/>
        </w:rPr>
        <w:t>s</w:t>
      </w:r>
      <w:proofErr w:type="spellEnd"/>
      <w:r>
        <w:rPr>
          <w:rFonts w:ascii="Cambria" w:hAnsi="Cambria"/>
          <w:sz w:val="22"/>
          <w:szCs w:val="22"/>
          <w:lang w:val="en-US"/>
        </w:rPr>
        <w:t>, together with a potential treatment option, has led to</w:t>
      </w:r>
      <w:r w:rsidR="007719D7" w:rsidRPr="007719D7">
        <w:rPr>
          <w:rFonts w:ascii="Cambria" w:hAnsi="Cambria"/>
          <w:sz w:val="22"/>
          <w:szCs w:val="22"/>
          <w:lang w:val="en-US"/>
        </w:rPr>
        <w:t xml:space="preserve"> a</w:t>
      </w:r>
      <w:r w:rsidR="000F580C" w:rsidRPr="007719D7">
        <w:rPr>
          <w:rFonts w:ascii="Cambria" w:hAnsi="Cambria"/>
          <w:sz w:val="22"/>
          <w:szCs w:val="22"/>
          <w:lang w:val="en-US"/>
        </w:rPr>
        <w:t xml:space="preserve"> </w:t>
      </w:r>
      <w:r w:rsidR="00A25BF8" w:rsidRPr="007719D7">
        <w:rPr>
          <w:rFonts w:ascii="Cambria" w:hAnsi="Cambria"/>
          <w:sz w:val="22"/>
          <w:szCs w:val="22"/>
          <w:lang w:val="en-US"/>
        </w:rPr>
        <w:t xml:space="preserve">new focus on developing and validating high through-put testing such as NGS to identify MSI-high/dMMR </w:t>
      </w:r>
      <w:proofErr w:type="spellStart"/>
      <w:r w:rsidR="00A25BF8" w:rsidRPr="007719D7"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="00800DA8">
        <w:rPr>
          <w:rFonts w:ascii="Cambria" w:hAnsi="Cambria"/>
          <w:sz w:val="22"/>
          <w:szCs w:val="22"/>
          <w:lang w:val="en-US"/>
        </w:rPr>
        <w:t>, especially where</w:t>
      </w:r>
      <w:r w:rsidR="00A25BF8" w:rsidRPr="007719D7">
        <w:rPr>
          <w:rFonts w:ascii="Cambria" w:hAnsi="Cambria"/>
          <w:sz w:val="22"/>
          <w:szCs w:val="22"/>
          <w:lang w:val="en-US"/>
        </w:rPr>
        <w:t xml:space="preserve"> th</w:t>
      </w:r>
      <w:r w:rsidR="00800DA8">
        <w:rPr>
          <w:rFonts w:ascii="Cambria" w:hAnsi="Cambria"/>
          <w:sz w:val="22"/>
          <w:szCs w:val="22"/>
          <w:lang w:val="en-US"/>
        </w:rPr>
        <w:t xml:space="preserve">ese </w:t>
      </w:r>
      <w:r w:rsidR="00A25BF8" w:rsidRPr="007719D7">
        <w:rPr>
          <w:rFonts w:ascii="Cambria" w:hAnsi="Cambria"/>
          <w:sz w:val="22"/>
          <w:szCs w:val="22"/>
          <w:lang w:val="en-US"/>
        </w:rPr>
        <w:t>occur at lower frequency</w:t>
      </w:r>
      <w:r w:rsidR="00800DA8">
        <w:rPr>
          <w:rFonts w:ascii="Cambria" w:hAnsi="Cambria"/>
          <w:sz w:val="22"/>
          <w:szCs w:val="22"/>
          <w:lang w:val="en-US"/>
        </w:rPr>
        <w:t xml:space="preserve">. </w:t>
      </w:r>
      <w:r w:rsidR="00A25BF8" w:rsidRPr="00800DA8">
        <w:rPr>
          <w:rFonts w:ascii="Cambria" w:hAnsi="Cambria"/>
          <w:sz w:val="22"/>
          <w:szCs w:val="22"/>
          <w:lang w:val="en-US"/>
        </w:rPr>
        <w:t xml:space="preserve">NGS </w:t>
      </w:r>
      <w:r w:rsidR="00800DA8">
        <w:rPr>
          <w:rFonts w:ascii="Cambria" w:hAnsi="Cambria"/>
          <w:sz w:val="22"/>
          <w:szCs w:val="22"/>
          <w:lang w:val="en-US"/>
        </w:rPr>
        <w:t>is</w:t>
      </w:r>
      <w:r w:rsidR="00BE169B" w:rsidRPr="00800DA8">
        <w:rPr>
          <w:rFonts w:ascii="Cambria" w:hAnsi="Cambria"/>
          <w:sz w:val="22"/>
          <w:szCs w:val="22"/>
          <w:lang w:val="en-US"/>
        </w:rPr>
        <w:t xml:space="preserve"> evolving </w:t>
      </w:r>
      <w:r w:rsidR="00A25BF8" w:rsidRPr="00800DA8">
        <w:rPr>
          <w:rFonts w:ascii="Cambria" w:hAnsi="Cambria"/>
          <w:sz w:val="22"/>
          <w:szCs w:val="22"/>
          <w:lang w:val="en-US"/>
        </w:rPr>
        <w:t xml:space="preserve">to </w:t>
      </w:r>
      <w:r w:rsidR="00BE169B" w:rsidRPr="00800DA8">
        <w:rPr>
          <w:rFonts w:ascii="Cambria" w:hAnsi="Cambria"/>
          <w:sz w:val="22"/>
          <w:szCs w:val="22"/>
          <w:lang w:val="en-US"/>
        </w:rPr>
        <w:t xml:space="preserve">facilitate rapid, large scale </w:t>
      </w:r>
      <w:proofErr w:type="spellStart"/>
      <w:r w:rsidR="00BE169B" w:rsidRPr="00800DA8">
        <w:rPr>
          <w:rFonts w:ascii="Cambria" w:hAnsi="Cambria"/>
          <w:sz w:val="22"/>
          <w:szCs w:val="22"/>
          <w:lang w:val="en-US"/>
        </w:rPr>
        <w:t>tumour</w:t>
      </w:r>
      <w:proofErr w:type="spellEnd"/>
      <w:r w:rsidR="00BE169B" w:rsidRPr="00800DA8">
        <w:rPr>
          <w:rFonts w:ascii="Cambria" w:hAnsi="Cambria"/>
          <w:sz w:val="22"/>
          <w:szCs w:val="22"/>
          <w:lang w:val="en-US"/>
        </w:rPr>
        <w:t xml:space="preserve"> assessments for</w:t>
      </w:r>
      <w:r w:rsidR="00A25BF8" w:rsidRPr="00800DA8">
        <w:rPr>
          <w:rFonts w:ascii="Cambria" w:hAnsi="Cambria"/>
          <w:sz w:val="22"/>
          <w:szCs w:val="22"/>
          <w:lang w:val="en-US"/>
        </w:rPr>
        <w:t xml:space="preserve"> MSI</w:t>
      </w:r>
      <w:r w:rsidR="00BE169B" w:rsidRPr="00800DA8">
        <w:rPr>
          <w:rFonts w:ascii="Cambria" w:hAnsi="Cambria"/>
          <w:sz w:val="22"/>
          <w:szCs w:val="22"/>
          <w:lang w:val="en-US"/>
        </w:rPr>
        <w:t xml:space="preserve"> status, mismatch repair gene mutations, </w:t>
      </w:r>
      <w:proofErr w:type="spellStart"/>
      <w:r w:rsidR="00BE169B" w:rsidRPr="00800DA8">
        <w:rPr>
          <w:rFonts w:ascii="Cambria" w:hAnsi="Cambria"/>
          <w:sz w:val="22"/>
          <w:szCs w:val="22"/>
          <w:lang w:val="en-US"/>
        </w:rPr>
        <w:t>tumour</w:t>
      </w:r>
      <w:proofErr w:type="spellEnd"/>
      <w:r w:rsidR="00BE169B" w:rsidRPr="00800DA8">
        <w:rPr>
          <w:rFonts w:ascii="Cambria" w:hAnsi="Cambria"/>
          <w:sz w:val="22"/>
          <w:szCs w:val="22"/>
          <w:lang w:val="en-US"/>
        </w:rPr>
        <w:t xml:space="preserve"> mutation burden to predict responsiveness to immunotherapy, but </w:t>
      </w:r>
      <w:r w:rsidR="00A25BF8" w:rsidRPr="00800DA8">
        <w:rPr>
          <w:rFonts w:ascii="Cambria" w:hAnsi="Cambria"/>
          <w:sz w:val="22"/>
          <w:szCs w:val="22"/>
          <w:lang w:val="en-US"/>
        </w:rPr>
        <w:t xml:space="preserve">require validation and determination to establish predictive clinical utility for patient selection </w:t>
      </w:r>
      <w:r w:rsidR="00BE169B" w:rsidRPr="00800DA8">
        <w:rPr>
          <w:rFonts w:ascii="Cambria" w:hAnsi="Cambria"/>
          <w:sz w:val="22"/>
          <w:szCs w:val="22"/>
          <w:lang w:val="en-US"/>
        </w:rPr>
        <w:t>for treatment.</w:t>
      </w:r>
    </w:p>
    <w:p w14:paraId="2951BB8E" w14:textId="29DBBAAA" w:rsidR="00BE169B" w:rsidRPr="00446C99" w:rsidRDefault="00BE169B" w:rsidP="00446C99">
      <w:pPr>
        <w:pStyle w:val="ListParagraph"/>
        <w:numPr>
          <w:ilvl w:val="0"/>
          <w:numId w:val="30"/>
        </w:numPr>
        <w:spacing w:after="240"/>
        <w:ind w:left="71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 w:rsidRPr="007719D7">
        <w:rPr>
          <w:rFonts w:ascii="Cambria" w:hAnsi="Cambria"/>
          <w:sz w:val="22"/>
          <w:szCs w:val="22"/>
          <w:lang w:val="en-US"/>
        </w:rPr>
        <w:t xml:space="preserve">In Australia, IHC is recommended to be performed routinely on all colorectal specimens, and endometrial specimens and other </w:t>
      </w:r>
      <w:proofErr w:type="spellStart"/>
      <w:r w:rsidRPr="007719D7">
        <w:rPr>
          <w:rFonts w:ascii="Cambria" w:hAnsi="Cambria"/>
          <w:sz w:val="22"/>
          <w:szCs w:val="22"/>
          <w:lang w:val="en-US"/>
        </w:rPr>
        <w:t>tumour</w:t>
      </w:r>
      <w:proofErr w:type="spellEnd"/>
      <w:r w:rsidRPr="007719D7">
        <w:rPr>
          <w:rFonts w:ascii="Cambria" w:hAnsi="Cambria"/>
          <w:sz w:val="22"/>
          <w:szCs w:val="22"/>
          <w:lang w:val="en-US"/>
        </w:rPr>
        <w:t xml:space="preserve"> types or clinical situations which might indicate Lynch syndrome. </w:t>
      </w:r>
      <w:r w:rsidR="00800DA8">
        <w:rPr>
          <w:rFonts w:ascii="Cambria" w:hAnsi="Cambria"/>
          <w:sz w:val="22"/>
          <w:szCs w:val="22"/>
          <w:lang w:val="en-US"/>
        </w:rPr>
        <w:t>This</w:t>
      </w:r>
      <w:r w:rsidR="00112160">
        <w:rPr>
          <w:rFonts w:ascii="Cambria" w:hAnsi="Cambria"/>
          <w:sz w:val="22"/>
          <w:szCs w:val="22"/>
          <w:lang w:val="en-US"/>
        </w:rPr>
        <w:t xml:space="preserve"> cheap test</w:t>
      </w:r>
      <w:r w:rsidR="00800DA8">
        <w:rPr>
          <w:rFonts w:ascii="Cambria" w:hAnsi="Cambria"/>
          <w:sz w:val="22"/>
          <w:szCs w:val="22"/>
          <w:lang w:val="en-US"/>
        </w:rPr>
        <w:t xml:space="preserve"> is available almost universally in Australian laboratories.</w:t>
      </w:r>
    </w:p>
    <w:p w14:paraId="0F2FB6C8" w14:textId="1715C4F7" w:rsidR="007719D7" w:rsidRPr="00446C99" w:rsidRDefault="00BE169B" w:rsidP="00446C99">
      <w:pPr>
        <w:pStyle w:val="ListParagraph"/>
        <w:numPr>
          <w:ilvl w:val="0"/>
          <w:numId w:val="30"/>
        </w:numPr>
        <w:spacing w:after="240"/>
        <w:ind w:left="71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 w:rsidRPr="007719D7">
        <w:rPr>
          <w:rFonts w:ascii="Cambria" w:hAnsi="Cambria"/>
          <w:sz w:val="22"/>
          <w:szCs w:val="22"/>
          <w:lang w:val="en-US"/>
        </w:rPr>
        <w:t xml:space="preserve">MSI PCR is less </w:t>
      </w:r>
      <w:r w:rsidR="00112160">
        <w:rPr>
          <w:rFonts w:ascii="Cambria" w:hAnsi="Cambria"/>
          <w:sz w:val="22"/>
          <w:szCs w:val="22"/>
          <w:lang w:val="en-US"/>
        </w:rPr>
        <w:t xml:space="preserve">widely </w:t>
      </w:r>
      <w:r w:rsidRPr="007719D7">
        <w:rPr>
          <w:rFonts w:ascii="Cambria" w:hAnsi="Cambria"/>
          <w:sz w:val="22"/>
          <w:szCs w:val="22"/>
          <w:lang w:val="en-US"/>
        </w:rPr>
        <w:t>available in Australian pathology laboratories.</w:t>
      </w:r>
    </w:p>
    <w:p w14:paraId="11A5F395" w14:textId="56579A25" w:rsidR="007719D7" w:rsidRPr="00446C99" w:rsidRDefault="007719D7" w:rsidP="00446C99">
      <w:pPr>
        <w:pStyle w:val="ListParagraph"/>
        <w:numPr>
          <w:ilvl w:val="0"/>
          <w:numId w:val="30"/>
        </w:numPr>
        <w:spacing w:after="240"/>
        <w:ind w:left="71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 w:rsidRPr="007719D7">
        <w:rPr>
          <w:rFonts w:ascii="Cambria" w:hAnsi="Cambria"/>
          <w:sz w:val="22"/>
          <w:szCs w:val="22"/>
          <w:lang w:val="en-US"/>
        </w:rPr>
        <w:t>NGS detection of MSI is not routinely available in Australian pathology laboratories.</w:t>
      </w:r>
    </w:p>
    <w:p w14:paraId="36688B2E" w14:textId="73867921" w:rsidR="00C77E58" w:rsidRPr="00C77E58" w:rsidRDefault="007719D7" w:rsidP="00414276">
      <w:pPr>
        <w:pStyle w:val="ListParagraph"/>
        <w:numPr>
          <w:ilvl w:val="0"/>
          <w:numId w:val="30"/>
        </w:numPr>
        <w:jc w:val="both"/>
        <w:rPr>
          <w:rFonts w:ascii="Cambria" w:hAnsi="Cambria"/>
          <w:sz w:val="22"/>
          <w:szCs w:val="22"/>
          <w:lang w:val="en-US"/>
        </w:rPr>
      </w:pPr>
      <w:r w:rsidRPr="007719D7">
        <w:rPr>
          <w:rFonts w:ascii="Cambria" w:hAnsi="Cambria"/>
          <w:sz w:val="22"/>
          <w:szCs w:val="22"/>
          <w:lang w:val="en-US"/>
        </w:rPr>
        <w:t>No NGS panel tests for</w:t>
      </w:r>
      <w:r>
        <w:rPr>
          <w:rFonts w:ascii="Cambria" w:hAnsi="Cambria"/>
          <w:sz w:val="22"/>
          <w:szCs w:val="22"/>
          <w:lang w:val="en-US"/>
        </w:rPr>
        <w:t xml:space="preserve"> evaluating</w:t>
      </w:r>
      <w:r w:rsidRPr="007719D7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microsatellite instab</w:t>
      </w:r>
      <w:r w:rsidR="00800DA8">
        <w:rPr>
          <w:rFonts w:ascii="Cambria" w:hAnsi="Cambria"/>
          <w:sz w:val="22"/>
          <w:szCs w:val="22"/>
          <w:lang w:val="en-US"/>
        </w:rPr>
        <w:t>il</w:t>
      </w:r>
      <w:r>
        <w:rPr>
          <w:rFonts w:ascii="Cambria" w:hAnsi="Cambria"/>
          <w:sz w:val="22"/>
          <w:szCs w:val="22"/>
          <w:lang w:val="en-US"/>
        </w:rPr>
        <w:t>ity</w:t>
      </w:r>
      <w:r w:rsidRPr="007719D7">
        <w:rPr>
          <w:rFonts w:ascii="Cambria" w:hAnsi="Cambria"/>
          <w:sz w:val="22"/>
          <w:szCs w:val="22"/>
          <w:lang w:val="en-US"/>
        </w:rPr>
        <w:t xml:space="preserve"> are currently approved by the TGA.</w:t>
      </w:r>
    </w:p>
    <w:p w14:paraId="701F11CD" w14:textId="5D0BCC8C" w:rsidR="00573870" w:rsidRPr="002E6CB4" w:rsidRDefault="00573870" w:rsidP="002E6CB4">
      <w:pPr>
        <w:pStyle w:val="Heading1"/>
        <w:rPr>
          <w:b/>
          <w:color w:val="660066"/>
        </w:rPr>
      </w:pPr>
      <w:r w:rsidRPr="002E6CB4">
        <w:rPr>
          <w:b/>
          <w:color w:val="660066"/>
        </w:rPr>
        <w:lastRenderedPageBreak/>
        <w:t>Review report</w:t>
      </w:r>
    </w:p>
    <w:p w14:paraId="06984D33" w14:textId="2787C8A5" w:rsidR="00414276" w:rsidRPr="00031B80" w:rsidRDefault="00414276" w:rsidP="00446C99">
      <w:pPr>
        <w:spacing w:before="240" w:after="240"/>
        <w:jc w:val="both"/>
        <w:rPr>
          <w:rFonts w:ascii="Cambria" w:hAnsi="Cambria"/>
          <w:sz w:val="22"/>
          <w:szCs w:val="22"/>
          <w:lang w:val="en-US"/>
        </w:rPr>
      </w:pPr>
      <w:r w:rsidRPr="00031B80">
        <w:rPr>
          <w:rFonts w:ascii="Cambria" w:hAnsi="Cambria"/>
          <w:sz w:val="22"/>
          <w:szCs w:val="22"/>
          <w:lang w:val="en-US"/>
        </w:rPr>
        <w:t>The following document provide</w:t>
      </w:r>
      <w:r>
        <w:rPr>
          <w:rFonts w:ascii="Cambria" w:hAnsi="Cambria"/>
          <w:sz w:val="22"/>
          <w:szCs w:val="22"/>
          <w:lang w:val="en-US"/>
        </w:rPr>
        <w:t>s</w:t>
      </w:r>
      <w:r w:rsidRPr="00031B80">
        <w:rPr>
          <w:rFonts w:ascii="Cambria" w:hAnsi="Cambria"/>
          <w:sz w:val="22"/>
          <w:szCs w:val="22"/>
          <w:lang w:val="en-US"/>
        </w:rPr>
        <w:t xml:space="preserve"> a summary of the</w:t>
      </w:r>
      <w:r>
        <w:rPr>
          <w:rFonts w:ascii="Cambria" w:hAnsi="Cambria"/>
          <w:sz w:val="22"/>
          <w:szCs w:val="22"/>
          <w:lang w:val="en-US"/>
        </w:rPr>
        <w:t xml:space="preserve"> key issues</w:t>
      </w:r>
      <w:r w:rsidRPr="00031B80">
        <w:rPr>
          <w:rFonts w:ascii="Cambria" w:hAnsi="Cambria"/>
          <w:sz w:val="22"/>
          <w:szCs w:val="22"/>
          <w:lang w:val="en-US"/>
        </w:rPr>
        <w:t xml:space="preserve"> underlying </w:t>
      </w:r>
      <w:r>
        <w:rPr>
          <w:rFonts w:ascii="Cambria" w:hAnsi="Cambria"/>
          <w:sz w:val="22"/>
          <w:szCs w:val="22"/>
          <w:lang w:val="en-US"/>
        </w:rPr>
        <w:t xml:space="preserve">the </w:t>
      </w:r>
      <w:r w:rsidRPr="00031B80">
        <w:rPr>
          <w:rFonts w:ascii="Cambria" w:hAnsi="Cambria"/>
          <w:sz w:val="22"/>
          <w:szCs w:val="22"/>
          <w:lang w:val="en-US"/>
        </w:rPr>
        <w:t xml:space="preserve">science, </w:t>
      </w:r>
      <w:proofErr w:type="gramStart"/>
      <w:r w:rsidRPr="00031B80">
        <w:rPr>
          <w:rFonts w:ascii="Cambria" w:hAnsi="Cambria"/>
          <w:sz w:val="22"/>
          <w:szCs w:val="22"/>
          <w:lang w:val="en-US"/>
        </w:rPr>
        <w:t>evidence</w:t>
      </w:r>
      <w:proofErr w:type="gramEnd"/>
      <w:r w:rsidRPr="00031B80">
        <w:rPr>
          <w:rFonts w:ascii="Cambria" w:hAnsi="Cambria"/>
          <w:sz w:val="22"/>
          <w:szCs w:val="22"/>
          <w:lang w:val="en-US"/>
        </w:rPr>
        <w:t xml:space="preserve"> and uncertainties regarding the use of </w:t>
      </w:r>
      <w:r w:rsidR="00446A96" w:rsidRPr="00031B80">
        <w:rPr>
          <w:rFonts w:ascii="Cambria" w:hAnsi="Cambria"/>
          <w:sz w:val="22"/>
          <w:szCs w:val="22"/>
          <w:lang w:val="en-US"/>
        </w:rPr>
        <w:t>microsatellite instability (</w:t>
      </w:r>
      <w:r w:rsidRPr="00031B80">
        <w:rPr>
          <w:rFonts w:ascii="Cambria" w:hAnsi="Cambria"/>
          <w:sz w:val="22"/>
          <w:szCs w:val="22"/>
          <w:lang w:val="en-US"/>
        </w:rPr>
        <w:t>MSI</w:t>
      </w:r>
      <w:r w:rsidR="00446A96">
        <w:rPr>
          <w:rFonts w:ascii="Cambria" w:hAnsi="Cambria"/>
          <w:sz w:val="22"/>
          <w:szCs w:val="22"/>
          <w:lang w:val="en-US"/>
        </w:rPr>
        <w:t>)</w:t>
      </w:r>
      <w:r w:rsidRPr="00031B80">
        <w:rPr>
          <w:rFonts w:ascii="Cambria" w:hAnsi="Cambria"/>
          <w:sz w:val="22"/>
          <w:szCs w:val="22"/>
          <w:lang w:val="en-US"/>
        </w:rPr>
        <w:t xml:space="preserve"> testing and immunohistochemical analysis for the detection in cancers of mismatch repair deficiency (dMMR) in the Australian setting. </w:t>
      </w:r>
      <w:r>
        <w:rPr>
          <w:rFonts w:ascii="Cambria" w:hAnsi="Cambria"/>
          <w:sz w:val="22"/>
          <w:szCs w:val="22"/>
          <w:lang w:val="en-US"/>
        </w:rPr>
        <w:t xml:space="preserve">The various test methodologies have been considered using the comparative, objective and subjective clinical utility framework proposed in a paper presented to </w:t>
      </w:r>
      <w:r w:rsidR="00573870">
        <w:rPr>
          <w:rFonts w:ascii="Cambria" w:hAnsi="Cambria"/>
          <w:sz w:val="22"/>
          <w:szCs w:val="22"/>
          <w:lang w:val="en-US"/>
        </w:rPr>
        <w:t xml:space="preserve">the </w:t>
      </w:r>
      <w:r>
        <w:rPr>
          <w:rFonts w:ascii="Cambria" w:hAnsi="Cambria"/>
          <w:sz w:val="22"/>
          <w:szCs w:val="22"/>
          <w:lang w:val="en-US"/>
        </w:rPr>
        <w:t xml:space="preserve">MSAC </w:t>
      </w:r>
      <w:r w:rsidR="00573870">
        <w:rPr>
          <w:rFonts w:ascii="Cambria" w:hAnsi="Cambria"/>
          <w:sz w:val="22"/>
          <w:szCs w:val="22"/>
          <w:lang w:val="en-US"/>
        </w:rPr>
        <w:t xml:space="preserve">Executive </w:t>
      </w:r>
      <w:r>
        <w:rPr>
          <w:rFonts w:ascii="Cambria" w:hAnsi="Cambria"/>
          <w:sz w:val="22"/>
          <w:szCs w:val="22"/>
          <w:lang w:val="en-US"/>
        </w:rPr>
        <w:t>in April 2019.</w:t>
      </w:r>
    </w:p>
    <w:p w14:paraId="04F5919D" w14:textId="07B4C29D" w:rsidR="00B46620" w:rsidRPr="002E6CB4" w:rsidRDefault="00F32573" w:rsidP="002E6CB4">
      <w:pPr>
        <w:pStyle w:val="Heading2"/>
        <w:rPr>
          <w:b/>
          <w:color w:val="660066"/>
          <w:lang w:val="en-US"/>
        </w:rPr>
      </w:pPr>
      <w:r w:rsidRPr="002E6CB4">
        <w:rPr>
          <w:b/>
          <w:color w:val="660066"/>
          <w:lang w:val="en-US"/>
        </w:rPr>
        <w:t xml:space="preserve">Background </w:t>
      </w:r>
      <w:r w:rsidR="00D41021" w:rsidRPr="002E6CB4">
        <w:rPr>
          <w:b/>
          <w:color w:val="660066"/>
          <w:lang w:val="en-US"/>
        </w:rPr>
        <w:t>i</w:t>
      </w:r>
      <w:r w:rsidRPr="002E6CB4">
        <w:rPr>
          <w:b/>
          <w:color w:val="660066"/>
          <w:lang w:val="en-US"/>
        </w:rPr>
        <w:t>nformation</w:t>
      </w:r>
    </w:p>
    <w:p w14:paraId="374CC3DD" w14:textId="77777777" w:rsidR="00B46620" w:rsidRPr="002E6CB4" w:rsidRDefault="00B46620" w:rsidP="002E6CB4">
      <w:pPr>
        <w:pStyle w:val="Heading3"/>
        <w:rPr>
          <w:color w:val="660066"/>
        </w:rPr>
      </w:pPr>
      <w:r w:rsidRPr="002E6CB4">
        <w:rPr>
          <w:color w:val="660066"/>
        </w:rPr>
        <w:t>Scientific rationale</w:t>
      </w:r>
    </w:p>
    <w:p w14:paraId="360476E7" w14:textId="17B8BDDF" w:rsidR="009D356F" w:rsidRDefault="00B46620" w:rsidP="00446C99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 w:rsidRPr="00031B80">
        <w:rPr>
          <w:rFonts w:ascii="Cambria" w:hAnsi="Cambria"/>
          <w:sz w:val="22"/>
          <w:szCs w:val="22"/>
          <w:lang w:val="en-US"/>
        </w:rPr>
        <w:t xml:space="preserve">The DNA mismatch repair (MMR) pathway </w:t>
      </w:r>
      <w:proofErr w:type="spellStart"/>
      <w:r w:rsidRPr="00031B80">
        <w:rPr>
          <w:rFonts w:ascii="Cambria" w:hAnsi="Cambria"/>
          <w:sz w:val="22"/>
          <w:szCs w:val="22"/>
          <w:lang w:val="en-US"/>
        </w:rPr>
        <w:t>recognises</w:t>
      </w:r>
      <w:proofErr w:type="spellEnd"/>
      <w:r w:rsidRPr="00031B80">
        <w:rPr>
          <w:rFonts w:ascii="Cambria" w:hAnsi="Cambria"/>
          <w:sz w:val="22"/>
          <w:szCs w:val="22"/>
          <w:lang w:val="en-US"/>
        </w:rPr>
        <w:t xml:space="preserve"> and repairs mismatches that occur during DNA replication, principally through the activity of four key enzymes coded for by the following genes, </w:t>
      </w:r>
      <w:r w:rsidRPr="00BB12B3">
        <w:rPr>
          <w:rFonts w:ascii="Cambria" w:hAnsi="Cambria"/>
          <w:i/>
          <w:sz w:val="22"/>
          <w:szCs w:val="22"/>
          <w:lang w:val="en-US"/>
        </w:rPr>
        <w:t>MLH1</w:t>
      </w:r>
      <w:r w:rsidRPr="00031B80">
        <w:rPr>
          <w:rFonts w:ascii="Cambria" w:hAnsi="Cambria"/>
          <w:sz w:val="22"/>
          <w:szCs w:val="22"/>
          <w:lang w:val="en-US"/>
        </w:rPr>
        <w:t xml:space="preserve">, </w:t>
      </w:r>
      <w:r w:rsidRPr="00BB12B3">
        <w:rPr>
          <w:rFonts w:ascii="Cambria" w:hAnsi="Cambria"/>
          <w:i/>
          <w:sz w:val="22"/>
          <w:szCs w:val="22"/>
          <w:lang w:val="en-US"/>
        </w:rPr>
        <w:t>MSH2</w:t>
      </w:r>
      <w:r w:rsidRPr="00031B80">
        <w:rPr>
          <w:rFonts w:ascii="Cambria" w:hAnsi="Cambria"/>
          <w:sz w:val="22"/>
          <w:szCs w:val="22"/>
          <w:lang w:val="en-US"/>
        </w:rPr>
        <w:t xml:space="preserve">, </w:t>
      </w:r>
      <w:r w:rsidRPr="00BB12B3">
        <w:rPr>
          <w:rFonts w:ascii="Cambria" w:hAnsi="Cambria"/>
          <w:i/>
          <w:sz w:val="22"/>
          <w:szCs w:val="22"/>
          <w:lang w:val="en-US"/>
        </w:rPr>
        <w:t>MSH6</w:t>
      </w:r>
      <w:r w:rsidRPr="00031B80">
        <w:rPr>
          <w:rFonts w:ascii="Cambria" w:hAnsi="Cambria"/>
          <w:sz w:val="22"/>
          <w:szCs w:val="22"/>
          <w:lang w:val="en-US"/>
        </w:rPr>
        <w:t xml:space="preserve"> and </w:t>
      </w:r>
      <w:r w:rsidRPr="00BB12B3">
        <w:rPr>
          <w:rFonts w:ascii="Cambria" w:hAnsi="Cambria"/>
          <w:i/>
          <w:sz w:val="22"/>
          <w:szCs w:val="22"/>
          <w:lang w:val="en-US"/>
        </w:rPr>
        <w:t>PMS2</w:t>
      </w:r>
      <w:r w:rsidRPr="00031B80">
        <w:rPr>
          <w:rFonts w:ascii="Cambria" w:hAnsi="Cambria"/>
          <w:sz w:val="22"/>
          <w:szCs w:val="22"/>
          <w:lang w:val="en-US"/>
        </w:rPr>
        <w:t xml:space="preserve">. </w:t>
      </w:r>
      <w:r>
        <w:rPr>
          <w:rFonts w:ascii="Cambria" w:hAnsi="Cambria"/>
          <w:sz w:val="22"/>
          <w:szCs w:val="22"/>
          <w:lang w:val="en-US"/>
        </w:rPr>
        <w:t>Deficiency of mismatch repair (dMMR) occurs either through mutation</w:t>
      </w:r>
      <w:r w:rsidR="00267783">
        <w:rPr>
          <w:rFonts w:ascii="Cambria" w:hAnsi="Cambria"/>
          <w:sz w:val="22"/>
          <w:szCs w:val="22"/>
          <w:lang w:val="en-US"/>
        </w:rPr>
        <w:t>al inactivation</w:t>
      </w:r>
      <w:r>
        <w:rPr>
          <w:rFonts w:ascii="Cambria" w:hAnsi="Cambria"/>
          <w:sz w:val="22"/>
          <w:szCs w:val="22"/>
          <w:lang w:val="en-US"/>
        </w:rPr>
        <w:t xml:space="preserve"> in these four genes </w:t>
      </w:r>
      <w:r w:rsidR="00267783">
        <w:rPr>
          <w:rFonts w:ascii="Cambria" w:hAnsi="Cambria"/>
          <w:sz w:val="22"/>
          <w:szCs w:val="22"/>
          <w:lang w:val="en-US"/>
        </w:rPr>
        <w:t>(</w:t>
      </w:r>
      <w:r>
        <w:rPr>
          <w:rFonts w:ascii="Cambria" w:hAnsi="Cambria"/>
          <w:sz w:val="22"/>
          <w:szCs w:val="22"/>
          <w:lang w:val="en-US"/>
        </w:rPr>
        <w:t>or</w:t>
      </w:r>
      <w:r w:rsidR="00407775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 xml:space="preserve">deletions in the </w:t>
      </w:r>
      <w:r w:rsidRPr="00BB12B3">
        <w:rPr>
          <w:rFonts w:ascii="Cambria" w:hAnsi="Cambria"/>
          <w:i/>
          <w:sz w:val="22"/>
          <w:szCs w:val="22"/>
          <w:lang w:val="en-US"/>
        </w:rPr>
        <w:t>EPCAM</w:t>
      </w:r>
      <w:r>
        <w:rPr>
          <w:rFonts w:ascii="Cambria" w:hAnsi="Cambria"/>
          <w:sz w:val="22"/>
          <w:szCs w:val="22"/>
          <w:lang w:val="en-US"/>
        </w:rPr>
        <w:t xml:space="preserve"> gene that cause </w:t>
      </w:r>
      <w:proofErr w:type="gramStart"/>
      <w:r>
        <w:rPr>
          <w:rFonts w:ascii="Cambria" w:hAnsi="Cambria"/>
          <w:sz w:val="22"/>
          <w:szCs w:val="22"/>
          <w:lang w:val="en-US"/>
        </w:rPr>
        <w:t>allele-specific</w:t>
      </w:r>
      <w:proofErr w:type="gramEnd"/>
      <w:r>
        <w:rPr>
          <w:rFonts w:ascii="Cambria" w:hAnsi="Cambria"/>
          <w:sz w:val="22"/>
          <w:szCs w:val="22"/>
          <w:lang w:val="en-US"/>
        </w:rPr>
        <w:t xml:space="preserve"> </w:t>
      </w:r>
      <w:r w:rsidRPr="00BB12B3">
        <w:rPr>
          <w:rFonts w:ascii="Cambria" w:hAnsi="Cambria"/>
          <w:sz w:val="22"/>
          <w:szCs w:val="22"/>
          <w:lang w:val="en-US"/>
        </w:rPr>
        <w:t>MSH2</w:t>
      </w:r>
      <w:r>
        <w:rPr>
          <w:rFonts w:ascii="Cambria" w:hAnsi="Cambria"/>
          <w:sz w:val="22"/>
          <w:szCs w:val="22"/>
          <w:lang w:val="en-US"/>
        </w:rPr>
        <w:t xml:space="preserve"> inactivation</w:t>
      </w:r>
      <w:r w:rsidR="00267783">
        <w:rPr>
          <w:rFonts w:ascii="Cambria" w:hAnsi="Cambria"/>
          <w:sz w:val="22"/>
          <w:szCs w:val="22"/>
          <w:lang w:val="en-US"/>
        </w:rPr>
        <w:t>)</w:t>
      </w:r>
      <w:r w:rsidR="009D356F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 xml:space="preserve">or through </w:t>
      </w:r>
      <w:r w:rsidR="00267783">
        <w:rPr>
          <w:rFonts w:ascii="Cambria" w:hAnsi="Cambria"/>
          <w:sz w:val="22"/>
          <w:szCs w:val="22"/>
          <w:lang w:val="en-US"/>
        </w:rPr>
        <w:t>epigenetic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="00E61B27">
        <w:rPr>
          <w:rFonts w:ascii="Cambria" w:hAnsi="Cambria"/>
          <w:sz w:val="22"/>
          <w:szCs w:val="22"/>
          <w:lang w:val="en-US"/>
        </w:rPr>
        <w:t>inactivation</w:t>
      </w:r>
      <w:r w:rsidR="00267783">
        <w:rPr>
          <w:rFonts w:ascii="Cambria" w:hAnsi="Cambria"/>
          <w:sz w:val="22"/>
          <w:szCs w:val="22"/>
          <w:lang w:val="en-US"/>
        </w:rPr>
        <w:t>, such as</w:t>
      </w:r>
      <w:r w:rsidR="00E61B27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 xml:space="preserve">promoter methylation of </w:t>
      </w:r>
      <w:r w:rsidRPr="00BB12B3">
        <w:rPr>
          <w:rFonts w:ascii="Cambria" w:hAnsi="Cambria"/>
          <w:i/>
          <w:sz w:val="22"/>
          <w:szCs w:val="22"/>
          <w:lang w:val="en-US"/>
        </w:rPr>
        <w:t>MLH1</w:t>
      </w:r>
      <w:r>
        <w:rPr>
          <w:rFonts w:ascii="Cambria" w:hAnsi="Cambria"/>
          <w:sz w:val="22"/>
          <w:szCs w:val="22"/>
          <w:lang w:val="en-US"/>
        </w:rPr>
        <w:t xml:space="preserve"> leading to sporadic</w:t>
      </w:r>
      <w:r w:rsidR="0043198C">
        <w:rPr>
          <w:rFonts w:ascii="Cambria" w:hAnsi="Cambria"/>
          <w:sz w:val="22"/>
          <w:szCs w:val="22"/>
          <w:lang w:val="en-US"/>
        </w:rPr>
        <w:t xml:space="preserve"> (i.e. non-germline mutated)</w:t>
      </w:r>
      <w:r>
        <w:rPr>
          <w:rFonts w:ascii="Cambria" w:hAnsi="Cambria"/>
          <w:sz w:val="22"/>
          <w:szCs w:val="22"/>
          <w:lang w:val="en-US"/>
        </w:rPr>
        <w:t xml:space="preserve"> MSI </w:t>
      </w:r>
      <w:proofErr w:type="spellStart"/>
      <w:r>
        <w:rPr>
          <w:rFonts w:ascii="Cambria" w:hAnsi="Cambria"/>
          <w:sz w:val="22"/>
          <w:szCs w:val="22"/>
          <w:lang w:val="en-US"/>
        </w:rPr>
        <w:t>tumours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. </w:t>
      </w:r>
      <w:r w:rsidR="00BF184C">
        <w:rPr>
          <w:rFonts w:ascii="Cambria" w:hAnsi="Cambria"/>
          <w:sz w:val="22"/>
          <w:szCs w:val="22"/>
          <w:lang w:val="en-US"/>
        </w:rPr>
        <w:t xml:space="preserve">The proportion of sporadic versus germline mutations accounting for dMMR varies by cancer type. </w:t>
      </w:r>
      <w:r w:rsidR="0011594F">
        <w:rPr>
          <w:rFonts w:ascii="Cambria" w:hAnsi="Cambria"/>
          <w:sz w:val="22"/>
          <w:szCs w:val="22"/>
          <w:lang w:val="en-US"/>
        </w:rPr>
        <w:t>Both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Pr="00031B80">
        <w:rPr>
          <w:rFonts w:ascii="Cambria" w:hAnsi="Cambria"/>
          <w:sz w:val="22"/>
          <w:szCs w:val="22"/>
          <w:lang w:val="en-US"/>
        </w:rPr>
        <w:t>lead to the accumulation of short sequences of DNA repeated throughout the genome (MSI), and a</w:t>
      </w:r>
      <w:r w:rsidR="0011594F">
        <w:rPr>
          <w:rFonts w:ascii="Cambria" w:hAnsi="Cambria"/>
          <w:sz w:val="22"/>
          <w:szCs w:val="22"/>
          <w:lang w:val="en-US"/>
        </w:rPr>
        <w:t>n increased</w:t>
      </w:r>
      <w:r w:rsidRPr="00031B80">
        <w:rPr>
          <w:rFonts w:ascii="Cambria" w:hAnsi="Cambria"/>
          <w:sz w:val="22"/>
          <w:szCs w:val="22"/>
          <w:lang w:val="en-US"/>
        </w:rPr>
        <w:t xml:space="preserve"> risk of malignant transformation in certain tissues. </w:t>
      </w:r>
      <w:r w:rsidR="0011594F">
        <w:rPr>
          <w:rFonts w:ascii="Cambria" w:hAnsi="Cambria"/>
          <w:sz w:val="22"/>
          <w:szCs w:val="22"/>
          <w:lang w:val="en-US"/>
        </w:rPr>
        <w:t>These</w:t>
      </w:r>
      <w:r w:rsidRPr="00031B80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031B80"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Pr="00031B80">
        <w:rPr>
          <w:rFonts w:ascii="Cambria" w:hAnsi="Cambria"/>
          <w:sz w:val="22"/>
          <w:szCs w:val="22"/>
          <w:lang w:val="en-US"/>
        </w:rPr>
        <w:t xml:space="preserve"> </w:t>
      </w:r>
      <w:r w:rsidR="000E16DD">
        <w:rPr>
          <w:rFonts w:ascii="Cambria" w:hAnsi="Cambria"/>
          <w:sz w:val="22"/>
          <w:szCs w:val="22"/>
          <w:lang w:val="en-US"/>
        </w:rPr>
        <w:t>have</w:t>
      </w:r>
      <w:r w:rsidRPr="00031B80">
        <w:rPr>
          <w:rFonts w:ascii="Cambria" w:hAnsi="Cambria"/>
          <w:sz w:val="22"/>
          <w:szCs w:val="22"/>
          <w:lang w:val="en-US"/>
        </w:rPr>
        <w:t xml:space="preserve"> a </w:t>
      </w:r>
      <w:r w:rsidR="00E61B27">
        <w:rPr>
          <w:rFonts w:ascii="Cambria" w:hAnsi="Cambria"/>
          <w:sz w:val="22"/>
          <w:szCs w:val="22"/>
          <w:lang w:val="en-US"/>
        </w:rPr>
        <w:t>higher</w:t>
      </w:r>
      <w:r w:rsidRPr="00031B80">
        <w:rPr>
          <w:rFonts w:ascii="Cambria" w:hAnsi="Cambria"/>
          <w:sz w:val="22"/>
          <w:szCs w:val="22"/>
          <w:lang w:val="en-US"/>
        </w:rPr>
        <w:t xml:space="preserve"> frequency of somatic mutations compared with </w:t>
      </w:r>
      <w:r w:rsidR="00E61B27">
        <w:rPr>
          <w:rFonts w:ascii="Cambria" w:hAnsi="Cambria"/>
          <w:sz w:val="22"/>
          <w:szCs w:val="22"/>
          <w:lang w:val="en-US"/>
        </w:rPr>
        <w:t>non-dMMR</w:t>
      </w:r>
      <w:r w:rsidRPr="00031B80">
        <w:rPr>
          <w:rFonts w:ascii="Cambria" w:hAnsi="Cambria"/>
          <w:sz w:val="22"/>
          <w:szCs w:val="22"/>
          <w:lang w:val="en-US"/>
        </w:rPr>
        <w:t xml:space="preserve"> cancers (Le et al, 2017</w:t>
      </w:r>
      <w:r w:rsidR="0011594F">
        <w:rPr>
          <w:rFonts w:ascii="Cambria" w:hAnsi="Cambria"/>
          <w:sz w:val="22"/>
          <w:szCs w:val="22"/>
          <w:lang w:val="en-US"/>
        </w:rPr>
        <w:t xml:space="preserve">; </w:t>
      </w:r>
      <w:proofErr w:type="spellStart"/>
      <w:r w:rsidR="0011594F">
        <w:rPr>
          <w:rFonts w:ascii="Cambria" w:hAnsi="Cambria"/>
          <w:sz w:val="22"/>
          <w:szCs w:val="22"/>
          <w:lang w:val="en-US"/>
        </w:rPr>
        <w:t>Vanderwalde</w:t>
      </w:r>
      <w:proofErr w:type="spellEnd"/>
      <w:r w:rsidR="0011594F">
        <w:rPr>
          <w:rFonts w:ascii="Cambria" w:hAnsi="Cambria"/>
          <w:sz w:val="22"/>
          <w:szCs w:val="22"/>
          <w:lang w:val="en-US"/>
        </w:rPr>
        <w:t xml:space="preserve"> et al</w:t>
      </w:r>
      <w:r w:rsidR="00E418B9">
        <w:rPr>
          <w:rFonts w:ascii="Cambria" w:hAnsi="Cambria"/>
          <w:sz w:val="22"/>
          <w:szCs w:val="22"/>
          <w:lang w:val="en-US"/>
        </w:rPr>
        <w:t>,</w:t>
      </w:r>
      <w:r w:rsidR="0011594F">
        <w:rPr>
          <w:rFonts w:ascii="Cambria" w:hAnsi="Cambria"/>
          <w:sz w:val="22"/>
          <w:szCs w:val="22"/>
          <w:lang w:val="en-US"/>
        </w:rPr>
        <w:t xml:space="preserve"> 2018; Smyth et al</w:t>
      </w:r>
      <w:r w:rsidR="00E418B9">
        <w:rPr>
          <w:rFonts w:ascii="Cambria" w:hAnsi="Cambria"/>
          <w:sz w:val="22"/>
          <w:szCs w:val="22"/>
          <w:lang w:val="en-US"/>
        </w:rPr>
        <w:t>,</w:t>
      </w:r>
      <w:r w:rsidR="0011594F">
        <w:rPr>
          <w:rFonts w:ascii="Cambria" w:hAnsi="Cambria"/>
          <w:sz w:val="22"/>
          <w:szCs w:val="22"/>
          <w:lang w:val="en-US"/>
        </w:rPr>
        <w:t xml:space="preserve"> 2017</w:t>
      </w:r>
      <w:r w:rsidRPr="00031B80">
        <w:rPr>
          <w:rFonts w:ascii="Cambria" w:hAnsi="Cambria"/>
          <w:sz w:val="22"/>
          <w:szCs w:val="22"/>
          <w:lang w:val="en-US"/>
        </w:rPr>
        <w:t>)</w:t>
      </w:r>
      <w:r w:rsidR="000E16DD">
        <w:rPr>
          <w:rFonts w:ascii="Cambria" w:hAnsi="Cambria"/>
          <w:sz w:val="22"/>
          <w:szCs w:val="22"/>
          <w:lang w:val="en-US"/>
        </w:rPr>
        <w:t>, postulated to give</w:t>
      </w:r>
      <w:r w:rsidRPr="00031B80">
        <w:rPr>
          <w:rFonts w:ascii="Cambria" w:hAnsi="Cambria"/>
          <w:sz w:val="22"/>
          <w:szCs w:val="22"/>
          <w:lang w:val="en-US"/>
        </w:rPr>
        <w:t xml:space="preserve"> rise to large range of </w:t>
      </w:r>
      <w:proofErr w:type="spellStart"/>
      <w:r w:rsidRPr="00031B80">
        <w:rPr>
          <w:rFonts w:ascii="Cambria" w:hAnsi="Cambria"/>
          <w:sz w:val="22"/>
          <w:szCs w:val="22"/>
          <w:lang w:val="en-US"/>
        </w:rPr>
        <w:t>tumour</w:t>
      </w:r>
      <w:proofErr w:type="spellEnd"/>
      <w:r w:rsidRPr="00031B80">
        <w:rPr>
          <w:rFonts w:ascii="Cambria" w:hAnsi="Cambria"/>
          <w:sz w:val="22"/>
          <w:szCs w:val="22"/>
          <w:lang w:val="en-US"/>
        </w:rPr>
        <w:t xml:space="preserve"> neoantigens (high </w:t>
      </w:r>
      <w:proofErr w:type="spellStart"/>
      <w:r w:rsidRPr="00031B80">
        <w:rPr>
          <w:rFonts w:ascii="Cambria" w:hAnsi="Cambria"/>
          <w:sz w:val="22"/>
          <w:szCs w:val="22"/>
          <w:lang w:val="en-US"/>
        </w:rPr>
        <w:t>tumour</w:t>
      </w:r>
      <w:proofErr w:type="spellEnd"/>
      <w:r w:rsidRPr="00031B80">
        <w:rPr>
          <w:rFonts w:ascii="Cambria" w:hAnsi="Cambria"/>
          <w:sz w:val="22"/>
          <w:szCs w:val="22"/>
          <w:lang w:val="en-US"/>
        </w:rPr>
        <w:t xml:space="preserve"> mutation burden), and a highly immunogenic signature, including a high proportion of </w:t>
      </w:r>
      <w:proofErr w:type="spellStart"/>
      <w:r w:rsidRPr="00031B80">
        <w:rPr>
          <w:rFonts w:ascii="Cambria" w:hAnsi="Cambria"/>
          <w:sz w:val="22"/>
          <w:szCs w:val="22"/>
          <w:lang w:val="en-US"/>
        </w:rPr>
        <w:t>tumour</w:t>
      </w:r>
      <w:proofErr w:type="spellEnd"/>
      <w:r w:rsidRPr="00031B80">
        <w:rPr>
          <w:rFonts w:ascii="Cambria" w:hAnsi="Cambria"/>
          <w:sz w:val="22"/>
          <w:szCs w:val="22"/>
          <w:lang w:val="en-US"/>
        </w:rPr>
        <w:t xml:space="preserve"> infiltrating lymphocytes</w:t>
      </w:r>
      <w:r w:rsidR="000E16DD">
        <w:rPr>
          <w:rFonts w:ascii="Cambria" w:hAnsi="Cambria"/>
          <w:sz w:val="22"/>
          <w:szCs w:val="22"/>
          <w:lang w:val="en-US"/>
        </w:rPr>
        <w:t xml:space="preserve"> (Le et al, 2017)</w:t>
      </w:r>
      <w:r w:rsidRPr="00031B80">
        <w:rPr>
          <w:rFonts w:ascii="Cambria" w:hAnsi="Cambria"/>
          <w:sz w:val="22"/>
          <w:szCs w:val="22"/>
          <w:lang w:val="en-US"/>
        </w:rPr>
        <w:t xml:space="preserve">. These </w:t>
      </w:r>
      <w:proofErr w:type="spellStart"/>
      <w:r w:rsidRPr="00031B80"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Pr="00031B80">
        <w:rPr>
          <w:rFonts w:ascii="Cambria" w:hAnsi="Cambria"/>
          <w:sz w:val="22"/>
          <w:szCs w:val="22"/>
          <w:lang w:val="en-US"/>
        </w:rPr>
        <w:t xml:space="preserve"> are thought to evade the immune system through upregulation of immune inhibitory signals, such as PD-L1 expression. Thus, use of immune checkpoint inhibitors</w:t>
      </w:r>
      <w:r w:rsidR="000E16DD">
        <w:rPr>
          <w:rFonts w:ascii="Cambria" w:hAnsi="Cambria"/>
          <w:sz w:val="22"/>
          <w:szCs w:val="22"/>
          <w:lang w:val="en-US"/>
        </w:rPr>
        <w:t xml:space="preserve"> such as pembrolizumab</w:t>
      </w:r>
      <w:r w:rsidRPr="00031B80">
        <w:rPr>
          <w:rFonts w:ascii="Cambria" w:hAnsi="Cambria"/>
          <w:sz w:val="22"/>
          <w:szCs w:val="22"/>
          <w:lang w:val="en-US"/>
        </w:rPr>
        <w:t xml:space="preserve"> is proposed to restore </w:t>
      </w:r>
      <w:r w:rsidR="000E16DD">
        <w:rPr>
          <w:rFonts w:ascii="Cambria" w:hAnsi="Cambria"/>
          <w:sz w:val="22"/>
          <w:szCs w:val="22"/>
          <w:lang w:val="en-US"/>
        </w:rPr>
        <w:t xml:space="preserve">immune </w:t>
      </w:r>
      <w:r w:rsidRPr="00031B80">
        <w:rPr>
          <w:rFonts w:ascii="Cambria" w:hAnsi="Cambria"/>
          <w:sz w:val="22"/>
          <w:szCs w:val="22"/>
          <w:lang w:val="en-US"/>
        </w:rPr>
        <w:t xml:space="preserve">recognition </w:t>
      </w:r>
      <w:r w:rsidR="000E16DD">
        <w:rPr>
          <w:rFonts w:ascii="Cambria" w:hAnsi="Cambria"/>
          <w:sz w:val="22"/>
          <w:szCs w:val="22"/>
          <w:lang w:val="en-US"/>
        </w:rPr>
        <w:t xml:space="preserve">and activity against </w:t>
      </w:r>
      <w:r w:rsidRPr="00031B80">
        <w:rPr>
          <w:rFonts w:ascii="Cambria" w:hAnsi="Cambria"/>
          <w:sz w:val="22"/>
          <w:szCs w:val="22"/>
          <w:lang w:val="en-US"/>
        </w:rPr>
        <w:t xml:space="preserve">both colonic and extracolonic </w:t>
      </w:r>
      <w:proofErr w:type="spellStart"/>
      <w:r w:rsidRPr="00031B80"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Pr="00031B80">
        <w:rPr>
          <w:rFonts w:ascii="Cambria" w:hAnsi="Cambria"/>
          <w:sz w:val="22"/>
          <w:szCs w:val="22"/>
          <w:lang w:val="en-US"/>
        </w:rPr>
        <w:t xml:space="preserve"> that exhibit dMMR, using this as the common signature, rather than tissue of origin.</w:t>
      </w:r>
    </w:p>
    <w:p w14:paraId="17E8CD06" w14:textId="5E1E19D9" w:rsidR="00A91F87" w:rsidRDefault="009D356F" w:rsidP="00446C99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Mismatch repair deficiency </w:t>
      </w:r>
      <w:r w:rsidR="00BF184C">
        <w:rPr>
          <w:rFonts w:ascii="Cambria" w:hAnsi="Cambria"/>
          <w:sz w:val="22"/>
          <w:szCs w:val="22"/>
          <w:lang w:val="en-US"/>
        </w:rPr>
        <w:t>is a common cause of</w:t>
      </w:r>
      <w:r>
        <w:rPr>
          <w:rFonts w:ascii="Cambria" w:hAnsi="Cambria"/>
          <w:sz w:val="22"/>
          <w:szCs w:val="22"/>
          <w:lang w:val="en-US"/>
        </w:rPr>
        <w:t xml:space="preserve"> a range of cancers, including colorectal, endometrial, ovarian, cancers of the stomach, small intestine, pancreas</w:t>
      </w:r>
      <w:r w:rsidR="000E16DD">
        <w:rPr>
          <w:rFonts w:ascii="Cambria" w:hAnsi="Cambria"/>
          <w:sz w:val="22"/>
          <w:szCs w:val="22"/>
          <w:lang w:val="en-US"/>
        </w:rPr>
        <w:t>,</w:t>
      </w:r>
      <w:r>
        <w:rPr>
          <w:rFonts w:ascii="Cambria" w:hAnsi="Cambria"/>
          <w:sz w:val="22"/>
          <w:szCs w:val="22"/>
          <w:lang w:val="en-US"/>
        </w:rPr>
        <w:t xml:space="preserve"> biliary </w:t>
      </w:r>
      <w:proofErr w:type="gramStart"/>
      <w:r>
        <w:rPr>
          <w:rFonts w:ascii="Cambria" w:hAnsi="Cambria"/>
          <w:sz w:val="22"/>
          <w:szCs w:val="22"/>
          <w:lang w:val="en-US"/>
        </w:rPr>
        <w:t>tract</w:t>
      </w:r>
      <w:proofErr w:type="gramEnd"/>
      <w:r>
        <w:rPr>
          <w:rFonts w:ascii="Cambria" w:hAnsi="Cambria"/>
          <w:sz w:val="22"/>
          <w:szCs w:val="22"/>
          <w:lang w:val="en-US"/>
        </w:rPr>
        <w:t xml:space="preserve"> </w:t>
      </w:r>
      <w:r w:rsidR="000E16DD">
        <w:rPr>
          <w:rFonts w:ascii="Cambria" w:hAnsi="Cambria"/>
          <w:sz w:val="22"/>
          <w:szCs w:val="22"/>
          <w:lang w:val="en-US"/>
        </w:rPr>
        <w:t xml:space="preserve">and </w:t>
      </w:r>
      <w:r>
        <w:rPr>
          <w:rFonts w:ascii="Cambria" w:hAnsi="Cambria"/>
          <w:sz w:val="22"/>
          <w:szCs w:val="22"/>
          <w:lang w:val="en-US"/>
        </w:rPr>
        <w:t xml:space="preserve">ureter. </w:t>
      </w:r>
      <w:r w:rsidR="000E16DD">
        <w:rPr>
          <w:rFonts w:ascii="Cambria" w:hAnsi="Cambria"/>
          <w:sz w:val="22"/>
          <w:szCs w:val="22"/>
          <w:lang w:val="en-US"/>
        </w:rPr>
        <w:t xml:space="preserve">Recent studies using NGS to detect MSI have identified 2.2% of </w:t>
      </w:r>
      <w:proofErr w:type="spellStart"/>
      <w:r w:rsidR="000E16DD"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="000E16DD">
        <w:rPr>
          <w:rFonts w:ascii="Cambria" w:hAnsi="Cambria"/>
          <w:sz w:val="22"/>
          <w:szCs w:val="22"/>
          <w:lang w:val="en-US"/>
        </w:rPr>
        <w:t xml:space="preserve"> were MSI-high in a much wider range</w:t>
      </w:r>
      <w:r w:rsidR="00407775">
        <w:rPr>
          <w:rFonts w:ascii="Cambria" w:hAnsi="Cambria"/>
          <w:sz w:val="22"/>
          <w:szCs w:val="22"/>
          <w:lang w:val="en-US"/>
        </w:rPr>
        <w:t xml:space="preserve"> of cancers</w:t>
      </w:r>
      <w:r w:rsidR="000E16DD">
        <w:rPr>
          <w:rFonts w:ascii="Cambria" w:hAnsi="Cambria"/>
          <w:sz w:val="22"/>
          <w:szCs w:val="22"/>
          <w:lang w:val="en-US"/>
        </w:rPr>
        <w:t xml:space="preserve"> than had previously been understood (Latham et al, 2018). This has been confirmed in other NGS-based studies, indicating that this may be a </w:t>
      </w:r>
      <w:proofErr w:type="spellStart"/>
      <w:r w:rsidR="000E16DD">
        <w:rPr>
          <w:rFonts w:ascii="Cambria" w:hAnsi="Cambria"/>
          <w:sz w:val="22"/>
          <w:szCs w:val="22"/>
          <w:lang w:val="en-US"/>
        </w:rPr>
        <w:t>generalised</w:t>
      </w:r>
      <w:proofErr w:type="spellEnd"/>
      <w:r w:rsidR="000E16DD">
        <w:rPr>
          <w:rFonts w:ascii="Cambria" w:hAnsi="Cambria"/>
          <w:sz w:val="22"/>
          <w:szCs w:val="22"/>
          <w:lang w:val="en-US"/>
        </w:rPr>
        <w:t xml:space="preserve"> cancer phenotype (</w:t>
      </w:r>
      <w:proofErr w:type="spellStart"/>
      <w:r w:rsidR="000E16DD">
        <w:rPr>
          <w:rFonts w:ascii="Cambria" w:hAnsi="Cambria"/>
          <w:sz w:val="22"/>
          <w:szCs w:val="22"/>
          <w:lang w:val="en-US"/>
        </w:rPr>
        <w:t>Hause</w:t>
      </w:r>
      <w:proofErr w:type="spellEnd"/>
      <w:r w:rsidR="000E16DD">
        <w:rPr>
          <w:rFonts w:ascii="Cambria" w:hAnsi="Cambria"/>
          <w:sz w:val="22"/>
          <w:szCs w:val="22"/>
          <w:lang w:val="en-US"/>
        </w:rPr>
        <w:t xml:space="preserve"> et al, 2016;</w:t>
      </w:r>
      <w:r w:rsidR="00446A96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0E16DD">
        <w:rPr>
          <w:rFonts w:ascii="Cambria" w:hAnsi="Cambria"/>
          <w:sz w:val="22"/>
          <w:szCs w:val="22"/>
          <w:lang w:val="en-US"/>
        </w:rPr>
        <w:t>Vanderwalde</w:t>
      </w:r>
      <w:proofErr w:type="spellEnd"/>
      <w:r w:rsidR="000E16DD">
        <w:rPr>
          <w:rFonts w:ascii="Cambria" w:hAnsi="Cambria"/>
          <w:sz w:val="22"/>
          <w:szCs w:val="22"/>
          <w:lang w:val="en-US"/>
        </w:rPr>
        <w:t xml:space="preserve"> et al, 2018). </w:t>
      </w:r>
      <w:r w:rsidR="00BF184C">
        <w:rPr>
          <w:rFonts w:ascii="Cambria" w:hAnsi="Cambria"/>
          <w:sz w:val="22"/>
          <w:szCs w:val="22"/>
          <w:lang w:val="en-US"/>
        </w:rPr>
        <w:t>T</w:t>
      </w:r>
      <w:r w:rsidR="00E61B27">
        <w:rPr>
          <w:rFonts w:ascii="Cambria" w:hAnsi="Cambria"/>
          <w:sz w:val="22"/>
          <w:szCs w:val="22"/>
          <w:lang w:val="en-US"/>
        </w:rPr>
        <w:t xml:space="preserve">he </w:t>
      </w:r>
      <w:r w:rsidR="008206C6">
        <w:rPr>
          <w:rFonts w:ascii="Cambria" w:hAnsi="Cambria"/>
          <w:sz w:val="22"/>
          <w:szCs w:val="22"/>
          <w:lang w:val="en-US"/>
        </w:rPr>
        <w:t xml:space="preserve">established </w:t>
      </w:r>
      <w:r w:rsidR="00BF184C">
        <w:rPr>
          <w:rFonts w:ascii="Cambria" w:hAnsi="Cambria"/>
          <w:sz w:val="22"/>
          <w:szCs w:val="22"/>
          <w:lang w:val="en-US"/>
        </w:rPr>
        <w:t>purpose</w:t>
      </w:r>
      <w:r w:rsidR="008206C6">
        <w:rPr>
          <w:rFonts w:ascii="Cambria" w:hAnsi="Cambria"/>
          <w:sz w:val="22"/>
          <w:szCs w:val="22"/>
          <w:lang w:val="en-US"/>
        </w:rPr>
        <w:t>s</w:t>
      </w:r>
      <w:r w:rsidR="00BF184C">
        <w:rPr>
          <w:rFonts w:ascii="Cambria" w:hAnsi="Cambria"/>
          <w:sz w:val="22"/>
          <w:szCs w:val="22"/>
          <w:lang w:val="en-US"/>
        </w:rPr>
        <w:t xml:space="preserve"> and clinical utility of </w:t>
      </w:r>
      <w:r w:rsidR="008206C6">
        <w:rPr>
          <w:rFonts w:ascii="Cambria" w:hAnsi="Cambria"/>
          <w:sz w:val="22"/>
          <w:szCs w:val="22"/>
          <w:lang w:val="en-US"/>
        </w:rPr>
        <w:t xml:space="preserve">dMMR </w:t>
      </w:r>
      <w:r w:rsidR="00797142">
        <w:rPr>
          <w:rFonts w:ascii="Cambria" w:hAnsi="Cambria"/>
          <w:sz w:val="22"/>
          <w:szCs w:val="22"/>
          <w:lang w:val="en-US"/>
        </w:rPr>
        <w:t xml:space="preserve">testing, either by immunohistochemistry (absence of MMR proteins) or MSI </w:t>
      </w:r>
      <w:r w:rsidR="008206C6">
        <w:rPr>
          <w:rFonts w:ascii="Cambria" w:hAnsi="Cambria"/>
          <w:sz w:val="22"/>
          <w:szCs w:val="22"/>
          <w:lang w:val="en-US"/>
        </w:rPr>
        <w:t xml:space="preserve">by </w:t>
      </w:r>
      <w:r w:rsidR="00446A96">
        <w:rPr>
          <w:rFonts w:ascii="Cambria" w:hAnsi="Cambria"/>
          <w:sz w:val="22"/>
          <w:szCs w:val="22"/>
          <w:lang w:val="en-US"/>
        </w:rPr>
        <w:t>p</w:t>
      </w:r>
      <w:r w:rsidR="00446A96" w:rsidRPr="00446A96">
        <w:rPr>
          <w:rFonts w:ascii="Cambria" w:hAnsi="Cambria"/>
          <w:sz w:val="22"/>
          <w:szCs w:val="22"/>
          <w:lang w:val="en-US"/>
        </w:rPr>
        <w:t xml:space="preserve">olymerase </w:t>
      </w:r>
      <w:r w:rsidR="00446A96">
        <w:rPr>
          <w:rFonts w:ascii="Cambria" w:hAnsi="Cambria"/>
          <w:sz w:val="22"/>
          <w:szCs w:val="22"/>
          <w:lang w:val="en-US"/>
        </w:rPr>
        <w:t>c</w:t>
      </w:r>
      <w:r w:rsidR="00446A96" w:rsidRPr="00446A96">
        <w:rPr>
          <w:rFonts w:ascii="Cambria" w:hAnsi="Cambria"/>
          <w:sz w:val="22"/>
          <w:szCs w:val="22"/>
          <w:lang w:val="en-US"/>
        </w:rPr>
        <w:t xml:space="preserve">hain </w:t>
      </w:r>
      <w:r w:rsidR="00446A96">
        <w:rPr>
          <w:rFonts w:ascii="Cambria" w:hAnsi="Cambria"/>
          <w:sz w:val="22"/>
          <w:szCs w:val="22"/>
          <w:lang w:val="en-US"/>
        </w:rPr>
        <w:t>r</w:t>
      </w:r>
      <w:r w:rsidR="00446A96" w:rsidRPr="00446A96">
        <w:rPr>
          <w:rFonts w:ascii="Cambria" w:hAnsi="Cambria"/>
          <w:sz w:val="22"/>
          <w:szCs w:val="22"/>
          <w:lang w:val="en-US"/>
        </w:rPr>
        <w:t>eaction (</w:t>
      </w:r>
      <w:r w:rsidR="00797142">
        <w:rPr>
          <w:rFonts w:ascii="Cambria" w:hAnsi="Cambria"/>
          <w:sz w:val="22"/>
          <w:szCs w:val="22"/>
          <w:lang w:val="en-US"/>
        </w:rPr>
        <w:t>PCR</w:t>
      </w:r>
      <w:r w:rsidR="00446A96">
        <w:rPr>
          <w:rFonts w:ascii="Cambria" w:hAnsi="Cambria"/>
          <w:sz w:val="22"/>
          <w:szCs w:val="22"/>
          <w:lang w:val="en-US"/>
        </w:rPr>
        <w:t>)</w:t>
      </w:r>
      <w:r w:rsidR="00BF184C">
        <w:rPr>
          <w:rFonts w:ascii="Cambria" w:hAnsi="Cambria"/>
          <w:sz w:val="22"/>
          <w:szCs w:val="22"/>
          <w:lang w:val="en-US"/>
        </w:rPr>
        <w:t xml:space="preserve"> have been</w:t>
      </w:r>
      <w:r w:rsidR="00E61B27">
        <w:rPr>
          <w:rFonts w:ascii="Cambria" w:hAnsi="Cambria"/>
          <w:sz w:val="22"/>
          <w:szCs w:val="22"/>
          <w:lang w:val="en-US"/>
        </w:rPr>
        <w:t xml:space="preserve"> </w:t>
      </w:r>
      <w:r w:rsidR="00BF184C">
        <w:rPr>
          <w:rFonts w:ascii="Cambria" w:hAnsi="Cambria"/>
          <w:sz w:val="22"/>
          <w:szCs w:val="22"/>
          <w:lang w:val="en-US"/>
        </w:rPr>
        <w:t>prognostic (and</w:t>
      </w:r>
      <w:r w:rsidR="008206C6">
        <w:rPr>
          <w:rFonts w:ascii="Cambria" w:hAnsi="Cambria"/>
          <w:sz w:val="22"/>
          <w:szCs w:val="22"/>
          <w:lang w:val="en-US"/>
        </w:rPr>
        <w:t xml:space="preserve"> perhaps predictive of</w:t>
      </w:r>
      <w:r w:rsidR="00BF184C">
        <w:rPr>
          <w:rFonts w:ascii="Cambria" w:hAnsi="Cambria"/>
          <w:sz w:val="22"/>
          <w:szCs w:val="22"/>
          <w:lang w:val="en-US"/>
        </w:rPr>
        <w:t xml:space="preserve"> </w:t>
      </w:r>
      <w:r w:rsidR="00797142">
        <w:rPr>
          <w:rFonts w:ascii="Cambria" w:hAnsi="Cambria"/>
          <w:sz w:val="22"/>
          <w:szCs w:val="22"/>
          <w:lang w:val="en-US"/>
        </w:rPr>
        <w:t xml:space="preserve">a negative </w:t>
      </w:r>
      <w:r w:rsidR="008206C6">
        <w:rPr>
          <w:rFonts w:ascii="Cambria" w:hAnsi="Cambria"/>
          <w:sz w:val="22"/>
          <w:szCs w:val="22"/>
          <w:lang w:val="en-US"/>
        </w:rPr>
        <w:t>outcome with adjuvant</w:t>
      </w:r>
      <w:r w:rsidR="00BF184C">
        <w:rPr>
          <w:rFonts w:ascii="Cambria" w:hAnsi="Cambria"/>
          <w:sz w:val="22"/>
          <w:szCs w:val="22"/>
          <w:lang w:val="en-US"/>
        </w:rPr>
        <w:t xml:space="preserve"> </w:t>
      </w:r>
      <w:r w:rsidR="00797142">
        <w:rPr>
          <w:rFonts w:ascii="Cambria" w:hAnsi="Cambria"/>
          <w:sz w:val="22"/>
          <w:szCs w:val="22"/>
          <w:lang w:val="en-US"/>
        </w:rPr>
        <w:t>5-FU</w:t>
      </w:r>
      <w:r w:rsidR="008206C6">
        <w:rPr>
          <w:rFonts w:ascii="Cambria" w:hAnsi="Cambria"/>
          <w:sz w:val="22"/>
          <w:szCs w:val="22"/>
          <w:lang w:val="en-US"/>
        </w:rPr>
        <w:t xml:space="preserve"> treatment</w:t>
      </w:r>
      <w:r w:rsidR="00BF184C">
        <w:rPr>
          <w:rFonts w:ascii="Cambria" w:hAnsi="Cambria"/>
          <w:sz w:val="22"/>
          <w:szCs w:val="22"/>
          <w:lang w:val="en-US"/>
        </w:rPr>
        <w:t xml:space="preserve"> in colorectal cancer) and as </w:t>
      </w:r>
      <w:r w:rsidR="00E61B27">
        <w:rPr>
          <w:rFonts w:ascii="Cambria" w:hAnsi="Cambria"/>
          <w:sz w:val="22"/>
          <w:szCs w:val="22"/>
          <w:lang w:val="en-US"/>
        </w:rPr>
        <w:t>pre-screening for Lynch syndrome</w:t>
      </w:r>
      <w:r w:rsidR="00BF184C">
        <w:rPr>
          <w:rFonts w:ascii="Cambria" w:hAnsi="Cambria"/>
          <w:sz w:val="22"/>
          <w:szCs w:val="22"/>
          <w:lang w:val="en-US"/>
        </w:rPr>
        <w:t>, a hereditary cancer predisposition syndrome due to a germline mutation in any of the five genes mentioned above.</w:t>
      </w:r>
    </w:p>
    <w:p w14:paraId="5B08A697" w14:textId="782E3F7B" w:rsidR="003979A4" w:rsidRPr="00446C99" w:rsidRDefault="00BF184C" w:rsidP="00446C99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The</w:t>
      </w:r>
      <w:r w:rsidR="00797142">
        <w:rPr>
          <w:rFonts w:ascii="Cambria" w:hAnsi="Cambria"/>
          <w:sz w:val="22"/>
          <w:szCs w:val="22"/>
          <w:lang w:val="en-US"/>
        </w:rPr>
        <w:t xml:space="preserve"> FDA’s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A50A31">
        <w:rPr>
          <w:rFonts w:ascii="Cambria" w:hAnsi="Cambria"/>
          <w:sz w:val="22"/>
          <w:szCs w:val="22"/>
          <w:lang w:val="en-US"/>
        </w:rPr>
        <w:t>tumour</w:t>
      </w:r>
      <w:proofErr w:type="spellEnd"/>
      <w:r w:rsidR="00A50A31">
        <w:rPr>
          <w:rFonts w:ascii="Cambria" w:hAnsi="Cambria"/>
          <w:sz w:val="22"/>
          <w:szCs w:val="22"/>
          <w:lang w:val="en-US"/>
        </w:rPr>
        <w:t xml:space="preserve"> agnostic</w:t>
      </w:r>
      <w:r>
        <w:rPr>
          <w:rFonts w:ascii="Cambria" w:hAnsi="Cambria"/>
          <w:sz w:val="22"/>
          <w:szCs w:val="22"/>
          <w:lang w:val="en-US"/>
        </w:rPr>
        <w:t xml:space="preserve"> approval</w:t>
      </w:r>
      <w:r w:rsidR="008F031B">
        <w:rPr>
          <w:rFonts w:ascii="Cambria" w:hAnsi="Cambria"/>
          <w:sz w:val="22"/>
          <w:szCs w:val="22"/>
          <w:lang w:val="en-US"/>
        </w:rPr>
        <w:t>s</w:t>
      </w:r>
      <w:r w:rsidR="00797142">
        <w:rPr>
          <w:rFonts w:ascii="Cambria" w:hAnsi="Cambria"/>
          <w:sz w:val="22"/>
          <w:szCs w:val="22"/>
          <w:lang w:val="en-US"/>
        </w:rPr>
        <w:t xml:space="preserve"> in 2017</w:t>
      </w:r>
      <w:r>
        <w:rPr>
          <w:rFonts w:ascii="Cambria" w:hAnsi="Cambria"/>
          <w:sz w:val="22"/>
          <w:szCs w:val="22"/>
          <w:lang w:val="en-US"/>
        </w:rPr>
        <w:t xml:space="preserve"> for the use of </w:t>
      </w:r>
      <w:r w:rsidR="008F031B">
        <w:rPr>
          <w:rFonts w:ascii="Cambria" w:hAnsi="Cambria"/>
          <w:sz w:val="22"/>
          <w:szCs w:val="22"/>
          <w:lang w:val="en-US"/>
        </w:rPr>
        <w:t>immunotherapy</w:t>
      </w:r>
      <w:r w:rsidR="00ED56AE">
        <w:rPr>
          <w:rFonts w:ascii="Cambria" w:hAnsi="Cambria"/>
          <w:sz w:val="22"/>
          <w:szCs w:val="22"/>
          <w:lang w:val="en-US"/>
        </w:rPr>
        <w:t xml:space="preserve"> </w:t>
      </w:r>
      <w:r w:rsidR="00D06F93">
        <w:rPr>
          <w:rFonts w:ascii="Cambria" w:hAnsi="Cambria"/>
          <w:sz w:val="22"/>
          <w:szCs w:val="22"/>
          <w:lang w:val="en-US"/>
        </w:rPr>
        <w:t xml:space="preserve">for the treatment of mismatch repair-deficient </w:t>
      </w:r>
      <w:proofErr w:type="spellStart"/>
      <w:r w:rsidR="00D06F93"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="00A50A31">
        <w:rPr>
          <w:rFonts w:ascii="Cambria" w:hAnsi="Cambria"/>
          <w:sz w:val="22"/>
          <w:szCs w:val="22"/>
          <w:lang w:val="en-US"/>
        </w:rPr>
        <w:t>,</w:t>
      </w:r>
      <w:r w:rsidR="00797142">
        <w:rPr>
          <w:rFonts w:ascii="Cambria" w:hAnsi="Cambria"/>
          <w:sz w:val="22"/>
          <w:szCs w:val="22"/>
          <w:lang w:val="en-US"/>
        </w:rPr>
        <w:t xml:space="preserve"> </w:t>
      </w:r>
      <w:r w:rsidR="008206C6">
        <w:rPr>
          <w:rFonts w:ascii="Cambria" w:hAnsi="Cambria"/>
          <w:sz w:val="22"/>
          <w:szCs w:val="22"/>
          <w:lang w:val="en-US"/>
        </w:rPr>
        <w:t xml:space="preserve">directed attention towards the clinical validity and utility </w:t>
      </w:r>
      <w:r>
        <w:rPr>
          <w:rFonts w:ascii="Cambria" w:hAnsi="Cambria"/>
          <w:sz w:val="22"/>
          <w:szCs w:val="22"/>
          <w:lang w:val="en-US"/>
        </w:rPr>
        <w:t>as a predictive t</w:t>
      </w:r>
      <w:r w:rsidR="000E16DD">
        <w:rPr>
          <w:rFonts w:ascii="Cambria" w:hAnsi="Cambria"/>
          <w:sz w:val="22"/>
          <w:szCs w:val="22"/>
          <w:lang w:val="en-US"/>
        </w:rPr>
        <w:t>est</w:t>
      </w:r>
      <w:r>
        <w:rPr>
          <w:rFonts w:ascii="Cambria" w:hAnsi="Cambria"/>
          <w:sz w:val="22"/>
          <w:szCs w:val="22"/>
          <w:lang w:val="en-US"/>
        </w:rPr>
        <w:t xml:space="preserve"> for patient selection</w:t>
      </w:r>
      <w:r w:rsidR="00797142">
        <w:rPr>
          <w:rFonts w:ascii="Cambria" w:hAnsi="Cambria"/>
          <w:sz w:val="22"/>
          <w:szCs w:val="22"/>
          <w:lang w:val="en-US"/>
        </w:rPr>
        <w:t xml:space="preserve">, and establishing diagnostic tests that would facilitate </w:t>
      </w:r>
      <w:r w:rsidR="00811D50">
        <w:rPr>
          <w:rFonts w:ascii="Cambria" w:hAnsi="Cambria"/>
          <w:sz w:val="22"/>
          <w:szCs w:val="22"/>
          <w:lang w:val="en-US"/>
        </w:rPr>
        <w:t xml:space="preserve">the required </w:t>
      </w:r>
      <w:r w:rsidR="00797142">
        <w:rPr>
          <w:rFonts w:ascii="Cambria" w:hAnsi="Cambria"/>
          <w:sz w:val="22"/>
          <w:szCs w:val="22"/>
          <w:lang w:val="en-US"/>
        </w:rPr>
        <w:t xml:space="preserve">large scale </w:t>
      </w:r>
      <w:proofErr w:type="spellStart"/>
      <w:r w:rsidR="00797142">
        <w:rPr>
          <w:rFonts w:ascii="Cambria" w:hAnsi="Cambria"/>
          <w:sz w:val="22"/>
          <w:szCs w:val="22"/>
          <w:lang w:val="en-US"/>
        </w:rPr>
        <w:t>tumour</w:t>
      </w:r>
      <w:proofErr w:type="spellEnd"/>
      <w:r w:rsidR="00797142">
        <w:rPr>
          <w:rFonts w:ascii="Cambria" w:hAnsi="Cambria"/>
          <w:sz w:val="22"/>
          <w:szCs w:val="22"/>
          <w:lang w:val="en-US"/>
        </w:rPr>
        <w:t xml:space="preserve"> screening</w:t>
      </w:r>
      <w:r>
        <w:rPr>
          <w:rFonts w:ascii="Cambria" w:hAnsi="Cambria"/>
          <w:sz w:val="22"/>
          <w:szCs w:val="22"/>
          <w:lang w:val="en-US"/>
        </w:rPr>
        <w:t>.</w:t>
      </w:r>
      <w:r w:rsidR="00E61B27">
        <w:rPr>
          <w:rFonts w:ascii="Cambria" w:hAnsi="Cambria"/>
          <w:sz w:val="22"/>
          <w:szCs w:val="22"/>
          <w:lang w:val="en-US"/>
        </w:rPr>
        <w:t xml:space="preserve"> </w:t>
      </w:r>
      <w:r w:rsidR="006D2601">
        <w:rPr>
          <w:rFonts w:ascii="Cambria" w:hAnsi="Cambria"/>
          <w:sz w:val="22"/>
          <w:szCs w:val="22"/>
          <w:lang w:val="en-US"/>
        </w:rPr>
        <w:t xml:space="preserve">There is extensive work underway to establish and validate the use </w:t>
      </w:r>
      <w:r w:rsidR="00811D50">
        <w:rPr>
          <w:rFonts w:ascii="Cambria" w:hAnsi="Cambria"/>
          <w:sz w:val="22"/>
          <w:szCs w:val="22"/>
          <w:lang w:val="en-US"/>
        </w:rPr>
        <w:t xml:space="preserve">of currently available tests for predictive purposes, but particularly </w:t>
      </w:r>
      <w:r w:rsidR="006D2601">
        <w:rPr>
          <w:rFonts w:ascii="Cambria" w:hAnsi="Cambria"/>
          <w:sz w:val="22"/>
          <w:szCs w:val="22"/>
          <w:lang w:val="en-US"/>
        </w:rPr>
        <w:t xml:space="preserve">of next generation sequencing </w:t>
      </w:r>
      <w:r w:rsidR="00A91F87">
        <w:rPr>
          <w:rFonts w:ascii="Cambria" w:hAnsi="Cambria"/>
          <w:sz w:val="22"/>
          <w:szCs w:val="22"/>
          <w:lang w:val="en-US"/>
        </w:rPr>
        <w:t>for all three purposes, potentially as one</w:t>
      </w:r>
      <w:r w:rsidR="008F031B">
        <w:rPr>
          <w:rFonts w:ascii="Cambria" w:hAnsi="Cambria"/>
          <w:sz w:val="22"/>
          <w:szCs w:val="22"/>
          <w:lang w:val="en-US"/>
        </w:rPr>
        <w:t>-</w:t>
      </w:r>
      <w:r w:rsidR="00A91F87">
        <w:rPr>
          <w:rFonts w:ascii="Cambria" w:hAnsi="Cambria"/>
          <w:sz w:val="22"/>
          <w:szCs w:val="22"/>
          <w:lang w:val="en-US"/>
        </w:rPr>
        <w:t xml:space="preserve">step process, rather than the current sequential </w:t>
      </w:r>
      <w:r w:rsidR="008F031B">
        <w:rPr>
          <w:rFonts w:ascii="Cambria" w:hAnsi="Cambria"/>
          <w:sz w:val="22"/>
          <w:szCs w:val="22"/>
          <w:lang w:val="en-US"/>
        </w:rPr>
        <w:t xml:space="preserve">testing </w:t>
      </w:r>
      <w:r w:rsidR="00A91F87">
        <w:rPr>
          <w:rFonts w:ascii="Cambria" w:hAnsi="Cambria"/>
          <w:sz w:val="22"/>
          <w:szCs w:val="22"/>
          <w:lang w:val="en-US"/>
        </w:rPr>
        <w:t>approach.</w:t>
      </w:r>
    </w:p>
    <w:p w14:paraId="746A84B5" w14:textId="72E31D7C" w:rsidR="003979A4" w:rsidRPr="002E6CB4" w:rsidRDefault="003979A4" w:rsidP="002E6CB4">
      <w:pPr>
        <w:pStyle w:val="Heading3"/>
        <w:rPr>
          <w:color w:val="660066"/>
          <w:lang w:val="en-US"/>
        </w:rPr>
      </w:pPr>
      <w:r w:rsidRPr="002E6CB4">
        <w:rPr>
          <w:color w:val="660066"/>
          <w:lang w:val="en-US"/>
        </w:rPr>
        <w:t>C</w:t>
      </w:r>
      <w:r w:rsidR="00621F1A" w:rsidRPr="002E6CB4">
        <w:rPr>
          <w:color w:val="660066"/>
          <w:lang w:val="en-US"/>
        </w:rPr>
        <w:t xml:space="preserve">ontext of </w:t>
      </w:r>
      <w:r w:rsidRPr="002E6CB4">
        <w:rPr>
          <w:color w:val="660066"/>
          <w:lang w:val="en-US"/>
        </w:rPr>
        <w:t>applications lodged with TGA and MSAC</w:t>
      </w:r>
    </w:p>
    <w:p w14:paraId="6CF8505C" w14:textId="2E9D8E4C" w:rsidR="00F32573" w:rsidRPr="00031B80" w:rsidRDefault="00F32573" w:rsidP="00774582">
      <w:pPr>
        <w:pStyle w:val="ListParagraph"/>
        <w:keepNext/>
        <w:numPr>
          <w:ilvl w:val="0"/>
          <w:numId w:val="12"/>
        </w:numPr>
        <w:jc w:val="both"/>
        <w:rPr>
          <w:rFonts w:ascii="Cambria" w:hAnsi="Cambria"/>
          <w:sz w:val="22"/>
          <w:szCs w:val="22"/>
          <w:lang w:val="en-US"/>
        </w:rPr>
      </w:pPr>
      <w:r w:rsidRPr="00446A96">
        <w:rPr>
          <w:rFonts w:ascii="Cambria" w:hAnsi="Cambria"/>
          <w:sz w:val="22"/>
          <w:szCs w:val="22"/>
        </w:rPr>
        <w:t>TGA</w:t>
      </w:r>
      <w:r w:rsidRPr="00031B80">
        <w:rPr>
          <w:rFonts w:ascii="Cambria" w:hAnsi="Cambria"/>
          <w:sz w:val="22"/>
          <w:szCs w:val="22"/>
          <w:lang w:val="en-US"/>
        </w:rPr>
        <w:t xml:space="preserve"> </w:t>
      </w:r>
      <w:r w:rsidR="00D41021">
        <w:rPr>
          <w:rFonts w:ascii="Cambria" w:hAnsi="Cambria"/>
          <w:sz w:val="22"/>
          <w:szCs w:val="22"/>
          <w:lang w:val="en-US"/>
        </w:rPr>
        <w:t xml:space="preserve">has granted a provisional </w:t>
      </w:r>
      <w:r w:rsidRPr="00031B80">
        <w:rPr>
          <w:rFonts w:ascii="Cambria" w:hAnsi="Cambria"/>
          <w:sz w:val="22"/>
          <w:szCs w:val="22"/>
          <w:lang w:val="en-US"/>
        </w:rPr>
        <w:t>registration for</w:t>
      </w:r>
      <w:r w:rsidR="00BF09DF" w:rsidRPr="00031B80">
        <w:rPr>
          <w:rFonts w:ascii="Cambria" w:hAnsi="Cambria"/>
          <w:sz w:val="22"/>
          <w:szCs w:val="22"/>
          <w:lang w:val="en-US"/>
        </w:rPr>
        <w:t xml:space="preserve"> pembrolizumab for the treatment of</w:t>
      </w:r>
      <w:r w:rsidRPr="00031B80">
        <w:rPr>
          <w:rFonts w:ascii="Cambria" w:hAnsi="Cambria"/>
          <w:sz w:val="22"/>
          <w:szCs w:val="22"/>
          <w:lang w:val="en-US"/>
        </w:rPr>
        <w:t xml:space="preserve"> </w:t>
      </w:r>
      <w:r w:rsidR="00160753">
        <w:rPr>
          <w:rFonts w:ascii="Cambria" w:hAnsi="Cambria"/>
          <w:sz w:val="22"/>
          <w:szCs w:val="22"/>
          <w:lang w:val="en-US"/>
        </w:rPr>
        <w:t xml:space="preserve">adult and </w:t>
      </w:r>
      <w:proofErr w:type="spellStart"/>
      <w:r w:rsidR="00160753">
        <w:rPr>
          <w:rFonts w:ascii="Cambria" w:hAnsi="Cambria"/>
          <w:sz w:val="22"/>
          <w:szCs w:val="22"/>
          <w:lang w:val="en-US"/>
        </w:rPr>
        <w:t>paediatric</w:t>
      </w:r>
      <w:proofErr w:type="spellEnd"/>
      <w:r w:rsidR="00160753">
        <w:rPr>
          <w:rFonts w:ascii="Cambria" w:hAnsi="Cambria"/>
          <w:sz w:val="22"/>
          <w:szCs w:val="22"/>
          <w:lang w:val="en-US"/>
        </w:rPr>
        <w:t xml:space="preserve"> patients</w:t>
      </w:r>
      <w:r w:rsidRPr="00031B80">
        <w:rPr>
          <w:rFonts w:ascii="Cambria" w:hAnsi="Cambria"/>
          <w:sz w:val="22"/>
          <w:szCs w:val="22"/>
          <w:lang w:val="en-US"/>
        </w:rPr>
        <w:t xml:space="preserve"> with</w:t>
      </w:r>
      <w:r w:rsidR="00BF09DF" w:rsidRPr="00031B80">
        <w:rPr>
          <w:rFonts w:ascii="Cambria" w:hAnsi="Cambria"/>
          <w:sz w:val="22"/>
          <w:szCs w:val="22"/>
          <w:lang w:val="en-US"/>
        </w:rPr>
        <w:t xml:space="preserve"> </w:t>
      </w:r>
      <w:r w:rsidR="00022B1B" w:rsidRPr="00031B80">
        <w:rPr>
          <w:rFonts w:ascii="Cambria" w:hAnsi="Cambria"/>
          <w:sz w:val="22"/>
          <w:szCs w:val="22"/>
          <w:lang w:val="en-US"/>
        </w:rPr>
        <w:t>“</w:t>
      </w:r>
      <w:r w:rsidR="00D41021">
        <w:rPr>
          <w:rFonts w:ascii="Cambria" w:hAnsi="Cambria"/>
          <w:b/>
          <w:sz w:val="22"/>
          <w:szCs w:val="22"/>
          <w:lang w:val="en-US"/>
        </w:rPr>
        <w:t>unresectable</w:t>
      </w:r>
      <w:r w:rsidRPr="00D41021">
        <w:rPr>
          <w:rFonts w:ascii="Cambria" w:hAnsi="Cambria"/>
          <w:b/>
          <w:sz w:val="22"/>
          <w:szCs w:val="22"/>
          <w:lang w:val="en-US"/>
        </w:rPr>
        <w:t xml:space="preserve"> </w:t>
      </w:r>
      <w:r w:rsidR="00D41021" w:rsidRPr="00D41021">
        <w:rPr>
          <w:rFonts w:ascii="Cambria" w:hAnsi="Cambria"/>
          <w:b/>
          <w:sz w:val="22"/>
          <w:szCs w:val="22"/>
          <w:lang w:val="en-US"/>
        </w:rPr>
        <w:t xml:space="preserve">or metastatic </w:t>
      </w:r>
      <w:r w:rsidR="00D41021">
        <w:rPr>
          <w:rFonts w:ascii="Cambria" w:hAnsi="Cambria"/>
          <w:b/>
          <w:sz w:val="22"/>
          <w:szCs w:val="22"/>
          <w:lang w:val="en-US"/>
        </w:rPr>
        <w:t>microsatellite instability-high (</w:t>
      </w:r>
      <w:r w:rsidRPr="00031B80">
        <w:rPr>
          <w:rFonts w:ascii="Cambria" w:hAnsi="Cambria"/>
          <w:b/>
          <w:sz w:val="22"/>
          <w:szCs w:val="22"/>
          <w:lang w:val="en-US"/>
        </w:rPr>
        <w:t>MSI-</w:t>
      </w:r>
      <w:r w:rsidR="00D41021">
        <w:rPr>
          <w:rFonts w:ascii="Cambria" w:hAnsi="Cambria"/>
          <w:b/>
          <w:sz w:val="22"/>
          <w:szCs w:val="22"/>
          <w:lang w:val="en-US"/>
        </w:rPr>
        <w:t xml:space="preserve">H) or </w:t>
      </w:r>
      <w:r w:rsidR="00DF2043" w:rsidRPr="00031B80">
        <w:rPr>
          <w:rFonts w:ascii="Cambria" w:hAnsi="Cambria"/>
          <w:b/>
          <w:sz w:val="22"/>
          <w:szCs w:val="22"/>
          <w:lang w:val="en-US"/>
        </w:rPr>
        <w:t>mismatch repair deficient</w:t>
      </w:r>
      <w:r w:rsidRPr="00031B80">
        <w:rPr>
          <w:rFonts w:ascii="Cambria" w:hAnsi="Cambria"/>
          <w:b/>
          <w:sz w:val="22"/>
          <w:szCs w:val="22"/>
          <w:lang w:val="en-US"/>
        </w:rPr>
        <w:t xml:space="preserve"> </w:t>
      </w:r>
      <w:r w:rsidR="00DF2043" w:rsidRPr="00031B80">
        <w:rPr>
          <w:rFonts w:ascii="Cambria" w:hAnsi="Cambria"/>
          <w:b/>
          <w:sz w:val="22"/>
          <w:szCs w:val="22"/>
          <w:lang w:val="en-US"/>
        </w:rPr>
        <w:t>(</w:t>
      </w:r>
      <w:r w:rsidRPr="00031B80">
        <w:rPr>
          <w:rFonts w:ascii="Cambria" w:hAnsi="Cambria"/>
          <w:b/>
          <w:sz w:val="22"/>
          <w:szCs w:val="22"/>
          <w:lang w:val="en-US"/>
        </w:rPr>
        <w:t>dMMR</w:t>
      </w:r>
      <w:r w:rsidR="00DF2043" w:rsidRPr="00031B80">
        <w:rPr>
          <w:rFonts w:ascii="Cambria" w:hAnsi="Cambria"/>
          <w:b/>
          <w:sz w:val="22"/>
          <w:szCs w:val="22"/>
          <w:lang w:val="en-US"/>
        </w:rPr>
        <w:t>)</w:t>
      </w:r>
      <w:r w:rsidR="00D41021">
        <w:rPr>
          <w:rFonts w:ascii="Cambria" w:hAnsi="Cambria"/>
          <w:b/>
          <w:sz w:val="22"/>
          <w:szCs w:val="22"/>
          <w:lang w:val="en-US"/>
        </w:rPr>
        <w:t xml:space="preserve"> </w:t>
      </w:r>
      <w:proofErr w:type="spellStart"/>
      <w:r w:rsidR="00D41021">
        <w:rPr>
          <w:rFonts w:ascii="Cambria" w:hAnsi="Cambria"/>
          <w:b/>
          <w:sz w:val="22"/>
          <w:szCs w:val="22"/>
          <w:lang w:val="en-US"/>
        </w:rPr>
        <w:t>tumours</w:t>
      </w:r>
      <w:proofErr w:type="spellEnd"/>
      <w:r w:rsidR="00D41021">
        <w:rPr>
          <w:rFonts w:ascii="Cambria" w:hAnsi="Cambria"/>
          <w:b/>
          <w:sz w:val="22"/>
          <w:szCs w:val="22"/>
          <w:lang w:val="en-US"/>
        </w:rPr>
        <w:t xml:space="preserve"> that have progressed </w:t>
      </w:r>
      <w:r w:rsidR="00D41021">
        <w:rPr>
          <w:rFonts w:ascii="Cambria" w:hAnsi="Cambria"/>
          <w:b/>
          <w:sz w:val="22"/>
          <w:szCs w:val="22"/>
          <w:lang w:val="en-US"/>
        </w:rPr>
        <w:lastRenderedPageBreak/>
        <w:t>following prior treatment and when there are no satisfactory alternative treatment options</w:t>
      </w:r>
      <w:r w:rsidR="00022B1B" w:rsidRPr="00031B80">
        <w:rPr>
          <w:rFonts w:ascii="Cambria" w:hAnsi="Cambria"/>
          <w:b/>
          <w:sz w:val="22"/>
          <w:szCs w:val="22"/>
          <w:lang w:val="en-US"/>
        </w:rPr>
        <w:t>”</w:t>
      </w:r>
      <w:r w:rsidRPr="00031B80">
        <w:rPr>
          <w:rFonts w:ascii="Cambria" w:hAnsi="Cambria"/>
          <w:sz w:val="22"/>
          <w:szCs w:val="22"/>
          <w:lang w:val="en-US"/>
        </w:rPr>
        <w:t>.</w:t>
      </w:r>
    </w:p>
    <w:p w14:paraId="539EB001" w14:textId="5A610E66" w:rsidR="00F32573" w:rsidRPr="00031B80" w:rsidRDefault="00022B1B" w:rsidP="00446A96">
      <w:pPr>
        <w:pStyle w:val="ListParagraph"/>
        <w:numPr>
          <w:ilvl w:val="0"/>
          <w:numId w:val="12"/>
        </w:numPr>
        <w:jc w:val="both"/>
        <w:rPr>
          <w:rFonts w:ascii="Cambria" w:hAnsi="Cambria" w:cstheme="minorHAnsi"/>
          <w:sz w:val="22"/>
          <w:szCs w:val="22"/>
        </w:rPr>
      </w:pPr>
      <w:r w:rsidRPr="00446A96">
        <w:rPr>
          <w:rFonts w:ascii="Cambria" w:hAnsi="Cambria"/>
          <w:sz w:val="22"/>
          <w:szCs w:val="22"/>
        </w:rPr>
        <w:t>MSAC</w:t>
      </w:r>
      <w:r w:rsidRPr="00031B80">
        <w:rPr>
          <w:rFonts w:ascii="Cambria" w:hAnsi="Cambria"/>
          <w:sz w:val="22"/>
          <w:szCs w:val="22"/>
          <w:lang w:val="en-US"/>
        </w:rPr>
        <w:t xml:space="preserve"> Application 1508 </w:t>
      </w:r>
      <w:r w:rsidR="0089773B" w:rsidRPr="00031B80">
        <w:rPr>
          <w:rFonts w:ascii="Cambria" w:hAnsi="Cambria"/>
          <w:sz w:val="22"/>
          <w:szCs w:val="22"/>
          <w:lang w:val="en-US"/>
        </w:rPr>
        <w:t>“</w:t>
      </w:r>
      <w:r w:rsidR="0089773B" w:rsidRPr="00031B80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 xml:space="preserve">The proposed medical service is an </w:t>
      </w:r>
      <w:r w:rsidR="004C0BBC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>i</w:t>
      </w:r>
      <w:r w:rsidR="004C0BBC" w:rsidRPr="00031B80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 xml:space="preserve">mmunohistochemistry </w:t>
      </w:r>
      <w:r w:rsidR="0089773B" w:rsidRPr="00031B80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 xml:space="preserve">(IHC) test for identification of dMMR for access to pembrolizumab in patients with metastatic or unresectable solid tumours other than colorectal cancers.” This has </w:t>
      </w:r>
      <w:r w:rsidR="00F32573" w:rsidRPr="00031B80">
        <w:rPr>
          <w:rFonts w:ascii="Cambria" w:hAnsi="Cambria"/>
          <w:sz w:val="22"/>
          <w:szCs w:val="22"/>
          <w:lang w:val="en-US"/>
        </w:rPr>
        <w:t xml:space="preserve">been </w:t>
      </w:r>
      <w:r w:rsidR="00F32573" w:rsidRPr="00031B80">
        <w:rPr>
          <w:rFonts w:ascii="Cambria" w:hAnsi="Cambria"/>
          <w:b/>
          <w:sz w:val="22"/>
          <w:szCs w:val="22"/>
          <w:lang w:val="en-US"/>
        </w:rPr>
        <w:t xml:space="preserve">restricted </w:t>
      </w:r>
      <w:r w:rsidR="00E84591">
        <w:rPr>
          <w:rFonts w:ascii="Cambria" w:hAnsi="Cambria"/>
          <w:b/>
          <w:sz w:val="22"/>
          <w:szCs w:val="22"/>
          <w:lang w:val="en-US"/>
        </w:rPr>
        <w:t xml:space="preserve">by the applicant </w:t>
      </w:r>
      <w:r w:rsidR="00F32573" w:rsidRPr="00031B80">
        <w:rPr>
          <w:rFonts w:ascii="Cambria" w:hAnsi="Cambria"/>
          <w:b/>
          <w:sz w:val="22"/>
          <w:szCs w:val="22"/>
          <w:lang w:val="en-US"/>
        </w:rPr>
        <w:t>to use of</w:t>
      </w:r>
      <w:r w:rsidR="000C4654" w:rsidRPr="00031B80">
        <w:rPr>
          <w:rFonts w:ascii="Cambria" w:hAnsi="Cambria"/>
          <w:b/>
          <w:sz w:val="22"/>
          <w:szCs w:val="22"/>
          <w:lang w:val="en-US"/>
        </w:rPr>
        <w:t xml:space="preserve"> IHC to demonstrate</w:t>
      </w:r>
      <w:r w:rsidR="00F32573" w:rsidRPr="00031B80">
        <w:rPr>
          <w:rFonts w:ascii="Cambria" w:hAnsi="Cambria"/>
          <w:b/>
          <w:sz w:val="22"/>
          <w:szCs w:val="22"/>
          <w:lang w:val="en-US"/>
        </w:rPr>
        <w:t xml:space="preserve"> dMMR</w:t>
      </w:r>
      <w:r w:rsidR="00F32573" w:rsidRPr="00031B80">
        <w:rPr>
          <w:rFonts w:ascii="Cambria" w:hAnsi="Cambria"/>
          <w:sz w:val="22"/>
          <w:szCs w:val="22"/>
          <w:lang w:val="en-US"/>
        </w:rPr>
        <w:t xml:space="preserve"> for patient selection.</w:t>
      </w:r>
    </w:p>
    <w:p w14:paraId="265B60A2" w14:textId="1F4D3C71" w:rsidR="00A9588A" w:rsidRPr="00446C99" w:rsidRDefault="00A50CC6" w:rsidP="00446C99">
      <w:pPr>
        <w:pStyle w:val="ListParagraph"/>
        <w:numPr>
          <w:ilvl w:val="1"/>
          <w:numId w:val="1"/>
        </w:numPr>
        <w:spacing w:after="240"/>
        <w:jc w:val="both"/>
        <w:rPr>
          <w:rFonts w:ascii="Cambria" w:hAnsi="Cambria"/>
          <w:sz w:val="22"/>
          <w:szCs w:val="22"/>
          <w:lang w:val="en-US"/>
        </w:rPr>
      </w:pPr>
      <w:r w:rsidRPr="00031B80">
        <w:rPr>
          <w:rFonts w:ascii="Cambria" w:hAnsi="Cambria"/>
          <w:sz w:val="22"/>
          <w:szCs w:val="22"/>
          <w:lang w:val="en-US"/>
        </w:rPr>
        <w:t>A codependent submission for</w:t>
      </w:r>
      <w:r w:rsidR="00A9588A" w:rsidRPr="00031B80">
        <w:rPr>
          <w:rFonts w:ascii="Cambria" w:hAnsi="Cambria"/>
          <w:sz w:val="22"/>
          <w:szCs w:val="22"/>
          <w:lang w:val="en-US"/>
        </w:rPr>
        <w:t xml:space="preserve"> the service for</w:t>
      </w:r>
      <w:r w:rsidRPr="00031B80">
        <w:rPr>
          <w:rFonts w:ascii="Cambria" w:hAnsi="Cambria"/>
          <w:sz w:val="22"/>
          <w:szCs w:val="22"/>
          <w:lang w:val="en-US"/>
        </w:rPr>
        <w:t xml:space="preserve"> colorectal cancer was not required g</w:t>
      </w:r>
      <w:r w:rsidR="00022B1B" w:rsidRPr="00031B80">
        <w:rPr>
          <w:rFonts w:ascii="Cambria" w:hAnsi="Cambria"/>
          <w:sz w:val="22"/>
          <w:szCs w:val="22"/>
          <w:lang w:val="en-US"/>
        </w:rPr>
        <w:t>iven IHC</w:t>
      </w:r>
      <w:r w:rsidRPr="00031B80">
        <w:rPr>
          <w:rFonts w:ascii="Cambria" w:hAnsi="Cambria"/>
          <w:sz w:val="22"/>
          <w:szCs w:val="22"/>
          <w:lang w:val="en-US"/>
        </w:rPr>
        <w:t xml:space="preserve"> is used in routine clinical practice</w:t>
      </w:r>
      <w:r w:rsidR="0089773B" w:rsidRPr="00031B80">
        <w:rPr>
          <w:rFonts w:ascii="Cambria" w:hAnsi="Cambria"/>
          <w:sz w:val="22"/>
          <w:szCs w:val="22"/>
          <w:lang w:val="en-US"/>
        </w:rPr>
        <w:t xml:space="preserve"> </w:t>
      </w:r>
      <w:r w:rsidR="00022B1B" w:rsidRPr="00031B80">
        <w:rPr>
          <w:rFonts w:ascii="Cambria" w:hAnsi="Cambria"/>
          <w:sz w:val="22"/>
          <w:szCs w:val="22"/>
          <w:lang w:val="en-US"/>
        </w:rPr>
        <w:t>to identify patients with dMMR for prognostic</w:t>
      </w:r>
      <w:r w:rsidR="0089773B" w:rsidRPr="00031B80">
        <w:rPr>
          <w:rFonts w:ascii="Cambria" w:hAnsi="Cambria"/>
          <w:sz w:val="22"/>
          <w:szCs w:val="22"/>
          <w:lang w:val="en-US"/>
        </w:rPr>
        <w:t xml:space="preserve"> and</w:t>
      </w:r>
      <w:r w:rsidR="00022B1B" w:rsidRPr="00031B80">
        <w:rPr>
          <w:rFonts w:ascii="Cambria" w:hAnsi="Cambria"/>
          <w:sz w:val="22"/>
          <w:szCs w:val="22"/>
          <w:lang w:val="en-US"/>
        </w:rPr>
        <w:t xml:space="preserve"> predictive </w:t>
      </w:r>
      <w:r w:rsidR="0089773B" w:rsidRPr="00031B80">
        <w:rPr>
          <w:rFonts w:ascii="Cambria" w:hAnsi="Cambria"/>
          <w:sz w:val="22"/>
          <w:szCs w:val="22"/>
          <w:lang w:val="en-US"/>
        </w:rPr>
        <w:t xml:space="preserve">information in </w:t>
      </w:r>
      <w:proofErr w:type="gramStart"/>
      <w:r w:rsidRPr="00031B80">
        <w:rPr>
          <w:rFonts w:ascii="Cambria" w:hAnsi="Cambria"/>
          <w:sz w:val="22"/>
          <w:szCs w:val="22"/>
          <w:lang w:val="en-US"/>
        </w:rPr>
        <w:t>early stage</w:t>
      </w:r>
      <w:proofErr w:type="gramEnd"/>
      <w:r w:rsidRPr="00031B80">
        <w:rPr>
          <w:rFonts w:ascii="Cambria" w:hAnsi="Cambria"/>
          <w:sz w:val="22"/>
          <w:szCs w:val="22"/>
          <w:lang w:val="en-US"/>
        </w:rPr>
        <w:t xml:space="preserve"> </w:t>
      </w:r>
      <w:r w:rsidR="0089773B" w:rsidRPr="00031B80">
        <w:rPr>
          <w:rFonts w:ascii="Cambria" w:hAnsi="Cambria"/>
          <w:sz w:val="22"/>
          <w:szCs w:val="22"/>
          <w:lang w:val="en-US"/>
        </w:rPr>
        <w:t>colorectal cancer,</w:t>
      </w:r>
      <w:r w:rsidR="00022B1B" w:rsidRPr="00031B80">
        <w:rPr>
          <w:rFonts w:ascii="Cambria" w:hAnsi="Cambria"/>
          <w:sz w:val="22"/>
          <w:szCs w:val="22"/>
          <w:lang w:val="en-US"/>
        </w:rPr>
        <w:t xml:space="preserve"> and </w:t>
      </w:r>
      <w:r w:rsidR="0089773B" w:rsidRPr="00031B80">
        <w:rPr>
          <w:rFonts w:ascii="Cambria" w:hAnsi="Cambria"/>
          <w:sz w:val="22"/>
          <w:szCs w:val="22"/>
          <w:lang w:val="en-US"/>
        </w:rPr>
        <w:t xml:space="preserve">as initial </w:t>
      </w:r>
      <w:r w:rsidR="00022B1B" w:rsidRPr="00031B80">
        <w:rPr>
          <w:rFonts w:ascii="Cambria" w:hAnsi="Cambria"/>
          <w:sz w:val="22"/>
          <w:szCs w:val="22"/>
          <w:lang w:val="en-US"/>
        </w:rPr>
        <w:t xml:space="preserve">screening </w:t>
      </w:r>
      <w:r w:rsidR="00A9588A" w:rsidRPr="00031B80">
        <w:rPr>
          <w:rFonts w:ascii="Cambria" w:hAnsi="Cambria"/>
          <w:sz w:val="22"/>
          <w:szCs w:val="22"/>
          <w:lang w:val="en-US"/>
        </w:rPr>
        <w:t xml:space="preserve">at any disease stage </w:t>
      </w:r>
      <w:r w:rsidR="0089773B" w:rsidRPr="00031B80">
        <w:rPr>
          <w:rFonts w:ascii="Cambria" w:hAnsi="Cambria"/>
          <w:sz w:val="22"/>
          <w:szCs w:val="22"/>
          <w:lang w:val="en-US"/>
        </w:rPr>
        <w:t>to identify patients who may carry a deleterious germline mutation in a mismatch repair gene (Lynch syndrome).</w:t>
      </w:r>
      <w:r w:rsidRPr="00031B80">
        <w:rPr>
          <w:rFonts w:ascii="Cambria" w:hAnsi="Cambria"/>
          <w:sz w:val="22"/>
          <w:szCs w:val="22"/>
          <w:lang w:val="en-US"/>
        </w:rPr>
        <w:t xml:space="preserve"> </w:t>
      </w:r>
      <w:r w:rsidR="00A9588A" w:rsidRPr="00031B80">
        <w:rPr>
          <w:rFonts w:ascii="Cambria" w:hAnsi="Cambria"/>
          <w:sz w:val="22"/>
          <w:szCs w:val="22"/>
          <w:lang w:val="en-US"/>
        </w:rPr>
        <w:t>The test is currently reimbursed under a</w:t>
      </w:r>
      <w:r w:rsidR="00424439" w:rsidRPr="00031B80">
        <w:rPr>
          <w:rFonts w:ascii="Cambria" w:hAnsi="Cambria"/>
          <w:sz w:val="22"/>
          <w:szCs w:val="22"/>
          <w:lang w:val="en-US"/>
        </w:rPr>
        <w:t>n</w:t>
      </w:r>
      <w:r w:rsidR="00A9588A" w:rsidRPr="00031B80">
        <w:rPr>
          <w:rFonts w:ascii="Cambria" w:hAnsi="Cambria"/>
          <w:sz w:val="22"/>
          <w:szCs w:val="22"/>
          <w:lang w:val="en-US"/>
        </w:rPr>
        <w:t xml:space="preserve"> </w:t>
      </w:r>
      <w:r w:rsidRPr="00031B80">
        <w:rPr>
          <w:rFonts w:ascii="Cambria" w:hAnsi="Cambria"/>
          <w:sz w:val="22"/>
          <w:szCs w:val="22"/>
          <w:lang w:val="en-US"/>
        </w:rPr>
        <w:t>MBS-listing for this service</w:t>
      </w:r>
      <w:r w:rsidR="00A9588A" w:rsidRPr="00031B80">
        <w:rPr>
          <w:rFonts w:ascii="Cambria" w:hAnsi="Cambria"/>
          <w:sz w:val="22"/>
          <w:szCs w:val="22"/>
          <w:lang w:val="en-US"/>
        </w:rPr>
        <w:t xml:space="preserve"> </w:t>
      </w:r>
      <w:r w:rsidR="00A9588A" w:rsidRPr="00031B80">
        <w:rPr>
          <w:rFonts w:ascii="Cambria" w:hAnsi="Cambria"/>
          <w:sz w:val="22"/>
          <w:szCs w:val="22"/>
        </w:rPr>
        <w:t xml:space="preserve">general Medicare Benefits Schedule (MBS) item number for immunohistochemical (IHC) staining (MSAC Executive minutes 1452, </w:t>
      </w:r>
      <w:r w:rsidR="004C0BBC">
        <w:rPr>
          <w:rFonts w:ascii="Cambria" w:hAnsi="Cambria"/>
          <w:sz w:val="22"/>
          <w:szCs w:val="22"/>
        </w:rPr>
        <w:t xml:space="preserve">3 </w:t>
      </w:r>
      <w:r w:rsidR="00A9588A" w:rsidRPr="00031B80">
        <w:rPr>
          <w:rFonts w:ascii="Cambria" w:hAnsi="Cambria"/>
          <w:sz w:val="22"/>
          <w:szCs w:val="22"/>
        </w:rPr>
        <w:t>March 2017).</w:t>
      </w:r>
    </w:p>
    <w:p w14:paraId="4ACBE767" w14:textId="05B060E5" w:rsidR="00DF2043" w:rsidRPr="00031B80" w:rsidRDefault="007466CF" w:rsidP="00446C99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 w:rsidRPr="00031B80">
        <w:rPr>
          <w:rFonts w:ascii="Cambria" w:hAnsi="Cambria"/>
          <w:sz w:val="22"/>
          <w:szCs w:val="22"/>
          <w:lang w:val="en-US"/>
        </w:rPr>
        <w:t>MSAC Application 1452</w:t>
      </w:r>
      <w:r w:rsidR="00A9588A" w:rsidRPr="00031B80">
        <w:rPr>
          <w:rFonts w:ascii="Cambria" w:hAnsi="Cambria"/>
          <w:sz w:val="22"/>
          <w:szCs w:val="22"/>
          <w:lang w:val="en-US"/>
        </w:rPr>
        <w:t xml:space="preserve"> </w:t>
      </w:r>
      <w:r w:rsidR="00160753">
        <w:rPr>
          <w:rFonts w:ascii="Cambria" w:hAnsi="Cambria"/>
          <w:sz w:val="22"/>
          <w:szCs w:val="22"/>
          <w:lang w:val="en-US"/>
        </w:rPr>
        <w:t>is also relevant: “</w:t>
      </w:r>
      <w:r w:rsidRPr="00031B80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>T</w:t>
      </w:r>
      <w:r w:rsidR="003979A4" w:rsidRPr="00031B80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>he</w:t>
      </w:r>
      <w:r w:rsidRPr="00031B80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 xml:space="preserve"> proposed medical service is </w:t>
      </w:r>
      <w:r w:rsidR="003979A4" w:rsidRPr="00031B80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>immunohistochemistry</w:t>
      </w:r>
      <w:r w:rsidRPr="00031B80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 xml:space="preserve"> (IHC) test for identification of Mismatch Repair Deficiency (dMMR) for access to pembrolizumab in patients with Stage IV CRC</w:t>
      </w:r>
      <w:r w:rsidRPr="00031B80">
        <w:rPr>
          <w:rFonts w:ascii="Cambria" w:hAnsi="Cambria" w:cstheme="minorHAnsi"/>
          <w:sz w:val="22"/>
          <w:szCs w:val="22"/>
        </w:rPr>
        <w:t xml:space="preserve"> </w:t>
      </w:r>
      <w:r w:rsidRPr="00031B80">
        <w:rPr>
          <w:rFonts w:ascii="Cambria" w:hAnsi="Cambria" w:cstheme="minorHAnsi"/>
          <w:sz w:val="22"/>
          <w:szCs w:val="22"/>
          <w:lang w:val="en-US"/>
        </w:rPr>
        <w:t>who are receiving first-line treatment.</w:t>
      </w:r>
      <w:r w:rsidR="00160753">
        <w:rPr>
          <w:rFonts w:ascii="Cambria" w:hAnsi="Cambria" w:cstheme="minorHAnsi"/>
          <w:sz w:val="22"/>
          <w:szCs w:val="22"/>
          <w:lang w:val="en-US"/>
        </w:rPr>
        <w:t>”</w:t>
      </w:r>
      <w:r w:rsidRPr="00031B80">
        <w:rPr>
          <w:rFonts w:ascii="Cambria" w:hAnsi="Cambria" w:cstheme="minorHAnsi"/>
          <w:sz w:val="22"/>
          <w:szCs w:val="22"/>
          <w:lang w:val="en-US"/>
        </w:rPr>
        <w:t xml:space="preserve"> This foreshadows submission for registration of pembrolizumab </w:t>
      </w:r>
      <w:proofErr w:type="gramStart"/>
      <w:r w:rsidRPr="00031B80">
        <w:rPr>
          <w:rFonts w:ascii="Cambria" w:hAnsi="Cambria" w:cstheme="minorHAnsi"/>
          <w:sz w:val="22"/>
          <w:szCs w:val="22"/>
          <w:lang w:val="en-US"/>
        </w:rPr>
        <w:t>on the basis of</w:t>
      </w:r>
      <w:proofErr w:type="gramEnd"/>
      <w:r w:rsidRPr="00031B80">
        <w:rPr>
          <w:rFonts w:ascii="Cambria" w:hAnsi="Cambria" w:cstheme="minorHAnsi"/>
          <w:sz w:val="22"/>
          <w:szCs w:val="22"/>
          <w:lang w:val="en-US"/>
        </w:rPr>
        <w:t xml:space="preserve"> the Keynote-177 trial</w:t>
      </w:r>
      <w:r w:rsidR="00D00DE8" w:rsidRPr="00031B80">
        <w:rPr>
          <w:rFonts w:ascii="Cambria" w:hAnsi="Cambria" w:cstheme="minorHAnsi"/>
          <w:sz w:val="22"/>
          <w:szCs w:val="22"/>
          <w:lang w:val="en-US"/>
        </w:rPr>
        <w:t>.</w:t>
      </w:r>
    </w:p>
    <w:p w14:paraId="4A9C421F" w14:textId="19DC6286" w:rsidR="009A42D4" w:rsidRPr="00031B80" w:rsidRDefault="00F32573" w:rsidP="00446C99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 w:rsidRPr="00031B80">
        <w:rPr>
          <w:rFonts w:ascii="Cambria" w:hAnsi="Cambria"/>
          <w:sz w:val="22"/>
          <w:szCs w:val="22"/>
          <w:lang w:val="en-US"/>
        </w:rPr>
        <w:t xml:space="preserve">Given </w:t>
      </w:r>
      <w:r w:rsidR="00DF2043" w:rsidRPr="00031B80">
        <w:rPr>
          <w:rFonts w:ascii="Cambria" w:hAnsi="Cambria"/>
          <w:sz w:val="22"/>
          <w:szCs w:val="22"/>
          <w:lang w:val="en-US"/>
        </w:rPr>
        <w:t xml:space="preserve">both </w:t>
      </w:r>
      <w:r w:rsidRPr="00031B80">
        <w:rPr>
          <w:rFonts w:ascii="Cambria" w:hAnsi="Cambria"/>
          <w:sz w:val="22"/>
          <w:szCs w:val="22"/>
          <w:lang w:val="en-US"/>
        </w:rPr>
        <w:t xml:space="preserve">MSI-high and </w:t>
      </w:r>
      <w:r w:rsidR="00DF2043" w:rsidRPr="00031B80">
        <w:rPr>
          <w:rFonts w:ascii="Cambria" w:hAnsi="Cambria"/>
          <w:sz w:val="22"/>
          <w:szCs w:val="22"/>
          <w:lang w:val="en-US"/>
        </w:rPr>
        <w:t xml:space="preserve">IHC testing to establish </w:t>
      </w:r>
      <w:r w:rsidRPr="00031B80">
        <w:rPr>
          <w:rFonts w:ascii="Cambria" w:hAnsi="Cambria"/>
          <w:sz w:val="22"/>
          <w:szCs w:val="22"/>
          <w:lang w:val="en-US"/>
        </w:rPr>
        <w:t xml:space="preserve">dMMR are </w:t>
      </w:r>
      <w:r w:rsidR="00160753">
        <w:rPr>
          <w:rFonts w:ascii="Cambria" w:hAnsi="Cambria"/>
          <w:sz w:val="22"/>
          <w:szCs w:val="22"/>
          <w:lang w:val="en-US"/>
        </w:rPr>
        <w:t xml:space="preserve">included in </w:t>
      </w:r>
      <w:r w:rsidRPr="00031B80">
        <w:rPr>
          <w:rFonts w:ascii="Cambria" w:hAnsi="Cambria"/>
          <w:sz w:val="22"/>
          <w:szCs w:val="22"/>
          <w:lang w:val="en-US"/>
        </w:rPr>
        <w:t>the</w:t>
      </w:r>
      <w:r w:rsidR="00607A07">
        <w:rPr>
          <w:rFonts w:ascii="Cambria" w:hAnsi="Cambria"/>
          <w:sz w:val="22"/>
          <w:szCs w:val="22"/>
          <w:lang w:val="en-US"/>
        </w:rPr>
        <w:t xml:space="preserve"> TGA</w:t>
      </w:r>
      <w:r w:rsidRPr="00031B80">
        <w:rPr>
          <w:rFonts w:ascii="Cambria" w:hAnsi="Cambria"/>
          <w:sz w:val="22"/>
          <w:szCs w:val="22"/>
          <w:lang w:val="en-US"/>
        </w:rPr>
        <w:t xml:space="preserve"> registration of pembrolizumab, these two tests will be co</w:t>
      </w:r>
      <w:r w:rsidR="00CD5E6A" w:rsidRPr="00031B80">
        <w:rPr>
          <w:rFonts w:ascii="Cambria" w:hAnsi="Cambria"/>
          <w:sz w:val="22"/>
          <w:szCs w:val="22"/>
          <w:lang w:val="en-US"/>
        </w:rPr>
        <w:t xml:space="preserve">nsidered in this </w:t>
      </w:r>
      <w:r w:rsidR="00A50CC6" w:rsidRPr="00031B80">
        <w:rPr>
          <w:rFonts w:ascii="Cambria" w:hAnsi="Cambria"/>
          <w:sz w:val="22"/>
          <w:szCs w:val="22"/>
          <w:lang w:val="en-US"/>
        </w:rPr>
        <w:t>summary</w:t>
      </w:r>
      <w:r w:rsidR="00CD5E6A" w:rsidRPr="00031B80">
        <w:rPr>
          <w:rFonts w:ascii="Cambria" w:hAnsi="Cambria"/>
          <w:sz w:val="22"/>
          <w:szCs w:val="22"/>
          <w:lang w:val="en-US"/>
        </w:rPr>
        <w:t xml:space="preserve">, although it is noted that MSAC </w:t>
      </w:r>
      <w:r w:rsidR="009927D8" w:rsidRPr="00031B80">
        <w:rPr>
          <w:rFonts w:ascii="Cambria" w:hAnsi="Cambria"/>
          <w:sz w:val="22"/>
          <w:szCs w:val="22"/>
          <w:lang w:val="en-US"/>
        </w:rPr>
        <w:t xml:space="preserve">at this time </w:t>
      </w:r>
      <w:r w:rsidR="00CD5E6A" w:rsidRPr="00031B80">
        <w:rPr>
          <w:rFonts w:ascii="Cambria" w:hAnsi="Cambria"/>
          <w:sz w:val="22"/>
          <w:szCs w:val="22"/>
          <w:lang w:val="en-US"/>
        </w:rPr>
        <w:t>is no</w:t>
      </w:r>
      <w:r w:rsidR="009927D8" w:rsidRPr="00031B80">
        <w:rPr>
          <w:rFonts w:ascii="Cambria" w:hAnsi="Cambria"/>
          <w:sz w:val="22"/>
          <w:szCs w:val="22"/>
          <w:lang w:val="en-US"/>
        </w:rPr>
        <w:t>t</w:t>
      </w:r>
      <w:r w:rsidR="00CD5E6A" w:rsidRPr="00031B80">
        <w:rPr>
          <w:rFonts w:ascii="Cambria" w:hAnsi="Cambria"/>
          <w:sz w:val="22"/>
          <w:szCs w:val="22"/>
          <w:lang w:val="en-US"/>
        </w:rPr>
        <w:t xml:space="preserve"> considering</w:t>
      </w:r>
      <w:r w:rsidR="009927D8" w:rsidRPr="00031B80">
        <w:rPr>
          <w:rFonts w:ascii="Cambria" w:hAnsi="Cambria"/>
          <w:sz w:val="22"/>
          <w:szCs w:val="22"/>
          <w:lang w:val="en-US"/>
        </w:rPr>
        <w:t xml:space="preserve"> an application </w:t>
      </w:r>
      <w:r w:rsidR="00830EF2" w:rsidRPr="00031B80">
        <w:rPr>
          <w:rFonts w:ascii="Cambria" w:hAnsi="Cambria"/>
          <w:sz w:val="22"/>
          <w:szCs w:val="22"/>
          <w:lang w:val="en-US"/>
        </w:rPr>
        <w:t>requesting</w:t>
      </w:r>
      <w:r w:rsidR="009927D8" w:rsidRPr="00031B80">
        <w:rPr>
          <w:rFonts w:ascii="Cambria" w:hAnsi="Cambria"/>
          <w:sz w:val="22"/>
          <w:szCs w:val="22"/>
          <w:lang w:val="en-US"/>
        </w:rPr>
        <w:t xml:space="preserve"> use of</w:t>
      </w:r>
      <w:r w:rsidR="00CD5E6A" w:rsidRPr="00031B80">
        <w:rPr>
          <w:rFonts w:ascii="Cambria" w:hAnsi="Cambria"/>
          <w:sz w:val="22"/>
          <w:szCs w:val="22"/>
          <w:lang w:val="en-US"/>
        </w:rPr>
        <w:t xml:space="preserve"> MSI-high</w:t>
      </w:r>
      <w:r w:rsidR="00830EF2" w:rsidRPr="00031B80">
        <w:rPr>
          <w:rFonts w:ascii="Cambria" w:hAnsi="Cambria"/>
          <w:sz w:val="22"/>
          <w:szCs w:val="22"/>
          <w:lang w:val="en-US"/>
        </w:rPr>
        <w:t xml:space="preserve"> testing</w:t>
      </w:r>
      <w:r w:rsidR="00160753">
        <w:rPr>
          <w:rFonts w:ascii="Cambria" w:hAnsi="Cambria"/>
          <w:sz w:val="22"/>
          <w:szCs w:val="22"/>
          <w:lang w:val="en-US"/>
        </w:rPr>
        <w:t>.</w:t>
      </w:r>
    </w:p>
    <w:p w14:paraId="0DA7735E" w14:textId="26ED67B4" w:rsidR="00634BB4" w:rsidRPr="002E6CB4" w:rsidRDefault="00F32573" w:rsidP="002E6CB4">
      <w:pPr>
        <w:pStyle w:val="Heading2"/>
        <w:rPr>
          <w:b/>
          <w:color w:val="660066"/>
        </w:rPr>
      </w:pPr>
      <w:r w:rsidRPr="002E6CB4">
        <w:rPr>
          <w:b/>
          <w:color w:val="660066"/>
        </w:rPr>
        <w:t>1. What</w:t>
      </w:r>
      <w:r w:rsidR="009A42D4" w:rsidRPr="002E6CB4">
        <w:rPr>
          <w:b/>
          <w:color w:val="660066"/>
        </w:rPr>
        <w:t xml:space="preserve"> are the tests proposed, </w:t>
      </w:r>
      <w:r w:rsidRPr="002E6CB4">
        <w:rPr>
          <w:b/>
          <w:color w:val="660066"/>
        </w:rPr>
        <w:t>and how do the</w:t>
      </w:r>
      <w:r w:rsidR="009A42D4" w:rsidRPr="002E6CB4">
        <w:rPr>
          <w:b/>
          <w:color w:val="660066"/>
        </w:rPr>
        <w:t xml:space="preserve"> proposed</w:t>
      </w:r>
      <w:r w:rsidRPr="002E6CB4">
        <w:rPr>
          <w:b/>
          <w:color w:val="660066"/>
        </w:rPr>
        <w:t xml:space="preserve"> tests used support that? What is currently in use or available in Australia?</w:t>
      </w:r>
    </w:p>
    <w:p w14:paraId="718E19ED" w14:textId="30092A77" w:rsidR="00BE6174" w:rsidRPr="002E6CB4" w:rsidRDefault="00BE6174" w:rsidP="002E6CB4">
      <w:pPr>
        <w:pStyle w:val="Heading3"/>
        <w:rPr>
          <w:color w:val="660066"/>
        </w:rPr>
      </w:pPr>
      <w:r w:rsidRPr="002E6CB4">
        <w:rPr>
          <w:color w:val="660066"/>
        </w:rPr>
        <w:t>The tests</w:t>
      </w:r>
    </w:p>
    <w:p w14:paraId="1D5DE6C1" w14:textId="6B5C3F18" w:rsidR="00F32573" w:rsidRPr="00031B80" w:rsidRDefault="007A0E6A" w:rsidP="00446C99">
      <w:pPr>
        <w:keepNext/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</w:t>
      </w:r>
      <w:r w:rsidR="001465CD" w:rsidRPr="00031B80">
        <w:rPr>
          <w:rFonts w:ascii="Cambria" w:hAnsi="Cambria"/>
          <w:sz w:val="22"/>
          <w:szCs w:val="22"/>
        </w:rPr>
        <w:t xml:space="preserve"> the pivotal stud</w:t>
      </w:r>
      <w:r w:rsidR="001465CD">
        <w:rPr>
          <w:rFonts w:ascii="Cambria" w:hAnsi="Cambria"/>
          <w:sz w:val="22"/>
          <w:szCs w:val="22"/>
        </w:rPr>
        <w:t>ies provided in support of the use o</w:t>
      </w:r>
      <w:r w:rsidR="00BE6174">
        <w:rPr>
          <w:rFonts w:ascii="Cambria" w:hAnsi="Cambria"/>
          <w:sz w:val="22"/>
          <w:szCs w:val="22"/>
        </w:rPr>
        <w:t xml:space="preserve">f </w:t>
      </w:r>
      <w:r w:rsidR="001465CD">
        <w:rPr>
          <w:rFonts w:ascii="Cambria" w:hAnsi="Cambria"/>
          <w:sz w:val="22"/>
          <w:szCs w:val="22"/>
        </w:rPr>
        <w:t>pembrolizumab</w:t>
      </w:r>
      <w:r w:rsidR="00E000D7">
        <w:rPr>
          <w:rFonts w:ascii="Cambria" w:hAnsi="Cambria"/>
          <w:sz w:val="22"/>
          <w:szCs w:val="22"/>
        </w:rPr>
        <w:t xml:space="preserve"> for </w:t>
      </w:r>
      <w:r>
        <w:rPr>
          <w:rFonts w:ascii="Cambria" w:hAnsi="Cambria"/>
          <w:sz w:val="22"/>
          <w:szCs w:val="22"/>
        </w:rPr>
        <w:t>pan-tumour</w:t>
      </w:r>
      <w:r w:rsidR="00E000D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indication, </w:t>
      </w:r>
      <w:r w:rsidR="00E000D7">
        <w:rPr>
          <w:rFonts w:ascii="Cambria" w:hAnsi="Cambria"/>
          <w:sz w:val="22"/>
          <w:szCs w:val="22"/>
        </w:rPr>
        <w:t>dMMR w</w:t>
      </w:r>
      <w:r>
        <w:rPr>
          <w:rFonts w:ascii="Cambria" w:hAnsi="Cambria"/>
          <w:sz w:val="22"/>
          <w:szCs w:val="22"/>
        </w:rPr>
        <w:t>as</w:t>
      </w:r>
      <w:r w:rsidR="00E000D7">
        <w:rPr>
          <w:rFonts w:ascii="Cambria" w:hAnsi="Cambria"/>
          <w:sz w:val="22"/>
          <w:szCs w:val="22"/>
        </w:rPr>
        <w:t xml:space="preserve"> l</w:t>
      </w:r>
      <w:r w:rsidR="001465CD" w:rsidRPr="00E000D7">
        <w:rPr>
          <w:rFonts w:ascii="Cambria" w:hAnsi="Cambria"/>
          <w:sz w:val="22"/>
          <w:szCs w:val="22"/>
        </w:rPr>
        <w:t>ocally determined</w:t>
      </w:r>
      <w:r>
        <w:rPr>
          <w:rFonts w:ascii="Cambria" w:hAnsi="Cambria"/>
          <w:sz w:val="22"/>
          <w:szCs w:val="22"/>
        </w:rPr>
        <w:t xml:space="preserve"> either by</w:t>
      </w:r>
      <w:r w:rsidR="001465CD" w:rsidRPr="00E000D7">
        <w:rPr>
          <w:rFonts w:ascii="Cambria" w:hAnsi="Cambria"/>
          <w:sz w:val="22"/>
          <w:szCs w:val="22"/>
        </w:rPr>
        <w:t xml:space="preserve"> MSI by PCR, </w:t>
      </w:r>
      <w:r w:rsidR="007258A8">
        <w:rPr>
          <w:rFonts w:ascii="Cambria" w:hAnsi="Cambria"/>
          <w:sz w:val="22"/>
          <w:szCs w:val="22"/>
        </w:rPr>
        <w:t>or absent staining of the mismatch repair proteins</w:t>
      </w:r>
      <w:r w:rsidR="001465CD" w:rsidRPr="00E000D7">
        <w:rPr>
          <w:rFonts w:ascii="Cambria" w:hAnsi="Cambria"/>
          <w:sz w:val="22"/>
          <w:szCs w:val="22"/>
        </w:rPr>
        <w:t xml:space="preserve"> </w:t>
      </w:r>
      <w:r w:rsidR="007258A8">
        <w:rPr>
          <w:rFonts w:ascii="Cambria" w:hAnsi="Cambria"/>
          <w:sz w:val="22"/>
          <w:szCs w:val="22"/>
        </w:rPr>
        <w:t xml:space="preserve">by </w:t>
      </w:r>
      <w:r w:rsidR="001465CD" w:rsidRPr="00E000D7">
        <w:rPr>
          <w:rFonts w:ascii="Cambria" w:hAnsi="Cambria"/>
          <w:sz w:val="22"/>
          <w:szCs w:val="22"/>
        </w:rPr>
        <w:t xml:space="preserve">immunohistochemistry </w:t>
      </w:r>
      <w:r w:rsidR="00621F1A">
        <w:rPr>
          <w:rFonts w:ascii="Cambria" w:hAnsi="Cambria"/>
          <w:sz w:val="22"/>
          <w:szCs w:val="22"/>
        </w:rPr>
        <w:t>(no other details provided).</w:t>
      </w:r>
    </w:p>
    <w:p w14:paraId="1BF53742" w14:textId="3F97EF06" w:rsidR="000173CE" w:rsidRDefault="00D61AD6" w:rsidP="007C56F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</w:t>
      </w:r>
      <w:r w:rsidR="00E000D7">
        <w:rPr>
          <w:rFonts w:ascii="Cambria" w:hAnsi="Cambria"/>
          <w:sz w:val="22"/>
          <w:szCs w:val="22"/>
        </w:rPr>
        <w:t xml:space="preserve">refore, in the absence of a prespecified or restricted methodology, </w:t>
      </w:r>
      <w:r w:rsidR="00280323">
        <w:rPr>
          <w:rFonts w:ascii="Cambria" w:hAnsi="Cambria"/>
          <w:sz w:val="22"/>
          <w:szCs w:val="22"/>
        </w:rPr>
        <w:t>local methodologies</w:t>
      </w:r>
      <w:r w:rsidR="009A42D4" w:rsidRPr="00031B80">
        <w:rPr>
          <w:rFonts w:ascii="Cambria" w:hAnsi="Cambria"/>
          <w:sz w:val="22"/>
          <w:szCs w:val="22"/>
        </w:rPr>
        <w:t xml:space="preserve"> for the detection of mismatch repair deficiency</w:t>
      </w:r>
      <w:r w:rsidR="007F1671" w:rsidRPr="00031B80">
        <w:rPr>
          <w:rFonts w:ascii="Cambria" w:hAnsi="Cambria"/>
          <w:sz w:val="22"/>
          <w:szCs w:val="22"/>
        </w:rPr>
        <w:t xml:space="preserve"> </w:t>
      </w:r>
      <w:r w:rsidR="00E000D7">
        <w:rPr>
          <w:rFonts w:ascii="Cambria" w:hAnsi="Cambria"/>
          <w:sz w:val="22"/>
          <w:szCs w:val="22"/>
        </w:rPr>
        <w:t>could include</w:t>
      </w:r>
      <w:r w:rsidR="000173CE" w:rsidRPr="00031B80">
        <w:rPr>
          <w:rFonts w:ascii="Cambria" w:hAnsi="Cambria"/>
          <w:sz w:val="22"/>
          <w:szCs w:val="22"/>
        </w:rPr>
        <w:t>:</w:t>
      </w:r>
    </w:p>
    <w:p w14:paraId="56C22BEF" w14:textId="46DEDB23" w:rsidR="008503F2" w:rsidRPr="00401AB6" w:rsidRDefault="00CF7484" w:rsidP="00446A96">
      <w:pPr>
        <w:pStyle w:val="ListParagraph"/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</w:t>
      </w:r>
      <w:r w:rsidR="009A42D4" w:rsidRPr="00401AB6">
        <w:rPr>
          <w:rFonts w:ascii="Cambria" w:hAnsi="Cambria"/>
          <w:sz w:val="22"/>
          <w:szCs w:val="22"/>
        </w:rPr>
        <w:t>m</w:t>
      </w:r>
      <w:r w:rsidR="006F37DA" w:rsidRPr="00401AB6">
        <w:rPr>
          <w:rFonts w:ascii="Cambria" w:hAnsi="Cambria"/>
          <w:sz w:val="22"/>
          <w:szCs w:val="22"/>
        </w:rPr>
        <w:t>m</w:t>
      </w:r>
      <w:r w:rsidR="009A42D4" w:rsidRPr="00401AB6">
        <w:rPr>
          <w:rFonts w:ascii="Cambria" w:hAnsi="Cambria"/>
          <w:sz w:val="22"/>
          <w:szCs w:val="22"/>
        </w:rPr>
        <w:t>unohistochemi</w:t>
      </w:r>
      <w:r>
        <w:rPr>
          <w:rFonts w:ascii="Cambria" w:hAnsi="Cambria"/>
          <w:sz w:val="22"/>
          <w:szCs w:val="22"/>
        </w:rPr>
        <w:t>stry</w:t>
      </w:r>
      <w:r w:rsidR="00401AB6">
        <w:rPr>
          <w:rFonts w:ascii="Cambria" w:hAnsi="Cambria"/>
          <w:sz w:val="22"/>
          <w:szCs w:val="22"/>
        </w:rPr>
        <w:t xml:space="preserve"> (IHC)</w:t>
      </w:r>
      <w:r w:rsidR="009A42D4" w:rsidRPr="00401AB6">
        <w:rPr>
          <w:rFonts w:ascii="Cambria" w:hAnsi="Cambria"/>
          <w:sz w:val="22"/>
          <w:szCs w:val="22"/>
        </w:rPr>
        <w:t xml:space="preserve"> test</w:t>
      </w:r>
      <w:r>
        <w:rPr>
          <w:rFonts w:ascii="Cambria" w:hAnsi="Cambria"/>
          <w:sz w:val="22"/>
          <w:szCs w:val="22"/>
        </w:rPr>
        <w:t>ing</w:t>
      </w:r>
      <w:r w:rsidR="000173CE" w:rsidRPr="00401AB6">
        <w:rPr>
          <w:rFonts w:ascii="Cambria" w:hAnsi="Cambria"/>
          <w:sz w:val="22"/>
          <w:szCs w:val="22"/>
        </w:rPr>
        <w:t xml:space="preserve"> to detect absence of</w:t>
      </w:r>
      <w:r w:rsidR="00BB0A8D" w:rsidRPr="00401AB6">
        <w:rPr>
          <w:rFonts w:ascii="Cambria" w:hAnsi="Cambria"/>
          <w:sz w:val="22"/>
          <w:szCs w:val="22"/>
        </w:rPr>
        <w:t xml:space="preserve"> expression of at least one of the</w:t>
      </w:r>
      <w:r w:rsidR="000173CE" w:rsidRPr="00401AB6">
        <w:rPr>
          <w:rFonts w:ascii="Cambria" w:hAnsi="Cambria"/>
          <w:sz w:val="22"/>
          <w:szCs w:val="22"/>
        </w:rPr>
        <w:t xml:space="preserve"> </w:t>
      </w:r>
      <w:r w:rsidR="006F37DA" w:rsidRPr="00401AB6">
        <w:rPr>
          <w:rFonts w:ascii="Cambria" w:hAnsi="Cambria"/>
          <w:sz w:val="22"/>
          <w:szCs w:val="22"/>
        </w:rPr>
        <w:t xml:space="preserve">mismatch repair gene </w:t>
      </w:r>
      <w:r w:rsidR="000173CE" w:rsidRPr="00401AB6">
        <w:rPr>
          <w:rFonts w:ascii="Cambria" w:hAnsi="Cambria"/>
          <w:sz w:val="22"/>
          <w:szCs w:val="22"/>
        </w:rPr>
        <w:t>proteins</w:t>
      </w:r>
      <w:r w:rsidR="006F37DA" w:rsidRPr="00401AB6">
        <w:rPr>
          <w:rFonts w:ascii="Cambria" w:hAnsi="Cambria"/>
          <w:sz w:val="22"/>
          <w:szCs w:val="22"/>
        </w:rPr>
        <w:t xml:space="preserve"> (</w:t>
      </w:r>
      <w:r w:rsidR="006F37DA" w:rsidRPr="00BB12B3">
        <w:rPr>
          <w:rFonts w:ascii="Cambria" w:hAnsi="Cambria"/>
          <w:sz w:val="22"/>
          <w:szCs w:val="22"/>
        </w:rPr>
        <w:t>MLH1, MSH2, MSH6, PMS2</w:t>
      </w:r>
      <w:r w:rsidR="006F37DA" w:rsidRPr="00401AB6">
        <w:rPr>
          <w:rFonts w:ascii="Cambria" w:hAnsi="Cambria"/>
          <w:sz w:val="22"/>
          <w:szCs w:val="22"/>
        </w:rPr>
        <w:t>)</w:t>
      </w:r>
    </w:p>
    <w:p w14:paraId="0EB72E1F" w14:textId="34CBCD9E" w:rsidR="00401AB6" w:rsidRPr="00401AB6" w:rsidRDefault="00401AB6" w:rsidP="00446A96">
      <w:pPr>
        <w:pStyle w:val="ListParagraph"/>
        <w:numPr>
          <w:ilvl w:val="0"/>
          <w:numId w:val="31"/>
        </w:numPr>
        <w:jc w:val="both"/>
        <w:rPr>
          <w:rFonts w:ascii="Cambria" w:hAnsi="Cambria"/>
          <w:sz w:val="22"/>
          <w:szCs w:val="22"/>
          <w:lang w:val="en-US"/>
        </w:rPr>
      </w:pPr>
      <w:r w:rsidRPr="00401AB6">
        <w:rPr>
          <w:rFonts w:ascii="Cambria" w:hAnsi="Cambria"/>
          <w:sz w:val="22"/>
          <w:szCs w:val="22"/>
        </w:rPr>
        <w:t>MSI testing – specific methodologies not proposed, but</w:t>
      </w:r>
      <w:r w:rsidR="00C82878">
        <w:rPr>
          <w:rFonts w:ascii="Cambria" w:hAnsi="Cambria"/>
          <w:sz w:val="22"/>
          <w:szCs w:val="22"/>
        </w:rPr>
        <w:t xml:space="preserve"> current technologies available</w:t>
      </w:r>
      <w:r w:rsidRPr="00401AB6">
        <w:rPr>
          <w:rFonts w:ascii="Cambria" w:hAnsi="Cambria"/>
          <w:sz w:val="22"/>
          <w:szCs w:val="22"/>
        </w:rPr>
        <w:t xml:space="preserve"> include:</w:t>
      </w:r>
    </w:p>
    <w:p w14:paraId="72F2C67B" w14:textId="723A63DC" w:rsidR="00401AB6" w:rsidRPr="00401AB6" w:rsidRDefault="00BB12B3" w:rsidP="007C56FC">
      <w:pPr>
        <w:pStyle w:val="ListParagraph"/>
        <w:numPr>
          <w:ilvl w:val="1"/>
          <w:numId w:val="13"/>
        </w:numPr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p</w:t>
      </w:r>
      <w:r w:rsidRPr="00446A96">
        <w:rPr>
          <w:rFonts w:ascii="Cambria" w:hAnsi="Cambria"/>
          <w:sz w:val="22"/>
          <w:szCs w:val="22"/>
          <w:lang w:val="en-US"/>
        </w:rPr>
        <w:t xml:space="preserve">olymerase </w:t>
      </w:r>
      <w:r>
        <w:rPr>
          <w:rFonts w:ascii="Cambria" w:hAnsi="Cambria"/>
          <w:sz w:val="22"/>
          <w:szCs w:val="22"/>
          <w:lang w:val="en-US"/>
        </w:rPr>
        <w:t>c</w:t>
      </w:r>
      <w:r w:rsidRPr="00446A96">
        <w:rPr>
          <w:rFonts w:ascii="Cambria" w:hAnsi="Cambria"/>
          <w:sz w:val="22"/>
          <w:szCs w:val="22"/>
          <w:lang w:val="en-US"/>
        </w:rPr>
        <w:t xml:space="preserve">hain </w:t>
      </w:r>
      <w:r>
        <w:rPr>
          <w:rFonts w:ascii="Cambria" w:hAnsi="Cambria"/>
          <w:sz w:val="22"/>
          <w:szCs w:val="22"/>
          <w:lang w:val="en-US"/>
        </w:rPr>
        <w:t>r</w:t>
      </w:r>
      <w:r w:rsidRPr="00446A96">
        <w:rPr>
          <w:rFonts w:ascii="Cambria" w:hAnsi="Cambria"/>
          <w:sz w:val="22"/>
          <w:szCs w:val="22"/>
          <w:lang w:val="en-US"/>
        </w:rPr>
        <w:t>eaction (</w:t>
      </w:r>
      <w:r w:rsidR="00401AB6">
        <w:rPr>
          <w:rFonts w:ascii="Cambria" w:hAnsi="Cambria"/>
          <w:sz w:val="22"/>
          <w:szCs w:val="22"/>
        </w:rPr>
        <w:t>PCR</w:t>
      </w:r>
      <w:r>
        <w:rPr>
          <w:rFonts w:ascii="Cambria" w:hAnsi="Cambria"/>
          <w:sz w:val="22"/>
          <w:szCs w:val="22"/>
        </w:rPr>
        <w:t>)</w:t>
      </w:r>
    </w:p>
    <w:p w14:paraId="5680A9AA" w14:textId="37CF72EE" w:rsidR="00C77E58" w:rsidRPr="00446C99" w:rsidRDefault="00CF7484" w:rsidP="00446C99">
      <w:pPr>
        <w:pStyle w:val="ListParagraph"/>
        <w:numPr>
          <w:ilvl w:val="1"/>
          <w:numId w:val="13"/>
        </w:numPr>
        <w:spacing w:after="240"/>
        <w:ind w:left="1434" w:hanging="357"/>
        <w:contextualSpacing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</w:rPr>
        <w:t>n</w:t>
      </w:r>
      <w:r w:rsidR="00401AB6">
        <w:rPr>
          <w:rFonts w:ascii="Cambria" w:hAnsi="Cambria"/>
          <w:sz w:val="22"/>
          <w:szCs w:val="22"/>
        </w:rPr>
        <w:t>ext generation sequencing (NGS)</w:t>
      </w:r>
      <w:r w:rsidR="002A7EE2">
        <w:rPr>
          <w:rFonts w:ascii="Cambria" w:hAnsi="Cambria"/>
          <w:sz w:val="22"/>
          <w:szCs w:val="22"/>
        </w:rPr>
        <w:t xml:space="preserve"> –</w:t>
      </w:r>
      <w:r w:rsidR="00395C53">
        <w:rPr>
          <w:rFonts w:ascii="Cambria" w:hAnsi="Cambria"/>
          <w:sz w:val="22"/>
          <w:szCs w:val="22"/>
        </w:rPr>
        <w:t xml:space="preserve"> considered </w:t>
      </w:r>
      <w:r w:rsidR="002A7EE2">
        <w:rPr>
          <w:rFonts w:ascii="Cambria" w:hAnsi="Cambria"/>
          <w:sz w:val="22"/>
          <w:szCs w:val="22"/>
        </w:rPr>
        <w:t xml:space="preserve">likely to replace current multistep process </w:t>
      </w:r>
      <w:r w:rsidR="00395C53">
        <w:rPr>
          <w:rFonts w:ascii="Cambria" w:hAnsi="Cambria"/>
          <w:sz w:val="22"/>
          <w:szCs w:val="22"/>
        </w:rPr>
        <w:t xml:space="preserve">in Australia </w:t>
      </w:r>
      <w:r w:rsidR="002A7EE2">
        <w:rPr>
          <w:rFonts w:ascii="Cambria" w:hAnsi="Cambria"/>
          <w:sz w:val="22"/>
          <w:szCs w:val="22"/>
        </w:rPr>
        <w:t xml:space="preserve">for diagnosing </w:t>
      </w:r>
      <w:r w:rsidR="001225E1">
        <w:rPr>
          <w:rFonts w:ascii="Cambria" w:hAnsi="Cambria"/>
          <w:sz w:val="22"/>
          <w:szCs w:val="22"/>
        </w:rPr>
        <w:t>d</w:t>
      </w:r>
      <w:r w:rsidR="009371BB">
        <w:rPr>
          <w:rFonts w:ascii="Cambria" w:hAnsi="Cambria"/>
          <w:sz w:val="22"/>
          <w:szCs w:val="22"/>
        </w:rPr>
        <w:t xml:space="preserve">MMR and </w:t>
      </w:r>
      <w:r w:rsidR="002A7EE2">
        <w:rPr>
          <w:rFonts w:ascii="Cambria" w:hAnsi="Cambria"/>
          <w:sz w:val="22"/>
          <w:szCs w:val="22"/>
        </w:rPr>
        <w:t>Lynch syndrome</w:t>
      </w:r>
      <w:r w:rsidR="003E6C97">
        <w:rPr>
          <w:rFonts w:ascii="Cambria" w:hAnsi="Cambria"/>
          <w:sz w:val="22"/>
          <w:szCs w:val="22"/>
        </w:rPr>
        <w:t xml:space="preserve"> (</w:t>
      </w:r>
      <w:proofErr w:type="spellStart"/>
      <w:r w:rsidR="003E6C97">
        <w:rPr>
          <w:rFonts w:ascii="Cambria" w:hAnsi="Cambria"/>
          <w:sz w:val="22"/>
          <w:szCs w:val="22"/>
        </w:rPr>
        <w:t>Yozu</w:t>
      </w:r>
      <w:proofErr w:type="spellEnd"/>
      <w:r w:rsidR="003E6C97">
        <w:rPr>
          <w:rFonts w:ascii="Cambria" w:hAnsi="Cambria"/>
          <w:sz w:val="22"/>
          <w:szCs w:val="22"/>
        </w:rPr>
        <w:t>, 2019)</w:t>
      </w:r>
      <w:r>
        <w:rPr>
          <w:rFonts w:ascii="Cambria" w:hAnsi="Cambria"/>
          <w:sz w:val="22"/>
          <w:szCs w:val="22"/>
        </w:rPr>
        <w:t>.</w:t>
      </w:r>
    </w:p>
    <w:p w14:paraId="16BEB6D9" w14:textId="79D5504F" w:rsidR="00401AB6" w:rsidRPr="00A537D4" w:rsidRDefault="00A537D4" w:rsidP="00A537D4">
      <w:pPr>
        <w:pStyle w:val="Heading3"/>
        <w:rPr>
          <w:color w:val="660066"/>
        </w:rPr>
      </w:pPr>
      <w:r w:rsidRPr="00A537D4">
        <w:rPr>
          <w:color w:val="660066"/>
        </w:rPr>
        <w:t xml:space="preserve">A. </w:t>
      </w:r>
      <w:r w:rsidR="00401AB6" w:rsidRPr="00A537D4">
        <w:rPr>
          <w:color w:val="660066"/>
        </w:rPr>
        <w:t>IHC</w:t>
      </w:r>
    </w:p>
    <w:p w14:paraId="5BB95400" w14:textId="6D763678" w:rsidR="006964DF" w:rsidRDefault="00E000D7" w:rsidP="00774582">
      <w:pPr>
        <w:keepNext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Best characterised for diagnosis </w:t>
      </w:r>
      <w:r w:rsidR="00E005F5">
        <w:rPr>
          <w:rFonts w:ascii="Cambria" w:hAnsi="Cambria"/>
          <w:sz w:val="22"/>
          <w:szCs w:val="22"/>
        </w:rPr>
        <w:t>of</w:t>
      </w:r>
      <w:r>
        <w:rPr>
          <w:rFonts w:ascii="Cambria" w:hAnsi="Cambria"/>
          <w:sz w:val="22"/>
          <w:szCs w:val="22"/>
        </w:rPr>
        <w:t xml:space="preserve"> dMMR in colorectal cancer and endometrial cancer</w:t>
      </w:r>
      <w:r w:rsidR="00E005F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but clinical validity less certain in other dMMR cancers.</w:t>
      </w:r>
    </w:p>
    <w:p w14:paraId="4AD8E6CC" w14:textId="424EF01C" w:rsidR="00CA61C1" w:rsidRPr="00AF1909" w:rsidRDefault="001F72A7" w:rsidP="00AF1909">
      <w:pPr>
        <w:pStyle w:val="Heading4"/>
      </w:pPr>
      <w:r w:rsidRPr="00AF1909">
        <w:t>Benefits</w:t>
      </w:r>
      <w:r w:rsidR="00FD6F52" w:rsidRPr="00AF1909">
        <w:t xml:space="preserve"> of IHC testing</w:t>
      </w:r>
    </w:p>
    <w:p w14:paraId="1B8B8C8E" w14:textId="5EF8107D" w:rsidR="00E14237" w:rsidRPr="00E14237" w:rsidRDefault="00193DB4" w:rsidP="00774582">
      <w:pPr>
        <w:pStyle w:val="ListParagraph"/>
        <w:keepNext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High sensitivity (93%) and nearly perfect specificity in predicting MSI </w:t>
      </w:r>
      <w:r w:rsidR="00A45549">
        <w:rPr>
          <w:rFonts w:ascii="Cambria" w:hAnsi="Cambria"/>
          <w:sz w:val="22"/>
          <w:szCs w:val="22"/>
        </w:rPr>
        <w:t xml:space="preserve">in </w:t>
      </w:r>
      <w:r w:rsidR="00C55BA2">
        <w:rPr>
          <w:rFonts w:ascii="Cambria" w:hAnsi="Cambria"/>
          <w:sz w:val="22"/>
          <w:szCs w:val="22"/>
        </w:rPr>
        <w:t>colorectal</w:t>
      </w:r>
      <w:r w:rsidR="00A45549">
        <w:rPr>
          <w:rFonts w:ascii="Cambria" w:hAnsi="Cambria"/>
          <w:sz w:val="22"/>
          <w:szCs w:val="22"/>
        </w:rPr>
        <w:t xml:space="preserve"> cancer </w:t>
      </w:r>
      <w:r w:rsidR="000722B1">
        <w:rPr>
          <w:rFonts w:ascii="Cambria" w:hAnsi="Cambria"/>
          <w:sz w:val="22"/>
          <w:szCs w:val="22"/>
        </w:rPr>
        <w:t xml:space="preserve">as determined by PCR </w:t>
      </w:r>
      <w:r>
        <w:rPr>
          <w:rFonts w:ascii="Cambria" w:hAnsi="Cambria"/>
          <w:sz w:val="22"/>
          <w:szCs w:val="22"/>
        </w:rPr>
        <w:t>(</w:t>
      </w:r>
      <w:r w:rsidR="00067F94">
        <w:rPr>
          <w:rFonts w:ascii="Cambria" w:hAnsi="Cambria"/>
          <w:sz w:val="22"/>
          <w:szCs w:val="22"/>
        </w:rPr>
        <w:t xml:space="preserve">Lindor, 2002; </w:t>
      </w:r>
      <w:r>
        <w:rPr>
          <w:rFonts w:ascii="Cambria" w:hAnsi="Cambria"/>
          <w:sz w:val="22"/>
          <w:szCs w:val="22"/>
        </w:rPr>
        <w:t>Shia, 2015)</w:t>
      </w:r>
      <w:r w:rsidR="00E005F5">
        <w:rPr>
          <w:rFonts w:ascii="Cambria" w:hAnsi="Cambria"/>
          <w:sz w:val="22"/>
          <w:szCs w:val="22"/>
        </w:rPr>
        <w:t>,</w:t>
      </w:r>
      <w:r w:rsidR="00FF20B5">
        <w:rPr>
          <w:rFonts w:ascii="Cambria" w:hAnsi="Cambria"/>
          <w:sz w:val="22"/>
          <w:szCs w:val="22"/>
        </w:rPr>
        <w:t xml:space="preserve"> but less certain in other cancer</w:t>
      </w:r>
      <w:r w:rsidR="00BB2D7D">
        <w:rPr>
          <w:rFonts w:ascii="Cambria" w:hAnsi="Cambria"/>
          <w:sz w:val="22"/>
          <w:szCs w:val="22"/>
        </w:rPr>
        <w:t xml:space="preserve"> types.</w:t>
      </w:r>
    </w:p>
    <w:p w14:paraId="3F677F11" w14:textId="7BFC0A2A" w:rsidR="000C35B8" w:rsidRDefault="000C35B8" w:rsidP="007C56FC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Cheap</w:t>
      </w:r>
      <w:r w:rsidR="00CF7484">
        <w:rPr>
          <w:rFonts w:ascii="Cambria" w:hAnsi="Cambria"/>
          <w:sz w:val="22"/>
          <w:szCs w:val="22"/>
        </w:rPr>
        <w:t>.</w:t>
      </w:r>
    </w:p>
    <w:p w14:paraId="322A60CF" w14:textId="74C944B1" w:rsidR="00A11B7E" w:rsidRDefault="00A11B7E" w:rsidP="007C56FC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Only requires tumour sample (not matched tumour/normal samples</w:t>
      </w:r>
      <w:r w:rsidR="0087683B">
        <w:rPr>
          <w:rFonts w:ascii="Cambria" w:hAnsi="Cambria"/>
          <w:sz w:val="22"/>
          <w:szCs w:val="22"/>
        </w:rPr>
        <w:t xml:space="preserve"> as PCR for MSI</w:t>
      </w:r>
      <w:r>
        <w:rPr>
          <w:rFonts w:ascii="Cambria" w:hAnsi="Cambria"/>
          <w:sz w:val="22"/>
          <w:szCs w:val="22"/>
        </w:rPr>
        <w:t>)</w:t>
      </w:r>
      <w:r w:rsidR="00CF7484">
        <w:rPr>
          <w:rFonts w:ascii="Cambria" w:hAnsi="Cambria"/>
          <w:sz w:val="22"/>
          <w:szCs w:val="22"/>
        </w:rPr>
        <w:t>.</w:t>
      </w:r>
    </w:p>
    <w:p w14:paraId="6E21EB5C" w14:textId="372A1A15" w:rsidR="00CA61C1" w:rsidRDefault="000C35B8" w:rsidP="007C56FC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</w:t>
      </w:r>
      <w:r w:rsidR="001F72A7" w:rsidRPr="006964DF">
        <w:rPr>
          <w:rFonts w:ascii="Cambria" w:hAnsi="Cambria"/>
          <w:sz w:val="22"/>
          <w:szCs w:val="22"/>
        </w:rPr>
        <w:t>dentifies the candidate protein/gene</w:t>
      </w:r>
      <w:r w:rsidR="00EC5969" w:rsidRPr="006964DF">
        <w:rPr>
          <w:rFonts w:ascii="Cambria" w:hAnsi="Cambria"/>
          <w:sz w:val="22"/>
          <w:szCs w:val="22"/>
        </w:rPr>
        <w:t xml:space="preserve"> most likely to be affected</w:t>
      </w:r>
      <w:r w:rsidR="006964DF" w:rsidRPr="006964DF">
        <w:rPr>
          <w:rFonts w:ascii="Cambria" w:hAnsi="Cambria"/>
          <w:sz w:val="22"/>
          <w:szCs w:val="22"/>
        </w:rPr>
        <w:t xml:space="preserve"> </w:t>
      </w:r>
      <w:r w:rsidR="00193DB4">
        <w:rPr>
          <w:rFonts w:ascii="Cambria" w:hAnsi="Cambria"/>
          <w:sz w:val="22"/>
          <w:szCs w:val="22"/>
        </w:rPr>
        <w:t>(streamlines further investigation</w:t>
      </w:r>
      <w:r w:rsidR="00FD6F52">
        <w:rPr>
          <w:rFonts w:ascii="Cambria" w:hAnsi="Cambria"/>
          <w:sz w:val="22"/>
          <w:szCs w:val="22"/>
        </w:rPr>
        <w:t xml:space="preserve"> </w:t>
      </w:r>
      <w:r w:rsidR="00446A96">
        <w:rPr>
          <w:rFonts w:ascii="Cambria" w:hAnsi="Cambria"/>
          <w:sz w:val="22"/>
          <w:szCs w:val="22"/>
        </w:rPr>
        <w:t>required for approximately</w:t>
      </w:r>
      <w:r w:rsidR="0087683B">
        <w:rPr>
          <w:rFonts w:ascii="Cambria" w:hAnsi="Cambria"/>
          <w:sz w:val="22"/>
          <w:szCs w:val="22"/>
        </w:rPr>
        <w:t xml:space="preserve"> 17% who will have </w:t>
      </w:r>
      <w:r w:rsidR="00FD6F52">
        <w:rPr>
          <w:rFonts w:ascii="Cambria" w:hAnsi="Cambria"/>
          <w:sz w:val="22"/>
          <w:szCs w:val="22"/>
        </w:rPr>
        <w:t>Lynch syndrome</w:t>
      </w:r>
      <w:r w:rsidR="00193DB4">
        <w:rPr>
          <w:rFonts w:ascii="Cambria" w:hAnsi="Cambria"/>
          <w:sz w:val="22"/>
          <w:szCs w:val="22"/>
        </w:rPr>
        <w:t>)</w:t>
      </w:r>
      <w:r w:rsidR="00CF7484">
        <w:rPr>
          <w:rFonts w:ascii="Cambria" w:hAnsi="Cambria"/>
          <w:sz w:val="22"/>
          <w:szCs w:val="22"/>
        </w:rPr>
        <w:t>.</w:t>
      </w:r>
    </w:p>
    <w:p w14:paraId="56F43794" w14:textId="74F835FA" w:rsidR="006964DF" w:rsidRDefault="006964DF" w:rsidP="007C56FC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A61C1">
        <w:rPr>
          <w:rFonts w:ascii="Cambria" w:hAnsi="Cambria"/>
          <w:sz w:val="22"/>
          <w:szCs w:val="22"/>
        </w:rPr>
        <w:t>Available at most centres, technically relatively easy</w:t>
      </w:r>
      <w:r w:rsidR="00CF7484">
        <w:rPr>
          <w:rFonts w:ascii="Cambria" w:hAnsi="Cambria"/>
          <w:sz w:val="22"/>
          <w:szCs w:val="22"/>
        </w:rPr>
        <w:t>.</w:t>
      </w:r>
    </w:p>
    <w:p w14:paraId="5A69B4B7" w14:textId="7671EB98" w:rsidR="006964DF" w:rsidRPr="00446C99" w:rsidRDefault="00C82878" w:rsidP="00446C99">
      <w:pPr>
        <w:pStyle w:val="ListParagraph"/>
        <w:numPr>
          <w:ilvl w:val="0"/>
          <w:numId w:val="12"/>
        </w:num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In Australia, should already</w:t>
      </w:r>
      <w:r w:rsidR="00836BED">
        <w:rPr>
          <w:rFonts w:ascii="Cambria" w:hAnsi="Cambria"/>
          <w:sz w:val="22"/>
          <w:szCs w:val="22"/>
        </w:rPr>
        <w:t xml:space="preserve"> be routine for colorectal cancer</w:t>
      </w:r>
      <w:r w:rsidR="00193DB4">
        <w:rPr>
          <w:rFonts w:ascii="Cambria" w:hAnsi="Cambria"/>
          <w:sz w:val="22"/>
          <w:szCs w:val="22"/>
        </w:rPr>
        <w:t xml:space="preserve">, less </w:t>
      </w:r>
      <w:r w:rsidR="00A11B7E">
        <w:rPr>
          <w:rFonts w:ascii="Cambria" w:hAnsi="Cambria"/>
          <w:sz w:val="22"/>
          <w:szCs w:val="22"/>
        </w:rPr>
        <w:t>established as routine in</w:t>
      </w:r>
      <w:r w:rsidR="00193DB4">
        <w:rPr>
          <w:rFonts w:ascii="Cambria" w:hAnsi="Cambria"/>
          <w:sz w:val="22"/>
          <w:szCs w:val="22"/>
        </w:rPr>
        <w:t xml:space="preserve"> endometrial cancer</w:t>
      </w:r>
      <w:r w:rsidR="00A11B7E">
        <w:rPr>
          <w:rFonts w:ascii="Cambria" w:hAnsi="Cambria"/>
          <w:sz w:val="22"/>
          <w:szCs w:val="22"/>
        </w:rPr>
        <w:t xml:space="preserve"> diagnostic workup.</w:t>
      </w:r>
    </w:p>
    <w:p w14:paraId="16BC7ABB" w14:textId="183000D3" w:rsidR="00FD6F52" w:rsidRDefault="009737F9" w:rsidP="00AF1909">
      <w:pPr>
        <w:pStyle w:val="Heading4"/>
      </w:pPr>
      <w:r>
        <w:t>Limitations/risks</w:t>
      </w:r>
      <w:r w:rsidR="006F7732">
        <w:t xml:space="preserve"> with IHC testing</w:t>
      </w:r>
    </w:p>
    <w:p w14:paraId="7189C0FD" w14:textId="1C1FD072" w:rsidR="00B57584" w:rsidRPr="00B57584" w:rsidRDefault="00B57584" w:rsidP="00774582">
      <w:pPr>
        <w:keepNext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B57584">
        <w:rPr>
          <w:rFonts w:ascii="Cambria" w:hAnsi="Cambria"/>
          <w:i/>
          <w:sz w:val="22"/>
          <w:szCs w:val="22"/>
        </w:rPr>
        <w:t>Analytical issues</w:t>
      </w:r>
    </w:p>
    <w:p w14:paraId="335755A3" w14:textId="1F1EA1DB" w:rsidR="00EC5969" w:rsidRPr="00FD6F52" w:rsidRDefault="002346DF" w:rsidP="00774582">
      <w:pPr>
        <w:pStyle w:val="ListParagraph"/>
        <w:keepNext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False negative results where</w:t>
      </w:r>
      <w:r w:rsidR="00B57449">
        <w:rPr>
          <w:rFonts w:ascii="Cambria" w:hAnsi="Cambria"/>
          <w:sz w:val="22"/>
          <w:szCs w:val="22"/>
        </w:rPr>
        <w:t xml:space="preserve"> protein</w:t>
      </w:r>
      <w:r w:rsidR="00EC5969" w:rsidRPr="00FD6F52">
        <w:rPr>
          <w:rFonts w:ascii="Cambria" w:hAnsi="Cambria"/>
          <w:sz w:val="22"/>
          <w:szCs w:val="22"/>
        </w:rPr>
        <w:t xml:space="preserve"> function impaired but</w:t>
      </w:r>
      <w:r w:rsidR="00330A00">
        <w:rPr>
          <w:rFonts w:ascii="Cambria" w:hAnsi="Cambria"/>
          <w:sz w:val="22"/>
          <w:szCs w:val="22"/>
        </w:rPr>
        <w:t xml:space="preserve"> still</w:t>
      </w:r>
      <w:r w:rsidR="00EC5969" w:rsidRPr="00FD6F52">
        <w:rPr>
          <w:rFonts w:ascii="Cambria" w:hAnsi="Cambria"/>
          <w:sz w:val="22"/>
          <w:szCs w:val="22"/>
        </w:rPr>
        <w:t xml:space="preserve"> present (</w:t>
      </w:r>
      <w:proofErr w:type="spellStart"/>
      <w:r w:rsidR="00EC5969" w:rsidRPr="00FD6F52">
        <w:rPr>
          <w:rFonts w:ascii="Cambria" w:hAnsi="Cambria"/>
          <w:sz w:val="22"/>
          <w:szCs w:val="22"/>
        </w:rPr>
        <w:t>eg</w:t>
      </w:r>
      <w:proofErr w:type="spellEnd"/>
      <w:r w:rsidR="00EC5969" w:rsidRPr="00FD6F52">
        <w:rPr>
          <w:rFonts w:ascii="Cambria" w:hAnsi="Cambria"/>
          <w:sz w:val="22"/>
          <w:szCs w:val="22"/>
        </w:rPr>
        <w:t xml:space="preserve"> some </w:t>
      </w:r>
      <w:r w:rsidR="00EC5969" w:rsidRPr="00466174">
        <w:rPr>
          <w:rFonts w:ascii="Cambria" w:hAnsi="Cambria"/>
          <w:sz w:val="22"/>
          <w:szCs w:val="22"/>
        </w:rPr>
        <w:t>MLH1</w:t>
      </w:r>
      <w:r w:rsidR="00EC5969" w:rsidRPr="00FD6F52">
        <w:rPr>
          <w:rFonts w:ascii="Cambria" w:hAnsi="Cambria"/>
          <w:sz w:val="22"/>
          <w:szCs w:val="22"/>
        </w:rPr>
        <w:t xml:space="preserve"> promoter methylat</w:t>
      </w:r>
      <w:r w:rsidR="00466174">
        <w:rPr>
          <w:rFonts w:ascii="Cambria" w:hAnsi="Cambria"/>
          <w:sz w:val="22"/>
          <w:szCs w:val="22"/>
        </w:rPr>
        <w:t>ion cases which may show false-positive</w:t>
      </w:r>
      <w:r w:rsidR="00EC5969" w:rsidRPr="00FD6F52">
        <w:rPr>
          <w:rFonts w:ascii="Cambria" w:hAnsi="Cambria"/>
          <w:sz w:val="22"/>
          <w:szCs w:val="22"/>
        </w:rPr>
        <w:t xml:space="preserve"> nuclear staining for </w:t>
      </w:r>
      <w:r w:rsidR="00EC5969" w:rsidRPr="00466174">
        <w:rPr>
          <w:rFonts w:ascii="Cambria" w:hAnsi="Cambria"/>
          <w:sz w:val="22"/>
          <w:szCs w:val="22"/>
        </w:rPr>
        <w:t>MLH1</w:t>
      </w:r>
      <w:r w:rsidR="00EC5969" w:rsidRPr="00FD6F52">
        <w:rPr>
          <w:rFonts w:ascii="Cambria" w:hAnsi="Cambria"/>
          <w:sz w:val="22"/>
          <w:szCs w:val="22"/>
        </w:rPr>
        <w:t>; pathogenic missense mutations, dominant negative mutations)</w:t>
      </w:r>
      <w:r w:rsidR="006964DF" w:rsidRPr="00FD6F52">
        <w:rPr>
          <w:rFonts w:ascii="Cambria" w:hAnsi="Cambria"/>
          <w:sz w:val="22"/>
          <w:szCs w:val="22"/>
        </w:rPr>
        <w:t>;</w:t>
      </w:r>
      <w:r w:rsidR="00B46620" w:rsidRPr="00FD6F52">
        <w:rPr>
          <w:rFonts w:ascii="Cambria" w:hAnsi="Cambria"/>
          <w:sz w:val="22"/>
          <w:szCs w:val="22"/>
        </w:rPr>
        <w:t xml:space="preserve"> (56/57 MSI-H tumours demonstrated IHC abnormality </w:t>
      </w:r>
      <w:r w:rsidR="00E418B9">
        <w:rPr>
          <w:rFonts w:ascii="Cambria" w:hAnsi="Cambria"/>
          <w:sz w:val="22"/>
          <w:szCs w:val="22"/>
        </w:rPr>
        <w:t>(</w:t>
      </w:r>
      <w:r w:rsidR="00B46620" w:rsidRPr="00FD6F52">
        <w:rPr>
          <w:rFonts w:ascii="Cambria" w:hAnsi="Cambria"/>
          <w:sz w:val="22"/>
          <w:szCs w:val="22"/>
        </w:rPr>
        <w:t>Latham et al</w:t>
      </w:r>
      <w:r w:rsidR="00E418B9">
        <w:rPr>
          <w:rFonts w:ascii="Cambria" w:hAnsi="Cambria"/>
          <w:sz w:val="22"/>
          <w:szCs w:val="22"/>
        </w:rPr>
        <w:t>,</w:t>
      </w:r>
      <w:r w:rsidR="00B46620" w:rsidRPr="00FD6F52">
        <w:rPr>
          <w:rFonts w:ascii="Cambria" w:hAnsi="Cambria"/>
          <w:sz w:val="22"/>
          <w:szCs w:val="22"/>
        </w:rPr>
        <w:t xml:space="preserve"> 2018)</w:t>
      </w:r>
      <w:r w:rsidR="00942F5B">
        <w:rPr>
          <w:rFonts w:ascii="Cambria" w:hAnsi="Cambria"/>
          <w:sz w:val="22"/>
          <w:szCs w:val="22"/>
        </w:rPr>
        <w:t xml:space="preserve">. Higher rates of discordance reported with gastric cancer </w:t>
      </w:r>
      <w:r w:rsidR="00B57449">
        <w:rPr>
          <w:rFonts w:ascii="Cambria" w:hAnsi="Cambria"/>
          <w:sz w:val="22"/>
          <w:szCs w:val="22"/>
        </w:rPr>
        <w:t xml:space="preserve">between MSI testing and IHC </w:t>
      </w:r>
      <w:r w:rsidR="00942F5B">
        <w:rPr>
          <w:rFonts w:ascii="Cambria" w:hAnsi="Cambria"/>
          <w:sz w:val="22"/>
          <w:szCs w:val="22"/>
        </w:rPr>
        <w:t>(Smyth et al</w:t>
      </w:r>
      <w:r w:rsidR="00E418B9">
        <w:rPr>
          <w:rFonts w:ascii="Cambria" w:hAnsi="Cambria"/>
          <w:sz w:val="22"/>
          <w:szCs w:val="22"/>
        </w:rPr>
        <w:t>,</w:t>
      </w:r>
      <w:r w:rsidR="00942F5B">
        <w:rPr>
          <w:rFonts w:ascii="Cambria" w:hAnsi="Cambria"/>
          <w:sz w:val="22"/>
          <w:szCs w:val="22"/>
        </w:rPr>
        <w:t xml:space="preserve"> 2017)</w:t>
      </w:r>
      <w:r w:rsidR="00CF7484">
        <w:rPr>
          <w:rFonts w:ascii="Cambria" w:hAnsi="Cambria"/>
          <w:sz w:val="22"/>
          <w:szCs w:val="22"/>
        </w:rPr>
        <w:t>.</w:t>
      </w:r>
    </w:p>
    <w:p w14:paraId="21416BCD" w14:textId="06F30053" w:rsidR="006964DF" w:rsidRDefault="006964DF" w:rsidP="007C56F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Variation in tissue fixation and other technical issues</w:t>
      </w:r>
      <w:r w:rsidR="004F1A20">
        <w:rPr>
          <w:rFonts w:ascii="Cambria" w:hAnsi="Cambria"/>
          <w:sz w:val="22"/>
          <w:szCs w:val="22"/>
        </w:rPr>
        <w:t>, esp</w:t>
      </w:r>
      <w:r w:rsidR="007C56FC">
        <w:rPr>
          <w:rFonts w:ascii="Cambria" w:hAnsi="Cambria"/>
          <w:sz w:val="22"/>
          <w:szCs w:val="22"/>
        </w:rPr>
        <w:t>ecially</w:t>
      </w:r>
      <w:r w:rsidR="004F1A20">
        <w:rPr>
          <w:rFonts w:ascii="Cambria" w:hAnsi="Cambria"/>
          <w:sz w:val="22"/>
          <w:szCs w:val="22"/>
        </w:rPr>
        <w:t xml:space="preserve"> with surgical specimens</w:t>
      </w:r>
      <w:r w:rsidR="00CF7484">
        <w:rPr>
          <w:rFonts w:ascii="Cambria" w:hAnsi="Cambria"/>
          <w:sz w:val="22"/>
          <w:szCs w:val="22"/>
        </w:rPr>
        <w:t>.</w:t>
      </w:r>
    </w:p>
    <w:p w14:paraId="2C192840" w14:textId="7D23700E" w:rsidR="001865B0" w:rsidRDefault="001865B0" w:rsidP="007C56F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May be </w:t>
      </w:r>
      <w:proofErr w:type="spellStart"/>
      <w:r>
        <w:rPr>
          <w:rFonts w:ascii="Cambria" w:hAnsi="Cambria"/>
          <w:sz w:val="22"/>
          <w:szCs w:val="22"/>
        </w:rPr>
        <w:t>subclonal</w:t>
      </w:r>
      <w:proofErr w:type="spellEnd"/>
      <w:r>
        <w:rPr>
          <w:rFonts w:ascii="Cambria" w:hAnsi="Cambria"/>
          <w:sz w:val="22"/>
          <w:szCs w:val="22"/>
        </w:rPr>
        <w:t xml:space="preserve"> loss (tumour heterogeneity) esp</w:t>
      </w:r>
      <w:r w:rsidR="007C56FC">
        <w:rPr>
          <w:rFonts w:ascii="Cambria" w:hAnsi="Cambria"/>
          <w:sz w:val="22"/>
          <w:szCs w:val="22"/>
        </w:rPr>
        <w:t>ecially</w:t>
      </w:r>
      <w:r>
        <w:rPr>
          <w:rFonts w:ascii="Cambria" w:hAnsi="Cambria"/>
          <w:sz w:val="22"/>
          <w:szCs w:val="22"/>
        </w:rPr>
        <w:t xml:space="preserve"> in endometrial cancer (</w:t>
      </w:r>
      <w:proofErr w:type="spellStart"/>
      <w:r>
        <w:rPr>
          <w:rFonts w:ascii="Cambria" w:hAnsi="Cambria"/>
          <w:sz w:val="22"/>
          <w:szCs w:val="22"/>
        </w:rPr>
        <w:t>Stelloo</w:t>
      </w:r>
      <w:proofErr w:type="spellEnd"/>
      <w:r>
        <w:rPr>
          <w:rFonts w:ascii="Cambria" w:hAnsi="Cambria"/>
          <w:sz w:val="22"/>
          <w:szCs w:val="22"/>
        </w:rPr>
        <w:t>, 2017)</w:t>
      </w:r>
      <w:r w:rsidR="00CF7484">
        <w:rPr>
          <w:rFonts w:ascii="Cambria" w:hAnsi="Cambria"/>
          <w:sz w:val="22"/>
          <w:szCs w:val="22"/>
        </w:rPr>
        <w:t>.</w:t>
      </w:r>
    </w:p>
    <w:p w14:paraId="2CA08008" w14:textId="5CD30AA3" w:rsidR="006964DF" w:rsidRDefault="006964DF" w:rsidP="007C56F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Less reliable on small samples</w:t>
      </w:r>
      <w:r w:rsidR="00330A00">
        <w:rPr>
          <w:rFonts w:ascii="Cambria" w:hAnsi="Cambria"/>
          <w:sz w:val="22"/>
          <w:szCs w:val="22"/>
        </w:rPr>
        <w:t xml:space="preserve"> (Zhang et al</w:t>
      </w:r>
      <w:r w:rsidR="00CF7484">
        <w:rPr>
          <w:rFonts w:ascii="Cambria" w:hAnsi="Cambria"/>
          <w:sz w:val="22"/>
          <w:szCs w:val="22"/>
        </w:rPr>
        <w:t>, 2008</w:t>
      </w:r>
      <w:r w:rsidR="00330A00">
        <w:rPr>
          <w:rFonts w:ascii="Cambria" w:hAnsi="Cambria"/>
          <w:sz w:val="22"/>
          <w:szCs w:val="22"/>
        </w:rPr>
        <w:t>)</w:t>
      </w:r>
      <w:r w:rsidR="00CF7484">
        <w:rPr>
          <w:rFonts w:ascii="Cambria" w:hAnsi="Cambria"/>
          <w:sz w:val="22"/>
          <w:szCs w:val="22"/>
        </w:rPr>
        <w:t>.</w:t>
      </w:r>
    </w:p>
    <w:p w14:paraId="236E86AA" w14:textId="44016F4D" w:rsidR="00B57584" w:rsidRPr="00446C99" w:rsidRDefault="00330A00" w:rsidP="00446C99">
      <w:pPr>
        <w:pStyle w:val="ListParagraph"/>
        <w:numPr>
          <w:ilvl w:val="0"/>
          <w:numId w:val="7"/>
        </w:numPr>
        <w:spacing w:after="240"/>
        <w:ind w:left="714" w:hanging="3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Requires sufficient sample to be available</w:t>
      </w:r>
      <w:r w:rsidR="0087683B">
        <w:rPr>
          <w:rFonts w:ascii="Cambria" w:hAnsi="Cambria"/>
          <w:sz w:val="22"/>
          <w:szCs w:val="22"/>
        </w:rPr>
        <w:t xml:space="preserve"> (</w:t>
      </w:r>
      <w:r w:rsidR="009737F9">
        <w:rPr>
          <w:rFonts w:ascii="Cambria" w:hAnsi="Cambria"/>
          <w:sz w:val="22"/>
          <w:szCs w:val="22"/>
        </w:rPr>
        <w:t>reported as a problem</w:t>
      </w:r>
      <w:r w:rsidR="0087683B">
        <w:rPr>
          <w:rFonts w:ascii="Cambria" w:hAnsi="Cambria"/>
          <w:sz w:val="22"/>
          <w:szCs w:val="22"/>
        </w:rPr>
        <w:t xml:space="preserve"> in studies)</w:t>
      </w:r>
      <w:r w:rsidR="00CF7484">
        <w:rPr>
          <w:rFonts w:ascii="Cambria" w:hAnsi="Cambria"/>
          <w:sz w:val="22"/>
          <w:szCs w:val="22"/>
        </w:rPr>
        <w:t>.</w:t>
      </w:r>
    </w:p>
    <w:p w14:paraId="0A2E9DC1" w14:textId="782B2AED" w:rsidR="00B57584" w:rsidRPr="00B57584" w:rsidRDefault="00B57584" w:rsidP="00774582">
      <w:pPr>
        <w:pStyle w:val="ListParagraph"/>
        <w:keepNext/>
        <w:jc w:val="both"/>
        <w:rPr>
          <w:rFonts w:ascii="Cambria" w:hAnsi="Cambria"/>
          <w:i/>
          <w:sz w:val="22"/>
          <w:szCs w:val="22"/>
        </w:rPr>
      </w:pPr>
      <w:r w:rsidRPr="00B57584">
        <w:rPr>
          <w:rFonts w:ascii="Cambria" w:hAnsi="Cambria"/>
          <w:i/>
          <w:sz w:val="22"/>
          <w:szCs w:val="22"/>
        </w:rPr>
        <w:t>Clinical validity</w:t>
      </w:r>
      <w:r w:rsidR="00651D6A">
        <w:rPr>
          <w:rFonts w:ascii="Cambria" w:hAnsi="Cambria"/>
          <w:i/>
          <w:sz w:val="22"/>
          <w:szCs w:val="22"/>
        </w:rPr>
        <w:t xml:space="preserve"> and clinical utility</w:t>
      </w:r>
      <w:r w:rsidRPr="00B57584">
        <w:rPr>
          <w:rFonts w:ascii="Cambria" w:hAnsi="Cambria"/>
          <w:i/>
          <w:sz w:val="22"/>
          <w:szCs w:val="22"/>
        </w:rPr>
        <w:t xml:space="preserve"> issues</w:t>
      </w:r>
    </w:p>
    <w:p w14:paraId="55FC2071" w14:textId="78EA5B7E" w:rsidR="00B57584" w:rsidRPr="00B57584" w:rsidRDefault="00F74A42" w:rsidP="00774582">
      <w:pPr>
        <w:pStyle w:val="ListParagraph"/>
        <w:keepNext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Heterogeneity for dMMR in primary vs metastatic specimen</w:t>
      </w:r>
      <w:r w:rsidR="00E524F6">
        <w:rPr>
          <w:rFonts w:ascii="Cambria" w:hAnsi="Cambria"/>
          <w:sz w:val="22"/>
          <w:szCs w:val="22"/>
        </w:rPr>
        <w:t xml:space="preserve"> (Jung et al, 2017)</w:t>
      </w:r>
      <w:r w:rsidR="00CF7484">
        <w:rPr>
          <w:rFonts w:ascii="Cambria" w:hAnsi="Cambria"/>
          <w:sz w:val="22"/>
          <w:szCs w:val="22"/>
        </w:rPr>
        <w:t>.</w:t>
      </w:r>
    </w:p>
    <w:p w14:paraId="6E8F7337" w14:textId="3976BDBB" w:rsidR="0087683B" w:rsidRDefault="00B57584" w:rsidP="007C56FC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="00193DB4" w:rsidRPr="006F7732">
        <w:rPr>
          <w:rFonts w:ascii="Cambria" w:hAnsi="Cambria"/>
          <w:sz w:val="22"/>
          <w:szCs w:val="22"/>
        </w:rPr>
        <w:t>ifficult to scale up where lower incidence of abnormality (</w:t>
      </w:r>
      <w:proofErr w:type="spellStart"/>
      <w:r w:rsidR="007011C4">
        <w:rPr>
          <w:rFonts w:ascii="Cambria" w:hAnsi="Cambria"/>
          <w:sz w:val="22"/>
          <w:szCs w:val="22"/>
        </w:rPr>
        <w:t>e</w:t>
      </w:r>
      <w:r w:rsidR="00193DB4" w:rsidRPr="006F7732">
        <w:rPr>
          <w:rFonts w:ascii="Cambria" w:hAnsi="Cambria"/>
          <w:sz w:val="22"/>
          <w:szCs w:val="22"/>
        </w:rPr>
        <w:t>g</w:t>
      </w:r>
      <w:proofErr w:type="spellEnd"/>
      <w:r w:rsidR="00193DB4" w:rsidRPr="006F7732">
        <w:rPr>
          <w:rFonts w:ascii="Cambria" w:hAnsi="Cambria"/>
          <w:sz w:val="22"/>
          <w:szCs w:val="22"/>
        </w:rPr>
        <w:t xml:space="preserve"> pancreatic or ureteric cancers</w:t>
      </w:r>
      <w:r w:rsidR="00330A00">
        <w:rPr>
          <w:rFonts w:ascii="Cambria" w:hAnsi="Cambria"/>
          <w:sz w:val="22"/>
          <w:szCs w:val="22"/>
        </w:rPr>
        <w:t>)</w:t>
      </w:r>
      <w:r w:rsidR="00CF7484">
        <w:rPr>
          <w:rFonts w:ascii="Cambria" w:hAnsi="Cambria"/>
          <w:sz w:val="22"/>
          <w:szCs w:val="22"/>
        </w:rPr>
        <w:t>.</w:t>
      </w:r>
    </w:p>
    <w:p w14:paraId="174DE8E1" w14:textId="34A33BCE" w:rsidR="002346DF" w:rsidRDefault="00B57584" w:rsidP="007C56FC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="002346DF">
        <w:rPr>
          <w:rFonts w:ascii="Cambria" w:hAnsi="Cambria"/>
          <w:sz w:val="22"/>
          <w:szCs w:val="22"/>
        </w:rPr>
        <w:t xml:space="preserve">linical validity uncertain </w:t>
      </w:r>
      <w:r w:rsidR="001F0390" w:rsidRPr="002346DF">
        <w:rPr>
          <w:rFonts w:ascii="Cambria" w:hAnsi="Cambria"/>
          <w:sz w:val="22"/>
          <w:szCs w:val="22"/>
        </w:rPr>
        <w:t xml:space="preserve">as </w:t>
      </w:r>
      <w:r w:rsidR="0011594F">
        <w:rPr>
          <w:rFonts w:ascii="Cambria" w:hAnsi="Cambria"/>
          <w:sz w:val="22"/>
          <w:szCs w:val="22"/>
        </w:rPr>
        <w:t xml:space="preserve">prognostic or </w:t>
      </w:r>
      <w:r w:rsidR="001F0390" w:rsidRPr="002346DF">
        <w:rPr>
          <w:rFonts w:ascii="Cambria" w:hAnsi="Cambria"/>
          <w:sz w:val="22"/>
          <w:szCs w:val="22"/>
        </w:rPr>
        <w:t xml:space="preserve">predictive test </w:t>
      </w:r>
      <w:r w:rsidR="002346DF">
        <w:rPr>
          <w:rFonts w:ascii="Cambria" w:hAnsi="Cambria"/>
          <w:sz w:val="22"/>
          <w:szCs w:val="22"/>
        </w:rPr>
        <w:t xml:space="preserve">in </w:t>
      </w:r>
      <w:r w:rsidR="001F0390">
        <w:rPr>
          <w:rFonts w:ascii="Cambria" w:hAnsi="Cambria"/>
          <w:sz w:val="22"/>
          <w:szCs w:val="22"/>
        </w:rPr>
        <w:t xml:space="preserve">establishing </w:t>
      </w:r>
      <w:r w:rsidR="002346DF">
        <w:rPr>
          <w:rFonts w:ascii="Cambria" w:hAnsi="Cambria"/>
          <w:sz w:val="22"/>
          <w:szCs w:val="22"/>
        </w:rPr>
        <w:t xml:space="preserve">dMMR </w:t>
      </w:r>
      <w:r w:rsidR="001F0390">
        <w:rPr>
          <w:rFonts w:ascii="Cambria" w:hAnsi="Cambria"/>
          <w:sz w:val="22"/>
          <w:szCs w:val="22"/>
        </w:rPr>
        <w:t>status</w:t>
      </w:r>
      <w:r w:rsidR="002346DF">
        <w:rPr>
          <w:rFonts w:ascii="Cambria" w:hAnsi="Cambria"/>
          <w:sz w:val="22"/>
          <w:szCs w:val="22"/>
        </w:rPr>
        <w:t xml:space="preserve"> other than colorectal, and perhaps endometrial</w:t>
      </w:r>
      <w:r w:rsidR="001F0390">
        <w:rPr>
          <w:rFonts w:ascii="Cambria" w:hAnsi="Cambria"/>
          <w:sz w:val="22"/>
          <w:szCs w:val="22"/>
        </w:rPr>
        <w:t>,</w:t>
      </w:r>
      <w:r w:rsidR="002346DF">
        <w:rPr>
          <w:rFonts w:ascii="Cambria" w:hAnsi="Cambria"/>
          <w:sz w:val="22"/>
          <w:szCs w:val="22"/>
        </w:rPr>
        <w:t xml:space="preserve"> and therefore clinical utility </w:t>
      </w:r>
      <w:r w:rsidR="002346DF" w:rsidRPr="002346DF">
        <w:rPr>
          <w:rFonts w:ascii="Cambria" w:hAnsi="Cambria"/>
          <w:sz w:val="22"/>
          <w:szCs w:val="22"/>
        </w:rPr>
        <w:t xml:space="preserve">not </w:t>
      </w:r>
      <w:r w:rsidR="002346DF">
        <w:rPr>
          <w:rFonts w:ascii="Cambria" w:hAnsi="Cambria"/>
          <w:sz w:val="22"/>
          <w:szCs w:val="22"/>
        </w:rPr>
        <w:t>established</w:t>
      </w:r>
      <w:r w:rsidR="002346DF" w:rsidRPr="002346DF">
        <w:rPr>
          <w:rFonts w:ascii="Cambria" w:hAnsi="Cambria"/>
          <w:sz w:val="22"/>
          <w:szCs w:val="22"/>
        </w:rPr>
        <w:t xml:space="preserve"> for proposed usage</w:t>
      </w:r>
      <w:r w:rsidR="002346DF">
        <w:rPr>
          <w:rFonts w:ascii="Cambria" w:hAnsi="Cambria"/>
          <w:sz w:val="22"/>
          <w:szCs w:val="22"/>
        </w:rPr>
        <w:t xml:space="preserve"> as pan-tumour assay</w:t>
      </w:r>
      <w:r w:rsidR="00CF7484">
        <w:rPr>
          <w:rFonts w:ascii="Cambria" w:hAnsi="Cambria"/>
          <w:sz w:val="22"/>
          <w:szCs w:val="22"/>
        </w:rPr>
        <w:t>.</w:t>
      </w:r>
    </w:p>
    <w:p w14:paraId="1A968D99" w14:textId="2517FF16" w:rsidR="005B2001" w:rsidRPr="00446C99" w:rsidRDefault="005809E0" w:rsidP="00446C99">
      <w:pPr>
        <w:pStyle w:val="ListParagraph"/>
        <w:numPr>
          <w:ilvl w:val="0"/>
          <w:numId w:val="15"/>
        </w:numPr>
        <w:spacing w:after="240"/>
        <w:ind w:left="714" w:hanging="3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May be less MMR protein expression in tumours with lower proliferation rate, which may affect extra-colonic tumours particularly (Shia, 2015) so identifying dMMR deficiency may be difficult esp</w:t>
      </w:r>
      <w:r w:rsidR="007C56FC">
        <w:rPr>
          <w:rFonts w:ascii="Cambria" w:hAnsi="Cambria"/>
          <w:sz w:val="22"/>
          <w:szCs w:val="22"/>
        </w:rPr>
        <w:t>ecially</w:t>
      </w:r>
      <w:r>
        <w:rPr>
          <w:rFonts w:ascii="Cambria" w:hAnsi="Cambria"/>
          <w:sz w:val="22"/>
          <w:szCs w:val="22"/>
        </w:rPr>
        <w:t xml:space="preserve"> where laboratory calibration or cut-offs established using colonic cancers.</w:t>
      </w:r>
    </w:p>
    <w:p w14:paraId="5CD0802A" w14:textId="28E9DED2" w:rsidR="00EC5969" w:rsidRPr="00A537D4" w:rsidRDefault="00A537D4" w:rsidP="00A537D4">
      <w:pPr>
        <w:pStyle w:val="Heading3"/>
        <w:rPr>
          <w:color w:val="660066"/>
          <w:lang w:val="en-US"/>
        </w:rPr>
      </w:pPr>
      <w:r w:rsidRPr="00A537D4">
        <w:rPr>
          <w:color w:val="660066"/>
        </w:rPr>
        <w:t xml:space="preserve">B. </w:t>
      </w:r>
      <w:r w:rsidR="007F1671" w:rsidRPr="00A537D4">
        <w:rPr>
          <w:color w:val="660066"/>
        </w:rPr>
        <w:t>MSI</w:t>
      </w:r>
      <w:r w:rsidR="00EC5969" w:rsidRPr="00A537D4">
        <w:rPr>
          <w:color w:val="660066"/>
        </w:rPr>
        <w:t xml:space="preserve"> testing – range of methodologies</w:t>
      </w:r>
    </w:p>
    <w:p w14:paraId="727A797A" w14:textId="1C240716" w:rsidR="0064199F" w:rsidRPr="00651D6A" w:rsidRDefault="00EC5969" w:rsidP="00774582">
      <w:pPr>
        <w:pStyle w:val="ListParagraph"/>
        <w:keepNext/>
        <w:numPr>
          <w:ilvl w:val="1"/>
          <w:numId w:val="14"/>
        </w:numPr>
        <w:ind w:hanging="357"/>
        <w:jc w:val="both"/>
        <w:rPr>
          <w:rFonts w:ascii="Cambria" w:hAnsi="Cambria"/>
          <w:sz w:val="22"/>
          <w:szCs w:val="22"/>
          <w:lang w:val="en-US"/>
        </w:rPr>
      </w:pPr>
      <w:r w:rsidRPr="007B677D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PCR-based </w:t>
      </w:r>
      <w:r w:rsidR="008D0409">
        <w:rPr>
          <w:rFonts w:ascii="Cambria" w:hAnsi="Cambria"/>
          <w:color w:val="000000"/>
          <w:sz w:val="22"/>
          <w:szCs w:val="22"/>
          <w:shd w:val="clear" w:color="auto" w:fill="FFFFFF"/>
        </w:rPr>
        <w:t>amplification</w:t>
      </w:r>
      <w:r w:rsidRPr="007B677D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compares the sizes of microsatellite marker sets in tumour DNA with corresponding DNA isolated from a normal tissue sample </w:t>
      </w:r>
      <w:r w:rsidR="00986FE1">
        <w:rPr>
          <w:rFonts w:ascii="Cambria" w:hAnsi="Cambria"/>
          <w:color w:val="000000"/>
          <w:sz w:val="22"/>
          <w:szCs w:val="22"/>
          <w:shd w:val="clear" w:color="auto" w:fill="FFFFFF"/>
        </w:rPr>
        <w:t>from</w:t>
      </w:r>
      <w:r w:rsidRPr="007B677D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the same patient via electrophoresis.</w:t>
      </w:r>
      <w:r w:rsidR="00EC2A86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Detects the phenotype</w:t>
      </w:r>
      <w:r w:rsidR="00986FE1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of MSI without providing further information as to the cause of the MSI (</w:t>
      </w:r>
      <w:proofErr w:type="spellStart"/>
      <w:r w:rsidR="00986FE1">
        <w:rPr>
          <w:rFonts w:ascii="Cambria" w:hAnsi="Cambria"/>
          <w:color w:val="000000"/>
          <w:sz w:val="22"/>
          <w:szCs w:val="22"/>
          <w:shd w:val="clear" w:color="auto" w:fill="FFFFFF"/>
        </w:rPr>
        <w:t>eg</w:t>
      </w:r>
      <w:proofErr w:type="spellEnd"/>
      <w:r w:rsidR="00986FE1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germline, methylation etc)</w:t>
      </w:r>
      <w:r w:rsidR="00EC2A86">
        <w:rPr>
          <w:rFonts w:ascii="Cambria" w:hAnsi="Cambria"/>
          <w:color w:val="000000"/>
          <w:sz w:val="22"/>
          <w:szCs w:val="22"/>
          <w:shd w:val="clear" w:color="auto" w:fill="FFFFFF"/>
        </w:rPr>
        <w:t>.</w:t>
      </w:r>
      <w:r w:rsidR="00651D6A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="0064199F" w:rsidRPr="00651D6A">
        <w:rPr>
          <w:rFonts w:ascii="Cambria" w:hAnsi="Cambria"/>
          <w:sz w:val="22"/>
          <w:szCs w:val="22"/>
          <w:lang w:val="en-US"/>
        </w:rPr>
        <w:t xml:space="preserve">A range of markers </w:t>
      </w:r>
      <w:r w:rsidR="00651D6A" w:rsidRPr="00651D6A">
        <w:rPr>
          <w:rFonts w:ascii="Cambria" w:hAnsi="Cambria"/>
          <w:sz w:val="22"/>
          <w:szCs w:val="22"/>
          <w:lang w:val="en-US"/>
        </w:rPr>
        <w:t>may be used</w:t>
      </w:r>
      <w:r w:rsidR="0064199F" w:rsidRPr="00651D6A">
        <w:rPr>
          <w:rFonts w:ascii="Cambria" w:hAnsi="Cambria"/>
          <w:sz w:val="22"/>
          <w:szCs w:val="22"/>
          <w:lang w:val="en-US"/>
        </w:rPr>
        <w:t xml:space="preserve"> </w:t>
      </w:r>
      <w:r w:rsidR="00705612" w:rsidRPr="00651D6A">
        <w:rPr>
          <w:rFonts w:ascii="Cambria" w:hAnsi="Cambria"/>
          <w:sz w:val="22"/>
          <w:szCs w:val="22"/>
          <w:lang w:val="en-US"/>
        </w:rPr>
        <w:t xml:space="preserve">but core panel </w:t>
      </w:r>
      <w:r w:rsidR="0064199F" w:rsidRPr="00651D6A">
        <w:rPr>
          <w:rFonts w:ascii="Cambria" w:hAnsi="Cambria"/>
          <w:color w:val="000000"/>
          <w:sz w:val="22"/>
          <w:szCs w:val="22"/>
          <w:shd w:val="clear" w:color="auto" w:fill="FFFFFF"/>
        </w:rPr>
        <w:t>recommended to be 5 microsatellite markers consisting of 2 mononucleotide markers and 3 dinucleotide markers (Boland et al</w:t>
      </w:r>
      <w:r w:rsidR="00E418B9">
        <w:rPr>
          <w:rFonts w:ascii="Cambria" w:hAnsi="Cambria"/>
          <w:color w:val="000000"/>
          <w:sz w:val="22"/>
          <w:szCs w:val="22"/>
          <w:shd w:val="clear" w:color="auto" w:fill="FFFFFF"/>
        </w:rPr>
        <w:t>,</w:t>
      </w:r>
      <w:r w:rsidR="0064199F" w:rsidRPr="00651D6A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1998)</w:t>
      </w:r>
      <w:r w:rsidR="00705612" w:rsidRPr="00651D6A">
        <w:rPr>
          <w:rFonts w:ascii="Cambria" w:hAnsi="Cambria"/>
          <w:color w:val="000000"/>
          <w:sz w:val="22"/>
          <w:szCs w:val="22"/>
          <w:shd w:val="clear" w:color="auto" w:fill="FFFFFF"/>
        </w:rPr>
        <w:t>:</w:t>
      </w:r>
    </w:p>
    <w:p w14:paraId="5F932BC3" w14:textId="436B7DA7" w:rsidR="0064199F" w:rsidRPr="007B677D" w:rsidRDefault="0064199F" w:rsidP="007C56FC">
      <w:pPr>
        <w:pStyle w:val="ListParagraph"/>
        <w:ind w:firstLine="360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473325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MSI-high:</w:t>
      </w:r>
      <w:r w:rsidRPr="007B677D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≥2 of core panel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, </w:t>
      </w:r>
      <w:r w:rsidRPr="007B677D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or &gt;30% of markers for other panels showing </w:t>
      </w:r>
      <w:r w:rsidR="00CF7484">
        <w:rPr>
          <w:rFonts w:ascii="Cambria" w:hAnsi="Cambria"/>
          <w:color w:val="000000"/>
          <w:sz w:val="22"/>
          <w:szCs w:val="22"/>
          <w:shd w:val="clear" w:color="auto" w:fill="FFFFFF"/>
        </w:rPr>
        <w:t>instability</w:t>
      </w:r>
    </w:p>
    <w:p w14:paraId="2C02CE27" w14:textId="77777777" w:rsidR="0064199F" w:rsidRPr="007B677D" w:rsidRDefault="0064199F" w:rsidP="007C56FC">
      <w:pPr>
        <w:pStyle w:val="ListParagraph"/>
        <w:ind w:firstLine="360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473325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MSI-low: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Pr="007B677D">
        <w:rPr>
          <w:rFonts w:ascii="Cambria" w:hAnsi="Cambria"/>
          <w:color w:val="000000"/>
          <w:sz w:val="22"/>
          <w:szCs w:val="22"/>
          <w:shd w:val="clear" w:color="auto" w:fill="FFFFFF"/>
        </w:rPr>
        <w:t>1 of core markers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>,</w:t>
      </w:r>
      <w:r w:rsidRPr="007B677D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or &lt;30% of markers for other panels showing instability</w:t>
      </w:r>
    </w:p>
    <w:p w14:paraId="2DFF1646" w14:textId="469AE6F2" w:rsidR="0064199F" w:rsidRPr="00446C99" w:rsidRDefault="0064199F" w:rsidP="00446C99">
      <w:pPr>
        <w:pStyle w:val="ListParagraph"/>
        <w:spacing w:after="240"/>
        <w:ind w:left="357" w:firstLine="720"/>
        <w:contextualSpacing w:val="0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473325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MSS: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Pr="007B677D">
        <w:rPr>
          <w:rFonts w:ascii="Cambria" w:hAnsi="Cambria"/>
          <w:color w:val="000000"/>
          <w:sz w:val="22"/>
          <w:szCs w:val="22"/>
          <w:shd w:val="clear" w:color="auto" w:fill="FFFFFF"/>
        </w:rPr>
        <w:t>0 markers showing instability</w:t>
      </w:r>
      <w:r w:rsidR="00C73F06">
        <w:rPr>
          <w:rFonts w:ascii="Cambria" w:hAnsi="Cambria"/>
          <w:color w:val="000000"/>
          <w:sz w:val="22"/>
          <w:szCs w:val="22"/>
          <w:shd w:val="clear" w:color="auto" w:fill="FFFFFF"/>
        </w:rPr>
        <w:t>.</w:t>
      </w:r>
    </w:p>
    <w:p w14:paraId="50301536" w14:textId="6A8859E1" w:rsidR="00651D6A" w:rsidRPr="00446C99" w:rsidRDefault="00330A00" w:rsidP="00446C99">
      <w:pPr>
        <w:pStyle w:val="ListParagraph"/>
        <w:numPr>
          <w:ilvl w:val="1"/>
          <w:numId w:val="14"/>
        </w:numPr>
        <w:spacing w:after="24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Next </w:t>
      </w:r>
      <w:r w:rsidRPr="00330A00">
        <w:rPr>
          <w:rFonts w:ascii="Cambria" w:hAnsi="Cambria"/>
          <w:sz w:val="22"/>
          <w:szCs w:val="22"/>
          <w:lang w:val="en-US"/>
        </w:rPr>
        <w:t>generation sequencing (NGS)</w:t>
      </w:r>
      <w:r w:rsidR="00CF7484">
        <w:rPr>
          <w:rFonts w:ascii="Cambria" w:hAnsi="Cambria"/>
          <w:sz w:val="22"/>
          <w:szCs w:val="22"/>
          <w:lang w:val="en-US"/>
        </w:rPr>
        <w:t>:</w:t>
      </w:r>
      <w:r w:rsidR="001133BD">
        <w:rPr>
          <w:rFonts w:ascii="Cambria" w:hAnsi="Cambria"/>
          <w:sz w:val="22"/>
          <w:szCs w:val="22"/>
          <w:lang w:val="en-US"/>
        </w:rPr>
        <w:t xml:space="preserve"> </w:t>
      </w:r>
      <w:r w:rsidR="00CF7484">
        <w:rPr>
          <w:rFonts w:ascii="Cambria" w:hAnsi="Cambria"/>
          <w:sz w:val="22"/>
          <w:szCs w:val="22"/>
          <w:lang w:val="en-US"/>
        </w:rPr>
        <w:t>m</w:t>
      </w:r>
      <w:r w:rsidR="00027BC6" w:rsidRPr="001133BD">
        <w:rPr>
          <w:rFonts w:ascii="Cambria" w:hAnsi="Cambria"/>
          <w:sz w:val="22"/>
          <w:szCs w:val="22"/>
          <w:lang w:val="en-US"/>
        </w:rPr>
        <w:t xml:space="preserve">ultiple reports of different panels </w:t>
      </w:r>
      <w:r w:rsidR="001133BD">
        <w:rPr>
          <w:rFonts w:ascii="Cambria" w:hAnsi="Cambria"/>
          <w:sz w:val="22"/>
          <w:szCs w:val="22"/>
          <w:lang w:val="en-US"/>
        </w:rPr>
        <w:t>demonstrating clinical validity of specific methodology and this approach</w:t>
      </w:r>
      <w:r w:rsidR="001133BD" w:rsidRPr="001133BD">
        <w:rPr>
          <w:rFonts w:ascii="Cambria" w:hAnsi="Cambria"/>
          <w:sz w:val="22"/>
          <w:szCs w:val="22"/>
          <w:lang w:val="en-US"/>
        </w:rPr>
        <w:t xml:space="preserve"> for detection of MSI</w:t>
      </w:r>
      <w:r w:rsidR="001133BD">
        <w:rPr>
          <w:rFonts w:ascii="Cambria" w:hAnsi="Cambria"/>
          <w:sz w:val="22"/>
          <w:szCs w:val="22"/>
          <w:lang w:val="en-US"/>
        </w:rPr>
        <w:t xml:space="preserve"> for Lynch syndrome (</w:t>
      </w:r>
      <w:r w:rsidR="00C55BA2" w:rsidRPr="001133BD">
        <w:rPr>
          <w:rFonts w:ascii="Cambria" w:hAnsi="Cambria"/>
          <w:sz w:val="22"/>
          <w:szCs w:val="22"/>
          <w:lang w:val="en-US"/>
        </w:rPr>
        <w:t>e.g.</w:t>
      </w:r>
      <w:r w:rsidR="001133BD" w:rsidRPr="001133BD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1133BD" w:rsidRPr="001133BD">
        <w:rPr>
          <w:rFonts w:ascii="Cambria" w:hAnsi="Cambria"/>
          <w:sz w:val="22"/>
          <w:szCs w:val="22"/>
          <w:lang w:val="en-US"/>
        </w:rPr>
        <w:t>MSIsensor</w:t>
      </w:r>
      <w:proofErr w:type="spellEnd"/>
      <w:r w:rsidR="001133BD" w:rsidRPr="001133BD">
        <w:rPr>
          <w:rFonts w:ascii="Cambria" w:hAnsi="Cambria"/>
          <w:sz w:val="22"/>
          <w:szCs w:val="22"/>
          <w:lang w:val="en-US"/>
        </w:rPr>
        <w:t xml:space="preserve"> which is a software tool that quantifies MSI in p</w:t>
      </w:r>
      <w:r w:rsidR="00621F1A">
        <w:rPr>
          <w:rFonts w:ascii="Cambria" w:hAnsi="Cambria"/>
          <w:sz w:val="22"/>
          <w:szCs w:val="22"/>
          <w:lang w:val="en-US"/>
        </w:rPr>
        <w:t xml:space="preserve">aired </w:t>
      </w:r>
      <w:proofErr w:type="spellStart"/>
      <w:r w:rsidR="00621F1A">
        <w:rPr>
          <w:rFonts w:ascii="Cambria" w:hAnsi="Cambria"/>
          <w:sz w:val="22"/>
          <w:szCs w:val="22"/>
          <w:lang w:val="en-US"/>
        </w:rPr>
        <w:t>tumour</w:t>
      </w:r>
      <w:proofErr w:type="spellEnd"/>
      <w:r w:rsidR="00621F1A">
        <w:rPr>
          <w:rFonts w:ascii="Cambria" w:hAnsi="Cambria"/>
          <w:sz w:val="22"/>
          <w:szCs w:val="22"/>
          <w:lang w:val="en-US"/>
        </w:rPr>
        <w:t>-</w:t>
      </w:r>
      <w:r w:rsidR="001133BD" w:rsidRPr="001133BD">
        <w:rPr>
          <w:rFonts w:ascii="Cambria" w:hAnsi="Cambria"/>
          <w:sz w:val="22"/>
          <w:szCs w:val="22"/>
          <w:lang w:val="en-US"/>
        </w:rPr>
        <w:t>normal genome sequencing data – high concordance with IHC</w:t>
      </w:r>
      <w:r w:rsidR="00BC6862">
        <w:rPr>
          <w:rFonts w:ascii="Cambria" w:hAnsi="Cambria"/>
          <w:sz w:val="22"/>
          <w:szCs w:val="22"/>
          <w:lang w:val="en-US"/>
        </w:rPr>
        <w:t>, with</w:t>
      </w:r>
      <w:r w:rsidR="001133BD" w:rsidRPr="001133BD">
        <w:rPr>
          <w:rFonts w:ascii="Cambria" w:hAnsi="Cambria"/>
          <w:sz w:val="22"/>
          <w:szCs w:val="22"/>
          <w:lang w:val="en-US"/>
        </w:rPr>
        <w:t xml:space="preserve"> </w:t>
      </w:r>
      <w:r w:rsidR="001133BD" w:rsidRPr="001133BD">
        <w:rPr>
          <w:rFonts w:ascii="Cambria" w:hAnsi="Cambria"/>
          <w:sz w:val="22"/>
          <w:szCs w:val="22"/>
        </w:rPr>
        <w:t xml:space="preserve">56/57 MSI-H tumours demonstrated IHC </w:t>
      </w:r>
      <w:r w:rsidR="00BC6862">
        <w:rPr>
          <w:rFonts w:ascii="Cambria" w:hAnsi="Cambria"/>
          <w:sz w:val="22"/>
          <w:szCs w:val="22"/>
        </w:rPr>
        <w:t xml:space="preserve">dMMR </w:t>
      </w:r>
      <w:r w:rsidR="001133BD" w:rsidRPr="001133BD">
        <w:rPr>
          <w:rFonts w:ascii="Cambria" w:hAnsi="Cambria"/>
          <w:sz w:val="22"/>
          <w:szCs w:val="22"/>
        </w:rPr>
        <w:t>abnormality (Latham et al, 2018)</w:t>
      </w:r>
      <w:r w:rsidR="001133BD">
        <w:rPr>
          <w:rFonts w:ascii="Cambria" w:hAnsi="Cambria"/>
          <w:sz w:val="22"/>
          <w:szCs w:val="22"/>
          <w:lang w:val="en-US"/>
        </w:rPr>
        <w:t>. Defin</w:t>
      </w:r>
      <w:r w:rsidR="007C0A80">
        <w:rPr>
          <w:rFonts w:ascii="Cambria" w:hAnsi="Cambria"/>
          <w:sz w:val="22"/>
          <w:szCs w:val="22"/>
          <w:lang w:val="en-US"/>
        </w:rPr>
        <w:t>i</w:t>
      </w:r>
      <w:r w:rsidR="001133BD">
        <w:rPr>
          <w:rFonts w:ascii="Cambria" w:hAnsi="Cambria"/>
          <w:sz w:val="22"/>
          <w:szCs w:val="22"/>
          <w:lang w:val="en-US"/>
        </w:rPr>
        <w:t>tion of MSI-high</w:t>
      </w:r>
      <w:r w:rsidR="007C0A80">
        <w:rPr>
          <w:rFonts w:ascii="Cambria" w:hAnsi="Cambria"/>
          <w:sz w:val="22"/>
          <w:szCs w:val="22"/>
          <w:lang w:val="en-US"/>
        </w:rPr>
        <w:t xml:space="preserve"> varies by panel used</w:t>
      </w:r>
      <w:r w:rsidR="00F2791E">
        <w:rPr>
          <w:rFonts w:ascii="Cambria" w:hAnsi="Cambria"/>
          <w:sz w:val="22"/>
          <w:szCs w:val="22"/>
          <w:lang w:val="en-US"/>
        </w:rPr>
        <w:t>, and the reference standard depends upon the purpose of the test e.g. establishing MSI status, screening patients with Lynch syndrome</w:t>
      </w:r>
      <w:r w:rsidR="007C0A80">
        <w:rPr>
          <w:rFonts w:ascii="Cambria" w:hAnsi="Cambria"/>
          <w:sz w:val="22"/>
          <w:szCs w:val="22"/>
          <w:lang w:val="en-US"/>
        </w:rPr>
        <w:t>.</w:t>
      </w:r>
    </w:p>
    <w:p w14:paraId="15972D04" w14:textId="6AF0919C" w:rsidR="00067F94" w:rsidRPr="00067F94" w:rsidRDefault="00193DB4" w:rsidP="00AF1909">
      <w:pPr>
        <w:pStyle w:val="Heading4"/>
      </w:pPr>
      <w:r w:rsidRPr="0050607D">
        <w:t>Benefits</w:t>
      </w:r>
      <w:r w:rsidR="0064199F" w:rsidRPr="0050607D">
        <w:t xml:space="preserve"> of PCR</w:t>
      </w:r>
      <w:r w:rsidR="005C0D80">
        <w:t xml:space="preserve"> method</w:t>
      </w:r>
    </w:p>
    <w:p w14:paraId="41D1C91F" w14:textId="219EDBCF" w:rsidR="00067F94" w:rsidRDefault="00067F94" w:rsidP="00774582">
      <w:pPr>
        <w:pStyle w:val="ListParagraph"/>
        <w:keepNext/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Complementary with IHC (IHC may not detect missense mutations as protein may be expressed but not functional)</w:t>
      </w:r>
      <w:r w:rsidR="00CF7484">
        <w:rPr>
          <w:rFonts w:ascii="Cambria" w:hAnsi="Cambria"/>
          <w:sz w:val="22"/>
          <w:szCs w:val="22"/>
        </w:rPr>
        <w:t>.</w:t>
      </w:r>
    </w:p>
    <w:p w14:paraId="7A81B02C" w14:textId="05EA3A48" w:rsidR="00067F94" w:rsidRPr="00E14237" w:rsidRDefault="00E14237" w:rsidP="007C56F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High concordance with IHC for </w:t>
      </w:r>
      <w:r w:rsidRPr="00BB12B3">
        <w:rPr>
          <w:rFonts w:ascii="Cambria" w:hAnsi="Cambria"/>
          <w:sz w:val="22"/>
          <w:szCs w:val="22"/>
        </w:rPr>
        <w:t>MLH1</w:t>
      </w:r>
      <w:r>
        <w:rPr>
          <w:rFonts w:ascii="Cambria" w:hAnsi="Cambria"/>
          <w:sz w:val="22"/>
          <w:szCs w:val="22"/>
        </w:rPr>
        <w:t xml:space="preserve"> and </w:t>
      </w:r>
      <w:r w:rsidRPr="00BB12B3">
        <w:rPr>
          <w:rFonts w:ascii="Cambria" w:hAnsi="Cambria"/>
          <w:sz w:val="22"/>
          <w:szCs w:val="22"/>
        </w:rPr>
        <w:t>MSH2</w:t>
      </w:r>
      <w:r>
        <w:rPr>
          <w:rFonts w:ascii="Cambria" w:hAnsi="Cambria"/>
          <w:sz w:val="22"/>
          <w:szCs w:val="22"/>
        </w:rPr>
        <w:t xml:space="preserve"> loss of </w:t>
      </w:r>
      <w:r w:rsidR="00BB12B3">
        <w:rPr>
          <w:rFonts w:ascii="Cambria" w:hAnsi="Cambria"/>
          <w:sz w:val="22"/>
          <w:szCs w:val="22"/>
        </w:rPr>
        <w:t xml:space="preserve">protein </w:t>
      </w:r>
      <w:r>
        <w:rPr>
          <w:rFonts w:ascii="Cambria" w:hAnsi="Cambria"/>
          <w:sz w:val="22"/>
          <w:szCs w:val="22"/>
        </w:rPr>
        <w:t xml:space="preserve">expression </w:t>
      </w:r>
      <w:r w:rsidR="0064199F">
        <w:rPr>
          <w:rFonts w:ascii="Cambria" w:hAnsi="Cambria"/>
          <w:sz w:val="22"/>
          <w:szCs w:val="22"/>
        </w:rPr>
        <w:t>in colorectal cancer (</w:t>
      </w:r>
      <w:r>
        <w:rPr>
          <w:rFonts w:ascii="Cambria" w:hAnsi="Cambria"/>
          <w:sz w:val="22"/>
          <w:szCs w:val="22"/>
        </w:rPr>
        <w:t xml:space="preserve">Lindor, 2002; </w:t>
      </w:r>
      <w:r w:rsidR="0064199F">
        <w:rPr>
          <w:rFonts w:ascii="Cambria" w:hAnsi="Cambria"/>
          <w:sz w:val="22"/>
          <w:szCs w:val="22"/>
        </w:rPr>
        <w:t>Shia, 2015)</w:t>
      </w:r>
      <w:r w:rsidR="00705612">
        <w:rPr>
          <w:rFonts w:ascii="Cambria" w:hAnsi="Cambria"/>
          <w:sz w:val="22"/>
          <w:szCs w:val="22"/>
        </w:rPr>
        <w:t>; less certain</w:t>
      </w:r>
      <w:r>
        <w:rPr>
          <w:rFonts w:ascii="Cambria" w:hAnsi="Cambria"/>
          <w:sz w:val="22"/>
          <w:szCs w:val="22"/>
        </w:rPr>
        <w:t xml:space="preserve">ty regarding correlation with loss of MSH6 </w:t>
      </w:r>
      <w:r>
        <w:rPr>
          <w:rFonts w:ascii="Cambria" w:hAnsi="Cambria"/>
          <w:sz w:val="22"/>
          <w:szCs w:val="22"/>
        </w:rPr>
        <w:lastRenderedPageBreak/>
        <w:t>and PMS2 protein expression, especially</w:t>
      </w:r>
      <w:r w:rsidR="00705612">
        <w:rPr>
          <w:rFonts w:ascii="Cambria" w:hAnsi="Cambria"/>
          <w:sz w:val="22"/>
          <w:szCs w:val="22"/>
        </w:rPr>
        <w:t xml:space="preserve"> in other dMMR-related cancers</w:t>
      </w:r>
      <w:r w:rsidR="00BA0A68">
        <w:rPr>
          <w:rFonts w:ascii="Cambria" w:hAnsi="Cambria"/>
          <w:sz w:val="22"/>
          <w:szCs w:val="22"/>
        </w:rPr>
        <w:t xml:space="preserve"> (</w:t>
      </w:r>
      <w:r w:rsidR="00AB00FE">
        <w:rPr>
          <w:rFonts w:ascii="Cambria" w:hAnsi="Cambria"/>
          <w:sz w:val="22"/>
          <w:szCs w:val="22"/>
        </w:rPr>
        <w:t>NGS may be better for endometrial cancer MSI detection</w:t>
      </w:r>
      <w:r w:rsidR="00EB6AA2">
        <w:rPr>
          <w:rFonts w:ascii="Cambria" w:hAnsi="Cambria"/>
          <w:sz w:val="22"/>
          <w:szCs w:val="22"/>
        </w:rPr>
        <w:t xml:space="preserve"> </w:t>
      </w:r>
      <w:r w:rsidR="00AB00FE">
        <w:rPr>
          <w:rFonts w:ascii="Cambria" w:hAnsi="Cambria"/>
          <w:sz w:val="22"/>
          <w:szCs w:val="22"/>
        </w:rPr>
        <w:t>(</w:t>
      </w:r>
      <w:proofErr w:type="spellStart"/>
      <w:r w:rsidR="00BA0A68">
        <w:rPr>
          <w:rFonts w:ascii="Cambria" w:hAnsi="Cambria"/>
          <w:sz w:val="22"/>
          <w:szCs w:val="22"/>
        </w:rPr>
        <w:t>Kunitom</w:t>
      </w:r>
      <w:r w:rsidR="00AB00FE">
        <w:rPr>
          <w:rFonts w:ascii="Cambria" w:hAnsi="Cambria"/>
          <w:sz w:val="22"/>
          <w:szCs w:val="22"/>
        </w:rPr>
        <w:t>i</w:t>
      </w:r>
      <w:proofErr w:type="spellEnd"/>
      <w:r w:rsidR="00AB00FE">
        <w:rPr>
          <w:rFonts w:ascii="Cambria" w:hAnsi="Cambria"/>
          <w:sz w:val="22"/>
          <w:szCs w:val="22"/>
        </w:rPr>
        <w:t xml:space="preserve"> et al</w:t>
      </w:r>
      <w:r w:rsidR="00E418B9">
        <w:rPr>
          <w:rFonts w:ascii="Cambria" w:hAnsi="Cambria"/>
          <w:sz w:val="22"/>
          <w:szCs w:val="22"/>
        </w:rPr>
        <w:t>,</w:t>
      </w:r>
      <w:r w:rsidR="00AB00FE">
        <w:rPr>
          <w:rFonts w:ascii="Cambria" w:hAnsi="Cambria"/>
          <w:sz w:val="22"/>
          <w:szCs w:val="22"/>
        </w:rPr>
        <w:t xml:space="preserve"> 2017))</w:t>
      </w:r>
      <w:r w:rsidR="00CF7484">
        <w:rPr>
          <w:rFonts w:ascii="Cambria" w:hAnsi="Cambria"/>
          <w:sz w:val="22"/>
          <w:szCs w:val="22"/>
        </w:rPr>
        <w:t>.</w:t>
      </w:r>
    </w:p>
    <w:p w14:paraId="09C3BEBE" w14:textId="2A4CCBE9" w:rsidR="0064199F" w:rsidRDefault="00EC0976" w:rsidP="007C56F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64199F">
        <w:rPr>
          <w:rFonts w:ascii="Cambria" w:hAnsi="Cambria"/>
          <w:sz w:val="22"/>
          <w:szCs w:val="22"/>
        </w:rPr>
        <w:t>Identifies if tumour associated with dMMR</w:t>
      </w:r>
      <w:r w:rsidR="00712120" w:rsidRPr="0064199F">
        <w:rPr>
          <w:rFonts w:ascii="Cambria" w:hAnsi="Cambria"/>
          <w:sz w:val="22"/>
          <w:szCs w:val="22"/>
        </w:rPr>
        <w:t xml:space="preserve"> (important for </w:t>
      </w:r>
      <w:r w:rsidR="0064199F">
        <w:rPr>
          <w:rFonts w:ascii="Cambria" w:hAnsi="Cambria"/>
          <w:sz w:val="22"/>
          <w:szCs w:val="22"/>
        </w:rPr>
        <w:t xml:space="preserve">detection of </w:t>
      </w:r>
      <w:r w:rsidR="00712120" w:rsidRPr="0064199F">
        <w:rPr>
          <w:rFonts w:ascii="Cambria" w:hAnsi="Cambria"/>
          <w:sz w:val="22"/>
          <w:szCs w:val="22"/>
        </w:rPr>
        <w:t>sporadic cancers in Lynch sy</w:t>
      </w:r>
      <w:r w:rsidR="00C73F06">
        <w:rPr>
          <w:rFonts w:ascii="Cambria" w:hAnsi="Cambria"/>
          <w:sz w:val="22"/>
          <w:szCs w:val="22"/>
        </w:rPr>
        <w:t>ndrome</w:t>
      </w:r>
      <w:r w:rsidR="00712120" w:rsidRPr="0064199F">
        <w:rPr>
          <w:rFonts w:ascii="Cambria" w:hAnsi="Cambria"/>
          <w:sz w:val="22"/>
          <w:szCs w:val="22"/>
        </w:rPr>
        <w:t xml:space="preserve"> patients)</w:t>
      </w:r>
      <w:r w:rsidR="00CF7484">
        <w:rPr>
          <w:rFonts w:ascii="Cambria" w:hAnsi="Cambria"/>
          <w:sz w:val="22"/>
          <w:szCs w:val="22"/>
        </w:rPr>
        <w:t>.</w:t>
      </w:r>
    </w:p>
    <w:p w14:paraId="4E74C8CC" w14:textId="57BDBC48" w:rsidR="0064199F" w:rsidRDefault="0052351B" w:rsidP="007C56F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64199F">
        <w:rPr>
          <w:rFonts w:ascii="Cambria" w:hAnsi="Cambria"/>
          <w:sz w:val="22"/>
          <w:szCs w:val="22"/>
        </w:rPr>
        <w:t>Identifies MSI status regardless of protein function (</w:t>
      </w:r>
      <w:proofErr w:type="spellStart"/>
      <w:r w:rsidRPr="0064199F">
        <w:rPr>
          <w:rFonts w:ascii="Cambria" w:hAnsi="Cambria"/>
          <w:sz w:val="22"/>
          <w:szCs w:val="22"/>
        </w:rPr>
        <w:t>cf</w:t>
      </w:r>
      <w:proofErr w:type="spellEnd"/>
      <w:r w:rsidRPr="0064199F">
        <w:rPr>
          <w:rFonts w:ascii="Cambria" w:hAnsi="Cambria"/>
          <w:sz w:val="22"/>
          <w:szCs w:val="22"/>
        </w:rPr>
        <w:t xml:space="preserve"> IHC)</w:t>
      </w:r>
      <w:r w:rsidR="00CF7484">
        <w:rPr>
          <w:rFonts w:ascii="Cambria" w:hAnsi="Cambria"/>
          <w:sz w:val="22"/>
          <w:szCs w:val="22"/>
        </w:rPr>
        <w:t>.</w:t>
      </w:r>
    </w:p>
    <w:p w14:paraId="1306BF77" w14:textId="557DA1B9" w:rsidR="0064199F" w:rsidRDefault="0052351B" w:rsidP="007C56FC">
      <w:pPr>
        <w:pStyle w:val="ListParagraph"/>
        <w:numPr>
          <w:ilvl w:val="0"/>
          <w:numId w:val="19"/>
        </w:numPr>
        <w:jc w:val="both"/>
        <w:rPr>
          <w:rFonts w:ascii="Cambria" w:hAnsi="Cambria"/>
          <w:sz w:val="22"/>
          <w:szCs w:val="22"/>
        </w:rPr>
      </w:pPr>
      <w:r w:rsidRPr="0064199F">
        <w:rPr>
          <w:rFonts w:ascii="Cambria" w:hAnsi="Cambria"/>
          <w:sz w:val="22"/>
          <w:szCs w:val="22"/>
        </w:rPr>
        <w:t>Requires small sample (Zhang et al</w:t>
      </w:r>
      <w:r w:rsidR="00E418B9">
        <w:rPr>
          <w:rFonts w:ascii="Cambria" w:hAnsi="Cambria"/>
          <w:sz w:val="22"/>
          <w:szCs w:val="22"/>
        </w:rPr>
        <w:t>,</w:t>
      </w:r>
      <w:r w:rsidRPr="0064199F">
        <w:rPr>
          <w:rFonts w:ascii="Cambria" w:hAnsi="Cambria"/>
          <w:sz w:val="22"/>
          <w:szCs w:val="22"/>
        </w:rPr>
        <w:t xml:space="preserve"> 2008)</w:t>
      </w:r>
      <w:r w:rsidR="00CF7484">
        <w:rPr>
          <w:rFonts w:ascii="Cambria" w:hAnsi="Cambria"/>
          <w:sz w:val="22"/>
          <w:szCs w:val="22"/>
        </w:rPr>
        <w:t>.</w:t>
      </w:r>
    </w:p>
    <w:p w14:paraId="20EC02E9" w14:textId="3793A3AA" w:rsidR="0083647A" w:rsidRPr="00446C99" w:rsidRDefault="000C35B8" w:rsidP="00446C99">
      <w:pPr>
        <w:pStyle w:val="ListParagraph"/>
        <w:numPr>
          <w:ilvl w:val="0"/>
          <w:numId w:val="19"/>
        </w:numPr>
        <w:spacing w:after="240"/>
        <w:jc w:val="both"/>
        <w:rPr>
          <w:rFonts w:ascii="Cambria" w:hAnsi="Cambria"/>
          <w:sz w:val="22"/>
          <w:szCs w:val="22"/>
        </w:rPr>
      </w:pPr>
      <w:r w:rsidRPr="0064199F">
        <w:rPr>
          <w:rFonts w:ascii="Cambria" w:hAnsi="Cambria"/>
          <w:sz w:val="22"/>
          <w:szCs w:val="22"/>
        </w:rPr>
        <w:t>High r</w:t>
      </w:r>
      <w:r w:rsidR="0052351B" w:rsidRPr="0064199F">
        <w:rPr>
          <w:rFonts w:ascii="Cambria" w:hAnsi="Cambria"/>
          <w:sz w:val="22"/>
          <w:szCs w:val="22"/>
        </w:rPr>
        <w:t>eproducibility (Zhang et al</w:t>
      </w:r>
      <w:r w:rsidR="00E418B9">
        <w:rPr>
          <w:rFonts w:ascii="Cambria" w:hAnsi="Cambria"/>
          <w:sz w:val="22"/>
          <w:szCs w:val="22"/>
        </w:rPr>
        <w:t>,</w:t>
      </w:r>
      <w:r w:rsidR="0052351B" w:rsidRPr="0064199F">
        <w:rPr>
          <w:rFonts w:ascii="Cambria" w:hAnsi="Cambria"/>
          <w:sz w:val="22"/>
          <w:szCs w:val="22"/>
        </w:rPr>
        <w:t xml:space="preserve"> 2008)</w:t>
      </w:r>
      <w:r w:rsidR="00CF7484">
        <w:rPr>
          <w:rFonts w:ascii="Cambria" w:hAnsi="Cambria"/>
          <w:sz w:val="22"/>
          <w:szCs w:val="22"/>
        </w:rPr>
        <w:t>.</w:t>
      </w:r>
    </w:p>
    <w:p w14:paraId="4E4C3E59" w14:textId="718DCF76" w:rsidR="007F4F78" w:rsidRPr="00FE4A7F" w:rsidRDefault="007F4F78" w:rsidP="00AF1909">
      <w:pPr>
        <w:pStyle w:val="Heading4"/>
      </w:pPr>
      <w:r w:rsidRPr="00FE4A7F">
        <w:t>Benefits of NGS</w:t>
      </w:r>
      <w:r w:rsidR="005C0D80">
        <w:t xml:space="preserve"> method</w:t>
      </w:r>
    </w:p>
    <w:p w14:paraId="2E96FDC8" w14:textId="009EEBD6" w:rsidR="00FE4A7F" w:rsidRDefault="00FE4A7F" w:rsidP="00774582">
      <w:pPr>
        <w:pStyle w:val="ListParagraph"/>
        <w:keepNext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Does not require tumour microdissection </w:t>
      </w:r>
      <w:proofErr w:type="spellStart"/>
      <w:r>
        <w:rPr>
          <w:rFonts w:ascii="Cambria" w:hAnsi="Cambria"/>
          <w:sz w:val="22"/>
          <w:szCs w:val="22"/>
        </w:rPr>
        <w:t>cf</w:t>
      </w:r>
      <w:proofErr w:type="spellEnd"/>
      <w:r>
        <w:rPr>
          <w:rFonts w:ascii="Cambria" w:hAnsi="Cambria"/>
          <w:sz w:val="22"/>
          <w:szCs w:val="22"/>
        </w:rPr>
        <w:t xml:space="preserve"> PCR</w:t>
      </w:r>
      <w:r w:rsidR="00CF7484">
        <w:rPr>
          <w:rFonts w:ascii="Cambria" w:hAnsi="Cambria"/>
          <w:sz w:val="22"/>
          <w:szCs w:val="22"/>
        </w:rPr>
        <w:t>.</w:t>
      </w:r>
    </w:p>
    <w:p w14:paraId="72BED90B" w14:textId="04DB41A8" w:rsidR="00FE4A7F" w:rsidRDefault="00FE4A7F" w:rsidP="007C56FC">
      <w:pPr>
        <w:pStyle w:val="ListParagraph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Requires small</w:t>
      </w:r>
      <w:r w:rsidR="00750CEE">
        <w:rPr>
          <w:rFonts w:ascii="Cambria" w:hAnsi="Cambria"/>
          <w:sz w:val="22"/>
          <w:szCs w:val="22"/>
        </w:rPr>
        <w:t>er</w:t>
      </w:r>
      <w:r>
        <w:rPr>
          <w:rFonts w:ascii="Cambria" w:hAnsi="Cambria"/>
          <w:sz w:val="22"/>
          <w:szCs w:val="22"/>
        </w:rPr>
        <w:t xml:space="preserve"> sample</w:t>
      </w:r>
      <w:r w:rsidR="00750CEE">
        <w:rPr>
          <w:rFonts w:ascii="Cambria" w:hAnsi="Cambria"/>
          <w:sz w:val="22"/>
          <w:szCs w:val="22"/>
        </w:rPr>
        <w:t xml:space="preserve"> </w:t>
      </w:r>
      <w:proofErr w:type="spellStart"/>
      <w:r w:rsidR="00750CEE">
        <w:rPr>
          <w:rFonts w:ascii="Cambria" w:hAnsi="Cambria"/>
          <w:sz w:val="22"/>
          <w:szCs w:val="22"/>
        </w:rPr>
        <w:t>cf</w:t>
      </w:r>
      <w:proofErr w:type="spellEnd"/>
      <w:r w:rsidR="00750CEE">
        <w:rPr>
          <w:rFonts w:ascii="Cambria" w:hAnsi="Cambria"/>
          <w:sz w:val="22"/>
          <w:szCs w:val="22"/>
        </w:rPr>
        <w:t xml:space="preserve"> IHC</w:t>
      </w:r>
      <w:r w:rsidR="00CF7484">
        <w:rPr>
          <w:rFonts w:ascii="Cambria" w:hAnsi="Cambria"/>
          <w:sz w:val="22"/>
          <w:szCs w:val="22"/>
        </w:rPr>
        <w:t>.</w:t>
      </w:r>
    </w:p>
    <w:p w14:paraId="265C381A" w14:textId="3A4FA6FD" w:rsidR="0083647A" w:rsidRPr="0083647A" w:rsidRDefault="00750CEE" w:rsidP="007C56FC">
      <w:pPr>
        <w:pStyle w:val="ListParagraph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Potentially faster result</w:t>
      </w:r>
      <w:r w:rsidR="00CF7484">
        <w:rPr>
          <w:rFonts w:ascii="Cambria" w:hAnsi="Cambria"/>
          <w:sz w:val="22"/>
          <w:szCs w:val="22"/>
        </w:rPr>
        <w:t>.</w:t>
      </w:r>
    </w:p>
    <w:p w14:paraId="7FA34643" w14:textId="6D8E337B" w:rsidR="00AE6930" w:rsidRPr="00FE4A7F" w:rsidRDefault="00AE6930" w:rsidP="007C56FC">
      <w:pPr>
        <w:pStyle w:val="ListParagraph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Poten</w:t>
      </w:r>
      <w:r w:rsidR="00926261">
        <w:rPr>
          <w:rFonts w:ascii="Cambria" w:hAnsi="Cambria"/>
          <w:sz w:val="22"/>
          <w:szCs w:val="22"/>
        </w:rPr>
        <w:t>ti</w:t>
      </w:r>
      <w:r>
        <w:rPr>
          <w:rFonts w:ascii="Cambria" w:hAnsi="Cambria"/>
          <w:sz w:val="22"/>
          <w:szCs w:val="22"/>
        </w:rPr>
        <w:t xml:space="preserve">ally more accurate methodology than MSI PCR for detection of </w:t>
      </w:r>
      <w:r w:rsidR="00CF7484">
        <w:rPr>
          <w:rFonts w:ascii="Cambria" w:hAnsi="Cambria"/>
          <w:sz w:val="22"/>
          <w:szCs w:val="22"/>
        </w:rPr>
        <w:t>MSI-high status in some cancers</w:t>
      </w:r>
      <w:r>
        <w:rPr>
          <w:rFonts w:ascii="Cambria" w:hAnsi="Cambria"/>
          <w:sz w:val="22"/>
          <w:szCs w:val="22"/>
        </w:rPr>
        <w:t xml:space="preserve"> (</w:t>
      </w:r>
      <w:proofErr w:type="spellStart"/>
      <w:r w:rsidR="00ED56AE">
        <w:rPr>
          <w:rFonts w:ascii="Cambria" w:hAnsi="Cambria"/>
          <w:sz w:val="22"/>
          <w:szCs w:val="22"/>
        </w:rPr>
        <w:t>Hause</w:t>
      </w:r>
      <w:proofErr w:type="spellEnd"/>
      <w:r w:rsidR="00ED56AE">
        <w:rPr>
          <w:rFonts w:ascii="Cambria" w:hAnsi="Cambria"/>
          <w:sz w:val="22"/>
          <w:szCs w:val="22"/>
        </w:rPr>
        <w:t xml:space="preserve"> et al, 2016; </w:t>
      </w:r>
      <w:proofErr w:type="spellStart"/>
      <w:r>
        <w:rPr>
          <w:rFonts w:ascii="Cambria" w:hAnsi="Cambria"/>
          <w:sz w:val="22"/>
          <w:szCs w:val="22"/>
        </w:rPr>
        <w:t>Kunitomi</w:t>
      </w:r>
      <w:proofErr w:type="spellEnd"/>
      <w:r>
        <w:rPr>
          <w:rFonts w:ascii="Cambria" w:hAnsi="Cambria"/>
          <w:sz w:val="22"/>
          <w:szCs w:val="22"/>
        </w:rPr>
        <w:t xml:space="preserve"> et al</w:t>
      </w:r>
      <w:r w:rsidR="00E418B9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2017)</w:t>
      </w:r>
      <w:r w:rsidR="00CF7484">
        <w:rPr>
          <w:rFonts w:ascii="Cambria" w:hAnsi="Cambria"/>
          <w:sz w:val="22"/>
          <w:szCs w:val="22"/>
        </w:rPr>
        <w:t>?</w:t>
      </w:r>
    </w:p>
    <w:p w14:paraId="143FF847" w14:textId="52D967D7" w:rsidR="005D1972" w:rsidRDefault="005D1972" w:rsidP="007C56FC">
      <w:pPr>
        <w:pStyle w:val="ListParagraph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Allows large scale testing to be undertaken, esp</w:t>
      </w:r>
      <w:r w:rsidR="00C73F06">
        <w:rPr>
          <w:rFonts w:ascii="Cambria" w:hAnsi="Cambria"/>
          <w:sz w:val="22"/>
          <w:szCs w:val="22"/>
        </w:rPr>
        <w:t>ecially</w:t>
      </w:r>
      <w:r>
        <w:rPr>
          <w:rFonts w:ascii="Cambria" w:hAnsi="Cambria"/>
          <w:sz w:val="22"/>
          <w:szCs w:val="22"/>
        </w:rPr>
        <w:t xml:space="preserve"> where looking for dMMR where lower incidence cancers</w:t>
      </w:r>
      <w:r w:rsidR="00CF7484">
        <w:rPr>
          <w:rFonts w:ascii="Cambria" w:hAnsi="Cambria"/>
          <w:sz w:val="22"/>
          <w:szCs w:val="22"/>
        </w:rPr>
        <w:t>.</w:t>
      </w:r>
    </w:p>
    <w:p w14:paraId="752489B7" w14:textId="1B659740" w:rsidR="005D1972" w:rsidRDefault="005D1972" w:rsidP="007C56FC">
      <w:pPr>
        <w:pStyle w:val="ListParagraph"/>
        <w:numPr>
          <w:ilvl w:val="0"/>
          <w:numId w:val="2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Potentially removes stepwise approach by allowing direct initial inclusion or immediate reflex testing for MSI high/low patients for Lynch syndrome detection - subject to consent and resource considerations.</w:t>
      </w:r>
    </w:p>
    <w:p w14:paraId="269B517E" w14:textId="1EE8C3CF" w:rsidR="00193DB4" w:rsidRPr="00446C99" w:rsidRDefault="002D32DB" w:rsidP="00446C99">
      <w:pPr>
        <w:pStyle w:val="ListParagraph"/>
        <w:numPr>
          <w:ilvl w:val="0"/>
          <w:numId w:val="23"/>
        </w:num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Allows integration of results such as MSI status, tumour mutation burden within the same test</w:t>
      </w:r>
      <w:r w:rsidR="00CF7484">
        <w:rPr>
          <w:rFonts w:ascii="Cambria" w:hAnsi="Cambria"/>
          <w:sz w:val="22"/>
          <w:szCs w:val="22"/>
        </w:rPr>
        <w:t>.</w:t>
      </w:r>
    </w:p>
    <w:p w14:paraId="32CFEDC9" w14:textId="21A3900F" w:rsidR="0052351B" w:rsidRPr="0050607D" w:rsidRDefault="00617ABD" w:rsidP="00AF1909">
      <w:pPr>
        <w:pStyle w:val="Heading4"/>
      </w:pPr>
      <w:r>
        <w:t>Limitations</w:t>
      </w:r>
      <w:r w:rsidR="001133BD">
        <w:t xml:space="preserve"> </w:t>
      </w:r>
      <w:r w:rsidR="0050607D" w:rsidRPr="0050607D">
        <w:t xml:space="preserve">of </w:t>
      </w:r>
      <w:r w:rsidR="006C30E7">
        <w:t xml:space="preserve">MSI </w:t>
      </w:r>
      <w:r w:rsidR="0050607D" w:rsidRPr="0050607D">
        <w:t>PCR</w:t>
      </w:r>
    </w:p>
    <w:p w14:paraId="53783829" w14:textId="29B9DFBF" w:rsidR="00784573" w:rsidRDefault="00784573" w:rsidP="00774582">
      <w:pPr>
        <w:pStyle w:val="ListParagraph"/>
        <w:keepNext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Pr="0064199F">
        <w:rPr>
          <w:rFonts w:ascii="Cambria" w:hAnsi="Cambria"/>
          <w:sz w:val="22"/>
          <w:szCs w:val="22"/>
        </w:rPr>
        <w:t xml:space="preserve">ot routinely </w:t>
      </w:r>
      <w:r>
        <w:rPr>
          <w:rFonts w:ascii="Cambria" w:hAnsi="Cambria"/>
          <w:sz w:val="22"/>
          <w:szCs w:val="22"/>
        </w:rPr>
        <w:t>performed</w:t>
      </w:r>
      <w:r w:rsidRPr="0064199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in</w:t>
      </w:r>
      <w:r w:rsidRPr="0064199F">
        <w:rPr>
          <w:rFonts w:ascii="Cambria" w:hAnsi="Cambria"/>
          <w:sz w:val="22"/>
          <w:szCs w:val="22"/>
        </w:rPr>
        <w:t xml:space="preserve"> Australian pathology laboratories (</w:t>
      </w:r>
      <w:proofErr w:type="spellStart"/>
      <w:r w:rsidRPr="0064199F">
        <w:rPr>
          <w:rFonts w:ascii="Cambria" w:hAnsi="Cambria"/>
          <w:sz w:val="22"/>
          <w:szCs w:val="22"/>
        </w:rPr>
        <w:t>Mascarenhas</w:t>
      </w:r>
      <w:proofErr w:type="spellEnd"/>
      <w:r w:rsidRPr="0064199F">
        <w:rPr>
          <w:rFonts w:ascii="Cambria" w:hAnsi="Cambria"/>
          <w:sz w:val="22"/>
          <w:szCs w:val="22"/>
        </w:rPr>
        <w:t xml:space="preserve"> et al, 2015)</w:t>
      </w:r>
      <w:r w:rsidR="00CF7484">
        <w:rPr>
          <w:rFonts w:ascii="Cambria" w:hAnsi="Cambria"/>
          <w:sz w:val="22"/>
          <w:szCs w:val="22"/>
        </w:rPr>
        <w:t>.</w:t>
      </w:r>
    </w:p>
    <w:p w14:paraId="460F5FBA" w14:textId="10AF1C85" w:rsidR="00784573" w:rsidRDefault="00784573" w:rsidP="007C56F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64199F">
        <w:rPr>
          <w:rFonts w:ascii="Cambria" w:hAnsi="Cambria"/>
          <w:sz w:val="22"/>
          <w:szCs w:val="22"/>
        </w:rPr>
        <w:t>Time-consuming</w:t>
      </w:r>
      <w:r>
        <w:rPr>
          <w:rFonts w:ascii="Cambria" w:hAnsi="Cambria"/>
          <w:sz w:val="22"/>
          <w:szCs w:val="22"/>
        </w:rPr>
        <w:t xml:space="preserve"> -r</w:t>
      </w:r>
      <w:r w:rsidRPr="0064199F">
        <w:rPr>
          <w:rFonts w:ascii="Cambria" w:hAnsi="Cambria"/>
          <w:sz w:val="22"/>
          <w:szCs w:val="22"/>
        </w:rPr>
        <w:t>equires microdissection and molecular analysis</w:t>
      </w:r>
      <w:r w:rsidR="00CF7484">
        <w:rPr>
          <w:rFonts w:ascii="Cambria" w:hAnsi="Cambria"/>
          <w:sz w:val="22"/>
          <w:szCs w:val="22"/>
        </w:rPr>
        <w:t>.</w:t>
      </w:r>
    </w:p>
    <w:p w14:paraId="0E6D67AE" w14:textId="37D66508" w:rsidR="00B7002C" w:rsidRDefault="00B7002C" w:rsidP="007C56F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Requires normal and tumour tissue – may not be sufficient quantities in biopsy</w:t>
      </w:r>
      <w:r w:rsidR="00CF7484">
        <w:rPr>
          <w:rFonts w:ascii="Cambria" w:hAnsi="Cambria"/>
          <w:sz w:val="22"/>
          <w:szCs w:val="22"/>
        </w:rPr>
        <w:t>.</w:t>
      </w:r>
    </w:p>
    <w:p w14:paraId="56D82C73" w14:textId="2EC08A1D" w:rsidR="00784573" w:rsidRDefault="00784573" w:rsidP="007C56F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Additional testing required to identify likely candidate gene where Lynch sy</w:t>
      </w:r>
      <w:r w:rsidR="00C73F06">
        <w:rPr>
          <w:rFonts w:ascii="Cambria" w:hAnsi="Cambria"/>
          <w:sz w:val="22"/>
          <w:szCs w:val="22"/>
        </w:rPr>
        <w:t>ndrome</w:t>
      </w:r>
      <w:r>
        <w:rPr>
          <w:rFonts w:ascii="Cambria" w:hAnsi="Cambria"/>
          <w:sz w:val="22"/>
          <w:szCs w:val="22"/>
        </w:rPr>
        <w:t xml:space="preserve"> investigation required (approx</w:t>
      </w:r>
      <w:r w:rsidR="00446A96">
        <w:rPr>
          <w:rFonts w:ascii="Cambria" w:hAnsi="Cambria"/>
          <w:sz w:val="22"/>
          <w:szCs w:val="22"/>
        </w:rPr>
        <w:t>imately</w:t>
      </w:r>
      <w:r>
        <w:rPr>
          <w:rFonts w:ascii="Cambria" w:hAnsi="Cambria"/>
          <w:sz w:val="22"/>
          <w:szCs w:val="22"/>
        </w:rPr>
        <w:t xml:space="preserve"> 17%) so IHC required in addition.</w:t>
      </w:r>
    </w:p>
    <w:p w14:paraId="382F5CEC" w14:textId="73E9828C" w:rsidR="0052351B" w:rsidRDefault="0052351B" w:rsidP="007C56F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dMMR tumour detection depends on cut-off used: not all</w:t>
      </w:r>
      <w:r w:rsidR="000C35B8">
        <w:rPr>
          <w:rFonts w:ascii="Cambria" w:hAnsi="Cambria"/>
          <w:sz w:val="22"/>
          <w:szCs w:val="22"/>
        </w:rPr>
        <w:t xml:space="preserve"> tumours with dMMR</w:t>
      </w:r>
      <w:r>
        <w:rPr>
          <w:rFonts w:ascii="Cambria" w:hAnsi="Cambria"/>
          <w:sz w:val="22"/>
          <w:szCs w:val="22"/>
        </w:rPr>
        <w:t xml:space="preserve"> are necessarily MSI-high (proposed indication) </w:t>
      </w:r>
      <w:proofErr w:type="spellStart"/>
      <w:r>
        <w:rPr>
          <w:rFonts w:ascii="Cambria" w:hAnsi="Cambria"/>
          <w:sz w:val="22"/>
          <w:szCs w:val="22"/>
        </w:rPr>
        <w:t>eg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BB12B3">
        <w:rPr>
          <w:rFonts w:ascii="Cambria" w:hAnsi="Cambria"/>
          <w:i/>
          <w:sz w:val="22"/>
          <w:szCs w:val="22"/>
        </w:rPr>
        <w:t>MSH6</w:t>
      </w:r>
      <w:r>
        <w:rPr>
          <w:rFonts w:ascii="Cambria" w:hAnsi="Cambria"/>
          <w:sz w:val="22"/>
          <w:szCs w:val="22"/>
        </w:rPr>
        <w:t xml:space="preserve"> </w:t>
      </w:r>
      <w:r w:rsidR="000C35B8">
        <w:rPr>
          <w:rFonts w:ascii="Cambria" w:hAnsi="Cambria"/>
          <w:sz w:val="22"/>
          <w:szCs w:val="22"/>
        </w:rPr>
        <w:t xml:space="preserve">(Wu et al, 1999; </w:t>
      </w:r>
      <w:r w:rsidR="008B0EE6">
        <w:rPr>
          <w:rFonts w:ascii="Cambria" w:hAnsi="Cambria"/>
          <w:sz w:val="22"/>
          <w:szCs w:val="22"/>
        </w:rPr>
        <w:t xml:space="preserve">Hu et al, 2018; </w:t>
      </w:r>
      <w:r w:rsidR="000C35B8">
        <w:rPr>
          <w:rFonts w:ascii="Cambria" w:hAnsi="Cambria"/>
          <w:sz w:val="22"/>
          <w:szCs w:val="22"/>
        </w:rPr>
        <w:t>Latham et al</w:t>
      </w:r>
      <w:r w:rsidR="008B0EE6">
        <w:rPr>
          <w:rFonts w:ascii="Cambria" w:hAnsi="Cambria"/>
          <w:sz w:val="22"/>
          <w:szCs w:val="22"/>
        </w:rPr>
        <w:t>,</w:t>
      </w:r>
      <w:r w:rsidR="000C35B8">
        <w:rPr>
          <w:rFonts w:ascii="Cambria" w:hAnsi="Cambria"/>
          <w:sz w:val="22"/>
          <w:szCs w:val="22"/>
        </w:rPr>
        <w:t xml:space="preserve"> 2018) </w:t>
      </w:r>
      <w:r>
        <w:rPr>
          <w:rFonts w:ascii="Cambria" w:hAnsi="Cambria"/>
          <w:sz w:val="22"/>
          <w:szCs w:val="22"/>
        </w:rPr>
        <w:t xml:space="preserve">and </w:t>
      </w:r>
      <w:r w:rsidRPr="00BB12B3">
        <w:rPr>
          <w:rFonts w:ascii="Cambria" w:hAnsi="Cambria"/>
          <w:i/>
          <w:sz w:val="22"/>
          <w:szCs w:val="22"/>
        </w:rPr>
        <w:t>PMS2</w:t>
      </w:r>
      <w:r>
        <w:rPr>
          <w:rFonts w:ascii="Cambria" w:hAnsi="Cambria"/>
          <w:sz w:val="22"/>
          <w:szCs w:val="22"/>
        </w:rPr>
        <w:t xml:space="preserve"> mutation-positive tumours (</w:t>
      </w:r>
      <w:r w:rsidR="00B46620">
        <w:rPr>
          <w:rFonts w:ascii="Cambria" w:hAnsi="Cambria"/>
          <w:sz w:val="22"/>
          <w:szCs w:val="22"/>
        </w:rPr>
        <w:t>Latham et al</w:t>
      </w:r>
      <w:r w:rsidR="00E418B9">
        <w:rPr>
          <w:rFonts w:ascii="Cambria" w:hAnsi="Cambria"/>
          <w:sz w:val="22"/>
          <w:szCs w:val="22"/>
        </w:rPr>
        <w:t>,</w:t>
      </w:r>
      <w:r w:rsidR="00B46620">
        <w:rPr>
          <w:rFonts w:ascii="Cambria" w:hAnsi="Cambria"/>
          <w:sz w:val="22"/>
          <w:szCs w:val="22"/>
        </w:rPr>
        <w:t xml:space="preserve"> 2018</w:t>
      </w:r>
      <w:r w:rsidR="002D32DB">
        <w:rPr>
          <w:rFonts w:ascii="Cambria" w:hAnsi="Cambria"/>
          <w:sz w:val="22"/>
          <w:szCs w:val="22"/>
        </w:rPr>
        <w:t>; Smyth, 2017</w:t>
      </w:r>
      <w:r w:rsidR="00B46620">
        <w:rPr>
          <w:rFonts w:ascii="Cambria" w:hAnsi="Cambria"/>
          <w:sz w:val="22"/>
          <w:szCs w:val="22"/>
        </w:rPr>
        <w:t>)</w:t>
      </w:r>
      <w:r w:rsidR="005C543E">
        <w:rPr>
          <w:rFonts w:ascii="Cambria" w:hAnsi="Cambria"/>
          <w:sz w:val="22"/>
          <w:szCs w:val="22"/>
        </w:rPr>
        <w:t xml:space="preserve">. Notably, the tumour mutation burden was reported to be high in the absence of MSI-high status associated with an </w:t>
      </w:r>
      <w:r w:rsidR="005C543E" w:rsidRPr="00BB12B3">
        <w:rPr>
          <w:rFonts w:ascii="Cambria" w:hAnsi="Cambria"/>
          <w:i/>
          <w:sz w:val="22"/>
          <w:szCs w:val="22"/>
        </w:rPr>
        <w:t>MSH6</w:t>
      </w:r>
      <w:r w:rsidR="005C543E">
        <w:rPr>
          <w:rFonts w:ascii="Cambria" w:hAnsi="Cambria"/>
          <w:sz w:val="22"/>
          <w:szCs w:val="22"/>
        </w:rPr>
        <w:t xml:space="preserve"> germline mutation</w:t>
      </w:r>
      <w:r w:rsidR="001D5987">
        <w:rPr>
          <w:rFonts w:ascii="Cambria" w:hAnsi="Cambria"/>
          <w:sz w:val="22"/>
          <w:szCs w:val="22"/>
        </w:rPr>
        <w:t xml:space="preserve"> (Hu et al, 2018)</w:t>
      </w:r>
      <w:r w:rsidR="003736C6">
        <w:rPr>
          <w:rFonts w:ascii="Cambria" w:hAnsi="Cambria"/>
          <w:sz w:val="22"/>
          <w:szCs w:val="22"/>
        </w:rPr>
        <w:t>.</w:t>
      </w:r>
    </w:p>
    <w:p w14:paraId="0F948973" w14:textId="62648A1D" w:rsidR="00193DB4" w:rsidRDefault="00193DB4" w:rsidP="007C56F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Heterogeneity for dMMR in primary vs metastatic specimen</w:t>
      </w:r>
      <w:r w:rsidR="003169FD">
        <w:rPr>
          <w:rFonts w:ascii="Cambria" w:hAnsi="Cambria"/>
          <w:sz w:val="22"/>
          <w:szCs w:val="22"/>
        </w:rPr>
        <w:t xml:space="preserve"> (Ahn et al</w:t>
      </w:r>
      <w:r w:rsidR="00E418B9">
        <w:rPr>
          <w:rFonts w:ascii="Cambria" w:hAnsi="Cambria"/>
          <w:sz w:val="22"/>
          <w:szCs w:val="22"/>
        </w:rPr>
        <w:t>,</w:t>
      </w:r>
      <w:r w:rsidR="003169FD">
        <w:rPr>
          <w:rFonts w:ascii="Cambria" w:hAnsi="Cambria"/>
          <w:sz w:val="22"/>
          <w:szCs w:val="22"/>
        </w:rPr>
        <w:t xml:space="preserve"> 2000; Hu et al, 2018)</w:t>
      </w:r>
      <w:r w:rsidR="007F4F78">
        <w:rPr>
          <w:rFonts w:ascii="Cambria" w:hAnsi="Cambria"/>
          <w:sz w:val="22"/>
          <w:szCs w:val="22"/>
        </w:rPr>
        <w:t xml:space="preserve"> </w:t>
      </w:r>
      <w:r w:rsidR="007643BA">
        <w:rPr>
          <w:rFonts w:ascii="Cambria" w:hAnsi="Cambria"/>
          <w:sz w:val="22"/>
          <w:szCs w:val="22"/>
        </w:rPr>
        <w:t xml:space="preserve">which may support </w:t>
      </w:r>
      <w:proofErr w:type="spellStart"/>
      <w:r w:rsidR="007643BA">
        <w:rPr>
          <w:rFonts w:ascii="Cambria" w:hAnsi="Cambria"/>
          <w:sz w:val="22"/>
          <w:szCs w:val="22"/>
        </w:rPr>
        <w:t>rebiopsy</w:t>
      </w:r>
      <w:proofErr w:type="spellEnd"/>
      <w:r w:rsidR="007643BA">
        <w:rPr>
          <w:rFonts w:ascii="Cambria" w:hAnsi="Cambria"/>
          <w:sz w:val="22"/>
          <w:szCs w:val="22"/>
        </w:rPr>
        <w:t xml:space="preserve"> and testing of metastatic disease upon relapse.</w:t>
      </w:r>
    </w:p>
    <w:p w14:paraId="42A20401" w14:textId="5165D6BF" w:rsidR="00533D3E" w:rsidRDefault="00533D3E" w:rsidP="007C56F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Difficult</w:t>
      </w:r>
      <w:r w:rsidRPr="0064199F">
        <w:rPr>
          <w:rFonts w:ascii="Cambria" w:hAnsi="Cambria"/>
          <w:sz w:val="22"/>
          <w:szCs w:val="22"/>
        </w:rPr>
        <w:t xml:space="preserve"> to scale up</w:t>
      </w:r>
      <w:r>
        <w:rPr>
          <w:rFonts w:ascii="Cambria" w:hAnsi="Cambria"/>
          <w:sz w:val="22"/>
          <w:szCs w:val="22"/>
        </w:rPr>
        <w:t xml:space="preserve"> this standalone test where screening for treatment of cancers with</w:t>
      </w:r>
      <w:r w:rsidRPr="0064199F">
        <w:rPr>
          <w:rFonts w:ascii="Cambria" w:hAnsi="Cambria"/>
          <w:sz w:val="22"/>
          <w:szCs w:val="22"/>
        </w:rPr>
        <w:t xml:space="preserve"> lower incidence of </w:t>
      </w:r>
      <w:r>
        <w:rPr>
          <w:rFonts w:ascii="Cambria" w:hAnsi="Cambria"/>
          <w:sz w:val="22"/>
          <w:szCs w:val="22"/>
        </w:rPr>
        <w:t>MSI</w:t>
      </w:r>
      <w:r w:rsidRPr="0064199F">
        <w:rPr>
          <w:rFonts w:ascii="Cambria" w:hAnsi="Cambria"/>
          <w:sz w:val="22"/>
          <w:szCs w:val="22"/>
        </w:rPr>
        <w:t xml:space="preserve"> (</w:t>
      </w:r>
      <w:proofErr w:type="spellStart"/>
      <w:r>
        <w:rPr>
          <w:rFonts w:ascii="Cambria" w:hAnsi="Cambria"/>
          <w:sz w:val="22"/>
          <w:szCs w:val="22"/>
        </w:rPr>
        <w:t>e</w:t>
      </w:r>
      <w:r w:rsidRPr="0064199F">
        <w:rPr>
          <w:rFonts w:ascii="Cambria" w:hAnsi="Cambria"/>
          <w:sz w:val="22"/>
          <w:szCs w:val="22"/>
        </w:rPr>
        <w:t>g</w:t>
      </w:r>
      <w:proofErr w:type="spellEnd"/>
      <w:r w:rsidRPr="0064199F">
        <w:rPr>
          <w:rFonts w:ascii="Cambria" w:hAnsi="Cambria"/>
          <w:sz w:val="22"/>
          <w:szCs w:val="22"/>
        </w:rPr>
        <w:t xml:space="preserve"> pancreatic or ureteric cancers</w:t>
      </w:r>
      <w:r>
        <w:rPr>
          <w:rFonts w:ascii="Cambria" w:hAnsi="Cambria"/>
          <w:sz w:val="22"/>
          <w:szCs w:val="22"/>
        </w:rPr>
        <w:t>) or meet high throughput demand for pan-tumour testing</w:t>
      </w:r>
      <w:r w:rsidR="00CF7484">
        <w:rPr>
          <w:rFonts w:ascii="Cambria" w:hAnsi="Cambria"/>
          <w:sz w:val="22"/>
          <w:szCs w:val="22"/>
        </w:rPr>
        <w:t>.</w:t>
      </w:r>
    </w:p>
    <w:p w14:paraId="3CBC68B1" w14:textId="6ADBCF4B" w:rsidR="00705612" w:rsidRPr="00446C99" w:rsidRDefault="00784573" w:rsidP="00446C99">
      <w:pPr>
        <w:pStyle w:val="ListParagraph"/>
        <w:numPr>
          <w:ilvl w:val="0"/>
          <w:numId w:val="7"/>
        </w:num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Clinical validity uncertain </w:t>
      </w:r>
      <w:r w:rsidRPr="002346DF">
        <w:rPr>
          <w:rFonts w:ascii="Cambria" w:hAnsi="Cambria"/>
          <w:sz w:val="22"/>
          <w:szCs w:val="22"/>
        </w:rPr>
        <w:t>as</w:t>
      </w:r>
      <w:r w:rsidR="00A051D5">
        <w:rPr>
          <w:rFonts w:ascii="Cambria" w:hAnsi="Cambria"/>
          <w:sz w:val="22"/>
          <w:szCs w:val="22"/>
        </w:rPr>
        <w:t xml:space="preserve"> evidence not provided to support it being a</w:t>
      </w:r>
      <w:r w:rsidRPr="002346DF">
        <w:rPr>
          <w:rFonts w:ascii="Cambria" w:hAnsi="Cambria"/>
          <w:sz w:val="22"/>
          <w:szCs w:val="22"/>
        </w:rPr>
        <w:t xml:space="preserve"> predictive test </w:t>
      </w:r>
      <w:r w:rsidR="00A051D5">
        <w:rPr>
          <w:rFonts w:ascii="Cambria" w:hAnsi="Cambria"/>
          <w:sz w:val="22"/>
          <w:szCs w:val="22"/>
        </w:rPr>
        <w:t>for response to immunotherapy</w:t>
      </w:r>
      <w:r>
        <w:rPr>
          <w:rFonts w:ascii="Cambria" w:hAnsi="Cambria"/>
          <w:sz w:val="22"/>
          <w:szCs w:val="22"/>
        </w:rPr>
        <w:t xml:space="preserve"> other than </w:t>
      </w:r>
      <w:r w:rsidR="00947A66">
        <w:rPr>
          <w:rFonts w:ascii="Cambria" w:hAnsi="Cambria"/>
          <w:sz w:val="22"/>
          <w:szCs w:val="22"/>
        </w:rPr>
        <w:t xml:space="preserve">for </w:t>
      </w:r>
      <w:r>
        <w:rPr>
          <w:rFonts w:ascii="Cambria" w:hAnsi="Cambria"/>
          <w:sz w:val="22"/>
          <w:szCs w:val="22"/>
        </w:rPr>
        <w:t xml:space="preserve">colorectal, and </w:t>
      </w:r>
      <w:r w:rsidR="00533D3E">
        <w:rPr>
          <w:rFonts w:ascii="Cambria" w:hAnsi="Cambria"/>
          <w:sz w:val="22"/>
          <w:szCs w:val="22"/>
        </w:rPr>
        <w:t>not considered to be as reliable as IHC in</w:t>
      </w:r>
      <w:r>
        <w:rPr>
          <w:rFonts w:ascii="Cambria" w:hAnsi="Cambria"/>
          <w:sz w:val="22"/>
          <w:szCs w:val="22"/>
        </w:rPr>
        <w:t xml:space="preserve"> endometrial</w:t>
      </w:r>
      <w:r w:rsidR="00533D3E">
        <w:rPr>
          <w:rFonts w:ascii="Cambria" w:hAnsi="Cambria"/>
          <w:sz w:val="22"/>
          <w:szCs w:val="22"/>
        </w:rPr>
        <w:t xml:space="preserve"> cancer</w:t>
      </w:r>
      <w:r>
        <w:rPr>
          <w:rFonts w:ascii="Cambria" w:hAnsi="Cambria"/>
          <w:sz w:val="22"/>
          <w:szCs w:val="22"/>
        </w:rPr>
        <w:t xml:space="preserve">, and therefore </w:t>
      </w:r>
      <w:r w:rsidR="00947A66">
        <w:rPr>
          <w:rFonts w:ascii="Cambria" w:hAnsi="Cambria"/>
          <w:sz w:val="22"/>
          <w:szCs w:val="22"/>
        </w:rPr>
        <w:t xml:space="preserve">pan-tumour </w:t>
      </w:r>
      <w:r>
        <w:rPr>
          <w:rFonts w:ascii="Cambria" w:hAnsi="Cambria"/>
          <w:sz w:val="22"/>
          <w:szCs w:val="22"/>
        </w:rPr>
        <w:t xml:space="preserve">clinical utility </w:t>
      </w:r>
      <w:r w:rsidRPr="002346DF">
        <w:rPr>
          <w:rFonts w:ascii="Cambria" w:hAnsi="Cambria"/>
          <w:sz w:val="22"/>
          <w:szCs w:val="22"/>
        </w:rPr>
        <w:t>not</w:t>
      </w:r>
      <w:r w:rsidR="00947A66">
        <w:rPr>
          <w:rFonts w:ascii="Cambria" w:hAnsi="Cambria"/>
          <w:sz w:val="22"/>
          <w:szCs w:val="22"/>
        </w:rPr>
        <w:t xml:space="preserve"> yet</w:t>
      </w:r>
      <w:r w:rsidRPr="002346D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establi</w:t>
      </w:r>
      <w:r w:rsidR="00C73F06">
        <w:rPr>
          <w:rFonts w:ascii="Cambria" w:hAnsi="Cambria"/>
          <w:sz w:val="22"/>
          <w:szCs w:val="22"/>
        </w:rPr>
        <w:t>shed.</w:t>
      </w:r>
    </w:p>
    <w:p w14:paraId="02AC4896" w14:textId="372BA5E2" w:rsidR="00C15055" w:rsidRPr="00C15055" w:rsidRDefault="00784573" w:rsidP="00AF1909">
      <w:pPr>
        <w:pStyle w:val="Heading4"/>
      </w:pPr>
      <w:r>
        <w:t>Limitations</w:t>
      </w:r>
      <w:r w:rsidR="00705612" w:rsidRPr="00705612">
        <w:t xml:space="preserve"> of </w:t>
      </w:r>
      <w:r w:rsidR="007F4F78">
        <w:t>NGS</w:t>
      </w:r>
    </w:p>
    <w:p w14:paraId="2E0EE649" w14:textId="5EC2FA0F" w:rsidR="007C0A80" w:rsidRPr="007C0A80" w:rsidRDefault="007F4F78" w:rsidP="00774582">
      <w:pPr>
        <w:pStyle w:val="ListParagraph"/>
        <w:keepNext/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7F4F78">
        <w:rPr>
          <w:rFonts w:ascii="Cambria" w:hAnsi="Cambria"/>
          <w:sz w:val="22"/>
          <w:szCs w:val="22"/>
        </w:rPr>
        <w:t>Not established widely</w:t>
      </w:r>
      <w:r w:rsidR="00C15055">
        <w:rPr>
          <w:rFonts w:ascii="Cambria" w:hAnsi="Cambria"/>
          <w:sz w:val="22"/>
          <w:szCs w:val="22"/>
        </w:rPr>
        <w:t xml:space="preserve"> in Australia</w:t>
      </w:r>
      <w:r w:rsidRPr="007F4F78">
        <w:rPr>
          <w:rFonts w:ascii="Cambria" w:hAnsi="Cambria"/>
          <w:sz w:val="22"/>
          <w:szCs w:val="22"/>
        </w:rPr>
        <w:t xml:space="preserve"> as yet</w:t>
      </w:r>
      <w:r w:rsidR="00FD6F85">
        <w:rPr>
          <w:rFonts w:ascii="Cambria" w:hAnsi="Cambria"/>
          <w:sz w:val="22"/>
          <w:szCs w:val="22"/>
        </w:rPr>
        <w:t xml:space="preserve"> for </w:t>
      </w:r>
      <w:r w:rsidR="00D00FF2">
        <w:rPr>
          <w:rFonts w:ascii="Cambria" w:hAnsi="Cambria"/>
          <w:sz w:val="22"/>
          <w:szCs w:val="22"/>
        </w:rPr>
        <w:t>diagnostic</w:t>
      </w:r>
      <w:r w:rsidR="003A3E05">
        <w:rPr>
          <w:rFonts w:ascii="Cambria" w:hAnsi="Cambria"/>
          <w:sz w:val="22"/>
          <w:szCs w:val="22"/>
        </w:rPr>
        <w:t>, prognostic</w:t>
      </w:r>
      <w:r w:rsidR="00D00FF2">
        <w:rPr>
          <w:rFonts w:ascii="Cambria" w:hAnsi="Cambria"/>
          <w:sz w:val="22"/>
          <w:szCs w:val="22"/>
        </w:rPr>
        <w:t xml:space="preserve"> </w:t>
      </w:r>
      <w:r w:rsidRPr="007F4F78">
        <w:rPr>
          <w:rFonts w:ascii="Cambria" w:hAnsi="Cambria"/>
          <w:sz w:val="22"/>
          <w:szCs w:val="22"/>
        </w:rPr>
        <w:t>purpose</w:t>
      </w:r>
      <w:r w:rsidR="00D00FF2">
        <w:rPr>
          <w:rFonts w:ascii="Cambria" w:hAnsi="Cambria"/>
          <w:sz w:val="22"/>
          <w:szCs w:val="22"/>
        </w:rPr>
        <w:t xml:space="preserve"> for dMMR</w:t>
      </w:r>
      <w:r w:rsidRPr="007F4F78">
        <w:rPr>
          <w:rFonts w:ascii="Cambria" w:hAnsi="Cambria"/>
          <w:sz w:val="22"/>
          <w:szCs w:val="22"/>
        </w:rPr>
        <w:t xml:space="preserve"> but would require extensive validation with established methodologies</w:t>
      </w:r>
      <w:r w:rsidR="00FF20B5">
        <w:rPr>
          <w:rFonts w:ascii="Cambria" w:hAnsi="Cambria"/>
          <w:sz w:val="22"/>
          <w:szCs w:val="22"/>
        </w:rPr>
        <w:t xml:space="preserve"> (described in </w:t>
      </w:r>
      <w:proofErr w:type="spellStart"/>
      <w:r w:rsidR="00D00FF2">
        <w:rPr>
          <w:rFonts w:ascii="Cambria" w:hAnsi="Cambria"/>
          <w:sz w:val="22"/>
          <w:szCs w:val="22"/>
        </w:rPr>
        <w:t>Hause</w:t>
      </w:r>
      <w:proofErr w:type="spellEnd"/>
      <w:r w:rsidR="00D00FF2">
        <w:rPr>
          <w:rFonts w:ascii="Cambria" w:hAnsi="Cambria"/>
          <w:sz w:val="22"/>
          <w:szCs w:val="22"/>
        </w:rPr>
        <w:t xml:space="preserve"> et al, 2016; </w:t>
      </w:r>
      <w:r w:rsidR="00FF20B5">
        <w:rPr>
          <w:rFonts w:ascii="Cambria" w:hAnsi="Cambria"/>
          <w:sz w:val="22"/>
          <w:szCs w:val="22"/>
        </w:rPr>
        <w:t>Latham et al, 2018;</w:t>
      </w:r>
      <w:r w:rsidR="00784573">
        <w:rPr>
          <w:rFonts w:ascii="Cambria" w:hAnsi="Cambria"/>
          <w:sz w:val="22"/>
          <w:szCs w:val="22"/>
        </w:rPr>
        <w:t xml:space="preserve"> </w:t>
      </w:r>
      <w:proofErr w:type="spellStart"/>
      <w:r w:rsidR="00784573">
        <w:rPr>
          <w:rFonts w:ascii="Cambria" w:hAnsi="Cambria"/>
          <w:sz w:val="22"/>
          <w:szCs w:val="22"/>
        </w:rPr>
        <w:t>Vanderwalde</w:t>
      </w:r>
      <w:proofErr w:type="spellEnd"/>
      <w:r w:rsidR="00784573">
        <w:rPr>
          <w:rFonts w:ascii="Cambria" w:hAnsi="Cambria"/>
          <w:sz w:val="22"/>
          <w:szCs w:val="22"/>
        </w:rPr>
        <w:t xml:space="preserve"> et al</w:t>
      </w:r>
      <w:r w:rsidR="00E418B9">
        <w:rPr>
          <w:rFonts w:ascii="Cambria" w:hAnsi="Cambria"/>
          <w:sz w:val="22"/>
          <w:szCs w:val="22"/>
        </w:rPr>
        <w:t>,</w:t>
      </w:r>
      <w:r w:rsidR="00784573">
        <w:rPr>
          <w:rFonts w:ascii="Cambria" w:hAnsi="Cambria"/>
          <w:sz w:val="22"/>
          <w:szCs w:val="22"/>
        </w:rPr>
        <w:t xml:space="preserve"> 2018)</w:t>
      </w:r>
      <w:r w:rsidR="00D00FF2">
        <w:rPr>
          <w:rFonts w:ascii="Cambria" w:hAnsi="Cambria"/>
          <w:sz w:val="22"/>
          <w:szCs w:val="22"/>
        </w:rPr>
        <w:t>.</w:t>
      </w:r>
    </w:p>
    <w:p w14:paraId="7C701265" w14:textId="36E4D701" w:rsidR="00C15055" w:rsidRDefault="00C15055" w:rsidP="007C56FC">
      <w:pPr>
        <w:pStyle w:val="ListParagraph"/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No evidence</w:t>
      </w:r>
      <w:r w:rsidR="005275E8">
        <w:rPr>
          <w:rFonts w:ascii="Cambria" w:hAnsi="Cambria"/>
          <w:sz w:val="22"/>
          <w:szCs w:val="22"/>
        </w:rPr>
        <w:t xml:space="preserve"> currently available directly</w:t>
      </w:r>
      <w:r>
        <w:rPr>
          <w:rFonts w:ascii="Cambria" w:hAnsi="Cambria"/>
          <w:sz w:val="22"/>
          <w:szCs w:val="22"/>
        </w:rPr>
        <w:t xml:space="preserve"> in support of predictive purpose</w:t>
      </w:r>
      <w:r w:rsidR="007C0A80">
        <w:rPr>
          <w:rFonts w:ascii="Cambria" w:hAnsi="Cambria"/>
          <w:sz w:val="22"/>
          <w:szCs w:val="22"/>
        </w:rPr>
        <w:t xml:space="preserve"> for immunotherapy</w:t>
      </w:r>
      <w:r w:rsidR="00947A66">
        <w:rPr>
          <w:rFonts w:ascii="Cambria" w:hAnsi="Cambria"/>
          <w:sz w:val="22"/>
          <w:szCs w:val="22"/>
        </w:rPr>
        <w:t xml:space="preserve"> – evidence will be provided with confirmatory studies as part of FDA approval for nivolumab and pembrolizumab</w:t>
      </w:r>
      <w:r w:rsidR="00E418B9">
        <w:rPr>
          <w:rFonts w:ascii="Cambria" w:hAnsi="Cambria"/>
          <w:sz w:val="22"/>
          <w:szCs w:val="22"/>
        </w:rPr>
        <w:t>.</w:t>
      </w:r>
    </w:p>
    <w:p w14:paraId="2ED7A6ED" w14:textId="629B90B2" w:rsidR="00705612" w:rsidRPr="00D00FF2" w:rsidRDefault="00784573" w:rsidP="007C56FC">
      <w:pPr>
        <w:pStyle w:val="ListParagraph"/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Additional testing required to identify likely candidate gene where Lynch sy</w:t>
      </w:r>
      <w:r w:rsidR="00C73F06">
        <w:rPr>
          <w:rFonts w:ascii="Cambria" w:hAnsi="Cambria"/>
          <w:sz w:val="22"/>
          <w:szCs w:val="22"/>
        </w:rPr>
        <w:t>ndrome</w:t>
      </w:r>
      <w:r>
        <w:rPr>
          <w:rFonts w:ascii="Cambria" w:hAnsi="Cambria"/>
          <w:sz w:val="22"/>
          <w:szCs w:val="22"/>
        </w:rPr>
        <w:t xml:space="preserve"> investigation required (approx</w:t>
      </w:r>
      <w:r w:rsidR="00446A96">
        <w:rPr>
          <w:rFonts w:ascii="Cambria" w:hAnsi="Cambria"/>
          <w:sz w:val="22"/>
          <w:szCs w:val="22"/>
        </w:rPr>
        <w:t>imately</w:t>
      </w:r>
      <w:r>
        <w:rPr>
          <w:rFonts w:ascii="Cambria" w:hAnsi="Cambria"/>
          <w:sz w:val="22"/>
          <w:szCs w:val="22"/>
        </w:rPr>
        <w:t xml:space="preserve"> 17%)</w:t>
      </w:r>
      <w:r w:rsidR="000C1D34">
        <w:rPr>
          <w:rFonts w:ascii="Cambria" w:hAnsi="Cambria"/>
          <w:sz w:val="22"/>
          <w:szCs w:val="22"/>
        </w:rPr>
        <w:t>, but potentially could add the five genes to the panel to be tested simultaneously where high risk of Lynch indicated.</w:t>
      </w:r>
      <w:r w:rsidR="00D00FF2">
        <w:rPr>
          <w:rFonts w:ascii="Cambria" w:hAnsi="Cambria"/>
          <w:sz w:val="22"/>
          <w:szCs w:val="22"/>
        </w:rPr>
        <w:t xml:space="preserve"> </w:t>
      </w:r>
      <w:r w:rsidR="00D00FF2" w:rsidRPr="00D00FF2">
        <w:rPr>
          <w:rFonts w:ascii="Cambria" w:hAnsi="Cambria"/>
          <w:sz w:val="22"/>
          <w:szCs w:val="22"/>
        </w:rPr>
        <w:t>Ethical</w:t>
      </w:r>
      <w:r w:rsidR="005754B1">
        <w:rPr>
          <w:rFonts w:ascii="Cambria" w:hAnsi="Cambria"/>
          <w:sz w:val="22"/>
          <w:szCs w:val="22"/>
        </w:rPr>
        <w:t xml:space="preserve"> and </w:t>
      </w:r>
      <w:r w:rsidR="005754B1">
        <w:rPr>
          <w:rFonts w:ascii="Cambria" w:hAnsi="Cambria"/>
          <w:sz w:val="22"/>
          <w:szCs w:val="22"/>
        </w:rPr>
        <w:lastRenderedPageBreak/>
        <w:t>resource</w:t>
      </w:r>
      <w:r w:rsidR="00D00FF2" w:rsidRPr="00D00FF2">
        <w:rPr>
          <w:rFonts w:ascii="Cambria" w:hAnsi="Cambria"/>
          <w:sz w:val="22"/>
          <w:szCs w:val="22"/>
        </w:rPr>
        <w:t xml:space="preserve"> considerations, </w:t>
      </w:r>
      <w:r w:rsidR="005754B1">
        <w:rPr>
          <w:rFonts w:ascii="Cambria" w:hAnsi="Cambria"/>
          <w:sz w:val="22"/>
          <w:szCs w:val="22"/>
        </w:rPr>
        <w:t xml:space="preserve">including counselling and </w:t>
      </w:r>
      <w:r w:rsidR="00D00FF2" w:rsidRPr="00D00FF2">
        <w:rPr>
          <w:rFonts w:ascii="Cambria" w:hAnsi="Cambria"/>
          <w:sz w:val="22"/>
          <w:szCs w:val="22"/>
        </w:rPr>
        <w:t xml:space="preserve">consent issues with </w:t>
      </w:r>
      <w:r w:rsidR="005754B1">
        <w:rPr>
          <w:rFonts w:ascii="Cambria" w:hAnsi="Cambria"/>
          <w:sz w:val="22"/>
          <w:szCs w:val="22"/>
        </w:rPr>
        <w:t xml:space="preserve">additional </w:t>
      </w:r>
      <w:r w:rsidR="00D00FF2" w:rsidRPr="00D00FF2">
        <w:rPr>
          <w:rFonts w:ascii="Cambria" w:hAnsi="Cambria"/>
          <w:sz w:val="22"/>
          <w:szCs w:val="22"/>
        </w:rPr>
        <w:t>‘genetic’ testing.</w:t>
      </w:r>
    </w:p>
    <w:p w14:paraId="7184FC8D" w14:textId="6898BBEA" w:rsidR="00DB4D25" w:rsidRPr="00446C99" w:rsidRDefault="001F0390" w:rsidP="00446C99">
      <w:pPr>
        <w:pStyle w:val="ListParagraph"/>
        <w:numPr>
          <w:ilvl w:val="0"/>
          <w:numId w:val="21"/>
        </w:num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Clinical validity uncertain </w:t>
      </w:r>
      <w:r w:rsidRPr="002346DF">
        <w:rPr>
          <w:rFonts w:ascii="Cambria" w:hAnsi="Cambria"/>
          <w:sz w:val="22"/>
          <w:szCs w:val="22"/>
        </w:rPr>
        <w:t xml:space="preserve">as predictive test </w:t>
      </w:r>
      <w:r>
        <w:rPr>
          <w:rFonts w:ascii="Cambria" w:hAnsi="Cambria"/>
          <w:sz w:val="22"/>
          <w:szCs w:val="22"/>
        </w:rPr>
        <w:t xml:space="preserve">in establishing dMMR status other than colorectal, and perhaps endometrial, and therefore clinical utility </w:t>
      </w:r>
      <w:r w:rsidRPr="002346DF">
        <w:rPr>
          <w:rFonts w:ascii="Cambria" w:hAnsi="Cambria"/>
          <w:sz w:val="22"/>
          <w:szCs w:val="22"/>
        </w:rPr>
        <w:t xml:space="preserve">not </w:t>
      </w:r>
      <w:r>
        <w:rPr>
          <w:rFonts w:ascii="Cambria" w:hAnsi="Cambria"/>
          <w:sz w:val="22"/>
          <w:szCs w:val="22"/>
        </w:rPr>
        <w:t>established</w:t>
      </w:r>
      <w:r w:rsidRPr="002346DF">
        <w:rPr>
          <w:rFonts w:ascii="Cambria" w:hAnsi="Cambria"/>
          <w:sz w:val="22"/>
          <w:szCs w:val="22"/>
        </w:rPr>
        <w:t xml:space="preserve"> for proposed usage</w:t>
      </w:r>
      <w:r>
        <w:rPr>
          <w:rFonts w:ascii="Cambria" w:hAnsi="Cambria"/>
          <w:sz w:val="22"/>
          <w:szCs w:val="22"/>
        </w:rPr>
        <w:t xml:space="preserve"> as pan-tumour assay</w:t>
      </w:r>
      <w:r w:rsidR="00D00FF2">
        <w:rPr>
          <w:rFonts w:ascii="Cambria" w:hAnsi="Cambria"/>
          <w:sz w:val="22"/>
          <w:szCs w:val="22"/>
        </w:rPr>
        <w:t>.</w:t>
      </w:r>
    </w:p>
    <w:p w14:paraId="4FD865A0" w14:textId="34065203" w:rsidR="00830EF2" w:rsidRPr="00A537D4" w:rsidRDefault="00830EF2" w:rsidP="00A537D4">
      <w:pPr>
        <w:pStyle w:val="Heading3"/>
        <w:rPr>
          <w:color w:val="660066"/>
        </w:rPr>
      </w:pPr>
      <w:r w:rsidRPr="00A537D4">
        <w:rPr>
          <w:color w:val="660066"/>
        </w:rPr>
        <w:t>Tests available in Australia</w:t>
      </w:r>
    </w:p>
    <w:p w14:paraId="56FC9394" w14:textId="66DF7339" w:rsidR="00C77E58" w:rsidRPr="00F34D49" w:rsidRDefault="00225704" w:rsidP="00446C99">
      <w:pPr>
        <w:keepNext/>
        <w:spacing w:after="240"/>
        <w:jc w:val="both"/>
        <w:rPr>
          <w:rFonts w:ascii="Cambria" w:hAnsi="Cambria"/>
          <w:sz w:val="22"/>
          <w:szCs w:val="22"/>
        </w:rPr>
      </w:pPr>
      <w:proofErr w:type="spellStart"/>
      <w:r w:rsidRPr="00F34D49">
        <w:rPr>
          <w:rFonts w:ascii="Cambria" w:hAnsi="Cambria"/>
          <w:sz w:val="22"/>
          <w:szCs w:val="22"/>
        </w:rPr>
        <w:t>Ma</w:t>
      </w:r>
      <w:r w:rsidR="004C0BBC">
        <w:rPr>
          <w:rFonts w:ascii="Cambria" w:hAnsi="Cambria"/>
          <w:sz w:val="22"/>
          <w:szCs w:val="22"/>
        </w:rPr>
        <w:t>scarenhas</w:t>
      </w:r>
      <w:proofErr w:type="spellEnd"/>
      <w:r w:rsidR="004C0BBC">
        <w:rPr>
          <w:rFonts w:ascii="Cambria" w:hAnsi="Cambria"/>
          <w:sz w:val="22"/>
          <w:szCs w:val="22"/>
        </w:rPr>
        <w:t xml:space="preserve"> et al</w:t>
      </w:r>
      <w:r w:rsidRPr="00F34D49">
        <w:rPr>
          <w:rFonts w:ascii="Cambria" w:hAnsi="Cambria"/>
          <w:sz w:val="22"/>
          <w:szCs w:val="22"/>
        </w:rPr>
        <w:t xml:space="preserve"> </w:t>
      </w:r>
      <w:r w:rsidR="004C0BBC">
        <w:rPr>
          <w:rFonts w:ascii="Cambria" w:hAnsi="Cambria"/>
          <w:sz w:val="22"/>
          <w:szCs w:val="22"/>
        </w:rPr>
        <w:t>(</w:t>
      </w:r>
      <w:r w:rsidRPr="00F34D49">
        <w:rPr>
          <w:rFonts w:ascii="Cambria" w:hAnsi="Cambria"/>
          <w:sz w:val="22"/>
          <w:szCs w:val="22"/>
        </w:rPr>
        <w:t>2016) report</w:t>
      </w:r>
      <w:r w:rsidR="00F34D49">
        <w:rPr>
          <w:rFonts w:ascii="Cambria" w:hAnsi="Cambria"/>
          <w:sz w:val="22"/>
          <w:szCs w:val="22"/>
        </w:rPr>
        <w:t>ed</w:t>
      </w:r>
      <w:r w:rsidRPr="00F34D49">
        <w:rPr>
          <w:rFonts w:ascii="Cambria" w:hAnsi="Cambria"/>
          <w:sz w:val="22"/>
          <w:szCs w:val="22"/>
        </w:rPr>
        <w:t xml:space="preserve"> that 95% of laboratories routinely assess dMMR in colorectal and/or endometrial cancer tumour</w:t>
      </w:r>
      <w:r w:rsidR="004C5201" w:rsidRPr="00F34D49">
        <w:rPr>
          <w:rFonts w:ascii="Cambria" w:hAnsi="Cambria"/>
          <w:sz w:val="22"/>
          <w:szCs w:val="22"/>
        </w:rPr>
        <w:t>s</w:t>
      </w:r>
      <w:r w:rsidRPr="00F34D49">
        <w:rPr>
          <w:rFonts w:ascii="Cambria" w:hAnsi="Cambria"/>
          <w:sz w:val="22"/>
          <w:szCs w:val="22"/>
        </w:rPr>
        <w:t xml:space="preserve">. The majority (77%) used IHC alone, </w:t>
      </w:r>
      <w:r w:rsidR="004C5201" w:rsidRPr="00F34D49">
        <w:rPr>
          <w:rFonts w:ascii="Cambria" w:hAnsi="Cambria"/>
          <w:sz w:val="22"/>
          <w:szCs w:val="22"/>
        </w:rPr>
        <w:t xml:space="preserve">18% </w:t>
      </w:r>
      <w:r w:rsidR="00F34D49" w:rsidRPr="00F34D49">
        <w:rPr>
          <w:rFonts w:ascii="Cambria" w:hAnsi="Cambria"/>
          <w:sz w:val="22"/>
          <w:szCs w:val="22"/>
        </w:rPr>
        <w:t>p</w:t>
      </w:r>
      <w:r w:rsidR="004C5201" w:rsidRPr="00F34D49">
        <w:rPr>
          <w:rFonts w:ascii="Cambria" w:hAnsi="Cambria"/>
          <w:sz w:val="22"/>
          <w:szCs w:val="22"/>
        </w:rPr>
        <w:t>erformed both tests and 5% lack in-house ability to screen for dMMR</w:t>
      </w:r>
      <w:r w:rsidR="00E12AC6" w:rsidRPr="00F34D49">
        <w:rPr>
          <w:rFonts w:ascii="Cambria" w:hAnsi="Cambria"/>
          <w:sz w:val="22"/>
          <w:szCs w:val="22"/>
        </w:rPr>
        <w:t xml:space="preserve">. Since that paper, the NHMRC </w:t>
      </w:r>
      <w:r w:rsidR="00F34D49" w:rsidRPr="00F34D49">
        <w:rPr>
          <w:rFonts w:ascii="Cambria" w:hAnsi="Cambria"/>
          <w:sz w:val="22"/>
          <w:szCs w:val="22"/>
        </w:rPr>
        <w:t>is reported to have endorsed</w:t>
      </w:r>
      <w:r w:rsidR="00E12AC6" w:rsidRPr="00F34D49">
        <w:rPr>
          <w:rFonts w:ascii="Cambria" w:hAnsi="Cambria"/>
          <w:sz w:val="22"/>
          <w:szCs w:val="22"/>
        </w:rPr>
        <w:t xml:space="preserve"> a universal approach to </w:t>
      </w:r>
      <w:r w:rsidR="00F34D49" w:rsidRPr="00F34D49">
        <w:rPr>
          <w:rFonts w:ascii="Cambria" w:hAnsi="Cambria"/>
          <w:sz w:val="22"/>
          <w:szCs w:val="22"/>
        </w:rPr>
        <w:t>testing for dMMR in colorectal cancer (</w:t>
      </w:r>
      <w:proofErr w:type="spellStart"/>
      <w:r w:rsidR="00F34D49" w:rsidRPr="00F34D49">
        <w:rPr>
          <w:rFonts w:ascii="Cambria" w:hAnsi="Cambria"/>
          <w:sz w:val="22"/>
          <w:szCs w:val="22"/>
        </w:rPr>
        <w:t>Yozu</w:t>
      </w:r>
      <w:proofErr w:type="spellEnd"/>
      <w:r w:rsidR="00F34D49" w:rsidRPr="00F34D49">
        <w:rPr>
          <w:rFonts w:ascii="Cambria" w:hAnsi="Cambria"/>
          <w:sz w:val="22"/>
          <w:szCs w:val="22"/>
        </w:rPr>
        <w:t xml:space="preserve"> et al, 2019) and it is reasonable to assume that screening rates would increase in these cancers, and it is possible provision of services </w:t>
      </w:r>
      <w:r w:rsidR="00F34D49">
        <w:rPr>
          <w:rFonts w:ascii="Cambria" w:hAnsi="Cambria"/>
          <w:sz w:val="22"/>
          <w:szCs w:val="22"/>
        </w:rPr>
        <w:t>may widen. Additional Australian reports indicated the likely adoption of NGS-based approaches (</w:t>
      </w:r>
      <w:proofErr w:type="spellStart"/>
      <w:r w:rsidR="00F34D49">
        <w:rPr>
          <w:rFonts w:ascii="Cambria" w:hAnsi="Cambria"/>
          <w:sz w:val="22"/>
          <w:szCs w:val="22"/>
        </w:rPr>
        <w:t>Yozu</w:t>
      </w:r>
      <w:proofErr w:type="spellEnd"/>
      <w:r w:rsidR="00F34D49">
        <w:rPr>
          <w:rFonts w:ascii="Cambria" w:hAnsi="Cambria"/>
          <w:sz w:val="22"/>
          <w:szCs w:val="22"/>
        </w:rPr>
        <w:t xml:space="preserve"> et al</w:t>
      </w:r>
      <w:r w:rsidR="004C0BBC">
        <w:rPr>
          <w:rFonts w:ascii="Cambria" w:hAnsi="Cambria"/>
          <w:sz w:val="22"/>
          <w:szCs w:val="22"/>
        </w:rPr>
        <w:t>,</w:t>
      </w:r>
      <w:r w:rsidR="00F34D49">
        <w:rPr>
          <w:rFonts w:ascii="Cambria" w:hAnsi="Cambria"/>
          <w:sz w:val="22"/>
          <w:szCs w:val="22"/>
        </w:rPr>
        <w:t xml:space="preserve"> 2019).</w:t>
      </w:r>
    </w:p>
    <w:p w14:paraId="15FA378F" w14:textId="76AD8B83" w:rsidR="00225704" w:rsidRDefault="00225704" w:rsidP="00AF1909">
      <w:pPr>
        <w:pStyle w:val="Heading4"/>
        <w:ind w:firstLine="0"/>
      </w:pPr>
      <w:r>
        <w:t>IHC detection</w:t>
      </w:r>
    </w:p>
    <w:p w14:paraId="33ACBA8F" w14:textId="4EDC7756" w:rsidR="00705612" w:rsidRPr="00330A00" w:rsidRDefault="00705612" w:rsidP="00774582">
      <w:pPr>
        <w:keepNext/>
        <w:jc w:val="both"/>
        <w:rPr>
          <w:rFonts w:ascii="Cambria" w:hAnsi="Cambria"/>
          <w:b/>
          <w:sz w:val="22"/>
          <w:szCs w:val="22"/>
        </w:rPr>
      </w:pPr>
      <w:r w:rsidRPr="00897421">
        <w:rPr>
          <w:rFonts w:ascii="Cambria" w:hAnsi="Cambria"/>
          <w:sz w:val="22"/>
          <w:szCs w:val="22"/>
        </w:rPr>
        <w:t xml:space="preserve">ARTG entries for </w:t>
      </w:r>
      <w:r w:rsidR="00897421" w:rsidRPr="00897421">
        <w:rPr>
          <w:rFonts w:ascii="Cambria" w:hAnsi="Cambria"/>
          <w:sz w:val="22"/>
          <w:szCs w:val="22"/>
        </w:rPr>
        <w:t xml:space="preserve">the </w:t>
      </w:r>
      <w:r w:rsidRPr="00897421">
        <w:rPr>
          <w:rFonts w:ascii="Cambria" w:hAnsi="Cambria"/>
          <w:sz w:val="22"/>
          <w:szCs w:val="22"/>
        </w:rPr>
        <w:t>IHC</w:t>
      </w:r>
      <w:r w:rsidR="00897421">
        <w:rPr>
          <w:rFonts w:ascii="Cambria" w:hAnsi="Cambria"/>
          <w:sz w:val="22"/>
          <w:szCs w:val="22"/>
        </w:rPr>
        <w:t>-based tests to</w:t>
      </w:r>
      <w:r w:rsidRPr="00897421">
        <w:rPr>
          <w:rFonts w:ascii="Cambria" w:hAnsi="Cambria"/>
          <w:sz w:val="22"/>
          <w:szCs w:val="22"/>
        </w:rPr>
        <w:t xml:space="preserve"> detect dMMR </w:t>
      </w:r>
      <w:r w:rsidR="00897421">
        <w:rPr>
          <w:rFonts w:ascii="Cambria" w:hAnsi="Cambria"/>
          <w:sz w:val="22"/>
          <w:szCs w:val="22"/>
        </w:rPr>
        <w:t xml:space="preserve">are listed in </w:t>
      </w:r>
      <w:r w:rsidRPr="00031B80">
        <w:rPr>
          <w:rFonts w:ascii="Cambria" w:hAnsi="Cambria"/>
          <w:sz w:val="22"/>
          <w:szCs w:val="22"/>
        </w:rPr>
        <w:t>the Sponsor’s application to MSAC, currently as Class II IVDs</w:t>
      </w:r>
      <w:r w:rsidR="00897421">
        <w:rPr>
          <w:rFonts w:ascii="Cambria" w:hAnsi="Cambria"/>
          <w:sz w:val="22"/>
          <w:szCs w:val="22"/>
        </w:rPr>
        <w:t>,</w:t>
      </w:r>
      <w:r w:rsidRPr="00031B80">
        <w:rPr>
          <w:rFonts w:ascii="Cambria" w:hAnsi="Cambria"/>
          <w:sz w:val="22"/>
          <w:szCs w:val="22"/>
        </w:rPr>
        <w:t xml:space="preserve"> but with the proposed usage as a predictive test (and as a screening tool for Lynch syndrome, response to adjuvant chemotherapy), these ought to be Class III IVDs:</w:t>
      </w:r>
    </w:p>
    <w:p w14:paraId="047DD645" w14:textId="0D548640" w:rsidR="00705612" w:rsidRPr="00774582" w:rsidRDefault="00705612" w:rsidP="00446A96">
      <w:pPr>
        <w:pStyle w:val="ListParagraph"/>
        <w:numPr>
          <w:ilvl w:val="0"/>
          <w:numId w:val="12"/>
        </w:numPr>
        <w:jc w:val="both"/>
        <w:rPr>
          <w:rFonts w:ascii="Cambria" w:hAnsi="Cambria"/>
          <w:i/>
          <w:sz w:val="22"/>
          <w:szCs w:val="22"/>
        </w:rPr>
      </w:pPr>
      <w:r w:rsidRPr="00774582">
        <w:rPr>
          <w:rFonts w:ascii="Cambria" w:hAnsi="Cambria"/>
          <w:i/>
          <w:sz w:val="22"/>
          <w:szCs w:val="22"/>
        </w:rPr>
        <w:t>Type</w:t>
      </w:r>
      <w:r w:rsidRPr="00774582">
        <w:rPr>
          <w:rFonts w:ascii="Cambria" w:hAnsi="Cambria" w:cs="Calibri"/>
          <w:i/>
          <w:sz w:val="22"/>
          <w:szCs w:val="22"/>
        </w:rPr>
        <w:t xml:space="preserve"> of therapeutic good: Class II </w:t>
      </w:r>
      <w:r w:rsidR="00CF7484" w:rsidRPr="00774582">
        <w:rPr>
          <w:rFonts w:ascii="Cambria" w:hAnsi="Cambria" w:cs="Calibri"/>
          <w:i/>
          <w:sz w:val="22"/>
          <w:szCs w:val="22"/>
        </w:rPr>
        <w:t>i</w:t>
      </w:r>
      <w:r w:rsidRPr="00774582">
        <w:rPr>
          <w:rFonts w:ascii="Cambria" w:hAnsi="Cambria" w:cs="Calibri"/>
          <w:i/>
          <w:sz w:val="22"/>
          <w:szCs w:val="22"/>
        </w:rPr>
        <w:t>n-vitr</w:t>
      </w:r>
      <w:r w:rsidR="00897421" w:rsidRPr="00774582">
        <w:rPr>
          <w:rFonts w:ascii="Cambria" w:hAnsi="Cambria" w:cs="Calibri"/>
          <w:i/>
          <w:sz w:val="22"/>
          <w:szCs w:val="22"/>
        </w:rPr>
        <w:t>o diagnostic test (GMDN CT1056)</w:t>
      </w:r>
    </w:p>
    <w:p w14:paraId="6A91D221" w14:textId="0E550BA1" w:rsidR="00705612" w:rsidRPr="00774582" w:rsidRDefault="00705612" w:rsidP="00446A96">
      <w:pPr>
        <w:pStyle w:val="ListParagraph"/>
        <w:numPr>
          <w:ilvl w:val="0"/>
          <w:numId w:val="12"/>
        </w:numPr>
        <w:jc w:val="both"/>
        <w:rPr>
          <w:rFonts w:ascii="Cambria" w:hAnsi="Cambria"/>
          <w:i/>
          <w:sz w:val="22"/>
          <w:szCs w:val="22"/>
        </w:rPr>
      </w:pPr>
      <w:r w:rsidRPr="00774582">
        <w:rPr>
          <w:rFonts w:ascii="Cambria" w:hAnsi="Cambria"/>
          <w:i/>
          <w:sz w:val="22"/>
          <w:szCs w:val="22"/>
        </w:rPr>
        <w:t>Manufacturer’s</w:t>
      </w:r>
      <w:r w:rsidRPr="00774582">
        <w:rPr>
          <w:rFonts w:ascii="Cambria" w:hAnsi="Cambria" w:cs="Calibri"/>
          <w:i/>
          <w:sz w:val="22"/>
          <w:szCs w:val="22"/>
        </w:rPr>
        <w:t xml:space="preserve"> name: </w:t>
      </w:r>
      <w:r w:rsidR="00CF7484" w:rsidRPr="00774582">
        <w:rPr>
          <w:rFonts w:ascii="Cambria" w:hAnsi="Cambria" w:cs="Calibri"/>
          <w:i/>
          <w:sz w:val="22"/>
          <w:szCs w:val="22"/>
        </w:rPr>
        <w:t>v</w:t>
      </w:r>
      <w:r w:rsidRPr="00774582">
        <w:rPr>
          <w:rFonts w:ascii="Cambria" w:hAnsi="Cambria" w:cs="Calibri"/>
          <w:i/>
          <w:sz w:val="22"/>
          <w:szCs w:val="22"/>
        </w:rPr>
        <w:t>a</w:t>
      </w:r>
      <w:r w:rsidR="00897421" w:rsidRPr="00774582">
        <w:rPr>
          <w:rFonts w:ascii="Cambria" w:hAnsi="Cambria" w:cs="Calibri"/>
          <w:i/>
          <w:sz w:val="22"/>
          <w:szCs w:val="22"/>
        </w:rPr>
        <w:t>rious (see listing in next row)</w:t>
      </w:r>
    </w:p>
    <w:p w14:paraId="77373D9C" w14:textId="035062E2" w:rsidR="00705612" w:rsidRPr="00774582" w:rsidRDefault="00705612" w:rsidP="00446A96">
      <w:pPr>
        <w:pStyle w:val="ListParagraph"/>
        <w:numPr>
          <w:ilvl w:val="0"/>
          <w:numId w:val="12"/>
        </w:numPr>
        <w:jc w:val="both"/>
        <w:rPr>
          <w:rFonts w:ascii="Cambria" w:hAnsi="Cambria"/>
          <w:i/>
          <w:sz w:val="22"/>
          <w:szCs w:val="22"/>
        </w:rPr>
      </w:pPr>
      <w:r w:rsidRPr="00774582">
        <w:rPr>
          <w:rFonts w:ascii="Cambria" w:hAnsi="Cambria"/>
          <w:i/>
          <w:sz w:val="22"/>
          <w:szCs w:val="22"/>
        </w:rPr>
        <w:t>Sponsor’s</w:t>
      </w:r>
      <w:r w:rsidRPr="00774582">
        <w:rPr>
          <w:rFonts w:ascii="Cambria" w:hAnsi="Cambria" w:cs="Calibri"/>
          <w:i/>
          <w:sz w:val="22"/>
          <w:szCs w:val="22"/>
        </w:rPr>
        <w:t xml:space="preserve"> name: </w:t>
      </w:r>
      <w:r w:rsidR="00CF7484" w:rsidRPr="00774582">
        <w:rPr>
          <w:rFonts w:ascii="Cambria" w:hAnsi="Cambria" w:cs="Calibri"/>
          <w:i/>
          <w:sz w:val="22"/>
          <w:szCs w:val="22"/>
        </w:rPr>
        <w:t>v</w:t>
      </w:r>
      <w:r w:rsidRPr="00774582">
        <w:rPr>
          <w:rFonts w:ascii="Cambria" w:hAnsi="Cambria" w:cs="Calibri"/>
          <w:i/>
          <w:sz w:val="22"/>
          <w:szCs w:val="22"/>
        </w:rPr>
        <w:t xml:space="preserve">arious (In house, </w:t>
      </w:r>
      <w:proofErr w:type="spellStart"/>
      <w:r w:rsidRPr="00774582">
        <w:rPr>
          <w:rFonts w:ascii="Cambria" w:hAnsi="Cambria" w:cs="Calibri"/>
          <w:i/>
          <w:sz w:val="22"/>
          <w:szCs w:val="22"/>
        </w:rPr>
        <w:t>Dako</w:t>
      </w:r>
      <w:proofErr w:type="spellEnd"/>
      <w:r w:rsidRPr="00774582">
        <w:rPr>
          <w:rFonts w:ascii="Cambria" w:hAnsi="Cambria" w:cs="Calibri"/>
          <w:i/>
          <w:sz w:val="22"/>
          <w:szCs w:val="22"/>
        </w:rPr>
        <w:t xml:space="preserve">, </w:t>
      </w:r>
      <w:proofErr w:type="spellStart"/>
      <w:r w:rsidRPr="00774582">
        <w:rPr>
          <w:rFonts w:ascii="Cambria" w:hAnsi="Cambria" w:cs="Calibri"/>
          <w:i/>
          <w:sz w:val="22"/>
          <w:szCs w:val="22"/>
        </w:rPr>
        <w:t>Biospecifix</w:t>
      </w:r>
      <w:proofErr w:type="spellEnd"/>
      <w:r w:rsidRPr="00774582">
        <w:rPr>
          <w:rFonts w:ascii="Cambria" w:hAnsi="Cambria" w:cs="Calibri"/>
          <w:i/>
          <w:sz w:val="22"/>
          <w:szCs w:val="22"/>
        </w:rPr>
        <w:t xml:space="preserve">, Roche, </w:t>
      </w:r>
      <w:proofErr w:type="spellStart"/>
      <w:r w:rsidRPr="00774582">
        <w:rPr>
          <w:rFonts w:ascii="Cambria" w:hAnsi="Cambria" w:cs="Calibri"/>
          <w:i/>
          <w:sz w:val="22"/>
          <w:szCs w:val="22"/>
        </w:rPr>
        <w:t>Thermo</w:t>
      </w:r>
      <w:proofErr w:type="spellEnd"/>
      <w:r w:rsidRPr="00774582">
        <w:rPr>
          <w:rFonts w:ascii="Cambria" w:hAnsi="Cambria" w:cs="Calibri"/>
          <w:i/>
          <w:sz w:val="22"/>
          <w:szCs w:val="22"/>
        </w:rPr>
        <w:t xml:space="preserve"> Fisher, </w:t>
      </w:r>
      <w:proofErr w:type="spellStart"/>
      <w:r w:rsidRPr="00774582">
        <w:rPr>
          <w:rFonts w:ascii="Cambria" w:hAnsi="Cambria" w:cs="Calibri"/>
          <w:i/>
          <w:sz w:val="22"/>
          <w:szCs w:val="22"/>
        </w:rPr>
        <w:t>MetaGene</w:t>
      </w:r>
      <w:proofErr w:type="spellEnd"/>
      <w:r w:rsidRPr="00774582">
        <w:rPr>
          <w:rFonts w:ascii="Cambria" w:hAnsi="Cambria" w:cs="Calibri"/>
          <w:i/>
          <w:sz w:val="22"/>
          <w:szCs w:val="22"/>
        </w:rPr>
        <w:t>, Abacus ALS, Becton Dickinson, Beckman Coulter, Life Technologie</w:t>
      </w:r>
      <w:r w:rsidR="00897421" w:rsidRPr="00774582">
        <w:rPr>
          <w:rFonts w:ascii="Cambria" w:hAnsi="Cambria" w:cs="Calibri"/>
          <w:i/>
          <w:sz w:val="22"/>
          <w:szCs w:val="22"/>
        </w:rPr>
        <w:t>s, Leica, Diagnostic Solutions</w:t>
      </w:r>
      <w:r w:rsidR="00CF7484" w:rsidRPr="00774582">
        <w:rPr>
          <w:rFonts w:ascii="Cambria" w:hAnsi="Cambria" w:cs="Calibri"/>
          <w:i/>
          <w:sz w:val="22"/>
          <w:szCs w:val="22"/>
        </w:rPr>
        <w:t>)</w:t>
      </w:r>
    </w:p>
    <w:p w14:paraId="6415F920" w14:textId="0E1D4DB3" w:rsidR="00774582" w:rsidRPr="00446C99" w:rsidRDefault="00705612" w:rsidP="00446C99">
      <w:pPr>
        <w:pStyle w:val="ListParagraph"/>
        <w:numPr>
          <w:ilvl w:val="0"/>
          <w:numId w:val="12"/>
        </w:numPr>
        <w:spacing w:after="240"/>
        <w:jc w:val="both"/>
        <w:rPr>
          <w:rFonts w:ascii="Cambria" w:hAnsi="Cambria"/>
          <w:i/>
          <w:sz w:val="22"/>
          <w:szCs w:val="22"/>
        </w:rPr>
      </w:pPr>
      <w:r w:rsidRPr="00774582">
        <w:rPr>
          <w:rFonts w:ascii="Cambria" w:hAnsi="Cambria"/>
          <w:i/>
          <w:sz w:val="22"/>
          <w:szCs w:val="22"/>
        </w:rPr>
        <w:t>ARTG</w:t>
      </w:r>
      <w:r w:rsidRPr="00774582">
        <w:rPr>
          <w:rFonts w:ascii="Cambria" w:hAnsi="Cambria" w:cs="Calibri"/>
          <w:i/>
          <w:sz w:val="22"/>
          <w:szCs w:val="22"/>
        </w:rPr>
        <w:t xml:space="preserve"> listing, registration or inclusion number: 279628, 269420, 240833, 239099, 216549, </w:t>
      </w:r>
      <w:r w:rsidRPr="00031B80">
        <w:rPr>
          <w:rFonts w:ascii="Cambria" w:hAnsi="Cambria" w:cs="Calibri"/>
          <w:i/>
          <w:sz w:val="22"/>
          <w:szCs w:val="22"/>
        </w:rPr>
        <w:t>248292, 224218, 175635, 262536, 183436, 229929, 240833, 224829, 224373,</w:t>
      </w:r>
      <w:r w:rsidR="00897421">
        <w:rPr>
          <w:rFonts w:ascii="Cambria" w:hAnsi="Cambria" w:cs="Calibri"/>
          <w:i/>
          <w:sz w:val="22"/>
          <w:szCs w:val="22"/>
        </w:rPr>
        <w:t xml:space="preserve"> 214553, 212747, 208140, 178442</w:t>
      </w:r>
      <w:r w:rsidR="00CF7484">
        <w:rPr>
          <w:rFonts w:ascii="Cambria" w:hAnsi="Cambria" w:cs="Calibri"/>
          <w:i/>
          <w:sz w:val="22"/>
          <w:szCs w:val="22"/>
        </w:rPr>
        <w:t>.</w:t>
      </w:r>
    </w:p>
    <w:p w14:paraId="3177AEAE" w14:textId="1C8CE410" w:rsidR="008D3142" w:rsidRPr="00BA0A68" w:rsidRDefault="00830EF2" w:rsidP="00AF1909">
      <w:pPr>
        <w:pStyle w:val="Heading4"/>
        <w:ind w:firstLine="0"/>
      </w:pPr>
      <w:r w:rsidRPr="008D3142">
        <w:t xml:space="preserve">MSI </w:t>
      </w:r>
      <w:r w:rsidR="00897421">
        <w:t>detection</w:t>
      </w:r>
    </w:p>
    <w:p w14:paraId="60D2D3CC" w14:textId="782D3DBA" w:rsidR="001465CD" w:rsidRPr="00031B80" w:rsidRDefault="008D3142" w:rsidP="00446C99">
      <w:pPr>
        <w:keepNext/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No information is provided</w:t>
      </w:r>
      <w:r w:rsidR="00705612">
        <w:rPr>
          <w:rFonts w:ascii="Cambria" w:hAnsi="Cambria"/>
          <w:sz w:val="22"/>
          <w:szCs w:val="22"/>
        </w:rPr>
        <w:t xml:space="preserve"> about current availability or entries in ARTG</w:t>
      </w:r>
      <w:r>
        <w:rPr>
          <w:rFonts w:ascii="Cambria" w:hAnsi="Cambria"/>
          <w:sz w:val="22"/>
          <w:szCs w:val="22"/>
        </w:rPr>
        <w:t xml:space="preserve"> in the application to MSAC as this is not being requested for listi</w:t>
      </w:r>
      <w:r w:rsidR="00897421">
        <w:rPr>
          <w:rFonts w:ascii="Cambria" w:hAnsi="Cambria"/>
          <w:sz w:val="22"/>
          <w:szCs w:val="22"/>
        </w:rPr>
        <w:t>ng for the proposed application.</w:t>
      </w:r>
      <w:r>
        <w:rPr>
          <w:rFonts w:ascii="Cambria" w:hAnsi="Cambria"/>
          <w:sz w:val="22"/>
          <w:szCs w:val="22"/>
        </w:rPr>
        <w:t xml:space="preserve"> The TGA was requested to provide this information and could not identify any tests on the ARTG.</w:t>
      </w:r>
      <w:r w:rsidR="00DB4D25">
        <w:rPr>
          <w:rFonts w:ascii="Cambria" w:hAnsi="Cambria"/>
          <w:sz w:val="22"/>
          <w:szCs w:val="22"/>
        </w:rPr>
        <w:t xml:space="preserve"> The ARTG cannot be searched by the intended purpose of the test and therefore no inclusions could be identified.</w:t>
      </w:r>
    </w:p>
    <w:p w14:paraId="00AF8932" w14:textId="227D59AE" w:rsidR="00CD5E6A" w:rsidRPr="00751A3E" w:rsidRDefault="00F34D49" w:rsidP="00AF1909">
      <w:pPr>
        <w:pStyle w:val="Heading4"/>
        <w:ind w:firstLine="0"/>
      </w:pPr>
      <w:r w:rsidRPr="00751A3E">
        <w:t>Next generation sequencing</w:t>
      </w:r>
    </w:p>
    <w:p w14:paraId="31038FFD" w14:textId="38CE80A1" w:rsidR="00F32573" w:rsidRPr="00031B80" w:rsidRDefault="00F34D49" w:rsidP="00446C99">
      <w:pPr>
        <w:keepNext/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This is reported as being used for this purpose in the Australian medical literature, but the extent and availability of these for </w:t>
      </w:r>
      <w:r w:rsidR="00897421">
        <w:rPr>
          <w:rFonts w:ascii="Cambria" w:hAnsi="Cambria"/>
          <w:sz w:val="22"/>
          <w:szCs w:val="22"/>
        </w:rPr>
        <w:t xml:space="preserve">the proposed usage is unclear. </w:t>
      </w:r>
      <w:r>
        <w:rPr>
          <w:rFonts w:ascii="Cambria" w:hAnsi="Cambria"/>
          <w:sz w:val="22"/>
          <w:szCs w:val="22"/>
        </w:rPr>
        <w:t>Likewise</w:t>
      </w:r>
      <w:r w:rsidR="00751A3E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whether these assays are developed in-house and the extent of any validation is unclear.</w:t>
      </w:r>
    </w:p>
    <w:p w14:paraId="39777FDC" w14:textId="4716CBB8" w:rsidR="00897421" w:rsidRPr="00A537D4" w:rsidRDefault="00533D3E" w:rsidP="00A537D4">
      <w:pPr>
        <w:pStyle w:val="Heading2"/>
        <w:rPr>
          <w:b/>
          <w:color w:val="660066"/>
        </w:rPr>
      </w:pPr>
      <w:r w:rsidRPr="00A537D4">
        <w:rPr>
          <w:b/>
          <w:color w:val="660066"/>
        </w:rPr>
        <w:t>2.</w:t>
      </w:r>
      <w:r w:rsidR="00897421" w:rsidRPr="00A537D4">
        <w:rPr>
          <w:b/>
          <w:color w:val="660066"/>
        </w:rPr>
        <w:t xml:space="preserve"> </w:t>
      </w:r>
      <w:r w:rsidR="00041E0A" w:rsidRPr="00A537D4">
        <w:rPr>
          <w:b/>
          <w:color w:val="660066"/>
        </w:rPr>
        <w:t>What uncertainties arise from the data provided supporting the tests and proposed usage?</w:t>
      </w:r>
    </w:p>
    <w:p w14:paraId="0E4C0989" w14:textId="220330B6" w:rsidR="00041E0A" w:rsidRPr="00446C99" w:rsidRDefault="00041E0A" w:rsidP="00446C99">
      <w:pPr>
        <w:keepNext/>
        <w:spacing w:after="240"/>
        <w:jc w:val="both"/>
        <w:rPr>
          <w:rFonts w:ascii="Cambria" w:hAnsi="Cambria"/>
          <w:sz w:val="22"/>
          <w:szCs w:val="22"/>
        </w:rPr>
      </w:pPr>
      <w:r w:rsidRPr="00041E0A">
        <w:rPr>
          <w:rFonts w:ascii="Cambria" w:hAnsi="Cambria"/>
          <w:sz w:val="22"/>
          <w:szCs w:val="22"/>
        </w:rPr>
        <w:t xml:space="preserve">No data are provided in support of the clinical validity and clinical utility of the tests </w:t>
      </w:r>
      <w:r>
        <w:rPr>
          <w:rFonts w:ascii="Cambria" w:hAnsi="Cambria"/>
          <w:sz w:val="22"/>
          <w:szCs w:val="22"/>
        </w:rPr>
        <w:t xml:space="preserve">themselves as </w:t>
      </w:r>
      <w:r w:rsidRPr="00041E0A">
        <w:rPr>
          <w:rFonts w:ascii="Cambria" w:hAnsi="Cambria"/>
          <w:sz w:val="22"/>
          <w:szCs w:val="22"/>
        </w:rPr>
        <w:t xml:space="preserve">used in the </w:t>
      </w:r>
      <w:r w:rsidR="00377233">
        <w:rPr>
          <w:rFonts w:ascii="Cambria" w:hAnsi="Cambria"/>
          <w:sz w:val="22"/>
          <w:szCs w:val="22"/>
        </w:rPr>
        <w:t>registration studies</w:t>
      </w:r>
      <w:r>
        <w:rPr>
          <w:rFonts w:ascii="Cambria" w:hAnsi="Cambria"/>
          <w:sz w:val="22"/>
          <w:szCs w:val="22"/>
        </w:rPr>
        <w:t xml:space="preserve"> of pembrolizumab for the pan-tumour indication currently </w:t>
      </w:r>
      <w:r>
        <w:rPr>
          <w:rFonts w:ascii="Cambria" w:hAnsi="Cambria"/>
          <w:sz w:val="22"/>
          <w:szCs w:val="22"/>
        </w:rPr>
        <w:lastRenderedPageBreak/>
        <w:t>sought. The uncertainties are addressed in the following review of tests for determining dMMR in a range of cancers</w:t>
      </w:r>
      <w:r w:rsidR="00AE6930">
        <w:rPr>
          <w:rFonts w:ascii="Cambria" w:hAnsi="Cambria"/>
          <w:sz w:val="22"/>
          <w:szCs w:val="22"/>
        </w:rPr>
        <w:t xml:space="preserve"> and in the summaries about the tests above</w:t>
      </w:r>
      <w:r>
        <w:rPr>
          <w:rFonts w:ascii="Cambria" w:hAnsi="Cambria"/>
          <w:sz w:val="22"/>
          <w:szCs w:val="22"/>
        </w:rPr>
        <w:t>.</w:t>
      </w:r>
    </w:p>
    <w:p w14:paraId="6CC58603" w14:textId="1D9D4918" w:rsidR="00E1115F" w:rsidRPr="00A537D4" w:rsidRDefault="00533D3E" w:rsidP="00A537D4">
      <w:pPr>
        <w:pStyle w:val="Heading2"/>
        <w:rPr>
          <w:b/>
          <w:color w:val="660066"/>
        </w:rPr>
      </w:pPr>
      <w:r w:rsidRPr="00A537D4">
        <w:rPr>
          <w:b/>
          <w:color w:val="660066"/>
        </w:rPr>
        <w:t>3.</w:t>
      </w:r>
      <w:r w:rsidR="00897421" w:rsidRPr="00A537D4">
        <w:rPr>
          <w:b/>
          <w:color w:val="660066"/>
        </w:rPr>
        <w:t xml:space="preserve"> </w:t>
      </w:r>
      <w:r w:rsidR="00F32573" w:rsidRPr="00A537D4">
        <w:rPr>
          <w:b/>
          <w:color w:val="660066"/>
        </w:rPr>
        <w:t>What evidence is currently available to support the clinical performance (inc</w:t>
      </w:r>
      <w:r w:rsidR="00897421" w:rsidRPr="00A537D4">
        <w:rPr>
          <w:b/>
          <w:color w:val="660066"/>
        </w:rPr>
        <w:t>luding</w:t>
      </w:r>
      <w:r w:rsidR="00F32573" w:rsidRPr="00A537D4">
        <w:rPr>
          <w:b/>
          <w:color w:val="660066"/>
        </w:rPr>
        <w:t xml:space="preserve"> clinical validity and clinical utility) of the tests in the specific tumour types?</w:t>
      </w:r>
    </w:p>
    <w:p w14:paraId="3C63DBC5" w14:textId="58013250" w:rsidR="00864684" w:rsidRPr="00A537D4" w:rsidRDefault="00E1115F" w:rsidP="00A537D4">
      <w:pPr>
        <w:pStyle w:val="Heading3"/>
        <w:rPr>
          <w:color w:val="660066"/>
        </w:rPr>
      </w:pPr>
      <w:r w:rsidRPr="00A537D4">
        <w:rPr>
          <w:color w:val="660066"/>
        </w:rPr>
        <w:t>Colorectal cancer</w:t>
      </w:r>
    </w:p>
    <w:p w14:paraId="64ED3310" w14:textId="6314F2A1" w:rsidR="00864684" w:rsidRPr="00864684" w:rsidRDefault="00864684" w:rsidP="00D47919">
      <w:pPr>
        <w:keepNext/>
        <w:jc w:val="both"/>
        <w:rPr>
          <w:rFonts w:ascii="Cambria" w:hAnsi="Cambria"/>
          <w:sz w:val="22"/>
          <w:szCs w:val="22"/>
          <w:lang w:val="en-US"/>
        </w:rPr>
      </w:pPr>
      <w:r w:rsidRPr="00864684">
        <w:rPr>
          <w:rFonts w:ascii="Cambria" w:hAnsi="Cambria"/>
          <w:sz w:val="22"/>
          <w:szCs w:val="22"/>
          <w:lang w:val="en-US"/>
        </w:rPr>
        <w:t>12% of color</w:t>
      </w:r>
      <w:r w:rsidR="00CF7484">
        <w:rPr>
          <w:rFonts w:ascii="Cambria" w:hAnsi="Cambria"/>
          <w:sz w:val="22"/>
          <w:szCs w:val="22"/>
          <w:lang w:val="en-US"/>
        </w:rPr>
        <w:t>ectal cancers are sporadic MSI:</w:t>
      </w:r>
    </w:p>
    <w:p w14:paraId="7ACCCDC4" w14:textId="7F8CAEAB" w:rsidR="00864684" w:rsidRDefault="00CF7484" w:rsidP="00D47919">
      <w:pPr>
        <w:pStyle w:val="ListParagraph"/>
        <w:keepNext/>
        <w:numPr>
          <w:ilvl w:val="0"/>
          <w:numId w:val="12"/>
        </w:numPr>
        <w:jc w:val="both"/>
        <w:rPr>
          <w:rFonts w:ascii="Cambria" w:hAnsi="Cambria"/>
          <w:sz w:val="22"/>
          <w:szCs w:val="22"/>
          <w:lang w:val="en-US"/>
        </w:rPr>
      </w:pPr>
      <w:r w:rsidRPr="00446A96">
        <w:rPr>
          <w:rFonts w:ascii="Cambria" w:hAnsi="Cambria"/>
          <w:sz w:val="22"/>
          <w:szCs w:val="22"/>
        </w:rPr>
        <w:t>m</w:t>
      </w:r>
      <w:r w:rsidR="00864684" w:rsidRPr="00446A96">
        <w:rPr>
          <w:rFonts w:ascii="Cambria" w:hAnsi="Cambria"/>
          <w:sz w:val="22"/>
          <w:szCs w:val="22"/>
        </w:rPr>
        <w:t>ajority</w:t>
      </w:r>
      <w:r w:rsidR="00864684">
        <w:rPr>
          <w:rFonts w:ascii="Cambria" w:hAnsi="Cambria"/>
          <w:sz w:val="22"/>
          <w:szCs w:val="22"/>
          <w:lang w:val="en-US"/>
        </w:rPr>
        <w:t xml:space="preserve"> </w:t>
      </w:r>
      <w:r w:rsidR="002D32DB">
        <w:rPr>
          <w:rFonts w:ascii="Cambria" w:hAnsi="Cambria"/>
          <w:sz w:val="22"/>
          <w:szCs w:val="22"/>
          <w:lang w:val="en-US"/>
        </w:rPr>
        <w:t xml:space="preserve">of </w:t>
      </w:r>
      <w:r w:rsidR="002D32DB" w:rsidRPr="007C56FC">
        <w:rPr>
          <w:rFonts w:ascii="Cambria" w:hAnsi="Cambria"/>
          <w:sz w:val="22"/>
          <w:szCs w:val="22"/>
        </w:rPr>
        <w:t>these</w:t>
      </w:r>
      <w:r w:rsidR="002D32DB">
        <w:rPr>
          <w:rFonts w:ascii="Cambria" w:hAnsi="Cambria"/>
          <w:sz w:val="22"/>
          <w:szCs w:val="22"/>
          <w:lang w:val="en-US"/>
        </w:rPr>
        <w:t xml:space="preserve"> </w:t>
      </w:r>
      <w:r w:rsidR="00864684">
        <w:rPr>
          <w:rFonts w:ascii="Cambria" w:hAnsi="Cambria"/>
          <w:sz w:val="22"/>
          <w:szCs w:val="22"/>
          <w:lang w:val="en-US"/>
        </w:rPr>
        <w:t xml:space="preserve">have </w:t>
      </w:r>
      <w:r w:rsidR="00864684" w:rsidRPr="00BB12B3">
        <w:rPr>
          <w:rFonts w:ascii="Cambria" w:hAnsi="Cambria"/>
          <w:i/>
          <w:sz w:val="22"/>
          <w:szCs w:val="22"/>
          <w:lang w:val="en-US"/>
        </w:rPr>
        <w:t>MLH1</w:t>
      </w:r>
      <w:r w:rsidR="00864684">
        <w:rPr>
          <w:rFonts w:ascii="Cambria" w:hAnsi="Cambria"/>
          <w:sz w:val="22"/>
          <w:szCs w:val="22"/>
          <w:lang w:val="en-US"/>
        </w:rPr>
        <w:t xml:space="preserve"> promoter hypermethylation, 60% have </w:t>
      </w:r>
      <w:r w:rsidR="00864684" w:rsidRPr="00BB12B3">
        <w:rPr>
          <w:rFonts w:ascii="Cambria" w:hAnsi="Cambria"/>
          <w:i/>
          <w:sz w:val="22"/>
          <w:szCs w:val="22"/>
          <w:lang w:val="en-US"/>
        </w:rPr>
        <w:t>BRAF V600E</w:t>
      </w:r>
      <w:r w:rsidR="00864684">
        <w:rPr>
          <w:rFonts w:ascii="Cambria" w:hAnsi="Cambria"/>
          <w:sz w:val="22"/>
          <w:szCs w:val="22"/>
          <w:lang w:val="en-US"/>
        </w:rPr>
        <w:t xml:space="preserve"> mutation</w:t>
      </w:r>
    </w:p>
    <w:p w14:paraId="1DFEDA0E" w14:textId="32E37900" w:rsidR="00864684" w:rsidRDefault="00CF7484" w:rsidP="007C56F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</w:rPr>
        <w:t>s</w:t>
      </w:r>
      <w:r w:rsidR="00864684" w:rsidRPr="007C56FC">
        <w:rPr>
          <w:rFonts w:ascii="Cambria" w:hAnsi="Cambria"/>
          <w:sz w:val="22"/>
          <w:szCs w:val="22"/>
        </w:rPr>
        <w:t>omatic</w:t>
      </w:r>
      <w:r w:rsidR="00864684">
        <w:rPr>
          <w:rFonts w:ascii="Cambria" w:hAnsi="Cambria"/>
          <w:sz w:val="22"/>
          <w:szCs w:val="22"/>
          <w:lang w:val="en-US"/>
        </w:rPr>
        <w:t xml:space="preserve"> biallelic hits</w:t>
      </w:r>
    </w:p>
    <w:p w14:paraId="55001CAF" w14:textId="7E6969B8" w:rsidR="00864684" w:rsidRDefault="00CF7484" w:rsidP="007C56F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r</w:t>
      </w:r>
      <w:r w:rsidR="00864684">
        <w:rPr>
          <w:rFonts w:ascii="Cambria" w:hAnsi="Cambria"/>
          <w:sz w:val="22"/>
          <w:szCs w:val="22"/>
          <w:lang w:val="en-US"/>
        </w:rPr>
        <w:t>ate of detection of MSI</w:t>
      </w:r>
      <w:r>
        <w:rPr>
          <w:rFonts w:ascii="Cambria" w:hAnsi="Cambria"/>
          <w:sz w:val="22"/>
          <w:szCs w:val="22"/>
          <w:lang w:val="en-US"/>
        </w:rPr>
        <w:t xml:space="preserve"> higher in cancer than adenomas.</w:t>
      </w:r>
    </w:p>
    <w:p w14:paraId="4C4096FD" w14:textId="4D6C6471" w:rsidR="00864684" w:rsidRPr="00446C99" w:rsidRDefault="00864684" w:rsidP="00446C99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 w:rsidRPr="00864684">
        <w:rPr>
          <w:rFonts w:ascii="Cambria" w:hAnsi="Cambria"/>
          <w:sz w:val="22"/>
          <w:szCs w:val="22"/>
          <w:lang w:val="en-US"/>
        </w:rPr>
        <w:t xml:space="preserve">3% have Lynch syndrome (germline defect in </w:t>
      </w:r>
      <w:r w:rsidRPr="00BB12B3">
        <w:rPr>
          <w:rFonts w:ascii="Cambria" w:hAnsi="Cambria"/>
          <w:i/>
          <w:sz w:val="22"/>
          <w:szCs w:val="22"/>
        </w:rPr>
        <w:t>MLH1</w:t>
      </w:r>
      <w:r w:rsidRPr="00864684">
        <w:rPr>
          <w:rFonts w:ascii="Cambria" w:hAnsi="Cambria"/>
          <w:sz w:val="22"/>
          <w:szCs w:val="22"/>
        </w:rPr>
        <w:t xml:space="preserve">, </w:t>
      </w:r>
      <w:r w:rsidRPr="00BB12B3">
        <w:rPr>
          <w:rFonts w:ascii="Cambria" w:hAnsi="Cambria"/>
          <w:i/>
          <w:sz w:val="22"/>
          <w:szCs w:val="22"/>
        </w:rPr>
        <w:t>MSH2</w:t>
      </w:r>
      <w:r w:rsidRPr="00864684">
        <w:rPr>
          <w:rFonts w:ascii="Cambria" w:hAnsi="Cambria"/>
          <w:sz w:val="22"/>
          <w:szCs w:val="22"/>
        </w:rPr>
        <w:t xml:space="preserve">, </w:t>
      </w:r>
      <w:r w:rsidRPr="00BB12B3">
        <w:rPr>
          <w:rFonts w:ascii="Cambria" w:hAnsi="Cambria"/>
          <w:i/>
          <w:sz w:val="22"/>
          <w:szCs w:val="22"/>
        </w:rPr>
        <w:t>MSH6</w:t>
      </w:r>
      <w:r w:rsidRPr="00864684">
        <w:rPr>
          <w:rFonts w:ascii="Cambria" w:hAnsi="Cambria"/>
          <w:sz w:val="22"/>
          <w:szCs w:val="22"/>
        </w:rPr>
        <w:t xml:space="preserve">, </w:t>
      </w:r>
      <w:r w:rsidRPr="00BB12B3">
        <w:rPr>
          <w:rFonts w:ascii="Cambria" w:hAnsi="Cambria"/>
          <w:i/>
          <w:sz w:val="22"/>
          <w:szCs w:val="22"/>
        </w:rPr>
        <w:t>PMS2</w:t>
      </w:r>
      <w:r w:rsidRPr="00864684">
        <w:rPr>
          <w:rFonts w:ascii="Cambria" w:hAnsi="Cambria"/>
          <w:sz w:val="22"/>
          <w:szCs w:val="22"/>
        </w:rPr>
        <w:t xml:space="preserve">, </w:t>
      </w:r>
      <w:r w:rsidRPr="00BB12B3">
        <w:rPr>
          <w:rFonts w:ascii="Cambria" w:hAnsi="Cambria"/>
          <w:i/>
          <w:sz w:val="22"/>
          <w:szCs w:val="22"/>
        </w:rPr>
        <w:t>EPCAM</w:t>
      </w:r>
      <w:r w:rsidRPr="00864684">
        <w:rPr>
          <w:rFonts w:ascii="Cambria" w:hAnsi="Cambria"/>
          <w:sz w:val="22"/>
          <w:szCs w:val="22"/>
        </w:rPr>
        <w:t>)</w:t>
      </w:r>
      <w:r w:rsidR="00CF7484">
        <w:rPr>
          <w:rFonts w:ascii="Cambria" w:hAnsi="Cambria"/>
          <w:sz w:val="22"/>
          <w:szCs w:val="22"/>
        </w:rPr>
        <w:t>.</w:t>
      </w:r>
    </w:p>
    <w:p w14:paraId="35804902" w14:textId="0D036C8C" w:rsidR="00884821" w:rsidRPr="00884821" w:rsidRDefault="0083647A" w:rsidP="00446C99">
      <w:pPr>
        <w:spacing w:after="240"/>
        <w:jc w:val="both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lang w:val="en-US"/>
        </w:rPr>
        <w:t xml:space="preserve">The clinical validity and clinical utility of MSI testing, ICH and more recently, NGS has been established for colorectal cancer, for the intended purposes of determining prognosis, possibly a predictive role for </w:t>
      </w:r>
      <w:proofErr w:type="gramStart"/>
      <w:r>
        <w:rPr>
          <w:rFonts w:ascii="Cambria" w:hAnsi="Cambria"/>
          <w:sz w:val="22"/>
          <w:szCs w:val="22"/>
          <w:lang w:val="en-US"/>
        </w:rPr>
        <w:t>early stage</w:t>
      </w:r>
      <w:proofErr w:type="gramEnd"/>
      <w:r>
        <w:rPr>
          <w:rFonts w:ascii="Cambria" w:hAnsi="Cambria"/>
          <w:sz w:val="22"/>
          <w:szCs w:val="22"/>
          <w:lang w:val="en-US"/>
        </w:rPr>
        <w:t xml:space="preserve"> adjuvant treatments (colorectal cancer) and as a screening method for detecting Lynch syndrome, (EGAPP, 2009; CADTH </w:t>
      </w:r>
      <w:proofErr w:type="spellStart"/>
      <w:r>
        <w:rPr>
          <w:rFonts w:ascii="Cambria" w:hAnsi="Cambria"/>
          <w:sz w:val="22"/>
          <w:szCs w:val="22"/>
          <w:lang w:val="en-US"/>
        </w:rPr>
        <w:t>Assasi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et al, 2016; Latham et al, 2018; Nowak et al</w:t>
      </w:r>
      <w:r w:rsidR="004C0BBC">
        <w:rPr>
          <w:rFonts w:ascii="Cambria" w:hAnsi="Cambria"/>
          <w:sz w:val="22"/>
          <w:szCs w:val="22"/>
          <w:lang w:val="en-US"/>
        </w:rPr>
        <w:t>,</w:t>
      </w:r>
      <w:r>
        <w:rPr>
          <w:rFonts w:ascii="Cambria" w:hAnsi="Cambria"/>
          <w:sz w:val="22"/>
          <w:szCs w:val="22"/>
          <w:lang w:val="en-US"/>
        </w:rPr>
        <w:t xml:space="preserve"> 2017).</w:t>
      </w:r>
      <w:r w:rsidR="00CA13D6">
        <w:rPr>
          <w:rFonts w:ascii="Cambria" w:hAnsi="Cambria"/>
          <w:sz w:val="22"/>
          <w:szCs w:val="22"/>
          <w:lang w:val="en-US"/>
        </w:rPr>
        <w:t xml:space="preserve"> </w:t>
      </w:r>
      <w:r w:rsidR="00C74C8D">
        <w:rPr>
          <w:rFonts w:ascii="Cambria" w:hAnsi="Cambria"/>
          <w:sz w:val="22"/>
          <w:szCs w:val="22"/>
          <w:lang w:val="en-US"/>
        </w:rPr>
        <w:t>Hampel et al (2018) confirmed that direct sequencing rather than the traditional 6-step process for identifying Lynch syndrome was superior to existing methodologies</w:t>
      </w:r>
      <w:r w:rsidR="00C74C8D" w:rsidRPr="00C74C8D">
        <w:rPr>
          <w:rFonts w:ascii="Cambria" w:hAnsi="Cambria"/>
          <w:sz w:val="22"/>
          <w:szCs w:val="22"/>
          <w:lang w:val="en-US"/>
        </w:rPr>
        <w:t>: ”</w:t>
      </w:r>
      <w:proofErr w:type="spellStart"/>
      <w:r w:rsidR="00C74C8D" w:rsidRPr="00C74C8D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Tumor</w:t>
      </w:r>
      <w:proofErr w:type="spellEnd"/>
      <w:r w:rsidR="00C74C8D" w:rsidRPr="00C74C8D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sequencing alone had better sensitivity (100%; 95% CI, 93.8%-100%) than IHC plus BRAF (89.7%; 95% CI, 78.8%-96.1%; P = .04) and MSI plus BRAF (91.4%; 95% CI, 81.0%-97.1%; P = .07). </w:t>
      </w:r>
      <w:proofErr w:type="spellStart"/>
      <w:r w:rsidR="00C74C8D" w:rsidRPr="00C74C8D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Tumor</w:t>
      </w:r>
      <w:proofErr w:type="spellEnd"/>
      <w:r w:rsidR="00C74C8D" w:rsidRPr="00C74C8D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sequencing had equal specificity (95.3%; 95% CI, 92.6%-97.2%) to IHC plus BRAF (94.6%; 95% CI, 91.9%-96.6%; P &gt; .99) and MSI plus BRAF (94.8%; 95% CI, </w:t>
      </w:r>
      <w:r w:rsidR="00C74C8D" w:rsidRPr="0088482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92.2%-96.8%; P = .88).” In addition, a high proportion of positive results were obtained for other predictive biomarkers in the panel, including </w:t>
      </w:r>
      <w:r w:rsidR="00C74C8D" w:rsidRPr="00BB12B3">
        <w:rPr>
          <w:rFonts w:ascii="Cambria" w:hAnsi="Cambria" w:cs="Arial"/>
          <w:i/>
          <w:color w:val="000000"/>
          <w:sz w:val="22"/>
          <w:szCs w:val="22"/>
          <w:shd w:val="clear" w:color="auto" w:fill="FFFFFF"/>
        </w:rPr>
        <w:t>KRAS</w:t>
      </w:r>
      <w:r w:rsidR="00C74C8D" w:rsidRPr="0088482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, </w:t>
      </w:r>
      <w:r w:rsidR="00C74C8D" w:rsidRPr="00BB12B3">
        <w:rPr>
          <w:rFonts w:ascii="Cambria" w:hAnsi="Cambria" w:cs="Arial"/>
          <w:i/>
          <w:color w:val="000000"/>
          <w:sz w:val="22"/>
          <w:szCs w:val="22"/>
          <w:shd w:val="clear" w:color="auto" w:fill="FFFFFF"/>
        </w:rPr>
        <w:t>NRAS</w:t>
      </w:r>
      <w:r w:rsidR="00C74C8D" w:rsidRPr="0088482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, </w:t>
      </w:r>
      <w:r w:rsidR="00C74C8D" w:rsidRPr="00BB12B3">
        <w:rPr>
          <w:rFonts w:ascii="Cambria" w:hAnsi="Cambria" w:cs="Arial"/>
          <w:i/>
          <w:color w:val="000000"/>
          <w:sz w:val="22"/>
          <w:szCs w:val="22"/>
          <w:shd w:val="clear" w:color="auto" w:fill="FFFFFF"/>
        </w:rPr>
        <w:t>BRAF</w:t>
      </w:r>
      <w:r w:rsidR="00C74C8D" w:rsidRPr="0088482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mutations as well as </w:t>
      </w:r>
      <w:r w:rsidR="00C74C8D" w:rsidRPr="00BB12B3">
        <w:rPr>
          <w:rFonts w:ascii="Cambria" w:hAnsi="Cambria" w:cs="Arial"/>
          <w:i/>
          <w:color w:val="000000"/>
          <w:sz w:val="22"/>
          <w:szCs w:val="22"/>
          <w:shd w:val="clear" w:color="auto" w:fill="FFFFFF"/>
        </w:rPr>
        <w:t>DPYD</w:t>
      </w:r>
      <w:r w:rsidR="00C74C8D" w:rsidRPr="0088482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germline mutations, </w:t>
      </w:r>
      <w:r w:rsidR="00087B1A" w:rsidRPr="0088482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indicating</w:t>
      </w:r>
      <w:r w:rsidR="00B33BD6" w:rsidRPr="0088482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an</w:t>
      </w:r>
      <w:r w:rsidR="00C74C8D" w:rsidRPr="0088482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increased risk of toxicity with 5-FU.</w:t>
      </w:r>
    </w:p>
    <w:p w14:paraId="417282D6" w14:textId="62C8A22E" w:rsidR="0083647A" w:rsidRPr="00446C99" w:rsidRDefault="00884821" w:rsidP="00446C99">
      <w:pPr>
        <w:spacing w:after="240"/>
        <w:jc w:val="both"/>
        <w:rPr>
          <w:rFonts w:ascii="Cambria" w:hAnsi="Cambria"/>
          <w:sz w:val="22"/>
          <w:szCs w:val="22"/>
        </w:rPr>
      </w:pPr>
      <w:r w:rsidRPr="00884821">
        <w:rPr>
          <w:rFonts w:ascii="Cambria" w:hAnsi="Cambria"/>
          <w:sz w:val="22"/>
          <w:szCs w:val="22"/>
        </w:rPr>
        <w:t xml:space="preserve">Heterogeneity for dMMR </w:t>
      </w:r>
      <w:r>
        <w:rPr>
          <w:rFonts w:ascii="Cambria" w:hAnsi="Cambria"/>
          <w:sz w:val="22"/>
          <w:szCs w:val="22"/>
        </w:rPr>
        <w:t xml:space="preserve">determined by IHC, </w:t>
      </w:r>
      <w:r w:rsidRPr="00884821">
        <w:rPr>
          <w:rFonts w:ascii="Cambria" w:hAnsi="Cambria"/>
          <w:sz w:val="22"/>
          <w:szCs w:val="22"/>
        </w:rPr>
        <w:t>between the primary and metastatic specimens from the same patient</w:t>
      </w:r>
      <w:r>
        <w:rPr>
          <w:rFonts w:ascii="Cambria" w:hAnsi="Cambria"/>
          <w:sz w:val="22"/>
          <w:szCs w:val="22"/>
        </w:rPr>
        <w:t>,</w:t>
      </w:r>
      <w:r w:rsidRPr="00884821">
        <w:rPr>
          <w:rFonts w:ascii="Cambria" w:hAnsi="Cambria"/>
          <w:sz w:val="22"/>
          <w:szCs w:val="22"/>
        </w:rPr>
        <w:t xml:space="preserve"> </w:t>
      </w:r>
      <w:r w:rsidR="00A615CB">
        <w:rPr>
          <w:rFonts w:ascii="Cambria" w:hAnsi="Cambria"/>
          <w:sz w:val="22"/>
          <w:szCs w:val="22"/>
        </w:rPr>
        <w:t>has</w:t>
      </w:r>
      <w:r w:rsidR="007C56FC">
        <w:rPr>
          <w:rFonts w:ascii="Cambria" w:hAnsi="Cambria"/>
          <w:sz w:val="22"/>
          <w:szCs w:val="22"/>
        </w:rPr>
        <w:t xml:space="preserve"> been reported (Jung et al</w:t>
      </w:r>
      <w:r w:rsidRPr="00884821">
        <w:rPr>
          <w:rFonts w:ascii="Cambria" w:hAnsi="Cambria"/>
          <w:sz w:val="22"/>
          <w:szCs w:val="22"/>
        </w:rPr>
        <w:t>, 2017), raising uncertainty about the relia</w:t>
      </w:r>
      <w:r w:rsidR="00E42FA4">
        <w:rPr>
          <w:rFonts w:ascii="Cambria" w:hAnsi="Cambria"/>
          <w:sz w:val="22"/>
          <w:szCs w:val="22"/>
        </w:rPr>
        <w:t>nce</w:t>
      </w:r>
      <w:r w:rsidRPr="00884821">
        <w:rPr>
          <w:rFonts w:ascii="Cambria" w:hAnsi="Cambria"/>
          <w:sz w:val="22"/>
          <w:szCs w:val="22"/>
        </w:rPr>
        <w:t xml:space="preserve"> </w:t>
      </w:r>
      <w:r w:rsidR="00E42FA4">
        <w:rPr>
          <w:rFonts w:ascii="Cambria" w:hAnsi="Cambria"/>
          <w:sz w:val="22"/>
          <w:szCs w:val="22"/>
        </w:rPr>
        <w:t>on testing of the</w:t>
      </w:r>
      <w:r w:rsidRPr="00884821">
        <w:rPr>
          <w:rFonts w:ascii="Cambria" w:hAnsi="Cambria"/>
          <w:sz w:val="22"/>
          <w:szCs w:val="22"/>
        </w:rPr>
        <w:t xml:space="preserve"> initial surgical resection specimen, particularly </w:t>
      </w:r>
      <w:r w:rsidR="007643BA">
        <w:rPr>
          <w:rFonts w:ascii="Cambria" w:hAnsi="Cambria"/>
          <w:sz w:val="22"/>
          <w:szCs w:val="22"/>
        </w:rPr>
        <w:t>if</w:t>
      </w:r>
      <w:r w:rsidRPr="00884821">
        <w:rPr>
          <w:rFonts w:ascii="Cambria" w:hAnsi="Cambria"/>
          <w:sz w:val="22"/>
          <w:szCs w:val="22"/>
        </w:rPr>
        <w:t xml:space="preserve"> morbidity and mortality are due to metastatic disease progression.</w:t>
      </w:r>
    </w:p>
    <w:p w14:paraId="20500F95" w14:textId="789E2B1F" w:rsidR="00035123" w:rsidRPr="00193DB4" w:rsidRDefault="00035123" w:rsidP="00446C99">
      <w:p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Moreira et </w:t>
      </w:r>
      <w:r w:rsidR="007C56FC">
        <w:rPr>
          <w:rFonts w:ascii="Cambria" w:hAnsi="Cambria"/>
          <w:sz w:val="22"/>
          <w:szCs w:val="22"/>
        </w:rPr>
        <w:t xml:space="preserve">al </w:t>
      </w:r>
      <w:r>
        <w:rPr>
          <w:rFonts w:ascii="Cambria" w:hAnsi="Cambria"/>
          <w:sz w:val="22"/>
          <w:szCs w:val="22"/>
        </w:rPr>
        <w:t>(2012) report</w:t>
      </w:r>
      <w:r w:rsidR="004C0BBC">
        <w:rPr>
          <w:rFonts w:ascii="Cambria" w:hAnsi="Cambria"/>
          <w:sz w:val="22"/>
          <w:szCs w:val="22"/>
        </w:rPr>
        <w:t>ed</w:t>
      </w:r>
      <w:r>
        <w:rPr>
          <w:rFonts w:ascii="Cambria" w:hAnsi="Cambria"/>
          <w:sz w:val="22"/>
          <w:szCs w:val="22"/>
        </w:rPr>
        <w:t xml:space="preserve"> concordance of</w:t>
      </w:r>
      <w:r w:rsidRPr="00C06179">
        <w:rPr>
          <w:rFonts w:ascii="Cambria" w:hAnsi="Cambria"/>
          <w:sz w:val="22"/>
          <w:szCs w:val="22"/>
        </w:rPr>
        <w:t xml:space="preserve"> 97.5% </w:t>
      </w:r>
      <w:r>
        <w:rPr>
          <w:rFonts w:ascii="Cambria" w:hAnsi="Cambria"/>
          <w:sz w:val="22"/>
          <w:szCs w:val="22"/>
        </w:rPr>
        <w:t xml:space="preserve">between </w:t>
      </w:r>
      <w:r w:rsidRPr="00C06179">
        <w:rPr>
          <w:rFonts w:ascii="Cambria" w:hAnsi="Cambria"/>
          <w:sz w:val="22"/>
          <w:szCs w:val="22"/>
        </w:rPr>
        <w:t>MSI and immunostaining</w:t>
      </w:r>
      <w:r>
        <w:rPr>
          <w:rFonts w:ascii="Cambria" w:hAnsi="Cambria"/>
          <w:sz w:val="22"/>
          <w:szCs w:val="22"/>
        </w:rPr>
        <w:t xml:space="preserve"> performed on 5591 tumours from four large international cohorts of colorectal cancer patients. </w:t>
      </w:r>
      <w:r w:rsidR="007C56FC">
        <w:rPr>
          <w:rFonts w:ascii="Cambria" w:hAnsi="Cambria"/>
          <w:sz w:val="22"/>
          <w:szCs w:val="22"/>
        </w:rPr>
        <w:t>Ninety-four</w:t>
      </w:r>
      <w:r>
        <w:rPr>
          <w:rFonts w:ascii="Cambria" w:hAnsi="Cambria"/>
          <w:sz w:val="22"/>
          <w:szCs w:val="22"/>
        </w:rPr>
        <w:t xml:space="preserve"> </w:t>
      </w:r>
      <w:r w:rsidR="007C56FC">
        <w:rPr>
          <w:rFonts w:ascii="Cambria" w:hAnsi="Cambria"/>
          <w:sz w:val="22"/>
          <w:szCs w:val="22"/>
        </w:rPr>
        <w:t>(</w:t>
      </w:r>
      <w:r w:rsidRPr="00C06179">
        <w:rPr>
          <w:rFonts w:ascii="Cambria" w:hAnsi="Cambria"/>
          <w:sz w:val="22"/>
          <w:szCs w:val="22"/>
        </w:rPr>
        <w:t>94</w:t>
      </w:r>
      <w:r w:rsidR="007C56FC">
        <w:rPr>
          <w:rFonts w:ascii="Cambria" w:hAnsi="Cambria"/>
          <w:sz w:val="22"/>
          <w:szCs w:val="22"/>
        </w:rPr>
        <w:t>)</w:t>
      </w:r>
      <w:r w:rsidRPr="00C06179">
        <w:rPr>
          <w:rFonts w:ascii="Cambria" w:hAnsi="Cambria"/>
          <w:sz w:val="22"/>
          <w:szCs w:val="22"/>
        </w:rPr>
        <w:t xml:space="preserve"> cases [1.7%] showed MSI with retained protein expression and 49 [0.8%] exhibited loss of expression with microsatellite stability.</w:t>
      </w:r>
    </w:p>
    <w:p w14:paraId="400C74FF" w14:textId="0D3C3D3B" w:rsidR="00035123" w:rsidRPr="00273953" w:rsidRDefault="00035123" w:rsidP="00446C99">
      <w:p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Buchanan et al (2017) report</w:t>
      </w:r>
      <w:r w:rsidR="004C0BBC">
        <w:rPr>
          <w:rFonts w:ascii="Cambria" w:hAnsi="Cambria"/>
          <w:sz w:val="22"/>
          <w:szCs w:val="22"/>
        </w:rPr>
        <w:t>ed</w:t>
      </w:r>
      <w:r>
        <w:rPr>
          <w:rFonts w:ascii="Cambria" w:hAnsi="Cambria"/>
          <w:sz w:val="22"/>
          <w:szCs w:val="22"/>
        </w:rPr>
        <w:t xml:space="preserve"> similarly high levels</w:t>
      </w:r>
      <w:r w:rsidRPr="00273953">
        <w:rPr>
          <w:rFonts w:ascii="Cambria" w:hAnsi="Cambria"/>
          <w:sz w:val="22"/>
          <w:szCs w:val="22"/>
        </w:rPr>
        <w:t> </w:t>
      </w:r>
      <w:r w:rsidR="00A615CB">
        <w:rPr>
          <w:rFonts w:ascii="Cambria" w:hAnsi="Cambria"/>
          <w:sz w:val="22"/>
          <w:szCs w:val="22"/>
        </w:rPr>
        <w:t xml:space="preserve">of </w:t>
      </w:r>
      <w:r>
        <w:rPr>
          <w:rFonts w:ascii="Cambria" w:hAnsi="Cambria"/>
          <w:sz w:val="22"/>
          <w:szCs w:val="22"/>
        </w:rPr>
        <w:t xml:space="preserve">concordance in colorectal cancer tumours </w:t>
      </w:r>
      <w:r w:rsidRPr="00273953">
        <w:rPr>
          <w:rFonts w:ascii="Cambria" w:hAnsi="Cambria"/>
          <w:sz w:val="22"/>
          <w:szCs w:val="22"/>
        </w:rPr>
        <w:t xml:space="preserve">CRCs </w:t>
      </w:r>
      <w:r>
        <w:rPr>
          <w:rFonts w:ascii="Cambria" w:hAnsi="Cambria"/>
          <w:sz w:val="22"/>
          <w:szCs w:val="22"/>
        </w:rPr>
        <w:t>where</w:t>
      </w:r>
      <w:r w:rsidRPr="00273953">
        <w:rPr>
          <w:rFonts w:ascii="Cambria" w:hAnsi="Cambria"/>
          <w:sz w:val="22"/>
          <w:szCs w:val="22"/>
        </w:rPr>
        <w:t xml:space="preserve"> MSI and MMR IHC testing were completed</w:t>
      </w:r>
      <w:r>
        <w:rPr>
          <w:rFonts w:ascii="Cambria" w:hAnsi="Cambria"/>
          <w:sz w:val="22"/>
          <w:szCs w:val="22"/>
        </w:rPr>
        <w:t xml:space="preserve"> in </w:t>
      </w:r>
      <w:r w:rsidRPr="00273953">
        <w:rPr>
          <w:rFonts w:ascii="Cambria" w:hAnsi="Cambria"/>
          <w:sz w:val="22"/>
          <w:szCs w:val="22"/>
        </w:rPr>
        <w:t>67.4%</w:t>
      </w:r>
      <w:r>
        <w:rPr>
          <w:rFonts w:ascii="Cambria" w:hAnsi="Cambria"/>
          <w:sz w:val="22"/>
          <w:szCs w:val="22"/>
        </w:rPr>
        <w:t xml:space="preserve"> and 93.3% of participants in two Australian colorectal cancer study populations:</w:t>
      </w:r>
      <w:r w:rsidRPr="0027395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these demonstrated</w:t>
      </w:r>
      <w:r w:rsidRPr="00273953">
        <w:rPr>
          <w:rFonts w:ascii="Cambria" w:hAnsi="Cambria"/>
          <w:sz w:val="22"/>
          <w:szCs w:val="22"/>
        </w:rPr>
        <w:t xml:space="preserve"> 95.7% and 98.9% concordance for MMR-deficiency, respectively.</w:t>
      </w:r>
    </w:p>
    <w:p w14:paraId="5B4F9041" w14:textId="157F17D1" w:rsidR="00B95F84" w:rsidRDefault="0083647A" w:rsidP="00446C99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IHC </w:t>
      </w:r>
      <w:r w:rsidR="004C0BBC">
        <w:rPr>
          <w:rFonts w:ascii="Cambria" w:hAnsi="Cambria"/>
          <w:sz w:val="22"/>
          <w:szCs w:val="22"/>
          <w:lang w:val="en-US"/>
        </w:rPr>
        <w:t xml:space="preserve">is </w:t>
      </w:r>
      <w:r>
        <w:rPr>
          <w:rFonts w:ascii="Cambria" w:hAnsi="Cambria"/>
          <w:sz w:val="22"/>
          <w:szCs w:val="22"/>
          <w:lang w:val="en-US"/>
        </w:rPr>
        <w:t>preferred in Australia due to cost, availability and identification of candidate protein for targeted assessment for Lynch syndrome in colorectal cancer screening recommendations</w:t>
      </w:r>
      <w:r w:rsidRPr="0083647A"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  <w:sz w:val="22"/>
          <w:szCs w:val="22"/>
          <w:lang w:val="en-US"/>
        </w:rPr>
        <w:t>(</w:t>
      </w:r>
      <w:proofErr w:type="spellStart"/>
      <w:r>
        <w:rPr>
          <w:rFonts w:ascii="Cambria" w:hAnsi="Cambria"/>
          <w:sz w:val="22"/>
          <w:szCs w:val="22"/>
          <w:lang w:val="en-US"/>
        </w:rPr>
        <w:t>Yozu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et al, 2019).</w:t>
      </w:r>
      <w:r w:rsidR="00CA13D6">
        <w:rPr>
          <w:rFonts w:ascii="Cambria" w:hAnsi="Cambria"/>
          <w:sz w:val="22"/>
          <w:szCs w:val="22"/>
          <w:lang w:val="en-US"/>
        </w:rPr>
        <w:t xml:space="preserve"> </w:t>
      </w:r>
      <w:r w:rsidR="00245B87">
        <w:rPr>
          <w:rFonts w:ascii="Cambria" w:hAnsi="Cambria"/>
          <w:sz w:val="22"/>
          <w:szCs w:val="22"/>
          <w:lang w:val="en-US"/>
        </w:rPr>
        <w:t>However, these authors acknowledge the likely shift to NGS testing in the future.</w:t>
      </w:r>
    </w:p>
    <w:p w14:paraId="7865840E" w14:textId="77777777" w:rsidR="005F1B3D" w:rsidRPr="005421F4" w:rsidRDefault="005F1B3D" w:rsidP="005421F4">
      <w:pPr>
        <w:pStyle w:val="Heading3"/>
        <w:rPr>
          <w:color w:val="660066"/>
          <w:lang w:val="en-US"/>
        </w:rPr>
      </w:pPr>
      <w:r w:rsidRPr="005421F4">
        <w:rPr>
          <w:color w:val="660066"/>
          <w:lang w:val="en-US"/>
        </w:rPr>
        <w:t>Endometrial cancer</w:t>
      </w:r>
    </w:p>
    <w:p w14:paraId="236CE1E4" w14:textId="1C532DF8" w:rsidR="005F1B3D" w:rsidRPr="005F1B3D" w:rsidRDefault="005F1B3D" w:rsidP="00D47919">
      <w:pPr>
        <w:keepNext/>
        <w:jc w:val="both"/>
        <w:rPr>
          <w:rFonts w:ascii="Cambria" w:hAnsi="Cambria"/>
          <w:sz w:val="22"/>
          <w:szCs w:val="22"/>
          <w:lang w:val="en-US"/>
        </w:rPr>
      </w:pPr>
      <w:r w:rsidRPr="005F1B3D">
        <w:rPr>
          <w:rFonts w:ascii="Cambria" w:hAnsi="Cambria"/>
          <w:sz w:val="22"/>
          <w:szCs w:val="22"/>
          <w:lang w:val="en-US"/>
        </w:rPr>
        <w:t>20-30% of endometrial cancers exhibit MSI/IHC loss of expression</w:t>
      </w:r>
      <w:r w:rsidR="00CF7484">
        <w:rPr>
          <w:rFonts w:ascii="Cambria" w:hAnsi="Cambria"/>
          <w:sz w:val="22"/>
          <w:szCs w:val="22"/>
          <w:lang w:val="en-US"/>
        </w:rPr>
        <w:t>:</w:t>
      </w:r>
    </w:p>
    <w:p w14:paraId="2322AA11" w14:textId="40B5BD59" w:rsidR="005F1B3D" w:rsidRDefault="00CF7484" w:rsidP="00446A96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szCs w:val="22"/>
          <w:lang w:val="en-US"/>
        </w:rPr>
      </w:pPr>
      <w:r w:rsidRPr="00446A96">
        <w:rPr>
          <w:rFonts w:ascii="Cambria" w:hAnsi="Cambria"/>
          <w:sz w:val="22"/>
          <w:szCs w:val="22"/>
        </w:rPr>
        <w:t>m</w:t>
      </w:r>
      <w:r w:rsidR="005F1B3D" w:rsidRPr="00446A96">
        <w:rPr>
          <w:rFonts w:ascii="Cambria" w:hAnsi="Cambria"/>
          <w:sz w:val="22"/>
          <w:szCs w:val="22"/>
        </w:rPr>
        <w:t>ostly</w:t>
      </w:r>
      <w:r w:rsidR="005F1B3D">
        <w:rPr>
          <w:rFonts w:ascii="Cambria" w:hAnsi="Cambria"/>
          <w:sz w:val="22"/>
          <w:szCs w:val="22"/>
          <w:lang w:val="en-US"/>
        </w:rPr>
        <w:t xml:space="preserve"> sporadic due to </w:t>
      </w:r>
      <w:r w:rsidR="005F1B3D" w:rsidRPr="00BB12B3">
        <w:rPr>
          <w:rFonts w:ascii="Cambria" w:hAnsi="Cambria"/>
          <w:i/>
          <w:sz w:val="22"/>
          <w:szCs w:val="22"/>
          <w:lang w:val="en-US"/>
        </w:rPr>
        <w:t>MLH1</w:t>
      </w:r>
      <w:r w:rsidR="005F1B3D">
        <w:rPr>
          <w:rFonts w:ascii="Cambria" w:hAnsi="Cambria"/>
          <w:sz w:val="22"/>
          <w:szCs w:val="22"/>
          <w:lang w:val="en-US"/>
        </w:rPr>
        <w:t xml:space="preserve"> promoter methylation (Hampel</w:t>
      </w:r>
      <w:r w:rsidR="00360D9B">
        <w:rPr>
          <w:rFonts w:ascii="Cambria" w:hAnsi="Cambria"/>
          <w:sz w:val="22"/>
          <w:szCs w:val="22"/>
          <w:lang w:val="en-US"/>
        </w:rPr>
        <w:t xml:space="preserve">, </w:t>
      </w:r>
      <w:r w:rsidR="005F1B3D">
        <w:rPr>
          <w:rFonts w:ascii="Cambria" w:hAnsi="Cambria"/>
          <w:sz w:val="22"/>
          <w:szCs w:val="22"/>
          <w:lang w:val="en-US"/>
        </w:rPr>
        <w:t>2006</w:t>
      </w:r>
      <w:r w:rsidR="00360D9B">
        <w:rPr>
          <w:rFonts w:ascii="Cambria" w:hAnsi="Cambria"/>
          <w:sz w:val="22"/>
          <w:szCs w:val="22"/>
          <w:lang w:val="en-US"/>
        </w:rPr>
        <w:t xml:space="preserve">; </w:t>
      </w:r>
      <w:proofErr w:type="spellStart"/>
      <w:r w:rsidR="00360D9B">
        <w:rPr>
          <w:rFonts w:ascii="Cambria" w:hAnsi="Cambria"/>
          <w:sz w:val="22"/>
          <w:szCs w:val="22"/>
          <w:lang w:val="en-US"/>
        </w:rPr>
        <w:t>Stelloo</w:t>
      </w:r>
      <w:proofErr w:type="spellEnd"/>
      <w:r w:rsidR="00360D9B">
        <w:rPr>
          <w:rFonts w:ascii="Cambria" w:hAnsi="Cambria"/>
          <w:sz w:val="22"/>
          <w:szCs w:val="22"/>
          <w:lang w:val="en-US"/>
        </w:rPr>
        <w:t>, 2017)</w:t>
      </w:r>
    </w:p>
    <w:p w14:paraId="03E31789" w14:textId="2F02F00A" w:rsidR="005F1B3D" w:rsidRDefault="00CF7484" w:rsidP="00446A96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n</w:t>
      </w:r>
      <w:r w:rsidR="005F1B3D">
        <w:rPr>
          <w:rFonts w:ascii="Cambria" w:hAnsi="Cambria"/>
          <w:sz w:val="22"/>
          <w:szCs w:val="22"/>
          <w:lang w:val="en-US"/>
        </w:rPr>
        <w:t xml:space="preserve">o </w:t>
      </w:r>
      <w:r w:rsidR="005F1B3D" w:rsidRPr="00446A96">
        <w:rPr>
          <w:rFonts w:ascii="Cambria" w:hAnsi="Cambria"/>
          <w:sz w:val="22"/>
          <w:szCs w:val="22"/>
        </w:rPr>
        <w:t>correlation</w:t>
      </w:r>
      <w:r w:rsidR="005F1B3D">
        <w:rPr>
          <w:rFonts w:ascii="Cambria" w:hAnsi="Cambria"/>
          <w:sz w:val="22"/>
          <w:szCs w:val="22"/>
          <w:lang w:val="en-US"/>
        </w:rPr>
        <w:t xml:space="preserve"> between </w:t>
      </w:r>
      <w:r w:rsidR="005F1B3D" w:rsidRPr="00BB12B3">
        <w:rPr>
          <w:rFonts w:ascii="Cambria" w:hAnsi="Cambria"/>
          <w:i/>
          <w:sz w:val="22"/>
          <w:szCs w:val="22"/>
          <w:lang w:val="en-US"/>
        </w:rPr>
        <w:t>BRAF</w:t>
      </w:r>
      <w:r w:rsidR="005F1B3D">
        <w:rPr>
          <w:rFonts w:ascii="Cambria" w:hAnsi="Cambria"/>
          <w:sz w:val="22"/>
          <w:szCs w:val="22"/>
          <w:lang w:val="en-US"/>
        </w:rPr>
        <w:t xml:space="preserve"> mutations and </w:t>
      </w:r>
      <w:r w:rsidR="005F1B3D" w:rsidRPr="00BB12B3">
        <w:rPr>
          <w:rFonts w:ascii="Cambria" w:hAnsi="Cambria"/>
          <w:i/>
          <w:sz w:val="22"/>
          <w:szCs w:val="22"/>
          <w:lang w:val="en-US"/>
        </w:rPr>
        <w:t>MLH1</w:t>
      </w:r>
      <w:r w:rsidR="005F1B3D">
        <w:rPr>
          <w:rFonts w:ascii="Cambria" w:hAnsi="Cambria"/>
          <w:sz w:val="22"/>
          <w:szCs w:val="22"/>
          <w:lang w:val="en-US"/>
        </w:rPr>
        <w:t xml:space="preserve"> promoter methylation, unlike colorectal cancer (Moreira et al, 2012)</w:t>
      </w:r>
    </w:p>
    <w:p w14:paraId="67E34C2F" w14:textId="396E7F7E" w:rsidR="00DB42D3" w:rsidRPr="00446C99" w:rsidRDefault="00CF7484" w:rsidP="00446C99">
      <w:pPr>
        <w:pStyle w:val="ListParagraph"/>
        <w:numPr>
          <w:ilvl w:val="0"/>
          <w:numId w:val="12"/>
        </w:numPr>
        <w:spacing w:after="240"/>
        <w:jc w:val="both"/>
        <w:rPr>
          <w:rFonts w:ascii="Cambria" w:hAnsi="Cambria"/>
          <w:sz w:val="22"/>
          <w:szCs w:val="22"/>
          <w:lang w:val="en-US"/>
        </w:rPr>
      </w:pPr>
      <w:r w:rsidRPr="00446A96">
        <w:rPr>
          <w:rFonts w:ascii="Cambria" w:hAnsi="Cambria"/>
          <w:sz w:val="22"/>
          <w:szCs w:val="22"/>
        </w:rPr>
        <w:t>a</w:t>
      </w:r>
      <w:r w:rsidR="00A47F7A" w:rsidRPr="00446A96">
        <w:rPr>
          <w:rFonts w:ascii="Cambria" w:hAnsi="Cambria"/>
          <w:sz w:val="22"/>
          <w:szCs w:val="22"/>
        </w:rPr>
        <w:t>pprox</w:t>
      </w:r>
      <w:r w:rsidRPr="00446A96">
        <w:rPr>
          <w:rFonts w:ascii="Cambria" w:hAnsi="Cambria"/>
          <w:sz w:val="22"/>
          <w:szCs w:val="22"/>
        </w:rPr>
        <w:t>imately</w:t>
      </w:r>
      <w:r w:rsidR="00A47F7A">
        <w:rPr>
          <w:rFonts w:ascii="Cambria" w:hAnsi="Cambria"/>
          <w:sz w:val="22"/>
          <w:szCs w:val="22"/>
          <w:lang w:val="en-US"/>
        </w:rPr>
        <w:t xml:space="preserve"> 2-5% may be due to Lynch sy</w:t>
      </w:r>
      <w:r w:rsidR="00C73F06">
        <w:rPr>
          <w:rFonts w:ascii="Cambria" w:hAnsi="Cambria"/>
          <w:sz w:val="22"/>
          <w:szCs w:val="22"/>
          <w:lang w:val="en-US"/>
        </w:rPr>
        <w:t>ndrome</w:t>
      </w:r>
      <w:r w:rsidR="00A47F7A">
        <w:rPr>
          <w:rFonts w:ascii="Cambria" w:hAnsi="Cambria"/>
          <w:sz w:val="22"/>
          <w:szCs w:val="22"/>
          <w:lang w:val="en-US"/>
        </w:rPr>
        <w:t xml:space="preserve"> (Meyer, 2013)</w:t>
      </w:r>
      <w:r>
        <w:rPr>
          <w:rFonts w:ascii="Cambria" w:hAnsi="Cambria"/>
          <w:sz w:val="22"/>
          <w:szCs w:val="22"/>
          <w:lang w:val="en-US"/>
        </w:rPr>
        <w:t>.</w:t>
      </w:r>
    </w:p>
    <w:p w14:paraId="5DBD5C44" w14:textId="5794C917" w:rsidR="00DB42D3" w:rsidRPr="00446C99" w:rsidRDefault="007C56FC" w:rsidP="00446C99">
      <w:p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There is n</w:t>
      </w:r>
      <w:r w:rsidR="00DB42D3">
        <w:rPr>
          <w:rFonts w:ascii="Cambria" w:hAnsi="Cambria"/>
          <w:sz w:val="22"/>
          <w:szCs w:val="22"/>
        </w:rPr>
        <w:t xml:space="preserve">o consensus on dMMR </w:t>
      </w:r>
      <w:r w:rsidR="0063511D">
        <w:rPr>
          <w:rFonts w:ascii="Cambria" w:hAnsi="Cambria"/>
          <w:sz w:val="22"/>
          <w:szCs w:val="22"/>
        </w:rPr>
        <w:t xml:space="preserve">for </w:t>
      </w:r>
      <w:r w:rsidR="00DB42D3">
        <w:rPr>
          <w:rFonts w:ascii="Cambria" w:hAnsi="Cambria"/>
          <w:sz w:val="22"/>
          <w:szCs w:val="22"/>
        </w:rPr>
        <w:t xml:space="preserve">prognostic </w:t>
      </w:r>
      <w:r>
        <w:rPr>
          <w:rFonts w:ascii="Cambria" w:hAnsi="Cambria"/>
          <w:sz w:val="22"/>
          <w:szCs w:val="22"/>
        </w:rPr>
        <w:t xml:space="preserve">utility </w:t>
      </w:r>
      <w:r w:rsidR="0063511D">
        <w:rPr>
          <w:rFonts w:ascii="Cambria" w:hAnsi="Cambria"/>
          <w:sz w:val="22"/>
          <w:szCs w:val="22"/>
        </w:rPr>
        <w:t>(Powell, 2017)</w:t>
      </w:r>
      <w:r>
        <w:rPr>
          <w:rFonts w:ascii="Cambria" w:hAnsi="Cambria"/>
          <w:sz w:val="22"/>
          <w:szCs w:val="22"/>
        </w:rPr>
        <w:t>.</w:t>
      </w:r>
    </w:p>
    <w:p w14:paraId="14A62D6B" w14:textId="749A21FB" w:rsidR="00035123" w:rsidRDefault="00035123" w:rsidP="00446C99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Stelloo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et al (2017) report</w:t>
      </w:r>
      <w:r w:rsidR="004C0BBC">
        <w:rPr>
          <w:rFonts w:ascii="Cambria" w:hAnsi="Cambria"/>
          <w:sz w:val="22"/>
          <w:szCs w:val="22"/>
          <w:lang w:val="en-US"/>
        </w:rPr>
        <w:t>ed</w:t>
      </w:r>
      <w:r>
        <w:rPr>
          <w:rFonts w:ascii="Cambria" w:hAnsi="Cambria"/>
          <w:sz w:val="22"/>
          <w:szCs w:val="22"/>
          <w:lang w:val="en-US"/>
        </w:rPr>
        <w:t xml:space="preserve"> concordance rates of </w:t>
      </w:r>
      <w:r w:rsidR="00ED4561">
        <w:rPr>
          <w:rFonts w:ascii="Cambria" w:hAnsi="Cambria"/>
          <w:sz w:val="22"/>
          <w:szCs w:val="22"/>
          <w:lang w:val="en-US"/>
        </w:rPr>
        <w:t>94</w:t>
      </w:r>
      <w:r>
        <w:rPr>
          <w:rFonts w:ascii="Cambria" w:hAnsi="Cambria"/>
          <w:sz w:val="22"/>
          <w:szCs w:val="22"/>
          <w:lang w:val="en-US"/>
        </w:rPr>
        <w:t xml:space="preserve">% between IHC and MSI PCR, with most instances of discordances being </w:t>
      </w:r>
      <w:r w:rsidR="00C55BA2">
        <w:rPr>
          <w:rFonts w:ascii="Cambria" w:hAnsi="Cambria"/>
          <w:sz w:val="22"/>
          <w:szCs w:val="22"/>
          <w:lang w:val="en-US"/>
        </w:rPr>
        <w:t>due to</w:t>
      </w:r>
      <w:r>
        <w:rPr>
          <w:rFonts w:ascii="Cambria" w:hAnsi="Cambria"/>
          <w:sz w:val="22"/>
          <w:szCs w:val="22"/>
          <w:lang w:val="en-US"/>
        </w:rPr>
        <w:t xml:space="preserve"> low MSI but absent MSH6 or PMS2 protein (also reported elsewhere</w:t>
      </w:r>
      <w:r w:rsidR="00ED5C45">
        <w:rPr>
          <w:rFonts w:ascii="Cambria" w:hAnsi="Cambria"/>
          <w:sz w:val="22"/>
          <w:szCs w:val="22"/>
          <w:lang w:val="en-US"/>
        </w:rPr>
        <w:t xml:space="preserve"> for these 2 proteins</w:t>
      </w:r>
      <w:r>
        <w:rPr>
          <w:rFonts w:ascii="Cambria" w:hAnsi="Cambria"/>
          <w:sz w:val="22"/>
          <w:szCs w:val="22"/>
          <w:lang w:val="en-US"/>
        </w:rPr>
        <w:t>)</w:t>
      </w:r>
      <w:r w:rsidR="00ED5C45">
        <w:rPr>
          <w:rFonts w:ascii="Cambria" w:hAnsi="Cambria"/>
          <w:sz w:val="22"/>
          <w:szCs w:val="22"/>
          <w:lang w:val="en-US"/>
        </w:rPr>
        <w:t xml:space="preserve">. This suggests that IHC is the appropriate standard for establishing mismatch repair in endometrial cancer, given the frequency of </w:t>
      </w:r>
      <w:r w:rsidR="00ED5C45" w:rsidRPr="00BB12B3">
        <w:rPr>
          <w:rFonts w:ascii="Cambria" w:hAnsi="Cambria"/>
          <w:i/>
          <w:sz w:val="22"/>
          <w:szCs w:val="22"/>
          <w:lang w:val="en-US"/>
        </w:rPr>
        <w:t>MSH6</w:t>
      </w:r>
      <w:r w:rsidR="00ED5C45">
        <w:rPr>
          <w:rFonts w:ascii="Cambria" w:hAnsi="Cambria"/>
          <w:sz w:val="22"/>
          <w:szCs w:val="22"/>
          <w:lang w:val="en-US"/>
        </w:rPr>
        <w:t xml:space="preserve"> </w:t>
      </w:r>
      <w:r w:rsidR="00BE3419">
        <w:rPr>
          <w:rFonts w:ascii="Cambria" w:hAnsi="Cambria"/>
          <w:sz w:val="22"/>
          <w:szCs w:val="22"/>
          <w:lang w:val="en-US"/>
        </w:rPr>
        <w:t xml:space="preserve">and </w:t>
      </w:r>
      <w:r w:rsidR="00BE3419" w:rsidRPr="00BB12B3">
        <w:rPr>
          <w:rFonts w:ascii="Cambria" w:hAnsi="Cambria"/>
          <w:i/>
          <w:sz w:val="22"/>
          <w:szCs w:val="22"/>
          <w:lang w:val="en-US"/>
        </w:rPr>
        <w:t>PMS2</w:t>
      </w:r>
      <w:r w:rsidR="00BE3419">
        <w:rPr>
          <w:rFonts w:ascii="Cambria" w:hAnsi="Cambria"/>
          <w:sz w:val="22"/>
          <w:szCs w:val="22"/>
          <w:lang w:val="en-US"/>
        </w:rPr>
        <w:t xml:space="preserve"> </w:t>
      </w:r>
      <w:r w:rsidR="00ED5C45">
        <w:rPr>
          <w:rFonts w:ascii="Cambria" w:hAnsi="Cambria"/>
          <w:sz w:val="22"/>
          <w:szCs w:val="22"/>
          <w:lang w:val="en-US"/>
        </w:rPr>
        <w:t xml:space="preserve">mutations as a cause of </w:t>
      </w:r>
      <w:r w:rsidR="00BE3419">
        <w:rPr>
          <w:rFonts w:ascii="Cambria" w:hAnsi="Cambria"/>
          <w:sz w:val="22"/>
          <w:szCs w:val="22"/>
          <w:lang w:val="en-US"/>
        </w:rPr>
        <w:t xml:space="preserve">dMMR </w:t>
      </w:r>
      <w:r w:rsidR="00ED5C45">
        <w:rPr>
          <w:rFonts w:ascii="Cambria" w:hAnsi="Cambria"/>
          <w:sz w:val="22"/>
          <w:szCs w:val="22"/>
          <w:lang w:val="en-US"/>
        </w:rPr>
        <w:t>endometrial cancer and Lynch syndrome</w:t>
      </w:r>
      <w:r w:rsidR="00BE3419">
        <w:rPr>
          <w:rFonts w:ascii="Cambria" w:hAnsi="Cambria"/>
          <w:sz w:val="22"/>
          <w:szCs w:val="22"/>
          <w:lang w:val="en-US"/>
        </w:rPr>
        <w:t xml:space="preserve"> (Powell, 2017).</w:t>
      </w:r>
    </w:p>
    <w:p w14:paraId="4BEEB7AE" w14:textId="34E1B1B9" w:rsidR="00B95F84" w:rsidRPr="00446C99" w:rsidRDefault="005F1B3D" w:rsidP="00446C99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New methodologies for NGS detection of MSI may be more accurate in identifying </w:t>
      </w:r>
      <w:r w:rsidR="005275E8">
        <w:rPr>
          <w:rFonts w:ascii="Cambria" w:hAnsi="Cambria"/>
          <w:sz w:val="22"/>
          <w:szCs w:val="22"/>
          <w:lang w:val="en-US"/>
        </w:rPr>
        <w:t>MSI-high status than the traditional panels (</w:t>
      </w:r>
      <w:proofErr w:type="spellStart"/>
      <w:r w:rsidR="005275E8">
        <w:rPr>
          <w:rFonts w:ascii="Cambria" w:hAnsi="Cambria"/>
          <w:sz w:val="22"/>
          <w:szCs w:val="22"/>
          <w:lang w:val="en-US"/>
        </w:rPr>
        <w:t>Hause</w:t>
      </w:r>
      <w:proofErr w:type="spellEnd"/>
      <w:r w:rsidR="005275E8">
        <w:rPr>
          <w:rFonts w:ascii="Cambria" w:hAnsi="Cambria"/>
          <w:sz w:val="22"/>
          <w:szCs w:val="22"/>
          <w:lang w:val="en-US"/>
        </w:rPr>
        <w:t xml:space="preserve"> et al, 2016</w:t>
      </w:r>
      <w:r w:rsidR="00155EAD">
        <w:rPr>
          <w:rFonts w:ascii="Cambria" w:hAnsi="Cambria"/>
          <w:sz w:val="22"/>
          <w:szCs w:val="22"/>
          <w:lang w:val="en-US"/>
        </w:rPr>
        <w:t xml:space="preserve">; </w:t>
      </w:r>
      <w:proofErr w:type="spellStart"/>
      <w:r w:rsidR="00155EAD">
        <w:rPr>
          <w:rFonts w:ascii="Cambria" w:hAnsi="Cambria"/>
          <w:sz w:val="22"/>
          <w:szCs w:val="22"/>
          <w:lang w:val="en-US"/>
        </w:rPr>
        <w:t>Kunitomi</w:t>
      </w:r>
      <w:proofErr w:type="spellEnd"/>
      <w:r w:rsidR="00155EAD">
        <w:rPr>
          <w:rFonts w:ascii="Cambria" w:hAnsi="Cambria"/>
          <w:sz w:val="22"/>
          <w:szCs w:val="22"/>
          <w:lang w:val="en-US"/>
        </w:rPr>
        <w:t xml:space="preserve"> et al</w:t>
      </w:r>
      <w:r w:rsidR="004C0BBC">
        <w:rPr>
          <w:rFonts w:ascii="Cambria" w:hAnsi="Cambria"/>
          <w:sz w:val="22"/>
          <w:szCs w:val="22"/>
          <w:lang w:val="en-US"/>
        </w:rPr>
        <w:t>,</w:t>
      </w:r>
      <w:r w:rsidR="00155EAD">
        <w:rPr>
          <w:rFonts w:ascii="Cambria" w:hAnsi="Cambria"/>
          <w:sz w:val="22"/>
          <w:szCs w:val="22"/>
          <w:lang w:val="en-US"/>
        </w:rPr>
        <w:t xml:space="preserve"> 2017</w:t>
      </w:r>
      <w:r w:rsidR="005275E8">
        <w:rPr>
          <w:rFonts w:ascii="Cambria" w:hAnsi="Cambria"/>
          <w:sz w:val="22"/>
          <w:szCs w:val="22"/>
          <w:lang w:val="en-US"/>
        </w:rPr>
        <w:t>)</w:t>
      </w:r>
      <w:r w:rsidR="00035123">
        <w:rPr>
          <w:rFonts w:ascii="Cambria" w:hAnsi="Cambria"/>
          <w:sz w:val="22"/>
          <w:szCs w:val="22"/>
          <w:lang w:val="en-US"/>
        </w:rPr>
        <w:t>.</w:t>
      </w:r>
    </w:p>
    <w:p w14:paraId="01EA9E74" w14:textId="6A330964" w:rsidR="00FA3775" w:rsidRPr="00031B80" w:rsidRDefault="00FA3775" w:rsidP="00446C99">
      <w:p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 evidence </w:t>
      </w:r>
      <w:r w:rsidR="007C56FC">
        <w:rPr>
          <w:rFonts w:ascii="Cambria" w:hAnsi="Cambria"/>
          <w:sz w:val="22"/>
          <w:szCs w:val="22"/>
        </w:rPr>
        <w:t xml:space="preserve">is </w:t>
      </w:r>
      <w:r>
        <w:rPr>
          <w:rFonts w:ascii="Cambria" w:hAnsi="Cambria"/>
          <w:sz w:val="22"/>
          <w:szCs w:val="22"/>
        </w:rPr>
        <w:t>available</w:t>
      </w:r>
      <w:r w:rsidR="00FC1C2F">
        <w:rPr>
          <w:rFonts w:ascii="Cambria" w:hAnsi="Cambria"/>
          <w:sz w:val="22"/>
          <w:szCs w:val="22"/>
        </w:rPr>
        <w:t xml:space="preserve"> directly</w:t>
      </w:r>
      <w:r>
        <w:rPr>
          <w:rFonts w:ascii="Cambria" w:hAnsi="Cambria"/>
          <w:sz w:val="22"/>
          <w:szCs w:val="22"/>
        </w:rPr>
        <w:t xml:space="preserve"> in support of predictive purpose for immunotherapy.</w:t>
      </w:r>
    </w:p>
    <w:p w14:paraId="37516EA0" w14:textId="77777777" w:rsidR="00E1115F" w:rsidRPr="005421F4" w:rsidRDefault="00E1115F" w:rsidP="005421F4">
      <w:pPr>
        <w:pStyle w:val="Heading3"/>
        <w:rPr>
          <w:color w:val="660066"/>
          <w:lang w:val="en-US"/>
        </w:rPr>
      </w:pPr>
      <w:r w:rsidRPr="005421F4">
        <w:rPr>
          <w:color w:val="660066"/>
          <w:lang w:val="en-US"/>
        </w:rPr>
        <w:t>Ovarian cancer</w:t>
      </w:r>
    </w:p>
    <w:p w14:paraId="4A0DAFF7" w14:textId="072E7FD1" w:rsidR="00E1115F" w:rsidRDefault="00E1115F" w:rsidP="00D47919">
      <w:pPr>
        <w:keepNext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13% of ovarian cancers </w:t>
      </w:r>
      <w:r w:rsidR="005F1B3D">
        <w:rPr>
          <w:rFonts w:ascii="Cambria" w:hAnsi="Cambria"/>
          <w:color w:val="000000"/>
          <w:sz w:val="22"/>
          <w:szCs w:val="22"/>
          <w:shd w:val="clear" w:color="auto" w:fill="FFFFFF"/>
        </w:rPr>
        <w:t>a</w:t>
      </w:r>
      <w:r w:rsidR="00CF7484">
        <w:rPr>
          <w:rFonts w:ascii="Cambria" w:hAnsi="Cambria"/>
          <w:color w:val="000000"/>
          <w:sz w:val="22"/>
          <w:szCs w:val="22"/>
          <w:shd w:val="clear" w:color="auto" w:fill="FFFFFF"/>
        </w:rPr>
        <w:t>re MSI-high:</w:t>
      </w:r>
    </w:p>
    <w:p w14:paraId="065D5E71" w14:textId="6851B4D9" w:rsidR="00D279E0" w:rsidRPr="00D279E0" w:rsidRDefault="00CF7484" w:rsidP="00D47919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="00D279E0" w:rsidRPr="006F78D7">
        <w:rPr>
          <w:rFonts w:ascii="Cambria" w:hAnsi="Cambria"/>
          <w:sz w:val="22"/>
          <w:szCs w:val="22"/>
        </w:rPr>
        <w:t>efects in the MMR pathway an estimated 10%–12</w:t>
      </w:r>
      <w:r w:rsidR="00D279E0" w:rsidRPr="00FE4A7F">
        <w:rPr>
          <w:rFonts w:ascii="Cambria" w:hAnsi="Cambria"/>
          <w:color w:val="000000" w:themeColor="text1"/>
          <w:sz w:val="22"/>
          <w:szCs w:val="22"/>
        </w:rPr>
        <w:t>% of unselected ovarian cancers (Pal</w:t>
      </w:r>
      <w:r w:rsidR="00D279E0" w:rsidRPr="00FE4A7F">
        <w:rPr>
          <w:rFonts w:ascii="Cambria" w:hAnsi="Cambria"/>
          <w:i/>
          <w:color w:val="000000" w:themeColor="text1"/>
          <w:sz w:val="22"/>
          <w:szCs w:val="22"/>
        </w:rPr>
        <w:t> </w:t>
      </w:r>
      <w:r w:rsidR="00D279E0">
        <w:rPr>
          <w:rFonts w:ascii="Cambria" w:hAnsi="Cambria"/>
          <w:iCs/>
          <w:color w:val="000000" w:themeColor="text1"/>
          <w:sz w:val="22"/>
          <w:szCs w:val="22"/>
        </w:rPr>
        <w:t>et al</w:t>
      </w:r>
      <w:r w:rsidR="004C0BBC">
        <w:rPr>
          <w:rFonts w:ascii="Cambria" w:hAnsi="Cambria"/>
          <w:iCs/>
          <w:color w:val="000000" w:themeColor="text1"/>
          <w:sz w:val="22"/>
          <w:szCs w:val="22"/>
        </w:rPr>
        <w:t>,</w:t>
      </w:r>
      <w:r w:rsidR="00D279E0">
        <w:rPr>
          <w:rFonts w:ascii="Cambria" w:hAnsi="Cambria"/>
          <w:iCs/>
          <w:color w:val="000000" w:themeColor="text1"/>
          <w:sz w:val="22"/>
          <w:szCs w:val="22"/>
        </w:rPr>
        <w:t xml:space="preserve"> 2008;</w:t>
      </w:r>
      <w:r w:rsidR="00D279E0" w:rsidRPr="00FE4A7F">
        <w:rPr>
          <w:rFonts w:ascii="Cambria" w:hAnsi="Cambria"/>
          <w:color w:val="000000" w:themeColor="text1"/>
          <w:sz w:val="22"/>
          <w:szCs w:val="22"/>
        </w:rPr>
        <w:t xml:space="preserve"> Murphy and </w:t>
      </w:r>
      <w:proofErr w:type="spellStart"/>
      <w:r w:rsidR="00D279E0" w:rsidRPr="00FE4A7F">
        <w:rPr>
          <w:rFonts w:ascii="Cambria" w:hAnsi="Cambria"/>
          <w:color w:val="000000" w:themeColor="text1"/>
          <w:sz w:val="22"/>
          <w:szCs w:val="22"/>
        </w:rPr>
        <w:t>Wentzensen</w:t>
      </w:r>
      <w:proofErr w:type="spellEnd"/>
      <w:r w:rsidR="00D279E0" w:rsidRPr="00FE4A7F">
        <w:rPr>
          <w:rFonts w:ascii="Cambria" w:hAnsi="Cambria"/>
          <w:color w:val="000000" w:themeColor="text1"/>
          <w:sz w:val="22"/>
          <w:szCs w:val="22"/>
        </w:rPr>
        <w:t>, </w:t>
      </w:r>
      <w:hyperlink r:id="rId9" w:anchor="B26" w:history="1">
        <w:r w:rsidR="00D279E0" w:rsidRPr="00FE4A7F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>2011</w:t>
        </w:r>
      </w:hyperlink>
      <w:r w:rsidR="00D279E0" w:rsidRPr="00FE4A7F">
        <w:rPr>
          <w:rFonts w:ascii="Cambria" w:hAnsi="Cambria"/>
          <w:color w:val="000000" w:themeColor="text1"/>
          <w:sz w:val="22"/>
          <w:szCs w:val="22"/>
        </w:rPr>
        <w:t>)</w:t>
      </w:r>
      <w:r w:rsidR="00D279E0">
        <w:rPr>
          <w:rFonts w:ascii="Cambria" w:hAnsi="Cambria"/>
          <w:color w:val="000000" w:themeColor="text1"/>
          <w:sz w:val="22"/>
          <w:szCs w:val="22"/>
        </w:rPr>
        <w:t xml:space="preserve">; </w:t>
      </w:r>
      <w:r w:rsidR="00D279E0" w:rsidRPr="00D279E0">
        <w:rPr>
          <w:rFonts w:ascii="Cambria" w:hAnsi="Cambria"/>
          <w:sz w:val="22"/>
          <w:szCs w:val="22"/>
        </w:rPr>
        <w:t>13% of ovarian cancer samples were MSI-high (Akbari et al</w:t>
      </w:r>
      <w:r w:rsidR="004C0BBC">
        <w:rPr>
          <w:rFonts w:ascii="Cambria" w:hAnsi="Cambria"/>
          <w:sz w:val="22"/>
          <w:szCs w:val="22"/>
        </w:rPr>
        <w:t>,</w:t>
      </w:r>
      <w:r w:rsidR="00D279E0" w:rsidRPr="00D279E0">
        <w:rPr>
          <w:rFonts w:ascii="Cambria" w:hAnsi="Cambria"/>
          <w:sz w:val="22"/>
          <w:szCs w:val="22"/>
        </w:rPr>
        <w:t xml:space="preserve"> 2017)</w:t>
      </w:r>
    </w:p>
    <w:p w14:paraId="0A2472BF" w14:textId="3ACE36B4" w:rsidR="00E1115F" w:rsidRPr="00446C99" w:rsidRDefault="00CF7484" w:rsidP="00446C99">
      <w:pPr>
        <w:pStyle w:val="ListParagraph"/>
        <w:numPr>
          <w:ilvl w:val="0"/>
          <w:numId w:val="27"/>
        </w:numPr>
        <w:spacing w:after="240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</w:t>
      </w:r>
      <w:r w:rsidR="00D279E0">
        <w:rPr>
          <w:rFonts w:ascii="Cambria" w:hAnsi="Cambria"/>
          <w:sz w:val="22"/>
          <w:szCs w:val="22"/>
        </w:rPr>
        <w:t>igher rates of non-serous and endometrioid subtypes among patients with Lynch syndrome suggest targeted screening of these tumour subtypes (Pal et al</w:t>
      </w:r>
      <w:r w:rsidR="004C0BBC">
        <w:rPr>
          <w:rFonts w:ascii="Cambria" w:hAnsi="Cambria"/>
          <w:sz w:val="22"/>
          <w:szCs w:val="22"/>
        </w:rPr>
        <w:t>,</w:t>
      </w:r>
      <w:r w:rsidR="00D279E0">
        <w:rPr>
          <w:rFonts w:ascii="Cambria" w:hAnsi="Cambria"/>
          <w:sz w:val="22"/>
          <w:szCs w:val="22"/>
        </w:rPr>
        <w:t xml:space="preserve"> 2012). Higher prevalence of </w:t>
      </w:r>
      <w:r w:rsidR="00D279E0" w:rsidRPr="00BB12B3">
        <w:rPr>
          <w:rFonts w:ascii="Cambria" w:hAnsi="Cambria"/>
          <w:i/>
          <w:sz w:val="22"/>
          <w:szCs w:val="22"/>
        </w:rPr>
        <w:t>MSH6</w:t>
      </w:r>
      <w:r w:rsidR="00D279E0">
        <w:rPr>
          <w:rFonts w:ascii="Cambria" w:hAnsi="Cambria"/>
          <w:sz w:val="22"/>
          <w:szCs w:val="22"/>
        </w:rPr>
        <w:t xml:space="preserve"> germline mutations, which were also more likely to be MSI-indeterminate in the pan-tumour NGS screening using </w:t>
      </w:r>
      <w:proofErr w:type="spellStart"/>
      <w:r w:rsidR="00D279E0">
        <w:rPr>
          <w:rFonts w:ascii="Cambria" w:hAnsi="Cambria"/>
          <w:sz w:val="22"/>
          <w:szCs w:val="22"/>
        </w:rPr>
        <w:t>MSIsensor</w:t>
      </w:r>
      <w:proofErr w:type="spellEnd"/>
      <w:r w:rsidR="00D279E0">
        <w:rPr>
          <w:rFonts w:ascii="Cambria" w:hAnsi="Cambria"/>
          <w:sz w:val="22"/>
          <w:szCs w:val="22"/>
        </w:rPr>
        <w:t xml:space="preserve"> (Latham et al</w:t>
      </w:r>
      <w:r w:rsidR="004C0BBC">
        <w:rPr>
          <w:rFonts w:ascii="Cambria" w:hAnsi="Cambria"/>
          <w:sz w:val="22"/>
          <w:szCs w:val="22"/>
        </w:rPr>
        <w:t>,</w:t>
      </w:r>
      <w:r w:rsidR="00D279E0">
        <w:rPr>
          <w:rFonts w:ascii="Cambria" w:hAnsi="Cambria"/>
          <w:sz w:val="22"/>
          <w:szCs w:val="22"/>
        </w:rPr>
        <w:t xml:space="preserve"> 2018).</w:t>
      </w:r>
    </w:p>
    <w:p w14:paraId="001DD048" w14:textId="5509BDEB" w:rsidR="00035123" w:rsidRDefault="00E1115F" w:rsidP="00446C99">
      <w:pPr>
        <w:spacing w:after="240"/>
        <w:jc w:val="both"/>
        <w:rPr>
          <w:rFonts w:ascii="Cambria" w:hAnsi="Cambria"/>
          <w:color w:val="000000"/>
          <w:sz w:val="22"/>
          <w:szCs w:val="22"/>
          <w:shd w:val="clear" w:color="auto" w:fill="FFFFFF"/>
        </w:rPr>
      </w:pPr>
      <w:r w:rsidRPr="00C01D2D">
        <w:rPr>
          <w:rFonts w:ascii="Cambria" w:hAnsi="Cambria"/>
          <w:color w:val="000000"/>
          <w:sz w:val="22"/>
          <w:szCs w:val="22"/>
          <w:shd w:val="clear" w:color="auto" w:fill="FFFFFF"/>
        </w:rPr>
        <w:t>Lee et al (2014) report</w:t>
      </w:r>
      <w:r w:rsidR="004C0BBC">
        <w:rPr>
          <w:rFonts w:ascii="Cambria" w:hAnsi="Cambria"/>
          <w:color w:val="000000"/>
          <w:sz w:val="22"/>
          <w:szCs w:val="22"/>
          <w:shd w:val="clear" w:color="auto" w:fill="FFFFFF"/>
        </w:rPr>
        <w:t>ed</w:t>
      </w:r>
      <w:r w:rsidRPr="00C01D2D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67.6%</w:t>
      </w:r>
      <w:r w:rsidR="00D279E0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concordance between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MSI-high and loss of MMR protein expression</w:t>
      </w:r>
      <w:r w:rsidRPr="00C01D2D">
        <w:rPr>
          <w:rFonts w:ascii="Cambria" w:hAnsi="Cambria"/>
          <w:color w:val="000000"/>
          <w:sz w:val="22"/>
          <w:szCs w:val="22"/>
          <w:shd w:val="clear" w:color="auto" w:fill="FFFFFF"/>
        </w:rPr>
        <w:t>; 41 were classified as MSI-H with loss of expression</w:t>
      </w:r>
      <w:r w:rsidR="00035123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035123">
        <w:rPr>
          <w:rFonts w:ascii="Cambria" w:hAnsi="Cambria"/>
          <w:color w:val="000000"/>
          <w:sz w:val="22"/>
          <w:szCs w:val="22"/>
          <w:shd w:val="clear" w:color="auto" w:fill="FFFFFF"/>
        </w:rPr>
        <w:t>LoE</w:t>
      </w:r>
      <w:proofErr w:type="spellEnd"/>
      <w:r w:rsidR="00035123">
        <w:rPr>
          <w:rFonts w:ascii="Cambria" w:hAnsi="Cambria"/>
          <w:color w:val="000000"/>
          <w:sz w:val="22"/>
          <w:szCs w:val="22"/>
          <w:shd w:val="clear" w:color="auto" w:fill="FFFFFF"/>
        </w:rPr>
        <w:t>)</w:t>
      </w:r>
      <w:r w:rsidRPr="00C01D2D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and 523 as microsatellite stable (MSS) with no loss of expression. Of the</w:t>
      </w:r>
      <w:r w:rsidR="00035123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Pr="00C01D2D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270 discordant cases, 83 were MSI-H with no </w:t>
      </w:r>
      <w:proofErr w:type="spellStart"/>
      <w:r w:rsidRPr="00C01D2D">
        <w:rPr>
          <w:rFonts w:ascii="Cambria" w:hAnsi="Cambria"/>
          <w:color w:val="000000"/>
          <w:sz w:val="22"/>
          <w:szCs w:val="22"/>
          <w:shd w:val="clear" w:color="auto" w:fill="FFFFFF"/>
        </w:rPr>
        <w:t>LoE</w:t>
      </w:r>
      <w:proofErr w:type="spellEnd"/>
      <w:r w:rsidRPr="00C01D2D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and 187 were MSS with </w:t>
      </w:r>
      <w:proofErr w:type="spellStart"/>
      <w:r w:rsidRPr="00C01D2D">
        <w:rPr>
          <w:rFonts w:ascii="Cambria" w:hAnsi="Cambria"/>
          <w:color w:val="000000"/>
          <w:sz w:val="22"/>
          <w:szCs w:val="22"/>
          <w:shd w:val="clear" w:color="auto" w:fill="FFFFFF"/>
        </w:rPr>
        <w:t>LoE</w:t>
      </w:r>
      <w:proofErr w:type="spellEnd"/>
      <w:r w:rsidRPr="00C01D2D">
        <w:rPr>
          <w:rFonts w:ascii="Cambria" w:hAnsi="Cambria"/>
          <w:color w:val="000000"/>
          <w:sz w:val="22"/>
          <w:szCs w:val="22"/>
          <w:shd w:val="clear" w:color="auto" w:fill="FFFFFF"/>
        </w:rPr>
        <w:t>. Both IHC</w:t>
      </w:r>
      <w:r w:rsidR="00035123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Pr="00C01D2D">
        <w:rPr>
          <w:rFonts w:ascii="Cambria" w:hAnsi="Cambria"/>
          <w:color w:val="000000"/>
          <w:sz w:val="22"/>
          <w:szCs w:val="22"/>
          <w:shd w:val="clear" w:color="auto" w:fill="FFFFFF"/>
        </w:rPr>
        <w:t>staining method and reading pathologist were strongly associated with discordant results.</w:t>
      </w:r>
    </w:p>
    <w:p w14:paraId="00D09456" w14:textId="7DF183E4" w:rsidR="00E1115F" w:rsidRPr="00446C99" w:rsidRDefault="00E1115F" w:rsidP="00446C99">
      <w:p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shd w:val="clear" w:color="auto" w:fill="FFFFFF"/>
        </w:rPr>
        <w:t>On the basis of the poor concordance, the</w:t>
      </w:r>
      <w:r w:rsidR="00334E3B">
        <w:rPr>
          <w:rFonts w:ascii="Cambria" w:hAnsi="Cambria"/>
          <w:color w:val="000000"/>
          <w:sz w:val="22"/>
          <w:szCs w:val="22"/>
          <w:shd w:val="clear" w:color="auto" w:fill="FFFFFF"/>
        </w:rPr>
        <w:t>se</w:t>
      </w:r>
      <w:r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 authors consider the clinical validity and clinical utility of IHC as a method for identifying dMMR is uncertain, requiring further investigation to test different IHC methods and ensure inter-rater reliability in scoring methods.</w:t>
      </w:r>
    </w:p>
    <w:p w14:paraId="5CD75998" w14:textId="77777777" w:rsidR="00E1115F" w:rsidRPr="005421F4" w:rsidRDefault="00E1115F" w:rsidP="005421F4">
      <w:pPr>
        <w:pStyle w:val="Heading3"/>
        <w:rPr>
          <w:color w:val="660066"/>
          <w:lang w:val="en-US"/>
        </w:rPr>
      </w:pPr>
      <w:r w:rsidRPr="005421F4">
        <w:rPr>
          <w:color w:val="660066"/>
          <w:lang w:val="en-US"/>
        </w:rPr>
        <w:t>Gastric cancer</w:t>
      </w:r>
    </w:p>
    <w:p w14:paraId="0D384EEC" w14:textId="483D27D2" w:rsidR="00E1328B" w:rsidRDefault="00512DBC" w:rsidP="00446C99">
      <w:pPr>
        <w:keepNext/>
        <w:spacing w:after="24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Figures range from 8.5% (Smyth, 2017) to </w:t>
      </w:r>
      <w:r w:rsidR="00E1115F">
        <w:rPr>
          <w:rFonts w:ascii="Cambria" w:hAnsi="Cambria"/>
          <w:sz w:val="22"/>
          <w:szCs w:val="22"/>
          <w:lang w:val="en-US"/>
        </w:rPr>
        <w:t xml:space="preserve">22% of gastric cancers </w:t>
      </w:r>
      <w:r>
        <w:rPr>
          <w:rFonts w:ascii="Cambria" w:hAnsi="Cambria"/>
          <w:sz w:val="22"/>
          <w:szCs w:val="22"/>
          <w:lang w:val="en-US"/>
        </w:rPr>
        <w:t>reported to be</w:t>
      </w:r>
      <w:r w:rsidR="00E1115F">
        <w:rPr>
          <w:rFonts w:ascii="Cambria" w:hAnsi="Cambria"/>
          <w:sz w:val="22"/>
          <w:szCs w:val="22"/>
          <w:lang w:val="en-US"/>
        </w:rPr>
        <w:t xml:space="preserve"> MSI-high</w:t>
      </w:r>
      <w:r w:rsidR="00B324DB">
        <w:rPr>
          <w:rFonts w:ascii="Cambria" w:hAnsi="Cambria"/>
          <w:sz w:val="22"/>
          <w:szCs w:val="22"/>
          <w:lang w:val="en-US"/>
        </w:rPr>
        <w:t xml:space="preserve"> (</w:t>
      </w:r>
      <w:proofErr w:type="spellStart"/>
      <w:r w:rsidR="00B324DB">
        <w:rPr>
          <w:rFonts w:ascii="Cambria" w:hAnsi="Cambria"/>
          <w:sz w:val="22"/>
          <w:szCs w:val="22"/>
          <w:lang w:val="en-US"/>
        </w:rPr>
        <w:t>Ratti</w:t>
      </w:r>
      <w:proofErr w:type="spellEnd"/>
      <w:r w:rsidR="00B324DB">
        <w:rPr>
          <w:rFonts w:ascii="Cambria" w:hAnsi="Cambria"/>
          <w:sz w:val="22"/>
          <w:szCs w:val="22"/>
          <w:lang w:val="en-US"/>
        </w:rPr>
        <w:t xml:space="preserve"> et al</w:t>
      </w:r>
      <w:r w:rsidR="004C0BBC">
        <w:rPr>
          <w:rFonts w:ascii="Cambria" w:hAnsi="Cambria"/>
          <w:sz w:val="22"/>
          <w:szCs w:val="22"/>
          <w:lang w:val="en-US"/>
        </w:rPr>
        <w:t>,</w:t>
      </w:r>
      <w:r w:rsidR="00B324DB">
        <w:rPr>
          <w:rFonts w:ascii="Cambria" w:hAnsi="Cambria"/>
          <w:sz w:val="22"/>
          <w:szCs w:val="22"/>
          <w:lang w:val="en-US"/>
        </w:rPr>
        <w:t xml:space="preserve"> 2018)</w:t>
      </w:r>
      <w:r>
        <w:rPr>
          <w:rFonts w:ascii="Cambria" w:hAnsi="Cambria"/>
          <w:sz w:val="22"/>
          <w:szCs w:val="22"/>
          <w:lang w:val="en-US"/>
        </w:rPr>
        <w:t>.</w:t>
      </w:r>
      <w:r w:rsidR="00E1115F">
        <w:rPr>
          <w:rFonts w:ascii="Cambria" w:hAnsi="Cambria"/>
          <w:sz w:val="22"/>
          <w:szCs w:val="22"/>
          <w:lang w:val="en-US"/>
        </w:rPr>
        <w:t xml:space="preserve"> </w:t>
      </w:r>
      <w:r w:rsidR="00C55BA2">
        <w:rPr>
          <w:rFonts w:ascii="Cambria" w:hAnsi="Cambria"/>
          <w:sz w:val="22"/>
          <w:szCs w:val="22"/>
          <w:lang w:val="en-US"/>
        </w:rPr>
        <w:t>Hypermutation</w:t>
      </w:r>
      <w:r>
        <w:rPr>
          <w:rFonts w:ascii="Cambria" w:hAnsi="Cambria"/>
          <w:sz w:val="22"/>
          <w:szCs w:val="22"/>
          <w:lang w:val="en-US"/>
        </w:rPr>
        <w:t xml:space="preserve"> was associated with MSI-high </w:t>
      </w:r>
      <w:proofErr w:type="spellStart"/>
      <w:r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="00E1115F">
        <w:rPr>
          <w:rFonts w:ascii="Cambria" w:hAnsi="Cambria"/>
          <w:sz w:val="22"/>
          <w:szCs w:val="22"/>
          <w:lang w:val="en-US"/>
        </w:rPr>
        <w:t xml:space="preserve"> (</w:t>
      </w:r>
      <w:proofErr w:type="spellStart"/>
      <w:r w:rsidR="00E1115F">
        <w:rPr>
          <w:rFonts w:ascii="Cambria" w:hAnsi="Cambria"/>
          <w:sz w:val="22"/>
          <w:szCs w:val="22"/>
          <w:lang w:val="en-US"/>
        </w:rPr>
        <w:t>Ratti</w:t>
      </w:r>
      <w:proofErr w:type="spellEnd"/>
      <w:r w:rsidR="00E1115F">
        <w:rPr>
          <w:rFonts w:ascii="Cambria" w:hAnsi="Cambria"/>
          <w:sz w:val="22"/>
          <w:szCs w:val="22"/>
          <w:lang w:val="en-US"/>
        </w:rPr>
        <w:t xml:space="preserve"> et al</w:t>
      </w:r>
      <w:r w:rsidR="004C0BBC">
        <w:rPr>
          <w:rFonts w:ascii="Cambria" w:hAnsi="Cambria"/>
          <w:sz w:val="22"/>
          <w:szCs w:val="22"/>
          <w:lang w:val="en-US"/>
        </w:rPr>
        <w:t>,</w:t>
      </w:r>
      <w:r w:rsidR="00E1115F">
        <w:rPr>
          <w:rFonts w:ascii="Cambria" w:hAnsi="Cambria"/>
          <w:sz w:val="22"/>
          <w:szCs w:val="22"/>
          <w:lang w:val="en-US"/>
        </w:rPr>
        <w:t xml:space="preserve"> 2018)</w:t>
      </w:r>
      <w:r>
        <w:rPr>
          <w:rFonts w:ascii="Cambria" w:hAnsi="Cambria"/>
          <w:sz w:val="22"/>
          <w:szCs w:val="22"/>
          <w:lang w:val="en-US"/>
        </w:rPr>
        <w:t>,</w:t>
      </w:r>
      <w:r w:rsidR="00E1115F">
        <w:rPr>
          <w:rFonts w:ascii="Cambria" w:hAnsi="Cambria"/>
          <w:sz w:val="22"/>
          <w:szCs w:val="22"/>
          <w:lang w:val="en-US"/>
        </w:rPr>
        <w:t xml:space="preserve"> MSI-high or MMRD appears to confer a better prognosis with surgery</w:t>
      </w:r>
      <w:r w:rsidR="00E825D5">
        <w:rPr>
          <w:rFonts w:ascii="Cambria" w:hAnsi="Cambria"/>
          <w:sz w:val="22"/>
          <w:szCs w:val="22"/>
          <w:lang w:val="en-US"/>
        </w:rPr>
        <w:t xml:space="preserve"> alone</w:t>
      </w:r>
      <w:r w:rsidR="00E1115F">
        <w:rPr>
          <w:rFonts w:ascii="Cambria" w:hAnsi="Cambria"/>
          <w:sz w:val="22"/>
          <w:szCs w:val="22"/>
          <w:lang w:val="en-US"/>
        </w:rPr>
        <w:t>, but worse outcome with chemotherapy (Smyth et al</w:t>
      </w:r>
      <w:r w:rsidR="004C0BBC">
        <w:rPr>
          <w:rFonts w:ascii="Cambria" w:hAnsi="Cambria"/>
          <w:sz w:val="22"/>
          <w:szCs w:val="22"/>
          <w:lang w:val="en-US"/>
        </w:rPr>
        <w:t>,</w:t>
      </w:r>
      <w:r w:rsidR="00E1115F">
        <w:rPr>
          <w:rFonts w:ascii="Cambria" w:hAnsi="Cambria"/>
          <w:sz w:val="22"/>
          <w:szCs w:val="22"/>
          <w:lang w:val="en-US"/>
        </w:rPr>
        <w:t xml:space="preserve"> 2017).</w:t>
      </w:r>
      <w:r w:rsidR="00E825D5">
        <w:rPr>
          <w:rFonts w:ascii="Cambria" w:hAnsi="Cambria"/>
          <w:sz w:val="22"/>
          <w:szCs w:val="22"/>
          <w:lang w:val="en-US"/>
        </w:rPr>
        <w:t xml:space="preserve"> </w:t>
      </w:r>
      <w:r w:rsidR="00155558">
        <w:rPr>
          <w:rFonts w:ascii="Cambria" w:hAnsi="Cambria"/>
          <w:sz w:val="22"/>
          <w:szCs w:val="22"/>
          <w:lang w:val="en-US"/>
        </w:rPr>
        <w:t>No gastro-</w:t>
      </w:r>
      <w:proofErr w:type="spellStart"/>
      <w:r w:rsidR="00155558">
        <w:rPr>
          <w:rFonts w:ascii="Cambria" w:hAnsi="Cambria"/>
          <w:sz w:val="22"/>
          <w:szCs w:val="22"/>
          <w:lang w:val="en-US"/>
        </w:rPr>
        <w:t>oesop</w:t>
      </w:r>
      <w:r w:rsidR="00466174">
        <w:rPr>
          <w:rFonts w:ascii="Cambria" w:hAnsi="Cambria"/>
          <w:sz w:val="22"/>
          <w:szCs w:val="22"/>
          <w:lang w:val="en-US"/>
        </w:rPr>
        <w:t>h</w:t>
      </w:r>
      <w:r w:rsidR="00155558">
        <w:rPr>
          <w:rFonts w:ascii="Cambria" w:hAnsi="Cambria"/>
          <w:sz w:val="22"/>
          <w:szCs w:val="22"/>
          <w:lang w:val="en-US"/>
        </w:rPr>
        <w:t>ageal</w:t>
      </w:r>
      <w:proofErr w:type="spellEnd"/>
      <w:r w:rsidR="00155558">
        <w:rPr>
          <w:rFonts w:ascii="Cambria" w:hAnsi="Cambria"/>
          <w:sz w:val="22"/>
          <w:szCs w:val="22"/>
          <w:lang w:val="en-US"/>
        </w:rPr>
        <w:t xml:space="preserve"> junction or </w:t>
      </w:r>
      <w:proofErr w:type="spellStart"/>
      <w:r w:rsidR="00155558">
        <w:rPr>
          <w:rFonts w:ascii="Cambria" w:hAnsi="Cambria"/>
          <w:sz w:val="22"/>
          <w:szCs w:val="22"/>
          <w:lang w:val="en-US"/>
        </w:rPr>
        <w:t>oesophageal</w:t>
      </w:r>
      <w:proofErr w:type="spellEnd"/>
      <w:r w:rsidR="00155558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155558"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="00155558">
        <w:rPr>
          <w:rFonts w:ascii="Cambria" w:hAnsi="Cambria"/>
          <w:sz w:val="22"/>
          <w:szCs w:val="22"/>
          <w:lang w:val="en-US"/>
        </w:rPr>
        <w:t xml:space="preserve"> were MSI-high</w:t>
      </w:r>
      <w:r w:rsidR="00C415D1">
        <w:rPr>
          <w:rFonts w:ascii="Cambria" w:hAnsi="Cambria"/>
          <w:sz w:val="22"/>
          <w:szCs w:val="22"/>
          <w:lang w:val="en-US"/>
        </w:rPr>
        <w:t xml:space="preserve"> (Smyth</w:t>
      </w:r>
      <w:r w:rsidR="004C0BBC">
        <w:rPr>
          <w:rFonts w:ascii="Cambria" w:hAnsi="Cambria"/>
          <w:sz w:val="22"/>
          <w:szCs w:val="22"/>
          <w:lang w:val="en-US"/>
        </w:rPr>
        <w:t xml:space="preserve"> et al</w:t>
      </w:r>
      <w:r w:rsidR="00C415D1">
        <w:rPr>
          <w:rFonts w:ascii="Cambria" w:hAnsi="Cambria"/>
          <w:sz w:val="22"/>
          <w:szCs w:val="22"/>
          <w:lang w:val="en-US"/>
        </w:rPr>
        <w:t>, 2017)</w:t>
      </w:r>
      <w:r w:rsidR="004C0BBC">
        <w:rPr>
          <w:rFonts w:ascii="Cambria" w:hAnsi="Cambria"/>
          <w:sz w:val="22"/>
          <w:szCs w:val="22"/>
          <w:lang w:val="en-US"/>
        </w:rPr>
        <w:t>,</w:t>
      </w:r>
      <w:r w:rsidR="00C415D1">
        <w:rPr>
          <w:rFonts w:ascii="Cambria" w:hAnsi="Cambria"/>
          <w:sz w:val="22"/>
          <w:szCs w:val="22"/>
          <w:lang w:val="en-US"/>
        </w:rPr>
        <w:t xml:space="preserve"> but the numbers tested were relatively low (20)</w:t>
      </w:r>
      <w:r w:rsidR="00155558">
        <w:rPr>
          <w:rFonts w:ascii="Cambria" w:hAnsi="Cambria"/>
          <w:sz w:val="22"/>
          <w:szCs w:val="22"/>
          <w:lang w:val="en-US"/>
        </w:rPr>
        <w:t>.</w:t>
      </w:r>
    </w:p>
    <w:p w14:paraId="5A684C7D" w14:textId="65BF5C0F" w:rsidR="00B324DB" w:rsidRDefault="00D26EDA" w:rsidP="00446C99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While the o</w:t>
      </w:r>
      <w:r w:rsidR="00E1328B">
        <w:rPr>
          <w:rFonts w:ascii="Cambria" w:hAnsi="Cambria"/>
          <w:sz w:val="22"/>
          <w:szCs w:val="22"/>
          <w:lang w:val="en-US"/>
        </w:rPr>
        <w:t>verall c</w:t>
      </w:r>
      <w:r w:rsidR="005F1B3D">
        <w:rPr>
          <w:rFonts w:ascii="Cambria" w:hAnsi="Cambria"/>
          <w:sz w:val="22"/>
          <w:szCs w:val="22"/>
          <w:lang w:val="en-US"/>
        </w:rPr>
        <w:t>oncordance between IHC and MSI detection rates for dMMR w</w:t>
      </w:r>
      <w:r w:rsidR="00E1328B">
        <w:rPr>
          <w:rFonts w:ascii="Cambria" w:hAnsi="Cambria"/>
          <w:sz w:val="22"/>
          <w:szCs w:val="22"/>
          <w:lang w:val="en-US"/>
        </w:rPr>
        <w:t xml:space="preserve">as 97.6%, </w:t>
      </w:r>
      <w:r w:rsidR="00A04074">
        <w:rPr>
          <w:rFonts w:ascii="Cambria" w:hAnsi="Cambria"/>
          <w:sz w:val="22"/>
          <w:szCs w:val="22"/>
          <w:lang w:val="en-US"/>
        </w:rPr>
        <w:t xml:space="preserve">the concordance differed depending upon which dMMR protein was missing. </w:t>
      </w:r>
      <w:proofErr w:type="gramStart"/>
      <w:r w:rsidR="00A04074">
        <w:rPr>
          <w:rFonts w:ascii="Cambria" w:hAnsi="Cambria"/>
          <w:sz w:val="22"/>
          <w:szCs w:val="22"/>
          <w:lang w:val="en-US"/>
        </w:rPr>
        <w:t>In particular, 25%</w:t>
      </w:r>
      <w:proofErr w:type="gramEnd"/>
      <w:r w:rsidR="00A04074">
        <w:rPr>
          <w:rFonts w:ascii="Cambria" w:hAnsi="Cambria"/>
          <w:sz w:val="22"/>
          <w:szCs w:val="22"/>
          <w:lang w:val="en-US"/>
        </w:rPr>
        <w:t xml:space="preserve"> of </w:t>
      </w:r>
      <w:proofErr w:type="spellStart"/>
      <w:r w:rsidR="00A04074"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="00A04074">
        <w:rPr>
          <w:rFonts w:ascii="Cambria" w:hAnsi="Cambria"/>
          <w:sz w:val="22"/>
          <w:szCs w:val="22"/>
          <w:lang w:val="en-US"/>
        </w:rPr>
        <w:t xml:space="preserve"> with absent PMS2 were declared MSI-stable or low, while </w:t>
      </w:r>
      <w:proofErr w:type="spellStart"/>
      <w:r w:rsidR="00E1328B">
        <w:rPr>
          <w:rFonts w:ascii="Cambria" w:hAnsi="Cambria"/>
          <w:sz w:val="22"/>
          <w:szCs w:val="22"/>
          <w:lang w:val="en-US"/>
        </w:rPr>
        <w:t>tumours</w:t>
      </w:r>
      <w:proofErr w:type="spellEnd"/>
      <w:r w:rsidR="00E1328B">
        <w:rPr>
          <w:rFonts w:ascii="Cambria" w:hAnsi="Cambria"/>
          <w:sz w:val="22"/>
          <w:szCs w:val="22"/>
          <w:lang w:val="en-US"/>
        </w:rPr>
        <w:t xml:space="preserve"> with absent MSH6 staining were</w:t>
      </w:r>
      <w:r w:rsidR="00A04074">
        <w:rPr>
          <w:rFonts w:ascii="Cambria" w:hAnsi="Cambria"/>
          <w:sz w:val="22"/>
          <w:szCs w:val="22"/>
          <w:lang w:val="en-US"/>
        </w:rPr>
        <w:t xml:space="preserve"> reported as</w:t>
      </w:r>
      <w:r w:rsidR="00E1328B">
        <w:rPr>
          <w:rFonts w:ascii="Cambria" w:hAnsi="Cambria"/>
          <w:sz w:val="22"/>
          <w:szCs w:val="22"/>
          <w:lang w:val="en-US"/>
        </w:rPr>
        <w:t xml:space="preserve"> MSI-high</w:t>
      </w:r>
      <w:r w:rsidR="00E4141D">
        <w:rPr>
          <w:rFonts w:ascii="Cambria" w:hAnsi="Cambria"/>
          <w:sz w:val="22"/>
          <w:szCs w:val="22"/>
          <w:lang w:val="en-US"/>
        </w:rPr>
        <w:t xml:space="preserve"> (which contrasts with endometrial cancer where MSH6 absence is </w:t>
      </w:r>
      <w:r w:rsidR="000F6282">
        <w:rPr>
          <w:rFonts w:ascii="Cambria" w:hAnsi="Cambria"/>
          <w:sz w:val="22"/>
          <w:szCs w:val="22"/>
          <w:lang w:val="en-US"/>
        </w:rPr>
        <w:t>often</w:t>
      </w:r>
      <w:r w:rsidR="00E4141D">
        <w:rPr>
          <w:rFonts w:ascii="Cambria" w:hAnsi="Cambria"/>
          <w:sz w:val="22"/>
          <w:szCs w:val="22"/>
          <w:lang w:val="en-US"/>
        </w:rPr>
        <w:t xml:space="preserve"> not MSI-</w:t>
      </w:r>
      <w:r w:rsidR="00A04074">
        <w:rPr>
          <w:rFonts w:ascii="Cambria" w:hAnsi="Cambria"/>
          <w:sz w:val="22"/>
          <w:szCs w:val="22"/>
          <w:lang w:val="en-US"/>
        </w:rPr>
        <w:t>intermediate or stable</w:t>
      </w:r>
      <w:r w:rsidR="00E4141D">
        <w:rPr>
          <w:rFonts w:ascii="Cambria" w:hAnsi="Cambria"/>
          <w:sz w:val="22"/>
          <w:szCs w:val="22"/>
          <w:lang w:val="en-US"/>
        </w:rPr>
        <w:t>)</w:t>
      </w:r>
      <w:r w:rsidR="00A145CB">
        <w:rPr>
          <w:rFonts w:ascii="Cambria" w:hAnsi="Cambria"/>
          <w:sz w:val="22"/>
          <w:szCs w:val="22"/>
          <w:lang w:val="en-US"/>
        </w:rPr>
        <w:t xml:space="preserve"> </w:t>
      </w:r>
      <w:r w:rsidR="00A04074">
        <w:rPr>
          <w:rFonts w:ascii="Cambria" w:hAnsi="Cambria"/>
          <w:sz w:val="22"/>
          <w:szCs w:val="22"/>
          <w:lang w:val="en-US"/>
        </w:rPr>
        <w:t>(Smyth, 2017)</w:t>
      </w:r>
      <w:r w:rsidR="00E1328B">
        <w:rPr>
          <w:rFonts w:ascii="Cambria" w:hAnsi="Cambria"/>
          <w:sz w:val="22"/>
          <w:szCs w:val="22"/>
          <w:lang w:val="en-US"/>
        </w:rPr>
        <w:t xml:space="preserve">. Loss of </w:t>
      </w:r>
      <w:r>
        <w:rPr>
          <w:rFonts w:ascii="Cambria" w:hAnsi="Cambria"/>
          <w:sz w:val="22"/>
          <w:szCs w:val="22"/>
          <w:lang w:val="en-US"/>
        </w:rPr>
        <w:t xml:space="preserve">MMR </w:t>
      </w:r>
      <w:r w:rsidR="00E1328B">
        <w:rPr>
          <w:rFonts w:ascii="Cambria" w:hAnsi="Cambria"/>
          <w:sz w:val="22"/>
          <w:szCs w:val="22"/>
          <w:lang w:val="en-US"/>
        </w:rPr>
        <w:t xml:space="preserve">protein expression was </w:t>
      </w:r>
      <w:proofErr w:type="gramStart"/>
      <w:r w:rsidR="00E1328B">
        <w:rPr>
          <w:rFonts w:ascii="Cambria" w:hAnsi="Cambria"/>
          <w:sz w:val="22"/>
          <w:szCs w:val="22"/>
          <w:lang w:val="en-US"/>
        </w:rPr>
        <w:t xml:space="preserve">most commonly </w:t>
      </w:r>
      <w:r w:rsidR="00A04074">
        <w:rPr>
          <w:rFonts w:ascii="Cambria" w:hAnsi="Cambria"/>
          <w:sz w:val="22"/>
          <w:szCs w:val="22"/>
          <w:lang w:val="en-US"/>
        </w:rPr>
        <w:t>reported</w:t>
      </w:r>
      <w:proofErr w:type="gramEnd"/>
      <w:r w:rsidR="00A04074">
        <w:rPr>
          <w:rFonts w:ascii="Cambria" w:hAnsi="Cambria"/>
          <w:sz w:val="22"/>
          <w:szCs w:val="22"/>
          <w:lang w:val="en-US"/>
        </w:rPr>
        <w:t xml:space="preserve"> for </w:t>
      </w:r>
      <w:r w:rsidR="00E1328B">
        <w:rPr>
          <w:rFonts w:ascii="Cambria" w:hAnsi="Cambria"/>
          <w:sz w:val="22"/>
          <w:szCs w:val="22"/>
          <w:lang w:val="en-US"/>
        </w:rPr>
        <w:t>PMS2 (6.2%) followed by MLH1 (5.1%), MSH</w:t>
      </w:r>
      <w:r>
        <w:rPr>
          <w:rFonts w:ascii="Cambria" w:hAnsi="Cambria"/>
          <w:sz w:val="22"/>
          <w:szCs w:val="22"/>
          <w:lang w:val="en-US"/>
        </w:rPr>
        <w:t>2</w:t>
      </w:r>
      <w:r w:rsidR="00E1328B">
        <w:rPr>
          <w:rFonts w:ascii="Cambria" w:hAnsi="Cambria"/>
          <w:sz w:val="22"/>
          <w:szCs w:val="22"/>
          <w:lang w:val="en-US"/>
        </w:rPr>
        <w:t xml:space="preserve"> (1.1%) and MSH</w:t>
      </w:r>
      <w:r>
        <w:rPr>
          <w:rFonts w:ascii="Cambria" w:hAnsi="Cambria"/>
          <w:sz w:val="22"/>
          <w:szCs w:val="22"/>
          <w:lang w:val="en-US"/>
        </w:rPr>
        <w:t>6 (0.7%). No figures on the comparative sensitivity and specificity between the methods were reported.</w:t>
      </w:r>
    </w:p>
    <w:p w14:paraId="1CD44F7C" w14:textId="2BB8E00D" w:rsidR="00F94430" w:rsidRDefault="00B324DB" w:rsidP="007C56FC">
      <w:pPr>
        <w:jc w:val="both"/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</w:pP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Elsewhere, c</w:t>
      </w:r>
      <w:r w:rsidRPr="00B324DB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omparison of the results of immunohistochemical expression of the mismatch repair proteins M</w:t>
      </w: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LH</w:t>
      </w:r>
      <w:r w:rsidRPr="00B324DB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1 and M</w:t>
      </w: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SH</w:t>
      </w:r>
      <w:r w:rsidRPr="00B324DB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2 with microsatellite analysis showed concordant results in 95% of neoplasms, with a sensitivity of 82% and specificity of 98%</w:t>
      </w: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 (</w:t>
      </w:r>
      <w:proofErr w:type="spellStart"/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Beghelli</w:t>
      </w:r>
      <w:proofErr w:type="spellEnd"/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 et al</w:t>
      </w:r>
      <w:r w:rsidR="004C0BBC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,</w:t>
      </w: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 2006)</w:t>
      </w:r>
      <w:r w:rsidRPr="00B324DB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.</w:t>
      </w:r>
      <w:r w:rsidR="00F94430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 Given the propensity for PMS2 loss of expression to result in low MSI, this may not accurately capture the concordance</w:t>
      </w:r>
      <w:r w:rsidR="00D26EDA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 when all dMMR proteins are included</w:t>
      </w:r>
      <w:r w:rsidR="00F94430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.</w:t>
      </w:r>
    </w:p>
    <w:p w14:paraId="0A0C7673" w14:textId="4B4DC0E1" w:rsidR="00E1115F" w:rsidRPr="00446C99" w:rsidRDefault="00F94430" w:rsidP="00446C99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lastRenderedPageBreak/>
        <w:t xml:space="preserve">No evidence is provided </w:t>
      </w:r>
      <w:r w:rsidR="00055279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for either test type </w:t>
      </w: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of the</w:t>
      </w:r>
      <w:r w:rsidR="00055279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ir</w:t>
      </w: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 clinical validity and clinical utility for </w:t>
      </w:r>
      <w:r w:rsidR="00EE294F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treatment </w:t>
      </w: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predictive</w:t>
      </w:r>
      <w:r w:rsidR="007C56FC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 purposes.</w:t>
      </w:r>
    </w:p>
    <w:p w14:paraId="1B28DA5E" w14:textId="7FFF0214" w:rsidR="00E1115F" w:rsidRPr="005421F4" w:rsidRDefault="00407775" w:rsidP="005421F4">
      <w:pPr>
        <w:pStyle w:val="Heading3"/>
        <w:rPr>
          <w:color w:val="660066"/>
          <w:lang w:val="en-US"/>
        </w:rPr>
      </w:pPr>
      <w:r w:rsidRPr="005421F4">
        <w:rPr>
          <w:color w:val="660066"/>
          <w:lang w:val="en-US"/>
        </w:rPr>
        <w:t>Small i</w:t>
      </w:r>
      <w:r w:rsidR="00E1115F" w:rsidRPr="005421F4">
        <w:rPr>
          <w:color w:val="660066"/>
          <w:lang w:val="en-US"/>
        </w:rPr>
        <w:t>ntestine carcinomas</w:t>
      </w:r>
    </w:p>
    <w:p w14:paraId="130814C7" w14:textId="3D3BE77C" w:rsidR="00E1115F" w:rsidRDefault="00E1115F" w:rsidP="00446C99">
      <w:pPr>
        <w:keepNext/>
        <w:spacing w:after="240"/>
        <w:jc w:val="both"/>
        <w:rPr>
          <w:rFonts w:ascii="Cambria" w:hAnsi="Cambria" w:cs="Arial"/>
          <w:color w:val="1C1D1E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  <w:lang w:val="en-US"/>
        </w:rPr>
        <w:t xml:space="preserve">Planck et al (2003) </w:t>
      </w:r>
      <w:r w:rsidRPr="00DE25A7">
        <w:rPr>
          <w:rFonts w:ascii="Cambria" w:hAnsi="Cambria"/>
          <w:sz w:val="22"/>
          <w:szCs w:val="22"/>
          <w:lang w:val="en-US"/>
        </w:rPr>
        <w:t>report</w:t>
      </w:r>
      <w:r w:rsidR="004C0BBC">
        <w:rPr>
          <w:rFonts w:ascii="Cambria" w:hAnsi="Cambria"/>
          <w:sz w:val="22"/>
          <w:szCs w:val="22"/>
          <w:lang w:val="en-US"/>
        </w:rPr>
        <w:t>ed</w:t>
      </w:r>
      <w:r w:rsidRPr="00DE25A7">
        <w:rPr>
          <w:rFonts w:ascii="Cambria" w:hAnsi="Cambria"/>
          <w:sz w:val="22"/>
          <w:szCs w:val="22"/>
          <w:lang w:val="en-US"/>
        </w:rPr>
        <w:t xml:space="preserve"> </w:t>
      </w:r>
      <w:r w:rsidRPr="00DE25A7">
        <w:rPr>
          <w:rFonts w:ascii="Cambria" w:hAnsi="Cambria" w:cs="Arial"/>
          <w:color w:val="1C1D1E"/>
          <w:sz w:val="22"/>
          <w:szCs w:val="22"/>
          <w:shd w:val="clear" w:color="auto" w:fill="FFFFFF"/>
        </w:rPr>
        <w:t>MSI was detected in 16/89 (18%)</w:t>
      </w:r>
      <w:r>
        <w:rPr>
          <w:rFonts w:ascii="Cambria" w:hAnsi="Cambria" w:cs="Arial"/>
          <w:color w:val="1C1D1E"/>
          <w:sz w:val="22"/>
          <w:szCs w:val="22"/>
          <w:shd w:val="clear" w:color="auto" w:fill="FFFFFF"/>
        </w:rPr>
        <w:t xml:space="preserve"> </w:t>
      </w:r>
      <w:r w:rsidRPr="00DE25A7">
        <w:rPr>
          <w:rFonts w:ascii="Cambria" w:hAnsi="Cambria" w:cs="Arial"/>
          <w:color w:val="1C1D1E"/>
          <w:sz w:val="22"/>
          <w:szCs w:val="22"/>
          <w:shd w:val="clear" w:color="auto" w:fill="FFFFFF"/>
        </w:rPr>
        <w:t xml:space="preserve">adenocarcinomas of the small intestine </w:t>
      </w:r>
      <w:r>
        <w:rPr>
          <w:rFonts w:ascii="Cambria" w:hAnsi="Cambria" w:cs="Arial"/>
          <w:color w:val="1C1D1E"/>
          <w:sz w:val="22"/>
          <w:szCs w:val="22"/>
          <w:shd w:val="clear" w:color="auto" w:fill="FFFFFF"/>
        </w:rPr>
        <w:t>(12 MSI-high, 4 MSI-low based on 10-marker panel)</w:t>
      </w:r>
      <w:r w:rsidRPr="00DE25A7">
        <w:rPr>
          <w:rFonts w:ascii="Cambria" w:hAnsi="Cambria" w:cs="Arial"/>
          <w:color w:val="1C1D1E"/>
          <w:sz w:val="22"/>
          <w:szCs w:val="22"/>
          <w:shd w:val="clear" w:color="auto" w:fill="FFFFFF"/>
        </w:rPr>
        <w:t>,</w:t>
      </w:r>
      <w:r>
        <w:rPr>
          <w:rFonts w:ascii="Cambria" w:hAnsi="Cambria" w:cs="Arial"/>
          <w:color w:val="1C1D1E"/>
          <w:sz w:val="22"/>
          <w:szCs w:val="22"/>
          <w:shd w:val="clear" w:color="auto" w:fill="FFFFFF"/>
        </w:rPr>
        <w:t xml:space="preserve"> </w:t>
      </w:r>
      <w:r w:rsidRPr="00DE25A7">
        <w:rPr>
          <w:rFonts w:ascii="Cambria" w:hAnsi="Cambria" w:cs="Arial"/>
          <w:color w:val="1C1D1E"/>
          <w:sz w:val="22"/>
          <w:szCs w:val="22"/>
          <w:shd w:val="clear" w:color="auto" w:fill="FFFFFF"/>
        </w:rPr>
        <w:t>and immunohistochemistry revealed loss of expression for MLH1 in 7/16 MSI tumours and in 2/73 MSS tumours, whereas all tumours showed normal expression for MSH2. Among the young patients, the authors</w:t>
      </w:r>
      <w:r w:rsidR="00D279E0">
        <w:rPr>
          <w:rFonts w:ascii="Cambria" w:hAnsi="Cambria" w:cs="Arial"/>
          <w:color w:val="1C1D1E"/>
          <w:sz w:val="22"/>
          <w:szCs w:val="22"/>
          <w:shd w:val="clear" w:color="auto" w:fill="FFFFFF"/>
        </w:rPr>
        <w:t xml:space="preserve"> </w:t>
      </w:r>
      <w:r w:rsidRPr="00DE25A7">
        <w:rPr>
          <w:rFonts w:ascii="Cambria" w:hAnsi="Cambria" w:cs="Arial"/>
          <w:color w:val="1C1D1E"/>
          <w:sz w:val="22"/>
          <w:szCs w:val="22"/>
          <w:shd w:val="clear" w:color="auto" w:fill="FFFFFF"/>
        </w:rPr>
        <w:t>identified MSI in 10/43 tumo</w:t>
      </w:r>
      <w:r w:rsidR="007C56FC">
        <w:rPr>
          <w:rFonts w:ascii="Cambria" w:hAnsi="Cambria" w:cs="Arial"/>
          <w:color w:val="1C1D1E"/>
          <w:sz w:val="22"/>
          <w:szCs w:val="22"/>
          <w:shd w:val="clear" w:color="auto" w:fill="FFFFFF"/>
        </w:rPr>
        <w:t>u</w:t>
      </w:r>
      <w:r w:rsidRPr="00DE25A7">
        <w:rPr>
          <w:rFonts w:ascii="Cambria" w:hAnsi="Cambria" w:cs="Arial"/>
          <w:color w:val="1C1D1E"/>
          <w:sz w:val="22"/>
          <w:szCs w:val="22"/>
          <w:shd w:val="clear" w:color="auto" w:fill="FFFFFF"/>
        </w:rPr>
        <w:t>rs (23%), and 6 of these 10 MSI tumours showed immunohistochemical loss of MMR protein expression (MLH1 in 3 cases and MSH2 in 3 cases).</w:t>
      </w:r>
    </w:p>
    <w:p w14:paraId="7119FA14" w14:textId="652BE454" w:rsidR="00533D3E" w:rsidRDefault="00E1115F" w:rsidP="00446C99">
      <w:pPr>
        <w:spacing w:after="240"/>
        <w:jc w:val="both"/>
        <w:rPr>
          <w:rFonts w:ascii="Cambria" w:hAnsi="Cambria" w:cs="Arial"/>
          <w:color w:val="1C1D1E"/>
          <w:sz w:val="22"/>
          <w:szCs w:val="22"/>
          <w:shd w:val="clear" w:color="auto" w:fill="FFFFFF"/>
        </w:rPr>
      </w:pPr>
      <w:r>
        <w:rPr>
          <w:rFonts w:ascii="Cambria" w:hAnsi="Cambria" w:cs="Arial"/>
          <w:color w:val="1C1D1E"/>
          <w:sz w:val="22"/>
          <w:szCs w:val="22"/>
          <w:shd w:val="clear" w:color="auto" w:fill="FFFFFF"/>
        </w:rPr>
        <w:t>IHC was only undertaken for MLH1 and MSH2 protein expression in these studies, but nonetheless, is suggestive of a low rate of concordance between the two tests of MMR and indicates that this needs further</w:t>
      </w:r>
      <w:r w:rsidR="00407775">
        <w:rPr>
          <w:rFonts w:ascii="Cambria" w:hAnsi="Cambria" w:cs="Arial"/>
          <w:color w:val="1C1D1E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 w:cs="Arial"/>
          <w:color w:val="1C1D1E"/>
          <w:sz w:val="22"/>
          <w:szCs w:val="22"/>
          <w:shd w:val="clear" w:color="auto" w:fill="FFFFFF"/>
        </w:rPr>
        <w:t>investigation to determine the clinical validity of the two tests in this cancer type and as a result, clinical utility is uncertain.</w:t>
      </w:r>
    </w:p>
    <w:p w14:paraId="1FCC4157" w14:textId="2C4E5031" w:rsidR="00E1115F" w:rsidRPr="00446C99" w:rsidRDefault="00533D3E" w:rsidP="00446C99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No evidence is provided </w:t>
      </w:r>
      <w:r w:rsidR="00055279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for either test type </w:t>
      </w: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of the</w:t>
      </w:r>
      <w:r w:rsidR="00055279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ir</w:t>
      </w: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 clinical validity and clinical utility for </w:t>
      </w:r>
      <w:r w:rsidR="00055279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treatment </w:t>
      </w:r>
      <w:r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>predictive</w:t>
      </w:r>
      <w:r w:rsidR="007C56FC">
        <w:rPr>
          <w:rFonts w:ascii="Cambria" w:hAnsi="Cambria"/>
          <w:color w:val="000000" w:themeColor="text1"/>
          <w:sz w:val="22"/>
          <w:szCs w:val="22"/>
          <w:shd w:val="clear" w:color="auto" w:fill="FAFAFA"/>
        </w:rPr>
        <w:t xml:space="preserve"> purposes.</w:t>
      </w:r>
    </w:p>
    <w:p w14:paraId="79F372CE" w14:textId="77777777" w:rsidR="00E1115F" w:rsidRPr="005421F4" w:rsidRDefault="00E1115F" w:rsidP="005421F4">
      <w:pPr>
        <w:pStyle w:val="Heading3"/>
        <w:rPr>
          <w:color w:val="660066"/>
          <w:lang w:val="en-US"/>
        </w:rPr>
      </w:pPr>
      <w:r w:rsidRPr="005421F4">
        <w:rPr>
          <w:color w:val="660066"/>
          <w:lang w:val="en-US"/>
        </w:rPr>
        <w:t>Pancreatic carcinoma</w:t>
      </w:r>
    </w:p>
    <w:p w14:paraId="04D74849" w14:textId="68594BF0" w:rsidR="00E1115F" w:rsidRDefault="00E1115F" w:rsidP="00446C99">
      <w:pPr>
        <w:keepNext/>
        <w:spacing w:after="24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Eatrides</w:t>
      </w:r>
      <w:proofErr w:type="spellEnd"/>
      <w:r>
        <w:rPr>
          <w:rFonts w:ascii="Cambria" w:hAnsi="Cambria"/>
          <w:sz w:val="22"/>
          <w:szCs w:val="22"/>
        </w:rPr>
        <w:t xml:space="preserve"> et al (2017) report</w:t>
      </w:r>
      <w:r w:rsidR="004C0BBC">
        <w:rPr>
          <w:rFonts w:ascii="Cambria" w:hAnsi="Cambria"/>
          <w:sz w:val="22"/>
          <w:szCs w:val="22"/>
        </w:rPr>
        <w:t>ed</w:t>
      </w:r>
      <w:r>
        <w:rPr>
          <w:rFonts w:ascii="Cambria" w:hAnsi="Cambria"/>
          <w:sz w:val="22"/>
          <w:szCs w:val="22"/>
        </w:rPr>
        <w:t xml:space="preserve"> that </w:t>
      </w:r>
      <w:r w:rsidRPr="00836BED">
        <w:rPr>
          <w:rFonts w:ascii="Cambria" w:hAnsi="Cambria"/>
          <w:sz w:val="22"/>
          <w:szCs w:val="22"/>
        </w:rPr>
        <w:t>24</w:t>
      </w:r>
      <w:r>
        <w:rPr>
          <w:rFonts w:ascii="Cambria" w:hAnsi="Cambria"/>
          <w:sz w:val="22"/>
          <w:szCs w:val="22"/>
        </w:rPr>
        <w:t>/109</w:t>
      </w:r>
      <w:r w:rsidRPr="00836BED">
        <w:rPr>
          <w:rFonts w:ascii="Cambria" w:hAnsi="Cambria"/>
          <w:sz w:val="22"/>
          <w:szCs w:val="22"/>
        </w:rPr>
        <w:t xml:space="preserve"> (22%) pancreatic biopsies were MSI-H with a deficit of MLH1, PMS2, MSH2 or MSH6, based on </w:t>
      </w:r>
      <w:r>
        <w:rPr>
          <w:rFonts w:ascii="Cambria" w:hAnsi="Cambria"/>
          <w:sz w:val="22"/>
          <w:szCs w:val="22"/>
        </w:rPr>
        <w:t>tissue microarray</w:t>
      </w:r>
      <w:r w:rsidRPr="00836BED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Ahn et al (2000) examined 13 pancreatic cancer specimens, two of which were MSI-high but only in the metastases of both specimens and not the primary tumour</w:t>
      </w:r>
      <w:r w:rsidR="009A6B10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.</w:t>
      </w:r>
    </w:p>
    <w:p w14:paraId="6CBFB020" w14:textId="5E5B1C25" w:rsidR="00155558" w:rsidRDefault="00E1115F" w:rsidP="00446C99">
      <w:p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Hu et al (2018) report</w:t>
      </w:r>
      <w:r w:rsidR="004C0BBC">
        <w:rPr>
          <w:rFonts w:ascii="Cambria" w:hAnsi="Cambria"/>
          <w:sz w:val="22"/>
          <w:szCs w:val="22"/>
        </w:rPr>
        <w:t>ed</w:t>
      </w:r>
      <w:r>
        <w:rPr>
          <w:rFonts w:ascii="Cambria" w:hAnsi="Cambria"/>
          <w:sz w:val="22"/>
          <w:szCs w:val="22"/>
        </w:rPr>
        <w:t xml:space="preserve"> low rates of dMMR in pancreatic adenocarcinoma (7/833; 0.8%) with strong correlation between IHC loss of protein expression and </w:t>
      </w:r>
      <w:proofErr w:type="spellStart"/>
      <w:r>
        <w:rPr>
          <w:rFonts w:ascii="Cambria" w:hAnsi="Cambria"/>
          <w:sz w:val="22"/>
          <w:szCs w:val="22"/>
        </w:rPr>
        <w:t>MSIsensor</w:t>
      </w:r>
      <w:proofErr w:type="spellEnd"/>
      <w:r>
        <w:rPr>
          <w:rFonts w:ascii="Cambria" w:hAnsi="Cambria"/>
          <w:sz w:val="22"/>
          <w:szCs w:val="22"/>
        </w:rPr>
        <w:t xml:space="preserve"> scores – all were found to have Lynch syndrome. MSI-high status also correlated strongly with a high tumour mutational burden.</w:t>
      </w:r>
    </w:p>
    <w:p w14:paraId="5CE60592" w14:textId="2B34DB26" w:rsidR="00E1115F" w:rsidRPr="00446C99" w:rsidRDefault="00E1115F" w:rsidP="00446C99">
      <w:pPr>
        <w:spacing w:after="24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Laghi</w:t>
      </w:r>
      <w:proofErr w:type="spellEnd"/>
      <w:r>
        <w:rPr>
          <w:rFonts w:ascii="Cambria" w:hAnsi="Cambria"/>
          <w:sz w:val="22"/>
          <w:szCs w:val="22"/>
        </w:rPr>
        <w:t xml:space="preserve"> et al (2</w:t>
      </w:r>
      <w:r w:rsidR="00FD1E66">
        <w:rPr>
          <w:rFonts w:ascii="Cambria" w:hAnsi="Cambria"/>
          <w:sz w:val="22"/>
          <w:szCs w:val="22"/>
        </w:rPr>
        <w:t>01</w:t>
      </w:r>
      <w:r>
        <w:rPr>
          <w:rFonts w:ascii="Cambria" w:hAnsi="Cambria"/>
          <w:sz w:val="22"/>
          <w:szCs w:val="22"/>
        </w:rPr>
        <w:t>2) also report</w:t>
      </w:r>
      <w:r w:rsidR="004C0BBC">
        <w:rPr>
          <w:rFonts w:ascii="Cambria" w:hAnsi="Cambria"/>
          <w:sz w:val="22"/>
          <w:szCs w:val="22"/>
        </w:rPr>
        <w:t>ed</w:t>
      </w:r>
      <w:r>
        <w:rPr>
          <w:rFonts w:ascii="Cambria" w:hAnsi="Cambria"/>
          <w:sz w:val="22"/>
          <w:szCs w:val="22"/>
        </w:rPr>
        <w:t xml:space="preserve"> low rates of MSI-high in pancreatic cancer (0.3%; 1/338 cases) which indicates that sporadic dMMR is</w:t>
      </w:r>
      <w:r w:rsidR="00A47F7A">
        <w:rPr>
          <w:rFonts w:ascii="Cambria" w:hAnsi="Cambria"/>
          <w:sz w:val="22"/>
          <w:szCs w:val="22"/>
        </w:rPr>
        <w:t xml:space="preserve"> not</w:t>
      </w:r>
      <w:r>
        <w:rPr>
          <w:rFonts w:ascii="Cambria" w:hAnsi="Cambria"/>
          <w:sz w:val="22"/>
          <w:szCs w:val="22"/>
        </w:rPr>
        <w:t xml:space="preserve"> </w:t>
      </w:r>
      <w:r w:rsidR="00155558">
        <w:rPr>
          <w:rFonts w:ascii="Cambria" w:hAnsi="Cambria"/>
          <w:sz w:val="22"/>
          <w:szCs w:val="22"/>
        </w:rPr>
        <w:t>a common cause of</w:t>
      </w:r>
      <w:r>
        <w:rPr>
          <w:rFonts w:ascii="Cambria" w:hAnsi="Cambria"/>
          <w:sz w:val="22"/>
          <w:szCs w:val="22"/>
        </w:rPr>
        <w:t xml:space="preserve"> this type of cancer.</w:t>
      </w:r>
    </w:p>
    <w:p w14:paraId="1E2C1D02" w14:textId="5843589A" w:rsidR="00B05A87" w:rsidRPr="005421F4" w:rsidRDefault="008207BC" w:rsidP="005421F4">
      <w:pPr>
        <w:pStyle w:val="Heading3"/>
        <w:rPr>
          <w:color w:val="660066"/>
        </w:rPr>
      </w:pPr>
      <w:r w:rsidRPr="005421F4">
        <w:rPr>
          <w:color w:val="660066"/>
        </w:rPr>
        <w:t>Bladder</w:t>
      </w:r>
      <w:r w:rsidR="00407775" w:rsidRPr="005421F4">
        <w:rPr>
          <w:color w:val="660066"/>
        </w:rPr>
        <w:t>/urothelial</w:t>
      </w:r>
      <w:r w:rsidRPr="005421F4">
        <w:rPr>
          <w:color w:val="660066"/>
        </w:rPr>
        <w:t xml:space="preserve"> cancer</w:t>
      </w:r>
    </w:p>
    <w:p w14:paraId="51AB17F0" w14:textId="60EC7FE0" w:rsidR="000E0B1D" w:rsidRDefault="00395C53" w:rsidP="00446C99">
      <w:pPr>
        <w:keepNext/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Latham (2018) identified MSI – high or low status in 30% of samples analysed by NGS, with 37.5% found to have Lynch syndrome</w:t>
      </w:r>
      <w:r w:rsidR="001B7FA1">
        <w:rPr>
          <w:rFonts w:ascii="Cambria" w:hAnsi="Cambria"/>
          <w:sz w:val="22"/>
          <w:szCs w:val="22"/>
        </w:rPr>
        <w:t xml:space="preserve">, and as expected, most were due to </w:t>
      </w:r>
      <w:r w:rsidR="001B7FA1" w:rsidRPr="00BB12B3">
        <w:rPr>
          <w:rFonts w:ascii="Cambria" w:hAnsi="Cambria"/>
          <w:i/>
          <w:sz w:val="22"/>
          <w:szCs w:val="22"/>
        </w:rPr>
        <w:t>MSH2</w:t>
      </w:r>
      <w:r w:rsidR="001B7FA1">
        <w:rPr>
          <w:rFonts w:ascii="Cambria" w:hAnsi="Cambria"/>
          <w:sz w:val="22"/>
          <w:szCs w:val="22"/>
        </w:rPr>
        <w:t xml:space="preserve"> mutations. </w:t>
      </w:r>
      <w:r>
        <w:rPr>
          <w:rFonts w:ascii="Cambria" w:hAnsi="Cambria"/>
          <w:sz w:val="22"/>
          <w:szCs w:val="22"/>
        </w:rPr>
        <w:t xml:space="preserve">These high figures point to a potentially broad clinical </w:t>
      </w:r>
      <w:r w:rsidR="00BD7214">
        <w:rPr>
          <w:rFonts w:ascii="Cambria" w:hAnsi="Cambria"/>
          <w:sz w:val="22"/>
          <w:szCs w:val="22"/>
        </w:rPr>
        <w:t>utilit</w:t>
      </w:r>
      <w:r>
        <w:rPr>
          <w:rFonts w:ascii="Cambria" w:hAnsi="Cambria"/>
          <w:sz w:val="22"/>
          <w:szCs w:val="22"/>
        </w:rPr>
        <w:t xml:space="preserve">y of testing such </w:t>
      </w:r>
      <w:proofErr w:type="gramStart"/>
      <w:r>
        <w:rPr>
          <w:rFonts w:ascii="Cambria" w:hAnsi="Cambria"/>
          <w:sz w:val="22"/>
          <w:szCs w:val="22"/>
        </w:rPr>
        <w:t>tumours, and</w:t>
      </w:r>
      <w:proofErr w:type="gramEnd"/>
      <w:r>
        <w:rPr>
          <w:rFonts w:ascii="Cambria" w:hAnsi="Cambria"/>
          <w:sz w:val="22"/>
          <w:szCs w:val="22"/>
        </w:rPr>
        <w:t xml:space="preserve"> may support the selection of patients better than the current use of PD-L1. </w:t>
      </w:r>
      <w:r w:rsidR="00CA13D6" w:rsidRPr="00395C53">
        <w:rPr>
          <w:rFonts w:ascii="Cambria" w:hAnsi="Cambria"/>
          <w:sz w:val="22"/>
          <w:szCs w:val="22"/>
        </w:rPr>
        <w:t xml:space="preserve">In a population selected to be potentially enriched for dMMR, </w:t>
      </w:r>
      <w:r w:rsidR="008207BC" w:rsidRPr="00395C53">
        <w:rPr>
          <w:rFonts w:ascii="Cambria" w:hAnsi="Cambria"/>
          <w:sz w:val="22"/>
          <w:szCs w:val="22"/>
        </w:rPr>
        <w:t>MSI</w:t>
      </w:r>
      <w:r w:rsidR="007331DC" w:rsidRPr="00395C53">
        <w:rPr>
          <w:rFonts w:ascii="Cambria" w:hAnsi="Cambria"/>
          <w:sz w:val="22"/>
          <w:szCs w:val="22"/>
        </w:rPr>
        <w:t xml:space="preserve">-high status only detected in 1/109 patients with bladder cancer &lt;40 years of </w:t>
      </w:r>
      <w:proofErr w:type="gramStart"/>
      <w:r w:rsidR="007331DC" w:rsidRPr="00395C53">
        <w:rPr>
          <w:rFonts w:ascii="Cambria" w:hAnsi="Cambria"/>
          <w:sz w:val="22"/>
          <w:szCs w:val="22"/>
        </w:rPr>
        <w:t>age, and</w:t>
      </w:r>
      <w:proofErr w:type="gramEnd"/>
      <w:r w:rsidR="007331DC" w:rsidRPr="00395C53">
        <w:rPr>
          <w:rFonts w:ascii="Cambria" w:hAnsi="Cambria"/>
          <w:sz w:val="22"/>
          <w:szCs w:val="22"/>
        </w:rPr>
        <w:t xml:space="preserve"> did not correlate with IHC loss of expression</w:t>
      </w:r>
      <w:r w:rsidR="004F4456" w:rsidRPr="00395C53">
        <w:rPr>
          <w:rFonts w:ascii="Cambria" w:hAnsi="Cambria"/>
          <w:sz w:val="22"/>
          <w:szCs w:val="22"/>
        </w:rPr>
        <w:t xml:space="preserve"> (</w:t>
      </w:r>
      <w:proofErr w:type="spellStart"/>
      <w:r w:rsidR="004F4456" w:rsidRPr="00395C53">
        <w:rPr>
          <w:rFonts w:ascii="Cambria" w:hAnsi="Cambria"/>
          <w:sz w:val="22"/>
          <w:szCs w:val="22"/>
        </w:rPr>
        <w:t>Giedl</w:t>
      </w:r>
      <w:proofErr w:type="spellEnd"/>
      <w:r w:rsidR="004F4456" w:rsidRPr="00395C53">
        <w:rPr>
          <w:rFonts w:ascii="Cambria" w:hAnsi="Cambria"/>
          <w:sz w:val="22"/>
          <w:szCs w:val="22"/>
        </w:rPr>
        <w:t xml:space="preserve"> et al, 2014)</w:t>
      </w:r>
      <w:r>
        <w:rPr>
          <w:rFonts w:ascii="Cambria" w:hAnsi="Cambria"/>
          <w:sz w:val="22"/>
          <w:szCs w:val="22"/>
        </w:rPr>
        <w:t>.</w:t>
      </w:r>
    </w:p>
    <w:p w14:paraId="3C27E37F" w14:textId="02C0D643" w:rsidR="004B792B" w:rsidRPr="00A537D4" w:rsidRDefault="00F32573" w:rsidP="00A537D4">
      <w:pPr>
        <w:pStyle w:val="Heading2"/>
        <w:rPr>
          <w:b/>
          <w:color w:val="660066"/>
        </w:rPr>
      </w:pPr>
      <w:r w:rsidRPr="00A537D4">
        <w:rPr>
          <w:b/>
          <w:color w:val="660066"/>
        </w:rPr>
        <w:t>4. What steps are underway to address these uncertainties and what are the antic</w:t>
      </w:r>
      <w:r w:rsidR="007C56FC" w:rsidRPr="00A537D4">
        <w:rPr>
          <w:b/>
          <w:color w:val="660066"/>
        </w:rPr>
        <w:t>ipated timeframes for delivery?</w:t>
      </w:r>
    </w:p>
    <w:p w14:paraId="499CEBB0" w14:textId="31310E33" w:rsidR="00C77E58" w:rsidRPr="00446C99" w:rsidRDefault="0038150C" w:rsidP="00446C99">
      <w:pPr>
        <w:keepNext/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Most of the information to date regarding dMMR is for prognostic or hereditary predisposition and there is limited information regarding the optimal test for identifying dMMR </w:t>
      </w:r>
      <w:r w:rsidR="00080124">
        <w:rPr>
          <w:rFonts w:ascii="Cambria" w:hAnsi="Cambria"/>
          <w:sz w:val="22"/>
          <w:szCs w:val="22"/>
        </w:rPr>
        <w:t xml:space="preserve">in the rarer </w:t>
      </w:r>
      <w:r>
        <w:rPr>
          <w:rFonts w:ascii="Cambria" w:hAnsi="Cambria"/>
          <w:sz w:val="22"/>
          <w:szCs w:val="22"/>
        </w:rPr>
        <w:t>tumour</w:t>
      </w:r>
      <w:r w:rsidR="00080124">
        <w:rPr>
          <w:rFonts w:ascii="Cambria" w:hAnsi="Cambria"/>
          <w:sz w:val="22"/>
          <w:szCs w:val="22"/>
        </w:rPr>
        <w:t xml:space="preserve"> types recognised as part of Lynch syndrome, as well as those newly found to be associated with mismatch repair deficiency (Latham, 2018)</w:t>
      </w:r>
      <w:r>
        <w:rPr>
          <w:rFonts w:ascii="Cambria" w:hAnsi="Cambria"/>
          <w:sz w:val="22"/>
          <w:szCs w:val="22"/>
        </w:rPr>
        <w:t xml:space="preserve">. This is an area of intense clinical interest and </w:t>
      </w:r>
      <w:r>
        <w:rPr>
          <w:rFonts w:ascii="Cambria" w:hAnsi="Cambria"/>
          <w:sz w:val="22"/>
          <w:szCs w:val="22"/>
        </w:rPr>
        <w:lastRenderedPageBreak/>
        <w:t>investigation</w:t>
      </w:r>
      <w:r w:rsidR="00E516AD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 xml:space="preserve">given the </w:t>
      </w:r>
      <w:r w:rsidR="00080124">
        <w:rPr>
          <w:rFonts w:ascii="Cambria" w:hAnsi="Cambria"/>
          <w:sz w:val="22"/>
          <w:szCs w:val="22"/>
        </w:rPr>
        <w:t xml:space="preserve">predictive role of such testing and the rapid development of </w:t>
      </w:r>
      <w:r>
        <w:rPr>
          <w:rFonts w:ascii="Cambria" w:hAnsi="Cambria"/>
          <w:sz w:val="22"/>
          <w:szCs w:val="22"/>
        </w:rPr>
        <w:t>new trea</w:t>
      </w:r>
      <w:r w:rsidR="007C56FC">
        <w:rPr>
          <w:rFonts w:ascii="Cambria" w:hAnsi="Cambria"/>
          <w:sz w:val="22"/>
          <w:szCs w:val="22"/>
        </w:rPr>
        <w:t>tment option for such patients.</w:t>
      </w:r>
    </w:p>
    <w:p w14:paraId="6787A1A6" w14:textId="2AFF1A5C" w:rsidR="00E352ED" w:rsidRPr="005421F4" w:rsidRDefault="00E352ED" w:rsidP="005421F4">
      <w:pPr>
        <w:pStyle w:val="Heading3"/>
        <w:rPr>
          <w:color w:val="660066"/>
        </w:rPr>
      </w:pPr>
      <w:r w:rsidRPr="005421F4">
        <w:rPr>
          <w:color w:val="660066"/>
        </w:rPr>
        <w:t>Regula</w:t>
      </w:r>
      <w:r w:rsidR="007C56FC" w:rsidRPr="005421F4">
        <w:rPr>
          <w:color w:val="660066"/>
        </w:rPr>
        <w:t xml:space="preserve">tory </w:t>
      </w:r>
      <w:proofErr w:type="spellStart"/>
      <w:r w:rsidR="007C56FC" w:rsidRPr="005421F4">
        <w:rPr>
          <w:color w:val="660066"/>
        </w:rPr>
        <w:t>postmarketing</w:t>
      </w:r>
      <w:proofErr w:type="spellEnd"/>
      <w:r w:rsidR="007C56FC" w:rsidRPr="005421F4">
        <w:rPr>
          <w:color w:val="660066"/>
        </w:rPr>
        <w:t xml:space="preserve"> requirements</w:t>
      </w:r>
    </w:p>
    <w:p w14:paraId="1E55F123" w14:textId="61B1BA5C" w:rsidR="00043F38" w:rsidRDefault="00E516AD" w:rsidP="00D47919">
      <w:pPr>
        <w:keepNext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FDA</w:t>
      </w:r>
      <w:r w:rsidR="00E352ED">
        <w:rPr>
          <w:rFonts w:ascii="Cambria" w:hAnsi="Cambria"/>
          <w:sz w:val="22"/>
          <w:szCs w:val="22"/>
        </w:rPr>
        <w:t xml:space="preserve"> approved the use of </w:t>
      </w:r>
      <w:r>
        <w:rPr>
          <w:rFonts w:ascii="Cambria" w:hAnsi="Cambria"/>
          <w:sz w:val="22"/>
          <w:szCs w:val="22"/>
        </w:rPr>
        <w:t xml:space="preserve">two PD-1 inhibitors </w:t>
      </w:r>
      <w:r w:rsidR="00E352ED">
        <w:rPr>
          <w:rFonts w:ascii="Cambria" w:hAnsi="Cambria"/>
          <w:sz w:val="22"/>
          <w:szCs w:val="22"/>
        </w:rPr>
        <w:t>for tumours that are mismatch repair deficient</w:t>
      </w:r>
      <w:r>
        <w:rPr>
          <w:rFonts w:ascii="Cambria" w:hAnsi="Cambria"/>
          <w:sz w:val="22"/>
          <w:szCs w:val="22"/>
        </w:rPr>
        <w:t xml:space="preserve"> with the following </w:t>
      </w:r>
      <w:proofErr w:type="spellStart"/>
      <w:r>
        <w:rPr>
          <w:rFonts w:ascii="Cambria" w:hAnsi="Cambria"/>
          <w:sz w:val="22"/>
          <w:szCs w:val="22"/>
        </w:rPr>
        <w:t>postmarketing</w:t>
      </w:r>
      <w:proofErr w:type="spellEnd"/>
      <w:r>
        <w:rPr>
          <w:rFonts w:ascii="Cambria" w:hAnsi="Cambria"/>
          <w:sz w:val="22"/>
          <w:szCs w:val="22"/>
        </w:rPr>
        <w:t xml:space="preserve"> commitments, as </w:t>
      </w:r>
      <w:r w:rsidR="000A27DC">
        <w:rPr>
          <w:rFonts w:ascii="Cambria" w:hAnsi="Cambria"/>
          <w:sz w:val="22"/>
          <w:szCs w:val="22"/>
        </w:rPr>
        <w:t xml:space="preserve">stipulated in the </w:t>
      </w:r>
      <w:r w:rsidR="00D106D4">
        <w:rPr>
          <w:rFonts w:ascii="Cambria" w:hAnsi="Cambria"/>
          <w:sz w:val="22"/>
          <w:szCs w:val="22"/>
        </w:rPr>
        <w:t xml:space="preserve">FDA </w:t>
      </w:r>
      <w:r w:rsidR="000A27DC">
        <w:rPr>
          <w:rFonts w:ascii="Cambria" w:hAnsi="Cambria"/>
          <w:sz w:val="22"/>
          <w:szCs w:val="22"/>
        </w:rPr>
        <w:t>approval letter of 2</w:t>
      </w:r>
      <w:r w:rsidR="00D106D4">
        <w:rPr>
          <w:rFonts w:ascii="Cambria" w:hAnsi="Cambria"/>
          <w:sz w:val="22"/>
          <w:szCs w:val="22"/>
        </w:rPr>
        <w:t>3 May 2017 for pembrolizumab</w:t>
      </w:r>
      <w:r w:rsidR="007C56FC">
        <w:rPr>
          <w:rFonts w:ascii="Cambria" w:hAnsi="Cambria"/>
          <w:sz w:val="22"/>
          <w:szCs w:val="22"/>
        </w:rPr>
        <w:t>:</w:t>
      </w:r>
    </w:p>
    <w:p w14:paraId="11CA6986" w14:textId="5756EAA9" w:rsidR="00E516AD" w:rsidRPr="000A27DC" w:rsidRDefault="00E516AD" w:rsidP="007C56F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hyperlink r:id="rId10" w:tooltip="Link to Dept of Health and Human Services FDA letter to MSD" w:history="1">
        <w:r w:rsidRPr="00A021F5">
          <w:rPr>
            <w:rStyle w:val="Hyperlink"/>
            <w:rFonts w:ascii="Cambria" w:hAnsi="Cambria"/>
            <w:sz w:val="22"/>
            <w:szCs w:val="22"/>
          </w:rPr>
          <w:t>https://www.accessdata.fda.gov/drugsatfda_docs/appletter/2017/125514Orig1s014ltr.pdf</w:t>
        </w:r>
      </w:hyperlink>
      <w:r>
        <w:rPr>
          <w:rFonts w:ascii="Cambria" w:hAnsi="Cambria"/>
          <w:sz w:val="22"/>
          <w:szCs w:val="22"/>
        </w:rPr>
        <w:t xml:space="preserve"> accessed 28 April 2019)</w:t>
      </w:r>
      <w:r w:rsidR="00E352ED">
        <w:rPr>
          <w:rFonts w:ascii="Cambria" w:hAnsi="Cambria"/>
          <w:sz w:val="22"/>
          <w:szCs w:val="22"/>
        </w:rPr>
        <w:t>, with</w:t>
      </w:r>
      <w:r w:rsidR="00857616">
        <w:rPr>
          <w:rFonts w:ascii="Cambria" w:hAnsi="Cambria"/>
          <w:sz w:val="22"/>
          <w:szCs w:val="22"/>
        </w:rPr>
        <w:t xml:space="preserve"> final reports for both commitments </w:t>
      </w:r>
      <w:r w:rsidR="00E352ED">
        <w:rPr>
          <w:rFonts w:ascii="Cambria" w:hAnsi="Cambria"/>
          <w:sz w:val="22"/>
          <w:szCs w:val="22"/>
        </w:rPr>
        <w:t>due in</w:t>
      </w:r>
      <w:r w:rsidR="007C56FC">
        <w:rPr>
          <w:rFonts w:ascii="Cambria" w:hAnsi="Cambria"/>
          <w:sz w:val="22"/>
          <w:szCs w:val="22"/>
        </w:rPr>
        <w:t xml:space="preserve"> June 2019.</w:t>
      </w:r>
    </w:p>
    <w:p w14:paraId="192ED5D7" w14:textId="342E2711" w:rsidR="000A27DC" w:rsidRPr="000A27DC" w:rsidRDefault="00D106D4" w:rsidP="007C56FC">
      <w:pPr>
        <w:ind w:left="720"/>
        <w:jc w:val="both"/>
        <w:rPr>
          <w:rFonts w:ascii="Cambria" w:hAnsi="Cambria"/>
          <w:i/>
          <w:sz w:val="22"/>
          <w:szCs w:val="22"/>
        </w:rPr>
      </w:pPr>
      <w:r w:rsidRPr="00D106D4">
        <w:rPr>
          <w:rFonts w:ascii="Cambria" w:hAnsi="Cambria"/>
          <w:i/>
          <w:sz w:val="22"/>
          <w:szCs w:val="22"/>
        </w:rPr>
        <w:t>“</w:t>
      </w:r>
      <w:r w:rsidR="000A27DC" w:rsidRPr="000A27DC">
        <w:rPr>
          <w:rFonts w:ascii="Cambria" w:hAnsi="Cambria"/>
          <w:i/>
          <w:sz w:val="22"/>
          <w:szCs w:val="22"/>
        </w:rPr>
        <w:t xml:space="preserve">Commitment to support the availability through an appropriate analytical and clinical validation study using clinical trial data that will support </w:t>
      </w:r>
      <w:proofErr w:type="spellStart"/>
      <w:r w:rsidR="000A27DC" w:rsidRPr="000A27DC">
        <w:rPr>
          <w:rFonts w:ascii="Cambria" w:hAnsi="Cambria"/>
          <w:i/>
          <w:sz w:val="22"/>
          <w:szCs w:val="22"/>
        </w:rPr>
        <w:t>labeling</w:t>
      </w:r>
      <w:proofErr w:type="spellEnd"/>
      <w:r w:rsidR="000A27DC" w:rsidRPr="000A27DC">
        <w:rPr>
          <w:rFonts w:ascii="Cambria" w:hAnsi="Cambria"/>
          <w:i/>
          <w:sz w:val="22"/>
          <w:szCs w:val="22"/>
        </w:rPr>
        <w:t xml:space="preserve"> of an immunohistochemistry based </w:t>
      </w:r>
      <w:r w:rsidR="000A27DC" w:rsidRPr="000A27DC">
        <w:rPr>
          <w:rFonts w:ascii="Cambria" w:hAnsi="Cambria"/>
          <w:i/>
          <w:iCs/>
          <w:sz w:val="22"/>
          <w:szCs w:val="22"/>
        </w:rPr>
        <w:t xml:space="preserve">in vitro </w:t>
      </w:r>
      <w:r w:rsidR="000A27DC" w:rsidRPr="000A27DC">
        <w:rPr>
          <w:rFonts w:ascii="Cambria" w:hAnsi="Cambria"/>
          <w:i/>
          <w:sz w:val="22"/>
          <w:szCs w:val="22"/>
        </w:rPr>
        <w:t xml:space="preserve">diagnostic device that is essential to the safe and effective use of pembrolizumab for patients with </w:t>
      </w:r>
      <w:proofErr w:type="spellStart"/>
      <w:r w:rsidR="000A27DC" w:rsidRPr="000A27DC">
        <w:rPr>
          <w:rFonts w:ascii="Cambria" w:hAnsi="Cambria"/>
          <w:i/>
          <w:sz w:val="22"/>
          <w:szCs w:val="22"/>
        </w:rPr>
        <w:t>tumors</w:t>
      </w:r>
      <w:proofErr w:type="spellEnd"/>
      <w:r w:rsidR="000A27DC" w:rsidRPr="000A27DC">
        <w:rPr>
          <w:rFonts w:ascii="Cambria" w:hAnsi="Cambria"/>
          <w:i/>
          <w:sz w:val="22"/>
          <w:szCs w:val="22"/>
        </w:rPr>
        <w:t xml:space="preserve"> that</w:t>
      </w:r>
      <w:r w:rsidR="007C56FC">
        <w:rPr>
          <w:rFonts w:ascii="Cambria" w:hAnsi="Cambria"/>
          <w:i/>
          <w:sz w:val="22"/>
          <w:szCs w:val="22"/>
        </w:rPr>
        <w:t xml:space="preserve"> are mismatch repair deficient.</w:t>
      </w:r>
    </w:p>
    <w:p w14:paraId="34CE63F6" w14:textId="70D67043" w:rsidR="000A27DC" w:rsidRPr="000A27DC" w:rsidRDefault="000A27DC" w:rsidP="007C56FC">
      <w:pPr>
        <w:jc w:val="both"/>
        <w:rPr>
          <w:rFonts w:ascii="Cambria" w:hAnsi="Cambria"/>
          <w:i/>
          <w:sz w:val="22"/>
          <w:szCs w:val="22"/>
        </w:rPr>
      </w:pPr>
      <w:r w:rsidRPr="000A27DC">
        <w:rPr>
          <w:rFonts w:ascii="Cambria" w:hAnsi="Cambria"/>
          <w:i/>
          <w:sz w:val="22"/>
          <w:szCs w:val="22"/>
        </w:rPr>
        <w:t>The timetable you submitted on May 18, 2017, states that you will support the submission of a Premarket Approval (PMA) Application to FDA/CDRH according</w:t>
      </w:r>
      <w:r w:rsidR="007C56FC">
        <w:rPr>
          <w:rFonts w:ascii="Cambria" w:hAnsi="Cambria"/>
          <w:i/>
          <w:sz w:val="22"/>
          <w:szCs w:val="22"/>
        </w:rPr>
        <w:t xml:space="preserve"> to the following schedule:</w:t>
      </w:r>
    </w:p>
    <w:p w14:paraId="6D2CB172" w14:textId="53CD452B" w:rsidR="00D106D4" w:rsidRPr="00446C99" w:rsidRDefault="000A27DC" w:rsidP="00446C99">
      <w:pPr>
        <w:spacing w:after="240"/>
        <w:jc w:val="both"/>
        <w:rPr>
          <w:rFonts w:ascii="Cambria" w:hAnsi="Cambria"/>
          <w:i/>
          <w:sz w:val="22"/>
          <w:szCs w:val="22"/>
        </w:rPr>
      </w:pPr>
      <w:r w:rsidRPr="000A27DC">
        <w:rPr>
          <w:rFonts w:ascii="Cambria" w:hAnsi="Cambria"/>
          <w:i/>
          <w:sz w:val="22"/>
          <w:szCs w:val="22"/>
        </w:rPr>
        <w:t>Final Report Submission: June 2019</w:t>
      </w:r>
      <w:r w:rsidR="00D106D4" w:rsidRPr="00D106D4">
        <w:rPr>
          <w:rFonts w:ascii="Cambria" w:hAnsi="Cambria"/>
          <w:i/>
          <w:sz w:val="22"/>
          <w:szCs w:val="22"/>
        </w:rPr>
        <w:t>”</w:t>
      </w:r>
    </w:p>
    <w:p w14:paraId="0C54BCC1" w14:textId="6155D981" w:rsidR="000A27DC" w:rsidRPr="000A27DC" w:rsidRDefault="00D106D4" w:rsidP="007C56FC">
      <w:pPr>
        <w:ind w:left="720"/>
        <w:jc w:val="both"/>
        <w:rPr>
          <w:rFonts w:ascii="Cambria" w:hAnsi="Cambria"/>
          <w:i/>
          <w:sz w:val="22"/>
          <w:szCs w:val="22"/>
        </w:rPr>
      </w:pPr>
      <w:r w:rsidRPr="00D106D4">
        <w:rPr>
          <w:rFonts w:ascii="Cambria" w:hAnsi="Cambria"/>
          <w:i/>
          <w:sz w:val="22"/>
          <w:szCs w:val="22"/>
        </w:rPr>
        <w:t>“</w:t>
      </w:r>
      <w:r w:rsidR="000A27DC" w:rsidRPr="000A27DC">
        <w:rPr>
          <w:rFonts w:ascii="Cambria" w:hAnsi="Cambria"/>
          <w:i/>
          <w:sz w:val="22"/>
          <w:szCs w:val="22"/>
        </w:rPr>
        <w:t xml:space="preserve">Commitment to support the availability through an appropriate analytical and clinical validation study using clinical trial data that will support </w:t>
      </w:r>
      <w:proofErr w:type="spellStart"/>
      <w:r w:rsidR="000A27DC" w:rsidRPr="000A27DC">
        <w:rPr>
          <w:rFonts w:ascii="Cambria" w:hAnsi="Cambria"/>
          <w:i/>
          <w:sz w:val="22"/>
          <w:szCs w:val="22"/>
        </w:rPr>
        <w:t>labeling</w:t>
      </w:r>
      <w:proofErr w:type="spellEnd"/>
      <w:r w:rsidR="000A27DC" w:rsidRPr="000A27DC">
        <w:rPr>
          <w:rFonts w:ascii="Cambria" w:hAnsi="Cambria"/>
          <w:i/>
          <w:sz w:val="22"/>
          <w:szCs w:val="22"/>
        </w:rPr>
        <w:t xml:space="preserve"> of a nucleic acid-based </w:t>
      </w:r>
      <w:r w:rsidR="000A27DC" w:rsidRPr="000A27DC">
        <w:rPr>
          <w:rFonts w:ascii="Cambria" w:hAnsi="Cambria"/>
          <w:i/>
          <w:iCs/>
          <w:sz w:val="22"/>
          <w:szCs w:val="22"/>
        </w:rPr>
        <w:t xml:space="preserve">in vitro </w:t>
      </w:r>
      <w:r w:rsidR="000A27DC" w:rsidRPr="000A27DC">
        <w:rPr>
          <w:rFonts w:ascii="Cambria" w:hAnsi="Cambria"/>
          <w:i/>
          <w:sz w:val="22"/>
          <w:szCs w:val="22"/>
        </w:rPr>
        <w:t xml:space="preserve">diagnostic device that is essential to the safe and effective use of pembrolizumab for patients with </w:t>
      </w:r>
      <w:proofErr w:type="spellStart"/>
      <w:r w:rsidR="000A27DC" w:rsidRPr="000A27DC">
        <w:rPr>
          <w:rFonts w:ascii="Cambria" w:hAnsi="Cambria"/>
          <w:i/>
          <w:sz w:val="22"/>
          <w:szCs w:val="22"/>
        </w:rPr>
        <w:t>tumors</w:t>
      </w:r>
      <w:proofErr w:type="spellEnd"/>
      <w:r w:rsidR="000A27DC" w:rsidRPr="000A27DC">
        <w:rPr>
          <w:rFonts w:ascii="Cambria" w:hAnsi="Cambria"/>
          <w:i/>
          <w:sz w:val="22"/>
          <w:szCs w:val="22"/>
        </w:rPr>
        <w:t xml:space="preserve"> that are microsatellite instability high. </w:t>
      </w:r>
    </w:p>
    <w:p w14:paraId="29D9E1DA" w14:textId="3E31E1EE" w:rsidR="000A27DC" w:rsidRPr="000A27DC" w:rsidRDefault="000A27DC" w:rsidP="007C56FC">
      <w:pPr>
        <w:jc w:val="both"/>
        <w:rPr>
          <w:rFonts w:ascii="Cambria" w:hAnsi="Cambria"/>
          <w:i/>
          <w:sz w:val="22"/>
          <w:szCs w:val="22"/>
        </w:rPr>
      </w:pPr>
      <w:r w:rsidRPr="000A27DC">
        <w:rPr>
          <w:rFonts w:ascii="Cambria" w:hAnsi="Cambria"/>
          <w:i/>
          <w:sz w:val="22"/>
          <w:szCs w:val="22"/>
        </w:rPr>
        <w:t>The timetable you submitted on May 18, 2017, states that you will support the submission of a Premarket Approval (PMA) Application to FDA/CDRH accor</w:t>
      </w:r>
      <w:r w:rsidR="007C56FC">
        <w:rPr>
          <w:rFonts w:ascii="Cambria" w:hAnsi="Cambria"/>
          <w:i/>
          <w:sz w:val="22"/>
          <w:szCs w:val="22"/>
        </w:rPr>
        <w:t>ding to the following schedule:</w:t>
      </w:r>
    </w:p>
    <w:p w14:paraId="63E4B74F" w14:textId="022FAB7C" w:rsidR="000A27DC" w:rsidRPr="00446C99" w:rsidRDefault="000A27DC" w:rsidP="00446C99">
      <w:pPr>
        <w:spacing w:after="240"/>
        <w:jc w:val="both"/>
        <w:rPr>
          <w:rFonts w:ascii="Cambria" w:hAnsi="Cambria"/>
          <w:i/>
          <w:sz w:val="22"/>
          <w:szCs w:val="22"/>
        </w:rPr>
      </w:pPr>
      <w:r w:rsidRPr="000A27DC">
        <w:rPr>
          <w:rFonts w:ascii="Cambria" w:hAnsi="Cambria"/>
          <w:i/>
          <w:sz w:val="22"/>
          <w:szCs w:val="22"/>
        </w:rPr>
        <w:t>Final Report Submission: June 2019</w:t>
      </w:r>
      <w:r w:rsidR="00D106D4" w:rsidRPr="00D106D4">
        <w:rPr>
          <w:rFonts w:ascii="Cambria" w:hAnsi="Cambria"/>
          <w:i/>
          <w:sz w:val="22"/>
          <w:szCs w:val="22"/>
        </w:rPr>
        <w:t>”</w:t>
      </w:r>
    </w:p>
    <w:p w14:paraId="3DB96907" w14:textId="48058D17" w:rsidR="00E516AD" w:rsidRPr="000A27DC" w:rsidRDefault="00E516AD" w:rsidP="00446C99">
      <w:p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same commitments were required in support of the accelerated approval for nivolumab</w:t>
      </w:r>
      <w:r w:rsidR="00CF2687">
        <w:rPr>
          <w:rFonts w:ascii="Cambria" w:hAnsi="Cambria"/>
          <w:sz w:val="22"/>
          <w:szCs w:val="22"/>
        </w:rPr>
        <w:t xml:space="preserve"> granted on 21 July 2017</w:t>
      </w:r>
      <w:r>
        <w:rPr>
          <w:rFonts w:ascii="Cambria" w:hAnsi="Cambria"/>
          <w:sz w:val="22"/>
          <w:szCs w:val="22"/>
        </w:rPr>
        <w:t>, but with a final report date of September 2021</w:t>
      </w:r>
      <w:r w:rsidR="00CF2687">
        <w:rPr>
          <w:rStyle w:val="FootnoteReference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.</w:t>
      </w:r>
    </w:p>
    <w:p w14:paraId="517930B1" w14:textId="316005D8" w:rsidR="008A7191" w:rsidRPr="00E516AD" w:rsidRDefault="00E516AD" w:rsidP="007C56F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On 3 January 2019, </w:t>
      </w:r>
      <w:r w:rsidRPr="00E516AD">
        <w:rPr>
          <w:rFonts w:ascii="Cambria" w:hAnsi="Cambria"/>
          <w:sz w:val="22"/>
          <w:szCs w:val="22"/>
        </w:rPr>
        <w:t xml:space="preserve">PMDA (Japan) </w:t>
      </w:r>
      <w:r w:rsidRPr="00E516AD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approved pembrolizumab “As treatment for patients with advanced/recurrent MSI-H solid </w:t>
      </w:r>
      <w:proofErr w:type="spellStart"/>
      <w:r w:rsidRPr="00E516AD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tumors</w:t>
      </w:r>
      <w:proofErr w:type="spellEnd"/>
      <w:r w:rsidRPr="00E516AD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that have progressed following chemotherapy, if refractory or intolerant to standard therapies.” The Japan PMDA also approved</w:t>
      </w:r>
      <w:r w:rsidR="00CF2687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the MSI-high</w:t>
      </w:r>
      <w:r w:rsidRPr="00E516AD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FALCO</w:t>
      </w:r>
      <w:r w:rsidR="00CF2687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 kit as </w:t>
      </w:r>
      <w:r w:rsidRPr="00E516AD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a companion diagnostic for MSI-H</w:t>
      </w:r>
      <w:r w:rsidR="000E0847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, </w:t>
      </w:r>
      <w:r w:rsidR="00CF2687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which is </w:t>
      </w:r>
      <w:r w:rsidR="009C34F3">
        <w:rPr>
          <w:rFonts w:ascii="Cambria" w:hAnsi="Cambria" w:cs="Arial"/>
          <w:color w:val="000000"/>
          <w:sz w:val="22"/>
          <w:szCs w:val="22"/>
          <w:shd w:val="clear" w:color="auto" w:fill="FFFFFF"/>
        </w:rPr>
        <w:t xml:space="preserve">a PCR assay </w:t>
      </w:r>
      <w:r w:rsidR="000E0847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developed by Promega.</w:t>
      </w:r>
      <w:r w:rsidR="008A7191">
        <w:rPr>
          <w:rFonts w:ascii="Cambria" w:hAnsi="Cambria"/>
          <w:b/>
          <w:sz w:val="22"/>
          <w:szCs w:val="22"/>
          <w:u w:val="single"/>
          <w:lang w:val="en-US"/>
        </w:rPr>
        <w:br w:type="page"/>
      </w:r>
    </w:p>
    <w:p w14:paraId="15B021B5" w14:textId="13D170DF" w:rsidR="00955C4A" w:rsidRPr="00A537D4" w:rsidRDefault="007C56FC" w:rsidP="00A537D4">
      <w:pPr>
        <w:pStyle w:val="Heading2"/>
        <w:rPr>
          <w:b/>
          <w:color w:val="660066"/>
          <w:lang w:val="en-US"/>
        </w:rPr>
      </w:pPr>
      <w:r w:rsidRPr="00A537D4">
        <w:rPr>
          <w:b/>
          <w:color w:val="660066"/>
          <w:lang w:val="en-US"/>
        </w:rPr>
        <w:lastRenderedPageBreak/>
        <w:t>References</w:t>
      </w:r>
    </w:p>
    <w:p w14:paraId="43BE8545" w14:textId="46340A0C" w:rsidR="00836BED" w:rsidRPr="008207BC" w:rsidRDefault="00407775" w:rsidP="00446C99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Akbari M</w:t>
      </w:r>
      <w:r w:rsidR="00836BED" w:rsidRPr="008207BC">
        <w:rPr>
          <w:rFonts w:ascii="Cambria" w:hAnsi="Cambria"/>
          <w:color w:val="000000" w:themeColor="text1"/>
          <w:sz w:val="22"/>
          <w:szCs w:val="22"/>
        </w:rPr>
        <w:t xml:space="preserve">R, Zhang S, </w:t>
      </w:r>
      <w:proofErr w:type="spellStart"/>
      <w:r w:rsidR="00836BED" w:rsidRPr="008207BC">
        <w:rPr>
          <w:rFonts w:ascii="Cambria" w:hAnsi="Cambria"/>
          <w:color w:val="000000" w:themeColor="text1"/>
          <w:sz w:val="22"/>
          <w:szCs w:val="22"/>
        </w:rPr>
        <w:t>Cragun</w:t>
      </w:r>
      <w:proofErr w:type="spellEnd"/>
      <w:r w:rsidR="00836BED" w:rsidRPr="008207BC">
        <w:rPr>
          <w:rFonts w:ascii="Cambria" w:hAnsi="Cambria"/>
          <w:color w:val="000000" w:themeColor="text1"/>
          <w:sz w:val="22"/>
          <w:szCs w:val="22"/>
        </w:rPr>
        <w:t xml:space="preserve"> D</w:t>
      </w:r>
      <w:r>
        <w:rPr>
          <w:rFonts w:ascii="Cambria" w:hAnsi="Cambria"/>
          <w:color w:val="000000" w:themeColor="text1"/>
          <w:sz w:val="22"/>
          <w:szCs w:val="22"/>
        </w:rPr>
        <w:t>,</w:t>
      </w:r>
      <w:r w:rsidR="00836BED" w:rsidRPr="008207BC">
        <w:rPr>
          <w:rFonts w:ascii="Cambria" w:hAnsi="Cambria"/>
          <w:color w:val="000000" w:themeColor="text1"/>
          <w:sz w:val="22"/>
          <w:szCs w:val="22"/>
        </w:rPr>
        <w:t xml:space="preserve"> et al. </w:t>
      </w:r>
      <w:r w:rsidR="00F413BF" w:rsidRPr="00F413BF">
        <w:rPr>
          <w:rFonts w:ascii="Cambria" w:hAnsi="Cambria"/>
          <w:color w:val="000000" w:themeColor="text1"/>
          <w:sz w:val="22"/>
          <w:szCs w:val="22"/>
          <w:lang w:val="en"/>
        </w:rPr>
        <w:t>Correlation between germline mutations in MMR genes and microsatellite instability in ovarian cancer specimens</w:t>
      </w:r>
      <w:r>
        <w:rPr>
          <w:rFonts w:ascii="Cambria" w:hAnsi="Cambria"/>
          <w:color w:val="000000" w:themeColor="text1"/>
          <w:sz w:val="22"/>
          <w:szCs w:val="22"/>
          <w:lang w:val="en"/>
        </w:rPr>
        <w:t xml:space="preserve">. </w:t>
      </w:r>
      <w:r w:rsidR="00836BED" w:rsidRPr="00407775">
        <w:rPr>
          <w:rFonts w:ascii="Cambria" w:hAnsi="Cambria"/>
          <w:color w:val="000000" w:themeColor="text1"/>
          <w:sz w:val="22"/>
          <w:szCs w:val="22"/>
        </w:rPr>
        <w:t>Familial Cancer</w:t>
      </w:r>
      <w:r>
        <w:rPr>
          <w:rFonts w:ascii="Cambria" w:hAnsi="Cambria"/>
          <w:color w:val="000000" w:themeColor="text1"/>
          <w:sz w:val="22"/>
          <w:szCs w:val="22"/>
        </w:rPr>
        <w:t xml:space="preserve"> 2017;</w:t>
      </w:r>
      <w:r w:rsidR="00836BED" w:rsidRPr="008207BC">
        <w:rPr>
          <w:rFonts w:ascii="Cambria" w:hAnsi="Cambria"/>
          <w:color w:val="000000" w:themeColor="text1"/>
          <w:sz w:val="22"/>
          <w:szCs w:val="22"/>
        </w:rPr>
        <w:t xml:space="preserve">16:351. </w:t>
      </w:r>
      <w:hyperlink r:id="rId11" w:tooltip="Link to Article in Familial Cancer" w:history="1">
        <w:r w:rsidR="00836BED" w:rsidRPr="008207BC">
          <w:rPr>
            <w:rStyle w:val="Hyperlink"/>
            <w:rFonts w:ascii="Cambria" w:hAnsi="Cambria"/>
            <w:sz w:val="22"/>
            <w:szCs w:val="22"/>
          </w:rPr>
          <w:t>https://doi.org/10.1007/s10689-017-9973-1</w:t>
        </w:r>
      </w:hyperlink>
    </w:p>
    <w:p w14:paraId="658BCFAF" w14:textId="3C9A7DD8" w:rsidR="00955C4A" w:rsidRPr="00446C99" w:rsidRDefault="00F876E5" w:rsidP="00446C99">
      <w:pPr>
        <w:spacing w:after="240"/>
        <w:jc w:val="both"/>
        <w:rPr>
          <w:rFonts w:ascii="Cambria" w:hAnsi="Cambria"/>
          <w:iCs/>
          <w:sz w:val="22"/>
          <w:szCs w:val="22"/>
        </w:rPr>
      </w:pPr>
      <w:proofErr w:type="spellStart"/>
      <w:r w:rsidRPr="00F876E5">
        <w:rPr>
          <w:rFonts w:ascii="Cambria" w:hAnsi="Cambria"/>
          <w:iCs/>
          <w:sz w:val="22"/>
          <w:szCs w:val="22"/>
        </w:rPr>
        <w:t>Assasi</w:t>
      </w:r>
      <w:proofErr w:type="spellEnd"/>
      <w:r w:rsidRPr="00F876E5">
        <w:rPr>
          <w:rFonts w:ascii="Cambria" w:hAnsi="Cambria"/>
          <w:iCs/>
          <w:sz w:val="22"/>
          <w:szCs w:val="22"/>
        </w:rPr>
        <w:t xml:space="preserve"> N, </w:t>
      </w:r>
      <w:proofErr w:type="spellStart"/>
      <w:r w:rsidRPr="00F876E5">
        <w:rPr>
          <w:rFonts w:ascii="Cambria" w:hAnsi="Cambria"/>
          <w:iCs/>
          <w:sz w:val="22"/>
          <w:szCs w:val="22"/>
        </w:rPr>
        <w:t>Blackhouse</w:t>
      </w:r>
      <w:proofErr w:type="spellEnd"/>
      <w:r w:rsidRPr="00F876E5">
        <w:rPr>
          <w:rFonts w:ascii="Cambria" w:hAnsi="Cambria"/>
          <w:iCs/>
          <w:sz w:val="22"/>
          <w:szCs w:val="22"/>
        </w:rPr>
        <w:t xml:space="preserve"> G, Campbell K, et al. DNA Mismatch Repair Deficiency Tumour Testing for Patients With Colorectal Cancer: A Health Technology Assessment [Internet]. Ottawa (ON): Canadian Agency for Drugs and Technologies in Health; 2016 Aug. (CADTH Optimal Use Report, No. 5.3b.) 5, Summary of Clinical </w:t>
      </w:r>
      <w:r w:rsidR="00C55BA2" w:rsidRPr="00F876E5">
        <w:rPr>
          <w:rFonts w:ascii="Cambria" w:hAnsi="Cambria"/>
          <w:iCs/>
          <w:sz w:val="22"/>
          <w:szCs w:val="22"/>
        </w:rPr>
        <w:t>Evidence. Available</w:t>
      </w:r>
      <w:r w:rsidRPr="00F876E5">
        <w:rPr>
          <w:rFonts w:ascii="Cambria" w:hAnsi="Cambria"/>
          <w:iCs/>
          <w:sz w:val="22"/>
          <w:szCs w:val="22"/>
        </w:rPr>
        <w:t xml:space="preserve"> from: </w:t>
      </w:r>
      <w:hyperlink r:id="rId12" w:tooltip="Link to CADTH report" w:history="1">
        <w:r w:rsidRPr="00F876E5">
          <w:rPr>
            <w:rStyle w:val="Hyperlink"/>
            <w:rFonts w:ascii="Cambria" w:hAnsi="Cambria"/>
            <w:iCs/>
            <w:sz w:val="22"/>
            <w:szCs w:val="22"/>
          </w:rPr>
          <w:t>https://www.ncbi.nlm.nih.gov/books/NBK384793/</w:t>
        </w:r>
      </w:hyperlink>
      <w:r w:rsidRPr="00D61AD6">
        <w:rPr>
          <w:rFonts w:ascii="Cambria" w:hAnsi="Cambria"/>
          <w:iCs/>
          <w:sz w:val="22"/>
          <w:szCs w:val="22"/>
        </w:rPr>
        <w:t xml:space="preserve"> accessed 23 April 2019</w:t>
      </w:r>
      <w:r w:rsidR="00407775">
        <w:rPr>
          <w:rFonts w:ascii="Cambria" w:hAnsi="Cambria"/>
          <w:iCs/>
          <w:sz w:val="22"/>
          <w:szCs w:val="22"/>
        </w:rPr>
        <w:t>.</w:t>
      </w:r>
    </w:p>
    <w:p w14:paraId="64A7B3D7" w14:textId="51045221" w:rsidR="00F74A42" w:rsidRPr="00446C99" w:rsidRDefault="00F74A42" w:rsidP="00446C99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proofErr w:type="spellStart"/>
      <w:r w:rsidRPr="00F74A42">
        <w:rPr>
          <w:rFonts w:ascii="Cambria" w:hAnsi="Cambria"/>
          <w:sz w:val="22"/>
          <w:szCs w:val="22"/>
          <w:lang w:val="en-US"/>
        </w:rPr>
        <w:t>Bellizzi</w:t>
      </w:r>
      <w:proofErr w:type="spellEnd"/>
      <w:r w:rsidRPr="00F74A42">
        <w:rPr>
          <w:rFonts w:ascii="Cambria" w:hAnsi="Cambria"/>
          <w:sz w:val="22"/>
          <w:szCs w:val="22"/>
          <w:lang w:val="en-US"/>
        </w:rPr>
        <w:t xml:space="preserve"> AM, Frankel WL. Colorectal cancer due to deficiency in DNA mismatch repair function: a review. A</w:t>
      </w:r>
      <w:r w:rsidR="00E901F4">
        <w:rPr>
          <w:rFonts w:ascii="Cambria" w:hAnsi="Cambria"/>
          <w:sz w:val="22"/>
          <w:szCs w:val="22"/>
          <w:lang w:val="en-US"/>
        </w:rPr>
        <w:t xml:space="preserve">dv </w:t>
      </w:r>
      <w:proofErr w:type="spellStart"/>
      <w:r w:rsidR="00E901F4">
        <w:rPr>
          <w:rFonts w:ascii="Cambria" w:hAnsi="Cambria"/>
          <w:sz w:val="22"/>
          <w:szCs w:val="22"/>
          <w:lang w:val="en-US"/>
        </w:rPr>
        <w:t>Anat</w:t>
      </w:r>
      <w:proofErr w:type="spellEnd"/>
      <w:r w:rsidR="00E901F4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="00E901F4">
        <w:rPr>
          <w:rFonts w:ascii="Cambria" w:hAnsi="Cambria"/>
          <w:sz w:val="22"/>
          <w:szCs w:val="22"/>
          <w:lang w:val="en-US"/>
        </w:rPr>
        <w:t>Pathol</w:t>
      </w:r>
      <w:proofErr w:type="spellEnd"/>
      <w:r w:rsidR="00E901F4">
        <w:rPr>
          <w:rFonts w:ascii="Cambria" w:hAnsi="Cambria"/>
          <w:sz w:val="22"/>
          <w:szCs w:val="22"/>
          <w:lang w:val="en-US"/>
        </w:rPr>
        <w:t xml:space="preserve">. </w:t>
      </w:r>
      <w:proofErr w:type="gramStart"/>
      <w:r w:rsidR="00E901F4">
        <w:rPr>
          <w:rFonts w:ascii="Cambria" w:hAnsi="Cambria"/>
          <w:sz w:val="22"/>
          <w:szCs w:val="22"/>
          <w:lang w:val="en-US"/>
        </w:rPr>
        <w:t>2009;16:405</w:t>
      </w:r>
      <w:proofErr w:type="gramEnd"/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="00407775">
        <w:rPr>
          <w:rFonts w:ascii="Cambria" w:hAnsi="Cambria"/>
          <w:sz w:val="22"/>
          <w:szCs w:val="22"/>
          <w:lang w:val="en-US"/>
        </w:rPr>
        <w:t>17.</w:t>
      </w:r>
    </w:p>
    <w:p w14:paraId="40DE9CC6" w14:textId="5AE7E0B8" w:rsidR="00BB09E2" w:rsidRDefault="00BB09E2" w:rsidP="00446C99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B09E2">
        <w:rPr>
          <w:rFonts w:ascii="Cambria" w:hAnsi="Cambria"/>
          <w:color w:val="000000" w:themeColor="text1"/>
          <w:sz w:val="22"/>
          <w:szCs w:val="22"/>
        </w:rPr>
        <w:t>Boland CR, Thibodeau SN, Hamilton SR</w:t>
      </w:r>
      <w:r w:rsidR="00407775">
        <w:rPr>
          <w:rFonts w:ascii="Cambria" w:hAnsi="Cambria"/>
          <w:color w:val="000000" w:themeColor="text1"/>
          <w:sz w:val="22"/>
          <w:szCs w:val="22"/>
        </w:rPr>
        <w:t>,</w:t>
      </w:r>
      <w:r w:rsidRPr="00BB09E2">
        <w:rPr>
          <w:rFonts w:ascii="Cambria" w:hAnsi="Cambria"/>
          <w:color w:val="000000" w:themeColor="text1"/>
          <w:sz w:val="22"/>
          <w:szCs w:val="22"/>
        </w:rPr>
        <w:t xml:space="preserve"> et al</w:t>
      </w:r>
      <w:r w:rsidR="00407775">
        <w:rPr>
          <w:rFonts w:ascii="Cambria" w:hAnsi="Cambria"/>
          <w:color w:val="000000" w:themeColor="text1"/>
          <w:sz w:val="22"/>
          <w:szCs w:val="22"/>
        </w:rPr>
        <w:t>.</w:t>
      </w:r>
      <w:r w:rsidRPr="00BB09E2">
        <w:rPr>
          <w:rFonts w:ascii="Cambria" w:hAnsi="Cambria"/>
          <w:color w:val="000000" w:themeColor="text1"/>
          <w:sz w:val="22"/>
          <w:szCs w:val="22"/>
        </w:rPr>
        <w:t xml:space="preserve"> A national cancer institute workshop on microsatellite instability for cancer detection and familial predisposition: development of international criteria for the determination of microsatellite instability in colorectal cancer. Cancer Res</w:t>
      </w:r>
      <w:r w:rsidR="008365A1">
        <w:rPr>
          <w:rFonts w:ascii="Cambria" w:hAnsi="Cambria"/>
          <w:color w:val="000000" w:themeColor="text1"/>
          <w:sz w:val="22"/>
          <w:szCs w:val="22"/>
        </w:rPr>
        <w:t xml:space="preserve"> 1998</w:t>
      </w:r>
      <w:r w:rsidR="00407775">
        <w:rPr>
          <w:rFonts w:ascii="Cambria" w:hAnsi="Cambria"/>
          <w:color w:val="000000" w:themeColor="text1"/>
          <w:sz w:val="22"/>
          <w:szCs w:val="22"/>
        </w:rPr>
        <w:t>;</w:t>
      </w:r>
      <w:r w:rsidRPr="00BB09E2">
        <w:rPr>
          <w:rFonts w:ascii="Cambria" w:hAnsi="Cambria"/>
          <w:color w:val="000000" w:themeColor="text1"/>
          <w:sz w:val="22"/>
          <w:szCs w:val="22"/>
        </w:rPr>
        <w:t>58:5248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Pr="00BB09E2">
        <w:rPr>
          <w:rFonts w:ascii="Cambria" w:hAnsi="Cambria"/>
          <w:color w:val="000000" w:themeColor="text1"/>
          <w:sz w:val="22"/>
          <w:szCs w:val="22"/>
        </w:rPr>
        <w:t>57</w:t>
      </w:r>
      <w:r w:rsidR="00407775">
        <w:rPr>
          <w:rFonts w:ascii="Cambria" w:hAnsi="Cambria"/>
          <w:color w:val="000000" w:themeColor="text1"/>
          <w:sz w:val="22"/>
          <w:szCs w:val="22"/>
        </w:rPr>
        <w:t>.</w:t>
      </w:r>
    </w:p>
    <w:p w14:paraId="75046799" w14:textId="571C335D" w:rsidR="00BB09E2" w:rsidRDefault="00F94430" w:rsidP="00446C99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proofErr w:type="spellStart"/>
      <w:r>
        <w:rPr>
          <w:rFonts w:ascii="Cambria" w:hAnsi="Cambria"/>
          <w:color w:val="000000" w:themeColor="text1"/>
          <w:sz w:val="22"/>
          <w:szCs w:val="22"/>
        </w:rPr>
        <w:t>Beghelli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S, de Manzoni G, Barbi S</w:t>
      </w:r>
      <w:r w:rsidR="00407775">
        <w:rPr>
          <w:rFonts w:ascii="Cambria" w:hAnsi="Cambria"/>
          <w:color w:val="000000" w:themeColor="text1"/>
          <w:sz w:val="22"/>
          <w:szCs w:val="22"/>
        </w:rPr>
        <w:t>,</w:t>
      </w:r>
      <w:r>
        <w:rPr>
          <w:rFonts w:ascii="Cambria" w:hAnsi="Cambria"/>
          <w:color w:val="000000" w:themeColor="text1"/>
          <w:sz w:val="22"/>
          <w:szCs w:val="22"/>
        </w:rPr>
        <w:t xml:space="preserve"> et al</w:t>
      </w:r>
      <w:r w:rsidR="00407775">
        <w:rPr>
          <w:rFonts w:ascii="Cambria" w:hAnsi="Cambria"/>
          <w:color w:val="000000" w:themeColor="text1"/>
          <w:sz w:val="22"/>
          <w:szCs w:val="22"/>
        </w:rPr>
        <w:t>.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0A5583" w:rsidRPr="000A5583">
        <w:rPr>
          <w:rFonts w:ascii="Cambria" w:hAnsi="Cambria"/>
          <w:color w:val="000000" w:themeColor="text1"/>
          <w:sz w:val="22"/>
          <w:szCs w:val="22"/>
        </w:rPr>
        <w:t>Microsatellite instability in gastric cancer is associated with better prognosis in only stage II cancers</w:t>
      </w:r>
      <w:r w:rsidR="00407775">
        <w:rPr>
          <w:rFonts w:ascii="Cambria" w:hAnsi="Cambria"/>
          <w:color w:val="000000" w:themeColor="text1"/>
          <w:sz w:val="22"/>
          <w:szCs w:val="22"/>
        </w:rPr>
        <w:t>. Surgery 2006;</w:t>
      </w:r>
      <w:r w:rsidR="00E901F4">
        <w:rPr>
          <w:rFonts w:ascii="Cambria" w:hAnsi="Cambria"/>
          <w:color w:val="000000" w:themeColor="text1"/>
          <w:sz w:val="22"/>
          <w:szCs w:val="22"/>
        </w:rPr>
        <w:t>139(3):347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="000A5583">
        <w:rPr>
          <w:rFonts w:ascii="Cambria" w:hAnsi="Cambria"/>
          <w:color w:val="000000" w:themeColor="text1"/>
          <w:sz w:val="22"/>
          <w:szCs w:val="22"/>
        </w:rPr>
        <w:t>56.</w:t>
      </w:r>
    </w:p>
    <w:p w14:paraId="3C0E7A23" w14:textId="41C68C24" w:rsidR="0084219E" w:rsidRPr="00446C99" w:rsidRDefault="00AB5556" w:rsidP="00446C99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hyperlink r:id="rId13" w:history="1">
        <w:r w:rsidR="0084219E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>Buchanan D</w:t>
        </w:r>
      </w:hyperlink>
      <w:r w:rsidR="0084219E" w:rsidRPr="0084219E">
        <w:rPr>
          <w:rFonts w:ascii="Cambria" w:hAnsi="Cambria"/>
          <w:color w:val="000000" w:themeColor="text1"/>
          <w:sz w:val="22"/>
          <w:szCs w:val="22"/>
        </w:rPr>
        <w:t>, </w:t>
      </w:r>
      <w:proofErr w:type="spellStart"/>
      <w:r>
        <w:fldChar w:fldCharType="begin"/>
      </w:r>
      <w:r>
        <w:instrText>HYPERLINK "https://www.ncbi.nlm.nih.gov/pubmed/?term=Clendenning%20M%5BAuthor%5D&amp;cauthor=true&amp;cauthor_uid=27273229"</w:instrText>
      </w:r>
      <w:r>
        <w:fldChar w:fldCharType="separate"/>
      </w:r>
      <w:r w:rsidR="0084219E" w:rsidRPr="0084219E"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t>Clendenning</w:t>
      </w:r>
      <w:proofErr w:type="spellEnd"/>
      <w:r w:rsidR="0084219E" w:rsidRPr="0084219E"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t xml:space="preserve"> M</w:t>
      </w:r>
      <w:r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fldChar w:fldCharType="end"/>
      </w:r>
      <w:r w:rsidR="0084219E" w:rsidRPr="0084219E">
        <w:rPr>
          <w:rFonts w:ascii="Cambria" w:hAnsi="Cambria"/>
          <w:color w:val="000000" w:themeColor="text1"/>
          <w:sz w:val="22"/>
          <w:szCs w:val="22"/>
        </w:rPr>
        <w:t>, </w:t>
      </w:r>
      <w:proofErr w:type="spellStart"/>
      <w:r>
        <w:fldChar w:fldCharType="begin"/>
      </w:r>
      <w:r>
        <w:instrText>HYPERLINK "https://www.ncbi.nlm.nih.gov/pubmed/?term=Rosty%20C%5BAuthor%5D&amp;cauthor=true&amp;cauthor_uid=27273229"</w:instrText>
      </w:r>
      <w:r>
        <w:fldChar w:fldCharType="separate"/>
      </w:r>
      <w:r w:rsidR="0084219E" w:rsidRPr="0084219E"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t>Rosty</w:t>
      </w:r>
      <w:proofErr w:type="spellEnd"/>
      <w:r w:rsidR="0084219E" w:rsidRPr="0084219E"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t xml:space="preserve"> C</w:t>
      </w:r>
      <w:r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fldChar w:fldCharType="end"/>
      </w:r>
      <w:r w:rsidR="00407775"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t>,</w:t>
      </w:r>
      <w:r w:rsidR="0084219E">
        <w:rPr>
          <w:rFonts w:ascii="Cambria" w:hAnsi="Cambria"/>
          <w:color w:val="000000" w:themeColor="text1"/>
          <w:sz w:val="22"/>
          <w:szCs w:val="22"/>
          <w:vertAlign w:val="superscript"/>
        </w:rPr>
        <w:t xml:space="preserve"> </w:t>
      </w:r>
      <w:r w:rsidR="0084219E">
        <w:rPr>
          <w:rFonts w:ascii="Cambria" w:hAnsi="Cambria"/>
          <w:color w:val="000000" w:themeColor="text1"/>
          <w:sz w:val="22"/>
          <w:szCs w:val="22"/>
        </w:rPr>
        <w:t>et al</w:t>
      </w:r>
      <w:r w:rsidR="00407775">
        <w:rPr>
          <w:rFonts w:ascii="Cambria" w:hAnsi="Cambria"/>
          <w:color w:val="000000" w:themeColor="text1"/>
          <w:sz w:val="22"/>
          <w:szCs w:val="22"/>
        </w:rPr>
        <w:t>.</w:t>
      </w:r>
      <w:r w:rsidR="0084219E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84219E">
        <w:rPr>
          <w:rFonts w:ascii="Cambria" w:hAnsi="Cambria"/>
          <w:color w:val="000000" w:themeColor="text1"/>
          <w:sz w:val="22"/>
          <w:szCs w:val="22"/>
        </w:rPr>
        <w:t>Tumor</w:t>
      </w:r>
      <w:proofErr w:type="spellEnd"/>
      <w:r w:rsidR="0084219E">
        <w:rPr>
          <w:rFonts w:ascii="Cambria" w:hAnsi="Cambria"/>
          <w:color w:val="000000" w:themeColor="text1"/>
          <w:sz w:val="22"/>
          <w:szCs w:val="22"/>
        </w:rPr>
        <w:t xml:space="preserve"> testing to identify Lynch Syndrome in two Australian cance</w:t>
      </w:r>
      <w:r w:rsidR="0084219E" w:rsidRPr="0084219E">
        <w:rPr>
          <w:rFonts w:ascii="Cambria" w:hAnsi="Cambria"/>
          <w:color w:val="000000" w:themeColor="text1"/>
          <w:sz w:val="22"/>
          <w:szCs w:val="22"/>
        </w:rPr>
        <w:t xml:space="preserve">r cohorts </w:t>
      </w:r>
      <w:hyperlink r:id="rId14" w:tooltip="Journal of gastroenterology and hepatology." w:history="1">
        <w:r w:rsidR="0084219E" w:rsidRPr="0084219E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>J Gastroenterol Hepatol.</w:t>
        </w:r>
      </w:hyperlink>
      <w:r w:rsidR="00407775">
        <w:rPr>
          <w:rFonts w:ascii="Cambria" w:hAnsi="Cambria"/>
          <w:color w:val="000000" w:themeColor="text1"/>
          <w:sz w:val="22"/>
          <w:szCs w:val="22"/>
        </w:rPr>
        <w:t> 2017</w:t>
      </w:r>
      <w:r w:rsidR="00E901F4">
        <w:rPr>
          <w:rFonts w:ascii="Cambria" w:hAnsi="Cambria"/>
          <w:color w:val="000000" w:themeColor="text1"/>
          <w:sz w:val="22"/>
          <w:szCs w:val="22"/>
        </w:rPr>
        <w:t>;32(2):427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="0084219E" w:rsidRPr="0084219E">
        <w:rPr>
          <w:rFonts w:ascii="Cambria" w:hAnsi="Cambria"/>
          <w:color w:val="000000" w:themeColor="text1"/>
          <w:sz w:val="22"/>
          <w:szCs w:val="22"/>
        </w:rPr>
        <w:t>38</w:t>
      </w:r>
      <w:r w:rsidR="00407775">
        <w:rPr>
          <w:rFonts w:ascii="Cambria" w:hAnsi="Cambria"/>
          <w:color w:val="000000" w:themeColor="text1"/>
          <w:sz w:val="22"/>
          <w:szCs w:val="22"/>
        </w:rPr>
        <w:t>.</w:t>
      </w:r>
    </w:p>
    <w:p w14:paraId="7E10971E" w14:textId="07C536B5" w:rsidR="0084219E" w:rsidRPr="00446C99" w:rsidRDefault="00836BED" w:rsidP="00446C99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proofErr w:type="spellStart"/>
      <w:r>
        <w:rPr>
          <w:rFonts w:ascii="Cambria" w:hAnsi="Cambria"/>
          <w:color w:val="000000" w:themeColor="text1"/>
          <w:sz w:val="22"/>
          <w:szCs w:val="22"/>
        </w:rPr>
        <w:t>Eatrides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J, Coppola D, Al </w:t>
      </w:r>
      <w:proofErr w:type="spellStart"/>
      <w:r>
        <w:rPr>
          <w:rFonts w:ascii="Cambria" w:hAnsi="Cambria"/>
          <w:color w:val="000000" w:themeColor="text1"/>
          <w:sz w:val="22"/>
          <w:szCs w:val="22"/>
        </w:rPr>
        <w:t>Dhiffalha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S</w:t>
      </w:r>
      <w:r w:rsidR="00407775">
        <w:rPr>
          <w:rFonts w:ascii="Cambria" w:hAnsi="Cambria"/>
          <w:color w:val="000000" w:themeColor="text1"/>
          <w:sz w:val="22"/>
          <w:szCs w:val="22"/>
        </w:rPr>
        <w:t>,</w:t>
      </w:r>
      <w:r>
        <w:rPr>
          <w:rFonts w:ascii="Cambria" w:hAnsi="Cambria"/>
          <w:color w:val="000000" w:themeColor="text1"/>
          <w:sz w:val="22"/>
          <w:szCs w:val="22"/>
        </w:rPr>
        <w:t xml:space="preserve"> et al</w:t>
      </w:r>
      <w:r w:rsidR="00407775">
        <w:rPr>
          <w:rFonts w:ascii="Cambria" w:hAnsi="Cambria"/>
          <w:color w:val="000000" w:themeColor="text1"/>
          <w:sz w:val="22"/>
          <w:szCs w:val="22"/>
        </w:rPr>
        <w:t>.</w:t>
      </w:r>
      <w:r>
        <w:rPr>
          <w:rFonts w:ascii="Cambria" w:hAnsi="Cambria"/>
          <w:color w:val="000000" w:themeColor="text1"/>
          <w:sz w:val="22"/>
          <w:szCs w:val="22"/>
        </w:rPr>
        <w:t xml:space="preserve"> Microsatellite instability in pancreatic cancer. </w:t>
      </w:r>
      <w:r w:rsidRPr="00407775">
        <w:rPr>
          <w:rFonts w:ascii="Cambria" w:hAnsi="Cambria"/>
          <w:iCs/>
          <w:color w:val="000000" w:themeColor="text1"/>
          <w:sz w:val="22"/>
          <w:szCs w:val="22"/>
        </w:rPr>
        <w:t>Journal of Clinical Oncology</w:t>
      </w:r>
      <w:r w:rsidRPr="00836BED">
        <w:rPr>
          <w:rFonts w:ascii="Cambria" w:hAnsi="Cambria"/>
          <w:color w:val="000000" w:themeColor="text1"/>
          <w:sz w:val="22"/>
          <w:szCs w:val="22"/>
        </w:rPr>
        <w:t> </w:t>
      </w:r>
      <w:r>
        <w:rPr>
          <w:rFonts w:ascii="Cambria" w:hAnsi="Cambria"/>
          <w:color w:val="000000" w:themeColor="text1"/>
          <w:sz w:val="22"/>
          <w:szCs w:val="22"/>
        </w:rPr>
        <w:t>2017</w:t>
      </w:r>
      <w:r w:rsidR="00A54D29">
        <w:rPr>
          <w:rFonts w:ascii="Cambria" w:hAnsi="Cambria"/>
          <w:color w:val="000000" w:themeColor="text1"/>
          <w:sz w:val="22"/>
          <w:szCs w:val="22"/>
        </w:rPr>
        <w:t>;</w:t>
      </w:r>
      <w:r w:rsidRPr="00836BED">
        <w:rPr>
          <w:rFonts w:ascii="Cambria" w:hAnsi="Cambria"/>
          <w:color w:val="000000" w:themeColor="text1"/>
          <w:sz w:val="22"/>
          <w:szCs w:val="22"/>
        </w:rPr>
        <w:t>34</w:t>
      </w:r>
      <w:r w:rsidR="00A54D29">
        <w:rPr>
          <w:rFonts w:ascii="Cambria" w:hAnsi="Cambria"/>
          <w:color w:val="000000" w:themeColor="text1"/>
          <w:sz w:val="22"/>
          <w:szCs w:val="22"/>
        </w:rPr>
        <w:t>(</w:t>
      </w:r>
      <w:r w:rsidRPr="00836BED">
        <w:rPr>
          <w:rFonts w:ascii="Cambria" w:hAnsi="Cambria"/>
          <w:color w:val="000000" w:themeColor="text1"/>
          <w:sz w:val="22"/>
          <w:szCs w:val="22"/>
        </w:rPr>
        <w:t>15_suppl</w:t>
      </w:r>
      <w:r w:rsidR="00A54D29">
        <w:rPr>
          <w:rFonts w:ascii="Cambria" w:hAnsi="Cambria"/>
          <w:color w:val="000000" w:themeColor="text1"/>
          <w:sz w:val="22"/>
          <w:szCs w:val="22"/>
        </w:rPr>
        <w:t>)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A54D29" w:rsidRPr="00836BED">
        <w:rPr>
          <w:rFonts w:ascii="Cambria" w:hAnsi="Cambria"/>
          <w:color w:val="000000" w:themeColor="text1"/>
          <w:sz w:val="22"/>
          <w:szCs w:val="22"/>
        </w:rPr>
        <w:t>doi</w:t>
      </w:r>
      <w:proofErr w:type="spellEnd"/>
      <w:r w:rsidRPr="00836BED">
        <w:rPr>
          <w:rFonts w:ascii="Cambria" w:hAnsi="Cambria"/>
          <w:color w:val="000000" w:themeColor="text1"/>
          <w:sz w:val="22"/>
          <w:szCs w:val="22"/>
        </w:rPr>
        <w:t>: 10.1200/JCO.2016.34.15_suppl.e15753</w:t>
      </w:r>
      <w:r w:rsidR="00407775">
        <w:rPr>
          <w:rFonts w:ascii="Cambria" w:hAnsi="Cambria"/>
          <w:color w:val="000000" w:themeColor="text1"/>
          <w:sz w:val="22"/>
          <w:szCs w:val="22"/>
        </w:rPr>
        <w:t>.</w:t>
      </w:r>
    </w:p>
    <w:p w14:paraId="1381592B" w14:textId="3274D5DF" w:rsidR="00E516AD" w:rsidRPr="00FF0574" w:rsidRDefault="007260DF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260DF">
        <w:rPr>
          <w:rFonts w:ascii="Cambria" w:hAnsi="Cambria"/>
          <w:color w:val="000000" w:themeColor="text1"/>
          <w:sz w:val="22"/>
          <w:szCs w:val="22"/>
        </w:rPr>
        <w:t>Evaluation of Genomic Applications in Practice and Prevention (EGAPP) Working Group</w:t>
      </w:r>
      <w:r w:rsidRPr="00F413BF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7260DF">
        <w:rPr>
          <w:rFonts w:ascii="Cambria" w:hAnsi="Cambria"/>
          <w:color w:val="000000" w:themeColor="text1"/>
          <w:sz w:val="22"/>
          <w:szCs w:val="22"/>
        </w:rPr>
        <w:t>Recommendations from the EGAPP Working Group. </w:t>
      </w:r>
      <w:r w:rsidRPr="007260DF">
        <w:rPr>
          <w:rFonts w:ascii="Cambria" w:hAnsi="Cambria"/>
          <w:bCs/>
          <w:color w:val="000000" w:themeColor="text1"/>
          <w:sz w:val="22"/>
          <w:szCs w:val="22"/>
        </w:rPr>
        <w:t>Genetic testing strategies in newly diagnosed individuals with colorectal cancer aimed at reducing morbidity and mortality from Lynch syndrome in relatives. </w:t>
      </w:r>
      <w:r w:rsidRPr="00407775">
        <w:rPr>
          <w:rFonts w:ascii="Cambria" w:hAnsi="Cambria"/>
          <w:iCs/>
          <w:color w:val="000000" w:themeColor="text1"/>
          <w:sz w:val="22"/>
          <w:szCs w:val="22"/>
        </w:rPr>
        <w:t>Genet Med</w:t>
      </w:r>
      <w:r w:rsidRPr="00407775">
        <w:rPr>
          <w:rFonts w:ascii="Cambria" w:hAnsi="Cambria"/>
          <w:color w:val="000000" w:themeColor="text1"/>
          <w:sz w:val="22"/>
          <w:szCs w:val="22"/>
        </w:rPr>
        <w:t>.</w:t>
      </w:r>
      <w:r w:rsidRPr="007260DF">
        <w:rPr>
          <w:rFonts w:ascii="Cambria" w:hAnsi="Cambria"/>
          <w:color w:val="000000" w:themeColor="text1"/>
          <w:sz w:val="22"/>
          <w:szCs w:val="22"/>
        </w:rPr>
        <w:t> 2009;11:35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Pr="007260DF">
        <w:rPr>
          <w:rFonts w:ascii="Cambria" w:hAnsi="Cambria"/>
          <w:color w:val="000000" w:themeColor="text1"/>
          <w:sz w:val="22"/>
          <w:szCs w:val="22"/>
        </w:rPr>
        <w:t>41</w:t>
      </w:r>
      <w:r w:rsidR="00407775">
        <w:rPr>
          <w:rFonts w:ascii="Cambria" w:hAnsi="Cambria"/>
          <w:color w:val="000000" w:themeColor="text1"/>
          <w:sz w:val="22"/>
          <w:szCs w:val="22"/>
        </w:rPr>
        <w:t>.</w:t>
      </w:r>
    </w:p>
    <w:p w14:paraId="101B0ED6" w14:textId="638FF03D" w:rsidR="004F4456" w:rsidRPr="00FF0574" w:rsidRDefault="00C55BA2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proofErr w:type="spellStart"/>
      <w:r>
        <w:rPr>
          <w:rFonts w:ascii="Cambria" w:hAnsi="Cambria"/>
          <w:iCs/>
          <w:color w:val="000000" w:themeColor="text1"/>
          <w:sz w:val="22"/>
          <w:szCs w:val="22"/>
        </w:rPr>
        <w:t>Giedl</w:t>
      </w:r>
      <w:proofErr w:type="spellEnd"/>
      <w:r>
        <w:rPr>
          <w:rFonts w:ascii="Cambria" w:hAnsi="Cambria"/>
          <w:iCs/>
          <w:color w:val="000000" w:themeColor="text1"/>
          <w:sz w:val="22"/>
          <w:szCs w:val="22"/>
        </w:rPr>
        <w:t xml:space="preserve"> J, </w:t>
      </w:r>
      <w:proofErr w:type="spellStart"/>
      <w:r>
        <w:rPr>
          <w:rFonts w:ascii="Cambria" w:hAnsi="Cambria"/>
          <w:iCs/>
          <w:color w:val="000000" w:themeColor="text1"/>
          <w:sz w:val="22"/>
          <w:szCs w:val="22"/>
        </w:rPr>
        <w:t>Schneckenpointner</w:t>
      </w:r>
      <w:proofErr w:type="spellEnd"/>
      <w:r>
        <w:rPr>
          <w:rFonts w:ascii="Cambria" w:hAnsi="Cambria"/>
          <w:iCs/>
          <w:color w:val="000000" w:themeColor="text1"/>
          <w:sz w:val="22"/>
          <w:szCs w:val="22"/>
        </w:rPr>
        <w:t xml:space="preserve"> A, </w:t>
      </w:r>
      <w:proofErr w:type="spellStart"/>
      <w:r>
        <w:rPr>
          <w:rFonts w:ascii="Cambria" w:hAnsi="Cambria"/>
          <w:iCs/>
          <w:color w:val="000000" w:themeColor="text1"/>
          <w:sz w:val="22"/>
          <w:szCs w:val="22"/>
        </w:rPr>
        <w:t>Filbeck</w:t>
      </w:r>
      <w:proofErr w:type="spellEnd"/>
      <w:r>
        <w:rPr>
          <w:rFonts w:ascii="Cambria" w:hAnsi="Cambria"/>
          <w:iCs/>
          <w:color w:val="000000" w:themeColor="text1"/>
          <w:sz w:val="22"/>
          <w:szCs w:val="22"/>
        </w:rPr>
        <w:t xml:space="preserve"> T</w:t>
      </w:r>
      <w:r w:rsidR="00407775">
        <w:rPr>
          <w:rFonts w:ascii="Cambria" w:hAnsi="Cambria"/>
          <w:iCs/>
          <w:color w:val="000000" w:themeColor="text1"/>
          <w:sz w:val="22"/>
          <w:szCs w:val="22"/>
        </w:rPr>
        <w:t>.</w:t>
      </w:r>
      <w:r>
        <w:rPr>
          <w:rFonts w:ascii="Cambria" w:hAnsi="Cambria"/>
          <w:iCs/>
          <w:color w:val="000000" w:themeColor="text1"/>
          <w:sz w:val="22"/>
          <w:szCs w:val="22"/>
        </w:rPr>
        <w:t xml:space="preserve"> Low frequency of HNPCC-associated microsatellite instability and aberrant MMR protein expression in early onset bladder cancer. </w:t>
      </w:r>
      <w:r w:rsidR="004F4456" w:rsidRPr="004F4456">
        <w:rPr>
          <w:rFonts w:ascii="Cambria" w:hAnsi="Cambria"/>
          <w:iCs/>
          <w:color w:val="000000" w:themeColor="text1"/>
          <w:sz w:val="22"/>
          <w:szCs w:val="22"/>
        </w:rPr>
        <w:t>American Journal of Clinical Pathology</w:t>
      </w:r>
      <w:r w:rsidR="004F4456" w:rsidRPr="004F4456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407775">
        <w:rPr>
          <w:rFonts w:ascii="Cambria" w:hAnsi="Cambria"/>
          <w:color w:val="000000" w:themeColor="text1"/>
          <w:sz w:val="22"/>
          <w:szCs w:val="22"/>
        </w:rPr>
        <w:t>2014;</w:t>
      </w:r>
      <w:r w:rsidR="004F4456" w:rsidRPr="004F4456">
        <w:rPr>
          <w:rFonts w:ascii="Cambria" w:hAnsi="Cambria"/>
          <w:color w:val="000000" w:themeColor="text1"/>
          <w:sz w:val="22"/>
          <w:szCs w:val="22"/>
        </w:rPr>
        <w:t>142</w:t>
      </w:r>
      <w:r w:rsidR="00407775">
        <w:rPr>
          <w:rFonts w:ascii="Cambria" w:hAnsi="Cambria"/>
          <w:color w:val="000000" w:themeColor="text1"/>
          <w:sz w:val="22"/>
          <w:szCs w:val="22"/>
        </w:rPr>
        <w:t>(</w:t>
      </w:r>
      <w:r w:rsidR="004F4456" w:rsidRPr="004F4456">
        <w:rPr>
          <w:rFonts w:ascii="Cambria" w:hAnsi="Cambria"/>
          <w:color w:val="000000" w:themeColor="text1"/>
          <w:sz w:val="22"/>
          <w:szCs w:val="22"/>
        </w:rPr>
        <w:t>5</w:t>
      </w:r>
      <w:r w:rsidR="00407775">
        <w:rPr>
          <w:rFonts w:ascii="Cambria" w:hAnsi="Cambria"/>
          <w:color w:val="000000" w:themeColor="text1"/>
          <w:sz w:val="22"/>
          <w:szCs w:val="22"/>
        </w:rPr>
        <w:t>):</w:t>
      </w:r>
      <w:r w:rsidR="00E901F4">
        <w:rPr>
          <w:rFonts w:ascii="Cambria" w:hAnsi="Cambria"/>
          <w:color w:val="000000" w:themeColor="text1"/>
          <w:sz w:val="22"/>
          <w:szCs w:val="22"/>
        </w:rPr>
        <w:t>634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="004F4456" w:rsidRPr="004F4456">
        <w:rPr>
          <w:rFonts w:ascii="Cambria" w:hAnsi="Cambria"/>
          <w:color w:val="000000" w:themeColor="text1"/>
          <w:sz w:val="22"/>
          <w:szCs w:val="22"/>
        </w:rPr>
        <w:t>9</w:t>
      </w:r>
      <w:r w:rsidR="00407775">
        <w:rPr>
          <w:rFonts w:ascii="Cambria" w:hAnsi="Cambria"/>
          <w:color w:val="000000" w:themeColor="text1"/>
          <w:sz w:val="22"/>
          <w:szCs w:val="22"/>
        </w:rPr>
        <w:t>.</w:t>
      </w:r>
    </w:p>
    <w:p w14:paraId="20FF6E0D" w14:textId="6667644E" w:rsidR="00E61A9E" w:rsidRPr="00FF0574" w:rsidRDefault="00193DB4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  <w:r w:rsidRPr="00193DB4">
        <w:rPr>
          <w:rFonts w:ascii="Cambria" w:hAnsi="Cambria"/>
          <w:color w:val="000000" w:themeColor="text1"/>
          <w:sz w:val="22"/>
          <w:szCs w:val="22"/>
          <w:lang w:val="en-US"/>
        </w:rPr>
        <w:t xml:space="preserve">Hampel H, Frankel W, </w:t>
      </w:r>
      <w:proofErr w:type="spellStart"/>
      <w:r w:rsidRPr="00193DB4">
        <w:rPr>
          <w:rFonts w:ascii="Cambria" w:hAnsi="Cambria"/>
          <w:color w:val="000000" w:themeColor="text1"/>
          <w:sz w:val="22"/>
          <w:szCs w:val="22"/>
          <w:lang w:val="en-US"/>
        </w:rPr>
        <w:t>Panescu</w:t>
      </w:r>
      <w:proofErr w:type="spellEnd"/>
      <w:r w:rsidRPr="00193DB4">
        <w:rPr>
          <w:rFonts w:ascii="Cambria" w:hAnsi="Cambria"/>
          <w:color w:val="000000" w:themeColor="text1"/>
          <w:sz w:val="22"/>
          <w:szCs w:val="22"/>
          <w:lang w:val="en-US"/>
        </w:rPr>
        <w:t xml:space="preserve"> J, Lockman J, </w:t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>et al</w:t>
      </w:r>
      <w:r w:rsidR="00626C68">
        <w:rPr>
          <w:rFonts w:ascii="Cambria" w:hAnsi="Cambria"/>
          <w:color w:val="000000" w:themeColor="text1"/>
          <w:sz w:val="22"/>
          <w:szCs w:val="22"/>
          <w:lang w:val="en-US"/>
        </w:rPr>
        <w:t>.</w:t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 xml:space="preserve"> </w:t>
      </w:r>
      <w:r w:rsidRPr="00193DB4">
        <w:rPr>
          <w:rFonts w:ascii="Cambria" w:hAnsi="Cambria"/>
          <w:color w:val="000000" w:themeColor="text1"/>
          <w:sz w:val="22"/>
          <w:szCs w:val="22"/>
          <w:lang w:val="en-US"/>
        </w:rPr>
        <w:t>Screening for Lynch syndrome (hereditary nonpolyposis colorectal cancer) among endometrial cancer patients.</w:t>
      </w:r>
      <w:r w:rsidR="00463B92">
        <w:rPr>
          <w:rFonts w:ascii="Cambria" w:hAnsi="Cambria"/>
          <w:color w:val="000000" w:themeColor="text1"/>
          <w:sz w:val="22"/>
          <w:szCs w:val="22"/>
          <w:lang w:val="en-US"/>
        </w:rPr>
        <w:t xml:space="preserve"> </w:t>
      </w:r>
      <w:r w:rsidR="00E901F4">
        <w:rPr>
          <w:rFonts w:ascii="Cambria" w:hAnsi="Cambria"/>
          <w:color w:val="000000" w:themeColor="text1"/>
          <w:sz w:val="22"/>
          <w:szCs w:val="22"/>
          <w:lang w:val="en-US"/>
        </w:rPr>
        <w:t xml:space="preserve">Cancer Res. </w:t>
      </w:r>
      <w:proofErr w:type="gramStart"/>
      <w:r w:rsidR="00E901F4">
        <w:rPr>
          <w:rFonts w:ascii="Cambria" w:hAnsi="Cambria"/>
          <w:color w:val="000000" w:themeColor="text1"/>
          <w:sz w:val="22"/>
          <w:szCs w:val="22"/>
          <w:lang w:val="en-US"/>
        </w:rPr>
        <w:t>2006;66:7810</w:t>
      </w:r>
      <w:proofErr w:type="gramEnd"/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Pr="00193DB4">
        <w:rPr>
          <w:rFonts w:ascii="Cambria" w:hAnsi="Cambria"/>
          <w:color w:val="000000" w:themeColor="text1"/>
          <w:sz w:val="22"/>
          <w:szCs w:val="22"/>
          <w:lang w:val="en-US"/>
        </w:rPr>
        <w:t>7.</w:t>
      </w:r>
    </w:p>
    <w:p w14:paraId="3197CA5F" w14:textId="1949D403" w:rsidR="00193DB4" w:rsidRPr="00FF0574" w:rsidRDefault="00E61A9E" w:rsidP="00FF0574">
      <w:pPr>
        <w:spacing w:after="24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E61A9E">
        <w:rPr>
          <w:rFonts w:ascii="Cambria" w:hAnsi="Cambria"/>
          <w:color w:val="000000" w:themeColor="text1"/>
          <w:sz w:val="22"/>
          <w:szCs w:val="22"/>
        </w:rPr>
        <w:t xml:space="preserve">Hampel H, Pearlman R, </w:t>
      </w:r>
      <w:proofErr w:type="spellStart"/>
      <w:r w:rsidRPr="00E61A9E">
        <w:rPr>
          <w:rFonts w:ascii="Cambria" w:hAnsi="Cambria"/>
          <w:color w:val="000000" w:themeColor="text1"/>
          <w:sz w:val="22"/>
          <w:szCs w:val="22"/>
        </w:rPr>
        <w:t>Beightol</w:t>
      </w:r>
      <w:proofErr w:type="spellEnd"/>
      <w:r w:rsidRPr="00E61A9E">
        <w:rPr>
          <w:rFonts w:ascii="Cambria" w:hAnsi="Cambria"/>
          <w:color w:val="000000" w:themeColor="text1"/>
          <w:sz w:val="22"/>
          <w:szCs w:val="22"/>
        </w:rPr>
        <w:t xml:space="preserve"> M</w:t>
      </w:r>
      <w:r w:rsidR="00626C68">
        <w:rPr>
          <w:rFonts w:ascii="Cambria" w:hAnsi="Cambria"/>
          <w:color w:val="000000" w:themeColor="text1"/>
          <w:sz w:val="22"/>
          <w:szCs w:val="22"/>
        </w:rPr>
        <w:t>,</w:t>
      </w:r>
      <w:r w:rsidRPr="00E61A9E">
        <w:rPr>
          <w:rFonts w:ascii="Cambria" w:hAnsi="Cambria"/>
          <w:color w:val="000000" w:themeColor="text1"/>
          <w:sz w:val="22"/>
          <w:szCs w:val="22"/>
        </w:rPr>
        <w:t xml:space="preserve"> et al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  <w:r w:rsidRPr="00E61A9E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E61A9E">
        <w:rPr>
          <w:rFonts w:ascii="Cambria" w:hAnsi="Cambria"/>
          <w:bCs/>
          <w:color w:val="000000" w:themeColor="text1"/>
          <w:sz w:val="22"/>
          <w:szCs w:val="22"/>
        </w:rPr>
        <w:t xml:space="preserve">Assessment of </w:t>
      </w:r>
      <w:proofErr w:type="spellStart"/>
      <w:r w:rsidRPr="00E61A9E">
        <w:rPr>
          <w:rFonts w:ascii="Cambria" w:hAnsi="Cambria"/>
          <w:bCs/>
          <w:color w:val="000000" w:themeColor="text1"/>
          <w:sz w:val="22"/>
          <w:szCs w:val="22"/>
        </w:rPr>
        <w:t>Tumor</w:t>
      </w:r>
      <w:proofErr w:type="spellEnd"/>
      <w:r w:rsidRPr="00E61A9E">
        <w:rPr>
          <w:rFonts w:ascii="Cambria" w:hAnsi="Cambria"/>
          <w:bCs/>
          <w:color w:val="000000" w:themeColor="text1"/>
          <w:sz w:val="22"/>
          <w:szCs w:val="22"/>
        </w:rPr>
        <w:t xml:space="preserve"> Sequencing as a Replacement for Lynch Syndrome Screening and Current Molecular Tests for Patients With Colorectal Cancer. </w:t>
      </w:r>
      <w:hyperlink r:id="rId15" w:tooltip="JAMA oncology." w:history="1">
        <w:r w:rsidR="00D623DB" w:rsidRPr="00D623DB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>JAMA Oncol.</w:t>
        </w:r>
      </w:hyperlink>
      <w:r w:rsidR="00E901F4">
        <w:rPr>
          <w:rFonts w:ascii="Cambria" w:hAnsi="Cambria"/>
          <w:color w:val="000000" w:themeColor="text1"/>
          <w:sz w:val="22"/>
          <w:szCs w:val="22"/>
        </w:rPr>
        <w:t> 2018;4(6):806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="00D623DB" w:rsidRPr="00D623DB">
        <w:rPr>
          <w:rFonts w:ascii="Cambria" w:hAnsi="Cambria"/>
          <w:color w:val="000000" w:themeColor="text1"/>
          <w:sz w:val="22"/>
          <w:szCs w:val="22"/>
        </w:rPr>
        <w:t xml:space="preserve">13. </w:t>
      </w:r>
      <w:proofErr w:type="spellStart"/>
      <w:r w:rsidR="00D623DB" w:rsidRPr="00D623DB">
        <w:rPr>
          <w:rFonts w:ascii="Cambria" w:hAnsi="Cambria"/>
          <w:color w:val="000000" w:themeColor="text1"/>
          <w:sz w:val="22"/>
          <w:szCs w:val="22"/>
        </w:rPr>
        <w:t>doi</w:t>
      </w:r>
      <w:proofErr w:type="spellEnd"/>
      <w:r w:rsidR="00D623DB" w:rsidRPr="00D623DB">
        <w:rPr>
          <w:rFonts w:ascii="Cambria" w:hAnsi="Cambria"/>
          <w:color w:val="000000" w:themeColor="text1"/>
          <w:sz w:val="22"/>
          <w:szCs w:val="22"/>
        </w:rPr>
        <w:t>: 10.1001/jamaoncol.2018.0104.</w:t>
      </w:r>
    </w:p>
    <w:p w14:paraId="4EF9D154" w14:textId="5A911EFC" w:rsidR="001D2D06" w:rsidRDefault="001D2D06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proofErr w:type="spellStart"/>
      <w:r>
        <w:rPr>
          <w:rFonts w:ascii="Cambria" w:hAnsi="Cambria"/>
          <w:color w:val="000000" w:themeColor="text1"/>
          <w:sz w:val="22"/>
          <w:szCs w:val="22"/>
        </w:rPr>
        <w:t>Hause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DB4B7D">
        <w:rPr>
          <w:rFonts w:ascii="Cambria" w:hAnsi="Cambria"/>
          <w:color w:val="000000" w:themeColor="text1"/>
          <w:sz w:val="22"/>
          <w:szCs w:val="22"/>
        </w:rPr>
        <w:t xml:space="preserve">R, Pritchard C, </w:t>
      </w:r>
      <w:proofErr w:type="spellStart"/>
      <w:r w:rsidR="00DB4B7D">
        <w:rPr>
          <w:rFonts w:ascii="Cambria" w:hAnsi="Cambria"/>
          <w:color w:val="000000" w:themeColor="text1"/>
          <w:sz w:val="22"/>
          <w:szCs w:val="22"/>
        </w:rPr>
        <w:t>Shendure</w:t>
      </w:r>
      <w:proofErr w:type="spellEnd"/>
      <w:r w:rsidR="00DB4B7D">
        <w:rPr>
          <w:rFonts w:ascii="Cambria" w:hAnsi="Cambria"/>
          <w:color w:val="000000" w:themeColor="text1"/>
          <w:sz w:val="22"/>
          <w:szCs w:val="22"/>
        </w:rPr>
        <w:t xml:space="preserve"> J, </w:t>
      </w:r>
      <w:proofErr w:type="spellStart"/>
      <w:r w:rsidR="00DB4B7D">
        <w:rPr>
          <w:rFonts w:ascii="Cambria" w:hAnsi="Cambria"/>
          <w:color w:val="000000" w:themeColor="text1"/>
          <w:sz w:val="22"/>
          <w:szCs w:val="22"/>
        </w:rPr>
        <w:t>Salipante</w:t>
      </w:r>
      <w:proofErr w:type="spellEnd"/>
      <w:r w:rsidR="00DB4B7D">
        <w:rPr>
          <w:rFonts w:ascii="Cambria" w:hAnsi="Cambria"/>
          <w:color w:val="000000" w:themeColor="text1"/>
          <w:sz w:val="22"/>
          <w:szCs w:val="22"/>
        </w:rPr>
        <w:t xml:space="preserve"> S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  <w:r w:rsidR="00DB4B7D">
        <w:rPr>
          <w:rFonts w:ascii="Cambria" w:hAnsi="Cambria"/>
          <w:color w:val="000000" w:themeColor="text1"/>
          <w:sz w:val="22"/>
          <w:szCs w:val="22"/>
        </w:rPr>
        <w:t xml:space="preserve"> Classification and characterization of microsatellite instability across 18 cancer types. </w:t>
      </w:r>
      <w:hyperlink r:id="rId16" w:tooltip="Nature medicine." w:history="1">
        <w:r w:rsidRPr="001D2D06">
          <w:rPr>
            <w:rStyle w:val="Hyperlink"/>
            <w:rFonts w:ascii="Cambria" w:hAnsi="Cambria"/>
            <w:sz w:val="22"/>
            <w:szCs w:val="22"/>
          </w:rPr>
          <w:t>Nat Med.</w:t>
        </w:r>
      </w:hyperlink>
      <w:r w:rsidR="00E901F4">
        <w:rPr>
          <w:rFonts w:ascii="Cambria" w:hAnsi="Cambria"/>
          <w:color w:val="000000" w:themeColor="text1"/>
          <w:sz w:val="22"/>
          <w:szCs w:val="22"/>
        </w:rPr>
        <w:t> 2016;22(11):1342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Pr="001D2D06">
        <w:rPr>
          <w:rFonts w:ascii="Cambria" w:hAnsi="Cambria"/>
          <w:color w:val="000000" w:themeColor="text1"/>
          <w:sz w:val="22"/>
          <w:szCs w:val="22"/>
        </w:rPr>
        <w:t xml:space="preserve">50. </w:t>
      </w:r>
      <w:proofErr w:type="spellStart"/>
      <w:r w:rsidRPr="001D2D06">
        <w:rPr>
          <w:rFonts w:ascii="Cambria" w:hAnsi="Cambria"/>
          <w:color w:val="000000" w:themeColor="text1"/>
          <w:sz w:val="22"/>
          <w:szCs w:val="22"/>
        </w:rPr>
        <w:t>doi</w:t>
      </w:r>
      <w:proofErr w:type="spellEnd"/>
      <w:r w:rsidRPr="001D2D06">
        <w:rPr>
          <w:rFonts w:ascii="Cambria" w:hAnsi="Cambria"/>
          <w:color w:val="000000" w:themeColor="text1"/>
          <w:sz w:val="22"/>
          <w:szCs w:val="22"/>
        </w:rPr>
        <w:t xml:space="preserve">: 10.1038/nm.4191. </w:t>
      </w:r>
      <w:proofErr w:type="spellStart"/>
      <w:r w:rsidRPr="001D2D06">
        <w:rPr>
          <w:rFonts w:ascii="Cambria" w:hAnsi="Cambria"/>
          <w:color w:val="000000" w:themeColor="text1"/>
          <w:sz w:val="22"/>
          <w:szCs w:val="22"/>
        </w:rPr>
        <w:t>Epub</w:t>
      </w:r>
      <w:proofErr w:type="spellEnd"/>
      <w:r w:rsidRPr="001D2D06">
        <w:rPr>
          <w:rFonts w:ascii="Cambria" w:hAnsi="Cambria"/>
          <w:color w:val="000000" w:themeColor="text1"/>
          <w:sz w:val="22"/>
          <w:szCs w:val="22"/>
        </w:rPr>
        <w:t xml:space="preserve"> 2016 Oct 3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</w:p>
    <w:p w14:paraId="35CD0199" w14:textId="52B6CDF4" w:rsidR="00041E0A" w:rsidRPr="00FF0574" w:rsidRDefault="00041E0A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proofErr w:type="spellStart"/>
      <w:r w:rsidRPr="00041E0A">
        <w:rPr>
          <w:rFonts w:ascii="Cambria" w:hAnsi="Cambria"/>
          <w:color w:val="000000" w:themeColor="text1"/>
          <w:sz w:val="22"/>
          <w:szCs w:val="22"/>
        </w:rPr>
        <w:t>Hechtma</w:t>
      </w:r>
      <w:r w:rsidR="00626C68">
        <w:rPr>
          <w:rFonts w:ascii="Cambria" w:hAnsi="Cambria"/>
          <w:color w:val="000000" w:themeColor="text1"/>
          <w:sz w:val="22"/>
          <w:szCs w:val="22"/>
        </w:rPr>
        <w:t>n</w:t>
      </w:r>
      <w:proofErr w:type="spellEnd"/>
      <w:r w:rsidR="00626C68">
        <w:rPr>
          <w:rFonts w:ascii="Cambria" w:hAnsi="Cambria"/>
          <w:color w:val="000000" w:themeColor="text1"/>
          <w:sz w:val="22"/>
          <w:szCs w:val="22"/>
        </w:rPr>
        <w:t xml:space="preserve"> JF, </w:t>
      </w:r>
      <w:proofErr w:type="spellStart"/>
      <w:r w:rsidR="00626C68">
        <w:rPr>
          <w:rFonts w:ascii="Cambria" w:hAnsi="Cambria"/>
          <w:color w:val="000000" w:themeColor="text1"/>
          <w:sz w:val="22"/>
          <w:szCs w:val="22"/>
        </w:rPr>
        <w:t>Middha</w:t>
      </w:r>
      <w:proofErr w:type="spellEnd"/>
      <w:r w:rsidR="00626C68">
        <w:rPr>
          <w:rFonts w:ascii="Cambria" w:hAnsi="Cambria"/>
          <w:color w:val="000000" w:themeColor="text1"/>
          <w:sz w:val="22"/>
          <w:szCs w:val="22"/>
        </w:rPr>
        <w:t xml:space="preserve"> S, Stadler Z</w:t>
      </w:r>
      <w:r w:rsidRPr="00041E0A">
        <w:rPr>
          <w:rFonts w:ascii="Cambria" w:hAnsi="Cambria"/>
          <w:color w:val="000000" w:themeColor="text1"/>
          <w:sz w:val="22"/>
          <w:szCs w:val="22"/>
        </w:rPr>
        <w:t>K</w:t>
      </w:r>
      <w:r w:rsidR="00626C68">
        <w:rPr>
          <w:rFonts w:ascii="Cambria" w:hAnsi="Cambria"/>
          <w:color w:val="000000" w:themeColor="text1"/>
          <w:sz w:val="22"/>
          <w:szCs w:val="22"/>
        </w:rPr>
        <w:t>,</w:t>
      </w:r>
      <w:r w:rsidRPr="00041E0A">
        <w:rPr>
          <w:rFonts w:ascii="Cambria" w:hAnsi="Cambria"/>
          <w:color w:val="000000" w:themeColor="text1"/>
          <w:sz w:val="22"/>
          <w:szCs w:val="22"/>
        </w:rPr>
        <w:t xml:space="preserve"> et al. </w:t>
      </w:r>
      <w:r w:rsidRPr="00041E0A">
        <w:rPr>
          <w:rFonts w:ascii="Cambria" w:hAnsi="Cambria"/>
          <w:bCs/>
          <w:color w:val="000000" w:themeColor="text1"/>
          <w:sz w:val="22"/>
          <w:szCs w:val="22"/>
        </w:rPr>
        <w:t>Universal screening for microsatellite instability in colorectal cancer in the clinical genomics era: new recommendations, methods, and considerations. </w:t>
      </w:r>
      <w:r w:rsidRPr="00626C68">
        <w:rPr>
          <w:rFonts w:ascii="Cambria" w:hAnsi="Cambria"/>
          <w:iCs/>
          <w:color w:val="000000" w:themeColor="text1"/>
          <w:sz w:val="22"/>
          <w:szCs w:val="22"/>
        </w:rPr>
        <w:t>Fam</w:t>
      </w:r>
      <w:r w:rsidR="00626C68">
        <w:rPr>
          <w:rFonts w:ascii="Cambria" w:hAnsi="Cambria"/>
          <w:iCs/>
          <w:color w:val="000000" w:themeColor="text1"/>
          <w:sz w:val="22"/>
          <w:szCs w:val="22"/>
        </w:rPr>
        <w:t>ilial</w:t>
      </w:r>
      <w:r w:rsidRPr="00626C68">
        <w:rPr>
          <w:rFonts w:ascii="Cambria" w:hAnsi="Cambria"/>
          <w:iCs/>
          <w:color w:val="000000" w:themeColor="text1"/>
          <w:sz w:val="22"/>
          <w:szCs w:val="22"/>
        </w:rPr>
        <w:t xml:space="preserve"> Cancer</w:t>
      </w:r>
      <w:r w:rsidR="00A54D29">
        <w:rPr>
          <w:rFonts w:ascii="Cambria" w:hAnsi="Cambria"/>
          <w:color w:val="000000" w:themeColor="text1"/>
          <w:sz w:val="22"/>
          <w:szCs w:val="22"/>
        </w:rPr>
        <w:t> 2017;</w:t>
      </w:r>
      <w:r w:rsidR="00E901F4">
        <w:rPr>
          <w:rFonts w:ascii="Cambria" w:hAnsi="Cambria"/>
          <w:color w:val="000000" w:themeColor="text1"/>
          <w:sz w:val="22"/>
          <w:szCs w:val="22"/>
        </w:rPr>
        <w:t>16:525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Pr="00041E0A">
        <w:rPr>
          <w:rFonts w:ascii="Cambria" w:hAnsi="Cambria"/>
          <w:color w:val="000000" w:themeColor="text1"/>
          <w:sz w:val="22"/>
          <w:szCs w:val="22"/>
        </w:rPr>
        <w:t>9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</w:p>
    <w:p w14:paraId="49420EF4" w14:textId="01826246" w:rsidR="000D3194" w:rsidRPr="000D3194" w:rsidRDefault="000D3194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  <w:proofErr w:type="spellStart"/>
      <w:r w:rsidRPr="000D3194">
        <w:rPr>
          <w:rFonts w:ascii="Cambria" w:hAnsi="Cambria"/>
          <w:color w:val="000000" w:themeColor="text1"/>
          <w:sz w:val="22"/>
          <w:szCs w:val="22"/>
          <w:lang w:val="en-US"/>
        </w:rPr>
        <w:lastRenderedPageBreak/>
        <w:t>Hempelmann</w:t>
      </w:r>
      <w:proofErr w:type="spellEnd"/>
      <w:r w:rsidRPr="000D3194">
        <w:rPr>
          <w:rFonts w:ascii="Cambria" w:hAnsi="Cambria"/>
          <w:color w:val="000000" w:themeColor="text1"/>
          <w:sz w:val="22"/>
          <w:szCs w:val="22"/>
          <w:lang w:val="en-US"/>
        </w:rPr>
        <w:t xml:space="preserve"> J, Scroggins S, Pritchard CC</w:t>
      </w:r>
      <w:r w:rsidR="00626C68">
        <w:rPr>
          <w:rFonts w:ascii="Cambria" w:hAnsi="Cambria"/>
          <w:color w:val="000000" w:themeColor="text1"/>
          <w:sz w:val="22"/>
          <w:szCs w:val="22"/>
          <w:lang w:val="en-US"/>
        </w:rPr>
        <w:t>,</w:t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0D3194">
        <w:rPr>
          <w:rFonts w:ascii="Cambria" w:hAnsi="Cambria"/>
          <w:color w:val="000000" w:themeColor="text1"/>
          <w:sz w:val="22"/>
          <w:szCs w:val="22"/>
          <w:lang w:val="en-US"/>
        </w:rPr>
        <w:t>Salipante</w:t>
      </w:r>
      <w:proofErr w:type="spellEnd"/>
      <w:r w:rsidRPr="000D3194">
        <w:rPr>
          <w:rFonts w:ascii="Cambria" w:hAnsi="Cambria"/>
          <w:color w:val="000000" w:themeColor="text1"/>
          <w:sz w:val="22"/>
          <w:szCs w:val="22"/>
          <w:lang w:val="en-US"/>
        </w:rPr>
        <w:t xml:space="preserve"> SJ. </w:t>
      </w:r>
      <w:proofErr w:type="spellStart"/>
      <w:r w:rsidRPr="000D3194">
        <w:rPr>
          <w:rFonts w:ascii="Cambria" w:hAnsi="Cambria"/>
          <w:color w:val="000000" w:themeColor="text1"/>
          <w:sz w:val="22"/>
          <w:szCs w:val="22"/>
          <w:lang w:val="en-US"/>
        </w:rPr>
        <w:t>MSIplus</w:t>
      </w:r>
      <w:proofErr w:type="spellEnd"/>
      <w:r w:rsidRPr="000D3194">
        <w:rPr>
          <w:rFonts w:ascii="Cambria" w:hAnsi="Cambria"/>
          <w:color w:val="000000" w:themeColor="text1"/>
          <w:sz w:val="22"/>
          <w:szCs w:val="22"/>
          <w:lang w:val="en-US"/>
        </w:rPr>
        <w:t xml:space="preserve"> for integrated colorectal cancer molecular testing by next-generation sequencing</w:t>
      </w:r>
      <w:r w:rsidR="00E901F4">
        <w:rPr>
          <w:rFonts w:ascii="Cambria" w:hAnsi="Cambria"/>
          <w:color w:val="000000" w:themeColor="text1"/>
          <w:sz w:val="22"/>
          <w:szCs w:val="22"/>
          <w:lang w:val="en-US"/>
        </w:rPr>
        <w:t xml:space="preserve">. J Mole </w:t>
      </w:r>
      <w:proofErr w:type="spellStart"/>
      <w:r w:rsidR="00E901F4">
        <w:rPr>
          <w:rFonts w:ascii="Cambria" w:hAnsi="Cambria"/>
          <w:color w:val="000000" w:themeColor="text1"/>
          <w:sz w:val="22"/>
          <w:szCs w:val="22"/>
          <w:lang w:val="en-US"/>
        </w:rPr>
        <w:t>Diagn</w:t>
      </w:r>
      <w:proofErr w:type="spellEnd"/>
      <w:r w:rsidR="00E901F4">
        <w:rPr>
          <w:rFonts w:ascii="Cambria" w:hAnsi="Cambria"/>
          <w:color w:val="000000" w:themeColor="text1"/>
          <w:sz w:val="22"/>
          <w:szCs w:val="22"/>
          <w:lang w:val="en-US"/>
        </w:rPr>
        <w:t xml:space="preserve">. </w:t>
      </w:r>
      <w:proofErr w:type="gramStart"/>
      <w:r w:rsidR="00E901F4">
        <w:rPr>
          <w:rFonts w:ascii="Cambria" w:hAnsi="Cambria"/>
          <w:color w:val="000000" w:themeColor="text1"/>
          <w:sz w:val="22"/>
          <w:szCs w:val="22"/>
          <w:lang w:val="en-US"/>
        </w:rPr>
        <w:t>2015;17:705</w:t>
      </w:r>
      <w:proofErr w:type="gramEnd"/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="00626C68">
        <w:rPr>
          <w:rFonts w:ascii="Cambria" w:hAnsi="Cambria"/>
          <w:color w:val="000000" w:themeColor="text1"/>
          <w:sz w:val="22"/>
          <w:szCs w:val="22"/>
          <w:lang w:val="en-US"/>
        </w:rPr>
        <w:t>14.</w:t>
      </w:r>
    </w:p>
    <w:p w14:paraId="2FA8757C" w14:textId="4795801E" w:rsidR="00911F2E" w:rsidRPr="00FF0574" w:rsidRDefault="00911F2E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  <w:lang w:val="en-US"/>
        </w:rPr>
        <w:t>Hu Z, Shia J, Stadler Z</w:t>
      </w:r>
      <w:r w:rsidR="00626C68">
        <w:rPr>
          <w:rFonts w:ascii="Cambria" w:hAnsi="Cambria"/>
          <w:color w:val="000000" w:themeColor="text1"/>
          <w:sz w:val="22"/>
          <w:szCs w:val="22"/>
          <w:lang w:val="en-US"/>
        </w:rPr>
        <w:t>,</w:t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 xml:space="preserve"> et al. </w:t>
      </w:r>
      <w:r w:rsidRPr="00911F2E">
        <w:rPr>
          <w:rFonts w:ascii="Cambria" w:hAnsi="Cambria"/>
          <w:color w:val="000000" w:themeColor="text1"/>
          <w:sz w:val="22"/>
          <w:szCs w:val="22"/>
        </w:rPr>
        <w:t>Evaluating Mismatch Repair Deficiency in Pancreatic Adenocarcinoma: Challenges and Recommendations</w:t>
      </w:r>
      <w:r>
        <w:rPr>
          <w:rFonts w:ascii="Cambria" w:hAnsi="Cambria"/>
          <w:color w:val="000000" w:themeColor="text1"/>
          <w:sz w:val="22"/>
          <w:szCs w:val="22"/>
        </w:rPr>
        <w:t xml:space="preserve"> Clinical Cancer Research </w:t>
      </w:r>
      <w:r w:rsidRPr="00911F2E">
        <w:rPr>
          <w:rFonts w:ascii="Cambria" w:hAnsi="Cambria"/>
          <w:color w:val="000000" w:themeColor="text1"/>
          <w:sz w:val="22"/>
          <w:szCs w:val="22"/>
        </w:rPr>
        <w:t>Clin Cancer Res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  <w:r w:rsidRPr="00911F2E">
        <w:rPr>
          <w:rFonts w:ascii="Cambria" w:hAnsi="Cambria"/>
          <w:color w:val="000000" w:themeColor="text1"/>
          <w:sz w:val="22"/>
          <w:szCs w:val="22"/>
        </w:rPr>
        <w:t> January 24</w:t>
      </w:r>
      <w:proofErr w:type="gramStart"/>
      <w:r w:rsidRPr="00911F2E">
        <w:rPr>
          <w:rFonts w:ascii="Cambria" w:hAnsi="Cambria"/>
          <w:color w:val="000000" w:themeColor="text1"/>
          <w:sz w:val="22"/>
          <w:szCs w:val="22"/>
        </w:rPr>
        <w:t xml:space="preserve"> 2018</w:t>
      </w:r>
      <w:proofErr w:type="gramEnd"/>
      <w:r w:rsidRPr="00911F2E">
        <w:rPr>
          <w:rFonts w:ascii="Cambria" w:hAnsi="Cambria"/>
          <w:color w:val="000000" w:themeColor="text1"/>
          <w:sz w:val="22"/>
          <w:szCs w:val="22"/>
        </w:rPr>
        <w:t> </w:t>
      </w:r>
      <w:proofErr w:type="spellStart"/>
      <w:r w:rsidR="00A54D29" w:rsidRPr="00A54D29">
        <w:rPr>
          <w:rFonts w:ascii="Cambria" w:hAnsi="Cambria"/>
          <w:bCs/>
          <w:color w:val="000000" w:themeColor="text1"/>
          <w:sz w:val="22"/>
          <w:szCs w:val="22"/>
        </w:rPr>
        <w:t>doi</w:t>
      </w:r>
      <w:proofErr w:type="spellEnd"/>
      <w:r w:rsidRPr="00A54D29">
        <w:rPr>
          <w:rFonts w:ascii="Cambria" w:hAnsi="Cambria"/>
          <w:bCs/>
          <w:color w:val="000000" w:themeColor="text1"/>
          <w:sz w:val="22"/>
          <w:szCs w:val="22"/>
        </w:rPr>
        <w:t>:</w:t>
      </w:r>
      <w:r w:rsidRPr="00911F2E">
        <w:rPr>
          <w:rFonts w:ascii="Cambria" w:hAnsi="Cambria"/>
          <w:color w:val="000000" w:themeColor="text1"/>
          <w:sz w:val="22"/>
          <w:szCs w:val="22"/>
        </w:rPr>
        <w:t> 10.1158/1078-0432.CCR-17-3099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</w:p>
    <w:p w14:paraId="6CD46C9D" w14:textId="234364F7" w:rsidR="000D3194" w:rsidRDefault="000D3194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0D3194">
        <w:rPr>
          <w:rFonts w:ascii="Cambria" w:hAnsi="Cambria"/>
          <w:color w:val="000000" w:themeColor="text1"/>
          <w:sz w:val="22"/>
          <w:szCs w:val="22"/>
          <w:lang w:val="en-US"/>
        </w:rPr>
        <w:t xml:space="preserve">Iino H, Simms L, Young J, </w:t>
      </w:r>
      <w:r w:rsidR="005808D9">
        <w:rPr>
          <w:rFonts w:ascii="Cambria" w:hAnsi="Cambria"/>
          <w:color w:val="000000" w:themeColor="text1"/>
          <w:sz w:val="22"/>
          <w:szCs w:val="22"/>
          <w:lang w:val="en-US"/>
        </w:rPr>
        <w:t>et al</w:t>
      </w:r>
      <w:r w:rsidR="00626C68">
        <w:rPr>
          <w:rFonts w:ascii="Cambria" w:hAnsi="Cambria"/>
          <w:color w:val="000000" w:themeColor="text1"/>
          <w:sz w:val="22"/>
          <w:szCs w:val="22"/>
          <w:lang w:val="en-US"/>
        </w:rPr>
        <w:t>.</w:t>
      </w:r>
      <w:r w:rsidRPr="000D3194">
        <w:rPr>
          <w:rFonts w:ascii="Cambria" w:hAnsi="Cambria"/>
          <w:color w:val="000000" w:themeColor="text1"/>
          <w:sz w:val="22"/>
          <w:szCs w:val="22"/>
          <w:lang w:val="en-US"/>
        </w:rPr>
        <w:t xml:space="preserve"> DNA microsatellite instability and mismatch repair protein loss in adenomas presenting in hereditary non-polyposis colorectal cancer. Gut </w:t>
      </w:r>
      <w:proofErr w:type="gramStart"/>
      <w:r w:rsidR="00626C68">
        <w:rPr>
          <w:rFonts w:ascii="Cambria" w:hAnsi="Cambria"/>
          <w:color w:val="000000" w:themeColor="text1"/>
          <w:sz w:val="22"/>
          <w:szCs w:val="22"/>
          <w:lang w:val="en-US"/>
        </w:rPr>
        <w:t>2000;</w:t>
      </w:r>
      <w:r w:rsidR="00E901F4">
        <w:rPr>
          <w:rFonts w:ascii="Cambria" w:hAnsi="Cambria"/>
          <w:color w:val="000000" w:themeColor="text1"/>
          <w:sz w:val="22"/>
          <w:szCs w:val="22"/>
          <w:lang w:val="en-US"/>
        </w:rPr>
        <w:t>47:37</w:t>
      </w:r>
      <w:proofErr w:type="gramEnd"/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Pr="000D3194">
        <w:rPr>
          <w:rFonts w:ascii="Cambria" w:hAnsi="Cambria"/>
          <w:color w:val="000000" w:themeColor="text1"/>
          <w:sz w:val="22"/>
          <w:szCs w:val="22"/>
          <w:lang w:val="en-US"/>
        </w:rPr>
        <w:t>42</w:t>
      </w:r>
      <w:r w:rsidR="00626C68">
        <w:rPr>
          <w:rFonts w:ascii="Cambria" w:hAnsi="Cambria"/>
          <w:color w:val="000000" w:themeColor="text1"/>
          <w:sz w:val="22"/>
          <w:szCs w:val="22"/>
          <w:lang w:val="en-US"/>
        </w:rPr>
        <w:t>.</w:t>
      </w:r>
    </w:p>
    <w:p w14:paraId="2C17F269" w14:textId="0B120A3F" w:rsidR="00E524F6" w:rsidRPr="00FF0574" w:rsidRDefault="00E524F6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  <w:lang w:val="en-US"/>
        </w:rPr>
      </w:pPr>
      <w:r>
        <w:rPr>
          <w:rFonts w:ascii="Cambria" w:hAnsi="Cambria"/>
          <w:color w:val="000000" w:themeColor="text1"/>
          <w:sz w:val="22"/>
          <w:szCs w:val="22"/>
        </w:rPr>
        <w:t>Jung J, Kang Y, Lee YJ</w:t>
      </w:r>
      <w:r w:rsidR="00626C68">
        <w:rPr>
          <w:rFonts w:ascii="Cambria" w:hAnsi="Cambria"/>
          <w:color w:val="000000" w:themeColor="text1"/>
          <w:sz w:val="22"/>
          <w:szCs w:val="22"/>
        </w:rPr>
        <w:t>,</w:t>
      </w:r>
      <w:r>
        <w:rPr>
          <w:rFonts w:ascii="Cambria" w:hAnsi="Cambria"/>
          <w:color w:val="000000" w:themeColor="text1"/>
          <w:sz w:val="22"/>
          <w:szCs w:val="22"/>
        </w:rPr>
        <w:t xml:space="preserve"> et al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  <w:r>
        <w:rPr>
          <w:rFonts w:ascii="Cambria" w:hAnsi="Cambria"/>
          <w:color w:val="000000" w:themeColor="text1"/>
          <w:sz w:val="22"/>
          <w:szCs w:val="22"/>
        </w:rPr>
        <w:t xml:space="preserve"> Comparison of the mismatch repair system between primary and metastatic colorectal cancers using immunohistochemistry. </w:t>
      </w:r>
      <w:r w:rsidRPr="00E524F6">
        <w:rPr>
          <w:rFonts w:ascii="Cambria" w:hAnsi="Cambria"/>
          <w:color w:val="000000" w:themeColor="text1"/>
          <w:sz w:val="22"/>
          <w:szCs w:val="22"/>
          <w:lang w:val="en-US"/>
        </w:rPr>
        <w:t xml:space="preserve">J </w:t>
      </w:r>
      <w:proofErr w:type="spellStart"/>
      <w:r w:rsidRPr="00E524F6">
        <w:rPr>
          <w:rFonts w:ascii="Cambria" w:hAnsi="Cambria"/>
          <w:color w:val="000000" w:themeColor="text1"/>
          <w:sz w:val="22"/>
          <w:szCs w:val="22"/>
          <w:lang w:val="en-US"/>
        </w:rPr>
        <w:t>Pathol</w:t>
      </w:r>
      <w:proofErr w:type="spellEnd"/>
      <w:r w:rsidRPr="00E524F6">
        <w:rPr>
          <w:rFonts w:ascii="Cambria" w:hAnsi="Cambri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524F6">
        <w:rPr>
          <w:rFonts w:ascii="Cambria" w:hAnsi="Cambria"/>
          <w:color w:val="000000" w:themeColor="text1"/>
          <w:sz w:val="22"/>
          <w:szCs w:val="22"/>
          <w:lang w:val="en-US"/>
        </w:rPr>
        <w:t>Transl</w:t>
      </w:r>
      <w:proofErr w:type="spellEnd"/>
      <w:r w:rsidRPr="00E524F6">
        <w:rPr>
          <w:rFonts w:ascii="Cambria" w:hAnsi="Cambria"/>
          <w:color w:val="000000" w:themeColor="text1"/>
          <w:sz w:val="22"/>
          <w:szCs w:val="22"/>
          <w:lang w:val="en-US"/>
        </w:rPr>
        <w:t xml:space="preserve"> Med. 2017</w:t>
      </w:r>
      <w:r w:rsidR="00626C68">
        <w:rPr>
          <w:rFonts w:ascii="Cambria" w:hAnsi="Cambria"/>
          <w:color w:val="000000" w:themeColor="text1"/>
          <w:sz w:val="22"/>
          <w:szCs w:val="22"/>
          <w:lang w:val="en-US"/>
        </w:rPr>
        <w:t>;</w:t>
      </w:r>
      <w:r w:rsidRPr="00E524F6">
        <w:rPr>
          <w:rFonts w:ascii="Cambria" w:hAnsi="Cambria"/>
          <w:color w:val="000000" w:themeColor="text1"/>
          <w:sz w:val="22"/>
          <w:szCs w:val="22"/>
          <w:lang w:val="en-US"/>
        </w:rPr>
        <w:t>51(</w:t>
      </w:r>
      <w:r w:rsidR="00E901F4">
        <w:rPr>
          <w:rFonts w:ascii="Cambria" w:hAnsi="Cambria"/>
          <w:color w:val="000000" w:themeColor="text1"/>
          <w:sz w:val="22"/>
          <w:szCs w:val="22"/>
          <w:lang w:val="en-US"/>
        </w:rPr>
        <w:t>2):129</w:t>
      </w:r>
      <w:r w:rsidR="00E418B9">
        <w:rPr>
          <w:rFonts w:ascii="Cambria" w:hAnsi="Cambria"/>
          <w:color w:val="000000" w:themeColor="text1"/>
          <w:sz w:val="22"/>
          <w:szCs w:val="22"/>
          <w:lang w:val="en-US"/>
        </w:rPr>
        <w:t>-</w:t>
      </w:r>
      <w:r w:rsidRPr="00E524F6">
        <w:rPr>
          <w:rFonts w:ascii="Cambria" w:hAnsi="Cambria"/>
          <w:color w:val="000000" w:themeColor="text1"/>
          <w:sz w:val="22"/>
          <w:szCs w:val="22"/>
          <w:lang w:val="en-US"/>
        </w:rPr>
        <w:t>36.</w:t>
      </w:r>
    </w:p>
    <w:p w14:paraId="3EDB6648" w14:textId="4599E462" w:rsidR="007B127F" w:rsidRPr="00FF0574" w:rsidRDefault="007B127F" w:rsidP="00FF0574">
      <w:pPr>
        <w:spacing w:after="240"/>
        <w:jc w:val="both"/>
      </w:pPr>
      <w:proofErr w:type="spellStart"/>
      <w:r>
        <w:rPr>
          <w:rFonts w:ascii="Cambria" w:hAnsi="Cambria"/>
          <w:color w:val="000000" w:themeColor="text1"/>
          <w:sz w:val="22"/>
          <w:szCs w:val="22"/>
        </w:rPr>
        <w:t>Kohlman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W</w:t>
      </w:r>
      <w:r w:rsidR="00626C68">
        <w:rPr>
          <w:rFonts w:ascii="Cambria" w:hAnsi="Cambria"/>
          <w:color w:val="000000" w:themeColor="text1"/>
          <w:sz w:val="22"/>
          <w:szCs w:val="22"/>
        </w:rPr>
        <w:t>,</w:t>
      </w:r>
      <w:r>
        <w:rPr>
          <w:rFonts w:ascii="Cambria" w:hAnsi="Cambria"/>
          <w:color w:val="000000" w:themeColor="text1"/>
          <w:sz w:val="22"/>
          <w:szCs w:val="22"/>
        </w:rPr>
        <w:t xml:space="preserve"> Gruber S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  <w:r>
        <w:rPr>
          <w:rFonts w:ascii="Cambria" w:hAnsi="Cambria"/>
          <w:color w:val="000000" w:themeColor="text1"/>
          <w:sz w:val="22"/>
          <w:szCs w:val="22"/>
        </w:rPr>
        <w:t xml:space="preserve"> Lynch </w:t>
      </w:r>
      <w:r w:rsidRPr="007B127F">
        <w:rPr>
          <w:rFonts w:ascii="Cambria" w:hAnsi="Cambria"/>
          <w:color w:val="000000" w:themeColor="text1"/>
          <w:sz w:val="22"/>
          <w:szCs w:val="22"/>
        </w:rPr>
        <w:t xml:space="preserve">Syndrome </w:t>
      </w:r>
      <w:r w:rsidRPr="007B127F">
        <w:rPr>
          <w:rFonts w:ascii="Cambria" w:hAnsi="Cambria" w:cs="Courier New"/>
          <w:color w:val="222222"/>
          <w:sz w:val="22"/>
          <w:szCs w:val="22"/>
          <w:shd w:val="clear" w:color="auto" w:fill="FFFFFF"/>
        </w:rPr>
        <w:t xml:space="preserve">Lynch Syndrome. 2004 Feb 5 [Updated 2018 Apr 12]. In: Adam MP, </w:t>
      </w:r>
      <w:proofErr w:type="spellStart"/>
      <w:r w:rsidRPr="007B127F">
        <w:rPr>
          <w:rFonts w:ascii="Cambria" w:hAnsi="Cambria" w:cs="Courier New"/>
          <w:color w:val="222222"/>
          <w:sz w:val="22"/>
          <w:szCs w:val="22"/>
          <w:shd w:val="clear" w:color="auto" w:fill="FFFFFF"/>
        </w:rPr>
        <w:t>Ardinger</w:t>
      </w:r>
      <w:proofErr w:type="spellEnd"/>
      <w:r w:rsidRPr="007B127F">
        <w:rPr>
          <w:rFonts w:ascii="Cambria" w:hAnsi="Cambria" w:cs="Courier New"/>
          <w:color w:val="222222"/>
          <w:sz w:val="22"/>
          <w:szCs w:val="22"/>
          <w:shd w:val="clear" w:color="auto" w:fill="FFFFFF"/>
        </w:rPr>
        <w:t xml:space="preserve"> HH, </w:t>
      </w:r>
      <w:proofErr w:type="spellStart"/>
      <w:r w:rsidRPr="007B127F">
        <w:rPr>
          <w:rFonts w:ascii="Cambria" w:hAnsi="Cambria" w:cs="Courier New"/>
          <w:color w:val="222222"/>
          <w:sz w:val="22"/>
          <w:szCs w:val="22"/>
          <w:shd w:val="clear" w:color="auto" w:fill="FFFFFF"/>
        </w:rPr>
        <w:t>Pagon</w:t>
      </w:r>
      <w:proofErr w:type="spellEnd"/>
      <w:r w:rsidRPr="007B127F">
        <w:rPr>
          <w:rFonts w:ascii="Cambria" w:hAnsi="Cambria" w:cs="Courier New"/>
          <w:color w:val="222222"/>
          <w:sz w:val="22"/>
          <w:szCs w:val="22"/>
          <w:shd w:val="clear" w:color="auto" w:fill="FFFFFF"/>
        </w:rPr>
        <w:t xml:space="preserve"> RA, et al., editors. </w:t>
      </w:r>
      <w:proofErr w:type="spellStart"/>
      <w:r w:rsidRPr="007B127F">
        <w:rPr>
          <w:rFonts w:ascii="Cambria" w:hAnsi="Cambria" w:cs="Courier New"/>
          <w:color w:val="222222"/>
          <w:sz w:val="22"/>
          <w:szCs w:val="22"/>
          <w:shd w:val="clear" w:color="auto" w:fill="FFFFFF"/>
        </w:rPr>
        <w:t>GeneReviews</w:t>
      </w:r>
      <w:proofErr w:type="spellEnd"/>
      <w:r w:rsidRPr="007B127F">
        <w:rPr>
          <w:rFonts w:ascii="Cambria" w:hAnsi="Cambria" w:cs="Courier New"/>
          <w:color w:val="222222"/>
          <w:sz w:val="22"/>
          <w:szCs w:val="22"/>
          <w:shd w:val="clear" w:color="auto" w:fill="FFFFFF"/>
        </w:rPr>
        <w:t>® [Internet]. Seattle</w:t>
      </w:r>
      <w:r>
        <w:rPr>
          <w:rFonts w:ascii="Cambria" w:hAnsi="Cambria" w:cs="Courier New"/>
          <w:color w:val="222222"/>
          <w:sz w:val="22"/>
          <w:szCs w:val="22"/>
          <w:shd w:val="clear" w:color="auto" w:fill="FFFFFF"/>
        </w:rPr>
        <w:t xml:space="preserve"> </w:t>
      </w:r>
      <w:r w:rsidRPr="007B127F">
        <w:rPr>
          <w:rFonts w:ascii="Cambria" w:hAnsi="Cambria" w:cs="Courier New"/>
          <w:color w:val="222222"/>
          <w:sz w:val="22"/>
          <w:szCs w:val="22"/>
          <w:shd w:val="clear" w:color="auto" w:fill="FFFFFF"/>
        </w:rPr>
        <w:t>(WA): University of Washington, Seattle; 1993-2019. </w:t>
      </w:r>
      <w:r w:rsidRPr="007B127F">
        <w:rPr>
          <w:rFonts w:ascii="Cambria" w:hAnsi="Cambria" w:cs="Courier New"/>
          <w:color w:val="222222"/>
          <w:sz w:val="22"/>
          <w:szCs w:val="22"/>
        </w:rPr>
        <w:t xml:space="preserve">Available from: </w:t>
      </w:r>
      <w:hyperlink r:id="rId17" w:tooltip="Link to GeneReviews article" w:history="1">
        <w:r w:rsidRPr="00A021F5">
          <w:rPr>
            <w:rStyle w:val="Hyperlink"/>
            <w:rFonts w:ascii="Cambria" w:hAnsi="Cambria" w:cs="Courier New"/>
            <w:sz w:val="22"/>
            <w:szCs w:val="22"/>
          </w:rPr>
          <w:t>https://www.ncbi.nlm.nih.gov/books/NBK1211/</w:t>
        </w:r>
      </w:hyperlink>
      <w:r>
        <w:rPr>
          <w:rFonts w:ascii="Cambria" w:hAnsi="Cambria" w:cs="Courier New"/>
          <w:color w:val="222222"/>
          <w:sz w:val="22"/>
          <w:szCs w:val="22"/>
        </w:rPr>
        <w:t xml:space="preserve"> accessed 23 April 201</w:t>
      </w:r>
      <w:r w:rsidR="00626C68">
        <w:rPr>
          <w:rFonts w:ascii="Cambria" w:hAnsi="Cambria" w:cs="Courier New"/>
          <w:color w:val="222222"/>
          <w:sz w:val="22"/>
          <w:szCs w:val="22"/>
        </w:rPr>
        <w:t>9.</w:t>
      </w:r>
    </w:p>
    <w:p w14:paraId="17E05B68" w14:textId="2432EE86" w:rsidR="005275E8" w:rsidRDefault="005275E8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proofErr w:type="spellStart"/>
      <w:r>
        <w:rPr>
          <w:rFonts w:ascii="Cambria" w:hAnsi="Cambria"/>
          <w:color w:val="000000" w:themeColor="text1"/>
          <w:sz w:val="22"/>
          <w:szCs w:val="22"/>
        </w:rPr>
        <w:t>Kunitomi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H, Banno K, </w:t>
      </w:r>
      <w:proofErr w:type="spellStart"/>
      <w:r>
        <w:rPr>
          <w:rFonts w:ascii="Cambria" w:hAnsi="Cambria"/>
          <w:color w:val="000000" w:themeColor="text1"/>
          <w:sz w:val="22"/>
          <w:szCs w:val="22"/>
        </w:rPr>
        <w:t>Yanokura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M</w:t>
      </w:r>
      <w:r w:rsidR="00626C68">
        <w:rPr>
          <w:rFonts w:ascii="Cambria" w:hAnsi="Cambria"/>
          <w:color w:val="000000" w:themeColor="text1"/>
          <w:sz w:val="22"/>
          <w:szCs w:val="22"/>
        </w:rPr>
        <w:t>,</w:t>
      </w:r>
      <w:r>
        <w:rPr>
          <w:rFonts w:ascii="Cambria" w:hAnsi="Cambria"/>
          <w:color w:val="000000" w:themeColor="text1"/>
          <w:sz w:val="22"/>
          <w:szCs w:val="22"/>
        </w:rPr>
        <w:t xml:space="preserve"> et al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  <w:r>
        <w:rPr>
          <w:rFonts w:ascii="Cambria" w:hAnsi="Cambria"/>
          <w:color w:val="000000" w:themeColor="text1"/>
          <w:sz w:val="22"/>
          <w:szCs w:val="22"/>
        </w:rPr>
        <w:t xml:space="preserve"> New use of microsatellite instability analysis in endome</w:t>
      </w:r>
      <w:r w:rsidR="00626C68">
        <w:rPr>
          <w:rFonts w:ascii="Cambria" w:hAnsi="Cambria"/>
          <w:color w:val="000000" w:themeColor="text1"/>
          <w:sz w:val="22"/>
          <w:szCs w:val="22"/>
        </w:rPr>
        <w:t>trial cancer Oncol Letters. 2017;</w:t>
      </w:r>
      <w:r>
        <w:rPr>
          <w:rFonts w:ascii="Cambria" w:hAnsi="Cambria"/>
          <w:color w:val="000000" w:themeColor="text1"/>
          <w:sz w:val="22"/>
          <w:szCs w:val="22"/>
        </w:rPr>
        <w:t>1</w:t>
      </w:r>
      <w:r w:rsidR="00E901F4">
        <w:rPr>
          <w:rFonts w:ascii="Cambria" w:hAnsi="Cambria"/>
          <w:color w:val="000000" w:themeColor="text1"/>
          <w:sz w:val="22"/>
          <w:szCs w:val="22"/>
        </w:rPr>
        <w:t>4(3):3297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>
        <w:rPr>
          <w:rFonts w:ascii="Cambria" w:hAnsi="Cambria"/>
          <w:color w:val="000000" w:themeColor="text1"/>
          <w:sz w:val="22"/>
          <w:szCs w:val="22"/>
        </w:rPr>
        <w:t>301.</w:t>
      </w:r>
    </w:p>
    <w:p w14:paraId="7291D181" w14:textId="7C4AE83A" w:rsidR="00E257A5" w:rsidRDefault="00626C68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proofErr w:type="spellStart"/>
      <w:r>
        <w:rPr>
          <w:rFonts w:ascii="Cambria" w:hAnsi="Cambria"/>
          <w:color w:val="000000" w:themeColor="text1"/>
          <w:sz w:val="22"/>
          <w:szCs w:val="22"/>
        </w:rPr>
        <w:t>Laghi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L, </w:t>
      </w:r>
      <w:proofErr w:type="spellStart"/>
      <w:r>
        <w:rPr>
          <w:rFonts w:ascii="Cambria" w:hAnsi="Cambria"/>
          <w:color w:val="000000" w:themeColor="text1"/>
          <w:sz w:val="22"/>
          <w:szCs w:val="22"/>
        </w:rPr>
        <w:t>Beghello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S, Spinelli</w:t>
      </w:r>
      <w:r w:rsidR="00E257A5">
        <w:rPr>
          <w:rFonts w:ascii="Cambria" w:hAnsi="Cambria"/>
          <w:color w:val="000000" w:themeColor="text1"/>
          <w:sz w:val="22"/>
          <w:szCs w:val="22"/>
        </w:rPr>
        <w:t xml:space="preserve"> A et al</w:t>
      </w:r>
      <w:r>
        <w:rPr>
          <w:rFonts w:ascii="Cambria" w:hAnsi="Cambria"/>
          <w:color w:val="000000" w:themeColor="text1"/>
          <w:sz w:val="22"/>
          <w:szCs w:val="22"/>
        </w:rPr>
        <w:t>.</w:t>
      </w:r>
      <w:r w:rsidR="00E257A5">
        <w:rPr>
          <w:rFonts w:ascii="Cambria" w:hAnsi="Cambria"/>
          <w:color w:val="000000" w:themeColor="text1"/>
          <w:sz w:val="22"/>
          <w:szCs w:val="22"/>
        </w:rPr>
        <w:t xml:space="preserve"> Irrelevance of microsatellite insta</w:t>
      </w:r>
      <w:r w:rsidR="005275E8">
        <w:rPr>
          <w:rFonts w:ascii="Cambria" w:hAnsi="Cambria"/>
          <w:color w:val="000000" w:themeColor="text1"/>
          <w:sz w:val="22"/>
          <w:szCs w:val="22"/>
        </w:rPr>
        <w:t>bili</w:t>
      </w:r>
      <w:r w:rsidR="00E257A5">
        <w:rPr>
          <w:rFonts w:ascii="Cambria" w:hAnsi="Cambria"/>
          <w:color w:val="000000" w:themeColor="text1"/>
          <w:sz w:val="22"/>
          <w:szCs w:val="22"/>
        </w:rPr>
        <w:t xml:space="preserve">ty in the epidemiology of sporadic pancreatic adenocarcinoma. </w:t>
      </w:r>
      <w:proofErr w:type="spellStart"/>
      <w:r w:rsidR="00E257A5">
        <w:rPr>
          <w:rFonts w:ascii="Cambria" w:hAnsi="Cambria"/>
          <w:color w:val="000000" w:themeColor="text1"/>
          <w:sz w:val="22"/>
          <w:szCs w:val="22"/>
        </w:rPr>
        <w:t>PlOS</w:t>
      </w:r>
      <w:proofErr w:type="spellEnd"/>
      <w:r w:rsidR="00E257A5">
        <w:rPr>
          <w:rFonts w:ascii="Cambria" w:hAnsi="Cambria"/>
          <w:color w:val="000000" w:themeColor="text1"/>
          <w:sz w:val="22"/>
          <w:szCs w:val="22"/>
        </w:rPr>
        <w:t xml:space="preserve"> One </w:t>
      </w:r>
      <w:hyperlink r:id="rId18" w:tooltip="Link to PLOS One article" w:history="1">
        <w:r w:rsidR="00E257A5" w:rsidRPr="00A021F5">
          <w:rPr>
            <w:rStyle w:val="Hyperlink"/>
            <w:rFonts w:ascii="Cambria" w:hAnsi="Cambria"/>
            <w:sz w:val="22"/>
            <w:szCs w:val="22"/>
          </w:rPr>
          <w:t>https://doi.org/10.1371/journal.pone.0046002</w:t>
        </w:r>
      </w:hyperlink>
    </w:p>
    <w:p w14:paraId="42BCF210" w14:textId="2CCA7F2D" w:rsidR="008C356C" w:rsidRDefault="008C356C" w:rsidP="00FF0574">
      <w:pPr>
        <w:spacing w:after="24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Latham A, Srinivasan P, </w:t>
      </w:r>
      <w:proofErr w:type="spellStart"/>
      <w:r>
        <w:rPr>
          <w:rFonts w:ascii="Cambria" w:hAnsi="Cambria"/>
          <w:color w:val="000000" w:themeColor="text1"/>
          <w:sz w:val="22"/>
          <w:szCs w:val="22"/>
        </w:rPr>
        <w:t>Kemel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Y</w:t>
      </w:r>
      <w:r w:rsidR="00626C68">
        <w:rPr>
          <w:rFonts w:ascii="Cambria" w:hAnsi="Cambria"/>
          <w:color w:val="000000" w:themeColor="text1"/>
          <w:sz w:val="22"/>
          <w:szCs w:val="22"/>
        </w:rPr>
        <w:t>,</w:t>
      </w:r>
      <w:r>
        <w:rPr>
          <w:rFonts w:ascii="Cambria" w:hAnsi="Cambria"/>
          <w:color w:val="000000" w:themeColor="text1"/>
          <w:sz w:val="22"/>
          <w:szCs w:val="22"/>
        </w:rPr>
        <w:t xml:space="preserve"> et al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  <w:r>
        <w:rPr>
          <w:rFonts w:ascii="Cambria" w:hAnsi="Cambria"/>
          <w:color w:val="000000" w:themeColor="text1"/>
          <w:sz w:val="22"/>
          <w:szCs w:val="22"/>
        </w:rPr>
        <w:t xml:space="preserve"> Microsatellite instability is associated with the present</w:t>
      </w:r>
      <w:r w:rsidR="00626C68">
        <w:rPr>
          <w:rFonts w:ascii="Cambria" w:hAnsi="Cambria"/>
          <w:color w:val="000000" w:themeColor="text1"/>
          <w:sz w:val="22"/>
          <w:szCs w:val="22"/>
        </w:rPr>
        <w:t>ed of Lynch syndrome pan-cancer.</w:t>
      </w:r>
      <w:r>
        <w:rPr>
          <w:rFonts w:ascii="Cambria" w:hAnsi="Cambria"/>
          <w:color w:val="000000" w:themeColor="text1"/>
          <w:sz w:val="22"/>
          <w:szCs w:val="22"/>
        </w:rPr>
        <w:t xml:space="preserve"> J Clin Oncol</w:t>
      </w:r>
      <w:r w:rsidR="00626C68">
        <w:rPr>
          <w:rFonts w:ascii="Cambria" w:hAnsi="Cambria"/>
          <w:color w:val="000000" w:themeColor="text1"/>
          <w:sz w:val="22"/>
          <w:szCs w:val="22"/>
        </w:rPr>
        <w:t>. 2018;</w:t>
      </w:r>
      <w:r w:rsidR="00E901F4">
        <w:rPr>
          <w:rFonts w:ascii="Cambria" w:hAnsi="Cambria"/>
          <w:color w:val="000000" w:themeColor="text1"/>
          <w:sz w:val="22"/>
          <w:szCs w:val="22"/>
        </w:rPr>
        <w:t>37(4):286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>
        <w:rPr>
          <w:rFonts w:ascii="Cambria" w:hAnsi="Cambria"/>
          <w:color w:val="000000" w:themeColor="text1"/>
          <w:sz w:val="22"/>
          <w:szCs w:val="22"/>
        </w:rPr>
        <w:t>95.</w:t>
      </w:r>
    </w:p>
    <w:p w14:paraId="303B1390" w14:textId="5F77DBD4" w:rsidR="00D61AD6" w:rsidRPr="00FF0574" w:rsidRDefault="00DA4B24" w:rsidP="00FF0574">
      <w:pPr>
        <w:spacing w:after="240"/>
        <w:jc w:val="both"/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</w:pPr>
      <w:r w:rsidRPr="00D61AD6">
        <w:rPr>
          <w:rFonts w:ascii="Cambria" w:hAnsi="Cambria"/>
          <w:color w:val="000000" w:themeColor="text1"/>
          <w:sz w:val="22"/>
          <w:szCs w:val="22"/>
        </w:rPr>
        <w:t>Le D, Durham J, Smith K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  <w:r w:rsidRPr="00D61AD6">
        <w:rPr>
          <w:rFonts w:ascii="Cambria" w:hAnsi="Cambria"/>
          <w:color w:val="000000" w:themeColor="text1"/>
          <w:sz w:val="22"/>
          <w:szCs w:val="22"/>
        </w:rPr>
        <w:t xml:space="preserve"> Mismatch repair proficiency predicts response of solid </w:t>
      </w:r>
      <w:proofErr w:type="spellStart"/>
      <w:r w:rsidRPr="00D61AD6">
        <w:rPr>
          <w:rFonts w:ascii="Cambria" w:hAnsi="Cambria"/>
          <w:color w:val="000000" w:themeColor="text1"/>
          <w:sz w:val="22"/>
          <w:szCs w:val="22"/>
        </w:rPr>
        <w:t>tumors</w:t>
      </w:r>
      <w:proofErr w:type="spellEnd"/>
      <w:r w:rsidRPr="00D61AD6">
        <w:rPr>
          <w:rFonts w:ascii="Cambria" w:hAnsi="Cambria"/>
          <w:color w:val="000000" w:themeColor="text1"/>
          <w:sz w:val="22"/>
          <w:szCs w:val="22"/>
        </w:rPr>
        <w:t xml:space="preserve"> to PD-1 blockade. </w:t>
      </w:r>
      <w:hyperlink r:id="rId19" w:tgtFrame="pmc_ext" w:history="1">
        <w:r w:rsidR="00626C68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>Science</w:t>
        </w:r>
        <w:r w:rsidRPr="00626C68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 xml:space="preserve"> 2017</w:t>
        </w:r>
        <w:r w:rsidR="00626C68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>;357(6349):</w:t>
        </w:r>
        <w:r w:rsidR="00E901F4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>409</w:t>
        </w:r>
        <w:r w:rsidR="00E418B9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>-</w:t>
        </w:r>
        <w:r w:rsidRPr="00626C68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>13.</w:t>
        </w:r>
      </w:hyperlink>
    </w:p>
    <w:p w14:paraId="36D2A04F" w14:textId="1A0B75B0" w:rsidR="00563457" w:rsidRDefault="00563457" w:rsidP="00FF0574">
      <w:p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Lee J-H, </w:t>
      </w:r>
      <w:proofErr w:type="spellStart"/>
      <w:r>
        <w:rPr>
          <w:rFonts w:ascii="Cambria" w:hAnsi="Cambria"/>
          <w:sz w:val="22"/>
          <w:szCs w:val="22"/>
        </w:rPr>
        <w:t>Cragun</w:t>
      </w:r>
      <w:proofErr w:type="spellEnd"/>
      <w:r>
        <w:rPr>
          <w:rFonts w:ascii="Cambria" w:hAnsi="Cambria"/>
          <w:sz w:val="22"/>
          <w:szCs w:val="22"/>
        </w:rPr>
        <w:t xml:space="preserve"> D</w:t>
      </w:r>
      <w:r w:rsidR="00626C68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Thompson Z</w:t>
      </w:r>
      <w:r w:rsidR="00626C68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et al</w:t>
      </w:r>
      <w:r w:rsidR="00626C68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Association between IHC and MSI testing to identify mismatch repair-deficient patients with ovarian cancer</w:t>
      </w:r>
      <w:r w:rsidRPr="00563457">
        <w:rPr>
          <w:rFonts w:ascii="Cambria" w:hAnsi="Cambria"/>
          <w:color w:val="000000" w:themeColor="text1"/>
          <w:sz w:val="22"/>
          <w:szCs w:val="22"/>
        </w:rPr>
        <w:t xml:space="preserve">. </w:t>
      </w:r>
      <w:hyperlink r:id="rId20" w:history="1">
        <w:r w:rsidRPr="00563457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>Genet Test Mol Biomarkers</w:t>
        </w:r>
      </w:hyperlink>
      <w:r w:rsidRPr="00563457">
        <w:rPr>
          <w:rFonts w:ascii="Cambria" w:hAnsi="Cambria"/>
          <w:color w:val="000000" w:themeColor="text1"/>
          <w:sz w:val="22"/>
          <w:szCs w:val="22"/>
        </w:rPr>
        <w:t>. 2014</w:t>
      </w:r>
      <w:r w:rsidR="00626C68">
        <w:rPr>
          <w:rFonts w:ascii="Cambria" w:hAnsi="Cambria"/>
          <w:sz w:val="22"/>
          <w:szCs w:val="22"/>
        </w:rPr>
        <w:t>;18(4):</w:t>
      </w:r>
      <w:r w:rsidR="00E901F4">
        <w:rPr>
          <w:rFonts w:ascii="Cambria" w:hAnsi="Cambria"/>
          <w:sz w:val="22"/>
          <w:szCs w:val="22"/>
        </w:rPr>
        <w:t>229</w:t>
      </w:r>
      <w:r w:rsidR="00E418B9">
        <w:rPr>
          <w:rFonts w:ascii="Cambria" w:hAnsi="Cambria"/>
          <w:sz w:val="22"/>
          <w:szCs w:val="22"/>
        </w:rPr>
        <w:t>-</w:t>
      </w:r>
      <w:r w:rsidRPr="00563457">
        <w:rPr>
          <w:rFonts w:ascii="Cambria" w:hAnsi="Cambria"/>
          <w:sz w:val="22"/>
          <w:szCs w:val="22"/>
        </w:rPr>
        <w:t>35.</w:t>
      </w:r>
    </w:p>
    <w:p w14:paraId="45A4C0C3" w14:textId="005B1203" w:rsidR="0097734C" w:rsidRDefault="0097734C" w:rsidP="00FF0574">
      <w:pPr>
        <w:spacing w:after="240"/>
        <w:jc w:val="both"/>
        <w:rPr>
          <w:rFonts w:ascii="Cambria" w:hAnsi="Cambria"/>
          <w:sz w:val="22"/>
          <w:szCs w:val="22"/>
        </w:rPr>
      </w:pPr>
      <w:r w:rsidRPr="0097734C">
        <w:rPr>
          <w:rFonts w:ascii="Cambria" w:hAnsi="Cambria"/>
          <w:sz w:val="22"/>
          <w:szCs w:val="22"/>
        </w:rPr>
        <w:t xml:space="preserve">Lindor NM, </w:t>
      </w:r>
      <w:proofErr w:type="spellStart"/>
      <w:r w:rsidRPr="0097734C">
        <w:rPr>
          <w:rFonts w:ascii="Cambria" w:hAnsi="Cambria"/>
          <w:sz w:val="22"/>
          <w:szCs w:val="22"/>
        </w:rPr>
        <w:t>Burgart</w:t>
      </w:r>
      <w:proofErr w:type="spellEnd"/>
      <w:r w:rsidRPr="0097734C">
        <w:rPr>
          <w:rFonts w:ascii="Cambria" w:hAnsi="Cambria"/>
          <w:sz w:val="22"/>
          <w:szCs w:val="22"/>
        </w:rPr>
        <w:t xml:space="preserve"> LJ, </w:t>
      </w:r>
      <w:proofErr w:type="spellStart"/>
      <w:r w:rsidRPr="0097734C">
        <w:rPr>
          <w:rFonts w:ascii="Cambria" w:hAnsi="Cambria"/>
          <w:sz w:val="22"/>
          <w:szCs w:val="22"/>
        </w:rPr>
        <w:t>Leontovich</w:t>
      </w:r>
      <w:proofErr w:type="spellEnd"/>
      <w:r w:rsidRPr="0097734C">
        <w:rPr>
          <w:rFonts w:ascii="Cambria" w:hAnsi="Cambria"/>
          <w:sz w:val="22"/>
          <w:szCs w:val="22"/>
        </w:rPr>
        <w:t xml:space="preserve"> O, et al. Immunohistochemistry versus microsatellite instability testing in phenotyping colorectal </w:t>
      </w:r>
      <w:proofErr w:type="spellStart"/>
      <w:r w:rsidRPr="0097734C">
        <w:rPr>
          <w:rFonts w:ascii="Cambria" w:hAnsi="Cambria"/>
          <w:sz w:val="22"/>
          <w:szCs w:val="22"/>
        </w:rPr>
        <w:t>tumors</w:t>
      </w:r>
      <w:proofErr w:type="spellEnd"/>
      <w:r w:rsidRPr="0097734C">
        <w:rPr>
          <w:rFonts w:ascii="Cambria" w:hAnsi="Cambria"/>
          <w:sz w:val="22"/>
          <w:szCs w:val="22"/>
        </w:rPr>
        <w:t>. J Clin Oncol. 2002;20:1043</w:t>
      </w:r>
      <w:r w:rsidR="00E418B9">
        <w:rPr>
          <w:rFonts w:ascii="Cambria" w:hAnsi="Cambria"/>
          <w:sz w:val="22"/>
          <w:szCs w:val="22"/>
        </w:rPr>
        <w:t>-</w:t>
      </w:r>
      <w:r w:rsidRPr="0097734C">
        <w:rPr>
          <w:rFonts w:ascii="Cambria" w:hAnsi="Cambria"/>
          <w:sz w:val="22"/>
          <w:szCs w:val="22"/>
        </w:rPr>
        <w:t>8.</w:t>
      </w:r>
    </w:p>
    <w:p w14:paraId="1222D34F" w14:textId="3F1FE6C6" w:rsidR="00CB2384" w:rsidRPr="00FF0574" w:rsidRDefault="00CB2384" w:rsidP="00FF0574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proofErr w:type="spellStart"/>
      <w:r>
        <w:rPr>
          <w:rFonts w:ascii="Cambria" w:hAnsi="Cambria"/>
          <w:sz w:val="22"/>
          <w:szCs w:val="22"/>
        </w:rPr>
        <w:t>Mascarenhas</w:t>
      </w:r>
      <w:proofErr w:type="spellEnd"/>
      <w:r>
        <w:rPr>
          <w:rFonts w:ascii="Cambria" w:hAnsi="Cambria"/>
          <w:sz w:val="22"/>
          <w:szCs w:val="22"/>
        </w:rPr>
        <w:t xml:space="preserve"> L, Shanley S, Mitchell G</w:t>
      </w:r>
      <w:r w:rsidR="00626C68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et al</w:t>
      </w:r>
      <w:r w:rsidR="00626C68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524FE9" w:rsidRPr="00524FE9">
        <w:rPr>
          <w:rFonts w:ascii="Cambria" w:hAnsi="Cambria"/>
          <w:sz w:val="22"/>
          <w:szCs w:val="22"/>
          <w:lang w:val="en-US"/>
        </w:rPr>
        <w:t>Current</w:t>
      </w:r>
      <w:r w:rsidR="00524FE9">
        <w:rPr>
          <w:rFonts w:ascii="Cambria" w:hAnsi="Cambria"/>
          <w:sz w:val="22"/>
          <w:szCs w:val="22"/>
          <w:lang w:val="en-US"/>
        </w:rPr>
        <w:t xml:space="preserve"> </w:t>
      </w:r>
      <w:r w:rsidR="00524FE9" w:rsidRPr="00524FE9">
        <w:rPr>
          <w:rFonts w:ascii="Cambria" w:hAnsi="Cambria"/>
          <w:sz w:val="22"/>
          <w:szCs w:val="22"/>
          <w:lang w:val="en-US"/>
        </w:rPr>
        <w:t>mismatch repair deficiency tumor testing practices</w:t>
      </w:r>
      <w:r w:rsidR="00524FE9">
        <w:rPr>
          <w:rFonts w:ascii="Cambria" w:hAnsi="Cambria"/>
          <w:sz w:val="22"/>
          <w:szCs w:val="22"/>
          <w:lang w:val="en-US"/>
        </w:rPr>
        <w:t xml:space="preserve"> </w:t>
      </w:r>
      <w:r w:rsidR="00524FE9" w:rsidRPr="00524FE9">
        <w:rPr>
          <w:rFonts w:ascii="Cambria" w:hAnsi="Cambria"/>
          <w:sz w:val="22"/>
          <w:szCs w:val="22"/>
          <w:lang w:val="en-US"/>
        </w:rPr>
        <w:t>and capabilities: A survey of Australian pathology providers</w:t>
      </w:r>
      <w:r w:rsidR="00626C68">
        <w:rPr>
          <w:rFonts w:ascii="Cambria" w:hAnsi="Cambria"/>
          <w:sz w:val="22"/>
          <w:szCs w:val="22"/>
          <w:lang w:val="en-US"/>
        </w:rPr>
        <w:t>.</w:t>
      </w:r>
      <w:r w:rsidR="00524FE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Asia Pacific J Clin Oncol</w:t>
      </w:r>
      <w:r w:rsidR="00626C68">
        <w:rPr>
          <w:rFonts w:ascii="Cambria" w:hAnsi="Cambria"/>
          <w:sz w:val="22"/>
          <w:szCs w:val="22"/>
        </w:rPr>
        <w:t>. 2018;</w:t>
      </w:r>
      <w:r w:rsidR="00E901F4">
        <w:rPr>
          <w:rFonts w:ascii="Cambria" w:hAnsi="Cambria"/>
          <w:sz w:val="22"/>
          <w:szCs w:val="22"/>
        </w:rPr>
        <w:t>14(6):417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>25.</w:t>
      </w:r>
    </w:p>
    <w:p w14:paraId="2BFABA80" w14:textId="5F1F853C" w:rsidR="00CF2687" w:rsidRDefault="00CF2687" w:rsidP="00FF0574">
      <w:p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Meyer L, Broaddus R</w:t>
      </w:r>
      <w:r w:rsidR="00626C68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and Lu K</w:t>
      </w:r>
      <w:r w:rsidR="00446683">
        <w:rPr>
          <w:rFonts w:ascii="Cambria" w:hAnsi="Cambria"/>
          <w:sz w:val="22"/>
          <w:szCs w:val="22"/>
        </w:rPr>
        <w:t xml:space="preserve">. Endometrial cancer and Lynch syndrome: clinical and pathologic considerations. </w:t>
      </w:r>
      <w:hyperlink r:id="rId21" w:tgtFrame="pmc_ext" w:history="1">
        <w:r w:rsidR="00626C68">
          <w:rPr>
            <w:rStyle w:val="Hyperlink"/>
            <w:rFonts w:ascii="Cambria" w:hAnsi="Cambria"/>
            <w:sz w:val="22"/>
            <w:szCs w:val="22"/>
          </w:rPr>
          <w:t>Cancer Control. 2009</w:t>
        </w:r>
        <w:r w:rsidR="00446683" w:rsidRPr="00446683">
          <w:rPr>
            <w:rStyle w:val="Hyperlink"/>
            <w:rFonts w:ascii="Cambria" w:hAnsi="Cambria"/>
            <w:sz w:val="22"/>
            <w:szCs w:val="22"/>
          </w:rPr>
          <w:t>;16(1):14</w:t>
        </w:r>
        <w:r w:rsidR="00E418B9">
          <w:rPr>
            <w:rStyle w:val="Hyperlink"/>
            <w:rFonts w:ascii="Cambria" w:hAnsi="Cambria"/>
            <w:sz w:val="22"/>
            <w:szCs w:val="22"/>
          </w:rPr>
          <w:t>-</w:t>
        </w:r>
        <w:r w:rsidR="00446683" w:rsidRPr="00446683">
          <w:rPr>
            <w:rStyle w:val="Hyperlink"/>
            <w:rFonts w:ascii="Cambria" w:hAnsi="Cambria"/>
            <w:sz w:val="22"/>
            <w:szCs w:val="22"/>
          </w:rPr>
          <w:t>22.</w:t>
        </w:r>
      </w:hyperlink>
    </w:p>
    <w:p w14:paraId="5A530611" w14:textId="77086BD4" w:rsidR="000E0B1D" w:rsidRPr="00FF0574" w:rsidRDefault="000E0B1D" w:rsidP="00FF0574">
      <w:pPr>
        <w:spacing w:after="240"/>
        <w:jc w:val="both"/>
        <w:rPr>
          <w:rFonts w:ascii="Cambria" w:hAnsi="Cambria"/>
          <w:sz w:val="22"/>
          <w:szCs w:val="22"/>
        </w:rPr>
      </w:pPr>
      <w:r w:rsidRPr="000E0B1D">
        <w:rPr>
          <w:rFonts w:ascii="Cambria" w:hAnsi="Cambria"/>
          <w:sz w:val="22"/>
          <w:szCs w:val="22"/>
        </w:rPr>
        <w:t>Moreira L, Balaguer F, Lindor N, et al. EPICOLON Consortium Identification of Lynch syndrome among patients with colorectal cancer. JAMA. 2012;308(15):1</w:t>
      </w:r>
      <w:r w:rsidR="00E901F4">
        <w:rPr>
          <w:rFonts w:ascii="Cambria" w:hAnsi="Cambria"/>
          <w:sz w:val="22"/>
          <w:szCs w:val="22"/>
        </w:rPr>
        <w:t>555</w:t>
      </w:r>
      <w:r w:rsidR="00E418B9">
        <w:rPr>
          <w:rFonts w:ascii="Cambria" w:hAnsi="Cambria"/>
          <w:sz w:val="22"/>
          <w:szCs w:val="22"/>
        </w:rPr>
        <w:t>-</w:t>
      </w:r>
      <w:r w:rsidRPr="000E0B1D">
        <w:rPr>
          <w:rFonts w:ascii="Cambria" w:hAnsi="Cambria"/>
          <w:sz w:val="22"/>
          <w:szCs w:val="22"/>
        </w:rPr>
        <w:t>65.</w:t>
      </w:r>
    </w:p>
    <w:p w14:paraId="5515AC4D" w14:textId="05E61DE9" w:rsidR="00E257A5" w:rsidRPr="00FF0574" w:rsidRDefault="00E257A5" w:rsidP="00FF0574">
      <w:pPr>
        <w:spacing w:after="240"/>
        <w:jc w:val="both"/>
        <w:rPr>
          <w:rFonts w:ascii="Cambria" w:hAnsi="Cambria"/>
          <w:sz w:val="22"/>
          <w:szCs w:val="22"/>
        </w:rPr>
      </w:pPr>
      <w:r w:rsidRPr="00E257A5">
        <w:rPr>
          <w:rFonts w:ascii="Cambria" w:hAnsi="Cambria"/>
          <w:sz w:val="22"/>
          <w:szCs w:val="22"/>
        </w:rPr>
        <w:t xml:space="preserve">Murphy MA, </w:t>
      </w:r>
      <w:proofErr w:type="spellStart"/>
      <w:r w:rsidRPr="00E257A5">
        <w:rPr>
          <w:rFonts w:ascii="Cambria" w:hAnsi="Cambria"/>
          <w:sz w:val="22"/>
          <w:szCs w:val="22"/>
        </w:rPr>
        <w:t>Wentzensen</w:t>
      </w:r>
      <w:proofErr w:type="spellEnd"/>
      <w:r w:rsidRPr="00E257A5">
        <w:rPr>
          <w:rFonts w:ascii="Cambria" w:hAnsi="Cambria"/>
          <w:sz w:val="22"/>
          <w:szCs w:val="22"/>
        </w:rPr>
        <w:t xml:space="preserve"> N</w:t>
      </w:r>
      <w:r w:rsidR="00626C68">
        <w:rPr>
          <w:rFonts w:ascii="Cambria" w:hAnsi="Cambria"/>
          <w:sz w:val="22"/>
          <w:szCs w:val="22"/>
        </w:rPr>
        <w:t>.</w:t>
      </w:r>
      <w:r w:rsidRPr="00E257A5">
        <w:rPr>
          <w:rFonts w:ascii="Cambria" w:hAnsi="Cambria"/>
          <w:sz w:val="22"/>
          <w:szCs w:val="22"/>
        </w:rPr>
        <w:t xml:space="preserve"> Frequency of mismatch repair deficiency in ovarian cancer: A systematic review. Int J Cancer</w:t>
      </w:r>
      <w:r w:rsidR="00626C68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2010</w:t>
      </w:r>
      <w:r w:rsidR="00626C68">
        <w:rPr>
          <w:rFonts w:ascii="Cambria" w:hAnsi="Cambria"/>
          <w:sz w:val="22"/>
          <w:szCs w:val="22"/>
        </w:rPr>
        <w:t>;</w:t>
      </w:r>
      <w:r w:rsidR="00E901F4">
        <w:rPr>
          <w:rFonts w:ascii="Cambria" w:hAnsi="Cambria"/>
          <w:sz w:val="22"/>
          <w:szCs w:val="22"/>
        </w:rPr>
        <w:t>129:1914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>22.</w:t>
      </w:r>
    </w:p>
    <w:p w14:paraId="26BA1E8A" w14:textId="71797A99" w:rsidR="00155EAD" w:rsidRPr="00FF0574" w:rsidRDefault="00155EAD" w:rsidP="007C56FC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EAD">
        <w:rPr>
          <w:rFonts w:ascii="Cambria" w:hAnsi="Cambria"/>
          <w:color w:val="000000" w:themeColor="text1"/>
          <w:sz w:val="22"/>
          <w:szCs w:val="22"/>
          <w:lang w:val="en-US"/>
        </w:rPr>
        <w:t xml:space="preserve">Nowak J, </w:t>
      </w:r>
      <w:proofErr w:type="spellStart"/>
      <w:r w:rsidRPr="00155EAD">
        <w:rPr>
          <w:rFonts w:ascii="Cambria" w:hAnsi="Cambria"/>
          <w:color w:val="000000" w:themeColor="text1"/>
          <w:sz w:val="22"/>
          <w:szCs w:val="22"/>
          <w:lang w:val="en-US"/>
        </w:rPr>
        <w:t>Y</w:t>
      </w:r>
      <w:r>
        <w:rPr>
          <w:rFonts w:ascii="Cambria" w:hAnsi="Cambria"/>
          <w:color w:val="000000" w:themeColor="text1"/>
          <w:sz w:val="22"/>
          <w:szCs w:val="22"/>
          <w:lang w:val="en-US"/>
        </w:rPr>
        <w:t>u</w:t>
      </w:r>
      <w:r w:rsidRPr="00155EAD">
        <w:rPr>
          <w:rFonts w:ascii="Cambria" w:hAnsi="Cambria"/>
          <w:color w:val="000000" w:themeColor="text1"/>
          <w:sz w:val="22"/>
          <w:szCs w:val="22"/>
          <w:lang w:val="en-US"/>
        </w:rPr>
        <w:t>rgelun</w:t>
      </w:r>
      <w:proofErr w:type="spellEnd"/>
      <w:r w:rsidRPr="00155EAD">
        <w:rPr>
          <w:rFonts w:ascii="Cambria" w:hAnsi="Cambria"/>
          <w:color w:val="000000" w:themeColor="text1"/>
          <w:sz w:val="22"/>
          <w:szCs w:val="22"/>
          <w:lang w:val="en-US"/>
        </w:rPr>
        <w:t xml:space="preserve"> M, Bruce J</w:t>
      </w:r>
      <w:r w:rsidR="00626C68">
        <w:rPr>
          <w:rFonts w:ascii="Cambria" w:hAnsi="Cambria"/>
          <w:color w:val="000000" w:themeColor="text1"/>
          <w:sz w:val="22"/>
          <w:szCs w:val="22"/>
          <w:lang w:val="en-US"/>
        </w:rPr>
        <w:t>,</w:t>
      </w:r>
      <w:r w:rsidRPr="00155EAD">
        <w:rPr>
          <w:rFonts w:ascii="Cambria" w:hAnsi="Cambria"/>
          <w:color w:val="000000" w:themeColor="text1"/>
          <w:sz w:val="22"/>
          <w:szCs w:val="22"/>
          <w:lang w:val="en-US"/>
        </w:rPr>
        <w:t xml:space="preserve"> et al</w:t>
      </w:r>
      <w:r w:rsidR="00626C68">
        <w:rPr>
          <w:rFonts w:ascii="Cambria" w:hAnsi="Cambria"/>
          <w:color w:val="000000" w:themeColor="text1"/>
          <w:sz w:val="22"/>
          <w:szCs w:val="22"/>
          <w:lang w:val="en-US"/>
        </w:rPr>
        <w:t>.</w:t>
      </w:r>
      <w:r w:rsidRPr="00155EAD">
        <w:rPr>
          <w:rFonts w:ascii="Cambria" w:hAnsi="Cambria"/>
          <w:color w:val="000000" w:themeColor="text1"/>
          <w:sz w:val="22"/>
          <w:szCs w:val="22"/>
          <w:lang w:val="en-US"/>
        </w:rPr>
        <w:t xml:space="preserve"> </w:t>
      </w:r>
      <w:r w:rsidRPr="00155EAD">
        <w:rPr>
          <w:rFonts w:ascii="Cambria" w:hAnsi="Cambria"/>
          <w:color w:val="000000" w:themeColor="text1"/>
          <w:sz w:val="22"/>
          <w:szCs w:val="22"/>
        </w:rPr>
        <w:t>Detection of Mismatch Repair Deficiency and Microsatellite Instability in Colorectal Adenocarcinoma by Targeted Next-Generation Sequencing</w:t>
      </w:r>
      <w:r w:rsidR="00626C68">
        <w:rPr>
          <w:rFonts w:ascii="Cambria" w:hAnsi="Cambria"/>
          <w:color w:val="000000" w:themeColor="text1"/>
          <w:sz w:val="22"/>
          <w:szCs w:val="22"/>
        </w:rPr>
        <w:t>.</w:t>
      </w:r>
      <w:r w:rsidRPr="00E901F4">
        <w:rPr>
          <w:rFonts w:ascii="Cambria" w:hAnsi="Cambria"/>
          <w:color w:val="000000" w:themeColor="text1"/>
          <w:sz w:val="22"/>
          <w:szCs w:val="22"/>
        </w:rPr>
        <w:t xml:space="preserve"> </w:t>
      </w:r>
      <w:hyperlink r:id="rId22" w:history="1">
        <w:r w:rsidRPr="00E901F4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 xml:space="preserve">J Mol </w:t>
        </w:r>
        <w:proofErr w:type="spellStart"/>
        <w:r w:rsidRPr="00E901F4">
          <w:rPr>
            <w:rStyle w:val="Hyperlink"/>
            <w:rFonts w:ascii="Cambria" w:hAnsi="Cambria"/>
            <w:color w:val="000000" w:themeColor="text1"/>
            <w:sz w:val="22"/>
            <w:szCs w:val="22"/>
            <w:u w:val="none"/>
          </w:rPr>
          <w:t>Diagn</w:t>
        </w:r>
        <w:proofErr w:type="spellEnd"/>
      </w:hyperlink>
      <w:r w:rsidR="00626C68" w:rsidRPr="00E901F4">
        <w:rPr>
          <w:rFonts w:ascii="Cambria" w:hAnsi="Cambria"/>
          <w:color w:val="000000" w:themeColor="text1"/>
          <w:sz w:val="22"/>
          <w:szCs w:val="22"/>
        </w:rPr>
        <w:t xml:space="preserve">. </w:t>
      </w:r>
      <w:r w:rsidR="00626C68">
        <w:rPr>
          <w:rFonts w:ascii="Cambria" w:hAnsi="Cambria"/>
          <w:color w:val="000000" w:themeColor="text1"/>
          <w:sz w:val="22"/>
          <w:szCs w:val="22"/>
        </w:rPr>
        <w:t>2017;19(1):</w:t>
      </w:r>
      <w:r w:rsidRPr="00155EAD">
        <w:rPr>
          <w:rFonts w:ascii="Cambria" w:hAnsi="Cambria"/>
          <w:color w:val="000000" w:themeColor="text1"/>
          <w:sz w:val="22"/>
          <w:szCs w:val="22"/>
        </w:rPr>
        <w:t>84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Pr="00155EAD">
        <w:rPr>
          <w:rFonts w:ascii="Cambria" w:hAnsi="Cambria"/>
          <w:color w:val="000000" w:themeColor="text1"/>
          <w:sz w:val="22"/>
          <w:szCs w:val="22"/>
        </w:rPr>
        <w:t>91.</w:t>
      </w:r>
    </w:p>
    <w:p w14:paraId="553B34DC" w14:textId="51644637" w:rsidR="006C5320" w:rsidRDefault="006C5320" w:rsidP="00FF0574">
      <w:p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en-US"/>
        </w:rPr>
        <w:lastRenderedPageBreak/>
        <w:t>Pal T, Akbari M, Sun P</w:t>
      </w:r>
      <w:r w:rsidR="00E901F4">
        <w:rPr>
          <w:rFonts w:ascii="Cambria" w:hAnsi="Cambria"/>
          <w:sz w:val="22"/>
          <w:szCs w:val="22"/>
          <w:lang w:val="en-US"/>
        </w:rPr>
        <w:t>,</w:t>
      </w:r>
      <w:r>
        <w:rPr>
          <w:rFonts w:ascii="Cambria" w:hAnsi="Cambria"/>
          <w:sz w:val="22"/>
          <w:szCs w:val="22"/>
          <w:lang w:val="en-US"/>
        </w:rPr>
        <w:t xml:space="preserve"> et al</w:t>
      </w:r>
      <w:r w:rsidR="00E901F4">
        <w:rPr>
          <w:rFonts w:ascii="Cambria" w:hAnsi="Cambria"/>
          <w:sz w:val="22"/>
          <w:szCs w:val="22"/>
          <w:lang w:val="en-US"/>
        </w:rPr>
        <w:t>.</w:t>
      </w:r>
      <w:r>
        <w:rPr>
          <w:rFonts w:ascii="Cambria" w:hAnsi="Cambria"/>
          <w:sz w:val="22"/>
          <w:szCs w:val="22"/>
          <w:lang w:val="en-US"/>
        </w:rPr>
        <w:t xml:space="preserve"> Frequency of mutations in mismatch repair genes in a population-based study of women with ovarian cancer. </w:t>
      </w:r>
      <w:r w:rsidR="00E901F4">
        <w:rPr>
          <w:rFonts w:ascii="Cambria" w:hAnsi="Cambria"/>
          <w:sz w:val="22"/>
          <w:szCs w:val="22"/>
          <w:lang w:val="en-US"/>
        </w:rPr>
        <w:t xml:space="preserve">British Journal of Cancer </w:t>
      </w:r>
      <w:proofErr w:type="gramStart"/>
      <w:r w:rsidR="00E901F4">
        <w:rPr>
          <w:rFonts w:ascii="Cambria" w:hAnsi="Cambria"/>
          <w:sz w:val="22"/>
          <w:szCs w:val="22"/>
          <w:lang w:val="en-US"/>
        </w:rPr>
        <w:t>2012;17:1783</w:t>
      </w:r>
      <w:proofErr w:type="gramEnd"/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>
        <w:rPr>
          <w:rFonts w:ascii="Cambria" w:hAnsi="Cambria"/>
          <w:sz w:val="22"/>
          <w:szCs w:val="22"/>
          <w:lang w:val="en-US"/>
        </w:rPr>
        <w:t>90.</w:t>
      </w:r>
    </w:p>
    <w:p w14:paraId="69D18A56" w14:textId="32798887" w:rsidR="000E0B1D" w:rsidRPr="00FF0574" w:rsidRDefault="006F78D7" w:rsidP="00FF0574">
      <w:pPr>
        <w:spacing w:after="240"/>
        <w:jc w:val="both"/>
        <w:rPr>
          <w:rFonts w:ascii="Cambria" w:hAnsi="Cambria"/>
          <w:sz w:val="22"/>
          <w:szCs w:val="22"/>
        </w:rPr>
      </w:pPr>
      <w:r w:rsidRPr="006F78D7">
        <w:rPr>
          <w:rFonts w:ascii="Cambria" w:hAnsi="Cambria"/>
          <w:sz w:val="22"/>
          <w:szCs w:val="22"/>
        </w:rPr>
        <w:t xml:space="preserve">Pal T, </w:t>
      </w:r>
      <w:proofErr w:type="spellStart"/>
      <w:r w:rsidRPr="006F78D7">
        <w:rPr>
          <w:rFonts w:ascii="Cambria" w:hAnsi="Cambria"/>
          <w:sz w:val="22"/>
          <w:szCs w:val="22"/>
        </w:rPr>
        <w:t>Permuth</w:t>
      </w:r>
      <w:proofErr w:type="spellEnd"/>
      <w:r w:rsidRPr="006F78D7">
        <w:rPr>
          <w:rFonts w:ascii="Cambria" w:hAnsi="Cambria"/>
          <w:sz w:val="22"/>
          <w:szCs w:val="22"/>
        </w:rPr>
        <w:t xml:space="preserve">-Wey J, Kumar A, et al. Systematic review and meta-analysis of ovarian cancers: estimation of microsatellite-high frequency and characterization of mismatch repair deficient </w:t>
      </w:r>
      <w:proofErr w:type="spellStart"/>
      <w:r w:rsidRPr="006F78D7">
        <w:rPr>
          <w:rFonts w:ascii="Cambria" w:hAnsi="Cambria"/>
          <w:sz w:val="22"/>
          <w:szCs w:val="22"/>
        </w:rPr>
        <w:t>tumor</w:t>
      </w:r>
      <w:proofErr w:type="spellEnd"/>
      <w:r w:rsidRPr="006F78D7">
        <w:rPr>
          <w:rFonts w:ascii="Cambria" w:hAnsi="Cambria"/>
          <w:sz w:val="22"/>
          <w:szCs w:val="22"/>
        </w:rPr>
        <w:t xml:space="preserve"> histology. Clin Cancer Res </w:t>
      </w:r>
      <w:r w:rsidR="00E901F4">
        <w:rPr>
          <w:rFonts w:ascii="Cambria" w:hAnsi="Cambria"/>
          <w:sz w:val="22"/>
          <w:szCs w:val="22"/>
        </w:rPr>
        <w:t>2008;14:6847</w:t>
      </w:r>
      <w:r w:rsidR="00E418B9">
        <w:rPr>
          <w:rFonts w:ascii="Cambria" w:hAnsi="Cambria"/>
          <w:sz w:val="22"/>
          <w:szCs w:val="22"/>
        </w:rPr>
        <w:t>-</w:t>
      </w:r>
      <w:r w:rsidRPr="006F78D7">
        <w:rPr>
          <w:rFonts w:ascii="Cambria" w:hAnsi="Cambria"/>
          <w:sz w:val="22"/>
          <w:szCs w:val="22"/>
        </w:rPr>
        <w:t>54</w:t>
      </w:r>
      <w:r w:rsidR="00E901F4">
        <w:rPr>
          <w:rFonts w:ascii="Cambria" w:hAnsi="Cambria"/>
          <w:sz w:val="22"/>
          <w:szCs w:val="22"/>
        </w:rPr>
        <w:t>.</w:t>
      </w:r>
    </w:p>
    <w:p w14:paraId="6E2F6971" w14:textId="2E0CA65D" w:rsidR="00562E68" w:rsidRDefault="00562E68" w:rsidP="00FF0574">
      <w:pPr>
        <w:spacing w:after="24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Planck M, Ericson K, </w:t>
      </w:r>
      <w:proofErr w:type="spellStart"/>
      <w:r>
        <w:rPr>
          <w:rFonts w:ascii="Cambria" w:hAnsi="Cambria"/>
          <w:bCs/>
          <w:sz w:val="22"/>
          <w:szCs w:val="22"/>
        </w:rPr>
        <w:t>Piotrowska</w:t>
      </w:r>
      <w:proofErr w:type="spellEnd"/>
      <w:r>
        <w:rPr>
          <w:rFonts w:ascii="Cambria" w:hAnsi="Cambria"/>
          <w:bCs/>
          <w:sz w:val="22"/>
          <w:szCs w:val="22"/>
        </w:rPr>
        <w:t xml:space="preserve"> Z</w:t>
      </w:r>
      <w:r w:rsidR="00E901F4">
        <w:rPr>
          <w:rFonts w:ascii="Cambria" w:hAnsi="Cambria"/>
          <w:bCs/>
          <w:sz w:val="22"/>
          <w:szCs w:val="22"/>
        </w:rPr>
        <w:t>,</w:t>
      </w:r>
      <w:r>
        <w:rPr>
          <w:rFonts w:ascii="Cambria" w:hAnsi="Cambria"/>
          <w:bCs/>
          <w:sz w:val="22"/>
          <w:szCs w:val="22"/>
        </w:rPr>
        <w:t xml:space="preserve"> et al</w:t>
      </w:r>
      <w:r w:rsidR="00E901F4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Cs/>
          <w:sz w:val="22"/>
          <w:szCs w:val="22"/>
        </w:rPr>
        <w:t xml:space="preserve"> Microsatellite instability and expression of MLH1 and MLH2 in carcinomas of the small intestine. </w:t>
      </w:r>
      <w:hyperlink r:id="rId23" w:tooltip="Cancer." w:history="1">
        <w:r w:rsidRPr="00562E68">
          <w:rPr>
            <w:rStyle w:val="Hyperlink"/>
            <w:rFonts w:ascii="Cambria" w:hAnsi="Cambria"/>
            <w:bCs/>
            <w:sz w:val="22"/>
            <w:szCs w:val="22"/>
          </w:rPr>
          <w:t>Cancer.</w:t>
        </w:r>
      </w:hyperlink>
      <w:r w:rsidRPr="00562E68">
        <w:rPr>
          <w:rFonts w:ascii="Cambria" w:hAnsi="Cambria"/>
          <w:bCs/>
          <w:sz w:val="22"/>
          <w:szCs w:val="22"/>
        </w:rPr>
        <w:t> 2003</w:t>
      </w:r>
      <w:r w:rsidR="00E901F4">
        <w:rPr>
          <w:rFonts w:ascii="Cambria" w:hAnsi="Cambria"/>
          <w:bCs/>
          <w:sz w:val="22"/>
          <w:szCs w:val="22"/>
        </w:rPr>
        <w:t>;97(6):1551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Pr="00562E68">
        <w:rPr>
          <w:rFonts w:ascii="Cambria" w:hAnsi="Cambria"/>
          <w:bCs/>
          <w:sz w:val="22"/>
          <w:szCs w:val="22"/>
        </w:rPr>
        <w:t>7.</w:t>
      </w:r>
    </w:p>
    <w:p w14:paraId="4387A8EA" w14:textId="1150EFBD" w:rsidR="00342A6D" w:rsidRPr="00FF0574" w:rsidRDefault="00342A6D" w:rsidP="00FF0574">
      <w:pPr>
        <w:spacing w:after="24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Powell M</w:t>
      </w:r>
      <w:r w:rsidR="00E901F4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342A6D">
        <w:rPr>
          <w:rFonts w:ascii="Cambria" w:hAnsi="Cambria"/>
          <w:bCs/>
          <w:sz w:val="22"/>
          <w:szCs w:val="22"/>
        </w:rPr>
        <w:t>Immunohistochemistry to determine mismatch repair-deficiency in endometrial cancer: the appropriate standard</w:t>
      </w:r>
      <w:r>
        <w:rPr>
          <w:rFonts w:ascii="Cambria" w:hAnsi="Cambria"/>
          <w:bCs/>
          <w:sz w:val="22"/>
          <w:szCs w:val="22"/>
        </w:rPr>
        <w:t>. Annals of Oncology 2017</w:t>
      </w:r>
      <w:r w:rsidR="00466174">
        <w:rPr>
          <w:rFonts w:ascii="Cambria" w:hAnsi="Cambria"/>
          <w:bCs/>
          <w:sz w:val="22"/>
          <w:szCs w:val="22"/>
        </w:rPr>
        <w:t>;</w:t>
      </w:r>
      <w:r>
        <w:rPr>
          <w:rFonts w:ascii="Cambria" w:hAnsi="Cambria"/>
          <w:bCs/>
          <w:sz w:val="22"/>
          <w:szCs w:val="22"/>
        </w:rPr>
        <w:t>28(1): 9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>
        <w:rPr>
          <w:rFonts w:ascii="Cambria" w:hAnsi="Cambria"/>
          <w:bCs/>
          <w:sz w:val="22"/>
          <w:szCs w:val="22"/>
        </w:rPr>
        <w:t>10.</w:t>
      </w:r>
    </w:p>
    <w:p w14:paraId="3DAAC210" w14:textId="348E8ECB" w:rsidR="00504831" w:rsidRPr="00FF0574" w:rsidRDefault="00504831" w:rsidP="00FF0574">
      <w:pPr>
        <w:spacing w:after="24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Ratti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M, </w:t>
      </w:r>
      <w:proofErr w:type="spellStart"/>
      <w:r>
        <w:rPr>
          <w:rFonts w:ascii="Cambria" w:hAnsi="Cambria"/>
          <w:sz w:val="22"/>
          <w:szCs w:val="22"/>
          <w:lang w:val="en-US"/>
        </w:rPr>
        <w:t>Lampis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A, Hahne J</w:t>
      </w:r>
      <w:r w:rsidR="00E901F4">
        <w:rPr>
          <w:rFonts w:ascii="Cambria" w:hAnsi="Cambria"/>
          <w:sz w:val="22"/>
          <w:szCs w:val="22"/>
          <w:lang w:val="en-US"/>
        </w:rPr>
        <w:t>,</w:t>
      </w:r>
      <w:r>
        <w:rPr>
          <w:rFonts w:ascii="Cambria" w:hAnsi="Cambria"/>
          <w:sz w:val="22"/>
          <w:szCs w:val="22"/>
          <w:lang w:val="en-US"/>
        </w:rPr>
        <w:t xml:space="preserve"> et al</w:t>
      </w:r>
      <w:r w:rsidR="00E901F4">
        <w:rPr>
          <w:rFonts w:ascii="Cambria" w:hAnsi="Cambria"/>
          <w:sz w:val="22"/>
          <w:szCs w:val="22"/>
          <w:lang w:val="en-US"/>
        </w:rPr>
        <w:t>.</w:t>
      </w:r>
      <w:r>
        <w:rPr>
          <w:rFonts w:ascii="Cambria" w:hAnsi="Cambria"/>
          <w:sz w:val="22"/>
          <w:szCs w:val="22"/>
          <w:lang w:val="en-US"/>
        </w:rPr>
        <w:t xml:space="preserve"> Microsatellite instability in gastric cancer: molecular bases, clinical </w:t>
      </w:r>
      <w:proofErr w:type="gramStart"/>
      <w:r>
        <w:rPr>
          <w:rFonts w:ascii="Cambria" w:hAnsi="Cambria"/>
          <w:sz w:val="22"/>
          <w:szCs w:val="22"/>
          <w:lang w:val="en-US"/>
        </w:rPr>
        <w:t>perspectives</w:t>
      </w:r>
      <w:proofErr w:type="gramEnd"/>
      <w:r>
        <w:rPr>
          <w:rFonts w:ascii="Cambria" w:hAnsi="Cambria"/>
          <w:sz w:val="22"/>
          <w:szCs w:val="22"/>
          <w:lang w:val="en-US"/>
        </w:rPr>
        <w:t xml:space="preserve"> and new treatment approaches. </w:t>
      </w:r>
      <w:hyperlink r:id="rId24" w:history="1">
        <w:r w:rsidRPr="00504831">
          <w:rPr>
            <w:rStyle w:val="Hyperlink"/>
            <w:rFonts w:ascii="Cambria" w:hAnsi="Cambria"/>
            <w:sz w:val="22"/>
            <w:szCs w:val="22"/>
          </w:rPr>
          <w:t>Mol Life Sci</w:t>
        </w:r>
      </w:hyperlink>
      <w:r w:rsidR="00E901F4">
        <w:rPr>
          <w:rFonts w:ascii="Cambria" w:hAnsi="Cambria"/>
          <w:sz w:val="22"/>
          <w:szCs w:val="22"/>
        </w:rPr>
        <w:t>. 2018;75(22):4151</w:t>
      </w:r>
      <w:r w:rsidR="00E418B9">
        <w:rPr>
          <w:rFonts w:ascii="Cambria" w:hAnsi="Cambria"/>
          <w:sz w:val="22"/>
          <w:szCs w:val="22"/>
        </w:rPr>
        <w:t>-</w:t>
      </w:r>
      <w:r w:rsidRPr="00504831">
        <w:rPr>
          <w:rFonts w:ascii="Cambria" w:hAnsi="Cambria"/>
          <w:sz w:val="22"/>
          <w:szCs w:val="22"/>
        </w:rPr>
        <w:t>62.</w:t>
      </w:r>
    </w:p>
    <w:p w14:paraId="70E37EC0" w14:textId="4CC7463A" w:rsidR="00F74A42" w:rsidRPr="00F74A42" w:rsidRDefault="00F74A42" w:rsidP="00FF0574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 w:rsidRPr="00F74A42">
        <w:rPr>
          <w:rFonts w:ascii="Cambria" w:hAnsi="Cambria"/>
          <w:sz w:val="22"/>
          <w:szCs w:val="22"/>
          <w:lang w:val="en-US"/>
        </w:rPr>
        <w:t>Shia J. Immunohistochemistry versus microsatellite instability testing for screening colorectal cancer patients at risk for hereditary nonpolyposis colorectal cancer syndrome. Part I: The utility of immunohistochemistry</w:t>
      </w:r>
      <w:r w:rsidR="00E901F4">
        <w:rPr>
          <w:rFonts w:ascii="Cambria" w:hAnsi="Cambria"/>
          <w:sz w:val="22"/>
          <w:szCs w:val="22"/>
          <w:lang w:val="en-US"/>
        </w:rPr>
        <w:t xml:space="preserve">. J Mol </w:t>
      </w:r>
      <w:proofErr w:type="spellStart"/>
      <w:r w:rsidR="00E901F4">
        <w:rPr>
          <w:rFonts w:ascii="Cambria" w:hAnsi="Cambria"/>
          <w:sz w:val="22"/>
          <w:szCs w:val="22"/>
          <w:lang w:val="en-US"/>
        </w:rPr>
        <w:t>Diagn</w:t>
      </w:r>
      <w:proofErr w:type="spellEnd"/>
      <w:r w:rsidR="00E901F4">
        <w:rPr>
          <w:rFonts w:ascii="Cambria" w:hAnsi="Cambria"/>
          <w:sz w:val="22"/>
          <w:szCs w:val="22"/>
          <w:lang w:val="en-US"/>
        </w:rPr>
        <w:t xml:space="preserve">. </w:t>
      </w:r>
      <w:proofErr w:type="gramStart"/>
      <w:r w:rsidR="00E901F4">
        <w:rPr>
          <w:rFonts w:ascii="Cambria" w:hAnsi="Cambria"/>
          <w:sz w:val="22"/>
          <w:szCs w:val="22"/>
          <w:lang w:val="en-US"/>
        </w:rPr>
        <w:t>2008;10:293</w:t>
      </w:r>
      <w:proofErr w:type="gramEnd"/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="00E901F4">
        <w:rPr>
          <w:rFonts w:ascii="Cambria" w:hAnsi="Cambria"/>
          <w:sz w:val="22"/>
          <w:szCs w:val="22"/>
          <w:lang w:val="en-US"/>
        </w:rPr>
        <w:t>300.</w:t>
      </w:r>
    </w:p>
    <w:p w14:paraId="3BE4243F" w14:textId="785EA19B" w:rsidR="00D61AD6" w:rsidRPr="00FF0574" w:rsidRDefault="00D61AD6" w:rsidP="00FF0574">
      <w:pPr>
        <w:spacing w:after="240"/>
        <w:jc w:val="both"/>
        <w:rPr>
          <w:rFonts w:ascii="Cambria" w:hAnsi="Cambria"/>
        </w:rPr>
      </w:pPr>
      <w:r w:rsidRPr="00D61AD6">
        <w:rPr>
          <w:rFonts w:ascii="Cambria" w:hAnsi="Cambria"/>
          <w:color w:val="000000"/>
          <w:shd w:val="clear" w:color="auto" w:fill="FFFFFF"/>
        </w:rPr>
        <w:t>Shia J. Evolving approach and clinical significance of detecting DNA mismatch repair deficiency in colorectal carcinoma. </w:t>
      </w:r>
      <w:r w:rsidRPr="00D61AD6">
        <w:rPr>
          <w:rFonts w:ascii="Cambria" w:hAnsi="Cambria"/>
          <w:color w:val="000000"/>
        </w:rPr>
        <w:t xml:space="preserve">Semin </w:t>
      </w:r>
      <w:proofErr w:type="spellStart"/>
      <w:r w:rsidRPr="00D61AD6">
        <w:rPr>
          <w:rFonts w:ascii="Cambria" w:hAnsi="Cambria"/>
          <w:color w:val="000000"/>
        </w:rPr>
        <w:t>Diagn</w:t>
      </w:r>
      <w:proofErr w:type="spellEnd"/>
      <w:r w:rsidRPr="00D61AD6">
        <w:rPr>
          <w:rFonts w:ascii="Cambria" w:hAnsi="Cambria"/>
          <w:color w:val="000000"/>
        </w:rPr>
        <w:t xml:space="preserve"> </w:t>
      </w:r>
      <w:proofErr w:type="spellStart"/>
      <w:r w:rsidRPr="00D61AD6">
        <w:rPr>
          <w:rFonts w:ascii="Cambria" w:hAnsi="Cambria"/>
          <w:color w:val="000000"/>
        </w:rPr>
        <w:t>Pathol</w:t>
      </w:r>
      <w:proofErr w:type="spellEnd"/>
      <w:r w:rsidRPr="00D61AD6">
        <w:rPr>
          <w:rFonts w:ascii="Cambria" w:hAnsi="Cambria"/>
          <w:color w:val="000000"/>
        </w:rPr>
        <w:t>. 2015;32:352</w:t>
      </w:r>
      <w:r w:rsidR="00E418B9">
        <w:rPr>
          <w:rFonts w:ascii="Cambria" w:hAnsi="Cambria"/>
          <w:color w:val="000000"/>
        </w:rPr>
        <w:t>-</w:t>
      </w:r>
      <w:r w:rsidRPr="00D61AD6">
        <w:rPr>
          <w:rFonts w:ascii="Cambria" w:hAnsi="Cambria"/>
          <w:color w:val="000000"/>
        </w:rPr>
        <w:t>61</w:t>
      </w:r>
      <w:r w:rsidR="00E901F4">
        <w:rPr>
          <w:rFonts w:ascii="Cambria" w:hAnsi="Cambria"/>
          <w:color w:val="000000"/>
        </w:rPr>
        <w:t>.</w:t>
      </w:r>
    </w:p>
    <w:p w14:paraId="3BA18480" w14:textId="2B8A53C3" w:rsidR="00C0446A" w:rsidRDefault="00C0446A" w:rsidP="00FF0574">
      <w:pPr>
        <w:spacing w:after="240"/>
        <w:jc w:val="both"/>
        <w:rPr>
          <w:rFonts w:ascii="Cambria" w:hAnsi="Cambria"/>
          <w:sz w:val="22"/>
          <w:szCs w:val="22"/>
        </w:rPr>
      </w:pPr>
      <w:r w:rsidRPr="00C0446A">
        <w:rPr>
          <w:rFonts w:ascii="Cambria" w:hAnsi="Cambria"/>
          <w:sz w:val="22"/>
          <w:szCs w:val="22"/>
        </w:rPr>
        <w:t xml:space="preserve">Smyth EC, </w:t>
      </w:r>
      <w:proofErr w:type="spellStart"/>
      <w:r w:rsidRPr="00C0446A">
        <w:rPr>
          <w:rFonts w:ascii="Cambria" w:hAnsi="Cambria"/>
          <w:sz w:val="22"/>
          <w:szCs w:val="22"/>
        </w:rPr>
        <w:t>Wotherspoon</w:t>
      </w:r>
      <w:proofErr w:type="spellEnd"/>
      <w:r w:rsidRPr="00C0446A">
        <w:rPr>
          <w:rFonts w:ascii="Cambria" w:hAnsi="Cambria"/>
          <w:sz w:val="22"/>
          <w:szCs w:val="22"/>
        </w:rPr>
        <w:t xml:space="preserve"> A, </w:t>
      </w:r>
      <w:proofErr w:type="spellStart"/>
      <w:r w:rsidRPr="00C0446A">
        <w:rPr>
          <w:rFonts w:ascii="Cambria" w:hAnsi="Cambria"/>
          <w:sz w:val="22"/>
          <w:szCs w:val="22"/>
        </w:rPr>
        <w:t>Peckitt</w:t>
      </w:r>
      <w:proofErr w:type="spellEnd"/>
      <w:r w:rsidRPr="00C0446A">
        <w:rPr>
          <w:rFonts w:ascii="Cambria" w:hAnsi="Cambria"/>
          <w:sz w:val="22"/>
          <w:szCs w:val="22"/>
        </w:rPr>
        <w:t xml:space="preserve"> C, et al. Mismatch repair deficiency, microsatellite instability, and survival: an exploratory analysis of the medical research council adjuvant gastric </w:t>
      </w:r>
      <w:proofErr w:type="spellStart"/>
      <w:r w:rsidRPr="00C0446A">
        <w:rPr>
          <w:rFonts w:ascii="Cambria" w:hAnsi="Cambria"/>
          <w:sz w:val="22"/>
          <w:szCs w:val="22"/>
        </w:rPr>
        <w:t>infusional</w:t>
      </w:r>
      <w:proofErr w:type="spellEnd"/>
      <w:r w:rsidRPr="00C0446A">
        <w:rPr>
          <w:rFonts w:ascii="Cambria" w:hAnsi="Cambria"/>
          <w:sz w:val="22"/>
          <w:szCs w:val="22"/>
        </w:rPr>
        <w:t xml:space="preserve"> c</w:t>
      </w:r>
      <w:r w:rsidR="00E901F4">
        <w:rPr>
          <w:rFonts w:ascii="Cambria" w:hAnsi="Cambria"/>
          <w:sz w:val="22"/>
          <w:szCs w:val="22"/>
        </w:rPr>
        <w:t>hemotherapy (MAGIC) trial. JAMA </w:t>
      </w:r>
      <w:r w:rsidRPr="00C0446A">
        <w:rPr>
          <w:rFonts w:ascii="Cambria" w:hAnsi="Cambria"/>
          <w:sz w:val="22"/>
          <w:szCs w:val="22"/>
        </w:rPr>
        <w:t>Oncol. 2017;3:1197</w:t>
      </w:r>
      <w:r w:rsidR="00E418B9">
        <w:rPr>
          <w:rFonts w:ascii="Cambria" w:hAnsi="Cambria"/>
          <w:sz w:val="22"/>
          <w:szCs w:val="22"/>
        </w:rPr>
        <w:t>-</w:t>
      </w:r>
      <w:r w:rsidRPr="00C0446A">
        <w:rPr>
          <w:rFonts w:ascii="Cambria" w:hAnsi="Cambria"/>
          <w:sz w:val="22"/>
          <w:szCs w:val="22"/>
        </w:rPr>
        <w:t xml:space="preserve">1203. </w:t>
      </w:r>
      <w:proofErr w:type="spellStart"/>
      <w:r w:rsidRPr="00C0446A">
        <w:rPr>
          <w:rFonts w:ascii="Cambria" w:hAnsi="Cambria"/>
          <w:sz w:val="22"/>
          <w:szCs w:val="22"/>
        </w:rPr>
        <w:t>doi</w:t>
      </w:r>
      <w:proofErr w:type="spellEnd"/>
      <w:r w:rsidRPr="00C0446A">
        <w:rPr>
          <w:rFonts w:ascii="Cambria" w:hAnsi="Cambria"/>
          <w:sz w:val="22"/>
          <w:szCs w:val="22"/>
        </w:rPr>
        <w:t>: 10.1001/jamaoncol.2016.6762.</w:t>
      </w:r>
    </w:p>
    <w:p w14:paraId="4589CB6E" w14:textId="38F43D6D" w:rsidR="00CD5BDA" w:rsidRDefault="00CD5BDA" w:rsidP="00FF0574">
      <w:pPr>
        <w:spacing w:after="24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Stelloo</w:t>
      </w:r>
      <w:proofErr w:type="spellEnd"/>
      <w:r>
        <w:rPr>
          <w:rFonts w:ascii="Cambria" w:hAnsi="Cambria"/>
          <w:sz w:val="22"/>
          <w:szCs w:val="22"/>
        </w:rPr>
        <w:t xml:space="preserve"> E, Jansen A, Osse E</w:t>
      </w:r>
      <w:r w:rsidR="00E901F4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et al</w:t>
      </w:r>
      <w:r w:rsidR="00E901F4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Practical guidance for mismatch repair deficiency testing in endometrial cancer. Ann Oncol</w:t>
      </w:r>
      <w:r w:rsidR="00E901F4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Pr="00CD5BDA">
        <w:rPr>
          <w:rFonts w:ascii="Cambria" w:hAnsi="Cambria"/>
          <w:sz w:val="22"/>
          <w:szCs w:val="22"/>
        </w:rPr>
        <w:t xml:space="preserve">2017;28(1):96-102. </w:t>
      </w:r>
      <w:proofErr w:type="spellStart"/>
      <w:r w:rsidRPr="00CD5BDA">
        <w:rPr>
          <w:rFonts w:ascii="Cambria" w:hAnsi="Cambria"/>
          <w:sz w:val="22"/>
          <w:szCs w:val="22"/>
        </w:rPr>
        <w:t>doi</w:t>
      </w:r>
      <w:proofErr w:type="spellEnd"/>
      <w:r w:rsidRPr="00CD5BDA">
        <w:rPr>
          <w:rFonts w:ascii="Cambria" w:hAnsi="Cambria"/>
          <w:sz w:val="22"/>
          <w:szCs w:val="22"/>
        </w:rPr>
        <w:t>: 10.1093/</w:t>
      </w:r>
      <w:proofErr w:type="spellStart"/>
      <w:r w:rsidRPr="00CD5BDA">
        <w:rPr>
          <w:rFonts w:ascii="Cambria" w:hAnsi="Cambria"/>
          <w:sz w:val="22"/>
          <w:szCs w:val="22"/>
        </w:rPr>
        <w:t>annonc</w:t>
      </w:r>
      <w:proofErr w:type="spellEnd"/>
      <w:r w:rsidRPr="00CD5BDA">
        <w:rPr>
          <w:rFonts w:ascii="Cambria" w:hAnsi="Cambria"/>
          <w:sz w:val="22"/>
          <w:szCs w:val="22"/>
        </w:rPr>
        <w:t>/mdw542</w:t>
      </w:r>
      <w:r w:rsidR="00E901F4">
        <w:rPr>
          <w:rFonts w:ascii="Cambria" w:hAnsi="Cambria"/>
          <w:sz w:val="22"/>
          <w:szCs w:val="22"/>
        </w:rPr>
        <w:t>.</w:t>
      </w:r>
    </w:p>
    <w:p w14:paraId="642B569B" w14:textId="253A3D85" w:rsidR="00F74A42" w:rsidRPr="00FF0574" w:rsidRDefault="00D61AD6" w:rsidP="00FF0574">
      <w:pPr>
        <w:spacing w:after="240"/>
        <w:jc w:val="both"/>
        <w:rPr>
          <w:rFonts w:ascii="Cambria" w:hAnsi="Cambria"/>
          <w:sz w:val="22"/>
          <w:szCs w:val="22"/>
        </w:rPr>
      </w:pPr>
      <w:proofErr w:type="spellStart"/>
      <w:r w:rsidRPr="00D61AD6">
        <w:rPr>
          <w:rFonts w:ascii="Cambria" w:hAnsi="Cambria"/>
          <w:sz w:val="22"/>
          <w:szCs w:val="22"/>
        </w:rPr>
        <w:t>Vanderwalde</w:t>
      </w:r>
      <w:proofErr w:type="spellEnd"/>
      <w:r w:rsidRPr="00D61AD6">
        <w:rPr>
          <w:rFonts w:ascii="Cambria" w:hAnsi="Cambria"/>
          <w:sz w:val="22"/>
          <w:szCs w:val="22"/>
        </w:rPr>
        <w:t xml:space="preserve"> A, Spetzler D, Xiao N, et al. Microsatellite instability status determined by next-generation sequencing and compared with PD-L1 and </w:t>
      </w:r>
      <w:proofErr w:type="spellStart"/>
      <w:r w:rsidRPr="00D61AD6">
        <w:rPr>
          <w:rFonts w:ascii="Cambria" w:hAnsi="Cambria"/>
          <w:sz w:val="22"/>
          <w:szCs w:val="22"/>
        </w:rPr>
        <w:t>tumor</w:t>
      </w:r>
      <w:proofErr w:type="spellEnd"/>
      <w:r w:rsidRPr="00D61AD6">
        <w:rPr>
          <w:rFonts w:ascii="Cambria" w:hAnsi="Cambria"/>
          <w:sz w:val="22"/>
          <w:szCs w:val="22"/>
        </w:rPr>
        <w:t xml:space="preserve"> mutational burden in 11,348 patients. </w:t>
      </w:r>
      <w:r w:rsidRPr="00E901F4">
        <w:rPr>
          <w:rFonts w:ascii="Cambria" w:hAnsi="Cambria"/>
          <w:iCs/>
          <w:sz w:val="22"/>
          <w:szCs w:val="22"/>
        </w:rPr>
        <w:t>Cancer Med</w:t>
      </w:r>
      <w:r w:rsidRPr="00E901F4">
        <w:rPr>
          <w:rFonts w:ascii="Cambria" w:hAnsi="Cambria"/>
          <w:sz w:val="22"/>
          <w:szCs w:val="22"/>
        </w:rPr>
        <w:t>.</w:t>
      </w:r>
      <w:r w:rsidRPr="00D61AD6">
        <w:rPr>
          <w:rFonts w:ascii="Cambria" w:hAnsi="Cambria"/>
          <w:sz w:val="22"/>
          <w:szCs w:val="22"/>
        </w:rPr>
        <w:t xml:space="preserve"> 2018. doi:10.1002/cam4.1372.</w:t>
      </w:r>
    </w:p>
    <w:p w14:paraId="45767F01" w14:textId="4EEF83CE" w:rsidR="00F74A42" w:rsidRPr="00F74A42" w:rsidRDefault="00F74A42" w:rsidP="00FF0574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 w:rsidRPr="00F74A42">
        <w:rPr>
          <w:rFonts w:ascii="Cambria" w:hAnsi="Cambria"/>
          <w:sz w:val="22"/>
          <w:szCs w:val="22"/>
          <w:lang w:val="en-US"/>
        </w:rPr>
        <w:t xml:space="preserve">Wahlberg S, </w:t>
      </w:r>
      <w:proofErr w:type="spellStart"/>
      <w:r w:rsidRPr="00F74A42">
        <w:rPr>
          <w:rFonts w:ascii="Cambria" w:hAnsi="Cambria"/>
          <w:sz w:val="22"/>
          <w:szCs w:val="22"/>
          <w:lang w:val="en-US"/>
        </w:rPr>
        <w:t>Schmeits</w:t>
      </w:r>
      <w:proofErr w:type="spellEnd"/>
      <w:r w:rsidRPr="00F74A42">
        <w:rPr>
          <w:rFonts w:ascii="Cambria" w:hAnsi="Cambria"/>
          <w:sz w:val="22"/>
          <w:szCs w:val="22"/>
          <w:lang w:val="en-US"/>
        </w:rPr>
        <w:t xml:space="preserve"> J, Thomas G, </w:t>
      </w:r>
      <w:r>
        <w:rPr>
          <w:rFonts w:ascii="Cambria" w:hAnsi="Cambria"/>
          <w:sz w:val="22"/>
          <w:szCs w:val="22"/>
          <w:lang w:val="en-US"/>
        </w:rPr>
        <w:t>et al</w:t>
      </w:r>
      <w:r w:rsidR="00E901F4">
        <w:rPr>
          <w:rFonts w:ascii="Cambria" w:hAnsi="Cambria"/>
          <w:sz w:val="22"/>
          <w:szCs w:val="22"/>
          <w:lang w:val="en-US"/>
        </w:rPr>
        <w:t>.</w:t>
      </w:r>
      <w:r w:rsidRPr="00F74A42">
        <w:rPr>
          <w:rFonts w:ascii="Cambria" w:hAnsi="Cambria"/>
          <w:sz w:val="22"/>
          <w:szCs w:val="22"/>
          <w:lang w:val="en-US"/>
        </w:rPr>
        <w:t xml:space="preserve"> Evaluation of microsatellite instability and immunohistochemistry for the prediction of </w:t>
      </w:r>
      <w:proofErr w:type="gramStart"/>
      <w:r w:rsidRPr="00F74A42">
        <w:rPr>
          <w:rFonts w:ascii="Cambria" w:hAnsi="Cambria"/>
          <w:sz w:val="22"/>
          <w:szCs w:val="22"/>
          <w:lang w:val="en-US"/>
        </w:rPr>
        <w:t>germ-line</w:t>
      </w:r>
      <w:proofErr w:type="gramEnd"/>
      <w:r w:rsidRPr="00F74A42">
        <w:rPr>
          <w:rFonts w:ascii="Cambria" w:hAnsi="Cambria"/>
          <w:sz w:val="22"/>
          <w:szCs w:val="22"/>
          <w:lang w:val="en-US"/>
        </w:rPr>
        <w:t xml:space="preserve"> MSH2 and MLH1 mutations in hereditary nonpolyposis colon cancer families. Cancer Res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="00E901F4">
        <w:rPr>
          <w:rFonts w:ascii="Cambria" w:hAnsi="Cambria"/>
          <w:sz w:val="22"/>
          <w:szCs w:val="22"/>
          <w:lang w:val="en-US"/>
        </w:rPr>
        <w:t>.</w:t>
      </w:r>
      <w:r>
        <w:rPr>
          <w:rFonts w:ascii="Cambria" w:hAnsi="Cambria"/>
          <w:sz w:val="22"/>
          <w:szCs w:val="22"/>
          <w:lang w:val="en-US"/>
        </w:rPr>
        <w:t>2002</w:t>
      </w:r>
      <w:r w:rsidR="00E901F4">
        <w:rPr>
          <w:rFonts w:ascii="Cambria" w:hAnsi="Cambria"/>
          <w:sz w:val="22"/>
          <w:szCs w:val="22"/>
          <w:lang w:val="en-US"/>
        </w:rPr>
        <w:t>;62:3485</w:t>
      </w:r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="00E901F4">
        <w:rPr>
          <w:rFonts w:ascii="Cambria" w:hAnsi="Cambria"/>
          <w:sz w:val="22"/>
          <w:szCs w:val="22"/>
          <w:lang w:val="en-US"/>
        </w:rPr>
        <w:t>92.</w:t>
      </w:r>
    </w:p>
    <w:p w14:paraId="16F82C9D" w14:textId="1370EF2B" w:rsidR="00645CFD" w:rsidRDefault="00F74A42" w:rsidP="00FF0574">
      <w:pPr>
        <w:spacing w:after="240"/>
        <w:jc w:val="both"/>
        <w:rPr>
          <w:rFonts w:ascii="Cambria" w:hAnsi="Cambria"/>
          <w:sz w:val="22"/>
          <w:szCs w:val="22"/>
          <w:lang w:val="en-US"/>
        </w:rPr>
      </w:pPr>
      <w:r w:rsidRPr="00F74A42">
        <w:rPr>
          <w:rFonts w:ascii="Cambria" w:hAnsi="Cambria"/>
          <w:sz w:val="22"/>
          <w:szCs w:val="22"/>
          <w:lang w:val="en-US"/>
        </w:rPr>
        <w:t xml:space="preserve">Walsh M, Buchanan D, Pearson S, </w:t>
      </w:r>
      <w:r>
        <w:rPr>
          <w:rFonts w:ascii="Cambria" w:hAnsi="Cambria"/>
          <w:sz w:val="22"/>
          <w:szCs w:val="22"/>
          <w:lang w:val="en-US"/>
        </w:rPr>
        <w:t>et al</w:t>
      </w:r>
      <w:r w:rsidR="00E901F4">
        <w:rPr>
          <w:rFonts w:ascii="Cambria" w:hAnsi="Cambria"/>
          <w:sz w:val="22"/>
          <w:szCs w:val="22"/>
          <w:lang w:val="en-US"/>
        </w:rPr>
        <w:t>.</w:t>
      </w:r>
      <w:r w:rsidRPr="00F74A42">
        <w:rPr>
          <w:rFonts w:ascii="Cambria" w:hAnsi="Cambria"/>
          <w:sz w:val="22"/>
          <w:szCs w:val="22"/>
          <w:lang w:val="en-US"/>
        </w:rPr>
        <w:t xml:space="preserve"> Immunohistochemical testing of conventional adenomas for loss of expression of mismatch repair proteins in Lynch syndrome mutation carriers: a case series from the Australasian site of the colon cancer family regist</w:t>
      </w:r>
      <w:r w:rsidR="00E901F4">
        <w:rPr>
          <w:rFonts w:ascii="Cambria" w:hAnsi="Cambria"/>
          <w:sz w:val="22"/>
          <w:szCs w:val="22"/>
          <w:lang w:val="en-US"/>
        </w:rPr>
        <w:t xml:space="preserve">ry. Mod </w:t>
      </w:r>
      <w:proofErr w:type="spellStart"/>
      <w:r w:rsidR="00E901F4">
        <w:rPr>
          <w:rFonts w:ascii="Cambria" w:hAnsi="Cambria"/>
          <w:sz w:val="22"/>
          <w:szCs w:val="22"/>
          <w:lang w:val="en-US"/>
        </w:rPr>
        <w:t>Pathol</w:t>
      </w:r>
      <w:proofErr w:type="spellEnd"/>
      <w:r w:rsidR="00E901F4">
        <w:rPr>
          <w:rFonts w:ascii="Cambria" w:hAnsi="Cambria"/>
          <w:sz w:val="22"/>
          <w:szCs w:val="22"/>
          <w:lang w:val="en-US"/>
        </w:rPr>
        <w:t xml:space="preserve">. </w:t>
      </w:r>
      <w:proofErr w:type="gramStart"/>
      <w:r w:rsidR="00E901F4">
        <w:rPr>
          <w:rFonts w:ascii="Cambria" w:hAnsi="Cambria"/>
          <w:sz w:val="22"/>
          <w:szCs w:val="22"/>
          <w:lang w:val="en-US"/>
        </w:rPr>
        <w:t>2012;25:722</w:t>
      </w:r>
      <w:proofErr w:type="gramEnd"/>
      <w:r w:rsidR="00E418B9">
        <w:rPr>
          <w:rFonts w:ascii="Cambria" w:hAnsi="Cambria"/>
          <w:color w:val="000000" w:themeColor="text1"/>
          <w:sz w:val="22"/>
          <w:szCs w:val="22"/>
        </w:rPr>
        <w:t>-</w:t>
      </w:r>
      <w:r w:rsidR="00E901F4">
        <w:rPr>
          <w:rFonts w:ascii="Cambria" w:hAnsi="Cambria"/>
          <w:sz w:val="22"/>
          <w:szCs w:val="22"/>
          <w:lang w:val="en-US"/>
        </w:rPr>
        <w:t>30.</w:t>
      </w:r>
    </w:p>
    <w:p w14:paraId="6E9501BD" w14:textId="6E75A46D" w:rsidR="00645CFD" w:rsidRPr="00FF0574" w:rsidRDefault="00645CFD" w:rsidP="00FF0574">
      <w:pPr>
        <w:spacing w:after="240"/>
        <w:jc w:val="both"/>
        <w:rPr>
          <w:rFonts w:ascii="Cambria" w:hAnsi="Cambria"/>
          <w:sz w:val="22"/>
          <w:szCs w:val="22"/>
        </w:rPr>
      </w:pPr>
      <w:r w:rsidRPr="00645CFD">
        <w:rPr>
          <w:rFonts w:ascii="Cambria" w:hAnsi="Cambria"/>
          <w:sz w:val="22"/>
          <w:szCs w:val="22"/>
        </w:rPr>
        <w:t>Wu Y, Berends M, Mensink R, et al.</w:t>
      </w:r>
      <w:r>
        <w:rPr>
          <w:rFonts w:ascii="Cambria" w:hAnsi="Cambria"/>
          <w:sz w:val="22"/>
          <w:szCs w:val="22"/>
        </w:rPr>
        <w:t xml:space="preserve"> </w:t>
      </w:r>
      <w:r w:rsidRPr="00645CFD">
        <w:rPr>
          <w:rFonts w:ascii="Cambria" w:hAnsi="Cambria"/>
          <w:sz w:val="22"/>
          <w:szCs w:val="22"/>
        </w:rPr>
        <w:t xml:space="preserve">Association of hereditary nonpolyposis colorectal cancer‐related </w:t>
      </w:r>
      <w:proofErr w:type="spellStart"/>
      <w:r w:rsidRPr="00645CFD">
        <w:rPr>
          <w:rFonts w:ascii="Cambria" w:hAnsi="Cambria"/>
          <w:sz w:val="22"/>
          <w:szCs w:val="22"/>
        </w:rPr>
        <w:t>tumors</w:t>
      </w:r>
      <w:proofErr w:type="spellEnd"/>
      <w:r w:rsidRPr="00645CFD">
        <w:rPr>
          <w:rFonts w:ascii="Cambria" w:hAnsi="Cambria"/>
          <w:sz w:val="22"/>
          <w:szCs w:val="22"/>
        </w:rPr>
        <w:t xml:space="preserve"> displaying low microsatellite instability with MSH6 germline mutations. </w:t>
      </w:r>
      <w:r w:rsidRPr="00E901F4">
        <w:rPr>
          <w:rFonts w:ascii="Cambria" w:hAnsi="Cambria"/>
          <w:iCs/>
          <w:sz w:val="22"/>
          <w:szCs w:val="22"/>
        </w:rPr>
        <w:t>Am J Hum Genet.</w:t>
      </w:r>
      <w:r w:rsidRPr="00645CFD">
        <w:rPr>
          <w:rFonts w:ascii="Cambria" w:hAnsi="Cambria"/>
          <w:sz w:val="22"/>
          <w:szCs w:val="22"/>
        </w:rPr>
        <w:t> 1999;</w:t>
      </w:r>
      <w:r w:rsidRPr="00A54D29">
        <w:rPr>
          <w:rFonts w:ascii="Cambria" w:hAnsi="Cambria"/>
          <w:bCs/>
          <w:sz w:val="22"/>
          <w:szCs w:val="22"/>
        </w:rPr>
        <w:t>65</w:t>
      </w:r>
      <w:r w:rsidR="00A54D29">
        <w:rPr>
          <w:rFonts w:ascii="Cambria" w:hAnsi="Cambria"/>
          <w:sz w:val="22"/>
          <w:szCs w:val="22"/>
        </w:rPr>
        <w:t>:</w:t>
      </w:r>
      <w:r w:rsidR="00E418B9">
        <w:rPr>
          <w:rFonts w:ascii="Cambria" w:hAnsi="Cambria"/>
          <w:sz w:val="22"/>
          <w:szCs w:val="22"/>
        </w:rPr>
        <w:t>1291-</w:t>
      </w:r>
      <w:r w:rsidRPr="00645CFD">
        <w:rPr>
          <w:rFonts w:ascii="Cambria" w:hAnsi="Cambria"/>
          <w:sz w:val="22"/>
          <w:szCs w:val="22"/>
        </w:rPr>
        <w:t>8.</w:t>
      </w:r>
    </w:p>
    <w:p w14:paraId="25635F00" w14:textId="6F2DD36E" w:rsidR="00F74A42" w:rsidRPr="00FF0574" w:rsidRDefault="00041E0A" w:rsidP="00FF0574">
      <w:pPr>
        <w:spacing w:after="24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Y</w:t>
      </w:r>
      <w:r w:rsidR="00B05AD3">
        <w:rPr>
          <w:rFonts w:ascii="Cambria" w:hAnsi="Cambria"/>
          <w:sz w:val="22"/>
          <w:szCs w:val="22"/>
          <w:lang w:val="en-US"/>
        </w:rPr>
        <w:t>o</w:t>
      </w:r>
      <w:r>
        <w:rPr>
          <w:rFonts w:ascii="Cambria" w:hAnsi="Cambria"/>
          <w:sz w:val="22"/>
          <w:szCs w:val="22"/>
          <w:lang w:val="en-US"/>
        </w:rPr>
        <w:t>zu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M, </w:t>
      </w:r>
      <w:proofErr w:type="spellStart"/>
      <w:r>
        <w:rPr>
          <w:rFonts w:ascii="Cambria" w:hAnsi="Cambria"/>
          <w:sz w:val="22"/>
          <w:szCs w:val="22"/>
          <w:lang w:val="en-US"/>
        </w:rPr>
        <w:t>Kumarasinghe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M, Brown I</w:t>
      </w:r>
      <w:r w:rsidR="00E418B9">
        <w:rPr>
          <w:rFonts w:ascii="Cambria" w:hAnsi="Cambria"/>
          <w:sz w:val="22"/>
          <w:szCs w:val="22"/>
          <w:lang w:val="en-US"/>
        </w:rPr>
        <w:t>,</w:t>
      </w:r>
      <w:r>
        <w:rPr>
          <w:rFonts w:ascii="Cambria" w:hAnsi="Cambria"/>
          <w:sz w:val="22"/>
          <w:szCs w:val="22"/>
          <w:lang w:val="en-US"/>
        </w:rPr>
        <w:t xml:space="preserve"> et al</w:t>
      </w:r>
      <w:r w:rsidR="00E418B9">
        <w:rPr>
          <w:rFonts w:ascii="Cambria" w:hAnsi="Cambria"/>
          <w:sz w:val="22"/>
          <w:szCs w:val="22"/>
          <w:lang w:val="en-US"/>
        </w:rPr>
        <w:t>.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Pr="00041E0A">
        <w:rPr>
          <w:rFonts w:ascii="Cambria" w:hAnsi="Cambria"/>
          <w:sz w:val="22"/>
          <w:szCs w:val="22"/>
        </w:rPr>
        <w:t>Australasian Gastrointestinal Pathology Society (AGPS) consensus guidelines for universal defective mismatch repair testing in colorectal carcinoma</w:t>
      </w:r>
      <w:r>
        <w:rPr>
          <w:rFonts w:ascii="Cambria" w:hAnsi="Cambria"/>
          <w:sz w:val="22"/>
          <w:szCs w:val="22"/>
        </w:rPr>
        <w:t xml:space="preserve"> Pathology 2019</w:t>
      </w:r>
      <w:r w:rsidR="00A54D29">
        <w:rPr>
          <w:rFonts w:ascii="Cambria" w:hAnsi="Cambria"/>
          <w:sz w:val="22"/>
          <w:szCs w:val="22"/>
        </w:rPr>
        <w:t>;</w:t>
      </w:r>
      <w:r>
        <w:rPr>
          <w:rFonts w:ascii="Cambria" w:hAnsi="Cambria"/>
          <w:sz w:val="22"/>
          <w:szCs w:val="22"/>
        </w:rPr>
        <w:t>51(3):233-9.</w:t>
      </w:r>
    </w:p>
    <w:p w14:paraId="0AC461A3" w14:textId="663963E6" w:rsidR="00F74A42" w:rsidRPr="00031B80" w:rsidRDefault="00F74A42" w:rsidP="007C56FC">
      <w:pPr>
        <w:jc w:val="both"/>
        <w:rPr>
          <w:rFonts w:ascii="Cambria" w:hAnsi="Cambria"/>
          <w:sz w:val="22"/>
          <w:szCs w:val="22"/>
          <w:lang w:val="en-US"/>
        </w:rPr>
      </w:pPr>
      <w:r w:rsidRPr="00F74A42">
        <w:rPr>
          <w:rFonts w:ascii="Cambria" w:hAnsi="Cambria"/>
          <w:sz w:val="22"/>
          <w:szCs w:val="22"/>
          <w:lang w:val="en-US"/>
        </w:rPr>
        <w:t xml:space="preserve">Zhang L. Immunohistochemistry versus microsatellite instability testing for screening colorectal cancer patients at risk for hereditary nonpolyposis colorectal cancer syndrome. Part II: The utility of microsatellite instability testing. J Mol </w:t>
      </w:r>
      <w:proofErr w:type="spellStart"/>
      <w:r w:rsidRPr="00F74A42">
        <w:rPr>
          <w:rFonts w:ascii="Cambria" w:hAnsi="Cambria"/>
          <w:sz w:val="22"/>
          <w:szCs w:val="22"/>
          <w:lang w:val="en-US"/>
        </w:rPr>
        <w:t>Diagn</w:t>
      </w:r>
      <w:proofErr w:type="spellEnd"/>
      <w:r w:rsidRPr="00F74A42">
        <w:rPr>
          <w:rFonts w:ascii="Cambria" w:hAnsi="Cambria"/>
          <w:sz w:val="22"/>
          <w:szCs w:val="22"/>
          <w:lang w:val="en-US"/>
        </w:rPr>
        <w:t xml:space="preserve">. </w:t>
      </w:r>
      <w:proofErr w:type="gramStart"/>
      <w:r w:rsidRPr="00F74A42">
        <w:rPr>
          <w:rFonts w:ascii="Cambria" w:hAnsi="Cambria"/>
          <w:sz w:val="22"/>
          <w:szCs w:val="22"/>
          <w:lang w:val="en-US"/>
        </w:rPr>
        <w:t>2008;10:301</w:t>
      </w:r>
      <w:proofErr w:type="gramEnd"/>
      <w:r w:rsidRPr="00F74A42">
        <w:rPr>
          <w:rFonts w:ascii="Cambria" w:hAnsi="Cambria"/>
          <w:sz w:val="22"/>
          <w:szCs w:val="22"/>
          <w:lang w:val="en-US"/>
        </w:rPr>
        <w:t>-7</w:t>
      </w:r>
      <w:r w:rsidR="00E418B9">
        <w:rPr>
          <w:rFonts w:ascii="Cambria" w:hAnsi="Cambria"/>
          <w:sz w:val="22"/>
          <w:szCs w:val="22"/>
          <w:lang w:val="en-US"/>
        </w:rPr>
        <w:t>.</w:t>
      </w:r>
    </w:p>
    <w:sectPr w:rsidR="00F74A42" w:rsidRPr="00031B80" w:rsidSect="008A719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67C" w14:textId="77777777" w:rsidR="00626C68" w:rsidRDefault="00626C68" w:rsidP="006F37DA">
      <w:r>
        <w:separator/>
      </w:r>
    </w:p>
  </w:endnote>
  <w:endnote w:type="continuationSeparator" w:id="0">
    <w:p w14:paraId="576AE8A3" w14:textId="77777777" w:rsidR="00626C68" w:rsidRDefault="00626C68" w:rsidP="006F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hinoor Devanagari Semibold">
    <w:altName w:val="Times New Roman"/>
    <w:charset w:val="4D"/>
    <w:family w:val="auto"/>
    <w:pitch w:val="variable"/>
    <w:sig w:usb0="00008007" w:usb1="00000000" w:usb2="00000000" w:usb3="00000000" w:csb0="00000093" w:csb1="00000000"/>
  </w:font>
  <w:font w:name="Kohinoor Devanagari Medium">
    <w:altName w:val="Times New Roman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2878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841DD2" w14:textId="2B13ABCF" w:rsidR="00626C68" w:rsidRDefault="00626C68" w:rsidP="00CF26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F93571" w14:textId="77777777" w:rsidR="00626C68" w:rsidRDefault="00626C68" w:rsidP="00D623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3636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D37212" w14:textId="466EC6A9" w:rsidR="00626C68" w:rsidRDefault="00626C68" w:rsidP="00CF26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038E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152905" w14:textId="77777777" w:rsidR="00626C68" w:rsidRDefault="00626C68" w:rsidP="00D623D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C17A" w14:textId="77777777" w:rsidR="000038E1" w:rsidRDefault="00003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EA52" w14:textId="77777777" w:rsidR="00626C68" w:rsidRDefault="00626C68" w:rsidP="006F37DA">
      <w:r>
        <w:separator/>
      </w:r>
    </w:p>
  </w:footnote>
  <w:footnote w:type="continuationSeparator" w:id="0">
    <w:p w14:paraId="57665AF5" w14:textId="77777777" w:rsidR="00626C68" w:rsidRDefault="00626C68" w:rsidP="006F37DA">
      <w:r>
        <w:continuationSeparator/>
      </w:r>
    </w:p>
  </w:footnote>
  <w:footnote w:id="1">
    <w:p w14:paraId="75DE3227" w14:textId="7FEDD310" w:rsidR="00626C68" w:rsidRPr="00CF2687" w:rsidRDefault="00626C6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tooltip="Link to Dept of Health and Human Services FDA letter to BMS" w:history="1">
        <w:r w:rsidRPr="00B81E56">
          <w:rPr>
            <w:rStyle w:val="Hyperlink"/>
          </w:rPr>
          <w:t>https://www.accessdata.fda.gov/drugsatfda_docs/appletter/2017/125554Orig1s034ltr.pdf</w:t>
        </w:r>
      </w:hyperlink>
      <w:r>
        <w:t xml:space="preserve"> accessed 20 June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92A4" w14:textId="77777777" w:rsidR="000038E1" w:rsidRDefault="00003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EF26" w14:textId="77777777" w:rsidR="000038E1" w:rsidRDefault="00003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209E" w14:textId="77777777" w:rsidR="000038E1" w:rsidRDefault="00003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B3E"/>
    <w:multiLevelType w:val="hybridMultilevel"/>
    <w:tmpl w:val="A356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F09"/>
    <w:multiLevelType w:val="hybridMultilevel"/>
    <w:tmpl w:val="3B9EA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355"/>
    <w:multiLevelType w:val="hybridMultilevel"/>
    <w:tmpl w:val="1102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4048"/>
    <w:multiLevelType w:val="hybridMultilevel"/>
    <w:tmpl w:val="A98499F6"/>
    <w:lvl w:ilvl="0" w:tplc="644881B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7613"/>
    <w:multiLevelType w:val="hybridMultilevel"/>
    <w:tmpl w:val="301E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881B6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6546"/>
    <w:multiLevelType w:val="multilevel"/>
    <w:tmpl w:val="FC4C8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31FAB"/>
    <w:multiLevelType w:val="multilevel"/>
    <w:tmpl w:val="520E5648"/>
    <w:numStyleLink w:val="Style1"/>
  </w:abstractNum>
  <w:abstractNum w:abstractNumId="7" w15:restartNumberingAfterBreak="0">
    <w:nsid w:val="246856E8"/>
    <w:multiLevelType w:val="hybridMultilevel"/>
    <w:tmpl w:val="89D65B96"/>
    <w:lvl w:ilvl="0" w:tplc="644881B6">
      <w:start w:val="2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 w15:restartNumberingAfterBreak="0">
    <w:nsid w:val="24ED5C17"/>
    <w:multiLevelType w:val="hybridMultilevel"/>
    <w:tmpl w:val="4570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A2134"/>
    <w:multiLevelType w:val="hybridMultilevel"/>
    <w:tmpl w:val="14E85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881B6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6F13"/>
    <w:multiLevelType w:val="hybridMultilevel"/>
    <w:tmpl w:val="D782529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B6A1D"/>
    <w:multiLevelType w:val="hybridMultilevel"/>
    <w:tmpl w:val="2C40FD6A"/>
    <w:lvl w:ilvl="0" w:tplc="644881B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644881B6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644881B6">
      <w:start w:val="2"/>
      <w:numFmt w:val="bullet"/>
      <w:lvlText w:val="-"/>
      <w:lvlJc w:val="left"/>
      <w:pPr>
        <w:ind w:left="2340" w:hanging="360"/>
      </w:pPr>
      <w:rPr>
        <w:rFonts w:ascii="Cambria" w:eastAsiaTheme="minorHAnsi" w:hAnsi="Cambria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6227"/>
    <w:multiLevelType w:val="hybridMultilevel"/>
    <w:tmpl w:val="8DC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881B6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172AC"/>
    <w:multiLevelType w:val="hybridMultilevel"/>
    <w:tmpl w:val="4258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62256"/>
    <w:multiLevelType w:val="hybridMultilevel"/>
    <w:tmpl w:val="0784965A"/>
    <w:lvl w:ilvl="0" w:tplc="644881B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C7B72"/>
    <w:multiLevelType w:val="hybridMultilevel"/>
    <w:tmpl w:val="026A1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7F20"/>
    <w:multiLevelType w:val="hybridMultilevel"/>
    <w:tmpl w:val="8BDAAE3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1B56045"/>
    <w:multiLevelType w:val="hybridMultilevel"/>
    <w:tmpl w:val="FAB233C4"/>
    <w:lvl w:ilvl="0" w:tplc="644881B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73A71"/>
    <w:multiLevelType w:val="hybridMultilevel"/>
    <w:tmpl w:val="848ECC58"/>
    <w:lvl w:ilvl="0" w:tplc="644881B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4312A"/>
    <w:multiLevelType w:val="hybridMultilevel"/>
    <w:tmpl w:val="A402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21695"/>
    <w:multiLevelType w:val="hybridMultilevel"/>
    <w:tmpl w:val="2240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D4F73"/>
    <w:multiLevelType w:val="multilevel"/>
    <w:tmpl w:val="520E5648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BC0DFA"/>
    <w:multiLevelType w:val="hybridMultilevel"/>
    <w:tmpl w:val="D3DE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44881B6">
      <w:start w:val="2"/>
      <w:numFmt w:val="bullet"/>
      <w:lvlText w:val="-"/>
      <w:lvlJc w:val="left"/>
      <w:pPr>
        <w:ind w:left="2340" w:hanging="360"/>
      </w:pPr>
      <w:rPr>
        <w:rFonts w:ascii="Cambria" w:eastAsiaTheme="minorHAnsi" w:hAnsi="Cambria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C0322"/>
    <w:multiLevelType w:val="hybridMultilevel"/>
    <w:tmpl w:val="D26632B6"/>
    <w:lvl w:ilvl="0" w:tplc="644881B6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587A14"/>
    <w:multiLevelType w:val="hybridMultilevel"/>
    <w:tmpl w:val="5E5EDAA4"/>
    <w:lvl w:ilvl="0" w:tplc="644881B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C6104"/>
    <w:multiLevelType w:val="hybridMultilevel"/>
    <w:tmpl w:val="510A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037D6"/>
    <w:multiLevelType w:val="hybridMultilevel"/>
    <w:tmpl w:val="8ADC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881B6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644881B6">
      <w:start w:val="2"/>
      <w:numFmt w:val="bullet"/>
      <w:lvlText w:val="-"/>
      <w:lvlJc w:val="left"/>
      <w:pPr>
        <w:ind w:left="2340" w:hanging="360"/>
      </w:pPr>
      <w:rPr>
        <w:rFonts w:ascii="Cambria" w:eastAsiaTheme="minorHAnsi" w:hAnsi="Cambria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61DAA"/>
    <w:multiLevelType w:val="hybridMultilevel"/>
    <w:tmpl w:val="8A78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D5624"/>
    <w:multiLevelType w:val="hybridMultilevel"/>
    <w:tmpl w:val="EF4A9D5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 w15:restartNumberingAfterBreak="0">
    <w:nsid w:val="7A3F0B38"/>
    <w:multiLevelType w:val="hybridMultilevel"/>
    <w:tmpl w:val="27A2BF92"/>
    <w:lvl w:ilvl="0" w:tplc="644881B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15C61"/>
    <w:multiLevelType w:val="multilevel"/>
    <w:tmpl w:val="5D78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399820">
    <w:abstractNumId w:val="19"/>
  </w:num>
  <w:num w:numId="2" w16cid:durableId="910890215">
    <w:abstractNumId w:val="20"/>
  </w:num>
  <w:num w:numId="3" w16cid:durableId="2143644995">
    <w:abstractNumId w:val="27"/>
  </w:num>
  <w:num w:numId="4" w16cid:durableId="69624927">
    <w:abstractNumId w:val="0"/>
  </w:num>
  <w:num w:numId="5" w16cid:durableId="544605704">
    <w:abstractNumId w:val="13"/>
  </w:num>
  <w:num w:numId="6" w16cid:durableId="2081173608">
    <w:abstractNumId w:val="1"/>
  </w:num>
  <w:num w:numId="7" w16cid:durableId="400443375">
    <w:abstractNumId w:val="3"/>
  </w:num>
  <w:num w:numId="8" w16cid:durableId="1647054812">
    <w:abstractNumId w:val="2"/>
  </w:num>
  <w:num w:numId="9" w16cid:durableId="721055746">
    <w:abstractNumId w:val="16"/>
  </w:num>
  <w:num w:numId="10" w16cid:durableId="1966110869">
    <w:abstractNumId w:val="22"/>
  </w:num>
  <w:num w:numId="11" w16cid:durableId="1927956257">
    <w:abstractNumId w:val="26"/>
  </w:num>
  <w:num w:numId="12" w16cid:durableId="666517717">
    <w:abstractNumId w:val="11"/>
  </w:num>
  <w:num w:numId="13" w16cid:durableId="174002865">
    <w:abstractNumId w:val="15"/>
  </w:num>
  <w:num w:numId="14" w16cid:durableId="1465077746">
    <w:abstractNumId w:val="6"/>
  </w:num>
  <w:num w:numId="15" w16cid:durableId="978338482">
    <w:abstractNumId w:val="24"/>
  </w:num>
  <w:num w:numId="16" w16cid:durableId="1349939923">
    <w:abstractNumId w:val="28"/>
  </w:num>
  <w:num w:numId="17" w16cid:durableId="31344245">
    <w:abstractNumId w:val="8"/>
  </w:num>
  <w:num w:numId="18" w16cid:durableId="744498324">
    <w:abstractNumId w:val="30"/>
  </w:num>
  <w:num w:numId="19" w16cid:durableId="309872305">
    <w:abstractNumId w:val="17"/>
  </w:num>
  <w:num w:numId="20" w16cid:durableId="146480987">
    <w:abstractNumId w:val="14"/>
  </w:num>
  <w:num w:numId="21" w16cid:durableId="1199658472">
    <w:abstractNumId w:val="29"/>
  </w:num>
  <w:num w:numId="22" w16cid:durableId="1237058318">
    <w:abstractNumId w:val="23"/>
  </w:num>
  <w:num w:numId="23" w16cid:durableId="1673414640">
    <w:abstractNumId w:val="18"/>
  </w:num>
  <w:num w:numId="24" w16cid:durableId="311640804">
    <w:abstractNumId w:val="4"/>
  </w:num>
  <w:num w:numId="25" w16cid:durableId="228000515">
    <w:abstractNumId w:val="9"/>
  </w:num>
  <w:num w:numId="26" w16cid:durableId="300959008">
    <w:abstractNumId w:val="12"/>
  </w:num>
  <w:num w:numId="27" w16cid:durableId="894437270">
    <w:abstractNumId w:val="7"/>
  </w:num>
  <w:num w:numId="28" w16cid:durableId="1678724256">
    <w:abstractNumId w:val="5"/>
  </w:num>
  <w:num w:numId="29" w16cid:durableId="656954307">
    <w:abstractNumId w:val="21"/>
  </w:num>
  <w:num w:numId="30" w16cid:durableId="277417386">
    <w:abstractNumId w:val="25"/>
  </w:num>
  <w:num w:numId="31" w16cid:durableId="418798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2A"/>
    <w:rsid w:val="000038E1"/>
    <w:rsid w:val="000135A7"/>
    <w:rsid w:val="000173CE"/>
    <w:rsid w:val="00022B1B"/>
    <w:rsid w:val="00027BC6"/>
    <w:rsid w:val="00031B80"/>
    <w:rsid w:val="00035123"/>
    <w:rsid w:val="00041E0A"/>
    <w:rsid w:val="00043F38"/>
    <w:rsid w:val="0004621D"/>
    <w:rsid w:val="000549AC"/>
    <w:rsid w:val="00055279"/>
    <w:rsid w:val="000570B8"/>
    <w:rsid w:val="000656BD"/>
    <w:rsid w:val="00067F94"/>
    <w:rsid w:val="000722B1"/>
    <w:rsid w:val="00072B2B"/>
    <w:rsid w:val="00074CF9"/>
    <w:rsid w:val="00080124"/>
    <w:rsid w:val="00084136"/>
    <w:rsid w:val="00087B1A"/>
    <w:rsid w:val="00094F3A"/>
    <w:rsid w:val="000A27DC"/>
    <w:rsid w:val="000A35AA"/>
    <w:rsid w:val="000A5583"/>
    <w:rsid w:val="000C1D34"/>
    <w:rsid w:val="000C35B8"/>
    <w:rsid w:val="000C4654"/>
    <w:rsid w:val="000C7A11"/>
    <w:rsid w:val="000D3194"/>
    <w:rsid w:val="000E0847"/>
    <w:rsid w:val="000E0B1D"/>
    <w:rsid w:val="000E16DD"/>
    <w:rsid w:val="000F580C"/>
    <w:rsid w:val="000F6282"/>
    <w:rsid w:val="00112160"/>
    <w:rsid w:val="001133BD"/>
    <w:rsid w:val="0011594F"/>
    <w:rsid w:val="001225E1"/>
    <w:rsid w:val="001465CD"/>
    <w:rsid w:val="001505CF"/>
    <w:rsid w:val="001509D9"/>
    <w:rsid w:val="00150B13"/>
    <w:rsid w:val="00155558"/>
    <w:rsid w:val="00155EAD"/>
    <w:rsid w:val="00160753"/>
    <w:rsid w:val="0016300E"/>
    <w:rsid w:val="001865B0"/>
    <w:rsid w:val="00193CDB"/>
    <w:rsid w:val="00193DB4"/>
    <w:rsid w:val="001B7FA1"/>
    <w:rsid w:val="001C6B70"/>
    <w:rsid w:val="001D2D06"/>
    <w:rsid w:val="001D5987"/>
    <w:rsid w:val="001F0390"/>
    <w:rsid w:val="001F4950"/>
    <w:rsid w:val="001F52B8"/>
    <w:rsid w:val="001F72A7"/>
    <w:rsid w:val="001F7DE0"/>
    <w:rsid w:val="0020271C"/>
    <w:rsid w:val="00225704"/>
    <w:rsid w:val="002346DF"/>
    <w:rsid w:val="00244A37"/>
    <w:rsid w:val="00245B87"/>
    <w:rsid w:val="0026312B"/>
    <w:rsid w:val="00267783"/>
    <w:rsid w:val="00272414"/>
    <w:rsid w:val="00273953"/>
    <w:rsid w:val="00275912"/>
    <w:rsid w:val="00280323"/>
    <w:rsid w:val="00285962"/>
    <w:rsid w:val="00296858"/>
    <w:rsid w:val="002A7EE2"/>
    <w:rsid w:val="002C2607"/>
    <w:rsid w:val="002C6BAD"/>
    <w:rsid w:val="002D32DB"/>
    <w:rsid w:val="002D534C"/>
    <w:rsid w:val="002E6CB4"/>
    <w:rsid w:val="002E78A5"/>
    <w:rsid w:val="002F4CC0"/>
    <w:rsid w:val="003169FD"/>
    <w:rsid w:val="00330A00"/>
    <w:rsid w:val="00334E3B"/>
    <w:rsid w:val="00342A6D"/>
    <w:rsid w:val="00360D9B"/>
    <w:rsid w:val="0037360F"/>
    <w:rsid w:val="003736C6"/>
    <w:rsid w:val="00377233"/>
    <w:rsid w:val="0038150C"/>
    <w:rsid w:val="00395C53"/>
    <w:rsid w:val="003979A4"/>
    <w:rsid w:val="003A369D"/>
    <w:rsid w:val="003A3E05"/>
    <w:rsid w:val="003A40E7"/>
    <w:rsid w:val="003E6C97"/>
    <w:rsid w:val="003F09DA"/>
    <w:rsid w:val="00401AB6"/>
    <w:rsid w:val="00407775"/>
    <w:rsid w:val="00411EF0"/>
    <w:rsid w:val="00414276"/>
    <w:rsid w:val="00416BD2"/>
    <w:rsid w:val="00424439"/>
    <w:rsid w:val="0043198C"/>
    <w:rsid w:val="00446683"/>
    <w:rsid w:val="00446A96"/>
    <w:rsid w:val="00446C99"/>
    <w:rsid w:val="00463B92"/>
    <w:rsid w:val="0046485E"/>
    <w:rsid w:val="00466174"/>
    <w:rsid w:val="00473325"/>
    <w:rsid w:val="00493585"/>
    <w:rsid w:val="004A68BC"/>
    <w:rsid w:val="004B792B"/>
    <w:rsid w:val="004C0BBC"/>
    <w:rsid w:val="004C2B0C"/>
    <w:rsid w:val="004C4D2C"/>
    <w:rsid w:val="004C5201"/>
    <w:rsid w:val="004D6315"/>
    <w:rsid w:val="004F1A20"/>
    <w:rsid w:val="004F1FA3"/>
    <w:rsid w:val="004F2588"/>
    <w:rsid w:val="004F4456"/>
    <w:rsid w:val="00504831"/>
    <w:rsid w:val="0050607D"/>
    <w:rsid w:val="00512DBC"/>
    <w:rsid w:val="0051540A"/>
    <w:rsid w:val="0052351B"/>
    <w:rsid w:val="00524FE9"/>
    <w:rsid w:val="005275E8"/>
    <w:rsid w:val="00533D3E"/>
    <w:rsid w:val="0053621A"/>
    <w:rsid w:val="005420BB"/>
    <w:rsid w:val="005421F4"/>
    <w:rsid w:val="005467DD"/>
    <w:rsid w:val="00546AB7"/>
    <w:rsid w:val="00562E68"/>
    <w:rsid w:val="00563457"/>
    <w:rsid w:val="00573870"/>
    <w:rsid w:val="005754B1"/>
    <w:rsid w:val="005808D9"/>
    <w:rsid w:val="005809E0"/>
    <w:rsid w:val="00582368"/>
    <w:rsid w:val="005A31ED"/>
    <w:rsid w:val="005B2001"/>
    <w:rsid w:val="005C0D80"/>
    <w:rsid w:val="005C5355"/>
    <w:rsid w:val="005C543E"/>
    <w:rsid w:val="005D1972"/>
    <w:rsid w:val="005E0C4A"/>
    <w:rsid w:val="005E6942"/>
    <w:rsid w:val="005F030B"/>
    <w:rsid w:val="005F1B3D"/>
    <w:rsid w:val="005F44B8"/>
    <w:rsid w:val="00600760"/>
    <w:rsid w:val="00607A07"/>
    <w:rsid w:val="00617ABD"/>
    <w:rsid w:val="00621F1A"/>
    <w:rsid w:val="00626C68"/>
    <w:rsid w:val="00634BB4"/>
    <w:rsid w:val="0063511D"/>
    <w:rsid w:val="0064199F"/>
    <w:rsid w:val="00642816"/>
    <w:rsid w:val="00645CFD"/>
    <w:rsid w:val="00651D6A"/>
    <w:rsid w:val="00657907"/>
    <w:rsid w:val="006819F5"/>
    <w:rsid w:val="00682A81"/>
    <w:rsid w:val="006964DF"/>
    <w:rsid w:val="006B1EBB"/>
    <w:rsid w:val="006C30E7"/>
    <w:rsid w:val="006C5320"/>
    <w:rsid w:val="006D0529"/>
    <w:rsid w:val="006D2601"/>
    <w:rsid w:val="006E10D6"/>
    <w:rsid w:val="006F37DA"/>
    <w:rsid w:val="006F7732"/>
    <w:rsid w:val="006F78D7"/>
    <w:rsid w:val="007011C4"/>
    <w:rsid w:val="00705612"/>
    <w:rsid w:val="00712120"/>
    <w:rsid w:val="0072478D"/>
    <w:rsid w:val="007258A8"/>
    <w:rsid w:val="007260DF"/>
    <w:rsid w:val="00727326"/>
    <w:rsid w:val="007331DC"/>
    <w:rsid w:val="007351C4"/>
    <w:rsid w:val="00743F37"/>
    <w:rsid w:val="007466CF"/>
    <w:rsid w:val="00750CEE"/>
    <w:rsid w:val="00751A3E"/>
    <w:rsid w:val="00752D62"/>
    <w:rsid w:val="007643BA"/>
    <w:rsid w:val="00766E73"/>
    <w:rsid w:val="007719D7"/>
    <w:rsid w:val="00774582"/>
    <w:rsid w:val="00775C74"/>
    <w:rsid w:val="00777B77"/>
    <w:rsid w:val="0078321A"/>
    <w:rsid w:val="00784573"/>
    <w:rsid w:val="00797142"/>
    <w:rsid w:val="007A0E6A"/>
    <w:rsid w:val="007B127F"/>
    <w:rsid w:val="007B677D"/>
    <w:rsid w:val="007C0A80"/>
    <w:rsid w:val="007C56FC"/>
    <w:rsid w:val="007F1671"/>
    <w:rsid w:val="007F4F78"/>
    <w:rsid w:val="00800DA8"/>
    <w:rsid w:val="00811D50"/>
    <w:rsid w:val="008206C6"/>
    <w:rsid w:val="008207BC"/>
    <w:rsid w:val="00830EF2"/>
    <w:rsid w:val="0083647A"/>
    <w:rsid w:val="008365A1"/>
    <w:rsid w:val="00836BED"/>
    <w:rsid w:val="0084219E"/>
    <w:rsid w:val="008503F2"/>
    <w:rsid w:val="00854C75"/>
    <w:rsid w:val="00857616"/>
    <w:rsid w:val="00864684"/>
    <w:rsid w:val="0087683B"/>
    <w:rsid w:val="00877554"/>
    <w:rsid w:val="00881ED3"/>
    <w:rsid w:val="00884821"/>
    <w:rsid w:val="00886ECA"/>
    <w:rsid w:val="0089341A"/>
    <w:rsid w:val="00897421"/>
    <w:rsid w:val="0089773B"/>
    <w:rsid w:val="008A7191"/>
    <w:rsid w:val="008B0EE6"/>
    <w:rsid w:val="008C356C"/>
    <w:rsid w:val="008C7E77"/>
    <w:rsid w:val="008D0409"/>
    <w:rsid w:val="008D3142"/>
    <w:rsid w:val="008D3194"/>
    <w:rsid w:val="008F031B"/>
    <w:rsid w:val="00911F2E"/>
    <w:rsid w:val="00915CD7"/>
    <w:rsid w:val="00923E6D"/>
    <w:rsid w:val="00926261"/>
    <w:rsid w:val="00926552"/>
    <w:rsid w:val="009371BB"/>
    <w:rsid w:val="00942260"/>
    <w:rsid w:val="00942F5B"/>
    <w:rsid w:val="00947A66"/>
    <w:rsid w:val="00955AF3"/>
    <w:rsid w:val="00955C4A"/>
    <w:rsid w:val="009737F9"/>
    <w:rsid w:val="0097734C"/>
    <w:rsid w:val="00986FE1"/>
    <w:rsid w:val="009927D8"/>
    <w:rsid w:val="009A42D4"/>
    <w:rsid w:val="009A6B10"/>
    <w:rsid w:val="009B3B70"/>
    <w:rsid w:val="009C34F3"/>
    <w:rsid w:val="009D356F"/>
    <w:rsid w:val="009E4F56"/>
    <w:rsid w:val="009E6CC1"/>
    <w:rsid w:val="00A04074"/>
    <w:rsid w:val="00A051D5"/>
    <w:rsid w:val="00A11B7E"/>
    <w:rsid w:val="00A145CB"/>
    <w:rsid w:val="00A251C7"/>
    <w:rsid w:val="00A25BF8"/>
    <w:rsid w:val="00A437DF"/>
    <w:rsid w:val="00A45549"/>
    <w:rsid w:val="00A47F7A"/>
    <w:rsid w:val="00A50A31"/>
    <w:rsid w:val="00A50CC6"/>
    <w:rsid w:val="00A5208C"/>
    <w:rsid w:val="00A537D4"/>
    <w:rsid w:val="00A54D29"/>
    <w:rsid w:val="00A56525"/>
    <w:rsid w:val="00A615CB"/>
    <w:rsid w:val="00A8081A"/>
    <w:rsid w:val="00A80A4D"/>
    <w:rsid w:val="00A91F87"/>
    <w:rsid w:val="00A9588A"/>
    <w:rsid w:val="00AB00FE"/>
    <w:rsid w:val="00AB1248"/>
    <w:rsid w:val="00AB27F4"/>
    <w:rsid w:val="00AB5556"/>
    <w:rsid w:val="00AD0E01"/>
    <w:rsid w:val="00AE6930"/>
    <w:rsid w:val="00AF1138"/>
    <w:rsid w:val="00AF1909"/>
    <w:rsid w:val="00B05A87"/>
    <w:rsid w:val="00B05AD3"/>
    <w:rsid w:val="00B13A21"/>
    <w:rsid w:val="00B27508"/>
    <w:rsid w:val="00B30BBC"/>
    <w:rsid w:val="00B324DB"/>
    <w:rsid w:val="00B33BD6"/>
    <w:rsid w:val="00B45C1E"/>
    <w:rsid w:val="00B46620"/>
    <w:rsid w:val="00B57449"/>
    <w:rsid w:val="00B57584"/>
    <w:rsid w:val="00B7002C"/>
    <w:rsid w:val="00B73554"/>
    <w:rsid w:val="00B741CC"/>
    <w:rsid w:val="00B84267"/>
    <w:rsid w:val="00B84A8D"/>
    <w:rsid w:val="00B913C0"/>
    <w:rsid w:val="00B95F84"/>
    <w:rsid w:val="00BA0A68"/>
    <w:rsid w:val="00BB09E2"/>
    <w:rsid w:val="00BB0A8D"/>
    <w:rsid w:val="00BB12B3"/>
    <w:rsid w:val="00BB2D7D"/>
    <w:rsid w:val="00BC5D90"/>
    <w:rsid w:val="00BC6862"/>
    <w:rsid w:val="00BD7214"/>
    <w:rsid w:val="00BE169B"/>
    <w:rsid w:val="00BE32DE"/>
    <w:rsid w:val="00BE3419"/>
    <w:rsid w:val="00BE6174"/>
    <w:rsid w:val="00BF09DF"/>
    <w:rsid w:val="00BF184C"/>
    <w:rsid w:val="00BF1CE7"/>
    <w:rsid w:val="00C000B7"/>
    <w:rsid w:val="00C01D2D"/>
    <w:rsid w:val="00C0446A"/>
    <w:rsid w:val="00C06179"/>
    <w:rsid w:val="00C15055"/>
    <w:rsid w:val="00C415D1"/>
    <w:rsid w:val="00C54A50"/>
    <w:rsid w:val="00C55BA2"/>
    <w:rsid w:val="00C73F06"/>
    <w:rsid w:val="00C74C8D"/>
    <w:rsid w:val="00C75972"/>
    <w:rsid w:val="00C77E58"/>
    <w:rsid w:val="00C82878"/>
    <w:rsid w:val="00CA13D6"/>
    <w:rsid w:val="00CA61C1"/>
    <w:rsid w:val="00CB2384"/>
    <w:rsid w:val="00CC3888"/>
    <w:rsid w:val="00CD5BDA"/>
    <w:rsid w:val="00CD5E6A"/>
    <w:rsid w:val="00CF2687"/>
    <w:rsid w:val="00CF7484"/>
    <w:rsid w:val="00D00DE8"/>
    <w:rsid w:val="00D00FF2"/>
    <w:rsid w:val="00D04B83"/>
    <w:rsid w:val="00D06617"/>
    <w:rsid w:val="00D06F93"/>
    <w:rsid w:val="00D106D4"/>
    <w:rsid w:val="00D26EDA"/>
    <w:rsid w:val="00D279E0"/>
    <w:rsid w:val="00D34E73"/>
    <w:rsid w:val="00D41021"/>
    <w:rsid w:val="00D4236D"/>
    <w:rsid w:val="00D47919"/>
    <w:rsid w:val="00D61A58"/>
    <w:rsid w:val="00D61AD6"/>
    <w:rsid w:val="00D623DB"/>
    <w:rsid w:val="00D70ACC"/>
    <w:rsid w:val="00DA2339"/>
    <w:rsid w:val="00DA4B24"/>
    <w:rsid w:val="00DB42D3"/>
    <w:rsid w:val="00DB4B7D"/>
    <w:rsid w:val="00DB4D25"/>
    <w:rsid w:val="00DC1A7B"/>
    <w:rsid w:val="00DD136A"/>
    <w:rsid w:val="00DD3DC0"/>
    <w:rsid w:val="00DD6763"/>
    <w:rsid w:val="00DE25A7"/>
    <w:rsid w:val="00DE3E2B"/>
    <w:rsid w:val="00DE7868"/>
    <w:rsid w:val="00DF092F"/>
    <w:rsid w:val="00DF2043"/>
    <w:rsid w:val="00E000D7"/>
    <w:rsid w:val="00E005F5"/>
    <w:rsid w:val="00E1115F"/>
    <w:rsid w:val="00E11CCF"/>
    <w:rsid w:val="00E12AC6"/>
    <w:rsid w:val="00E1328B"/>
    <w:rsid w:val="00E13D97"/>
    <w:rsid w:val="00E14237"/>
    <w:rsid w:val="00E257A5"/>
    <w:rsid w:val="00E352ED"/>
    <w:rsid w:val="00E4141D"/>
    <w:rsid w:val="00E418B9"/>
    <w:rsid w:val="00E42FA4"/>
    <w:rsid w:val="00E507FA"/>
    <w:rsid w:val="00E516AD"/>
    <w:rsid w:val="00E524F6"/>
    <w:rsid w:val="00E54DDD"/>
    <w:rsid w:val="00E61A9E"/>
    <w:rsid w:val="00E61B27"/>
    <w:rsid w:val="00E66BA0"/>
    <w:rsid w:val="00E74061"/>
    <w:rsid w:val="00E825D5"/>
    <w:rsid w:val="00E84154"/>
    <w:rsid w:val="00E84591"/>
    <w:rsid w:val="00E901F4"/>
    <w:rsid w:val="00EA2E2A"/>
    <w:rsid w:val="00EA335E"/>
    <w:rsid w:val="00EA5663"/>
    <w:rsid w:val="00EB6AA2"/>
    <w:rsid w:val="00EC0976"/>
    <w:rsid w:val="00EC2A86"/>
    <w:rsid w:val="00EC5969"/>
    <w:rsid w:val="00EC7669"/>
    <w:rsid w:val="00ED3F69"/>
    <w:rsid w:val="00ED4561"/>
    <w:rsid w:val="00ED56AE"/>
    <w:rsid w:val="00ED5C45"/>
    <w:rsid w:val="00EE294F"/>
    <w:rsid w:val="00F2791E"/>
    <w:rsid w:val="00F32573"/>
    <w:rsid w:val="00F34D49"/>
    <w:rsid w:val="00F413BF"/>
    <w:rsid w:val="00F47115"/>
    <w:rsid w:val="00F513E5"/>
    <w:rsid w:val="00F7189E"/>
    <w:rsid w:val="00F74A42"/>
    <w:rsid w:val="00F758C8"/>
    <w:rsid w:val="00F876E5"/>
    <w:rsid w:val="00F94430"/>
    <w:rsid w:val="00FA3775"/>
    <w:rsid w:val="00FC1C2F"/>
    <w:rsid w:val="00FD1E66"/>
    <w:rsid w:val="00FD6F52"/>
    <w:rsid w:val="00FD6F85"/>
    <w:rsid w:val="00FD7522"/>
    <w:rsid w:val="00FE4A7F"/>
    <w:rsid w:val="00FF0574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A17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D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1909"/>
    <w:pPr>
      <w:keepNext/>
      <w:ind w:firstLine="360"/>
      <w:jc w:val="both"/>
      <w:outlineLvl w:val="3"/>
    </w:pPr>
    <w:rPr>
      <w:rFonts w:ascii="Cambria" w:hAnsi="Cambri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5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B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4B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B2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7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7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7DA"/>
    <w:rPr>
      <w:vertAlign w:val="superscript"/>
    </w:rPr>
  </w:style>
  <w:style w:type="character" w:customStyle="1" w:styleId="apple-converted-space">
    <w:name w:val="apple-converted-space"/>
    <w:basedOn w:val="DefaultParagraphFont"/>
    <w:rsid w:val="004B792B"/>
  </w:style>
  <w:style w:type="character" w:customStyle="1" w:styleId="term">
    <w:name w:val="term"/>
    <w:basedOn w:val="DefaultParagraphFont"/>
    <w:rsid w:val="004B792B"/>
  </w:style>
  <w:style w:type="paragraph" w:styleId="NormalWeb">
    <w:name w:val="Normal (Web)"/>
    <w:basedOn w:val="Normal"/>
    <w:uiPriority w:val="99"/>
    <w:unhideWhenUsed/>
    <w:rsid w:val="003A40E7"/>
    <w:pPr>
      <w:spacing w:before="100" w:beforeAutospacing="1" w:after="100" w:afterAutospacing="1"/>
    </w:pPr>
  </w:style>
  <w:style w:type="character" w:customStyle="1" w:styleId="ref-journal">
    <w:name w:val="ref-journal"/>
    <w:basedOn w:val="DefaultParagraphFont"/>
    <w:rsid w:val="00D61AD6"/>
  </w:style>
  <w:style w:type="character" w:customStyle="1" w:styleId="ref-vol">
    <w:name w:val="ref-vol"/>
    <w:basedOn w:val="DefaultParagraphFont"/>
    <w:rsid w:val="00D61AD6"/>
  </w:style>
  <w:style w:type="character" w:customStyle="1" w:styleId="bkciteavail">
    <w:name w:val="bk_cite_avail"/>
    <w:basedOn w:val="DefaultParagraphFont"/>
    <w:rsid w:val="007B127F"/>
  </w:style>
  <w:style w:type="character" w:customStyle="1" w:styleId="Heading1Char">
    <w:name w:val="Heading 1 Char"/>
    <w:basedOn w:val="DefaultParagraphFont"/>
    <w:link w:val="Heading1"/>
    <w:uiPriority w:val="9"/>
    <w:rsid w:val="00911F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5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D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2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3D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623DB"/>
  </w:style>
  <w:style w:type="paragraph" w:styleId="NoSpacing">
    <w:name w:val="No Spacing"/>
    <w:link w:val="NoSpacingChar"/>
    <w:uiPriority w:val="1"/>
    <w:qFormat/>
    <w:rsid w:val="00D623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623DB"/>
    <w:rPr>
      <w:rFonts w:eastAsiaTheme="minorEastAsia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61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A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A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6ECA"/>
    <w:rPr>
      <w:rFonts w:ascii="Times New Roman" w:eastAsia="Times New Roman" w:hAnsi="Times New Roman" w:cs="Times New Roman"/>
    </w:rPr>
  </w:style>
  <w:style w:type="numbering" w:customStyle="1" w:styleId="Style1">
    <w:name w:val="Style1"/>
    <w:uiPriority w:val="99"/>
    <w:rsid w:val="007258A8"/>
    <w:pPr>
      <w:numPr>
        <w:numId w:val="29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268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E6C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6C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24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8D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D0529"/>
    <w:pPr>
      <w:spacing w:before="1440"/>
      <w:jc w:val="center"/>
    </w:pPr>
    <w:rPr>
      <w:rFonts w:ascii="Kohinoor Devanagari Semibold" w:hAnsi="Kohinoor Devanagari Semibold"/>
      <w:color w:val="660066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0529"/>
    <w:rPr>
      <w:rFonts w:ascii="Kohinoor Devanagari Semibold" w:eastAsia="Times New Roman" w:hAnsi="Kohinoor Devanagari Semibold" w:cs="Times New Roman"/>
      <w:color w:val="660066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AF1909"/>
    <w:rPr>
      <w:rFonts w:ascii="Cambria" w:eastAsia="Times New Roman" w:hAnsi="Cambria" w:cs="Times New Roman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cbi.nlm.nih.gov/pubmed/?term=Buchanan%20DD%5BAuthor%5D&amp;cauthor=true&amp;cauthor_uid=27273229" TargetMode="External"/><Relationship Id="rId18" Type="http://schemas.openxmlformats.org/officeDocument/2006/relationships/hyperlink" Target="https://doi.org/10.1371/journal.pone.004600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ncbi.nlm.nih.gov/entrez/eutils/elink.fcgi?dbfrom=pubmed&amp;retmode=ref&amp;cmd=prlinks&amp;id=190789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books/NBK384793/" TargetMode="External"/><Relationship Id="rId17" Type="http://schemas.openxmlformats.org/officeDocument/2006/relationships/hyperlink" Target="https://www.ncbi.nlm.nih.gov/books/NBK1211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27694933" TargetMode="External"/><Relationship Id="rId20" Type="http://schemas.openxmlformats.org/officeDocument/2006/relationships/hyperlink" Target="https://www.ncbi.nlm.nih.gov/pmc/articles/PMC3976593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10689-017-9973-1" TargetMode="External"/><Relationship Id="rId24" Type="http://schemas.openxmlformats.org/officeDocument/2006/relationships/hyperlink" Target="https://www.ncbi.nlm.nih.gov/pmc/articles/PMC6182336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9596542" TargetMode="External"/><Relationship Id="rId23" Type="http://schemas.openxmlformats.org/officeDocument/2006/relationships/hyperlink" Target="https://www.ncbi.nlm.nih.gov/pubmed/1262752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accessdata.fda.gov/drugsatfda_docs/appletter/2017/125514Orig1s014ltr.pdf" TargetMode="External"/><Relationship Id="rId19" Type="http://schemas.openxmlformats.org/officeDocument/2006/relationships/hyperlink" Target="https://www.ncbi.nlm.nih.gov/entrez/eutils/elink.fcgi?dbfrom=pubmed&amp;retmode=ref&amp;cmd=prlinks&amp;id=2859630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3976593/" TargetMode="External"/><Relationship Id="rId14" Type="http://schemas.openxmlformats.org/officeDocument/2006/relationships/hyperlink" Target="https://www.ncbi.nlm.nih.gov/pubmed/27273229" TargetMode="External"/><Relationship Id="rId22" Type="http://schemas.openxmlformats.org/officeDocument/2006/relationships/hyperlink" Target="https://www.ncbi.nlm.nih.gov/pmc/articles/PMC5225299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cessdata.fda.gov/drugsatfda_docs/appletter/2017/125554Orig1s034ltr.pdf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C0DB61-AD2A-49B0-AB7E-2B9CFD8E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6384</Words>
  <Characters>36391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review of the current testing methodologies for the detection of mismatch repair deficiency in tumours</dc:title>
  <dc:subject/>
  <dc:creator/>
  <cp:keywords/>
  <dc:description/>
  <cp:lastModifiedBy/>
  <cp:revision>1</cp:revision>
  <dcterms:created xsi:type="dcterms:W3CDTF">2020-01-14T21:41:00Z</dcterms:created>
  <dcterms:modified xsi:type="dcterms:W3CDTF">2024-09-19T08:28:00Z</dcterms:modified>
</cp:coreProperties>
</file>