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6493" w14:textId="2EF819CF" w:rsidR="00E436A2" w:rsidRDefault="00E436A2" w:rsidP="00E436A2">
      <w:pPr>
        <w:pStyle w:val="Instructionaltext"/>
      </w:pPr>
      <w:bookmarkStart w:id="0" w:name="_Hlk68281683"/>
      <w:r w:rsidRPr="00E436A2">
        <w:t>[Instructional text]</w:t>
      </w:r>
    </w:p>
    <w:p w14:paraId="56D59C31" w14:textId="4C40300E" w:rsidR="004C48C8" w:rsidRPr="00E436A2" w:rsidRDefault="004C48C8" w:rsidP="00E436A2">
      <w:pPr>
        <w:pStyle w:val="Heading1"/>
        <w:numPr>
          <w:ilvl w:val="0"/>
          <w:numId w:val="0"/>
        </w:numPr>
        <w:ind w:left="357" w:hanging="357"/>
        <w:rPr>
          <w:color w:val="258221"/>
        </w:rPr>
      </w:pPr>
      <w:bookmarkStart w:id="1" w:name="_Toc69491409"/>
      <w:bookmarkEnd w:id="0"/>
      <w:r w:rsidRPr="00E436A2">
        <w:rPr>
          <w:color w:val="258221"/>
        </w:rPr>
        <w:t>Notes on the template</w:t>
      </w:r>
      <w:bookmarkEnd w:id="1"/>
    </w:p>
    <w:p w14:paraId="7B3C043F" w14:textId="73530A0D" w:rsidR="00DD1A95" w:rsidRPr="003251C2" w:rsidRDefault="00AD60EA" w:rsidP="00E436A2">
      <w:pPr>
        <w:pStyle w:val="Instructionaltext"/>
      </w:pPr>
      <w:bookmarkStart w:id="2" w:name="_Hlk69734111"/>
      <w:r w:rsidRPr="003251C2">
        <w:t xml:space="preserve">This document is the template for </w:t>
      </w:r>
      <w:r w:rsidR="00386124">
        <w:t xml:space="preserve">a </w:t>
      </w:r>
      <w:r w:rsidR="00386124" w:rsidRPr="00386124">
        <w:t>Medical Services Advisory Committee (MSAC)</w:t>
      </w:r>
      <w:r w:rsidR="00386124" w:rsidRPr="003251C2">
        <w:t xml:space="preserve"> </w:t>
      </w:r>
      <w:r w:rsidRPr="003251C2">
        <w:t xml:space="preserve">Assessment Report, </w:t>
      </w:r>
      <w:r w:rsidR="004305AE" w:rsidRPr="003251C2">
        <w:t>the objective</w:t>
      </w:r>
      <w:r w:rsidR="00DD1A95" w:rsidRPr="003251C2">
        <w:t xml:space="preserve"> of which is to synthesise the key information </w:t>
      </w:r>
      <w:r w:rsidR="00386124">
        <w:t xml:space="preserve">that </w:t>
      </w:r>
      <w:r w:rsidR="00DD1A95" w:rsidRPr="003251C2">
        <w:t>MSAC need</w:t>
      </w:r>
      <w:r w:rsidR="00386124">
        <w:t>s</w:t>
      </w:r>
      <w:r w:rsidR="00DD1A95" w:rsidRPr="003251C2">
        <w:t xml:space="preserve"> to inform its deliberations. </w:t>
      </w:r>
    </w:p>
    <w:p w14:paraId="7F721D83" w14:textId="53B59B5E" w:rsidR="004305AE" w:rsidRPr="003251C2" w:rsidRDefault="005D3A04" w:rsidP="00E436A2">
      <w:pPr>
        <w:pStyle w:val="Instructionaltext"/>
      </w:pPr>
      <w:r w:rsidRPr="003251C2">
        <w:t xml:space="preserve">A secondary objective is </w:t>
      </w:r>
      <w:r w:rsidR="00DD1A95" w:rsidRPr="003251C2">
        <w:t xml:space="preserve">to </w:t>
      </w:r>
      <w:r w:rsidR="004B33C2" w:rsidRPr="003251C2">
        <w:t>demonstrate that a high</w:t>
      </w:r>
      <w:r w:rsidR="00386124">
        <w:t>-</w:t>
      </w:r>
      <w:r w:rsidR="004B33C2" w:rsidRPr="003251C2">
        <w:t>quality systematic review has been performed</w:t>
      </w:r>
      <w:r w:rsidR="002539ED" w:rsidRPr="003251C2">
        <w:t>.</w:t>
      </w:r>
      <w:r w:rsidR="004305AE" w:rsidRPr="003251C2">
        <w:t xml:space="preserve"> </w:t>
      </w:r>
      <w:r w:rsidRPr="003251C2">
        <w:t xml:space="preserve">Information requests for this purpose are predominantly in the Appendices. </w:t>
      </w:r>
    </w:p>
    <w:p w14:paraId="46A1C355" w14:textId="74E631BC" w:rsidR="00DD1A95" w:rsidRPr="003251C2" w:rsidRDefault="003371B5" w:rsidP="00E436A2">
      <w:pPr>
        <w:pStyle w:val="Instructionaltext"/>
      </w:pPr>
      <w:r w:rsidRPr="003251C2">
        <w:t>Th</w:t>
      </w:r>
      <w:r w:rsidR="005D00EA">
        <w:t>is</w:t>
      </w:r>
      <w:r w:rsidR="008D3726" w:rsidRPr="003251C2">
        <w:t xml:space="preserve"> template</w:t>
      </w:r>
      <w:r w:rsidR="00386124">
        <w:t xml:space="preserve"> is</w:t>
      </w:r>
      <w:r w:rsidR="008D3726" w:rsidRPr="003251C2">
        <w:t xml:space="preserve"> provided to encourage consistency between assessment reports in the underlying structure of the report, and </w:t>
      </w:r>
      <w:r w:rsidR="004305AE" w:rsidRPr="003251C2">
        <w:t xml:space="preserve">to </w:t>
      </w:r>
      <w:r w:rsidR="000E6410" w:rsidRPr="003251C2">
        <w:t>guide applicants and assessment groups regarding which pieces of information are most likely to be informative. However</w:t>
      </w:r>
      <w:r w:rsidR="000E6410" w:rsidRPr="003251C2">
        <w:rPr>
          <w:b/>
        </w:rPr>
        <w:t xml:space="preserve">, judgement should be used regarding whether subsections are relevant or not, and </w:t>
      </w:r>
      <w:r w:rsidRPr="003251C2">
        <w:rPr>
          <w:b/>
        </w:rPr>
        <w:t xml:space="preserve">the </w:t>
      </w:r>
      <w:r w:rsidR="000E6410" w:rsidRPr="003251C2">
        <w:rPr>
          <w:b/>
        </w:rPr>
        <w:t>template may be amended as required for an individual topic</w:t>
      </w:r>
      <w:r w:rsidR="000E6410" w:rsidRPr="003251C2">
        <w:t>. For example, i</w:t>
      </w:r>
      <w:r w:rsidR="00DD1A95" w:rsidRPr="003251C2">
        <w:t xml:space="preserve">f the </w:t>
      </w:r>
      <w:r w:rsidRPr="003251C2">
        <w:t>a</w:t>
      </w:r>
      <w:r w:rsidR="00DD1A95" w:rsidRPr="003251C2">
        <w:t xml:space="preserve">ssessment </w:t>
      </w:r>
      <w:r w:rsidRPr="003251C2">
        <w:t>r</w:t>
      </w:r>
      <w:r w:rsidR="00DD1A95" w:rsidRPr="003251C2">
        <w:t>eport is for a resubmission, only present sections of the report that require amend</w:t>
      </w:r>
      <w:r w:rsidR="00386124">
        <w:t>ment</w:t>
      </w:r>
      <w:r w:rsidR="00DD1A95" w:rsidRPr="003251C2">
        <w:t xml:space="preserve"> based on feedback from MSAC. </w:t>
      </w:r>
    </w:p>
    <w:p w14:paraId="5ED82BB0" w14:textId="47963D96" w:rsidR="00E529F5" w:rsidRPr="003251C2" w:rsidRDefault="00CE28E3" w:rsidP="00E436A2">
      <w:pPr>
        <w:pStyle w:val="Instructionaltext"/>
      </w:pPr>
      <w:r w:rsidRPr="003251C2">
        <w:t>It may be</w:t>
      </w:r>
      <w:r w:rsidR="00E529F5" w:rsidRPr="003251C2">
        <w:t xml:space="preserve"> necessary to duplicate sections of the template to allow for multiple populations or interventions. </w:t>
      </w:r>
      <w:r w:rsidRPr="003251C2">
        <w:t>Judgement is required in determining the most appropriate structure.</w:t>
      </w:r>
      <w:r w:rsidR="00E529F5" w:rsidRPr="003251C2">
        <w:t xml:space="preserve"> </w:t>
      </w:r>
    </w:p>
    <w:p w14:paraId="776A8AD6" w14:textId="5F575B14" w:rsidR="004A5E73" w:rsidRPr="003251C2" w:rsidRDefault="004A5E73" w:rsidP="00E436A2">
      <w:pPr>
        <w:pStyle w:val="Instructionaltext"/>
      </w:pPr>
      <w:r w:rsidRPr="003251C2">
        <w:t xml:space="preserve">This page provides instructions on how the template should be interpreted. In </w:t>
      </w:r>
      <w:r w:rsidRPr="008A5833">
        <w:rPr>
          <w:bCs/>
        </w:rPr>
        <w:t>addition</w:t>
      </w:r>
      <w:r w:rsidRPr="00386124">
        <w:rPr>
          <w:bCs/>
        </w:rPr>
        <w:t xml:space="preserve"> </w:t>
      </w:r>
      <w:r w:rsidRPr="003251C2">
        <w:t xml:space="preserve">to the instructions below, please be mindful that </w:t>
      </w:r>
      <w:r w:rsidR="00386124">
        <w:t>w</w:t>
      </w:r>
      <w:r w:rsidRPr="003251C2">
        <w:t xml:space="preserve">eb </w:t>
      </w:r>
      <w:r w:rsidR="00386124">
        <w:t>a</w:t>
      </w:r>
      <w:r w:rsidRPr="003251C2">
        <w:t>ccessibility requirements must be met for all documents that are posted on Department of Health website</w:t>
      </w:r>
      <w:r w:rsidR="005D00EA">
        <w:t>s</w:t>
      </w:r>
      <w:r w:rsidRPr="003251C2">
        <w:t>.</w:t>
      </w:r>
    </w:p>
    <w:p w14:paraId="4D5D319F" w14:textId="354E0A0C" w:rsidR="004A5E73" w:rsidRPr="003251C2" w:rsidRDefault="004C48C8" w:rsidP="00E436A2">
      <w:pPr>
        <w:pStyle w:val="Instructionaltext"/>
      </w:pPr>
      <w:r w:rsidRPr="003251C2">
        <w:t>The template includes different coloured text</w:t>
      </w:r>
      <w:r w:rsidR="00AA2461">
        <w:t>:</w:t>
      </w:r>
    </w:p>
    <w:p w14:paraId="606D00A4" w14:textId="0DE44AE6" w:rsidR="00CE28E3" w:rsidRPr="00E436A2" w:rsidRDefault="00CE28E3" w:rsidP="004F6AD3">
      <w:pPr>
        <w:pStyle w:val="ListParagraph"/>
        <w:numPr>
          <w:ilvl w:val="0"/>
          <w:numId w:val="20"/>
        </w:numPr>
        <w:rPr>
          <w:color w:val="258221"/>
        </w:rPr>
      </w:pPr>
      <w:r w:rsidRPr="00E436A2">
        <w:rPr>
          <w:color w:val="258221"/>
        </w:rPr>
        <w:t xml:space="preserve">Text written in </w:t>
      </w:r>
      <w:r w:rsidR="000449D1" w:rsidRPr="00E436A2">
        <w:rPr>
          <w:color w:val="258221"/>
        </w:rPr>
        <w:t>green</w:t>
      </w:r>
      <w:r w:rsidRPr="00E436A2">
        <w:rPr>
          <w:color w:val="258221"/>
        </w:rPr>
        <w:t xml:space="preserve"> represents instructional text</w:t>
      </w:r>
      <w:r w:rsidR="003A6E1A">
        <w:rPr>
          <w:color w:val="258221"/>
        </w:rPr>
        <w:t>,</w:t>
      </w:r>
      <w:r w:rsidRPr="00E436A2">
        <w:rPr>
          <w:color w:val="258221"/>
        </w:rPr>
        <w:t xml:space="preserve"> </w:t>
      </w:r>
      <w:r w:rsidR="00F20763">
        <w:rPr>
          <w:color w:val="258221"/>
        </w:rPr>
        <w:t xml:space="preserve">to be </w:t>
      </w:r>
      <w:r w:rsidRPr="00E436A2">
        <w:rPr>
          <w:color w:val="258221"/>
        </w:rPr>
        <w:t>deleted prior to finalising the assessment report.</w:t>
      </w:r>
      <w:bookmarkStart w:id="3" w:name="_Hlk68281237"/>
      <w:r w:rsidR="00F20763">
        <w:rPr>
          <w:color w:val="258221"/>
        </w:rPr>
        <w:t xml:space="preserve"> The beginning and end of instructional text is also indicated by the words ‘</w:t>
      </w:r>
      <w:r w:rsidR="003A6E1A">
        <w:rPr>
          <w:color w:val="258221"/>
        </w:rPr>
        <w:t>I</w:t>
      </w:r>
      <w:r w:rsidR="00F20763">
        <w:rPr>
          <w:color w:val="258221"/>
        </w:rPr>
        <w:t>nstructional text’ and ‘</w:t>
      </w:r>
      <w:r w:rsidR="003A6E1A">
        <w:rPr>
          <w:color w:val="258221"/>
        </w:rPr>
        <w:t>E</w:t>
      </w:r>
      <w:r w:rsidR="00F20763">
        <w:rPr>
          <w:color w:val="258221"/>
        </w:rPr>
        <w:t>nd instructional text’, respectively.</w:t>
      </w:r>
      <w:bookmarkEnd w:id="3"/>
    </w:p>
    <w:p w14:paraId="09E5E9D9" w14:textId="7B528538" w:rsidR="00CE28E3" w:rsidRPr="003251C2" w:rsidRDefault="00CE28E3" w:rsidP="004F6AD3">
      <w:pPr>
        <w:pStyle w:val="ListParagraph"/>
        <w:numPr>
          <w:ilvl w:val="0"/>
          <w:numId w:val="20"/>
        </w:numPr>
      </w:pPr>
      <w:r w:rsidRPr="003251C2">
        <w:t xml:space="preserve">Text written in black represents proposed wording, and may contain </w:t>
      </w:r>
      <w:r w:rsidRPr="003251C2">
        <w:rPr>
          <w:highlight w:val="cyan"/>
        </w:rPr>
        <w:t>highlighted</w:t>
      </w:r>
      <w:r w:rsidRPr="008A5833">
        <w:t xml:space="preserve"> </w:t>
      </w:r>
      <w:r w:rsidR="00F20763" w:rsidRPr="008A5833">
        <w:t xml:space="preserve">and asterisked (*) </w:t>
      </w:r>
      <w:r w:rsidRPr="008A5833">
        <w:t>text</w:t>
      </w:r>
      <w:r w:rsidRPr="003251C2">
        <w:t xml:space="preserve"> </w:t>
      </w:r>
      <w:r w:rsidR="00F20763">
        <w:t>to</w:t>
      </w:r>
      <w:r w:rsidR="00F20763" w:rsidRPr="003251C2">
        <w:t xml:space="preserve"> </w:t>
      </w:r>
      <w:r w:rsidRPr="003251C2">
        <w:t>indicate that an input is required.</w:t>
      </w:r>
    </w:p>
    <w:p w14:paraId="05D0969B" w14:textId="164DD521" w:rsidR="00CE28E3" w:rsidRPr="001653AE" w:rsidRDefault="00CE28E3" w:rsidP="001653AE">
      <w:pPr>
        <w:pStyle w:val="ListParagraph"/>
        <w:numPr>
          <w:ilvl w:val="0"/>
          <w:numId w:val="20"/>
        </w:numPr>
        <w:rPr>
          <w:b/>
          <w:color w:val="0070C0"/>
        </w:rPr>
      </w:pPr>
      <w:bookmarkStart w:id="4" w:name="_Hlk68281526"/>
      <w:r w:rsidRPr="001653AE">
        <w:rPr>
          <w:b/>
          <w:color w:val="0070C0"/>
        </w:rPr>
        <w:t xml:space="preserve">Cross-references to </w:t>
      </w:r>
      <w:r w:rsidR="00284340">
        <w:rPr>
          <w:b/>
          <w:color w:val="0070C0"/>
        </w:rPr>
        <w:t xml:space="preserve">Technical Guidance (TG) sections of </w:t>
      </w:r>
      <w:r w:rsidRPr="001653AE">
        <w:rPr>
          <w:b/>
          <w:color w:val="0070C0"/>
        </w:rPr>
        <w:t xml:space="preserve">the </w:t>
      </w:r>
      <w:r w:rsidR="001653AE" w:rsidRPr="001653AE">
        <w:rPr>
          <w:b/>
          <w:i/>
          <w:iCs/>
          <w:color w:val="0070C0"/>
        </w:rPr>
        <w:t>Guidelines for preparing assessments for the Medical Services Advisory Committee</w:t>
      </w:r>
      <w:r w:rsidR="001653AE" w:rsidRPr="001653AE">
        <w:rPr>
          <w:b/>
          <w:color w:val="0070C0"/>
        </w:rPr>
        <w:t xml:space="preserve"> </w:t>
      </w:r>
      <w:r w:rsidR="001653AE">
        <w:rPr>
          <w:b/>
          <w:color w:val="0070C0"/>
        </w:rPr>
        <w:t>(</w:t>
      </w:r>
      <w:r w:rsidRPr="001653AE">
        <w:rPr>
          <w:b/>
          <w:color w:val="0070C0"/>
        </w:rPr>
        <w:t>MSAC Guidelines</w:t>
      </w:r>
      <w:r w:rsidR="001653AE">
        <w:rPr>
          <w:b/>
          <w:color w:val="0070C0"/>
        </w:rPr>
        <w:t>)</w:t>
      </w:r>
      <w:r w:rsidRPr="001653AE">
        <w:rPr>
          <w:b/>
          <w:color w:val="0070C0"/>
        </w:rPr>
        <w:t xml:space="preserve"> are presented in </w:t>
      </w:r>
      <w:r w:rsidR="004C48C8" w:rsidRPr="001653AE">
        <w:rPr>
          <w:b/>
          <w:color w:val="0070C0"/>
        </w:rPr>
        <w:t>blue</w:t>
      </w:r>
      <w:r w:rsidR="00F20763" w:rsidRPr="001653AE">
        <w:rPr>
          <w:b/>
          <w:color w:val="0070C0"/>
        </w:rPr>
        <w:t xml:space="preserve"> and preceded by the words ‘Refer to:’</w:t>
      </w:r>
      <w:bookmarkStart w:id="5" w:name="_Hlk67929220"/>
      <w:r w:rsidR="00284340">
        <w:rPr>
          <w:b/>
          <w:color w:val="0070C0"/>
        </w:rPr>
        <w:t>. These cross-references</w:t>
      </w:r>
      <w:r w:rsidR="004C48C8" w:rsidRPr="001653AE">
        <w:rPr>
          <w:b/>
          <w:color w:val="0070C0"/>
        </w:rPr>
        <w:t xml:space="preserve"> </w:t>
      </w:r>
      <w:bookmarkEnd w:id="4"/>
      <w:r w:rsidR="004C48C8" w:rsidRPr="001653AE">
        <w:rPr>
          <w:b/>
          <w:color w:val="0070C0"/>
        </w:rPr>
        <w:t xml:space="preserve">are </w:t>
      </w:r>
      <w:r w:rsidR="00B9536C" w:rsidRPr="001653AE">
        <w:rPr>
          <w:b/>
          <w:color w:val="0070C0"/>
        </w:rPr>
        <w:t xml:space="preserve">to be </w:t>
      </w:r>
      <w:r w:rsidR="004C48C8" w:rsidRPr="001653AE">
        <w:rPr>
          <w:b/>
          <w:color w:val="0070C0"/>
        </w:rPr>
        <w:t>deleted prior to finalising the assessment report.</w:t>
      </w:r>
      <w:bookmarkEnd w:id="5"/>
    </w:p>
    <w:bookmarkEnd w:id="2"/>
    <w:p w14:paraId="740EBDEB" w14:textId="591787C4" w:rsidR="004C48C8" w:rsidRPr="003251C2" w:rsidRDefault="004C48C8" w:rsidP="003251C2">
      <w:pPr>
        <w:rPr>
          <w:color w:val="538135" w:themeColor="accent6" w:themeShade="BF"/>
        </w:rPr>
      </w:pPr>
    </w:p>
    <w:p w14:paraId="6582AE80" w14:textId="77777777" w:rsidR="004A7A52" w:rsidRPr="00CE28E3" w:rsidRDefault="004A7A52" w:rsidP="00DE7099">
      <w:pPr>
        <w:sectPr w:rsidR="004A7A52" w:rsidRPr="00CE28E3" w:rsidSect="005723D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40" w:right="1440" w:bottom="1440" w:left="1440" w:header="709" w:footer="709" w:gutter="0"/>
          <w:cols w:space="708"/>
          <w:docGrid w:linePitch="360"/>
        </w:sectPr>
      </w:pPr>
    </w:p>
    <w:p w14:paraId="69DE66AB" w14:textId="7FE3ABDF" w:rsidR="00DE7099" w:rsidRPr="00997BA8" w:rsidRDefault="00001D55" w:rsidP="00997BA8">
      <w:pPr>
        <w:pStyle w:val="Heading1"/>
        <w:numPr>
          <w:ilvl w:val="0"/>
          <w:numId w:val="0"/>
        </w:numPr>
        <w:ind w:left="357" w:hanging="357"/>
        <w:rPr>
          <w:color w:val="258221"/>
        </w:rPr>
      </w:pPr>
      <w:bookmarkStart w:id="6" w:name="_Toc69491411"/>
      <w:r>
        <w:rPr>
          <w:color w:val="258221"/>
        </w:rPr>
        <w:lastRenderedPageBreak/>
        <w:t>Commentary</w:t>
      </w:r>
      <w:r w:rsidR="004A7A52" w:rsidRPr="00997BA8">
        <w:rPr>
          <w:color w:val="258221"/>
        </w:rPr>
        <w:t xml:space="preserve"> style guide</w:t>
      </w:r>
      <w:bookmarkEnd w:id="6"/>
    </w:p>
    <w:p w14:paraId="141CD075" w14:textId="77777777" w:rsidR="0070319A" w:rsidRPr="0070319A" w:rsidRDefault="0070319A" w:rsidP="0070319A">
      <w:pPr>
        <w:spacing w:before="0" w:line="256" w:lineRule="auto"/>
        <w:rPr>
          <w:rFonts w:eastAsia="Calibri" w:cs="Times New Roman"/>
          <w:color w:val="258221"/>
        </w:rPr>
      </w:pPr>
      <w:r w:rsidRPr="0070319A">
        <w:rPr>
          <w:rFonts w:eastAsia="Calibri" w:cs="Times New Roman"/>
          <w:color w:val="258221"/>
        </w:rPr>
        <w:t>[Instructional text]</w:t>
      </w:r>
    </w:p>
    <w:p w14:paraId="23028AA2" w14:textId="2483C821" w:rsidR="004A7A52" w:rsidRPr="00FB6F67" w:rsidRDefault="00310B9B" w:rsidP="00FB6F67">
      <w:pPr>
        <w:pStyle w:val="Heading2"/>
        <w:numPr>
          <w:ilvl w:val="0"/>
          <w:numId w:val="0"/>
        </w:numPr>
        <w:spacing w:before="120" w:after="120" w:line="259" w:lineRule="auto"/>
        <w:rPr>
          <w:color w:val="258221"/>
        </w:rPr>
      </w:pPr>
      <w:bookmarkStart w:id="7" w:name="_Toc69491412"/>
      <w:r w:rsidRPr="00FB6F67">
        <w:rPr>
          <w:color w:val="258221"/>
        </w:rPr>
        <w:t>General guidance</w:t>
      </w:r>
      <w:bookmarkEnd w:id="7"/>
    </w:p>
    <w:p w14:paraId="73D0EE23" w14:textId="77777777" w:rsidR="00001D55" w:rsidRDefault="00001D55" w:rsidP="00001D55">
      <w:pPr>
        <w:pStyle w:val="Instructionaltext"/>
      </w:pPr>
      <w:bookmarkStart w:id="8" w:name="_Toc69491413"/>
      <w:r>
        <w:t xml:space="preserve">A commentary is an evaluation of an assessment report (either applicant developed or Department contracted). The purpose of the commentary is to critically appraise the approach taken in the assessment report and identify strengths and weaknesses in the evidence or approach used. The focus of the commentary is the same as for an assessment report. </w:t>
      </w:r>
    </w:p>
    <w:p w14:paraId="314CA123" w14:textId="77777777" w:rsidR="00001D55" w:rsidRPr="003251C2" w:rsidRDefault="00001D55" w:rsidP="00001D55">
      <w:pPr>
        <w:pStyle w:val="Instructionaltext"/>
      </w:pPr>
      <w:r>
        <w:t xml:space="preserve">A commentary seeks </w:t>
      </w:r>
      <w:r w:rsidRPr="003251C2">
        <w:t xml:space="preserve">to </w:t>
      </w:r>
      <w:r>
        <w:t>draw from the assessment report the</w:t>
      </w:r>
      <w:r w:rsidRPr="003251C2">
        <w:t xml:space="preserve"> most relevant information for decision</w:t>
      </w:r>
      <w:r>
        <w:t>-</w:t>
      </w:r>
      <w:r w:rsidRPr="003251C2">
        <w:t>making. The information</w:t>
      </w:r>
      <w:r>
        <w:t xml:space="preserve"> that is most relevant</w:t>
      </w:r>
      <w:r w:rsidRPr="003251C2">
        <w:t xml:space="preserve"> is guided by the factors that influence MSAC decision</w:t>
      </w:r>
      <w:r>
        <w:t>-</w:t>
      </w:r>
      <w:r w:rsidRPr="003251C2">
        <w:t>making (</w:t>
      </w:r>
      <w:r>
        <w:t xml:space="preserve">see MSAC </w:t>
      </w:r>
      <w:r w:rsidRPr="003251C2">
        <w:t>Guidelines</w:t>
      </w:r>
      <w:r>
        <w:t>,</w:t>
      </w:r>
      <w:r w:rsidRPr="003251C2">
        <w:t xml:space="preserve"> Preamble), and include</w:t>
      </w:r>
      <w:r>
        <w:t>s</w:t>
      </w:r>
      <w:r w:rsidRPr="003251C2">
        <w:t xml:space="preserve"> the comparative effectiveness, safety and cost-effectiveness of the proposed technology. Other factors that may affect the assessment of these measures are also relevant (to the extent that they will affect the interpretation of the measures). Additional factors may include, for example, consumer preferences, equity or implementation issues. </w:t>
      </w:r>
    </w:p>
    <w:p w14:paraId="63CE8F42" w14:textId="77777777" w:rsidR="00001D55" w:rsidRDefault="00001D55" w:rsidP="00001D55">
      <w:pPr>
        <w:pStyle w:val="Instructionaltext"/>
      </w:pPr>
      <w:r>
        <w:t>The presentation of a commentary is primarily using in-line tracked changes. It is preferable that in-line comments are appropriately placed within the assessment report. In general, brief in-line comments may be placed underneath individual paragraphs within a section of the assessment report. If longer commentary is required (such as explanations, re-analyses or comments that affect multiple sections), a brief comment can be made underneath the text in which the issue is mentioned, with a cross-reference to the longer comment. Longer commentary can be provided at the end of a subsection. For example, a re-analysis of overall survival would likely be placed at the end of the presentation of overall survival. As the re-analysis is required due to an issue with transitivity, a comment can be made in the characteristics of the evidence base, with a cross-reference directing the reader to the longer discussion. For example:</w:t>
      </w:r>
    </w:p>
    <w:p w14:paraId="065AC520" w14:textId="77777777" w:rsidR="00001D55" w:rsidRDefault="00001D55" w:rsidP="00001D55">
      <w:pPr>
        <w:pStyle w:val="Instructionaltext"/>
        <w:ind w:left="851" w:right="851"/>
      </w:pPr>
      <w:r>
        <w:t>The baseline characteristics (including some important prognostic characteristics) differ across the included single-arm studies. This is likely to impact the estimate of incremental survival in the indirect comparison. This is discussed at the end of ‘Overall Survival’ in Section 2A.3.</w:t>
      </w:r>
    </w:p>
    <w:p w14:paraId="6349108C" w14:textId="77777777" w:rsidR="00001D55" w:rsidRDefault="00001D55" w:rsidP="00001D55">
      <w:pPr>
        <w:pStyle w:val="Instructionaltext"/>
      </w:pPr>
      <w:r>
        <w:t>A related goal of the commentary is to identify the importance of the strengths and weaknesses of the evidence or approach taken. While each assessment report is likely to rely on assumptions and approximations, the commentary should identify those that are of concern and explain the possible impact. The commentary can then provide shorter explanations of issues that do not have a large impact on the clinical or economic estimates.</w:t>
      </w:r>
    </w:p>
    <w:p w14:paraId="050CC658" w14:textId="77777777" w:rsidR="00001D55" w:rsidRDefault="00001D55" w:rsidP="00001D55">
      <w:pPr>
        <w:pStyle w:val="Instructionaltext"/>
        <w:spacing w:after="360"/>
      </w:pPr>
      <w:r>
        <w:t>The culmination of the commentary is the executive summary.</w:t>
      </w:r>
    </w:p>
    <w:p w14:paraId="70D7DF57" w14:textId="42ADDCF5" w:rsidR="004A7A52" w:rsidRPr="00FB6F67" w:rsidRDefault="004A7A52" w:rsidP="00FB6F67">
      <w:pPr>
        <w:pStyle w:val="Heading2"/>
        <w:numPr>
          <w:ilvl w:val="0"/>
          <w:numId w:val="0"/>
        </w:numPr>
        <w:spacing w:before="120" w:after="120" w:line="259" w:lineRule="auto"/>
        <w:rPr>
          <w:color w:val="258221"/>
        </w:rPr>
      </w:pPr>
      <w:r w:rsidRPr="00FB6F67">
        <w:rPr>
          <w:color w:val="258221"/>
        </w:rPr>
        <w:t>Executive summary</w:t>
      </w:r>
      <w:bookmarkEnd w:id="8"/>
    </w:p>
    <w:p w14:paraId="20981529" w14:textId="6AEDFB95" w:rsidR="00D36E67" w:rsidRPr="003251C2" w:rsidRDefault="004A7A52" w:rsidP="0070319A">
      <w:pPr>
        <w:pStyle w:val="Instructionaltext"/>
      </w:pPr>
      <w:bookmarkStart w:id="9" w:name="_Hlk69734226"/>
      <w:r w:rsidRPr="003251C2">
        <w:t xml:space="preserve">The </w:t>
      </w:r>
      <w:r w:rsidR="002751D1">
        <w:t>e</w:t>
      </w:r>
      <w:r w:rsidRPr="003251C2">
        <w:t xml:space="preserve">xecutive </w:t>
      </w:r>
      <w:r w:rsidR="002751D1">
        <w:t>s</w:t>
      </w:r>
      <w:r w:rsidRPr="003251C2">
        <w:t xml:space="preserve">ummary </w:t>
      </w:r>
      <w:r w:rsidR="002751D1">
        <w:t>should</w:t>
      </w:r>
      <w:r w:rsidRPr="003251C2">
        <w:t xml:space="preserve"> synthesise </w:t>
      </w:r>
      <w:r w:rsidR="002751D1">
        <w:t xml:space="preserve">the </w:t>
      </w:r>
      <w:r w:rsidRPr="003251C2">
        <w:t xml:space="preserve">information </w:t>
      </w:r>
      <w:r w:rsidR="002751D1">
        <w:t xml:space="preserve">that is </w:t>
      </w:r>
      <w:r w:rsidR="002751D1" w:rsidRPr="002751D1">
        <w:t>critical</w:t>
      </w:r>
      <w:r w:rsidR="002751D1">
        <w:t xml:space="preserve"> </w:t>
      </w:r>
      <w:r w:rsidR="002751D1" w:rsidRPr="003251C2">
        <w:t>for decision-making</w:t>
      </w:r>
      <w:r w:rsidR="002751D1">
        <w:t xml:space="preserve"> by</w:t>
      </w:r>
      <w:r w:rsidRPr="003251C2">
        <w:t xml:space="preserve"> MSAC and its sub-committees. Present data in the most logical and succinct way to get the story told. The </w:t>
      </w:r>
      <w:r w:rsidR="002751D1">
        <w:t>e</w:t>
      </w:r>
      <w:r w:rsidRPr="003251C2">
        <w:t xml:space="preserve">xecutive </w:t>
      </w:r>
      <w:r w:rsidR="002751D1">
        <w:t>s</w:t>
      </w:r>
      <w:r w:rsidRPr="003251C2">
        <w:t>ummary will form the basis of the ESC advice and the MSAC public summary document. Deviations from the template instructions are permissible where justified</w:t>
      </w:r>
      <w:r w:rsidR="002751D1">
        <w:t>;</w:t>
      </w:r>
      <w:r w:rsidRPr="003251C2">
        <w:t xml:space="preserve"> however</w:t>
      </w:r>
      <w:r w:rsidR="002751D1">
        <w:t>,</w:t>
      </w:r>
      <w:r w:rsidRPr="003251C2">
        <w:t xml:space="preserve"> </w:t>
      </w:r>
      <w:r w:rsidR="002751D1">
        <w:t xml:space="preserve">avoid </w:t>
      </w:r>
      <w:r w:rsidRPr="003251C2">
        <w:t xml:space="preserve">changes to the heading structure used in the </w:t>
      </w:r>
      <w:r w:rsidR="002751D1">
        <w:t>e</w:t>
      </w:r>
      <w:r w:rsidRPr="003251C2">
        <w:t xml:space="preserve">xecutive </w:t>
      </w:r>
      <w:r w:rsidR="002751D1">
        <w:t>s</w:t>
      </w:r>
      <w:r w:rsidRPr="003251C2">
        <w:t>ummary.</w:t>
      </w:r>
    </w:p>
    <w:p w14:paraId="74D43887" w14:textId="4658946D" w:rsidR="00D36E67" w:rsidRPr="003251C2" w:rsidRDefault="00D36E67" w:rsidP="0070319A">
      <w:pPr>
        <w:pStyle w:val="Instructionaltext"/>
      </w:pPr>
      <w:r w:rsidRPr="003251C2">
        <w:lastRenderedPageBreak/>
        <w:t xml:space="preserve">Aim to keep the </w:t>
      </w:r>
      <w:r w:rsidR="002751D1">
        <w:t>e</w:t>
      </w:r>
      <w:r w:rsidRPr="003251C2">
        <w:t xml:space="preserve">xecutive </w:t>
      </w:r>
      <w:r w:rsidR="002751D1">
        <w:t>s</w:t>
      </w:r>
      <w:r w:rsidRPr="003251C2">
        <w:t>ummary brief (less than 20</w:t>
      </w:r>
      <w:r w:rsidR="002751D1">
        <w:t>–</w:t>
      </w:r>
      <w:r w:rsidRPr="003251C2">
        <w:t xml:space="preserve">30 pages). </w:t>
      </w:r>
    </w:p>
    <w:p w14:paraId="0F7CF672" w14:textId="7A1262AC" w:rsidR="004A7A52" w:rsidRPr="003251C2" w:rsidRDefault="00A15580" w:rsidP="0070319A">
      <w:pPr>
        <w:pStyle w:val="Instructionaltext"/>
      </w:pPr>
      <w:r w:rsidRPr="003251C2">
        <w:t xml:space="preserve">Avoid cross-referencing to the main body of the report. If there is relevant information in the main body, provide a brief summary. For example, do not state that </w:t>
      </w:r>
      <w:r w:rsidR="002751D1">
        <w:t>‘</w:t>
      </w:r>
      <w:r w:rsidRPr="003251C2">
        <w:t>Secondary outcomes are presented in Section 2A.3</w:t>
      </w:r>
      <w:r w:rsidR="002751D1">
        <w:t>’</w:t>
      </w:r>
      <w:r w:rsidRPr="003251C2">
        <w:t>. If the results of the secondary outcomes are relevant to the interpretation of the results in the executive summary, state</w:t>
      </w:r>
      <w:r w:rsidR="00D36376">
        <w:t>, for example,</w:t>
      </w:r>
      <w:r w:rsidRPr="003251C2">
        <w:t xml:space="preserve"> </w:t>
      </w:r>
      <w:r w:rsidR="00D36376">
        <w:t>‘</w:t>
      </w:r>
      <w:r w:rsidRPr="003251C2">
        <w:t>The results of the secondary outcomes are consistent with those of overall survival and progression</w:t>
      </w:r>
      <w:r w:rsidR="00D36376">
        <w:t>-</w:t>
      </w:r>
      <w:r w:rsidRPr="003251C2">
        <w:t>free survival</w:t>
      </w:r>
      <w:r w:rsidR="00D36376">
        <w:t>’</w:t>
      </w:r>
      <w:r w:rsidRPr="003251C2">
        <w:t xml:space="preserve">. </w:t>
      </w:r>
    </w:p>
    <w:p w14:paraId="256C23C2" w14:textId="3BE05CCC" w:rsidR="004A7A52" w:rsidRDefault="00A15580" w:rsidP="0070319A">
      <w:pPr>
        <w:pStyle w:val="Instructionaltext"/>
      </w:pPr>
      <w:r w:rsidRPr="003251C2">
        <w:t>Use references sparingly and insert them as footnotes.</w:t>
      </w:r>
    </w:p>
    <w:p w14:paraId="2954DA6C" w14:textId="261A6A55" w:rsidR="00C72177" w:rsidRPr="00CE28E3" w:rsidRDefault="00C72177" w:rsidP="0070319A">
      <w:pPr>
        <w:pStyle w:val="Instructionaltext"/>
      </w:pPr>
      <w:r>
        <w:t>[End instructional text]</w:t>
      </w:r>
    </w:p>
    <w:bookmarkEnd w:id="9"/>
    <w:p w14:paraId="7767DE54" w14:textId="77777777" w:rsidR="004A7A52" w:rsidRPr="00CE28E3" w:rsidRDefault="004A7A52" w:rsidP="00DE7099">
      <w:pPr>
        <w:sectPr w:rsidR="004A7A52" w:rsidRPr="00CE28E3">
          <w:pgSz w:w="11906" w:h="16838"/>
          <w:pgMar w:top="1440" w:right="1440" w:bottom="1440" w:left="1440" w:header="708" w:footer="708" w:gutter="0"/>
          <w:cols w:space="708"/>
          <w:docGrid w:linePitch="360"/>
        </w:sectPr>
      </w:pPr>
    </w:p>
    <w:p w14:paraId="7269E8DF" w14:textId="5E76BD7E" w:rsidR="00772829" w:rsidRPr="00CE28E3" w:rsidRDefault="00772829" w:rsidP="00A43755">
      <w:pPr>
        <w:spacing w:after="240"/>
        <w:rPr>
          <w:b/>
          <w:i/>
          <w:szCs w:val="24"/>
          <w:highlight w:val="yellow"/>
        </w:rPr>
      </w:pPr>
    </w:p>
    <w:p w14:paraId="6417A49A" w14:textId="431F7D61" w:rsidR="00772829" w:rsidRPr="00C72177" w:rsidRDefault="00784341" w:rsidP="000A2DA8">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bookmarkStart w:id="10" w:name="_Hlk68005436"/>
      <w:bookmarkStart w:id="11" w:name="_Toc69491414"/>
      <w:r w:rsidRPr="00784341">
        <w:rPr>
          <w:rFonts w:ascii="Arial" w:hAnsi="Arial" w:cs="Arial"/>
          <w:b/>
          <w:bCs/>
          <w:color w:val="000080"/>
          <w:sz w:val="36"/>
          <w:szCs w:val="36"/>
        </w:rPr>
        <w:t>Commentary</w:t>
      </w:r>
      <w:r w:rsidR="00772829" w:rsidRPr="00C72177">
        <w:rPr>
          <w:rFonts w:ascii="Arial" w:hAnsi="Arial" w:cs="Arial"/>
          <w:b/>
          <w:bCs/>
          <w:color w:val="000080"/>
          <w:sz w:val="36"/>
          <w:szCs w:val="36"/>
        </w:rPr>
        <w:t xml:space="preserve"> Executive Summary</w:t>
      </w:r>
      <w:bookmarkEnd w:id="10"/>
      <w:bookmarkEnd w:id="11"/>
    </w:p>
    <w:p w14:paraId="7A128FDE" w14:textId="11201FF3" w:rsidR="00772829" w:rsidRPr="00CE28E3" w:rsidRDefault="00772829" w:rsidP="00772829">
      <w:pPr>
        <w:pStyle w:val="Subtitle"/>
      </w:pPr>
      <w:r w:rsidRPr="00CE28E3">
        <w:t xml:space="preserve">Application No. </w:t>
      </w:r>
      <w:r w:rsidR="005B7D6C" w:rsidRPr="005B7D6C">
        <w:rPr>
          <w:highlight w:val="cyan"/>
        </w:rPr>
        <w:t>*</w:t>
      </w:r>
      <w:r w:rsidRPr="003251C2">
        <w:rPr>
          <w:highlight w:val="cyan"/>
        </w:rPr>
        <w:t>XXXX – Application name (from MSAC website)</w:t>
      </w:r>
    </w:p>
    <w:p w14:paraId="35263561" w14:textId="7ADF8BDD"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legal name of applicant]</w:t>
      </w:r>
    </w:p>
    <w:p w14:paraId="15DA9C4A" w14:textId="3DF43D1D" w:rsidR="009A3778" w:rsidRDefault="00772829" w:rsidP="00772829">
      <w:pPr>
        <w:tabs>
          <w:tab w:val="left" w:pos="3686"/>
        </w:tabs>
        <w:spacing w:after="360"/>
        <w:rPr>
          <w:rFonts w:ascii="Arial" w:hAnsi="Arial" w:cs="Arial"/>
          <w:b/>
          <w:szCs w:val="24"/>
          <w:highlight w:val="cyan"/>
        </w:rPr>
      </w:pPr>
      <w:r w:rsidRPr="00CE28E3">
        <w:rPr>
          <w:rFonts w:ascii="Arial" w:hAnsi="Arial" w:cs="Arial"/>
          <w:b/>
          <w:szCs w:val="24"/>
        </w:rPr>
        <w:t>Date of MSAC consideration:</w:t>
      </w:r>
      <w:r w:rsidRPr="00CE28E3">
        <w:rPr>
          <w:rFonts w:ascii="Arial" w:hAnsi="Arial" w:cs="Arial"/>
          <w:b/>
          <w:szCs w:val="24"/>
        </w:rPr>
        <w:tab/>
        <w:t xml:space="preserve">MSAC </w:t>
      </w:r>
      <w:r w:rsidR="005B7D6C" w:rsidRPr="005B7D6C">
        <w:rPr>
          <w:rFonts w:ascii="Arial" w:hAnsi="Arial" w:cs="Arial"/>
          <w:b/>
          <w:szCs w:val="24"/>
          <w:highlight w:val="cyan"/>
        </w:rPr>
        <w:t>*</w:t>
      </w:r>
      <w:proofErr w:type="spellStart"/>
      <w:r w:rsidRPr="003251C2">
        <w:rPr>
          <w:rFonts w:ascii="Arial" w:hAnsi="Arial" w:cs="Arial"/>
          <w:b/>
          <w:szCs w:val="24"/>
          <w:highlight w:val="cyan"/>
        </w:rPr>
        <w:t>XX</w:t>
      </w:r>
      <w:r w:rsidRPr="000A2DA8">
        <w:rPr>
          <w:rFonts w:ascii="Arial" w:hAnsi="Arial" w:cs="Arial"/>
          <w:b/>
          <w:szCs w:val="24"/>
          <w:highlight w:val="cyan"/>
        </w:rPr>
        <w:t>th</w:t>
      </w:r>
      <w:proofErr w:type="spellEnd"/>
      <w:r w:rsidRPr="00CE28E3">
        <w:rPr>
          <w:rFonts w:ascii="Arial" w:hAnsi="Arial" w:cs="Arial"/>
          <w:b/>
          <w:szCs w:val="24"/>
        </w:rPr>
        <w:t xml:space="preserve"> Meeting, </w:t>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meeting date]</w:t>
      </w:r>
      <w:r w:rsidR="009A3778">
        <w:rPr>
          <w:rFonts w:ascii="Arial" w:hAnsi="Arial" w:cs="Arial"/>
          <w:b/>
          <w:szCs w:val="24"/>
          <w:highlight w:val="cyan"/>
        </w:rPr>
        <w:br w:type="page"/>
      </w:r>
    </w:p>
    <w:tbl>
      <w:tblPr>
        <w:tblStyle w:val="TableGrid"/>
        <w:tblW w:w="0" w:type="auto"/>
        <w:tblLook w:val="04A0" w:firstRow="1" w:lastRow="0" w:firstColumn="1" w:lastColumn="0" w:noHBand="0" w:noVBand="1"/>
      </w:tblPr>
      <w:tblGrid>
        <w:gridCol w:w="9016"/>
      </w:tblGrid>
      <w:tr w:rsidR="00E21B03" w:rsidRPr="00CE28E3" w14:paraId="2ED094E6" w14:textId="77777777" w:rsidTr="00E21B03">
        <w:tc>
          <w:tcPr>
            <w:tcW w:w="9016" w:type="dxa"/>
          </w:tcPr>
          <w:p w14:paraId="6935F9EF" w14:textId="77777777" w:rsidR="0070319A" w:rsidRPr="008967C4" w:rsidRDefault="00E21B03" w:rsidP="008967C4">
            <w:pPr>
              <w:spacing w:before="240" w:after="240"/>
              <w:rPr>
                <w:b/>
                <w:bCs/>
                <w:sz w:val="24"/>
                <w:szCs w:val="24"/>
              </w:rPr>
            </w:pPr>
            <w:bookmarkStart w:id="12" w:name="_Hlk69734340"/>
            <w:r w:rsidRPr="008967C4">
              <w:rPr>
                <w:b/>
                <w:bCs/>
                <w:sz w:val="24"/>
                <w:szCs w:val="24"/>
              </w:rPr>
              <w:lastRenderedPageBreak/>
              <w:t xml:space="preserve">Main issues for MSAC consideration </w:t>
            </w:r>
          </w:p>
          <w:p w14:paraId="605FA121" w14:textId="4EBAD382" w:rsidR="00E21B03" w:rsidRPr="003251C2" w:rsidRDefault="00310C3F" w:rsidP="0070319A">
            <w:pPr>
              <w:pStyle w:val="Instructionaltext"/>
            </w:pPr>
            <w:r w:rsidRPr="00310C3F">
              <w:rPr>
                <w:rFonts w:eastAsia="Calibri" w:cs="Times New Roman"/>
              </w:rPr>
              <w:t>[Instructional text]</w:t>
            </w:r>
            <w:r w:rsidR="0070319A">
              <w:rPr>
                <w:rFonts w:eastAsia="Calibri" w:cs="Times New Roman"/>
              </w:rPr>
              <w:t xml:space="preserve"> </w:t>
            </w:r>
            <w:r>
              <w:t>Provide</w:t>
            </w:r>
            <w:r w:rsidR="00E21B03" w:rsidRPr="003251C2">
              <w:t xml:space="preserve"> a high-level summary of the issues that are pivotal for MSAC decision-making. </w:t>
            </w:r>
            <w:r w:rsidR="008C45E2">
              <w:t>This summary</w:t>
            </w:r>
            <w:r w:rsidR="00E21B03" w:rsidRPr="003251C2">
              <w:t xml:space="preserve"> is not intended as stand-alone information, and should only include sufficient information to understand the main issues. Further supporting detail should be included elsewhere in the executive summary. List issues in order of importance. </w:t>
            </w:r>
            <w:r w:rsidRPr="00310C3F">
              <w:t>[End instructional text]</w:t>
            </w:r>
          </w:p>
          <w:p w14:paraId="7A9D88D4" w14:textId="096B906E" w:rsidR="00E21B03" w:rsidRDefault="00E21B03" w:rsidP="00E21B03">
            <w:pPr>
              <w:rPr>
                <w:b/>
              </w:rPr>
            </w:pPr>
            <w:r w:rsidRPr="00CE28E3">
              <w:rPr>
                <w:b/>
              </w:rPr>
              <w:t>Clinical issues:</w:t>
            </w:r>
          </w:p>
          <w:p w14:paraId="2FCCBE23"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43FF36A0" w14:textId="0861ECF9" w:rsidR="0070319A" w:rsidRPr="0070319A" w:rsidRDefault="008C45E2" w:rsidP="0070319A">
            <w:pPr>
              <w:spacing w:before="0" w:line="256" w:lineRule="auto"/>
              <w:rPr>
                <w:rFonts w:eastAsia="Calibri" w:cs="Times New Roman"/>
                <w:color w:val="258221"/>
              </w:rPr>
            </w:pPr>
            <w:r>
              <w:rPr>
                <w:rFonts w:eastAsia="Calibri" w:cs="Times New Roman"/>
                <w:color w:val="258221"/>
              </w:rPr>
              <w:t>Discuss:</w:t>
            </w:r>
          </w:p>
          <w:p w14:paraId="089726DA" w14:textId="6C8FB91B" w:rsidR="00E21B03" w:rsidRPr="003251C2" w:rsidRDefault="008C45E2" w:rsidP="00143F2F">
            <w:pPr>
              <w:pStyle w:val="Instructionaltext-bullet"/>
            </w:pPr>
            <w:r>
              <w:t>t</w:t>
            </w:r>
            <w:r w:rsidR="00E21B03" w:rsidRPr="003251C2">
              <w:t>he appropriateness of any requested MBS item descriptor. For example, is the descriptor consistent with MBS policy and TGA</w:t>
            </w:r>
            <w:r>
              <w:t>-</w:t>
            </w:r>
            <w:r w:rsidR="00E21B03" w:rsidRPr="003251C2">
              <w:t xml:space="preserve">approved/proposed use, including class? </w:t>
            </w:r>
          </w:p>
          <w:p w14:paraId="29BA3A29" w14:textId="55857814" w:rsidR="00E21B03" w:rsidRPr="003251C2" w:rsidRDefault="008C45E2" w:rsidP="00143F2F">
            <w:pPr>
              <w:pStyle w:val="Instructionaltext-bullet"/>
            </w:pPr>
            <w:r>
              <w:t>t</w:t>
            </w:r>
            <w:r w:rsidR="00E21B03" w:rsidRPr="003251C2">
              <w:t>he place and timing of the proposed technology in the clinical pathway</w:t>
            </w:r>
          </w:p>
          <w:p w14:paraId="6855FCE0" w14:textId="05235FAD" w:rsidR="00E21B03" w:rsidRPr="003251C2" w:rsidRDefault="008C45E2" w:rsidP="00143F2F">
            <w:pPr>
              <w:pStyle w:val="Instructionaltext-bullet"/>
            </w:pPr>
            <w:bookmarkStart w:id="13" w:name="_Hlk68020573"/>
            <w:r>
              <w:t>t</w:t>
            </w:r>
            <w:r w:rsidR="00E21B03" w:rsidRPr="003251C2">
              <w:t>he choice of the main comparator(s)</w:t>
            </w:r>
          </w:p>
          <w:bookmarkEnd w:id="13"/>
          <w:p w14:paraId="45D3103D" w14:textId="4A97A213" w:rsidR="00E21B03" w:rsidRPr="003251C2" w:rsidRDefault="008C45E2" w:rsidP="00143F2F">
            <w:pPr>
              <w:pStyle w:val="Instructionaltext-bullet"/>
            </w:pPr>
            <w:r>
              <w:t>t</w:t>
            </w:r>
            <w:r w:rsidR="00E21B03" w:rsidRPr="003251C2">
              <w:t>he choice of cut-off or diagnostic threshold of the test</w:t>
            </w:r>
          </w:p>
          <w:p w14:paraId="4D22DF75" w14:textId="2613A525" w:rsidR="00E21B03" w:rsidRPr="003251C2" w:rsidRDefault="008C45E2" w:rsidP="00143F2F">
            <w:pPr>
              <w:pStyle w:val="Instructionaltext-bullet"/>
            </w:pPr>
            <w:r>
              <w:t>t</w:t>
            </w:r>
            <w:r w:rsidR="00E21B03" w:rsidRPr="003251C2">
              <w:t>he availability of the clinical utility standard and other suitable test options in Australia</w:t>
            </w:r>
          </w:p>
          <w:p w14:paraId="4DE3698A" w14:textId="2B472DBF" w:rsidR="00E21B03" w:rsidRPr="003251C2" w:rsidRDefault="008C45E2" w:rsidP="00143F2F">
            <w:pPr>
              <w:pStyle w:val="Instructionaltext-bullet"/>
            </w:pPr>
            <w:r>
              <w:t>t</w:t>
            </w:r>
            <w:r w:rsidR="00E21B03" w:rsidRPr="003251C2">
              <w:t>he reference standard for testing, if available</w:t>
            </w:r>
          </w:p>
          <w:p w14:paraId="580CE723" w14:textId="64B2C03E" w:rsidR="0070319A" w:rsidRDefault="008C45E2" w:rsidP="00143F2F">
            <w:pPr>
              <w:pStyle w:val="Instructionaltext-bullet"/>
            </w:pPr>
            <w:r>
              <w:t>c</w:t>
            </w:r>
            <w:r w:rsidR="00E21B03" w:rsidRPr="003251C2">
              <w:t>aveats arising from the assessment of the primary source(s) of evidence</w:t>
            </w:r>
            <w:r w:rsidR="00681EC9">
              <w:t>.</w:t>
            </w:r>
          </w:p>
          <w:p w14:paraId="3DAA4BCF" w14:textId="5841B647" w:rsidR="0070319A" w:rsidRPr="003251C2" w:rsidRDefault="00310C3F" w:rsidP="0070319A">
            <w:pPr>
              <w:pStyle w:val="Instructionaltext"/>
              <w:spacing w:before="0"/>
            </w:pPr>
            <w:r w:rsidRPr="00310C3F">
              <w:t>[End instructional text]</w:t>
            </w:r>
          </w:p>
          <w:p w14:paraId="630481AC" w14:textId="4184A950" w:rsidR="00E21B03" w:rsidRDefault="00E21B03" w:rsidP="00E21B03">
            <w:pPr>
              <w:rPr>
                <w:b/>
              </w:rPr>
            </w:pPr>
            <w:r w:rsidRPr="00CE28E3">
              <w:rPr>
                <w:b/>
              </w:rPr>
              <w:t>Economic issues:</w:t>
            </w:r>
          </w:p>
          <w:p w14:paraId="0F01C52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2F95F153" w14:textId="5CA70899"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3EEF9035" w14:textId="04B328A8" w:rsidR="00E21B03" w:rsidRPr="003251C2" w:rsidRDefault="00681EC9" w:rsidP="00143F2F">
            <w:pPr>
              <w:pStyle w:val="Instructionaltext-bullet"/>
            </w:pPr>
            <w:r>
              <w:t>t</w:t>
            </w:r>
            <w:r w:rsidR="00E21B03" w:rsidRPr="003251C2">
              <w:t>he appropriateness of the estimate of the prevalence of the biomarker</w:t>
            </w:r>
          </w:p>
          <w:p w14:paraId="077C0A3D" w14:textId="58C68AD7" w:rsidR="00E21B03" w:rsidRPr="003251C2" w:rsidRDefault="00681EC9" w:rsidP="00143F2F">
            <w:pPr>
              <w:pStyle w:val="Instructionaltext-bullet"/>
            </w:pPr>
            <w:r>
              <w:t>w</w:t>
            </w:r>
            <w:r w:rsidR="00E21B03" w:rsidRPr="003251C2">
              <w:t>hether or not the economic model appropriately incorporated outcomes and costs for false</w:t>
            </w:r>
            <w:r>
              <w:t>-</w:t>
            </w:r>
            <w:r w:rsidR="00E21B03" w:rsidRPr="003251C2">
              <w:t>positive and false</w:t>
            </w:r>
            <w:r>
              <w:t>-</w:t>
            </w:r>
            <w:r w:rsidR="00E21B03" w:rsidRPr="003251C2">
              <w:t>negative test results</w:t>
            </w:r>
          </w:p>
          <w:p w14:paraId="3CA1767D" w14:textId="68F47B6B" w:rsidR="00E21B03" w:rsidRPr="003251C2" w:rsidRDefault="00681EC9" w:rsidP="00143F2F">
            <w:pPr>
              <w:pStyle w:val="Instructionaltext-bullet"/>
            </w:pPr>
            <w:r>
              <w:t>w</w:t>
            </w:r>
            <w:r w:rsidR="00E21B03" w:rsidRPr="003251C2">
              <w:t xml:space="preserve">hether or not the economic model appropriately incorporated any need for retesting and/or </w:t>
            </w:r>
            <w:proofErr w:type="spellStart"/>
            <w:r w:rsidR="00E21B03" w:rsidRPr="003251C2">
              <w:t>rebiopsy</w:t>
            </w:r>
            <w:proofErr w:type="spellEnd"/>
            <w:r w:rsidR="00E21B03" w:rsidRPr="003251C2">
              <w:t xml:space="preserve"> </w:t>
            </w:r>
          </w:p>
          <w:p w14:paraId="194B7952" w14:textId="062FB8E7" w:rsidR="00E21B03" w:rsidRPr="003251C2" w:rsidRDefault="00681EC9" w:rsidP="00143F2F">
            <w:pPr>
              <w:pStyle w:val="Instructionaltext-bullet"/>
            </w:pPr>
            <w:r>
              <w:t>i</w:t>
            </w:r>
            <w:r w:rsidR="00E21B03" w:rsidRPr="003251C2">
              <w:t>ssues arising from likely actual fees charged over MBS rebate amounts and implications for out-of-pocket payments and the Extended Medicare Safety Net.</w:t>
            </w:r>
          </w:p>
          <w:p w14:paraId="642BA4C0" w14:textId="31B3C2B7" w:rsidR="0070319A" w:rsidRPr="0070319A" w:rsidRDefault="00310C3F" w:rsidP="0070319A">
            <w:pPr>
              <w:pStyle w:val="Instructionaltext"/>
              <w:spacing w:before="0"/>
            </w:pPr>
            <w:r w:rsidRPr="00310C3F">
              <w:t>[End instructional text]</w:t>
            </w:r>
          </w:p>
          <w:p w14:paraId="072FCB45" w14:textId="5A25AE2A" w:rsidR="00E21B03" w:rsidRDefault="00E21B03" w:rsidP="00681EC9">
            <w:pPr>
              <w:rPr>
                <w:b/>
              </w:rPr>
            </w:pPr>
            <w:r w:rsidRPr="00CE28E3">
              <w:rPr>
                <w:b/>
              </w:rPr>
              <w:t>Financial issues:</w:t>
            </w:r>
          </w:p>
          <w:p w14:paraId="4601F8F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115E8915" w14:textId="51F52E67"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4F95DC6C" w14:textId="5E65A796" w:rsidR="00E21B03" w:rsidRPr="003251C2" w:rsidRDefault="00681EC9" w:rsidP="00143F2F">
            <w:pPr>
              <w:pStyle w:val="Instructionaltext-bullet"/>
            </w:pPr>
            <w:r>
              <w:t>t</w:t>
            </w:r>
            <w:r w:rsidR="00E21B03" w:rsidRPr="003251C2">
              <w:t>he appropriateness of assumptions used to estimate the numbers of eligible patients each year</w:t>
            </w:r>
          </w:p>
          <w:p w14:paraId="43360A94" w14:textId="7D227C44" w:rsidR="00E21B03" w:rsidRPr="003251C2" w:rsidRDefault="00681EC9" w:rsidP="00143F2F">
            <w:pPr>
              <w:pStyle w:val="Instructionaltext-bullet"/>
            </w:pPr>
            <w:r>
              <w:t>whether</w:t>
            </w:r>
            <w:r w:rsidR="00E21B03" w:rsidRPr="003251C2">
              <w:t xml:space="preserve"> there are under</w:t>
            </w:r>
            <w:r>
              <w:t>-</w:t>
            </w:r>
            <w:r w:rsidR="00E21B03" w:rsidRPr="003251C2">
              <w:t xml:space="preserve"> or overestimates, </w:t>
            </w:r>
            <w:r>
              <w:t xml:space="preserve">and </w:t>
            </w:r>
            <w:r w:rsidR="00E21B03" w:rsidRPr="003251C2">
              <w:t>the likely magnitude of these</w:t>
            </w:r>
          </w:p>
          <w:p w14:paraId="0B40A676" w14:textId="2F0632B7" w:rsidR="00E21B03" w:rsidRPr="003251C2" w:rsidRDefault="00681EC9" w:rsidP="00143F2F">
            <w:pPr>
              <w:pStyle w:val="Instructionaltext-bullet"/>
            </w:pPr>
            <w:r>
              <w:t>t</w:t>
            </w:r>
            <w:r w:rsidR="00E21B03" w:rsidRPr="003251C2">
              <w:t>he potential for use beyond the population specified by the MBS item descriptor.</w:t>
            </w:r>
          </w:p>
          <w:p w14:paraId="63275454" w14:textId="228DB70A" w:rsidR="0070319A" w:rsidRDefault="00310C3F" w:rsidP="0070319A">
            <w:pPr>
              <w:pStyle w:val="Instructionaltext"/>
              <w:spacing w:before="0"/>
            </w:pPr>
            <w:r w:rsidRPr="00310C3F">
              <w:t>[End instructional text]</w:t>
            </w:r>
          </w:p>
          <w:p w14:paraId="62E8C72A" w14:textId="1BD4739E" w:rsidR="00E21B03" w:rsidRDefault="00E21B03" w:rsidP="00E21B03">
            <w:pPr>
              <w:rPr>
                <w:b/>
              </w:rPr>
            </w:pPr>
            <w:r w:rsidRPr="00CE28E3">
              <w:rPr>
                <w:b/>
              </w:rPr>
              <w:t xml:space="preserve">Other relevant </w:t>
            </w:r>
            <w:r w:rsidR="0052575D">
              <w:rPr>
                <w:b/>
              </w:rPr>
              <w:t>information</w:t>
            </w:r>
            <w:r w:rsidRPr="00CE28E3">
              <w:rPr>
                <w:b/>
              </w:rPr>
              <w:t>:</w:t>
            </w:r>
          </w:p>
          <w:p w14:paraId="53FCF2E1"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7B85D19F" w14:textId="54B8E383"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172D7B1D" w14:textId="406445C5" w:rsidR="00E21B03" w:rsidRPr="003251C2" w:rsidRDefault="00E21B03" w:rsidP="00143F2F">
            <w:pPr>
              <w:pStyle w:val="Instructionaltext-bullet"/>
            </w:pPr>
            <w:r w:rsidRPr="003251C2">
              <w:t xml:space="preserve">any issues related to the value of knowing. This section </w:t>
            </w:r>
            <w:r w:rsidR="00F57885" w:rsidRPr="003251C2">
              <w:t>is included if the results are likely to affect the interpretation of the key results, or influence MSAC decision-making</w:t>
            </w:r>
            <w:r w:rsidRPr="003251C2">
              <w:t xml:space="preserve">. </w:t>
            </w:r>
          </w:p>
          <w:p w14:paraId="70C87D21" w14:textId="58FFA70C" w:rsidR="00E21B03" w:rsidRPr="0070319A" w:rsidRDefault="00E21B03" w:rsidP="00143F2F">
            <w:pPr>
              <w:pStyle w:val="Instructionaltext-bullet"/>
            </w:pPr>
            <w:r w:rsidRPr="003251C2">
              <w:t>any other relevant issues that MSAC might wish to take into consideration</w:t>
            </w:r>
            <w:r w:rsidR="00681EC9">
              <w:t>, for example,</w:t>
            </w:r>
            <w:r w:rsidRPr="003251C2">
              <w:t xml:space="preserve"> equity issues, accessibility issues due to location restrictions, workforce issues, results of clinical trials or studies that are imminent. This section should only be included if considered sufficiently importa</w:t>
            </w:r>
            <w:r w:rsidRPr="0070319A">
              <w:t>nt.</w:t>
            </w:r>
          </w:p>
          <w:p w14:paraId="321D72F9" w14:textId="4712427E" w:rsidR="0070319A" w:rsidRPr="0070319A" w:rsidRDefault="00310C3F" w:rsidP="0070319A">
            <w:pPr>
              <w:pStyle w:val="Instructionaltext"/>
              <w:spacing w:before="0"/>
            </w:pPr>
            <w:r w:rsidRPr="00310C3F">
              <w:t>[End instructional text]</w:t>
            </w:r>
          </w:p>
        </w:tc>
      </w:tr>
      <w:bookmarkEnd w:id="12"/>
    </w:tbl>
    <w:p w14:paraId="5F91530E" w14:textId="77777777" w:rsidR="00E76AE0" w:rsidRDefault="00E76AE0" w:rsidP="00223664">
      <w:r>
        <w:br w:type="page"/>
      </w:r>
    </w:p>
    <w:p w14:paraId="7EAA7262" w14:textId="77335A16" w:rsidR="00772829" w:rsidRPr="00CE28E3" w:rsidRDefault="00C36633" w:rsidP="00C36633">
      <w:pPr>
        <w:pStyle w:val="Heading2"/>
        <w:numPr>
          <w:ilvl w:val="0"/>
          <w:numId w:val="0"/>
        </w:numPr>
      </w:pPr>
      <w:bookmarkStart w:id="14" w:name="_Toc69491415"/>
      <w:r>
        <w:lastRenderedPageBreak/>
        <w:t>1.</w:t>
      </w:r>
      <w:r>
        <w:tab/>
      </w:r>
      <w:r w:rsidR="00772829" w:rsidRPr="00CE28E3">
        <w:t xml:space="preserve">Purpose </w:t>
      </w:r>
      <w:r w:rsidR="00772829" w:rsidRPr="00CE28E3">
        <w:rPr>
          <w:szCs w:val="32"/>
        </w:rPr>
        <w:t>of</w:t>
      </w:r>
      <w:r w:rsidR="00772829" w:rsidRPr="00CE28E3">
        <w:t xml:space="preserve"> application</w:t>
      </w:r>
      <w:bookmarkEnd w:id="14"/>
    </w:p>
    <w:p w14:paraId="037CB9BA" w14:textId="7B498887" w:rsidR="0068682C" w:rsidRPr="000D1B52" w:rsidRDefault="003F7196" w:rsidP="00502FFB">
      <w:pPr>
        <w:pStyle w:val="Guidelinescross-ref"/>
      </w:pPr>
      <w:bookmarkStart w:id="15" w:name="_Hlk69734469"/>
      <w:r w:rsidRPr="003F7196">
        <w:t>Refer to:</w:t>
      </w:r>
      <w:r>
        <w:t xml:space="preserve"> </w:t>
      </w:r>
      <w:r w:rsidR="0068682C" w:rsidRPr="000D1B52">
        <w:t>MSAC Guidelines TG 1.1</w:t>
      </w:r>
      <w:r w:rsidR="000D1B52" w:rsidRPr="000D1B52">
        <w:t xml:space="preserve"> (Request for public funding)</w:t>
      </w:r>
    </w:p>
    <w:p w14:paraId="474990B6" w14:textId="3F37573A" w:rsidR="00310C3F" w:rsidRDefault="00310C3F" w:rsidP="00310C3F">
      <w:pPr>
        <w:pStyle w:val="Instructionaltext"/>
      </w:pPr>
      <w:r w:rsidRPr="00310C3F">
        <w:t>[Instructional text]</w:t>
      </w:r>
      <w:r>
        <w:t xml:space="preserve"> Summarise the purpose of the application</w:t>
      </w:r>
      <w:r w:rsidR="009A3778">
        <w:t xml:space="preserve"> using the following format:</w:t>
      </w:r>
      <w:r>
        <w:t xml:space="preserve"> </w:t>
      </w:r>
      <w:r w:rsidRPr="00310C3F">
        <w:t>[End instructional text]</w:t>
      </w:r>
    </w:p>
    <w:p w14:paraId="6BF31FF2" w14:textId="3D98FF2A" w:rsidR="00772829" w:rsidRPr="009A3778" w:rsidRDefault="00772829" w:rsidP="00772829">
      <w:pPr>
        <w:spacing w:after="240"/>
        <w:rPr>
          <w:iCs/>
        </w:rPr>
      </w:pPr>
      <w:r w:rsidRPr="009A3778">
        <w:rPr>
          <w:iCs/>
        </w:rPr>
        <w:t>An application requesting [</w:t>
      </w:r>
      <w:r w:rsidR="00284340" w:rsidRPr="009A3778">
        <w:rPr>
          <w:iCs/>
          <w:highlight w:val="cyan"/>
        </w:rPr>
        <w:t>*</w:t>
      </w:r>
      <w:r w:rsidRPr="009A3778">
        <w:rPr>
          <w:iCs/>
          <w:highlight w:val="cyan"/>
        </w:rPr>
        <w:t>Medicare Benefits Schedule (MBS) listing OR public funding]</w:t>
      </w:r>
      <w:r w:rsidRPr="009A3778">
        <w:rPr>
          <w:iCs/>
        </w:rPr>
        <w:t xml:space="preserve"> of [</w:t>
      </w:r>
      <w:r w:rsidR="00284340" w:rsidRPr="009A3778">
        <w:rPr>
          <w:iCs/>
          <w:highlight w:val="cyan"/>
        </w:rPr>
        <w:t>*</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00F50585" w:rsidRPr="009A3778">
        <w:rPr>
          <w:iCs/>
        </w:rPr>
        <w:t>)</w:t>
      </w:r>
      <w:r w:rsidRPr="009A3778">
        <w:rPr>
          <w:iCs/>
        </w:rPr>
        <w:t>] for [</w:t>
      </w:r>
      <w:r w:rsidR="00284340" w:rsidRPr="009A3778">
        <w:rPr>
          <w:iCs/>
          <w:highlight w:val="cyan"/>
        </w:rPr>
        <w:t>*</w:t>
      </w:r>
      <w:r w:rsidRPr="009A3778">
        <w:rPr>
          <w:iCs/>
          <w:highlight w:val="cyan"/>
        </w:rPr>
        <w:t>indication</w:t>
      </w:r>
      <w:r w:rsidRPr="009A3778">
        <w:rPr>
          <w:iCs/>
        </w:rPr>
        <w:t xml:space="preserve"> – e.g.</w:t>
      </w:r>
      <w:r w:rsidR="00284340" w:rsidRPr="009A3778">
        <w:rPr>
          <w:iCs/>
        </w:rPr>
        <w:t> </w:t>
      </w:r>
      <w:r w:rsidRPr="009A3778">
        <w:rPr>
          <w:iCs/>
        </w:rPr>
        <w:t>treatment of antidepressant medication-resistant major depressive disorder (MDD)] was received from the [</w:t>
      </w:r>
      <w:r w:rsidR="00284340" w:rsidRPr="009A3778">
        <w:rPr>
          <w:iCs/>
          <w:highlight w:val="cyan"/>
        </w:rPr>
        <w:t>*</w:t>
      </w:r>
      <w:r w:rsidRPr="009A3778">
        <w:rPr>
          <w:iCs/>
          <w:highlight w:val="cyan"/>
        </w:rPr>
        <w:t>legal name of applicant</w:t>
      </w:r>
      <w:r w:rsidRPr="009A3778">
        <w:rPr>
          <w:iCs/>
        </w:rPr>
        <w:t>] by the Department of Health.</w:t>
      </w:r>
    </w:p>
    <w:p w14:paraId="691D7AFA" w14:textId="77777777" w:rsidR="00772829" w:rsidRPr="009A3778" w:rsidRDefault="00772829" w:rsidP="00772829">
      <w:pPr>
        <w:spacing w:after="240"/>
        <w:rPr>
          <w:iCs/>
        </w:rPr>
      </w:pPr>
      <w:r w:rsidRPr="009A3778">
        <w:rPr>
          <w:iCs/>
        </w:rPr>
        <w:t>OR</w:t>
      </w:r>
    </w:p>
    <w:p w14:paraId="2B03B099" w14:textId="77777777" w:rsidR="00772829" w:rsidRPr="009A3778" w:rsidRDefault="00772829" w:rsidP="009B2245">
      <w:pPr>
        <w:spacing w:after="120"/>
        <w:rPr>
          <w:iCs/>
          <w:szCs w:val="24"/>
        </w:rPr>
      </w:pPr>
      <w:r w:rsidRPr="009A3778">
        <w:rPr>
          <w:iCs/>
          <w:szCs w:val="24"/>
        </w:rPr>
        <w:t>The codependent application requested:</w:t>
      </w:r>
    </w:p>
    <w:p w14:paraId="479AA703" w14:textId="28EC27B9"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Medicare Benefits Schedule (MBS)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intervention name</w:t>
      </w:r>
      <w:r w:rsidR="00310C3F" w:rsidRPr="009A3778">
        <w:rPr>
          <w:iCs/>
          <w:szCs w:val="24"/>
        </w:rPr>
        <w:t xml:space="preserve"> – e.g. </w:t>
      </w:r>
      <w:r w:rsidRPr="009A3778">
        <w:rPr>
          <w:iCs/>
          <w:szCs w:val="24"/>
        </w:rPr>
        <w:t xml:space="preserve">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w:t>
      </w:r>
      <w:r w:rsidR="00310C3F" w:rsidRPr="009A3778">
        <w:rPr>
          <w:iCs/>
          <w:szCs w:val="24"/>
        </w:rPr>
        <w:t>]</w:t>
      </w:r>
      <w:r w:rsidRPr="009A3778">
        <w:rPr>
          <w:iCs/>
          <w:szCs w:val="24"/>
        </w:rPr>
        <w:t>; and</w:t>
      </w:r>
    </w:p>
    <w:p w14:paraId="1305F83B" w14:textId="55E6BFBC"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Pharmaceutical Benefits Scheme (PBS) Authority Required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medicine name</w:t>
      </w:r>
      <w:r w:rsidR="00310C3F" w:rsidRPr="009A3778">
        <w:rPr>
          <w:iCs/>
          <w:szCs w:val="24"/>
        </w:rPr>
        <w:t xml:space="preserve"> – e.g.</w:t>
      </w:r>
      <w:r w:rsidR="00F50585" w:rsidRPr="009A3778">
        <w:rPr>
          <w:iCs/>
          <w:szCs w:val="24"/>
        </w:rPr>
        <w:t>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r w:rsidR="00310C3F" w:rsidRPr="009A3778">
        <w:rPr>
          <w:iCs/>
          <w:szCs w:val="24"/>
        </w:rPr>
        <w:t>]</w:t>
      </w:r>
      <w:r w:rsidRPr="009A3778">
        <w:rPr>
          <w:iCs/>
          <w:szCs w:val="24"/>
        </w:rPr>
        <w:t>.</w:t>
      </w:r>
    </w:p>
    <w:p w14:paraId="6710B69D" w14:textId="54E5DC9B" w:rsidR="00772829" w:rsidRPr="00CE28E3" w:rsidRDefault="00C36633" w:rsidP="002A18BE">
      <w:pPr>
        <w:pStyle w:val="Heading2"/>
        <w:numPr>
          <w:ilvl w:val="0"/>
          <w:numId w:val="0"/>
        </w:numPr>
      </w:pPr>
      <w:bookmarkStart w:id="16" w:name="_Toc69491416"/>
      <w:bookmarkEnd w:id="15"/>
      <w:r>
        <w:t>2.</w:t>
      </w:r>
      <w:r>
        <w:tab/>
      </w:r>
      <w:r w:rsidR="00772829" w:rsidRPr="00CE28E3">
        <w:t>Background</w:t>
      </w:r>
      <w:bookmarkEnd w:id="16"/>
    </w:p>
    <w:p w14:paraId="0BFE4B11" w14:textId="77777777" w:rsidR="00310C3F" w:rsidRDefault="00310C3F" w:rsidP="00E76AE0">
      <w:pPr>
        <w:pStyle w:val="Instructionaltext"/>
      </w:pPr>
      <w:bookmarkStart w:id="17" w:name="_Hlk69734494"/>
      <w:r w:rsidRPr="00310C3F">
        <w:t xml:space="preserve">[Instructional text] </w:t>
      </w:r>
    </w:p>
    <w:p w14:paraId="745AC0A0" w14:textId="4BE5DC75" w:rsidR="00BE5374" w:rsidRPr="00330A0A" w:rsidRDefault="00C52FD1" w:rsidP="00E76AE0">
      <w:pPr>
        <w:pStyle w:val="Instructionaltext"/>
      </w:pPr>
      <w:r w:rsidRPr="00330A0A">
        <w:t>Summarise any relevant background to the application</w:t>
      </w:r>
      <w:r w:rsidR="00B62604">
        <w:t>, such as prior applications for the same or similar technologies</w:t>
      </w:r>
      <w:r w:rsidRPr="00330A0A">
        <w:t>.</w:t>
      </w:r>
      <w:r w:rsidR="00BE5374" w:rsidRPr="00330A0A">
        <w:t xml:space="preserve"> Example text:</w:t>
      </w:r>
      <w:r w:rsidR="00310C3F">
        <w:t xml:space="preserve"> </w:t>
      </w:r>
    </w:p>
    <w:p w14:paraId="038F8214" w14:textId="77777777" w:rsidR="00BE5374" w:rsidRPr="00CE28E3" w:rsidRDefault="00CA42D6" w:rsidP="000A2DA8">
      <w:pPr>
        <w:pStyle w:val="Instructionaltext"/>
      </w:pPr>
      <w:r w:rsidRPr="00CE28E3">
        <w:t>MSAC has not previously considered</w:t>
      </w:r>
      <w:r w:rsidR="00BE5374" w:rsidRPr="00CE28E3">
        <w:t xml:space="preserve"> single-balloon </w:t>
      </w:r>
      <w:proofErr w:type="spellStart"/>
      <w:r w:rsidR="00BE5374" w:rsidRPr="00CE28E3">
        <w:t>enteroscopy</w:t>
      </w:r>
      <w:proofErr w:type="spellEnd"/>
      <w:r w:rsidR="00BE5374" w:rsidRPr="00CE28E3">
        <w:t xml:space="preserve"> for the investigation of gastrointestinal bleeding.</w:t>
      </w:r>
    </w:p>
    <w:p w14:paraId="51881C68" w14:textId="35928E3D" w:rsidR="00C52FD1" w:rsidRDefault="00BE5374" w:rsidP="000A2DA8">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w:t>
      </w:r>
      <w:r w:rsidR="00CA42D6" w:rsidRPr="00CE28E3">
        <w:t xml:space="preserve">. </w:t>
      </w:r>
    </w:p>
    <w:p w14:paraId="232301B3" w14:textId="0EE209CE" w:rsidR="00CA42D6" w:rsidRPr="000D1B52" w:rsidRDefault="003F7196" w:rsidP="00502FFB">
      <w:pPr>
        <w:pStyle w:val="Guidelinescross-ref"/>
      </w:pPr>
      <w:r w:rsidRPr="003F7196">
        <w:t xml:space="preserve">Refer to: </w:t>
      </w:r>
      <w:r w:rsidR="00CA42D6" w:rsidRPr="000D1B52">
        <w:t>MSAC Guidelines TG 4</w:t>
      </w:r>
      <w:r w:rsidR="000D1B52" w:rsidRPr="000D1B52">
        <w:t xml:space="preserve"> (History of MSAC submissions for the health technology)</w:t>
      </w:r>
    </w:p>
    <w:p w14:paraId="393570D8" w14:textId="4CA9D9CF" w:rsidR="00CA42D6" w:rsidRPr="00330A0A" w:rsidRDefault="00C52FD1" w:rsidP="00E76AE0">
      <w:pPr>
        <w:pStyle w:val="Instructionaltext"/>
      </w:pPr>
      <w:r w:rsidRPr="00330A0A">
        <w:t>If the proposed technology has been previously considered by MSAC (for this or a similar indication), summarise the previous MSAC considerations. Include other relevant MSAC considerations, if informative.</w:t>
      </w:r>
    </w:p>
    <w:p w14:paraId="6A1DE8F1" w14:textId="32E413E7" w:rsidR="0000109A" w:rsidRDefault="0000109A" w:rsidP="00E76AE0">
      <w:pPr>
        <w:pStyle w:val="Instructionaltext"/>
      </w:pPr>
      <w:r>
        <w:t xml:space="preserve">Summarise the key matters of concern from previous considerations using </w:t>
      </w:r>
      <w:r w:rsidR="00CA42D6" w:rsidRPr="00330A0A">
        <w:t>the standard table format</w:t>
      </w:r>
      <w:r>
        <w:t xml:space="preserve"> </w:t>
      </w:r>
      <w:r w:rsidR="00CA42D6" w:rsidRPr="00330A0A">
        <w:t>below</w:t>
      </w:r>
      <w:r>
        <w:t xml:space="preserve"> (</w:t>
      </w:r>
      <w:r>
        <w:fldChar w:fldCharType="begin"/>
      </w:r>
      <w:r>
        <w:instrText xml:space="preserve"> REF _Ref69480768 \h </w:instrText>
      </w:r>
      <w:r>
        <w:fldChar w:fldCharType="separate"/>
      </w:r>
      <w:r w:rsidR="004A4FDF" w:rsidRPr="00CE28E3">
        <w:t>Table</w:t>
      </w:r>
      <w:r w:rsidR="004A4FDF">
        <w:t> </w:t>
      </w:r>
      <w:r w:rsidR="004A4FDF">
        <w:rPr>
          <w:noProof/>
        </w:rPr>
        <w:t>1</w:t>
      </w:r>
      <w:r>
        <w:fldChar w:fldCharType="end"/>
      </w:r>
      <w:r w:rsidR="00CA42D6" w:rsidRPr="00330A0A">
        <w:t>) and include hyperlinks to key relevant published PSDs.</w:t>
      </w:r>
      <w:r w:rsidR="00037302">
        <w:t xml:space="preserve"> </w:t>
      </w:r>
    </w:p>
    <w:p w14:paraId="2C527706" w14:textId="023FF16F" w:rsidR="00F57885" w:rsidRPr="00310C3F" w:rsidRDefault="00310C3F" w:rsidP="00E76AE0">
      <w:pPr>
        <w:pStyle w:val="Instructionaltext"/>
      </w:pPr>
      <w:r w:rsidRPr="00310C3F">
        <w:t>[End instructional text]</w:t>
      </w:r>
    </w:p>
    <w:p w14:paraId="6EC12EDF" w14:textId="0BD87802" w:rsidR="0068682C" w:rsidRPr="00CE28E3" w:rsidRDefault="0068682C" w:rsidP="0068682C">
      <w:pPr>
        <w:pStyle w:val="Caption"/>
      </w:pPr>
      <w:bookmarkStart w:id="18" w:name="_Ref69480768"/>
      <w:bookmarkStart w:id="19" w:name="_Hlk69734557"/>
      <w:bookmarkEnd w:id="17"/>
      <w:r w:rsidRPr="00CE28E3">
        <w:lastRenderedPageBreak/>
        <w:t>Table</w:t>
      </w:r>
      <w:r w:rsidR="004A4FDF">
        <w:t> </w:t>
      </w:r>
      <w:r w:rsidR="0099088A">
        <w:fldChar w:fldCharType="begin"/>
      </w:r>
      <w:r w:rsidR="0099088A">
        <w:instrText xml:space="preserve"> SEQ Table \* ARABIC </w:instrText>
      </w:r>
      <w:r w:rsidR="0099088A">
        <w:fldChar w:fldCharType="separate"/>
      </w:r>
      <w:r w:rsidR="004A4FDF">
        <w:rPr>
          <w:noProof/>
        </w:rPr>
        <w:t>1</w:t>
      </w:r>
      <w:r w:rsidR="0099088A">
        <w:rPr>
          <w:noProof/>
        </w:rPr>
        <w:fldChar w:fldCharType="end"/>
      </w:r>
      <w:bookmarkEnd w:id="18"/>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F57885" w:rsidRPr="00CE28E3" w14:paraId="2BDCC27B" w14:textId="77777777" w:rsidTr="009A06F4">
        <w:trPr>
          <w:cantSplit/>
          <w:tblHeader/>
        </w:trPr>
        <w:tc>
          <w:tcPr>
            <w:tcW w:w="1663" w:type="pct"/>
            <w:shd w:val="clear" w:color="auto" w:fill="auto"/>
          </w:tcPr>
          <w:p w14:paraId="58F6A808" w14:textId="77777777" w:rsidR="00F57885" w:rsidRPr="00CE28E3" w:rsidRDefault="00F57885" w:rsidP="00824458">
            <w:pPr>
              <w:pStyle w:val="In-tableHeading"/>
            </w:pPr>
            <w:bookmarkStart w:id="20" w:name="ColumnTitle_Table1"/>
            <w:bookmarkStart w:id="21" w:name="_Hlk68275590"/>
            <w:bookmarkEnd w:id="20"/>
            <w:r w:rsidRPr="00CE28E3">
              <w:t>Component</w:t>
            </w:r>
          </w:p>
        </w:tc>
        <w:tc>
          <w:tcPr>
            <w:tcW w:w="1658" w:type="pct"/>
            <w:shd w:val="clear" w:color="auto" w:fill="auto"/>
          </w:tcPr>
          <w:p w14:paraId="09992FB9" w14:textId="77777777" w:rsidR="00F57885" w:rsidRPr="00CE28E3" w:rsidRDefault="00F57885" w:rsidP="00824458">
            <w:pPr>
              <w:pStyle w:val="In-tableHeading"/>
            </w:pPr>
            <w:r w:rsidRPr="00CE28E3">
              <w:t>Matter of concern</w:t>
            </w:r>
          </w:p>
        </w:tc>
        <w:tc>
          <w:tcPr>
            <w:tcW w:w="1679"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0D0A7682" w14:textId="77777777" w:rsidTr="009A06F4">
        <w:trPr>
          <w:cantSplit/>
        </w:trPr>
        <w:tc>
          <w:tcPr>
            <w:tcW w:w="1663" w:type="pct"/>
          </w:tcPr>
          <w:p w14:paraId="4F1DA453" w14:textId="77777777" w:rsidR="00F57885" w:rsidRPr="00CE28E3" w:rsidRDefault="00F57885" w:rsidP="00824458">
            <w:pPr>
              <w:pStyle w:val="TableText"/>
            </w:pPr>
            <w:r w:rsidRPr="009A3778">
              <w:rPr>
                <w:color w:val="258221"/>
              </w:rPr>
              <w:t>[Identify the relevant section of the previous assessment report, e.g. comparator, clinical claim, economic evaluation]</w:t>
            </w:r>
          </w:p>
        </w:tc>
        <w:tc>
          <w:tcPr>
            <w:tcW w:w="1658" w:type="pct"/>
          </w:tcPr>
          <w:p w14:paraId="3F35F478" w14:textId="423DFADE" w:rsidR="00F57885" w:rsidRPr="00CE28E3" w:rsidRDefault="00F57885" w:rsidP="00824458">
            <w:pPr>
              <w:pStyle w:val="TableText"/>
              <w:rPr>
                <w:szCs w:val="20"/>
              </w:rPr>
            </w:pPr>
            <w:r w:rsidRPr="009A3778">
              <w:rPr>
                <w:rFonts w:eastAsia="Times New Roman" w:cs="Arial"/>
                <w:snapToGrid w:val="0"/>
                <w:color w:val="258221"/>
                <w:szCs w:val="20"/>
              </w:rPr>
              <w:t>[</w:t>
            </w:r>
            <w:r w:rsidR="00DC4F64">
              <w:rPr>
                <w:rFonts w:eastAsia="Times New Roman" w:cs="Arial"/>
                <w:snapToGrid w:val="0"/>
                <w:color w:val="258221"/>
                <w:szCs w:val="20"/>
              </w:rPr>
              <w:t>I</w:t>
            </w:r>
            <w:r w:rsidR="00DC4F64" w:rsidRPr="00D3306D">
              <w:rPr>
                <w:rFonts w:eastAsia="Times New Roman" w:cs="Arial"/>
                <w:snapToGrid w:val="0"/>
                <w:color w:val="258221"/>
                <w:szCs w:val="20"/>
              </w:rPr>
              <w:t>dentify matter of concern</w:t>
            </w:r>
            <w:r w:rsidR="00DC4F64">
              <w:rPr>
                <w:rFonts w:eastAsia="Times New Roman" w:cs="Arial"/>
                <w:snapToGrid w:val="0"/>
                <w:color w:val="258221"/>
                <w:szCs w:val="20"/>
              </w:rPr>
              <w:t>.</w:t>
            </w:r>
            <w:r w:rsidR="00DC4F64" w:rsidRPr="00DC4F64">
              <w:rPr>
                <w:rFonts w:eastAsia="Times New Roman" w:cs="Arial"/>
                <w:snapToGrid w:val="0"/>
                <w:color w:val="258221"/>
                <w:szCs w:val="20"/>
              </w:rPr>
              <w:t xml:space="preserve"> </w:t>
            </w:r>
            <w:r w:rsidRPr="009A3778">
              <w:rPr>
                <w:rFonts w:eastAsia="Times New Roman" w:cs="Arial"/>
                <w:snapToGrid w:val="0"/>
                <w:color w:val="258221"/>
                <w:szCs w:val="20"/>
              </w:rPr>
              <w:t>Cite paragraph of the MSAC PSD (use abbreviated referencing in tables)]</w:t>
            </w:r>
          </w:p>
        </w:tc>
        <w:tc>
          <w:tcPr>
            <w:tcW w:w="1679" w:type="pct"/>
          </w:tcPr>
          <w:p w14:paraId="13F08427" w14:textId="610D9136" w:rsidR="00F57885" w:rsidRPr="00CE28E3" w:rsidRDefault="006D7211" w:rsidP="00824458">
            <w:pPr>
              <w:pStyle w:val="TableText"/>
            </w:pPr>
            <w:r>
              <w:rPr>
                <w:color w:val="258221"/>
              </w:rPr>
              <w:t>[</w:t>
            </w:r>
            <w:r w:rsidR="00E83948" w:rsidRPr="00BC4972">
              <w:rPr>
                <w:color w:val="258221"/>
              </w:rPr>
              <w:t>*</w:t>
            </w:r>
            <w:r w:rsidR="00F57885" w:rsidRPr="00BC4972">
              <w:t>Addressed/Not adequately addressed/not addressed</w:t>
            </w:r>
            <w:r>
              <w:t>]</w:t>
            </w:r>
            <w:r w:rsidR="00F57885" w:rsidRPr="009A3778">
              <w:rPr>
                <w:color w:val="258221"/>
              </w:rPr>
              <w:t xml:space="preserve"> </w:t>
            </w:r>
            <w:r w:rsidR="00DC4F64">
              <w:rPr>
                <w:color w:val="258221"/>
              </w:rPr>
              <w:t>[</w:t>
            </w:r>
            <w:r w:rsidR="00F57885" w:rsidRPr="009A3778">
              <w:rPr>
                <w:color w:val="258221"/>
              </w:rPr>
              <w:t>Comment and/or cross-reference to where matter is addressed in the executive summary or main body</w:t>
            </w:r>
            <w:r w:rsidR="00DC4F64">
              <w:rPr>
                <w:color w:val="258221"/>
              </w:rPr>
              <w:t xml:space="preserve"> of the report</w:t>
            </w:r>
            <w:r w:rsidR="00F57885" w:rsidRPr="009A3778">
              <w:rPr>
                <w:color w:val="258221"/>
              </w:rPr>
              <w:t>]</w:t>
            </w:r>
          </w:p>
        </w:tc>
      </w:tr>
      <w:tr w:rsidR="00F57885" w:rsidRPr="00CE28E3" w14:paraId="4C3B6A2C" w14:textId="77777777" w:rsidTr="009A06F4">
        <w:trPr>
          <w:cantSplit/>
        </w:trPr>
        <w:tc>
          <w:tcPr>
            <w:tcW w:w="1663" w:type="pct"/>
          </w:tcPr>
          <w:p w14:paraId="6570FE64" w14:textId="77777777" w:rsidR="00F57885" w:rsidRPr="00CE28E3" w:rsidRDefault="00F57885" w:rsidP="00824458">
            <w:pPr>
              <w:pStyle w:val="TableText"/>
            </w:pPr>
            <w:r w:rsidRPr="00CE28E3">
              <w:t>Example text:</w:t>
            </w:r>
          </w:p>
          <w:p w14:paraId="3ADC1FC4" w14:textId="77777777" w:rsidR="00F57885" w:rsidRPr="00CE28E3" w:rsidRDefault="00F57885" w:rsidP="00824458">
            <w:pPr>
              <w:pStyle w:val="TableText"/>
            </w:pPr>
            <w:r w:rsidRPr="00CE28E3">
              <w:t>Clinical place in therapy</w:t>
            </w:r>
          </w:p>
        </w:tc>
        <w:tc>
          <w:tcPr>
            <w:tcW w:w="1658" w:type="pct"/>
          </w:tcPr>
          <w:p w14:paraId="29BB6916" w14:textId="77777777" w:rsidR="00F57885" w:rsidRPr="00CE28E3" w:rsidRDefault="00F57885" w:rsidP="00824458">
            <w:pPr>
              <w:pStyle w:val="TableText"/>
              <w:rPr>
                <w:rFonts w:eastAsia="Times New Roman" w:cs="Arial"/>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MSAC suggested the descriptor should reinforce that psychotherapy must have been previously trialled (PSD, p.2).</w:t>
            </w:r>
          </w:p>
        </w:tc>
        <w:tc>
          <w:tcPr>
            <w:tcW w:w="1679" w:type="pct"/>
          </w:tcPr>
          <w:p w14:paraId="15BB4464"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Restriction amended to reflect MSAC comments.</w:t>
            </w:r>
          </w:p>
        </w:tc>
      </w:tr>
      <w:tr w:rsidR="00F57885" w:rsidRPr="00CE28E3" w14:paraId="3B9AD9C3" w14:textId="77777777" w:rsidTr="009A06F4">
        <w:trPr>
          <w:cantSplit/>
        </w:trPr>
        <w:tc>
          <w:tcPr>
            <w:tcW w:w="1663" w:type="pct"/>
          </w:tcPr>
          <w:p w14:paraId="1E64FC84" w14:textId="77777777" w:rsidR="00F57885" w:rsidRPr="00CE28E3" w:rsidRDefault="00F57885" w:rsidP="00824458">
            <w:pPr>
              <w:pStyle w:val="TableText"/>
            </w:pPr>
            <w:r w:rsidRPr="00CE28E3">
              <w:t>Example text:</w:t>
            </w:r>
          </w:p>
          <w:p w14:paraId="23382853" w14:textId="77777777" w:rsidR="00F57885" w:rsidRPr="00CE28E3" w:rsidRDefault="00F57885" w:rsidP="00824458">
            <w:pPr>
              <w:pStyle w:val="TableText"/>
            </w:pPr>
            <w:r w:rsidRPr="00CE28E3">
              <w:t>Clinical effectiveness</w:t>
            </w:r>
          </w:p>
        </w:tc>
        <w:tc>
          <w:tcPr>
            <w:tcW w:w="1658" w:type="pct"/>
          </w:tcPr>
          <w:p w14:paraId="3C6FBFDC" w14:textId="77777777" w:rsidR="00F57885" w:rsidRPr="00CE28E3" w:rsidRDefault="00F57885" w:rsidP="00824458">
            <w:pPr>
              <w:pStyle w:val="TableText"/>
            </w:pPr>
            <w:r w:rsidRPr="00CE28E3">
              <w:rPr>
                <w:rFonts w:eastAsia="Times New Roman" w:cs="Arial"/>
                <w:snapToGrid w:val="0"/>
                <w:szCs w:val="20"/>
              </w:rPr>
              <w:t xml:space="preserve">Example text: </w:t>
            </w:r>
            <w:r w:rsidRPr="00CE28E3">
              <w:rPr>
                <w:rFonts w:eastAsia="Times New Roman" w:cs="Arial"/>
                <w:snapToGrid w:val="0"/>
                <w:szCs w:val="20"/>
              </w:rPr>
              <w:br/>
              <w:t xml:space="preserve">MSAC noted there was other available evidence that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26202E3E"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 xml:space="preserve">The efficacy results from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are now applied in the economic modelling as this is the more recent of the two reviews requested to be reviewed by MSAC.</w:t>
            </w:r>
          </w:p>
        </w:tc>
      </w:tr>
    </w:tbl>
    <w:p w14:paraId="3EA0F47E" w14:textId="6C95FE9B" w:rsidR="00F57885" w:rsidRPr="00CE28E3" w:rsidRDefault="00F57885" w:rsidP="003E22CB">
      <w:pPr>
        <w:pStyle w:val="TableFigureFooter"/>
        <w:spacing w:after="600"/>
      </w:pPr>
      <w:bookmarkStart w:id="22" w:name="_Hlk68275617"/>
      <w:bookmarkEnd w:id="21"/>
      <w:proofErr w:type="spellStart"/>
      <w:r w:rsidRPr="00CE28E3">
        <w:rPr>
          <w:szCs w:val="20"/>
        </w:rPr>
        <w:t>EUnetHTA</w:t>
      </w:r>
      <w:proofErr w:type="spellEnd"/>
      <w:r w:rsidRPr="00CE28E3">
        <w:t xml:space="preserve"> = European Network for Health Technology Assessment; MSAC = Medical Services Advisory Committee; PSD = Public Summary Document</w:t>
      </w:r>
      <w:r w:rsidR="0087277A">
        <w:t>.</w:t>
      </w:r>
      <w:r w:rsidR="00DC4F64">
        <w:t xml:space="preserve"> </w:t>
      </w:r>
      <w:r w:rsidR="00DC4F64" w:rsidRPr="00587639">
        <w:rPr>
          <w:color w:val="258221"/>
        </w:rPr>
        <w:t>[</w:t>
      </w:r>
      <w:r w:rsidR="0087277A">
        <w:rPr>
          <w:color w:val="258221"/>
        </w:rPr>
        <w:t>D</w:t>
      </w:r>
      <w:r w:rsidR="00DC4F64" w:rsidRPr="00587639">
        <w:rPr>
          <w:color w:val="258221"/>
        </w:rPr>
        <w:t xml:space="preserve">efine </w:t>
      </w:r>
      <w:r w:rsidR="00587639">
        <w:rPr>
          <w:color w:val="258221"/>
        </w:rPr>
        <w:t xml:space="preserve">all </w:t>
      </w:r>
      <w:r w:rsidR="00DC4F64" w:rsidRPr="00587639">
        <w:rPr>
          <w:color w:val="258221"/>
        </w:rPr>
        <w:t>abbreviations used in the table]</w:t>
      </w:r>
    </w:p>
    <w:p w14:paraId="6F52500A" w14:textId="4243C39F" w:rsidR="00772829" w:rsidRPr="00CE28E3" w:rsidRDefault="00C36633" w:rsidP="002A18BE">
      <w:pPr>
        <w:pStyle w:val="Heading2"/>
        <w:numPr>
          <w:ilvl w:val="0"/>
          <w:numId w:val="0"/>
        </w:numPr>
      </w:pPr>
      <w:bookmarkStart w:id="23" w:name="_Toc69491417"/>
      <w:bookmarkEnd w:id="19"/>
      <w:bookmarkEnd w:id="22"/>
      <w:r>
        <w:t>3.</w:t>
      </w:r>
      <w:r>
        <w:tab/>
      </w:r>
      <w:r w:rsidR="00772829" w:rsidRPr="00CE28E3">
        <w:t>Prerequisites to implementation of any funding advice</w:t>
      </w:r>
      <w:bookmarkEnd w:id="23"/>
    </w:p>
    <w:p w14:paraId="6B6796AE" w14:textId="0F79BEBC" w:rsidR="00310C3F" w:rsidRDefault="00310C3F" w:rsidP="00E76AE0">
      <w:pPr>
        <w:pStyle w:val="Instructionaltext"/>
      </w:pPr>
      <w:r w:rsidRPr="00310C3F">
        <w:t>[Instructional text]</w:t>
      </w:r>
    </w:p>
    <w:p w14:paraId="1BBB2942" w14:textId="3BBFFE6E" w:rsidR="003328A9" w:rsidRPr="00330A0A" w:rsidRDefault="00827027" w:rsidP="00E76AE0">
      <w:pPr>
        <w:pStyle w:val="Instructionaltext"/>
      </w:pPr>
      <w:r w:rsidRPr="00330A0A">
        <w:t>State whether the proposed technology includes a therapeutic good</w:t>
      </w:r>
      <w:r w:rsidR="00DC4F64">
        <w:t xml:space="preserve"> that</w:t>
      </w:r>
      <w:r w:rsidRPr="00330A0A">
        <w:t xml:space="preserve"> require</w:t>
      </w:r>
      <w:r w:rsidR="00DC4F64">
        <w:t>s</w:t>
      </w:r>
      <w:r w:rsidRPr="00330A0A">
        <w:t xml:space="preserve"> TGA approv</w:t>
      </w:r>
      <w:r w:rsidR="00DC4F64">
        <w:t>al</w:t>
      </w:r>
      <w:r w:rsidRPr="00330A0A">
        <w:t xml:space="preserve">. Provide the </w:t>
      </w:r>
      <w:r w:rsidR="003328A9" w:rsidRPr="00330A0A">
        <w:t>status of the TGA process (including date or estimated date of inclusion on the ARTG and the relevant ARTG numbers where available).</w:t>
      </w:r>
    </w:p>
    <w:p w14:paraId="6960622A" w14:textId="216D008C" w:rsidR="003328A9" w:rsidRDefault="003328A9" w:rsidP="00E76AE0">
      <w:pPr>
        <w:pStyle w:val="Instructionaltext"/>
      </w:pPr>
      <w:r w:rsidRPr="00330A0A">
        <w:t xml:space="preserve">State any other prerequisites, </w:t>
      </w:r>
      <w:r w:rsidR="00DC4F64">
        <w:t>for example</w:t>
      </w:r>
      <w:r w:rsidRPr="00330A0A">
        <w:t>, a quality assurance program for a pathology test</w:t>
      </w:r>
      <w:r w:rsidR="00DC4F64">
        <w:t>,</w:t>
      </w:r>
      <w:r w:rsidRPr="00330A0A">
        <w:t xml:space="preserve"> a licensing program for an imaging technology</w:t>
      </w:r>
      <w:r w:rsidR="00DC4F64">
        <w:t>,</w:t>
      </w:r>
      <w:r w:rsidRPr="00330A0A">
        <w:t xml:space="preserve"> or a funding arrangement that needs to be established because the proposed technology is not suitable for any current source of public funding</w:t>
      </w:r>
      <w:r w:rsidR="00DC4F64">
        <w:t>.</w:t>
      </w:r>
      <w:r w:rsidRPr="00330A0A">
        <w:t xml:space="preserve"> </w:t>
      </w:r>
      <w:r w:rsidR="00DC4F64">
        <w:t>I</w:t>
      </w:r>
      <w:r w:rsidRPr="00330A0A">
        <w:t>dentify where each such prerequisite is still to be met.</w:t>
      </w:r>
    </w:p>
    <w:p w14:paraId="52AC3D9A" w14:textId="657CEFD5" w:rsidR="00310C3F" w:rsidRPr="00330A0A" w:rsidRDefault="00310C3F" w:rsidP="00E76AE0">
      <w:pPr>
        <w:pStyle w:val="Instructionaltext"/>
      </w:pPr>
      <w:r w:rsidRPr="00310C3F">
        <w:t>[End instructional text]</w:t>
      </w:r>
    </w:p>
    <w:p w14:paraId="44C3B242" w14:textId="1D6171A6" w:rsidR="00772829" w:rsidRPr="00CE28E3" w:rsidRDefault="00C36633" w:rsidP="002A18BE">
      <w:pPr>
        <w:pStyle w:val="Heading2"/>
        <w:numPr>
          <w:ilvl w:val="0"/>
          <w:numId w:val="0"/>
        </w:numPr>
      </w:pPr>
      <w:bookmarkStart w:id="24" w:name="_Toc69491418"/>
      <w:r>
        <w:t>4.</w:t>
      </w:r>
      <w:r>
        <w:tab/>
      </w:r>
      <w:r w:rsidR="00772829" w:rsidRPr="00CE28E3">
        <w:t>Proposal for public funding</w:t>
      </w:r>
      <w:bookmarkEnd w:id="24"/>
    </w:p>
    <w:p w14:paraId="00845951" w14:textId="21926F59" w:rsidR="006459EF" w:rsidRPr="000D1B52" w:rsidRDefault="003F7196" w:rsidP="00DC4F64">
      <w:pPr>
        <w:pStyle w:val="Guidelinescross-ref"/>
        <w:keepNext/>
      </w:pPr>
      <w:r w:rsidRPr="003F7196">
        <w:t xml:space="preserve">Refer to: </w:t>
      </w:r>
      <w:r w:rsidR="006459EF" w:rsidRPr="000D1B52">
        <w:t>MSAC Guidelines TG 3</w:t>
      </w:r>
      <w:r w:rsidR="000D1B52" w:rsidRPr="000D1B52">
        <w:t xml:space="preserve"> (Proposed funding arrangements)</w:t>
      </w:r>
    </w:p>
    <w:p w14:paraId="3B0B13C5" w14:textId="36440EAF" w:rsidR="00310C3F" w:rsidRDefault="00310C3F" w:rsidP="00DC4F64">
      <w:pPr>
        <w:pStyle w:val="Instructionaltext"/>
        <w:keepNext/>
        <w:tabs>
          <w:tab w:val="left" w:pos="2172"/>
        </w:tabs>
      </w:pPr>
      <w:r w:rsidRPr="00310C3F">
        <w:t xml:space="preserve">[Instructional text] </w:t>
      </w:r>
    </w:p>
    <w:p w14:paraId="2DCD5E1F" w14:textId="4C844F56" w:rsidR="00B26622" w:rsidRDefault="006459EF" w:rsidP="00E76AE0">
      <w:pPr>
        <w:pStyle w:val="Instructionaltext"/>
      </w:pPr>
      <w:r w:rsidRPr="00330A0A">
        <w:t>State the applicant's post-PA</w:t>
      </w:r>
      <w:r w:rsidR="00B26622" w:rsidRPr="00330A0A">
        <w:t>SC proposal for public funding.</w:t>
      </w:r>
    </w:p>
    <w:p w14:paraId="0AE4752E" w14:textId="79F4479D" w:rsidR="00E3330E" w:rsidRPr="0000109A" w:rsidRDefault="00E3330E" w:rsidP="0000109A">
      <w:pPr>
        <w:pStyle w:val="Instructionaltext"/>
      </w:pPr>
      <w:r w:rsidRPr="00330A0A">
        <w:t xml:space="preserve">State whether the proposed technology </w:t>
      </w:r>
      <w:r>
        <w:t>(</w:t>
      </w:r>
      <w:r w:rsidRPr="00330A0A">
        <w:t>or technologies</w:t>
      </w:r>
      <w:r>
        <w:t>)</w:t>
      </w:r>
      <w:r w:rsidRPr="00330A0A">
        <w:t xml:space="preserve"> </w:t>
      </w:r>
      <w:r>
        <w:t>is</w:t>
      </w:r>
      <w:r w:rsidRPr="00330A0A">
        <w:t xml:space="preserve"> new or a variation of an existing technology. If a description of the technology is necessary, this should be brief.</w:t>
      </w:r>
    </w:p>
    <w:p w14:paraId="34A980F2" w14:textId="3204FC94" w:rsidR="006459EF" w:rsidRPr="00330A0A" w:rsidRDefault="006459EF" w:rsidP="00E76AE0">
      <w:pPr>
        <w:pStyle w:val="Instructionaltext"/>
      </w:pPr>
      <w:r w:rsidRPr="00330A0A">
        <w:t>If public funding is sought via the MBS, state whether the proposal intends to use existing MBS items</w:t>
      </w:r>
      <w:r w:rsidR="00A8049D">
        <w:t>,</w:t>
      </w:r>
      <w:r w:rsidRPr="00330A0A">
        <w:t xml:space="preserve"> amend existing MBS items or create new MBS items (or a combination of these options). </w:t>
      </w:r>
    </w:p>
    <w:p w14:paraId="0D9F37F8" w14:textId="394FC2D0" w:rsidR="00B26622" w:rsidRDefault="00B26622" w:rsidP="00E76AE0">
      <w:pPr>
        <w:pStyle w:val="Instructionaltext"/>
      </w:pPr>
      <w:r w:rsidRPr="00330A0A">
        <w:lastRenderedPageBreak/>
        <w:t>For each MBS item, provide its group, descriptor, fee, benefits and explanatory notes. Ensure that amendments are clearly presented</w:t>
      </w:r>
      <w:r w:rsidR="00A8049D">
        <w:t xml:space="preserve"> (</w:t>
      </w:r>
      <w:r w:rsidR="0000109A">
        <w:fldChar w:fldCharType="begin"/>
      </w:r>
      <w:r w:rsidR="0000109A">
        <w:instrText xml:space="preserve"> REF _Ref69481033 \h </w:instrText>
      </w:r>
      <w:r w:rsidR="0000109A">
        <w:fldChar w:fldCharType="separate"/>
      </w:r>
      <w:r w:rsidR="004A4FDF">
        <w:t>Table </w:t>
      </w:r>
      <w:r w:rsidR="004A4FDF">
        <w:rPr>
          <w:noProof/>
        </w:rPr>
        <w:t>2</w:t>
      </w:r>
      <w:r w:rsidR="0000109A">
        <w:fldChar w:fldCharType="end"/>
      </w:r>
      <w:r w:rsidR="00A8049D">
        <w:t>)</w:t>
      </w:r>
      <w:r w:rsidRPr="00330A0A">
        <w:t>.</w:t>
      </w:r>
    </w:p>
    <w:p w14:paraId="75B07F5A" w14:textId="7B7A50C1" w:rsidR="00310C3F" w:rsidRPr="00330A0A" w:rsidRDefault="00310C3F" w:rsidP="00E76AE0">
      <w:pPr>
        <w:pStyle w:val="Instructionaltext"/>
      </w:pPr>
      <w:r w:rsidRPr="00310C3F">
        <w:t>[End instructional text]</w:t>
      </w:r>
    </w:p>
    <w:p w14:paraId="39392CFD" w14:textId="7E200D32" w:rsidR="003328A9" w:rsidRPr="00CE28E3" w:rsidRDefault="00310C3F" w:rsidP="00310C3F">
      <w:pPr>
        <w:pStyle w:val="Caption"/>
        <w:rPr>
          <w:rFonts w:cs="Arial"/>
        </w:rPr>
      </w:pPr>
      <w:bookmarkStart w:id="25" w:name="_Ref69481033"/>
      <w:r>
        <w:t>Table</w:t>
      </w:r>
      <w:r w:rsidR="004A4FDF">
        <w:t> </w:t>
      </w:r>
      <w:r w:rsidR="0099088A">
        <w:fldChar w:fldCharType="begin"/>
      </w:r>
      <w:r w:rsidR="0099088A">
        <w:instrText xml:space="preserve"> SEQ Table \* ARABIC </w:instrText>
      </w:r>
      <w:r w:rsidR="0099088A">
        <w:fldChar w:fldCharType="separate"/>
      </w:r>
      <w:r w:rsidR="004A4FDF">
        <w:rPr>
          <w:noProof/>
        </w:rPr>
        <w:t>2</w:t>
      </w:r>
      <w:r w:rsidR="0099088A">
        <w:rPr>
          <w:noProof/>
        </w:rPr>
        <w:fldChar w:fldCharType="end"/>
      </w:r>
      <w:bookmarkEnd w:id="25"/>
      <w:r w:rsidR="003328A9" w:rsidRPr="00CE28E3">
        <w:rPr>
          <w:rFonts w:cs="Arial"/>
        </w:rPr>
        <w:tab/>
      </w:r>
      <w:r w:rsidR="00B26622" w:rsidRPr="00CE28E3">
        <w:rPr>
          <w:rFonts w:cs="Arial"/>
        </w:rPr>
        <w:t>Presentation of an existing, amended or newly proposed MBS item</w:t>
      </w:r>
      <w:r w:rsidR="003328A9" w:rsidRPr="00CE28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77A243C3" w:rsidR="003328A9" w:rsidRPr="00CE28E3" w:rsidRDefault="003328A9" w:rsidP="00824458">
            <w:pPr>
              <w:pStyle w:val="TableText"/>
              <w:rPr>
                <w:sz w:val="24"/>
              </w:rPr>
            </w:pPr>
            <w:r w:rsidRPr="00CE28E3">
              <w:t>Category &lt;</w:t>
            </w:r>
            <w:r w:rsidR="00BC4972">
              <w:t>*</w:t>
            </w:r>
            <w:r w:rsidRPr="00CE28E3">
              <w:t>Insert proposed category no</w:t>
            </w:r>
            <w:r w:rsidR="005947B5">
              <w:t>.</w:t>
            </w:r>
            <w:r w:rsidRPr="00CE28E3">
              <w:t>&gt; – &lt;</w:t>
            </w:r>
            <w:r w:rsidR="00BC4972">
              <w:t>*</w:t>
            </w:r>
            <w:r w:rsidRPr="00CE28E3">
              <w:t>INSERT CATEGORY NAME&gt;</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512970C9" w14:textId="7A136C47"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Insert intervention name&gt;</w:t>
            </w:r>
          </w:p>
          <w:p w14:paraId="3DD8BD8A" w14:textId="39BBD911"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restrictions on use</w:t>
            </w:r>
            <w:r w:rsidR="00A8049D" w:rsidRPr="00170D5B">
              <w:rPr>
                <w:rFonts w:ascii="Arial Narrow" w:hAnsi="Arial Narrow"/>
                <w:sz w:val="20"/>
                <w:szCs w:val="20"/>
                <w:lang w:val="en-US" w:eastAsia="ja-JP"/>
              </w:rPr>
              <w:t>,</w:t>
            </w:r>
            <w:r w:rsidRPr="00170D5B">
              <w:rPr>
                <w:rFonts w:ascii="Arial Narrow" w:hAnsi="Arial Narrow"/>
                <w:sz w:val="20"/>
                <w:szCs w:val="20"/>
                <w:lang w:val="en-US" w:eastAsia="ja-JP"/>
              </w:rPr>
              <w:t xml:space="preserve"> e.g. patient characteristics to be satisfied, limits on frequency of use, limits on who can provide the item, or where it can be provided&gt;</w:t>
            </w:r>
          </w:p>
          <w:p w14:paraId="3EEC2DE6" w14:textId="53DF92CB"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relevant explanatory notes&gt;</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7528E2C5" w:rsidR="003328A9" w:rsidRPr="005D749D" w:rsidRDefault="003328A9" w:rsidP="00170D5B">
            <w:pPr>
              <w:pStyle w:val="TableText"/>
              <w:rPr>
                <w:szCs w:val="20"/>
              </w:rPr>
            </w:pPr>
            <w:r w:rsidRPr="005D749D">
              <w:rPr>
                <w:szCs w:val="20"/>
              </w:rPr>
              <w:t>Fee: &lt;</w:t>
            </w:r>
            <w:r w:rsidR="00BC4972" w:rsidRPr="005D749D">
              <w:rPr>
                <w:szCs w:val="20"/>
              </w:rPr>
              <w:t>*</w:t>
            </w:r>
            <w:r w:rsidR="005947B5" w:rsidRPr="005D749D">
              <w:rPr>
                <w:szCs w:val="20"/>
              </w:rPr>
              <w:t>I</w:t>
            </w:r>
            <w:r w:rsidRPr="005D749D">
              <w:rPr>
                <w:szCs w:val="20"/>
              </w:rPr>
              <w:t>nsert proposed MBS fee&gt;</w:t>
            </w:r>
          </w:p>
        </w:tc>
      </w:tr>
    </w:tbl>
    <w:p w14:paraId="21D66836" w14:textId="22306720" w:rsidR="00310C3F" w:rsidRPr="00CE28E3" w:rsidRDefault="00310C3F" w:rsidP="00A8049D">
      <w:pPr>
        <w:pStyle w:val="Instructionaltext-afterfiguretable"/>
      </w:pPr>
      <w:r w:rsidRPr="00310C3F">
        <w:t>[Instructional text]</w:t>
      </w:r>
    </w:p>
    <w:p w14:paraId="728647E9" w14:textId="1BAA6723" w:rsidR="001320F0" w:rsidRPr="00330A0A" w:rsidRDefault="001320F0" w:rsidP="00E76AE0">
      <w:pPr>
        <w:pStyle w:val="Instructionaltext"/>
      </w:pPr>
      <w:r w:rsidRPr="00330A0A">
        <w:t>For all funding proposals (MBS and non-MBS applications), describe and explain any restrictions based on clinical indications or prior interventions. Identify any specialty groups who would deliver the proposed technology</w:t>
      </w:r>
      <w:r w:rsidR="00A8049D">
        <w:t>,</w:t>
      </w:r>
      <w:r w:rsidRPr="00330A0A">
        <w:t xml:space="preserve"> and, if relevant, whether the proposed technology should be restricted to any particular specialists or credentialed practitioners. State whether there are requirements of geography, facilities or location of delivery (e.g. limited to a hospital setting </w:t>
      </w:r>
      <w:r w:rsidR="00484DC5">
        <w:t xml:space="preserve">or to </w:t>
      </w:r>
      <w:r w:rsidR="00602F43" w:rsidRPr="00330A0A">
        <w:t xml:space="preserve">institutions with specific accreditation or licensing, </w:t>
      </w:r>
      <w:r w:rsidRPr="00330A0A">
        <w:t xml:space="preserve">or </w:t>
      </w:r>
      <w:r w:rsidR="00484DC5">
        <w:t xml:space="preserve">requiring </w:t>
      </w:r>
      <w:r w:rsidRPr="00330A0A">
        <w:t>specific equipment).</w:t>
      </w:r>
    </w:p>
    <w:p w14:paraId="6627983B" w14:textId="39C5615B" w:rsidR="001320F0" w:rsidRPr="00330A0A" w:rsidRDefault="001320F0" w:rsidP="00E76AE0">
      <w:pPr>
        <w:pStyle w:val="Instructionaltext"/>
      </w:pPr>
      <w:r w:rsidRPr="00330A0A">
        <w:t>For investigative technologies, include whether the item should be pathologist determinable, or whether it should be limited to approved laboratories.</w:t>
      </w:r>
    </w:p>
    <w:p w14:paraId="698F9233" w14:textId="3E60A14D" w:rsidR="00602F43" w:rsidRPr="00330A0A" w:rsidRDefault="003328A9" w:rsidP="00E76AE0">
      <w:pPr>
        <w:pStyle w:val="Instructionaltext"/>
      </w:pPr>
      <w:r w:rsidRPr="00330A0A">
        <w:t xml:space="preserve">Provide the proposed fee, and comment </w:t>
      </w:r>
      <w:r w:rsidR="00484DC5">
        <w:t xml:space="preserve">on </w:t>
      </w:r>
      <w:r w:rsidRPr="00330A0A">
        <w:t>how it comp</w:t>
      </w:r>
      <w:r w:rsidR="00602F43" w:rsidRPr="00330A0A">
        <w:t>ares to existing similar items.</w:t>
      </w:r>
    </w:p>
    <w:p w14:paraId="56573E4D" w14:textId="44720C0A" w:rsidR="003328A9" w:rsidRPr="003251C2" w:rsidRDefault="003328A9" w:rsidP="00E76AE0">
      <w:pPr>
        <w:pStyle w:val="Instructionaltext"/>
      </w:pPr>
      <w:r w:rsidRPr="00330A0A">
        <w:t>Summarise any key issues with the proposed descriptor (e.g. not consistent with the trial</w:t>
      </w:r>
      <w:r w:rsidR="00484DC5">
        <w:t xml:space="preserve">, </w:t>
      </w:r>
      <w:r w:rsidRPr="00330A0A">
        <w:t>TGA</w:t>
      </w:r>
      <w:r w:rsidR="00484DC5">
        <w:t xml:space="preserve"> registration or </w:t>
      </w:r>
      <w:r w:rsidRPr="00330A0A">
        <w:t>clinical guidelines).</w:t>
      </w:r>
    </w:p>
    <w:p w14:paraId="72189FE1" w14:textId="77777777" w:rsidR="00484DC5" w:rsidRPr="00C412B1" w:rsidRDefault="00772829">
      <w:pPr>
        <w:pStyle w:val="Instructionaltext"/>
      </w:pPr>
      <w:r w:rsidRPr="00C412B1">
        <w:t>Example</w:t>
      </w:r>
      <w:r w:rsidR="00484DC5" w:rsidRPr="00C412B1">
        <w:t>s</w:t>
      </w:r>
      <w:r w:rsidRPr="00C412B1">
        <w:t xml:space="preserve">: </w:t>
      </w:r>
    </w:p>
    <w:p w14:paraId="3EAFEA08" w14:textId="6644A4D6" w:rsidR="00772829" w:rsidRPr="0000109A" w:rsidRDefault="00772829" w:rsidP="00C412B1">
      <w:pPr>
        <w:pStyle w:val="Instructionaltext"/>
      </w:pPr>
      <w:r w:rsidRPr="0000109A">
        <w:t xml:space="preserve">The application proposed that the MBS item numbers for DBE be amended to replace the term ‘double balloon </w:t>
      </w:r>
      <w:proofErr w:type="spellStart"/>
      <w:r w:rsidRPr="0000109A">
        <w:t>enteroscopy</w:t>
      </w:r>
      <w:proofErr w:type="spellEnd"/>
      <w:r w:rsidRPr="0000109A">
        <w:t xml:space="preserve">’ with ‘balloon-assisted </w:t>
      </w:r>
      <w:proofErr w:type="spellStart"/>
      <w:r w:rsidRPr="0000109A">
        <w:t>enteroscopy</w:t>
      </w:r>
      <w:proofErr w:type="spellEnd"/>
      <w:r w:rsidRPr="0000109A">
        <w:t>’ so that the same MBS items may be used for either DBE or SBE.</w:t>
      </w:r>
    </w:p>
    <w:p w14:paraId="7DB21BC8" w14:textId="35F0F86A" w:rsidR="00772829" w:rsidRPr="0000109A" w:rsidRDefault="00772829" w:rsidP="00C412B1">
      <w:pPr>
        <w:pStyle w:val="Instructionaltext"/>
      </w:pPr>
      <w:r w:rsidRPr="0000109A">
        <w:t xml:space="preserve">MBS items for capsule endoscopy (CE) also need to be amended to cross-reference balloon </w:t>
      </w:r>
      <w:proofErr w:type="spellStart"/>
      <w:r w:rsidRPr="0000109A">
        <w:t>enteroscopy</w:t>
      </w:r>
      <w:proofErr w:type="spellEnd"/>
      <w:r w:rsidRPr="0000109A">
        <w:t xml:space="preserve"> (or the MBS item numbers) rather than DBE.</w:t>
      </w:r>
    </w:p>
    <w:p w14:paraId="7876C06A" w14:textId="256AC679" w:rsidR="00310C3F" w:rsidRPr="00CE28E3" w:rsidRDefault="00310C3F" w:rsidP="00310C3F">
      <w:pPr>
        <w:pStyle w:val="Instructionaltext"/>
      </w:pPr>
      <w:r w:rsidRPr="00310C3F">
        <w:t>[End instructional text]</w:t>
      </w:r>
    </w:p>
    <w:p w14:paraId="34E0B08F" w14:textId="4237880A" w:rsidR="00772829" w:rsidRPr="00CE28E3" w:rsidRDefault="00C36633" w:rsidP="002A18BE">
      <w:pPr>
        <w:pStyle w:val="Heading2"/>
        <w:numPr>
          <w:ilvl w:val="0"/>
          <w:numId w:val="0"/>
        </w:numPr>
      </w:pPr>
      <w:bookmarkStart w:id="26" w:name="_Toc69491419"/>
      <w:r>
        <w:t>5.</w:t>
      </w:r>
      <w:r>
        <w:tab/>
      </w:r>
      <w:r w:rsidR="00772829" w:rsidRPr="00CE28E3">
        <w:t>Population</w:t>
      </w:r>
      <w:bookmarkEnd w:id="26"/>
      <w:r w:rsidR="00772829" w:rsidRPr="00CE28E3">
        <w:t xml:space="preserve"> </w:t>
      </w:r>
    </w:p>
    <w:p w14:paraId="0974E7F7" w14:textId="793795D4" w:rsidR="00602F43" w:rsidRPr="000D1B52" w:rsidRDefault="003F7196" w:rsidP="00502FFB">
      <w:pPr>
        <w:pStyle w:val="Guidelinescross-ref"/>
      </w:pPr>
      <w:r w:rsidRPr="003F7196">
        <w:t xml:space="preserve">Refer to: </w:t>
      </w:r>
      <w:r w:rsidR="00602F43" w:rsidRPr="000D1B52">
        <w:t>MSAC Guidelines TG 2.1</w:t>
      </w:r>
      <w:r w:rsidR="00B276B4" w:rsidRPr="000D1B52">
        <w:t xml:space="preserve"> (</w:t>
      </w:r>
      <w:r w:rsidR="00E971F6">
        <w:t>P</w:t>
      </w:r>
      <w:r w:rsidR="00B276B4" w:rsidRPr="000D1B52">
        <w:t>opulation)</w:t>
      </w:r>
    </w:p>
    <w:p w14:paraId="621B56CE" w14:textId="097749DA" w:rsidR="00310C3F" w:rsidRDefault="00310C3F" w:rsidP="0000109A">
      <w:pPr>
        <w:pStyle w:val="Instructionaltext"/>
      </w:pPr>
      <w:r w:rsidRPr="00310C3F">
        <w:t xml:space="preserve">[Instructional text] </w:t>
      </w:r>
    </w:p>
    <w:p w14:paraId="757758D8" w14:textId="132A05E4" w:rsidR="00D43246" w:rsidRPr="0000109A" w:rsidRDefault="00D43246" w:rsidP="0000109A">
      <w:pPr>
        <w:pStyle w:val="Instructionaltext"/>
      </w:pPr>
      <w:r w:rsidRPr="0000109A">
        <w:t xml:space="preserve">State </w:t>
      </w:r>
      <w:r w:rsidR="005E2702" w:rsidRPr="0000109A">
        <w:t xml:space="preserve">whether there is more than one PICO set (usually required when the proposed technology is used across different populations or for different indications). </w:t>
      </w:r>
    </w:p>
    <w:p w14:paraId="4E30A869" w14:textId="4553DCC1" w:rsidR="005E2702" w:rsidRPr="00330A0A" w:rsidRDefault="005E2702" w:rsidP="002463A6">
      <w:pPr>
        <w:pStyle w:val="Instructionaltext"/>
        <w:spacing w:after="0"/>
      </w:pPr>
      <w:r w:rsidRPr="00330A0A">
        <w:lastRenderedPageBreak/>
        <w:t>For each PICO set (each unique population/indication pair) state whether the proposed technology would be used:</w:t>
      </w:r>
    </w:p>
    <w:p w14:paraId="7DB116B5" w14:textId="266FEB61" w:rsidR="005E2702" w:rsidRPr="00330A0A" w:rsidRDefault="00E971F6" w:rsidP="005D00EA">
      <w:pPr>
        <w:pStyle w:val="Instructionaltext-bullet"/>
      </w:pPr>
      <w:r>
        <w:t>i</w:t>
      </w:r>
      <w:r w:rsidR="005E2702" w:rsidRPr="00330A0A">
        <w:t>n place of a current technology (</w:t>
      </w:r>
      <w:r>
        <w:t xml:space="preserve">as an </w:t>
      </w:r>
      <w:r w:rsidR="005E2702" w:rsidRPr="00330A0A">
        <w:t xml:space="preserve">alternative </w:t>
      </w:r>
      <w:r>
        <w:t xml:space="preserve">or as a </w:t>
      </w:r>
      <w:r w:rsidR="005E2702" w:rsidRPr="00330A0A">
        <w:t>replacement)</w:t>
      </w:r>
    </w:p>
    <w:p w14:paraId="078BA793" w14:textId="05812D34" w:rsidR="005E2702" w:rsidRPr="00330A0A" w:rsidRDefault="00E971F6" w:rsidP="005D00EA">
      <w:pPr>
        <w:pStyle w:val="Instructionaltext-bullet"/>
      </w:pPr>
      <w:r>
        <w:t>i</w:t>
      </w:r>
      <w:r w:rsidR="005E2702" w:rsidRPr="00330A0A">
        <w:t>n addition to a current technology (before</w:t>
      </w:r>
      <w:r>
        <w:t>,</w:t>
      </w:r>
      <w:r w:rsidR="005E2702" w:rsidRPr="00330A0A">
        <w:t xml:space="preserve"> after</w:t>
      </w:r>
      <w:r>
        <w:t>,</w:t>
      </w:r>
      <w:r w:rsidR="005E2702" w:rsidRPr="00330A0A">
        <w:t xml:space="preserve"> concomitantly </w:t>
      </w:r>
      <w:r>
        <w:t>or</w:t>
      </w:r>
      <w:r w:rsidR="005E2702" w:rsidRPr="00330A0A">
        <w:t xml:space="preserve"> displacement)</w:t>
      </w:r>
    </w:p>
    <w:p w14:paraId="5C265B8C" w14:textId="47AFC78E" w:rsidR="005E2702" w:rsidRPr="00330A0A" w:rsidRDefault="00E971F6" w:rsidP="005D00EA">
      <w:pPr>
        <w:pStyle w:val="Instructionaltext-bullet"/>
      </w:pPr>
      <w:r>
        <w:t>w</w:t>
      </w:r>
      <w:r w:rsidR="005E2702" w:rsidRPr="00330A0A">
        <w:t>here no current technology is publicly funded (available, but not funded)</w:t>
      </w:r>
    </w:p>
    <w:p w14:paraId="3720495F" w14:textId="5DE7537E" w:rsidR="005E2702" w:rsidRPr="00330A0A" w:rsidRDefault="00E971F6" w:rsidP="005D00EA">
      <w:pPr>
        <w:pStyle w:val="Instructionaltext-bullet"/>
      </w:pPr>
      <w:r>
        <w:t>w</w:t>
      </w:r>
      <w:r w:rsidR="005E2702" w:rsidRPr="00330A0A">
        <w:t>here no current technology is available (</w:t>
      </w:r>
      <w:r>
        <w:t>e.g.</w:t>
      </w:r>
      <w:r w:rsidR="0092470E">
        <w:t> </w:t>
      </w:r>
      <w:r>
        <w:t>‘</w:t>
      </w:r>
      <w:r w:rsidR="005E2702" w:rsidRPr="00330A0A">
        <w:t>best supportive care</w:t>
      </w:r>
      <w:r>
        <w:t>’</w:t>
      </w:r>
      <w:r w:rsidR="005E2702" w:rsidRPr="00330A0A">
        <w:t xml:space="preserve"> or </w:t>
      </w:r>
      <w:r>
        <w:t>‘</w:t>
      </w:r>
      <w:r w:rsidR="005E2702" w:rsidRPr="00330A0A">
        <w:t>watchful waiting</w:t>
      </w:r>
      <w:r>
        <w:t>’</w:t>
      </w:r>
      <w:r w:rsidR="005E2702" w:rsidRPr="00330A0A">
        <w:t>)</w:t>
      </w:r>
    </w:p>
    <w:p w14:paraId="406A1843" w14:textId="1AC7990C" w:rsidR="005E2702" w:rsidRPr="00330A0A" w:rsidRDefault="0092470E" w:rsidP="005D00EA">
      <w:pPr>
        <w:pStyle w:val="Instructionaltext-bullet"/>
      </w:pPr>
      <w:r>
        <w:t>i</w:t>
      </w:r>
      <w:r w:rsidR="00FA7D7D" w:rsidRPr="00330A0A">
        <w:t>n the context of a rare disease or circumstance (</w:t>
      </w:r>
      <w:r w:rsidRPr="0092470E">
        <w:t>e.g.</w:t>
      </w:r>
      <w:r>
        <w:t> </w:t>
      </w:r>
      <w:r w:rsidR="00FA7D7D" w:rsidRPr="00330A0A">
        <w:t>an orphan or minority population)</w:t>
      </w:r>
      <w:r>
        <w:t>.</w:t>
      </w:r>
    </w:p>
    <w:p w14:paraId="1B06ADBD" w14:textId="541F19D2" w:rsidR="00CB15E9" w:rsidRPr="00330A0A" w:rsidRDefault="00FA7D7D" w:rsidP="00E76AE0">
      <w:pPr>
        <w:pStyle w:val="Instructionaltext"/>
      </w:pPr>
      <w:r w:rsidRPr="00330A0A">
        <w:t xml:space="preserve">For each PICO set, summarise where the proposed </w:t>
      </w:r>
      <w:r w:rsidR="00CB15E9" w:rsidRPr="00330A0A">
        <w:t>technology</w:t>
      </w:r>
      <w:r w:rsidRPr="00330A0A">
        <w:t xml:space="preserve"> fits into the clinical management algorithm according to the applicant</w:t>
      </w:r>
      <w:r w:rsidR="0092470E">
        <w:t>’</w:t>
      </w:r>
      <w:r w:rsidRPr="00330A0A">
        <w:t>s post-PASC proposal for public funding. The summary should include the patient</w:t>
      </w:r>
      <w:r w:rsidR="0092470E">
        <w:t>’</w:t>
      </w:r>
      <w:r w:rsidRPr="00330A0A">
        <w:t xml:space="preserve">s clinical pathway up to the </w:t>
      </w:r>
      <w:r w:rsidR="00093D9A" w:rsidRPr="00330A0A">
        <w:t>point where the proposed technology is appropriate.</w:t>
      </w:r>
    </w:p>
    <w:p w14:paraId="10729852" w14:textId="326880F5" w:rsidR="00FA7D7D" w:rsidRPr="00330A0A" w:rsidRDefault="00CB15E9" w:rsidP="00E76AE0">
      <w:pPr>
        <w:pStyle w:val="Instructionaltext"/>
      </w:pPr>
      <w:r w:rsidRPr="00330A0A">
        <w:t>If the use of</w:t>
      </w:r>
      <w:r w:rsidR="00B276B4" w:rsidRPr="00330A0A">
        <w:t xml:space="preserve"> medical services following the use of the proposed technology will change, summarise the downstream impacts on resource use (e.g.</w:t>
      </w:r>
      <w:r w:rsidR="0092470E">
        <w:t> </w:t>
      </w:r>
      <w:r w:rsidR="00B276B4" w:rsidRPr="00330A0A">
        <w:t>displaced therapies or avoided tests)</w:t>
      </w:r>
      <w:r w:rsidR="0092470E">
        <w:t>.</w:t>
      </w:r>
    </w:p>
    <w:p w14:paraId="4105F4E1" w14:textId="76471E7F" w:rsidR="00A15580" w:rsidRDefault="00A15580" w:rsidP="00E76AE0">
      <w:pPr>
        <w:pStyle w:val="Instructionaltext"/>
      </w:pPr>
      <w:r w:rsidRPr="00330A0A">
        <w:t>State whether the assessment report addresse</w:t>
      </w:r>
      <w:r w:rsidR="0092470E">
        <w:t>s</w:t>
      </w:r>
      <w:r w:rsidRPr="00330A0A">
        <w:t xml:space="preserve"> the requirements of the confirmed PICO.</w:t>
      </w:r>
    </w:p>
    <w:p w14:paraId="5B18B0CE" w14:textId="100332A1" w:rsidR="00310C3F" w:rsidRPr="00330A0A" w:rsidRDefault="00310C3F" w:rsidP="00E76AE0">
      <w:pPr>
        <w:pStyle w:val="Instructionaltext"/>
      </w:pPr>
      <w:r w:rsidRPr="00310C3F">
        <w:t>[End instructional text]</w:t>
      </w:r>
    </w:p>
    <w:p w14:paraId="66BDFCC1" w14:textId="3DA0E80D" w:rsidR="00772829" w:rsidRPr="00CE28E3" w:rsidRDefault="00C36633" w:rsidP="002A18BE">
      <w:pPr>
        <w:pStyle w:val="Heading2"/>
        <w:numPr>
          <w:ilvl w:val="0"/>
          <w:numId w:val="0"/>
        </w:numPr>
      </w:pPr>
      <w:bookmarkStart w:id="27" w:name="_Toc69491420"/>
      <w:r>
        <w:t>6.</w:t>
      </w:r>
      <w:r>
        <w:tab/>
      </w:r>
      <w:r w:rsidR="00772829" w:rsidRPr="00CE28E3">
        <w:t>Comparator</w:t>
      </w:r>
      <w:bookmarkEnd w:id="27"/>
    </w:p>
    <w:p w14:paraId="52799AFE" w14:textId="0EC52E00" w:rsidR="00B276B4" w:rsidRPr="000D1B52" w:rsidRDefault="003F7196" w:rsidP="00502FFB">
      <w:pPr>
        <w:pStyle w:val="Guidelinescross-ref"/>
      </w:pPr>
      <w:r w:rsidRPr="003F7196">
        <w:t xml:space="preserve">Refer to: </w:t>
      </w:r>
      <w:r w:rsidR="00B276B4" w:rsidRPr="000D1B52">
        <w:t>MSAC Guidelines TG 2.3 (</w:t>
      </w:r>
      <w:r w:rsidR="0092470E">
        <w:t>C</w:t>
      </w:r>
      <w:r w:rsidR="00B276B4" w:rsidRPr="000D1B52">
        <w:t>omparator)</w:t>
      </w:r>
    </w:p>
    <w:p w14:paraId="4239B3C5" w14:textId="77777777" w:rsidR="00310C3F" w:rsidRDefault="00310C3F" w:rsidP="00E76AE0">
      <w:pPr>
        <w:pStyle w:val="Instructionaltext"/>
      </w:pPr>
      <w:r w:rsidRPr="00310C3F">
        <w:t xml:space="preserve">[Instructional text] </w:t>
      </w:r>
    </w:p>
    <w:p w14:paraId="20FD952A" w14:textId="3346E7DC" w:rsidR="003F14C2" w:rsidRPr="00330A0A" w:rsidRDefault="00B276B4" w:rsidP="00E76AE0">
      <w:pPr>
        <w:pStyle w:val="Instructionaltext"/>
      </w:pPr>
      <w:r w:rsidRPr="00330A0A">
        <w:t xml:space="preserve">Describe the comparator as specified by the applicant post-PASC. </w:t>
      </w:r>
    </w:p>
    <w:p w14:paraId="22609408" w14:textId="493BCD36" w:rsidR="003F14C2" w:rsidRPr="00330A0A" w:rsidRDefault="003F14C2" w:rsidP="00E76AE0">
      <w:pPr>
        <w:pStyle w:val="Instructionaltext"/>
      </w:pPr>
      <w:r w:rsidRPr="00330A0A">
        <w:t>State whether the post-PASC comparator is appropriate. If not, what is the preferred comparator and why?</w:t>
      </w:r>
    </w:p>
    <w:p w14:paraId="3D538258" w14:textId="486B0FF5" w:rsidR="00772829" w:rsidRDefault="003F14C2" w:rsidP="00E76AE0">
      <w:pPr>
        <w:pStyle w:val="Instructionaltext"/>
      </w:pPr>
      <w:r w:rsidRPr="00330A0A">
        <w:t>State whether and how the comparator is currently funded (e.g.</w:t>
      </w:r>
      <w:r w:rsidR="0092470E">
        <w:t> </w:t>
      </w:r>
      <w:r w:rsidRPr="00330A0A">
        <w:t>public or private hospital, MBS, other funding source). If the comparator is MBS listed, provide the MBS item number(s), descriptor(s) and date(s) of listing.</w:t>
      </w:r>
    </w:p>
    <w:p w14:paraId="69011619" w14:textId="4D1153E6" w:rsidR="00310C3F" w:rsidRPr="00330A0A" w:rsidRDefault="00310C3F" w:rsidP="00E76AE0">
      <w:pPr>
        <w:pStyle w:val="Instructionaltext"/>
      </w:pPr>
      <w:r w:rsidRPr="00310C3F">
        <w:t>[End instructional text]</w:t>
      </w:r>
    </w:p>
    <w:p w14:paraId="03C7A1F1" w14:textId="4CC6378F" w:rsidR="00772829" w:rsidRPr="00CE28E3" w:rsidRDefault="00B27795" w:rsidP="002A18BE">
      <w:pPr>
        <w:pStyle w:val="Heading2"/>
        <w:numPr>
          <w:ilvl w:val="0"/>
          <w:numId w:val="0"/>
        </w:numPr>
      </w:pPr>
      <w:bookmarkStart w:id="28" w:name="_Toc69491422"/>
      <w:r>
        <w:t>7</w:t>
      </w:r>
      <w:r w:rsidR="00C36633">
        <w:t>.</w:t>
      </w:r>
      <w:r w:rsidR="00C36633">
        <w:tab/>
      </w:r>
      <w:r w:rsidR="00772829" w:rsidRPr="00CE28E3">
        <w:t>Characteristics of the evidence base</w:t>
      </w:r>
      <w:bookmarkEnd w:id="28"/>
    </w:p>
    <w:p w14:paraId="1ABD44EE" w14:textId="77777777" w:rsidR="001D74A7" w:rsidRDefault="001D74A7" w:rsidP="00E76AE0">
      <w:pPr>
        <w:pStyle w:val="Instructionaltext"/>
      </w:pPr>
      <w:r w:rsidRPr="001D74A7">
        <w:t xml:space="preserve">[Instructional text] </w:t>
      </w:r>
    </w:p>
    <w:p w14:paraId="7930FDE8" w14:textId="1FB56B56" w:rsidR="00080241" w:rsidRPr="003251C2" w:rsidRDefault="0092470E" w:rsidP="00E76AE0">
      <w:pPr>
        <w:pStyle w:val="Instructionaltext"/>
      </w:pPr>
      <w:r w:rsidRPr="0000109A">
        <w:t>Note.</w:t>
      </w:r>
      <w:r w:rsidR="00A44EC1" w:rsidRPr="0000109A">
        <w:t xml:space="preserve"> There are no particular TGs in the </w:t>
      </w:r>
      <w:r w:rsidRPr="0000109A">
        <w:t xml:space="preserve">MSAC </w:t>
      </w:r>
      <w:r w:rsidR="00A44EC1" w:rsidRPr="0000109A">
        <w:t>Guidelines that request this type of summary. This is the culmination of the methodological appendices (2</w:t>
      </w:r>
      <w:r w:rsidRPr="0000109A">
        <w:t>–</w:t>
      </w:r>
      <w:r w:rsidR="00A44EC1" w:rsidRPr="0000109A">
        <w:t>5)</w:t>
      </w:r>
      <w:r w:rsidRPr="0000109A">
        <w:t>,</w:t>
      </w:r>
      <w:r w:rsidR="006744AC" w:rsidRPr="0000109A">
        <w:t xml:space="preserve"> and the information </w:t>
      </w:r>
      <w:r w:rsidRPr="0000109A">
        <w:t>sh</w:t>
      </w:r>
      <w:r w:rsidR="006744AC" w:rsidRPr="0000109A">
        <w:t>ould be drawn from the study profile</w:t>
      </w:r>
      <w:r w:rsidR="0000109A">
        <w:t xml:space="preserve">s in </w:t>
      </w:r>
      <w:r w:rsidR="004A4FDF">
        <w:fldChar w:fldCharType="begin"/>
      </w:r>
      <w:r w:rsidR="004A4FDF">
        <w:instrText xml:space="preserve"> REF _Ref69725715 \h </w:instrText>
      </w:r>
      <w:r w:rsidR="004A4FDF">
        <w:fldChar w:fldCharType="separate"/>
      </w:r>
      <w:r w:rsidR="004A4FDF" w:rsidRPr="00CE28E3">
        <w:t>Appendix B</w:t>
      </w:r>
      <w:r w:rsidR="004A4FDF">
        <w:fldChar w:fldCharType="end"/>
      </w:r>
      <w:r w:rsidR="006744AC" w:rsidRPr="0000109A">
        <w:t>.</w:t>
      </w:r>
    </w:p>
    <w:p w14:paraId="3771E311" w14:textId="2D31A0B5" w:rsidR="00956ACE" w:rsidRDefault="00080241" w:rsidP="00E76AE0">
      <w:pPr>
        <w:pStyle w:val="Instructionaltext"/>
      </w:pPr>
      <w:r w:rsidRPr="003251C2">
        <w:t>Tabulate the primary source(s) of evidence</w:t>
      </w:r>
      <w:r w:rsidR="0092470E">
        <w:t xml:space="preserve"> (see </w:t>
      </w:r>
      <w:r w:rsidR="004A4FDF">
        <w:fldChar w:fldCharType="begin"/>
      </w:r>
      <w:r w:rsidR="004A4FDF">
        <w:instrText xml:space="preserve"> REF _Ref69725651 \h </w:instrText>
      </w:r>
      <w:r w:rsidR="004A4FDF">
        <w:fldChar w:fldCharType="separate"/>
      </w:r>
      <w:r w:rsidR="004A4FDF" w:rsidRPr="00CE28E3">
        <w:t>Table</w:t>
      </w:r>
      <w:r w:rsidR="004A4FDF">
        <w:t> </w:t>
      </w:r>
      <w:r w:rsidR="004A4FDF">
        <w:rPr>
          <w:noProof/>
        </w:rPr>
        <w:t>3</w:t>
      </w:r>
      <w:r w:rsidR="004A4FDF">
        <w:fldChar w:fldCharType="end"/>
      </w:r>
      <w:r w:rsidR="004A4FDF">
        <w:t xml:space="preserve"> and </w:t>
      </w:r>
      <w:r w:rsidR="004A4FDF">
        <w:fldChar w:fldCharType="begin"/>
      </w:r>
      <w:r w:rsidR="004A4FDF">
        <w:instrText xml:space="preserve"> REF _Ref69725659 \h </w:instrText>
      </w:r>
      <w:r w:rsidR="004A4FDF">
        <w:fldChar w:fldCharType="separate"/>
      </w:r>
      <w:r w:rsidR="004A4FDF" w:rsidRPr="00CE28E3">
        <w:t>Table</w:t>
      </w:r>
      <w:r w:rsidR="004A4FDF">
        <w:t> </w:t>
      </w:r>
      <w:r w:rsidR="004A4FDF">
        <w:rPr>
          <w:noProof/>
        </w:rPr>
        <w:t>4</w:t>
      </w:r>
      <w:r w:rsidR="004A4FDF">
        <w:fldChar w:fldCharType="end"/>
      </w:r>
      <w:r w:rsidR="0092470E">
        <w:t>)</w:t>
      </w:r>
      <w:r w:rsidRPr="003251C2">
        <w:t>. Indicate which sources provide evidence of safety, effectiveness or both. For each source, identify the type of study (e.g.</w:t>
      </w:r>
      <w:r w:rsidR="004D4425">
        <w:t> </w:t>
      </w:r>
      <w:r w:rsidRPr="003251C2">
        <w:t xml:space="preserve">randomised trials, indirect comparison, </w:t>
      </w:r>
      <w:r w:rsidR="00956ACE" w:rsidRPr="003251C2">
        <w:t>nonrandomised studies), the key outcome(s) relevant to the evaluation and the overall risk of bias (relevant to the key outcomes). Indicate which sources have been used in the economic evaluation.</w:t>
      </w:r>
    </w:p>
    <w:p w14:paraId="2128014C" w14:textId="55C3B24C" w:rsidR="001D74A7" w:rsidRPr="003251C2" w:rsidRDefault="001D74A7" w:rsidP="00E76AE0">
      <w:pPr>
        <w:pStyle w:val="Instructionaltext"/>
      </w:pPr>
      <w:r w:rsidRPr="001D74A7">
        <w:t>[End instructional text]</w:t>
      </w:r>
    </w:p>
    <w:p w14:paraId="692BCA4B" w14:textId="3A9FBD69" w:rsidR="00956ACE" w:rsidRPr="00330A0A" w:rsidRDefault="00956ACE" w:rsidP="009A06F4">
      <w:pPr>
        <w:pStyle w:val="Caption"/>
        <w:rPr>
          <w:color w:val="538135" w:themeColor="accent6" w:themeShade="BF"/>
          <w:sz w:val="16"/>
          <w:szCs w:val="16"/>
        </w:rPr>
      </w:pPr>
      <w:bookmarkStart w:id="29" w:name="_Ref69725651"/>
      <w:r w:rsidRPr="00CE28E3">
        <w:lastRenderedPageBreak/>
        <w:t>Table</w:t>
      </w:r>
      <w:r w:rsidR="004A4FDF">
        <w:t> </w:t>
      </w:r>
      <w:r w:rsidR="0099088A">
        <w:fldChar w:fldCharType="begin"/>
      </w:r>
      <w:r w:rsidR="0099088A">
        <w:instrText xml:space="preserve"> SEQ Table \* ARABIC </w:instrText>
      </w:r>
      <w:r w:rsidR="0099088A">
        <w:fldChar w:fldCharType="separate"/>
      </w:r>
      <w:r w:rsidR="004A4FDF">
        <w:rPr>
          <w:noProof/>
        </w:rPr>
        <w:t>3</w:t>
      </w:r>
      <w:r w:rsidR="0099088A">
        <w:rPr>
          <w:noProof/>
        </w:rPr>
        <w:fldChar w:fldCharType="end"/>
      </w:r>
      <w:bookmarkEnd w:id="29"/>
      <w:r w:rsidRPr="00CE28E3">
        <w:tab/>
        <w:t>Key features of the included evidence</w:t>
      </w:r>
      <w:r w:rsidRPr="00330A0A">
        <w:rPr>
          <w:color w:val="538135" w:themeColor="accent6" w:themeShade="BF"/>
        </w:rPr>
        <w:t xml:space="preserve"> </w:t>
      </w:r>
      <w:r w:rsidRPr="001D74A7">
        <w:rPr>
          <w:color w:val="258221"/>
        </w:rPr>
        <w:t xml:space="preserve">(example for </w:t>
      </w:r>
      <w:r w:rsidR="0092470E">
        <w:rPr>
          <w:color w:val="258221"/>
        </w:rPr>
        <w:t xml:space="preserve">a </w:t>
      </w:r>
      <w:r w:rsidRPr="001D74A7">
        <w:rPr>
          <w:color w:val="258221"/>
        </w:rPr>
        <w:t>therapeutic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956ACE" w:rsidRPr="00CE28E3" w14:paraId="475D8C60" w14:textId="77777777" w:rsidTr="00824458">
        <w:trPr>
          <w:cantSplit/>
          <w:tblHeader/>
        </w:trPr>
        <w:tc>
          <w:tcPr>
            <w:tcW w:w="713" w:type="pct"/>
            <w:shd w:val="clear" w:color="auto" w:fill="auto"/>
            <w:vAlign w:val="center"/>
          </w:tcPr>
          <w:p w14:paraId="4FFC981B" w14:textId="77777777" w:rsidR="00956ACE" w:rsidRPr="00CE28E3" w:rsidRDefault="00956ACE" w:rsidP="00824458">
            <w:pPr>
              <w:pStyle w:val="In-tableHeading"/>
            </w:pPr>
            <w:bookmarkStart w:id="30" w:name="ColumnTitle_Table3"/>
            <w:bookmarkStart w:id="31" w:name="_Hlk68276112"/>
            <w:bookmarkEnd w:id="30"/>
            <w:r w:rsidRPr="00CE28E3">
              <w:t>References</w:t>
            </w:r>
          </w:p>
        </w:tc>
        <w:tc>
          <w:tcPr>
            <w:tcW w:w="46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82"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21"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7"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22"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9"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50299BC3" w:rsidR="00956ACE" w:rsidRPr="00CE28E3" w:rsidRDefault="00956ACE" w:rsidP="00824458">
            <w:pPr>
              <w:pStyle w:val="In-tableHeading"/>
            </w:pPr>
            <w:r w:rsidRPr="00CE28E3">
              <w:t>[</w:t>
            </w:r>
            <w:r w:rsidR="00BC4972">
              <w:t>*</w:t>
            </w:r>
            <w:r w:rsidRPr="00CE28E3">
              <w:t>proposed intervention vs comparator]</w:t>
            </w:r>
          </w:p>
        </w:tc>
      </w:tr>
      <w:tr w:rsidR="00956ACE" w:rsidRPr="00CE28E3" w14:paraId="7E776818" w14:textId="77777777" w:rsidTr="00824458">
        <w:trPr>
          <w:cantSplit/>
        </w:trPr>
        <w:tc>
          <w:tcPr>
            <w:tcW w:w="713" w:type="pct"/>
            <w:shd w:val="clear" w:color="auto" w:fill="auto"/>
            <w:vAlign w:val="center"/>
          </w:tcPr>
          <w:p w14:paraId="563AC767" w14:textId="77777777" w:rsidR="00956ACE" w:rsidRPr="00CE28E3" w:rsidRDefault="00956ACE" w:rsidP="00824458">
            <w:pPr>
              <w:pStyle w:val="TableText"/>
              <w:rPr>
                <w:lang w:val="en-US"/>
              </w:rPr>
            </w:pPr>
            <w:r w:rsidRPr="00CE28E3">
              <w:rPr>
                <w:lang w:val="en-US"/>
              </w:rPr>
              <w:t>Jones 2010</w:t>
            </w:r>
          </w:p>
        </w:tc>
        <w:tc>
          <w:tcPr>
            <w:tcW w:w="466" w:type="pct"/>
            <w:shd w:val="clear" w:color="auto" w:fill="auto"/>
            <w:vAlign w:val="center"/>
          </w:tcPr>
          <w:p w14:paraId="280096E2" w14:textId="77777777" w:rsidR="00956ACE" w:rsidRPr="00CE28E3" w:rsidRDefault="00956ACE" w:rsidP="00824458">
            <w:pPr>
              <w:pStyle w:val="TableText"/>
              <w:jc w:val="center"/>
              <w:rPr>
                <w:lang w:val="en-US"/>
              </w:rPr>
            </w:pPr>
            <w:r w:rsidRPr="00CE28E3">
              <w:rPr>
                <w:lang w:val="en-US"/>
              </w:rPr>
              <w:t>225</w:t>
            </w:r>
          </w:p>
        </w:tc>
        <w:tc>
          <w:tcPr>
            <w:tcW w:w="782" w:type="pct"/>
            <w:shd w:val="clear" w:color="auto" w:fill="auto"/>
            <w:vAlign w:val="center"/>
          </w:tcPr>
          <w:p w14:paraId="39A9151F" w14:textId="77777777" w:rsidR="00956ACE" w:rsidRPr="00CE28E3" w:rsidRDefault="00956ACE" w:rsidP="00824458">
            <w:pPr>
              <w:pStyle w:val="TableText"/>
              <w:jc w:val="center"/>
              <w:rPr>
                <w:lang w:val="en-US"/>
              </w:rPr>
            </w:pPr>
          </w:p>
        </w:tc>
        <w:tc>
          <w:tcPr>
            <w:tcW w:w="621" w:type="pct"/>
            <w:shd w:val="clear" w:color="auto" w:fill="auto"/>
            <w:vAlign w:val="center"/>
          </w:tcPr>
          <w:p w14:paraId="269C28DF"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4FD8A7FC" w14:textId="77777777" w:rsidR="00956ACE" w:rsidRPr="00CE28E3" w:rsidRDefault="00956ACE" w:rsidP="00824458">
            <w:pPr>
              <w:pStyle w:val="TableText"/>
              <w:jc w:val="center"/>
              <w:rPr>
                <w:lang w:val="en-US"/>
              </w:rPr>
            </w:pPr>
          </w:p>
        </w:tc>
        <w:tc>
          <w:tcPr>
            <w:tcW w:w="622" w:type="pct"/>
            <w:shd w:val="clear" w:color="auto" w:fill="auto"/>
            <w:vAlign w:val="center"/>
          </w:tcPr>
          <w:p w14:paraId="45B1587F" w14:textId="77777777" w:rsidR="00956ACE" w:rsidRPr="00CE28E3" w:rsidRDefault="00956ACE" w:rsidP="00824458">
            <w:pPr>
              <w:pStyle w:val="TableText"/>
              <w:jc w:val="center"/>
              <w:rPr>
                <w:lang w:val="en-US"/>
              </w:rPr>
            </w:pPr>
          </w:p>
        </w:tc>
        <w:tc>
          <w:tcPr>
            <w:tcW w:w="939" w:type="pct"/>
            <w:shd w:val="clear" w:color="auto" w:fill="auto"/>
            <w:vAlign w:val="center"/>
          </w:tcPr>
          <w:p w14:paraId="3F9CD3D5" w14:textId="77777777" w:rsidR="00956ACE" w:rsidRPr="00CE28E3" w:rsidRDefault="00956ACE" w:rsidP="00824458">
            <w:pPr>
              <w:pStyle w:val="TableText"/>
              <w:jc w:val="center"/>
              <w:rPr>
                <w:lang w:val="en-US"/>
              </w:rPr>
            </w:pPr>
            <w:r w:rsidRPr="00CE28E3">
              <w:rPr>
                <w:lang w:val="en-US"/>
              </w:rPr>
              <w:t>Not used</w:t>
            </w:r>
          </w:p>
        </w:tc>
      </w:tr>
      <w:tr w:rsidR="00956ACE" w:rsidRPr="00CE28E3" w14:paraId="6E4E23A7" w14:textId="77777777" w:rsidTr="00824458">
        <w:trPr>
          <w:cantSplit/>
        </w:trPr>
        <w:tc>
          <w:tcPr>
            <w:tcW w:w="713" w:type="pct"/>
            <w:shd w:val="clear" w:color="auto" w:fill="auto"/>
            <w:vAlign w:val="center"/>
          </w:tcPr>
          <w:p w14:paraId="45E15921" w14:textId="77777777" w:rsidR="00956ACE" w:rsidRPr="00CE28E3" w:rsidRDefault="00956ACE" w:rsidP="00824458">
            <w:pPr>
              <w:pStyle w:val="TableText"/>
              <w:rPr>
                <w:lang w:val="en-US"/>
              </w:rPr>
            </w:pPr>
            <w:r w:rsidRPr="00CE28E3">
              <w:rPr>
                <w:lang w:val="en-US"/>
              </w:rPr>
              <w:t>Smith 2012</w:t>
            </w:r>
          </w:p>
        </w:tc>
        <w:tc>
          <w:tcPr>
            <w:tcW w:w="466" w:type="pct"/>
            <w:shd w:val="clear" w:color="auto" w:fill="auto"/>
            <w:vAlign w:val="center"/>
          </w:tcPr>
          <w:p w14:paraId="71251CEE" w14:textId="77777777" w:rsidR="00956ACE" w:rsidRPr="00CE28E3" w:rsidRDefault="00956ACE" w:rsidP="00824458">
            <w:pPr>
              <w:pStyle w:val="TableText"/>
              <w:jc w:val="center"/>
              <w:rPr>
                <w:lang w:val="en-US"/>
              </w:rPr>
            </w:pPr>
            <w:r w:rsidRPr="00CE28E3">
              <w:rPr>
                <w:lang w:val="en-US"/>
              </w:rPr>
              <w:t>310</w:t>
            </w:r>
          </w:p>
        </w:tc>
        <w:tc>
          <w:tcPr>
            <w:tcW w:w="782" w:type="pct"/>
            <w:shd w:val="clear" w:color="auto" w:fill="auto"/>
            <w:vAlign w:val="center"/>
          </w:tcPr>
          <w:p w14:paraId="37D3BD6A" w14:textId="77777777" w:rsidR="00956ACE" w:rsidRPr="00CE28E3" w:rsidRDefault="00956ACE" w:rsidP="00824458">
            <w:pPr>
              <w:pStyle w:val="TableText"/>
              <w:jc w:val="center"/>
              <w:rPr>
                <w:lang w:val="en-US"/>
              </w:rPr>
            </w:pPr>
          </w:p>
        </w:tc>
        <w:tc>
          <w:tcPr>
            <w:tcW w:w="621" w:type="pct"/>
            <w:shd w:val="clear" w:color="auto" w:fill="auto"/>
            <w:vAlign w:val="center"/>
          </w:tcPr>
          <w:p w14:paraId="51165529" w14:textId="77777777" w:rsidR="00956ACE" w:rsidRPr="00CE28E3" w:rsidRDefault="00956ACE" w:rsidP="00824458">
            <w:pPr>
              <w:pStyle w:val="TableText"/>
              <w:jc w:val="center"/>
              <w:rPr>
                <w:i/>
                <w:lang w:val="en-US"/>
              </w:rPr>
            </w:pPr>
            <w:r w:rsidRPr="00CE28E3">
              <w:rPr>
                <w:i/>
                <w:lang w:val="en-US"/>
              </w:rPr>
              <w:t>High</w:t>
            </w:r>
          </w:p>
        </w:tc>
        <w:tc>
          <w:tcPr>
            <w:tcW w:w="857" w:type="pct"/>
            <w:shd w:val="clear" w:color="auto" w:fill="auto"/>
            <w:vAlign w:val="center"/>
          </w:tcPr>
          <w:p w14:paraId="60CDF4F0" w14:textId="77777777" w:rsidR="00956ACE" w:rsidRPr="00CE28E3" w:rsidRDefault="00956ACE" w:rsidP="00824458">
            <w:pPr>
              <w:pStyle w:val="TableText"/>
              <w:jc w:val="center"/>
              <w:rPr>
                <w:lang w:val="en-US"/>
              </w:rPr>
            </w:pPr>
          </w:p>
        </w:tc>
        <w:tc>
          <w:tcPr>
            <w:tcW w:w="622" w:type="pct"/>
            <w:shd w:val="clear" w:color="auto" w:fill="auto"/>
            <w:vAlign w:val="center"/>
          </w:tcPr>
          <w:p w14:paraId="583A7C5E" w14:textId="77777777" w:rsidR="00956ACE" w:rsidRPr="00CE28E3" w:rsidRDefault="00956ACE" w:rsidP="00824458">
            <w:pPr>
              <w:pStyle w:val="TableText"/>
              <w:jc w:val="center"/>
              <w:rPr>
                <w:lang w:val="en-US"/>
              </w:rPr>
            </w:pPr>
          </w:p>
        </w:tc>
        <w:tc>
          <w:tcPr>
            <w:tcW w:w="939" w:type="pct"/>
            <w:shd w:val="clear" w:color="auto" w:fill="auto"/>
            <w:vAlign w:val="center"/>
          </w:tcPr>
          <w:p w14:paraId="56C2128A" w14:textId="77777777" w:rsidR="00956ACE" w:rsidRPr="00CE28E3" w:rsidRDefault="00956ACE" w:rsidP="00824458">
            <w:pPr>
              <w:pStyle w:val="TableText"/>
              <w:jc w:val="center"/>
              <w:rPr>
                <w:lang w:val="en-US"/>
              </w:rPr>
            </w:pPr>
            <w:r w:rsidRPr="00CE28E3">
              <w:rPr>
                <w:lang w:val="en-US"/>
              </w:rPr>
              <w:t>Not used</w:t>
            </w:r>
          </w:p>
        </w:tc>
      </w:tr>
      <w:tr w:rsidR="00956ACE" w:rsidRPr="00CE28E3" w14:paraId="764EB7FF" w14:textId="77777777" w:rsidTr="00824458">
        <w:trPr>
          <w:cantSplit/>
        </w:trPr>
        <w:tc>
          <w:tcPr>
            <w:tcW w:w="713" w:type="pct"/>
            <w:shd w:val="clear" w:color="auto" w:fill="auto"/>
            <w:vAlign w:val="center"/>
          </w:tcPr>
          <w:p w14:paraId="46BAB09C" w14:textId="77777777" w:rsidR="00956ACE" w:rsidRPr="00CE28E3" w:rsidRDefault="00956ACE" w:rsidP="00824458">
            <w:pPr>
              <w:pStyle w:val="TableText"/>
              <w:rPr>
                <w:lang w:val="en-US"/>
              </w:rPr>
            </w:pPr>
            <w:r w:rsidRPr="00CE28E3">
              <w:rPr>
                <w:lang w:val="en-US"/>
              </w:rPr>
              <w:t>Brown 2005</w:t>
            </w:r>
          </w:p>
        </w:tc>
        <w:tc>
          <w:tcPr>
            <w:tcW w:w="466" w:type="pct"/>
            <w:shd w:val="clear" w:color="auto" w:fill="auto"/>
            <w:vAlign w:val="center"/>
          </w:tcPr>
          <w:p w14:paraId="03161CBA" w14:textId="77777777" w:rsidR="00956ACE" w:rsidRPr="00CE28E3" w:rsidRDefault="00956ACE" w:rsidP="00824458">
            <w:pPr>
              <w:pStyle w:val="TableText"/>
              <w:jc w:val="center"/>
              <w:rPr>
                <w:lang w:val="en-US"/>
              </w:rPr>
            </w:pPr>
            <w:r w:rsidRPr="00CE28E3">
              <w:rPr>
                <w:lang w:val="en-US"/>
              </w:rPr>
              <w:t>75</w:t>
            </w:r>
          </w:p>
        </w:tc>
        <w:tc>
          <w:tcPr>
            <w:tcW w:w="782" w:type="pct"/>
            <w:shd w:val="clear" w:color="auto" w:fill="auto"/>
            <w:vAlign w:val="center"/>
          </w:tcPr>
          <w:p w14:paraId="0258CD10" w14:textId="77777777" w:rsidR="00956ACE" w:rsidRPr="00CE28E3" w:rsidRDefault="00956ACE" w:rsidP="00824458">
            <w:pPr>
              <w:pStyle w:val="TableText"/>
              <w:jc w:val="center"/>
              <w:rPr>
                <w:lang w:val="en-US"/>
              </w:rPr>
            </w:pPr>
          </w:p>
        </w:tc>
        <w:tc>
          <w:tcPr>
            <w:tcW w:w="621" w:type="pct"/>
            <w:shd w:val="clear" w:color="auto" w:fill="auto"/>
            <w:vAlign w:val="center"/>
          </w:tcPr>
          <w:p w14:paraId="23BF88DA"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05F1D9DA" w14:textId="77777777" w:rsidR="00956ACE" w:rsidRPr="00CE28E3" w:rsidRDefault="00956ACE" w:rsidP="00824458">
            <w:pPr>
              <w:pStyle w:val="TableText"/>
              <w:jc w:val="center"/>
              <w:rPr>
                <w:lang w:val="en-US"/>
              </w:rPr>
            </w:pPr>
          </w:p>
        </w:tc>
        <w:tc>
          <w:tcPr>
            <w:tcW w:w="622" w:type="pct"/>
            <w:shd w:val="clear" w:color="auto" w:fill="auto"/>
            <w:vAlign w:val="center"/>
          </w:tcPr>
          <w:p w14:paraId="2A3F370B" w14:textId="77777777" w:rsidR="00956ACE" w:rsidRPr="00CE28E3" w:rsidRDefault="00956ACE" w:rsidP="00824458">
            <w:pPr>
              <w:pStyle w:val="TableText"/>
              <w:jc w:val="center"/>
              <w:rPr>
                <w:lang w:val="en-US"/>
              </w:rPr>
            </w:pPr>
          </w:p>
        </w:tc>
        <w:tc>
          <w:tcPr>
            <w:tcW w:w="939" w:type="pct"/>
            <w:shd w:val="clear" w:color="auto" w:fill="auto"/>
            <w:vAlign w:val="center"/>
          </w:tcPr>
          <w:p w14:paraId="562F7956" w14:textId="77777777" w:rsidR="00956ACE" w:rsidRPr="00CE28E3" w:rsidRDefault="00956ACE" w:rsidP="00824458">
            <w:pPr>
              <w:pStyle w:val="TableText"/>
              <w:jc w:val="center"/>
              <w:rPr>
                <w:lang w:val="en-US"/>
              </w:rPr>
            </w:pPr>
            <w:r w:rsidRPr="00CE28E3">
              <w:rPr>
                <w:lang w:val="en-US"/>
              </w:rPr>
              <w:t>Not used</w:t>
            </w:r>
          </w:p>
        </w:tc>
      </w:tr>
      <w:tr w:rsidR="00956ACE" w:rsidRPr="00CE28E3" w14:paraId="691F3441" w14:textId="77777777" w:rsidTr="00824458">
        <w:trPr>
          <w:cantSplit/>
        </w:trPr>
        <w:tc>
          <w:tcPr>
            <w:tcW w:w="713" w:type="pct"/>
            <w:shd w:val="clear" w:color="auto" w:fill="auto"/>
            <w:vAlign w:val="center"/>
          </w:tcPr>
          <w:p w14:paraId="44F5B716" w14:textId="77777777" w:rsidR="00956ACE" w:rsidRPr="00CE28E3" w:rsidRDefault="00956ACE" w:rsidP="00824458">
            <w:pPr>
              <w:pStyle w:val="TableText"/>
              <w:rPr>
                <w:lang w:val="en-US"/>
              </w:rPr>
            </w:pPr>
            <w:r w:rsidRPr="00CE28E3">
              <w:rPr>
                <w:lang w:val="en-US"/>
              </w:rPr>
              <w:t>Meta-analysis</w:t>
            </w:r>
          </w:p>
        </w:tc>
        <w:tc>
          <w:tcPr>
            <w:tcW w:w="466" w:type="pct"/>
            <w:shd w:val="clear" w:color="auto" w:fill="auto"/>
            <w:vAlign w:val="center"/>
          </w:tcPr>
          <w:p w14:paraId="217D8DCD" w14:textId="77777777" w:rsidR="00956ACE" w:rsidRPr="00CE28E3" w:rsidRDefault="00956ACE" w:rsidP="00824458">
            <w:pPr>
              <w:pStyle w:val="TableText"/>
              <w:jc w:val="center"/>
              <w:rPr>
                <w:lang w:val="en-US"/>
              </w:rPr>
            </w:pPr>
            <w:r w:rsidRPr="00CE28E3">
              <w:rPr>
                <w:lang w:val="en-US"/>
              </w:rPr>
              <w:t>410</w:t>
            </w:r>
          </w:p>
        </w:tc>
        <w:tc>
          <w:tcPr>
            <w:tcW w:w="2882" w:type="pct"/>
            <w:gridSpan w:val="4"/>
            <w:shd w:val="clear" w:color="auto" w:fill="auto"/>
            <w:vAlign w:val="center"/>
          </w:tcPr>
          <w:p w14:paraId="68B5BDE6" w14:textId="77777777" w:rsidR="00956ACE" w:rsidRPr="00CE28E3" w:rsidRDefault="00956ACE" w:rsidP="00824458">
            <w:pPr>
              <w:pStyle w:val="TableText"/>
              <w:jc w:val="center"/>
              <w:rPr>
                <w:lang w:val="en-US"/>
              </w:rPr>
            </w:pPr>
            <w:r w:rsidRPr="00CE28E3">
              <w:rPr>
                <w:lang w:val="en-US"/>
              </w:rPr>
              <w:t>Included Jones 2010 and Brown 2005; sub-group analysis; assessed overall survival</w:t>
            </w:r>
          </w:p>
        </w:tc>
        <w:tc>
          <w:tcPr>
            <w:tcW w:w="939" w:type="pct"/>
            <w:shd w:val="clear" w:color="auto" w:fill="auto"/>
            <w:vAlign w:val="center"/>
          </w:tcPr>
          <w:p w14:paraId="1F4304E3" w14:textId="77777777" w:rsidR="00956ACE" w:rsidRPr="00CE28E3" w:rsidRDefault="00956ACE" w:rsidP="00824458">
            <w:pPr>
              <w:pStyle w:val="TableText"/>
              <w:jc w:val="center"/>
              <w:rPr>
                <w:lang w:val="en-US"/>
              </w:rPr>
            </w:pPr>
            <w:r w:rsidRPr="00CE28E3">
              <w:rPr>
                <w:lang w:val="en-US"/>
              </w:rPr>
              <w:t>Survival gain</w:t>
            </w:r>
          </w:p>
        </w:tc>
      </w:tr>
      <w:tr w:rsidR="00956ACE" w:rsidRPr="00CE28E3" w14:paraId="4C0FCC71" w14:textId="77777777" w:rsidTr="00824458">
        <w:trPr>
          <w:cantSplit/>
        </w:trPr>
        <w:tc>
          <w:tcPr>
            <w:tcW w:w="713" w:type="pct"/>
            <w:shd w:val="clear" w:color="auto" w:fill="auto"/>
            <w:vAlign w:val="center"/>
          </w:tcPr>
          <w:p w14:paraId="6D249FDD" w14:textId="7016A762"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3115E3F6" w14:textId="77777777" w:rsidR="00956ACE" w:rsidRPr="00CE28E3" w:rsidRDefault="00956ACE" w:rsidP="00824458">
            <w:pPr>
              <w:pStyle w:val="TableText"/>
              <w:jc w:val="center"/>
              <w:rPr>
                <w:lang w:val="en-US"/>
              </w:rPr>
            </w:pPr>
          </w:p>
        </w:tc>
        <w:tc>
          <w:tcPr>
            <w:tcW w:w="782" w:type="pct"/>
            <w:shd w:val="clear" w:color="auto" w:fill="auto"/>
            <w:vAlign w:val="center"/>
          </w:tcPr>
          <w:p w14:paraId="2FD725D1" w14:textId="77777777" w:rsidR="00956ACE" w:rsidRPr="00CE28E3" w:rsidRDefault="00956ACE" w:rsidP="00824458">
            <w:pPr>
              <w:pStyle w:val="TableText"/>
              <w:jc w:val="center"/>
              <w:rPr>
                <w:lang w:val="en-US"/>
              </w:rPr>
            </w:pPr>
          </w:p>
        </w:tc>
        <w:tc>
          <w:tcPr>
            <w:tcW w:w="621" w:type="pct"/>
            <w:shd w:val="clear" w:color="auto" w:fill="auto"/>
            <w:vAlign w:val="center"/>
          </w:tcPr>
          <w:p w14:paraId="6BD28768" w14:textId="77777777" w:rsidR="00956ACE" w:rsidRPr="00CE28E3" w:rsidRDefault="00956ACE" w:rsidP="00824458">
            <w:pPr>
              <w:pStyle w:val="TableText"/>
              <w:jc w:val="center"/>
              <w:rPr>
                <w:lang w:val="en-US"/>
              </w:rPr>
            </w:pPr>
          </w:p>
        </w:tc>
        <w:tc>
          <w:tcPr>
            <w:tcW w:w="857" w:type="pct"/>
            <w:shd w:val="clear" w:color="auto" w:fill="auto"/>
            <w:vAlign w:val="center"/>
          </w:tcPr>
          <w:p w14:paraId="06A1A1BD" w14:textId="77777777" w:rsidR="00956ACE" w:rsidRPr="00CE28E3" w:rsidRDefault="00956ACE" w:rsidP="00824458">
            <w:pPr>
              <w:pStyle w:val="TableText"/>
              <w:jc w:val="center"/>
              <w:rPr>
                <w:lang w:val="en-US"/>
              </w:rPr>
            </w:pPr>
          </w:p>
        </w:tc>
        <w:tc>
          <w:tcPr>
            <w:tcW w:w="622" w:type="pct"/>
            <w:shd w:val="clear" w:color="auto" w:fill="auto"/>
            <w:vAlign w:val="center"/>
          </w:tcPr>
          <w:p w14:paraId="01C67401" w14:textId="77777777" w:rsidR="00956ACE" w:rsidRPr="00CE28E3" w:rsidRDefault="00956ACE" w:rsidP="00824458">
            <w:pPr>
              <w:pStyle w:val="TableText"/>
              <w:jc w:val="center"/>
              <w:rPr>
                <w:lang w:val="en-US"/>
              </w:rPr>
            </w:pPr>
          </w:p>
        </w:tc>
        <w:tc>
          <w:tcPr>
            <w:tcW w:w="939" w:type="pct"/>
            <w:shd w:val="clear" w:color="auto" w:fill="auto"/>
            <w:vAlign w:val="center"/>
          </w:tcPr>
          <w:p w14:paraId="355D0183" w14:textId="77777777" w:rsidR="00956ACE" w:rsidRPr="00CE28E3" w:rsidRDefault="00956ACE" w:rsidP="00824458">
            <w:pPr>
              <w:pStyle w:val="TableText"/>
              <w:jc w:val="center"/>
              <w:rPr>
                <w:lang w:val="en-US"/>
              </w:rPr>
            </w:pPr>
          </w:p>
        </w:tc>
      </w:tr>
      <w:tr w:rsidR="00956ACE" w:rsidRPr="00CE28E3" w14:paraId="74CD02CE" w14:textId="77777777" w:rsidTr="00824458">
        <w:trPr>
          <w:cantSplit/>
        </w:trPr>
        <w:tc>
          <w:tcPr>
            <w:tcW w:w="713" w:type="pct"/>
            <w:shd w:val="clear" w:color="auto" w:fill="auto"/>
            <w:vAlign w:val="center"/>
          </w:tcPr>
          <w:p w14:paraId="1522F155" w14:textId="6E3B0B55"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7890FB07" w14:textId="77777777" w:rsidR="00956ACE" w:rsidRPr="00CE28E3" w:rsidRDefault="00956ACE" w:rsidP="00824458">
            <w:pPr>
              <w:pStyle w:val="TableText"/>
              <w:jc w:val="center"/>
              <w:rPr>
                <w:lang w:val="en-US"/>
              </w:rPr>
            </w:pPr>
          </w:p>
        </w:tc>
        <w:tc>
          <w:tcPr>
            <w:tcW w:w="782" w:type="pct"/>
            <w:shd w:val="clear" w:color="auto" w:fill="auto"/>
            <w:vAlign w:val="center"/>
          </w:tcPr>
          <w:p w14:paraId="6CFB41BD" w14:textId="77777777" w:rsidR="00956ACE" w:rsidRPr="00CE28E3" w:rsidRDefault="00956ACE" w:rsidP="00824458">
            <w:pPr>
              <w:pStyle w:val="TableText"/>
              <w:jc w:val="center"/>
              <w:rPr>
                <w:lang w:val="en-US"/>
              </w:rPr>
            </w:pPr>
          </w:p>
        </w:tc>
        <w:tc>
          <w:tcPr>
            <w:tcW w:w="621" w:type="pct"/>
            <w:shd w:val="clear" w:color="auto" w:fill="auto"/>
            <w:vAlign w:val="center"/>
          </w:tcPr>
          <w:p w14:paraId="7E15D5C9" w14:textId="77777777" w:rsidR="00956ACE" w:rsidRPr="00CE28E3" w:rsidRDefault="00956ACE" w:rsidP="00824458">
            <w:pPr>
              <w:pStyle w:val="TableText"/>
              <w:jc w:val="center"/>
              <w:rPr>
                <w:lang w:val="en-US"/>
              </w:rPr>
            </w:pPr>
          </w:p>
        </w:tc>
        <w:tc>
          <w:tcPr>
            <w:tcW w:w="857" w:type="pct"/>
            <w:shd w:val="clear" w:color="auto" w:fill="auto"/>
            <w:vAlign w:val="center"/>
          </w:tcPr>
          <w:p w14:paraId="26B7700A" w14:textId="77777777" w:rsidR="00956ACE" w:rsidRPr="00CE28E3" w:rsidRDefault="00956ACE" w:rsidP="00824458">
            <w:pPr>
              <w:pStyle w:val="TableText"/>
              <w:jc w:val="center"/>
              <w:rPr>
                <w:lang w:val="en-US"/>
              </w:rPr>
            </w:pPr>
          </w:p>
        </w:tc>
        <w:tc>
          <w:tcPr>
            <w:tcW w:w="622" w:type="pct"/>
            <w:shd w:val="clear" w:color="auto" w:fill="auto"/>
            <w:vAlign w:val="center"/>
          </w:tcPr>
          <w:p w14:paraId="6651F863" w14:textId="77777777" w:rsidR="00956ACE" w:rsidRPr="00CE28E3" w:rsidRDefault="00956ACE" w:rsidP="00824458">
            <w:pPr>
              <w:pStyle w:val="TableText"/>
              <w:jc w:val="center"/>
              <w:rPr>
                <w:lang w:val="en-US"/>
              </w:rPr>
            </w:pPr>
          </w:p>
        </w:tc>
        <w:tc>
          <w:tcPr>
            <w:tcW w:w="939" w:type="pct"/>
            <w:shd w:val="clear" w:color="auto" w:fill="auto"/>
            <w:vAlign w:val="center"/>
          </w:tcPr>
          <w:p w14:paraId="71B2D61D" w14:textId="77777777" w:rsidR="00956ACE" w:rsidRPr="00CE28E3" w:rsidRDefault="00956ACE" w:rsidP="00824458">
            <w:pPr>
              <w:pStyle w:val="TableText"/>
              <w:jc w:val="center"/>
              <w:rPr>
                <w:lang w:val="en-US"/>
              </w:rPr>
            </w:pPr>
          </w:p>
        </w:tc>
      </w:tr>
    </w:tbl>
    <w:p w14:paraId="77F184CE" w14:textId="710E76D7" w:rsidR="00956ACE" w:rsidRPr="00CE28E3" w:rsidRDefault="00956ACE" w:rsidP="00E76AE0">
      <w:pPr>
        <w:pStyle w:val="TableFigureFooter"/>
        <w:rPr>
          <w:sz w:val="20"/>
        </w:rPr>
      </w:pPr>
      <w:bookmarkStart w:id="32" w:name="_Hlk68276176"/>
      <w:bookmarkEnd w:id="31"/>
      <w:r w:rsidRPr="00CE28E3">
        <w:t>DB = double blind; MC = multicentre; OL = open label; OS = overall survival; PFS = progression-free survival; R = randomised.</w:t>
      </w:r>
      <w:r w:rsidR="0092470E">
        <w:t xml:space="preserve"> </w:t>
      </w:r>
      <w:r w:rsidR="00BC4972" w:rsidRPr="009D21BE">
        <w:rPr>
          <w:color w:val="258221"/>
        </w:rPr>
        <w:t>[</w:t>
      </w:r>
      <w:r w:rsidR="0087277A">
        <w:rPr>
          <w:color w:val="258221"/>
        </w:rPr>
        <w:t>D</w:t>
      </w:r>
      <w:r w:rsidR="00BC4972" w:rsidRPr="009D21BE">
        <w:rPr>
          <w:color w:val="258221"/>
        </w:rPr>
        <w:t xml:space="preserve">efine </w:t>
      </w:r>
      <w:r w:rsidR="00587639">
        <w:rPr>
          <w:color w:val="258221"/>
        </w:rPr>
        <w:t xml:space="preserve">all </w:t>
      </w:r>
      <w:r w:rsidR="00BC4972" w:rsidRPr="009D21BE">
        <w:rPr>
          <w:color w:val="258221"/>
        </w:rPr>
        <w:t>abbreviations used in the table]</w:t>
      </w:r>
    </w:p>
    <w:p w14:paraId="005968B3" w14:textId="26C1B9DB" w:rsidR="00956ACE" w:rsidRPr="00CE28E3" w:rsidRDefault="00956ACE" w:rsidP="009A06F4">
      <w:pPr>
        <w:pStyle w:val="Caption"/>
        <w:rPr>
          <w:sz w:val="16"/>
          <w:szCs w:val="16"/>
        </w:rPr>
      </w:pPr>
      <w:bookmarkStart w:id="33" w:name="_Ref69725659"/>
      <w:bookmarkEnd w:id="32"/>
      <w:r w:rsidRPr="00CE28E3">
        <w:t>Table</w:t>
      </w:r>
      <w:r w:rsidR="004A4FDF">
        <w:t> </w:t>
      </w:r>
      <w:r w:rsidR="0099088A">
        <w:fldChar w:fldCharType="begin"/>
      </w:r>
      <w:r w:rsidR="0099088A">
        <w:instrText xml:space="preserve"> SEQ Table \* ARABIC </w:instrText>
      </w:r>
      <w:r w:rsidR="0099088A">
        <w:fldChar w:fldCharType="separate"/>
      </w:r>
      <w:r w:rsidR="004A4FDF">
        <w:rPr>
          <w:noProof/>
        </w:rPr>
        <w:t>4</w:t>
      </w:r>
      <w:r w:rsidR="0099088A">
        <w:rPr>
          <w:noProof/>
        </w:rPr>
        <w:fldChar w:fldCharType="end"/>
      </w:r>
      <w:bookmarkEnd w:id="33"/>
      <w:r w:rsidRPr="00CE28E3">
        <w:tab/>
        <w:t xml:space="preserve">Key features of the included evidence </w:t>
      </w:r>
      <w:r w:rsidRPr="001D74A7">
        <w:rPr>
          <w:color w:val="258221"/>
        </w:rPr>
        <w:t>(example for an investigative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25"/>
        <w:gridCol w:w="1938"/>
        <w:gridCol w:w="1937"/>
      </w:tblGrid>
      <w:tr w:rsidR="00956ACE" w:rsidRPr="00CE28E3" w14:paraId="530E3954" w14:textId="77777777" w:rsidTr="00B8535F">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34" w:name="ColumnTitle_Table4"/>
            <w:bookmarkStart w:id="35" w:name="_Hlk68276288"/>
            <w:bookmarkEnd w:id="34"/>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34571304"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348354" w14:textId="77777777" w:rsidR="00956ACE" w:rsidRPr="00CE28E3" w:rsidRDefault="00956ACE" w:rsidP="00670650">
            <w:pPr>
              <w:pStyle w:val="TableText"/>
              <w:keepNext/>
            </w:pPr>
            <w:r w:rsidRPr="00BC4972">
              <w:rPr>
                <w:color w:val="258221"/>
              </w:rPr>
              <w:t>[Describe study designs used to assess test accuracy]</w:t>
            </w:r>
          </w:p>
        </w:tc>
        <w:tc>
          <w:tcPr>
            <w:tcW w:w="1075" w:type="pct"/>
            <w:tcBorders>
              <w:top w:val="single" w:sz="4" w:space="0" w:color="auto"/>
              <w:left w:val="single" w:sz="4" w:space="0" w:color="auto"/>
              <w:bottom w:val="single" w:sz="4" w:space="0" w:color="auto"/>
              <w:right w:val="single" w:sz="4" w:space="0" w:color="auto"/>
            </w:tcBorders>
            <w:hideMark/>
          </w:tcPr>
          <w:p w14:paraId="4B9F173D" w14:textId="77777777" w:rsidR="00956ACE" w:rsidRPr="00CE28E3" w:rsidRDefault="00421D76" w:rsidP="00670650">
            <w:pPr>
              <w:pStyle w:val="TableText"/>
              <w:keepNext/>
            </w:pPr>
            <w:sdt>
              <w:sdtPr>
                <w:id w:val="1454910707"/>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314B6464" w14:textId="77777777" w:rsidR="00956ACE" w:rsidRPr="00CE28E3" w:rsidRDefault="00956ACE" w:rsidP="00670650">
            <w:pPr>
              <w:pStyle w:val="TableText"/>
              <w:keepNext/>
            </w:pPr>
            <w:r w:rsidRPr="00BC4972">
              <w:rPr>
                <w:color w:val="258221"/>
              </w:rPr>
              <w:t>[use QUADAS-2 risk of bias tool]</w:t>
            </w:r>
          </w:p>
        </w:tc>
      </w:tr>
      <w:tr w:rsidR="00956ACE" w:rsidRPr="00CE28E3" w14:paraId="05D3B099"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7A7D976B" w14:textId="74C54150" w:rsidR="00956ACE" w:rsidRPr="00CE28E3" w:rsidRDefault="00956ACE" w:rsidP="00670650">
            <w:pPr>
              <w:pStyle w:val="TableText"/>
              <w:keepNext/>
            </w:pPr>
            <w:r w:rsidRPr="00BC4972">
              <w:rPr>
                <w:color w:val="258221"/>
              </w:rPr>
              <w:t xml:space="preserve">[Comparison of outcomes in patients receiving </w:t>
            </w:r>
            <w:r w:rsidRPr="004D4425">
              <w:rPr>
                <w:i/>
                <w:iCs/>
                <w:color w:val="258221"/>
              </w:rPr>
              <w:t>usual care</w:t>
            </w:r>
            <w:r w:rsidR="00BC4972">
              <w:rPr>
                <w:color w:val="258221"/>
                <w:u w:val="single"/>
              </w:rPr>
              <w:t>,</w:t>
            </w:r>
            <w:r w:rsidRPr="00BC4972">
              <w:rPr>
                <w:color w:val="258221"/>
              </w:rPr>
              <w:t xml:space="preserve"> conditioned on the presence or absence of biomarker</w:t>
            </w:r>
            <w:r w:rsidR="00BC4972">
              <w:rPr>
                <w:color w:val="258221"/>
              </w:rPr>
              <w:t>-</w:t>
            </w:r>
            <w:r w:rsidRPr="00BC4972">
              <w:rPr>
                <w:color w:val="258221"/>
              </w:rPr>
              <w:t>positive status]</w:t>
            </w:r>
          </w:p>
        </w:tc>
        <w:tc>
          <w:tcPr>
            <w:tcW w:w="1075" w:type="pct"/>
            <w:tcBorders>
              <w:top w:val="single" w:sz="4" w:space="0" w:color="auto"/>
              <w:left w:val="single" w:sz="4" w:space="0" w:color="auto"/>
              <w:bottom w:val="single" w:sz="4" w:space="0" w:color="auto"/>
              <w:right w:val="single" w:sz="4" w:space="0" w:color="auto"/>
            </w:tcBorders>
            <w:hideMark/>
          </w:tcPr>
          <w:p w14:paraId="3F26D7C9" w14:textId="77777777" w:rsidR="00956ACE" w:rsidRPr="00CE28E3" w:rsidRDefault="00421D76" w:rsidP="00670650">
            <w:pPr>
              <w:pStyle w:val="TableText"/>
              <w:keepNext/>
            </w:pPr>
            <w:sdt>
              <w:sdtPr>
                <w:id w:val="-1456874868"/>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503113DC" w14:textId="77777777" w:rsidR="00956ACE" w:rsidRPr="00CE28E3" w:rsidRDefault="00956ACE" w:rsidP="00670650">
            <w:pPr>
              <w:pStyle w:val="TableText"/>
              <w:keepNext/>
            </w:pPr>
            <w:r w:rsidRPr="00BC4972">
              <w:rPr>
                <w:color w:val="258221"/>
              </w:rPr>
              <w:t>[could use QUIPS risk of bias tool]</w:t>
            </w:r>
          </w:p>
        </w:tc>
      </w:tr>
      <w:tr w:rsidR="00956ACE" w:rsidRPr="00CE28E3" w14:paraId="020F989B"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2D6A073E" w:rsidR="00956ACE" w:rsidRPr="00CE28E3" w:rsidRDefault="00956ACE" w:rsidP="00670650">
            <w:pPr>
              <w:pStyle w:val="TableText"/>
              <w:keepNext/>
            </w:pPr>
            <w:r w:rsidRPr="00BC4972">
              <w:rPr>
                <w:color w:val="258221"/>
              </w:rPr>
              <w:t>[Evidence to show that test result guides decisions about treatment or alters behaviour]</w:t>
            </w:r>
          </w:p>
        </w:tc>
        <w:tc>
          <w:tcPr>
            <w:tcW w:w="1075" w:type="pct"/>
            <w:tcBorders>
              <w:top w:val="single" w:sz="4" w:space="0" w:color="auto"/>
              <w:left w:val="single" w:sz="4" w:space="0" w:color="auto"/>
              <w:bottom w:val="single" w:sz="4" w:space="0" w:color="auto"/>
              <w:right w:val="single" w:sz="4" w:space="0" w:color="auto"/>
            </w:tcBorders>
            <w:hideMark/>
          </w:tcPr>
          <w:p w14:paraId="60E3094E" w14:textId="77777777" w:rsidR="00956ACE" w:rsidRPr="00CE28E3" w:rsidRDefault="00421D76" w:rsidP="00670650">
            <w:pPr>
              <w:pStyle w:val="TableText"/>
              <w:keepNext/>
            </w:pPr>
            <w:sdt>
              <w:sdtPr>
                <w:id w:val="-194321489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00E8E7C1" w14:textId="77777777" w:rsidR="00956ACE" w:rsidRPr="00CE28E3" w:rsidRDefault="00956ACE" w:rsidP="00670650">
            <w:pPr>
              <w:pStyle w:val="TableText"/>
              <w:keepNext/>
            </w:pPr>
            <w:r w:rsidRPr="00BC4972">
              <w:rPr>
                <w:color w:val="258221"/>
              </w:rPr>
              <w:t>[could use Cochrane risk of bias tool]</w:t>
            </w:r>
          </w:p>
        </w:tc>
      </w:tr>
      <w:tr w:rsidR="00956ACE" w:rsidRPr="00CE28E3" w14:paraId="0A575DD3" w14:textId="77777777" w:rsidTr="00824458">
        <w:tc>
          <w:tcPr>
            <w:tcW w:w="1007"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44" w:type="pct"/>
            <w:tcBorders>
              <w:top w:val="single" w:sz="4" w:space="0" w:color="auto"/>
              <w:left w:val="single" w:sz="4" w:space="0" w:color="auto"/>
              <w:bottom w:val="nil"/>
              <w:right w:val="single" w:sz="4" w:space="0" w:color="auto"/>
            </w:tcBorders>
          </w:tcPr>
          <w:p w14:paraId="54723D7C" w14:textId="5D1DBA99" w:rsidR="00956ACE" w:rsidRPr="00CE28E3" w:rsidRDefault="00956ACE" w:rsidP="00670650">
            <w:pPr>
              <w:pStyle w:val="TableText"/>
              <w:keepNext/>
            </w:pPr>
            <w:r w:rsidRPr="00BC4972">
              <w:rPr>
                <w:color w:val="258221"/>
              </w:rPr>
              <w:t>[Evidence to show that the changes in management or behaviour affect health outcomes]</w:t>
            </w:r>
          </w:p>
        </w:tc>
        <w:tc>
          <w:tcPr>
            <w:tcW w:w="1075" w:type="pct"/>
            <w:tcBorders>
              <w:top w:val="single" w:sz="4" w:space="0" w:color="auto"/>
              <w:left w:val="single" w:sz="4" w:space="0" w:color="auto"/>
              <w:bottom w:val="nil"/>
              <w:right w:val="single" w:sz="4" w:space="0" w:color="auto"/>
            </w:tcBorders>
          </w:tcPr>
          <w:p w14:paraId="3DADA39D" w14:textId="77777777" w:rsidR="00956ACE" w:rsidRPr="00CE28E3" w:rsidRDefault="00421D76" w:rsidP="00670650">
            <w:pPr>
              <w:pStyle w:val="TableText"/>
              <w:keepNext/>
            </w:pPr>
            <w:sdt>
              <w:sdtPr>
                <w:id w:val="-60589294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nil"/>
              <w:right w:val="single" w:sz="4" w:space="0" w:color="auto"/>
            </w:tcBorders>
            <w:hideMark/>
          </w:tcPr>
          <w:p w14:paraId="17AAB10F" w14:textId="77777777" w:rsidR="00956ACE" w:rsidRPr="00CE28E3" w:rsidRDefault="00956ACE" w:rsidP="00670650">
            <w:pPr>
              <w:pStyle w:val="TableText"/>
              <w:keepNext/>
            </w:pPr>
            <w:r w:rsidRPr="00BC4972">
              <w:rPr>
                <w:color w:val="258221"/>
              </w:rPr>
              <w:t>[could use Cochrane risk of bias tool]</w:t>
            </w:r>
          </w:p>
        </w:tc>
      </w:tr>
      <w:tr w:rsidR="00956ACE" w:rsidRPr="00CE28E3" w14:paraId="08C1132B" w14:textId="77777777" w:rsidTr="00824458">
        <w:tc>
          <w:tcPr>
            <w:tcW w:w="1007" w:type="pct"/>
            <w:tcBorders>
              <w:top w:val="nil"/>
              <w:left w:val="single" w:sz="4" w:space="0" w:color="auto"/>
              <w:bottom w:val="nil"/>
              <w:right w:val="single" w:sz="4" w:space="0" w:color="auto"/>
            </w:tcBorders>
          </w:tcPr>
          <w:p w14:paraId="1119C155" w14:textId="37E98B79" w:rsidR="00956ACE" w:rsidRPr="00CE28E3" w:rsidRDefault="00956ACE" w:rsidP="00670650">
            <w:pPr>
              <w:pStyle w:val="TableText"/>
              <w:keepNext/>
            </w:pPr>
            <w:r w:rsidRPr="00CE28E3">
              <w:t>Predictive effect</w:t>
            </w:r>
            <w:r w:rsidR="00BC4972">
              <w:t xml:space="preserve"> </w:t>
            </w:r>
            <w:r w:rsidRPr="00CE28E3">
              <w:t xml:space="preserve">(treatment effect variation) </w:t>
            </w:r>
          </w:p>
        </w:tc>
        <w:tc>
          <w:tcPr>
            <w:tcW w:w="1844" w:type="pct"/>
            <w:tcBorders>
              <w:top w:val="nil"/>
              <w:left w:val="single" w:sz="4" w:space="0" w:color="auto"/>
              <w:bottom w:val="nil"/>
              <w:right w:val="single" w:sz="4" w:space="0" w:color="auto"/>
            </w:tcBorders>
          </w:tcPr>
          <w:p w14:paraId="241AA423" w14:textId="77777777" w:rsidR="00956ACE" w:rsidRPr="00CE28E3" w:rsidRDefault="00956ACE" w:rsidP="00670650">
            <w:pPr>
              <w:pStyle w:val="TableText"/>
              <w:keepNext/>
            </w:pPr>
            <w:r w:rsidRPr="00BC4972">
              <w:rPr>
                <w:color w:val="258221"/>
              </w:rPr>
              <w:t>[Comparison of outcomes in patients with and without the biomarker who receive the treatment of interest, or usual care]</w:t>
            </w:r>
          </w:p>
        </w:tc>
        <w:tc>
          <w:tcPr>
            <w:tcW w:w="1075" w:type="pct"/>
            <w:tcBorders>
              <w:top w:val="nil"/>
              <w:left w:val="single" w:sz="4" w:space="0" w:color="auto"/>
              <w:bottom w:val="nil"/>
              <w:right w:val="single" w:sz="4" w:space="0" w:color="auto"/>
            </w:tcBorders>
          </w:tcPr>
          <w:p w14:paraId="2D17866B" w14:textId="77777777" w:rsidR="00956ACE" w:rsidRPr="00CE28E3" w:rsidRDefault="00421D76" w:rsidP="00670650">
            <w:pPr>
              <w:pStyle w:val="TableText"/>
              <w:keepNext/>
            </w:pPr>
            <w:sdt>
              <w:sdtPr>
                <w:id w:val="-1216044709"/>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7A8C7715" w14:textId="77777777" w:rsidR="00956ACE" w:rsidRPr="00CE28E3" w:rsidRDefault="00956ACE" w:rsidP="00670650">
            <w:pPr>
              <w:pStyle w:val="TableText"/>
              <w:keepNext/>
            </w:pPr>
          </w:p>
        </w:tc>
        <w:tc>
          <w:tcPr>
            <w:tcW w:w="1074" w:type="pct"/>
            <w:tcBorders>
              <w:top w:val="nil"/>
              <w:left w:val="single" w:sz="4" w:space="0" w:color="auto"/>
              <w:bottom w:val="nil"/>
              <w:right w:val="single" w:sz="4" w:space="0" w:color="auto"/>
            </w:tcBorders>
          </w:tcPr>
          <w:p w14:paraId="79C15404" w14:textId="77777777" w:rsidR="00956ACE" w:rsidRPr="00CE28E3" w:rsidRDefault="00956ACE" w:rsidP="00670650">
            <w:pPr>
              <w:pStyle w:val="TableText"/>
              <w:keepNext/>
            </w:pPr>
            <w:r w:rsidRPr="00BC4972">
              <w:rPr>
                <w:color w:val="258221"/>
              </w:rPr>
              <w:t>[could use Cochrane risk of bias tool]</w:t>
            </w:r>
          </w:p>
        </w:tc>
      </w:tr>
      <w:tr w:rsidR="00956ACE" w:rsidRPr="00CE28E3" w14:paraId="655CDDC8"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720919E2" w14:textId="77777777" w:rsidR="00956ACE" w:rsidRPr="00CE28E3" w:rsidRDefault="00956ACE" w:rsidP="00670650">
            <w:pPr>
              <w:pStyle w:val="TableText"/>
              <w:keepNext/>
            </w:pPr>
            <w:r w:rsidRPr="00CE28E3">
              <w:t>Other</w:t>
            </w:r>
          </w:p>
        </w:tc>
        <w:tc>
          <w:tcPr>
            <w:tcW w:w="1844" w:type="pct"/>
            <w:tcBorders>
              <w:top w:val="single" w:sz="4" w:space="0" w:color="auto"/>
              <w:left w:val="single" w:sz="4" w:space="0" w:color="auto"/>
              <w:bottom w:val="single" w:sz="4" w:space="0" w:color="auto"/>
              <w:right w:val="single" w:sz="4" w:space="0" w:color="auto"/>
            </w:tcBorders>
          </w:tcPr>
          <w:p w14:paraId="6232D4F5" w14:textId="77777777" w:rsidR="00956ACE" w:rsidRPr="00CE28E3" w:rsidRDefault="00956ACE" w:rsidP="00670650">
            <w:pPr>
              <w:pStyle w:val="TableText"/>
              <w:keepNext/>
            </w:pPr>
          </w:p>
        </w:tc>
        <w:tc>
          <w:tcPr>
            <w:tcW w:w="1075" w:type="pct"/>
            <w:tcBorders>
              <w:top w:val="single" w:sz="4" w:space="0" w:color="auto"/>
              <w:left w:val="single" w:sz="4" w:space="0" w:color="auto"/>
              <w:bottom w:val="single" w:sz="4" w:space="0" w:color="auto"/>
              <w:right w:val="single" w:sz="4" w:space="0" w:color="auto"/>
            </w:tcBorders>
            <w:hideMark/>
          </w:tcPr>
          <w:p w14:paraId="53209D89" w14:textId="77777777" w:rsidR="00956ACE" w:rsidRPr="00CE28E3" w:rsidRDefault="00421D76" w:rsidP="00670650">
            <w:pPr>
              <w:pStyle w:val="TableText"/>
              <w:keepNext/>
            </w:pPr>
            <w:sdt>
              <w:sdtPr>
                <w:id w:val="1915973532"/>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tcPr>
          <w:p w14:paraId="25486524" w14:textId="77777777" w:rsidR="00956ACE" w:rsidRPr="00CE28E3" w:rsidRDefault="00956ACE" w:rsidP="00670650">
            <w:pPr>
              <w:pStyle w:val="TableText"/>
              <w:keepNext/>
            </w:pPr>
          </w:p>
        </w:tc>
      </w:tr>
    </w:tbl>
    <w:p w14:paraId="36B53B57" w14:textId="2BA57394" w:rsidR="00956ACE" w:rsidRPr="00CE28E3" w:rsidRDefault="00956ACE" w:rsidP="00B8535F">
      <w:pPr>
        <w:pStyle w:val="TableFigureFooter"/>
      </w:pPr>
      <w:bookmarkStart w:id="36" w:name="_Hlk68276301"/>
      <w:bookmarkEnd w:id="35"/>
      <w:r w:rsidRPr="00CE28E3">
        <w:t>k=number of studies, n=number of patients.</w:t>
      </w:r>
      <w:r w:rsidR="0092470E">
        <w:t xml:space="preserve"> </w:t>
      </w:r>
      <w:r w:rsidR="0092470E" w:rsidRPr="00587639">
        <w:rPr>
          <w:color w:val="258221"/>
        </w:rPr>
        <w:t>[</w:t>
      </w:r>
      <w:r w:rsidR="0087277A">
        <w:rPr>
          <w:color w:val="258221"/>
        </w:rPr>
        <w:t>D</w:t>
      </w:r>
      <w:r w:rsidR="0092470E" w:rsidRPr="00587639">
        <w:rPr>
          <w:color w:val="258221"/>
        </w:rPr>
        <w:t xml:space="preserve">efine </w:t>
      </w:r>
      <w:r w:rsidR="00587639">
        <w:rPr>
          <w:color w:val="258221"/>
        </w:rPr>
        <w:t xml:space="preserve">all </w:t>
      </w:r>
      <w:r w:rsidR="0092470E" w:rsidRPr="00587639">
        <w:rPr>
          <w:color w:val="258221"/>
        </w:rPr>
        <w:t>abbreviations used in the table]</w:t>
      </w:r>
    </w:p>
    <w:p w14:paraId="3B9FC2AD" w14:textId="0C808602" w:rsidR="00772829" w:rsidRPr="00CE28E3" w:rsidRDefault="00B27795" w:rsidP="002A18BE">
      <w:pPr>
        <w:pStyle w:val="Heading2"/>
        <w:numPr>
          <w:ilvl w:val="0"/>
          <w:numId w:val="0"/>
        </w:numPr>
      </w:pPr>
      <w:bookmarkStart w:id="37" w:name="_Toc69491423"/>
      <w:bookmarkEnd w:id="36"/>
      <w:r>
        <w:t>8</w:t>
      </w:r>
      <w:r w:rsidR="00C36633">
        <w:t>.</w:t>
      </w:r>
      <w:r w:rsidR="00C36633">
        <w:tab/>
      </w:r>
      <w:r w:rsidR="00772829" w:rsidRPr="00CE28E3">
        <w:t>Comparative safety</w:t>
      </w:r>
      <w:bookmarkEnd w:id="37"/>
    </w:p>
    <w:p w14:paraId="4633613A" w14:textId="0195BF3D" w:rsidR="00172B8F" w:rsidRPr="000D1B52" w:rsidRDefault="003F7196" w:rsidP="00BC4972">
      <w:pPr>
        <w:pStyle w:val="Guidelinescross-ref"/>
        <w:keepNext/>
      </w:pPr>
      <w:r w:rsidRPr="003F7196">
        <w:t xml:space="preserve">Refer to: </w:t>
      </w:r>
      <w:r w:rsidR="00172B8F" w:rsidRPr="000D1B52">
        <w:t>MSAC Guidelines TG 7 (Safety of therapeutic technologies)</w:t>
      </w:r>
    </w:p>
    <w:p w14:paraId="58EBF39C" w14:textId="7824445D" w:rsidR="00172B8F" w:rsidRPr="000D1B52" w:rsidRDefault="003F7196" w:rsidP="00BC4972">
      <w:pPr>
        <w:pStyle w:val="Guidelinescross-ref"/>
        <w:keepNext/>
      </w:pPr>
      <w:r w:rsidRPr="003F7196">
        <w:t xml:space="preserve">Refer to: </w:t>
      </w:r>
      <w:r w:rsidR="00172B8F" w:rsidRPr="000D1B52">
        <w:t>MSAC Guidelines TG 14 (Safety of investigative technologies)</w:t>
      </w:r>
    </w:p>
    <w:p w14:paraId="766381CC" w14:textId="77777777" w:rsidR="001D74A7" w:rsidRDefault="001D74A7" w:rsidP="00E76AE0">
      <w:pPr>
        <w:pStyle w:val="Instructionaltext"/>
      </w:pPr>
      <w:r w:rsidRPr="001D74A7">
        <w:t xml:space="preserve">[Instructional text] </w:t>
      </w:r>
    </w:p>
    <w:p w14:paraId="681DD2A7" w14:textId="6662DEBB" w:rsidR="00956ACE" w:rsidRPr="003251C2" w:rsidRDefault="006744AC" w:rsidP="00E76AE0">
      <w:pPr>
        <w:pStyle w:val="Instructionaltext"/>
      </w:pPr>
      <w:r w:rsidRPr="003251C2">
        <w:t>Tabulate the main safety results</w:t>
      </w:r>
      <w:r w:rsidR="004033D9" w:rsidRPr="003251C2">
        <w:t xml:space="preserve"> in a way that permits a comparison of the proposed technology and the main comparator</w:t>
      </w:r>
      <w:r w:rsidRPr="003251C2">
        <w:t xml:space="preserve">. Safety results relevant for inclusion in the executive summary are those that support </w:t>
      </w:r>
      <w:r w:rsidR="004033D9" w:rsidRPr="003251C2">
        <w:t>or diminish the clinical claim. Usually these will be safety results that are severe (with a substantial impact on patients) or frequent, or where the safety profile of the proposed technology differs from that of the comparator.</w:t>
      </w:r>
    </w:p>
    <w:p w14:paraId="3DDC9D9E" w14:textId="4B67E4B2" w:rsidR="00172B8F" w:rsidRPr="003251C2" w:rsidRDefault="00172B8F" w:rsidP="00E76AE0">
      <w:pPr>
        <w:pStyle w:val="Instructionaltext"/>
      </w:pPr>
      <w:r w:rsidRPr="003251C2">
        <w:lastRenderedPageBreak/>
        <w:t>For investigative technologies, present the direct harms of the test</w:t>
      </w:r>
      <w:r w:rsidR="0057091E" w:rsidRPr="003251C2">
        <w:t>.</w:t>
      </w:r>
      <w:r w:rsidRPr="003251C2">
        <w:t xml:space="preserve"> </w:t>
      </w:r>
      <w:r w:rsidR="0057091E" w:rsidRPr="003251C2">
        <w:t>Separately summarise the c</w:t>
      </w:r>
      <w:r w:rsidRPr="003251C2">
        <w:t>onsequent harms of testing (i.e. those mediated through subsequent changes to clinical management)</w:t>
      </w:r>
      <w:r w:rsidR="0057091E" w:rsidRPr="003251C2">
        <w:t>.</w:t>
      </w:r>
    </w:p>
    <w:p w14:paraId="0DAC8C3B" w14:textId="366C03E7" w:rsidR="00037037" w:rsidRPr="003251C2" w:rsidRDefault="00835EC9" w:rsidP="00E76AE0">
      <w:pPr>
        <w:pStyle w:val="Instructionaltext"/>
      </w:pPr>
      <w:r w:rsidRPr="003251C2">
        <w:t>State key limitations of the evidence and provide an interpretation of their impact on the certainty of the results.</w:t>
      </w:r>
    </w:p>
    <w:p w14:paraId="3C417AFA" w14:textId="62776BF0" w:rsidR="00772829" w:rsidRDefault="004033D9" w:rsidP="00E76AE0">
      <w:pPr>
        <w:pStyle w:val="Instructionaltext"/>
      </w:pPr>
      <w:r w:rsidRPr="003251C2">
        <w:t>State whether the proposed technology is safer</w:t>
      </w:r>
      <w:r w:rsidR="00172B8F" w:rsidRPr="003251C2">
        <w:t xml:space="preserve">, of similar safety or less safe than </w:t>
      </w:r>
      <w:r w:rsidR="0052768C" w:rsidRPr="003251C2">
        <w:t>clinical management without it.</w:t>
      </w:r>
    </w:p>
    <w:p w14:paraId="1A74C7B5" w14:textId="36E268A8" w:rsidR="001D74A7" w:rsidRPr="003251C2" w:rsidRDefault="001D74A7" w:rsidP="00E76AE0">
      <w:pPr>
        <w:pStyle w:val="Instructionaltext"/>
      </w:pPr>
      <w:r w:rsidRPr="001D74A7">
        <w:t>[End instructional text]</w:t>
      </w:r>
    </w:p>
    <w:p w14:paraId="3717AA01" w14:textId="46E7C22F" w:rsidR="00772829" w:rsidRPr="00CE28E3" w:rsidRDefault="00B27795" w:rsidP="002A18BE">
      <w:pPr>
        <w:pStyle w:val="Heading2"/>
        <w:numPr>
          <w:ilvl w:val="0"/>
          <w:numId w:val="0"/>
        </w:numPr>
      </w:pPr>
      <w:bookmarkStart w:id="38" w:name="_Toc69491424"/>
      <w:r>
        <w:t>9</w:t>
      </w:r>
      <w:r w:rsidR="00C36633">
        <w:t>.</w:t>
      </w:r>
      <w:r w:rsidR="00C36633">
        <w:tab/>
      </w:r>
      <w:r w:rsidR="00772829" w:rsidRPr="00CE28E3">
        <w:t>Comparative effectiveness</w:t>
      </w:r>
      <w:bookmarkEnd w:id="38"/>
    </w:p>
    <w:p w14:paraId="5C7E2214" w14:textId="5131CBD9" w:rsidR="00824458" w:rsidRPr="000D1B52" w:rsidRDefault="003F7196" w:rsidP="00670650">
      <w:pPr>
        <w:pStyle w:val="Guidelinescross-ref"/>
        <w:keepNext/>
      </w:pPr>
      <w:r w:rsidRPr="003F7196">
        <w:t xml:space="preserve">Refer to: </w:t>
      </w:r>
      <w:r w:rsidR="00824458" w:rsidRPr="000D1B52">
        <w:t>MSAC Guidelines TG 6 (Effectiveness of therapeutic technologies)</w:t>
      </w:r>
    </w:p>
    <w:p w14:paraId="6FA904A6" w14:textId="412E786D" w:rsidR="00824458" w:rsidRPr="000D1B52" w:rsidRDefault="003F7196" w:rsidP="00502FFB">
      <w:pPr>
        <w:pStyle w:val="Guidelinescross-ref"/>
      </w:pPr>
      <w:r w:rsidRPr="003F7196">
        <w:t xml:space="preserve">Refer to: </w:t>
      </w:r>
      <w:r w:rsidR="00824458" w:rsidRPr="000D1B52">
        <w:t>MSAC Guidelines TG 10 (Direct from test to health outcomes evidence)</w:t>
      </w:r>
    </w:p>
    <w:p w14:paraId="56CD0D70" w14:textId="02E1156A" w:rsidR="00824458" w:rsidRPr="000D1B52" w:rsidRDefault="003F7196" w:rsidP="00502FFB">
      <w:pPr>
        <w:pStyle w:val="Guidelinescross-ref"/>
      </w:pPr>
      <w:r w:rsidRPr="003F7196">
        <w:t xml:space="preserve">Refer to: </w:t>
      </w:r>
      <w:r w:rsidR="00824458" w:rsidRPr="000D1B52">
        <w:t>MSAC Guidelines TG 11 (Linked evidence – test accuracy)</w:t>
      </w:r>
    </w:p>
    <w:p w14:paraId="2F2F3E6E" w14:textId="1670FFCA" w:rsidR="00824458" w:rsidRPr="000D1B52" w:rsidRDefault="003F7196" w:rsidP="00502FFB">
      <w:pPr>
        <w:pStyle w:val="Guidelinescross-ref"/>
      </w:pPr>
      <w:r w:rsidRPr="003F7196">
        <w:t xml:space="preserve">Refer to: </w:t>
      </w:r>
      <w:r w:rsidR="00824458" w:rsidRPr="000D1B52">
        <w:t>MSAC Guidelines TG 12 (Linked evidence – change in management)</w:t>
      </w:r>
    </w:p>
    <w:p w14:paraId="1358AA97" w14:textId="69006F8F" w:rsidR="00824458" w:rsidRPr="000D1B52" w:rsidRDefault="003F7196" w:rsidP="00502FFB">
      <w:pPr>
        <w:pStyle w:val="Guidelinescross-ref"/>
      </w:pPr>
      <w:r w:rsidRPr="003F7196">
        <w:t xml:space="preserve">Refer to: </w:t>
      </w:r>
      <w:r w:rsidR="00824458" w:rsidRPr="000D1B52">
        <w:t>MSAC Guidelines TG 13 (Linked evidence – health outcomes)</w:t>
      </w:r>
    </w:p>
    <w:p w14:paraId="075D7E58" w14:textId="77777777" w:rsidR="001D74A7" w:rsidRDefault="001D74A7" w:rsidP="00E76AE0">
      <w:pPr>
        <w:pStyle w:val="Instructionaltext"/>
      </w:pPr>
      <w:r w:rsidRPr="001D74A7">
        <w:t xml:space="preserve">[Instructional text] </w:t>
      </w:r>
    </w:p>
    <w:p w14:paraId="051579B7" w14:textId="7369A8ED" w:rsidR="00037037" w:rsidRPr="003251C2" w:rsidRDefault="00824458" w:rsidP="00E76AE0">
      <w:pPr>
        <w:pStyle w:val="Instructionaltext"/>
      </w:pPr>
      <w:r w:rsidRPr="003251C2">
        <w:t xml:space="preserve">Tabulate the main effectiveness results in a way that permits a comparison of the proposed technology and the main comparator. </w:t>
      </w:r>
      <w:r w:rsidR="00037037" w:rsidRPr="003251C2">
        <w:t xml:space="preserve">Where appropriate, provide meta-analysed results. </w:t>
      </w:r>
      <w:r w:rsidR="00B04CB1">
        <w:t>For</w:t>
      </w:r>
      <w:r w:rsidR="00E518A7" w:rsidRPr="003251C2">
        <w:t xml:space="preserve"> time-to-event</w:t>
      </w:r>
      <w:r w:rsidR="00B04CB1">
        <w:t xml:space="preserve"> </w:t>
      </w:r>
      <w:r w:rsidR="00B04CB1" w:rsidRPr="00B04CB1">
        <w:t>outcomes</w:t>
      </w:r>
      <w:r w:rsidR="00E518A7" w:rsidRPr="003251C2">
        <w:t xml:space="preserve">, graphical presentations may be informative. </w:t>
      </w:r>
      <w:r w:rsidRPr="003251C2">
        <w:t xml:space="preserve">Effectiveness results relevant for inclusion in the executive summary are those that </w:t>
      </w:r>
      <w:r w:rsidR="00835EC9" w:rsidRPr="003251C2">
        <w:t>are derived using high</w:t>
      </w:r>
      <w:r w:rsidR="00B04CB1">
        <w:t>-</w:t>
      </w:r>
      <w:r w:rsidR="00835EC9" w:rsidRPr="003251C2">
        <w:t xml:space="preserve">quality evidence and </w:t>
      </w:r>
      <w:r w:rsidR="00B04CB1">
        <w:t>which</w:t>
      </w:r>
      <w:r w:rsidR="00B04CB1" w:rsidRPr="003251C2">
        <w:t xml:space="preserve"> </w:t>
      </w:r>
      <w:r w:rsidRPr="003251C2">
        <w:t xml:space="preserve">support or diminish the clinical claim. Usually these will be </w:t>
      </w:r>
      <w:r w:rsidR="00037037" w:rsidRPr="003251C2">
        <w:t>effectiveness</w:t>
      </w:r>
      <w:r w:rsidRPr="003251C2">
        <w:t xml:space="preserve"> results that are </w:t>
      </w:r>
      <w:r w:rsidR="00037037" w:rsidRPr="003251C2">
        <w:t>most patient relevant, or that reveal similarity or dissimilarity to the main comparator.</w:t>
      </w:r>
    </w:p>
    <w:p w14:paraId="7FC5443A" w14:textId="227623F3" w:rsidR="00A02C4F" w:rsidRPr="003251C2" w:rsidRDefault="00A02C4F" w:rsidP="00E76AE0">
      <w:pPr>
        <w:pStyle w:val="Instructionaltext"/>
      </w:pPr>
      <w:r w:rsidRPr="003251C2">
        <w:t xml:space="preserve">The selection of results for the executive summary </w:t>
      </w:r>
      <w:r w:rsidR="00B04CB1">
        <w:t>should</w:t>
      </w:r>
      <w:r w:rsidRPr="003251C2">
        <w:t xml:space="preserve"> provide a clear picture of the comparative effectiveness but not repeat findings. After providing the most important results, it is sufficient to state whether the secondary or alternative outcomes are consistent with the primary outcomes.</w:t>
      </w:r>
    </w:p>
    <w:p w14:paraId="14135A69" w14:textId="2F2065A6" w:rsidR="00037037" w:rsidRPr="003251C2" w:rsidRDefault="00835EC9" w:rsidP="00E76AE0">
      <w:pPr>
        <w:pStyle w:val="Instructionaltext"/>
      </w:pPr>
      <w:r w:rsidRPr="003251C2">
        <w:t>Effectiveness results for therapeutic technologies include the primary outcomes of studies, and key secondary patient</w:t>
      </w:r>
      <w:r w:rsidR="00B04CB1">
        <w:t>-</w:t>
      </w:r>
      <w:r w:rsidRPr="003251C2">
        <w:t xml:space="preserve">relevant outcomes. </w:t>
      </w:r>
    </w:p>
    <w:p w14:paraId="1ADC157C" w14:textId="08E86C92" w:rsidR="004B19FE" w:rsidRPr="003251C2" w:rsidRDefault="00E518A7" w:rsidP="002463A6">
      <w:pPr>
        <w:pStyle w:val="Instructionaltext"/>
        <w:spacing w:after="0"/>
      </w:pPr>
      <w:r w:rsidRPr="003251C2">
        <w:t>Effectiveness results for investigative technologies will depend on the approach taken</w:t>
      </w:r>
      <w:r w:rsidR="00B04CB1">
        <w:t>:</w:t>
      </w:r>
    </w:p>
    <w:p w14:paraId="4531066B" w14:textId="60952F2C" w:rsidR="00E518A7" w:rsidRPr="003251C2" w:rsidRDefault="00790F49" w:rsidP="00E76AE0">
      <w:pPr>
        <w:pStyle w:val="Instructionaltext"/>
        <w:numPr>
          <w:ilvl w:val="0"/>
          <w:numId w:val="29"/>
        </w:numPr>
        <w:spacing w:before="0" w:after="0"/>
        <w:ind w:left="714" w:hanging="357"/>
      </w:pPr>
      <w:r w:rsidRPr="003251C2">
        <w:t>For d</w:t>
      </w:r>
      <w:r w:rsidR="00E518A7" w:rsidRPr="003251C2">
        <w:t>irect from test to health outcomes evidence</w:t>
      </w:r>
      <w:r w:rsidRPr="003251C2">
        <w:t xml:space="preserve">, </w:t>
      </w:r>
      <w:r w:rsidR="00E518A7" w:rsidRPr="003251C2">
        <w:t>report patient</w:t>
      </w:r>
      <w:r w:rsidR="00B04CB1">
        <w:t>-</w:t>
      </w:r>
      <w:r w:rsidR="00E518A7" w:rsidRPr="003251C2">
        <w:t>relevant outcomes as for therapeutic technologies above.</w:t>
      </w:r>
      <w:r w:rsidRPr="003251C2">
        <w:t xml:space="preserve"> R</w:t>
      </w:r>
      <w:r w:rsidR="00E518A7" w:rsidRPr="003251C2">
        <w:t>esu</w:t>
      </w:r>
      <w:r w:rsidR="005F4721" w:rsidRPr="003251C2">
        <w:t>lts should be separated for test</w:t>
      </w:r>
      <w:r w:rsidR="00B04CB1">
        <w:t>-</w:t>
      </w:r>
      <w:r w:rsidR="005F4721" w:rsidRPr="003251C2">
        <w:t>positive and test</w:t>
      </w:r>
      <w:r w:rsidR="00B04CB1">
        <w:t>-</w:t>
      </w:r>
      <w:r w:rsidR="005F4721" w:rsidRPr="003251C2">
        <w:t>negative patients, where possible.</w:t>
      </w:r>
    </w:p>
    <w:p w14:paraId="2B090CD8" w14:textId="7B4CB729" w:rsidR="00B07620" w:rsidRPr="003251C2" w:rsidRDefault="00790F49" w:rsidP="00E76AE0">
      <w:pPr>
        <w:pStyle w:val="Instructionaltext"/>
        <w:numPr>
          <w:ilvl w:val="0"/>
          <w:numId w:val="29"/>
        </w:numPr>
        <w:spacing w:before="0" w:after="0"/>
        <w:ind w:left="714" w:hanging="357"/>
      </w:pPr>
      <w:r w:rsidRPr="003251C2">
        <w:t xml:space="preserve">For a </w:t>
      </w:r>
      <w:r w:rsidR="005F4721" w:rsidRPr="003251C2">
        <w:t>linked evidence approach</w:t>
      </w:r>
      <w:r w:rsidRPr="003251C2">
        <w:t>,</w:t>
      </w:r>
      <w:r w:rsidR="005F4721" w:rsidRPr="003251C2">
        <w:t xml:space="preserve"> briefly report the test accuracy, prevalence and relevant estimates </w:t>
      </w:r>
      <w:r w:rsidRPr="003251C2">
        <w:t xml:space="preserve">of accuracy as applied to the </w:t>
      </w:r>
      <w:r w:rsidR="00B07620" w:rsidRPr="003251C2">
        <w:t>target Australian p</w:t>
      </w:r>
      <w:r w:rsidR="004D4425">
        <w:t>opulation</w:t>
      </w:r>
      <w:r w:rsidR="00B07620" w:rsidRPr="003251C2">
        <w:t xml:space="preserve"> (e.g.</w:t>
      </w:r>
      <w:r w:rsidR="00B04CB1">
        <w:t> </w:t>
      </w:r>
      <w:r w:rsidR="00B04CB1" w:rsidRPr="00B04CB1">
        <w:t>positive predictive value</w:t>
      </w:r>
      <w:r w:rsidR="00B07620" w:rsidRPr="003251C2">
        <w:t xml:space="preserve">, </w:t>
      </w:r>
      <w:r w:rsidR="00B04CB1">
        <w:t>nega</w:t>
      </w:r>
      <w:r w:rsidR="00B04CB1" w:rsidRPr="00B04CB1">
        <w:t>tive predictive value</w:t>
      </w:r>
      <w:r w:rsidR="00B07620" w:rsidRPr="003251C2">
        <w:t xml:space="preserve">). </w:t>
      </w:r>
      <w:r w:rsidR="002E7775" w:rsidRPr="003251C2">
        <w:t xml:space="preserve">Present results for change in management. Results for health outcomes are reported in a similar way to </w:t>
      </w:r>
      <w:r w:rsidR="00B04CB1">
        <w:t>outcomes</w:t>
      </w:r>
      <w:r w:rsidR="00B04CB1" w:rsidRPr="003251C2">
        <w:t xml:space="preserve"> </w:t>
      </w:r>
      <w:r w:rsidR="002E7775" w:rsidRPr="003251C2">
        <w:t>of a therapeutic technology</w:t>
      </w:r>
      <w:r w:rsidR="00B04CB1">
        <w:t>;</w:t>
      </w:r>
      <w:r w:rsidR="002E7775" w:rsidRPr="003251C2">
        <w:t xml:space="preserve"> however, results </w:t>
      </w:r>
      <w:r w:rsidR="00B04CB1">
        <w:t>should be</w:t>
      </w:r>
      <w:r w:rsidR="00B07620" w:rsidRPr="003251C2">
        <w:t xml:space="preserve"> separated by test</w:t>
      </w:r>
      <w:r w:rsidR="00B04CB1">
        <w:t>-</w:t>
      </w:r>
      <w:r w:rsidR="00B07620" w:rsidRPr="003251C2">
        <w:t>positive and test</w:t>
      </w:r>
      <w:r w:rsidR="00B04CB1">
        <w:t>-</w:t>
      </w:r>
      <w:r w:rsidR="00B07620" w:rsidRPr="003251C2">
        <w:t>negative patients. In addition, results for false positives and false negatives may be relevant.</w:t>
      </w:r>
    </w:p>
    <w:p w14:paraId="37334DF1" w14:textId="0E7379A4" w:rsidR="0019474E" w:rsidRPr="003251C2" w:rsidRDefault="0019474E" w:rsidP="00E76AE0">
      <w:pPr>
        <w:pStyle w:val="Instructionaltext"/>
        <w:numPr>
          <w:ilvl w:val="0"/>
          <w:numId w:val="29"/>
        </w:numPr>
        <w:spacing w:before="0" w:after="0"/>
        <w:ind w:left="714" w:hanging="357"/>
      </w:pPr>
      <w:r w:rsidRPr="003251C2">
        <w:lastRenderedPageBreak/>
        <w:t>For the assessment of investigative technologies, discuss the clinical utility (net health benefit or harm) incorporating all of the relevant steps. Where this is uncertain, describe these uncertainties.</w:t>
      </w:r>
    </w:p>
    <w:p w14:paraId="23A3CDC8" w14:textId="79E80C54" w:rsidR="00A02C4F" w:rsidRPr="003251C2" w:rsidRDefault="00B07620" w:rsidP="00E76AE0">
      <w:pPr>
        <w:pStyle w:val="Instructionaltext"/>
      </w:pPr>
      <w:r w:rsidRPr="003251C2">
        <w:t>State key limitations of the evidence, with reference to the internal validity of the evidence (bias or confounding), the approach to generating the evidence (transitivity for indirect comparisons of studies), translations of the evidence (if surrogate outcomes have been used and translated to patient relevant outcomes), and the applicability of the evidence to the Australian setting. Provide an interpretation of the impact any limitations of the evidence may have had on the certainty of the evidence. Limit the key limitations to those that are most likely to impact the estimates of the results.</w:t>
      </w:r>
    </w:p>
    <w:p w14:paraId="713D632B" w14:textId="713C925C" w:rsidR="00B36028" w:rsidRDefault="0052768C" w:rsidP="00E76AE0">
      <w:pPr>
        <w:pStyle w:val="Instructionaltext"/>
      </w:pPr>
      <w:r w:rsidRPr="00330A0A">
        <w:t xml:space="preserve">Provide a summary of the interpretation of the clinical evidence </w:t>
      </w:r>
      <w:r w:rsidR="00B36028">
        <w:t>including</w:t>
      </w:r>
      <w:r w:rsidRPr="00330A0A">
        <w:t xml:space="preserve"> the direction of effect, the size of effect and the level of confidence </w:t>
      </w:r>
      <w:r w:rsidR="00B36028">
        <w:t xml:space="preserve">MSAC can have in </w:t>
      </w:r>
      <w:r w:rsidRPr="00330A0A">
        <w:t xml:space="preserve">this evidence. </w:t>
      </w:r>
    </w:p>
    <w:p w14:paraId="459D0140" w14:textId="528C73A5" w:rsidR="0052768C" w:rsidRDefault="0052768C" w:rsidP="00E76AE0">
      <w:pPr>
        <w:pStyle w:val="Instructionaltext"/>
      </w:pPr>
      <w:r w:rsidRPr="003251C2">
        <w:t>State whether the proposed technology is more effective, of similar effectiveness or less effective than clinical management without it.</w:t>
      </w:r>
    </w:p>
    <w:p w14:paraId="1D62D80B" w14:textId="0E92B282" w:rsidR="001D74A7" w:rsidRPr="003251C2" w:rsidRDefault="001D74A7" w:rsidP="00E76AE0">
      <w:pPr>
        <w:pStyle w:val="Instructionaltext"/>
      </w:pPr>
      <w:r w:rsidRPr="001D74A7">
        <w:t>[End instructional text]</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429BD13A" w14:textId="2B1F3613" w:rsidR="00BA2B3F" w:rsidRPr="000D1B52" w:rsidRDefault="003F7196" w:rsidP="00502FFB">
      <w:pPr>
        <w:pStyle w:val="Guidelinescross-ref"/>
      </w:pPr>
      <w:r w:rsidRPr="003F7196">
        <w:t xml:space="preserve">Refer to: </w:t>
      </w:r>
      <w:r w:rsidR="00BA2B3F" w:rsidRPr="000D1B52">
        <w:t>MSAC Guidelines TG 8 (Interpretation of the therapeutic evidence)</w:t>
      </w:r>
    </w:p>
    <w:p w14:paraId="522EE072" w14:textId="69FD192B" w:rsidR="00BA2B3F" w:rsidRPr="000D1B52" w:rsidRDefault="003F7196" w:rsidP="00502FFB">
      <w:pPr>
        <w:pStyle w:val="Guidelinescross-ref"/>
      </w:pPr>
      <w:r w:rsidRPr="003F7196">
        <w:t xml:space="preserve">Refer to: </w:t>
      </w:r>
      <w:r w:rsidR="00BA2B3F" w:rsidRPr="000D1B52">
        <w:t>MSAC Guidelines TG 16 (Interpretation of the investigative evidence)</w:t>
      </w:r>
    </w:p>
    <w:p w14:paraId="68B5444A" w14:textId="22738F6F" w:rsidR="00772829" w:rsidRPr="003251C2" w:rsidRDefault="001D74A7" w:rsidP="00E76AE0">
      <w:pPr>
        <w:pStyle w:val="Instructionaltext"/>
      </w:pPr>
      <w:r w:rsidRPr="001D74A7">
        <w:t xml:space="preserve">[Instructional text] </w:t>
      </w:r>
      <w:r w:rsidR="00772829" w:rsidRPr="003251C2">
        <w:t>Summarise whether the evidence supports th</w:t>
      </w:r>
      <w:r w:rsidR="00BA2B3F" w:rsidRPr="003251C2">
        <w:t>e clinical claim</w:t>
      </w:r>
      <w:r w:rsidR="00772829" w:rsidRPr="003251C2">
        <w:t>, and thus whether the presented form of economic evaluation is appropriate and supported.</w:t>
      </w:r>
      <w:r w:rsidRPr="001D74A7">
        <w:t xml:space="preserve"> [End instructional text]</w:t>
      </w:r>
    </w:p>
    <w:p w14:paraId="0D09C9E4" w14:textId="76EFB3FA" w:rsidR="00772829" w:rsidRPr="00CE28E3" w:rsidRDefault="00B27795" w:rsidP="002A18BE">
      <w:pPr>
        <w:pStyle w:val="Heading2"/>
        <w:numPr>
          <w:ilvl w:val="0"/>
          <w:numId w:val="0"/>
        </w:numPr>
      </w:pPr>
      <w:bookmarkStart w:id="39" w:name="_Toc69491425"/>
      <w:r>
        <w:t>10</w:t>
      </w:r>
      <w:r w:rsidR="00C36633">
        <w:t>.</w:t>
      </w:r>
      <w:r w:rsidR="00C36633">
        <w:tab/>
      </w:r>
      <w:r w:rsidR="00772829" w:rsidRPr="00CE28E3">
        <w:t>Economic evaluation</w:t>
      </w:r>
      <w:bookmarkEnd w:id="39"/>
    </w:p>
    <w:p w14:paraId="262CD6D7" w14:textId="77777777" w:rsidR="004D4425" w:rsidRDefault="001D74A7" w:rsidP="00E76AE0">
      <w:pPr>
        <w:pStyle w:val="Instructionaltext"/>
      </w:pPr>
      <w:r w:rsidRPr="001D74A7">
        <w:t xml:space="preserve">[Instructional text] </w:t>
      </w:r>
    </w:p>
    <w:p w14:paraId="209C24EF" w14:textId="6249040A" w:rsidR="00C922A2" w:rsidRPr="003251C2" w:rsidRDefault="00C107C3" w:rsidP="00E76AE0">
      <w:pPr>
        <w:pStyle w:val="Instructionaltext"/>
      </w:pPr>
      <w:r w:rsidRPr="003251C2">
        <w:t>State</w:t>
      </w:r>
      <w:r w:rsidR="00C922A2" w:rsidRPr="003251C2">
        <w:t xml:space="preserve"> the type of economic analysis.</w:t>
      </w:r>
    </w:p>
    <w:p w14:paraId="3FDB6B76" w14:textId="174F80AC" w:rsidR="00C922A2" w:rsidRPr="000D1B52" w:rsidRDefault="003F7196" w:rsidP="00502FFB">
      <w:pPr>
        <w:pStyle w:val="Guidelinescross-ref"/>
      </w:pPr>
      <w:r w:rsidRPr="003F7196">
        <w:t xml:space="preserve">Refer to: </w:t>
      </w:r>
      <w:r w:rsidR="00C922A2" w:rsidRPr="000D1B52">
        <w:t>MSAC Guidelines TG 17</w:t>
      </w:r>
      <w:r w:rsidR="001A7D8F">
        <w:t xml:space="preserve"> (</w:t>
      </w:r>
      <w:r w:rsidR="001A7D8F" w:rsidRPr="001A7D8F">
        <w:t>Overview and rationale of the economic evaluation</w:t>
      </w:r>
      <w:r w:rsidR="001A7D8F">
        <w:t>)</w:t>
      </w:r>
    </w:p>
    <w:p w14:paraId="7232F20E" w14:textId="7547EB01" w:rsidR="00C107C3" w:rsidRPr="003251C2" w:rsidRDefault="00C107C3" w:rsidP="00E76AE0">
      <w:pPr>
        <w:pStyle w:val="Instructionaltext"/>
      </w:pPr>
      <w:r w:rsidRPr="003251C2">
        <w:t>Describe the structure of the model and provide a brief overview (tabulated</w:t>
      </w:r>
      <w:r w:rsidR="001A7D8F">
        <w:t xml:space="preserve">; see </w:t>
      </w:r>
      <w:r w:rsidR="004A4FDF">
        <w:fldChar w:fldCharType="begin"/>
      </w:r>
      <w:r w:rsidR="004A4FDF">
        <w:instrText xml:space="preserve"> REF _Ref69725820 \h </w:instrText>
      </w:r>
      <w:r w:rsidR="004A4FDF">
        <w:fldChar w:fldCharType="separate"/>
      </w:r>
      <w:r w:rsidR="004A4FDF" w:rsidRPr="00CE28E3">
        <w:t>Table</w:t>
      </w:r>
      <w:r w:rsidR="004A4FDF">
        <w:t> </w:t>
      </w:r>
      <w:r w:rsidR="004A4FDF">
        <w:rPr>
          <w:noProof/>
        </w:rPr>
        <w:t>5</w:t>
      </w:r>
      <w:r w:rsidR="004A4FDF">
        <w:fldChar w:fldCharType="end"/>
      </w:r>
      <w:r w:rsidRPr="003251C2">
        <w:t>) of the model parameters.</w:t>
      </w:r>
    </w:p>
    <w:p w14:paraId="2EFDAAE4" w14:textId="20179A19" w:rsidR="00C107C3" w:rsidRDefault="00C107C3" w:rsidP="00E76AE0">
      <w:pPr>
        <w:pStyle w:val="Instructionaltext"/>
      </w:pPr>
      <w:r w:rsidRPr="003251C2">
        <w:t xml:space="preserve">If no economic evaluation was performed, explain why and </w:t>
      </w:r>
      <w:r w:rsidR="00FC5603" w:rsidRPr="003251C2">
        <w:t>summarise</w:t>
      </w:r>
      <w:r w:rsidRPr="003251C2">
        <w:t xml:space="preserve"> the alternative approach taken.</w:t>
      </w:r>
    </w:p>
    <w:p w14:paraId="670B7872" w14:textId="77777777" w:rsidR="000E5531" w:rsidRPr="00502FFB" w:rsidRDefault="000E5531" w:rsidP="000E5531">
      <w:pPr>
        <w:pStyle w:val="Guidelinescross-ref"/>
      </w:pPr>
      <w:r w:rsidRPr="003F7196">
        <w:t xml:space="preserve">Refer to: </w:t>
      </w:r>
      <w:r w:rsidRPr="000D1B52">
        <w:t>MSAC Guidelines TG 26</w:t>
      </w:r>
      <w:r>
        <w:t xml:space="preserve"> (</w:t>
      </w:r>
      <w:r w:rsidRPr="001A7D8F">
        <w:t>Cost-minimisation approach</w:t>
      </w:r>
      <w:r>
        <w:t>)</w:t>
      </w:r>
    </w:p>
    <w:p w14:paraId="3E189D22" w14:textId="77777777" w:rsidR="000E5531" w:rsidRPr="003251C2" w:rsidRDefault="000E5531" w:rsidP="000E5531">
      <w:pPr>
        <w:pStyle w:val="Instructionaltext"/>
      </w:pPr>
      <w:r w:rsidRPr="003251C2">
        <w:t xml:space="preserve">If the assessment of the proposed technology has taken a cost-minimisation approach, report the costs for the proposed health technology and the comparator. Present the costs separated </w:t>
      </w:r>
      <w:r>
        <w:t>into</w:t>
      </w:r>
      <w:r w:rsidRPr="003251C2">
        <w:t xml:space="preserve"> direct costs associated with the use of the technology, and downstream costs or cost</w:t>
      </w:r>
      <w:r>
        <w:t xml:space="preserve"> </w:t>
      </w:r>
      <w:r w:rsidRPr="003251C2">
        <w:t>offsets. Identify where costs are incurred across different funding mechanisms (e.g. private costs, MBS costs, public hospital costs). Summarise uncertainties associated with the cost</w:t>
      </w:r>
      <w:r>
        <w:t xml:space="preserve"> </w:t>
      </w:r>
      <w:r w:rsidRPr="003251C2">
        <w:t>comparison.</w:t>
      </w:r>
      <w:r w:rsidRPr="001D74A7">
        <w:t xml:space="preserve"> </w:t>
      </w:r>
    </w:p>
    <w:p w14:paraId="731BE6AC" w14:textId="3686746C" w:rsidR="001D74A7" w:rsidRPr="003251C2" w:rsidRDefault="001D74A7" w:rsidP="00E76AE0">
      <w:pPr>
        <w:pStyle w:val="Instructionaltext"/>
      </w:pPr>
      <w:r w:rsidRPr="001D74A7">
        <w:t>[End instructional text]</w:t>
      </w:r>
    </w:p>
    <w:p w14:paraId="7832FEBA" w14:textId="692B48E9" w:rsidR="00C107C3" w:rsidRPr="00CE28E3" w:rsidRDefault="00C107C3" w:rsidP="00670650">
      <w:pPr>
        <w:pStyle w:val="Caption"/>
        <w:tabs>
          <w:tab w:val="left" w:pos="1134"/>
        </w:tabs>
        <w:ind w:left="1134" w:hanging="1134"/>
      </w:pPr>
      <w:bookmarkStart w:id="40" w:name="_Ref6972582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5</w:t>
      </w:r>
      <w:r w:rsidRPr="00CE28E3">
        <w:rPr>
          <w:noProof/>
        </w:rPr>
        <w:fldChar w:fldCharType="end"/>
      </w:r>
      <w:bookmarkEnd w:id="40"/>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C05700" w:rsidRPr="00CE28E3" w14:paraId="3C0DF1BD" w14:textId="2726922C" w:rsidTr="00C05700">
        <w:trPr>
          <w:tblHeader/>
        </w:trPr>
        <w:tc>
          <w:tcPr>
            <w:tcW w:w="2003" w:type="dxa"/>
          </w:tcPr>
          <w:p w14:paraId="57632985" w14:textId="77777777" w:rsidR="00C05700" w:rsidRPr="000449D1" w:rsidRDefault="00C05700" w:rsidP="00670650">
            <w:pPr>
              <w:pStyle w:val="TableHeading"/>
              <w:rPr>
                <w:szCs w:val="20"/>
              </w:rPr>
            </w:pPr>
            <w:bookmarkStart w:id="41" w:name="Title_Table5"/>
            <w:bookmarkStart w:id="42" w:name="_Hlk68276446"/>
            <w:bookmarkEnd w:id="41"/>
            <w:r w:rsidRPr="000449D1">
              <w:rPr>
                <w:szCs w:val="20"/>
              </w:rPr>
              <w:t>Component</w:t>
            </w:r>
          </w:p>
        </w:tc>
        <w:tc>
          <w:tcPr>
            <w:tcW w:w="5789" w:type="dxa"/>
          </w:tcPr>
          <w:p w14:paraId="123CA837" w14:textId="77777777" w:rsidR="00C05700" w:rsidRPr="000449D1" w:rsidRDefault="00C05700" w:rsidP="00670650">
            <w:pPr>
              <w:pStyle w:val="TableHeading"/>
              <w:rPr>
                <w:szCs w:val="20"/>
              </w:rPr>
            </w:pPr>
            <w:r w:rsidRPr="000449D1">
              <w:rPr>
                <w:szCs w:val="20"/>
              </w:rPr>
              <w:t>Description</w:t>
            </w:r>
          </w:p>
        </w:tc>
        <w:tc>
          <w:tcPr>
            <w:tcW w:w="1224" w:type="dxa"/>
          </w:tcPr>
          <w:p w14:paraId="0DC26307" w14:textId="4D342D9A" w:rsidR="00C05700" w:rsidRPr="00CE28E3" w:rsidRDefault="00C05700" w:rsidP="00670650">
            <w:pPr>
              <w:pStyle w:val="TableHeading"/>
            </w:pPr>
            <w:r w:rsidRPr="00CE28E3">
              <w:t>MSAC Guidelines Reference</w:t>
            </w:r>
          </w:p>
        </w:tc>
      </w:tr>
      <w:tr w:rsidR="00C05700" w:rsidRPr="000449D1" w14:paraId="31113E27" w14:textId="755DAA21" w:rsidTr="00C05700">
        <w:tc>
          <w:tcPr>
            <w:tcW w:w="2003" w:type="dxa"/>
          </w:tcPr>
          <w:p w14:paraId="7DFFBC7E" w14:textId="77777777" w:rsidR="00C05700" w:rsidRPr="000449D1" w:rsidRDefault="00C05700" w:rsidP="00670650">
            <w:pPr>
              <w:pStyle w:val="TableText"/>
              <w:keepNext/>
              <w:rPr>
                <w:szCs w:val="20"/>
              </w:rPr>
            </w:pPr>
            <w:r w:rsidRPr="000449D1">
              <w:rPr>
                <w:szCs w:val="20"/>
              </w:rPr>
              <w:t>Perspective</w:t>
            </w:r>
          </w:p>
        </w:tc>
        <w:tc>
          <w:tcPr>
            <w:tcW w:w="5789" w:type="dxa"/>
          </w:tcPr>
          <w:p w14:paraId="56EF2FFF" w14:textId="4FD6AB52"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Health care system perspective]</w:t>
            </w:r>
          </w:p>
        </w:tc>
        <w:tc>
          <w:tcPr>
            <w:tcW w:w="1224" w:type="dxa"/>
          </w:tcPr>
          <w:p w14:paraId="2554A2BC" w14:textId="1C9634E8" w:rsidR="00C05700" w:rsidRPr="000449D1" w:rsidRDefault="00C05700" w:rsidP="00670650">
            <w:pPr>
              <w:pStyle w:val="TableText"/>
              <w:keepNext/>
              <w:rPr>
                <w:color w:val="0070C0"/>
                <w:sz w:val="24"/>
                <w:szCs w:val="20"/>
              </w:rPr>
            </w:pPr>
            <w:r w:rsidRPr="000449D1">
              <w:rPr>
                <w:color w:val="0070C0"/>
                <w:sz w:val="24"/>
              </w:rPr>
              <w:t>TG 17.3</w:t>
            </w:r>
          </w:p>
        </w:tc>
      </w:tr>
      <w:tr w:rsidR="00C05700" w:rsidRPr="000449D1" w14:paraId="3AE7C53E" w14:textId="3AF3CBC2" w:rsidTr="00C05700">
        <w:trPr>
          <w:tblHeader/>
        </w:trPr>
        <w:tc>
          <w:tcPr>
            <w:tcW w:w="2003" w:type="dxa"/>
          </w:tcPr>
          <w:p w14:paraId="7D8A22F3" w14:textId="77777777" w:rsidR="00C05700" w:rsidRPr="000449D1" w:rsidRDefault="00C05700" w:rsidP="00670650">
            <w:pPr>
              <w:pStyle w:val="TableText"/>
              <w:keepNext/>
              <w:rPr>
                <w:szCs w:val="20"/>
              </w:rPr>
            </w:pPr>
            <w:r w:rsidRPr="000449D1">
              <w:rPr>
                <w:szCs w:val="20"/>
              </w:rPr>
              <w:t>Population</w:t>
            </w:r>
          </w:p>
        </w:tc>
        <w:tc>
          <w:tcPr>
            <w:tcW w:w="5789" w:type="dxa"/>
          </w:tcPr>
          <w:p w14:paraId="376BBABD" w14:textId="213ABC77" w:rsidR="00C05700" w:rsidRPr="000449D1" w:rsidRDefault="00C05700" w:rsidP="00670650">
            <w:pPr>
              <w:pStyle w:val="TableText"/>
              <w:keepNext/>
              <w:rPr>
                <w:szCs w:val="20"/>
              </w:rPr>
            </w:pPr>
            <w:r w:rsidRPr="00B61C66">
              <w:rPr>
                <w:color w:val="258221"/>
                <w:szCs w:val="20"/>
              </w:rPr>
              <w:t>[</w:t>
            </w:r>
            <w:r w:rsidR="001A7D8F" w:rsidRPr="00B61C66">
              <w:rPr>
                <w:color w:val="258221"/>
                <w:szCs w:val="20"/>
              </w:rPr>
              <w:t>F</w:t>
            </w:r>
            <w:r w:rsidRPr="00B61C66">
              <w:rPr>
                <w:color w:val="258221"/>
                <w:szCs w:val="20"/>
              </w:rPr>
              <w:t>or multi-indication models, specify the different populations (or subgroups) modelled. For example, for testing of heritable diseases, index cases</w:t>
            </w:r>
            <w:r w:rsidR="001A7D8F" w:rsidRPr="00B61C66">
              <w:rPr>
                <w:color w:val="258221"/>
                <w:szCs w:val="20"/>
              </w:rPr>
              <w:t>,</w:t>
            </w:r>
            <w:r w:rsidRPr="00B61C66">
              <w:rPr>
                <w:color w:val="258221"/>
                <w:szCs w:val="20"/>
              </w:rPr>
              <w:t xml:space="preserve"> and adult and child relatives may be modelled]</w:t>
            </w:r>
          </w:p>
        </w:tc>
        <w:tc>
          <w:tcPr>
            <w:tcW w:w="1224" w:type="dxa"/>
          </w:tcPr>
          <w:p w14:paraId="35DC9390" w14:textId="7FB495E8" w:rsidR="00C05700" w:rsidRPr="000449D1" w:rsidRDefault="00C05700" w:rsidP="00670650">
            <w:pPr>
              <w:pStyle w:val="TableText"/>
              <w:keepNext/>
              <w:rPr>
                <w:color w:val="0070C0"/>
                <w:sz w:val="24"/>
              </w:rPr>
            </w:pPr>
            <w:r w:rsidRPr="000449D1">
              <w:rPr>
                <w:color w:val="0070C0"/>
                <w:sz w:val="24"/>
              </w:rPr>
              <w:t>TG 19</w:t>
            </w:r>
          </w:p>
        </w:tc>
      </w:tr>
      <w:tr w:rsidR="00C05700" w:rsidRPr="000449D1" w14:paraId="35DC265A" w14:textId="6A15DD17" w:rsidTr="00C05700">
        <w:tc>
          <w:tcPr>
            <w:tcW w:w="2003" w:type="dxa"/>
          </w:tcPr>
          <w:p w14:paraId="6886BA88" w14:textId="77777777" w:rsidR="00C05700" w:rsidRPr="000449D1" w:rsidRDefault="00C05700" w:rsidP="00670650">
            <w:pPr>
              <w:pStyle w:val="TableText"/>
              <w:keepNext/>
              <w:rPr>
                <w:szCs w:val="20"/>
              </w:rPr>
            </w:pPr>
            <w:r w:rsidRPr="000449D1">
              <w:rPr>
                <w:szCs w:val="20"/>
              </w:rPr>
              <w:t>Prior testing</w:t>
            </w:r>
          </w:p>
        </w:tc>
        <w:tc>
          <w:tcPr>
            <w:tcW w:w="5789" w:type="dxa"/>
          </w:tcPr>
          <w:p w14:paraId="13AED989" w14:textId="0ABA9A03" w:rsidR="00C05700" w:rsidRPr="000449D1" w:rsidRDefault="00697966" w:rsidP="00670650">
            <w:pPr>
              <w:pStyle w:val="TableText"/>
              <w:keepNext/>
              <w:rPr>
                <w:szCs w:val="20"/>
              </w:rPr>
            </w:pPr>
            <w:r w:rsidRPr="000449D1">
              <w:rPr>
                <w:szCs w:val="20"/>
              </w:rPr>
              <w:t>[</w:t>
            </w:r>
            <w:r w:rsidR="001A7D8F">
              <w:rPr>
                <w:szCs w:val="20"/>
              </w:rPr>
              <w:t>*</w:t>
            </w:r>
            <w:r w:rsidRPr="000449D1">
              <w:rPr>
                <w:szCs w:val="20"/>
              </w:rPr>
              <w:t>specify the tests required to determine the population in the model]</w:t>
            </w:r>
          </w:p>
        </w:tc>
        <w:tc>
          <w:tcPr>
            <w:tcW w:w="1224" w:type="dxa"/>
          </w:tcPr>
          <w:p w14:paraId="63CFBD21" w14:textId="550BB7CB" w:rsidR="00C05700" w:rsidRPr="000449D1" w:rsidRDefault="00697966" w:rsidP="00670650">
            <w:pPr>
              <w:pStyle w:val="TableText"/>
              <w:keepNext/>
              <w:rPr>
                <w:color w:val="0070C0"/>
                <w:sz w:val="24"/>
              </w:rPr>
            </w:pPr>
            <w:r w:rsidRPr="000449D1">
              <w:rPr>
                <w:color w:val="0070C0"/>
                <w:sz w:val="24"/>
              </w:rPr>
              <w:t>TG 19</w:t>
            </w:r>
          </w:p>
        </w:tc>
      </w:tr>
      <w:tr w:rsidR="00C05700" w:rsidRPr="000449D1" w14:paraId="750830A5" w14:textId="33978BE8" w:rsidTr="00C05700">
        <w:tc>
          <w:tcPr>
            <w:tcW w:w="2003" w:type="dxa"/>
          </w:tcPr>
          <w:p w14:paraId="59B80C68" w14:textId="77777777" w:rsidR="00C05700" w:rsidRPr="000449D1" w:rsidRDefault="00C05700" w:rsidP="00670650">
            <w:pPr>
              <w:pStyle w:val="TableText"/>
              <w:keepNext/>
              <w:rPr>
                <w:szCs w:val="20"/>
              </w:rPr>
            </w:pPr>
            <w:r w:rsidRPr="000449D1">
              <w:rPr>
                <w:szCs w:val="20"/>
              </w:rPr>
              <w:t>Comparator</w:t>
            </w:r>
          </w:p>
        </w:tc>
        <w:tc>
          <w:tcPr>
            <w:tcW w:w="5789" w:type="dxa"/>
          </w:tcPr>
          <w:p w14:paraId="04C0D717" w14:textId="7ECB39BC" w:rsidR="00C05700" w:rsidRPr="000449D1" w:rsidRDefault="001A7D8F" w:rsidP="00670650">
            <w:pPr>
              <w:pStyle w:val="TableText"/>
              <w:keepNext/>
              <w:rPr>
                <w:szCs w:val="20"/>
              </w:rPr>
            </w:pPr>
            <w:r>
              <w:rPr>
                <w:szCs w:val="20"/>
              </w:rPr>
              <w:t>[*comparator]</w:t>
            </w:r>
          </w:p>
        </w:tc>
        <w:tc>
          <w:tcPr>
            <w:tcW w:w="1224" w:type="dxa"/>
          </w:tcPr>
          <w:p w14:paraId="57DF12DB" w14:textId="16DCBE58" w:rsidR="00C05700" w:rsidRPr="000449D1" w:rsidRDefault="00C05700" w:rsidP="00670650">
            <w:pPr>
              <w:pStyle w:val="TableText"/>
              <w:keepNext/>
              <w:rPr>
                <w:color w:val="0070C0"/>
                <w:sz w:val="24"/>
              </w:rPr>
            </w:pPr>
            <w:r w:rsidRPr="000449D1">
              <w:rPr>
                <w:color w:val="0070C0"/>
                <w:sz w:val="24"/>
              </w:rPr>
              <w:t>TG 17.2</w:t>
            </w:r>
          </w:p>
        </w:tc>
      </w:tr>
      <w:tr w:rsidR="00C05700" w:rsidRPr="000449D1" w14:paraId="352DFBB5" w14:textId="23E331A7" w:rsidTr="00C05700">
        <w:tc>
          <w:tcPr>
            <w:tcW w:w="2003" w:type="dxa"/>
          </w:tcPr>
          <w:p w14:paraId="563F18FC" w14:textId="77777777" w:rsidR="00C05700" w:rsidRPr="000449D1" w:rsidRDefault="00C05700" w:rsidP="00670650">
            <w:pPr>
              <w:pStyle w:val="TableText"/>
              <w:keepNext/>
              <w:rPr>
                <w:szCs w:val="20"/>
              </w:rPr>
            </w:pPr>
            <w:r w:rsidRPr="000449D1">
              <w:rPr>
                <w:szCs w:val="20"/>
              </w:rPr>
              <w:t>Type(s) of analysis</w:t>
            </w:r>
          </w:p>
        </w:tc>
        <w:tc>
          <w:tcPr>
            <w:tcW w:w="5789" w:type="dxa"/>
          </w:tcPr>
          <w:p w14:paraId="4DAE5CE1" w14:textId="1E5E884C"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cost-effectiveness analysis, cost-utility analysis]</w:t>
            </w:r>
          </w:p>
        </w:tc>
        <w:tc>
          <w:tcPr>
            <w:tcW w:w="1224" w:type="dxa"/>
          </w:tcPr>
          <w:p w14:paraId="5DF4A231" w14:textId="5A2533EA" w:rsidR="00C05700" w:rsidRPr="000449D1" w:rsidRDefault="00FB620D" w:rsidP="00670650">
            <w:pPr>
              <w:pStyle w:val="TableText"/>
              <w:keepNext/>
              <w:rPr>
                <w:color w:val="0070C0"/>
                <w:sz w:val="24"/>
              </w:rPr>
            </w:pPr>
            <w:r w:rsidRPr="000449D1">
              <w:rPr>
                <w:color w:val="0070C0"/>
                <w:sz w:val="24"/>
              </w:rPr>
              <w:t>TG 17.5</w:t>
            </w:r>
          </w:p>
        </w:tc>
      </w:tr>
      <w:tr w:rsidR="00C05700" w:rsidRPr="000449D1" w14:paraId="6CB6FA6B" w14:textId="0CFF196E" w:rsidTr="00C05700">
        <w:tc>
          <w:tcPr>
            <w:tcW w:w="2003" w:type="dxa"/>
          </w:tcPr>
          <w:p w14:paraId="401E0BAC" w14:textId="77777777" w:rsidR="00C05700" w:rsidRPr="000449D1" w:rsidRDefault="00C05700" w:rsidP="00670650">
            <w:pPr>
              <w:pStyle w:val="TableText"/>
              <w:keepNext/>
              <w:rPr>
                <w:szCs w:val="20"/>
              </w:rPr>
            </w:pPr>
            <w:r w:rsidRPr="000449D1">
              <w:rPr>
                <w:szCs w:val="20"/>
              </w:rPr>
              <w:t>Outcomes</w:t>
            </w:r>
          </w:p>
        </w:tc>
        <w:tc>
          <w:tcPr>
            <w:tcW w:w="5789" w:type="dxa"/>
          </w:tcPr>
          <w:p w14:paraId="5BB292CF" w14:textId="38833269"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events avoided, life-years gained, quality-adjusted life years]</w:t>
            </w:r>
          </w:p>
        </w:tc>
        <w:tc>
          <w:tcPr>
            <w:tcW w:w="1224" w:type="dxa"/>
          </w:tcPr>
          <w:p w14:paraId="317F4C75" w14:textId="1F19E5E7" w:rsidR="00C05700" w:rsidRPr="000449D1" w:rsidRDefault="00FB620D" w:rsidP="00670650">
            <w:pPr>
              <w:pStyle w:val="TableText"/>
              <w:keepNext/>
              <w:rPr>
                <w:color w:val="0070C0"/>
                <w:sz w:val="24"/>
              </w:rPr>
            </w:pPr>
            <w:r w:rsidRPr="000449D1">
              <w:rPr>
                <w:color w:val="0070C0"/>
                <w:sz w:val="24"/>
              </w:rPr>
              <w:t>TG 21</w:t>
            </w:r>
          </w:p>
        </w:tc>
      </w:tr>
      <w:tr w:rsidR="00C05700" w:rsidRPr="000449D1" w14:paraId="643C0794" w14:textId="7BA4E085" w:rsidTr="00C05700">
        <w:tc>
          <w:tcPr>
            <w:tcW w:w="2003" w:type="dxa"/>
          </w:tcPr>
          <w:p w14:paraId="42B1D84D" w14:textId="77777777" w:rsidR="00C05700" w:rsidRPr="000449D1" w:rsidRDefault="00C05700" w:rsidP="00670650">
            <w:pPr>
              <w:pStyle w:val="TableText"/>
              <w:keepNext/>
              <w:rPr>
                <w:szCs w:val="20"/>
              </w:rPr>
            </w:pPr>
            <w:r w:rsidRPr="000449D1">
              <w:rPr>
                <w:szCs w:val="20"/>
              </w:rPr>
              <w:t>Time horizon</w:t>
            </w:r>
          </w:p>
        </w:tc>
        <w:tc>
          <w:tcPr>
            <w:tcW w:w="5789" w:type="dxa"/>
          </w:tcPr>
          <w:p w14:paraId="3BC3DE82" w14:textId="2C21668D"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[x] days/months/years in the model base case (vs [y] weeks/years in the key trial(s))]</w:t>
            </w:r>
          </w:p>
        </w:tc>
        <w:tc>
          <w:tcPr>
            <w:tcW w:w="1224" w:type="dxa"/>
          </w:tcPr>
          <w:p w14:paraId="7F463B1C" w14:textId="3A86F8CF" w:rsidR="00C05700" w:rsidRPr="000449D1" w:rsidRDefault="00F06673" w:rsidP="00670650">
            <w:pPr>
              <w:pStyle w:val="TableText"/>
              <w:keepNext/>
              <w:rPr>
                <w:color w:val="0070C0"/>
                <w:sz w:val="24"/>
              </w:rPr>
            </w:pPr>
            <w:r w:rsidRPr="000449D1">
              <w:rPr>
                <w:color w:val="0070C0"/>
                <w:sz w:val="24"/>
              </w:rPr>
              <w:t>TG 18.2</w:t>
            </w:r>
          </w:p>
        </w:tc>
      </w:tr>
      <w:tr w:rsidR="00C05700" w:rsidRPr="000449D1" w14:paraId="0949BCCC" w14:textId="4456977C" w:rsidTr="00C05700">
        <w:tc>
          <w:tcPr>
            <w:tcW w:w="2003" w:type="dxa"/>
          </w:tcPr>
          <w:p w14:paraId="6DFB973F" w14:textId="77777777" w:rsidR="00C05700" w:rsidRPr="000449D1" w:rsidRDefault="00C05700" w:rsidP="00670650">
            <w:pPr>
              <w:pStyle w:val="TableText"/>
              <w:keepNext/>
              <w:rPr>
                <w:szCs w:val="20"/>
              </w:rPr>
            </w:pPr>
            <w:r w:rsidRPr="000449D1">
              <w:rPr>
                <w:szCs w:val="20"/>
              </w:rPr>
              <w:t>Computational method</w:t>
            </w:r>
          </w:p>
        </w:tc>
        <w:tc>
          <w:tcPr>
            <w:tcW w:w="5789" w:type="dxa"/>
          </w:tcPr>
          <w:p w14:paraId="67E64DF6" w14:textId="33E3A61B"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cohort expected value, Markov, partitioned survival analysis, microsimulation, discrete event simulation]</w:t>
            </w:r>
          </w:p>
        </w:tc>
        <w:tc>
          <w:tcPr>
            <w:tcW w:w="1224" w:type="dxa"/>
          </w:tcPr>
          <w:p w14:paraId="48FE42B1" w14:textId="2D36083C" w:rsidR="00C05700" w:rsidRPr="000449D1" w:rsidRDefault="00F06673" w:rsidP="00670650">
            <w:pPr>
              <w:pStyle w:val="TableText"/>
              <w:keepNext/>
              <w:rPr>
                <w:color w:val="0070C0"/>
                <w:sz w:val="24"/>
              </w:rPr>
            </w:pPr>
            <w:r w:rsidRPr="000449D1">
              <w:rPr>
                <w:color w:val="0070C0"/>
                <w:sz w:val="24"/>
              </w:rPr>
              <w:t>TG 18.3</w:t>
            </w:r>
          </w:p>
        </w:tc>
      </w:tr>
      <w:tr w:rsidR="00C05700" w:rsidRPr="000449D1" w14:paraId="780AB6C6" w14:textId="5D51678D" w:rsidTr="00C05700">
        <w:tc>
          <w:tcPr>
            <w:tcW w:w="2003" w:type="dxa"/>
          </w:tcPr>
          <w:p w14:paraId="6CDC9D32" w14:textId="77777777" w:rsidR="00C05700" w:rsidRPr="000449D1" w:rsidRDefault="00C05700" w:rsidP="00670650">
            <w:pPr>
              <w:pStyle w:val="TableText"/>
              <w:keepNext/>
              <w:rPr>
                <w:szCs w:val="20"/>
              </w:rPr>
            </w:pPr>
            <w:r w:rsidRPr="000449D1">
              <w:rPr>
                <w:szCs w:val="20"/>
              </w:rPr>
              <w:t>Generation of the base case</w:t>
            </w:r>
          </w:p>
        </w:tc>
        <w:tc>
          <w:tcPr>
            <w:tcW w:w="5789" w:type="dxa"/>
          </w:tcPr>
          <w:p w14:paraId="157F3FC3" w14:textId="77777777" w:rsidR="001A7D8F"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trial based or modelled. </w:t>
            </w:r>
          </w:p>
          <w:p w14:paraId="6687851E" w14:textId="1FFD652A" w:rsidR="00C05700" w:rsidRPr="000449D1" w:rsidRDefault="001A7D8F" w:rsidP="00670650">
            <w:pPr>
              <w:pStyle w:val="TableText"/>
              <w:keepNext/>
              <w:rPr>
                <w:szCs w:val="20"/>
              </w:rPr>
            </w:pPr>
            <w:r w:rsidRPr="00B61C66">
              <w:rPr>
                <w:color w:val="258221"/>
                <w:szCs w:val="20"/>
              </w:rPr>
              <w:t>[</w:t>
            </w:r>
            <w:r w:rsidR="00C05700" w:rsidRPr="00B61C66">
              <w:rPr>
                <w:color w:val="258221"/>
                <w:szCs w:val="20"/>
              </w:rPr>
              <w:t>If modelled, summarise the steps undertaken in the economic analysis]</w:t>
            </w:r>
          </w:p>
        </w:tc>
        <w:tc>
          <w:tcPr>
            <w:tcW w:w="1224" w:type="dxa"/>
          </w:tcPr>
          <w:p w14:paraId="16FE719A" w14:textId="713081CB" w:rsidR="00C05700" w:rsidRPr="000449D1" w:rsidRDefault="0056628B" w:rsidP="00670650">
            <w:pPr>
              <w:pStyle w:val="TableText"/>
              <w:keepNext/>
              <w:rPr>
                <w:color w:val="0070C0"/>
                <w:sz w:val="24"/>
              </w:rPr>
            </w:pPr>
            <w:r w:rsidRPr="000449D1">
              <w:rPr>
                <w:color w:val="0070C0"/>
                <w:sz w:val="24"/>
              </w:rPr>
              <w:t>TG 17.6</w:t>
            </w:r>
          </w:p>
        </w:tc>
      </w:tr>
      <w:tr w:rsidR="00C05700" w:rsidRPr="000449D1" w14:paraId="03A3B794" w14:textId="3A58F192" w:rsidTr="00C05700">
        <w:tc>
          <w:tcPr>
            <w:tcW w:w="2003" w:type="dxa"/>
          </w:tcPr>
          <w:p w14:paraId="4E12B2D4" w14:textId="77777777" w:rsidR="00C05700" w:rsidRPr="000449D1" w:rsidRDefault="00C05700" w:rsidP="00670650">
            <w:pPr>
              <w:pStyle w:val="TableText"/>
              <w:keepNext/>
              <w:rPr>
                <w:szCs w:val="20"/>
              </w:rPr>
            </w:pPr>
            <w:r w:rsidRPr="000449D1">
              <w:rPr>
                <w:szCs w:val="20"/>
              </w:rPr>
              <w:t>Health states</w:t>
            </w:r>
          </w:p>
        </w:tc>
        <w:tc>
          <w:tcPr>
            <w:tcW w:w="5789" w:type="dxa"/>
          </w:tcPr>
          <w:p w14:paraId="3E63543F" w14:textId="27D98686" w:rsidR="00C05700" w:rsidRPr="000449D1" w:rsidRDefault="00C05700" w:rsidP="00670650">
            <w:pPr>
              <w:pStyle w:val="TableText"/>
              <w:keepNext/>
              <w:rPr>
                <w:szCs w:val="20"/>
              </w:rPr>
            </w:pPr>
            <w:r w:rsidRPr="00B61C66">
              <w:rPr>
                <w:color w:val="258221"/>
                <w:szCs w:val="20"/>
              </w:rPr>
              <w:t>[If a state transition model</w:t>
            </w:r>
            <w:r w:rsidR="001A7D8F" w:rsidRPr="00B61C66">
              <w:rPr>
                <w:color w:val="258221"/>
                <w:szCs w:val="20"/>
              </w:rPr>
              <w:t xml:space="preserve"> is used</w:t>
            </w:r>
            <w:r w:rsidRPr="00B61C66">
              <w:rPr>
                <w:color w:val="258221"/>
                <w:szCs w:val="20"/>
              </w:rPr>
              <w:t>, state the health states included. This could also include decision tree terminal states or events modelled in a discrete event simulation.]</w:t>
            </w:r>
          </w:p>
        </w:tc>
        <w:tc>
          <w:tcPr>
            <w:tcW w:w="1224" w:type="dxa"/>
          </w:tcPr>
          <w:p w14:paraId="0138329A" w14:textId="31941552" w:rsidR="00C05700" w:rsidRPr="000449D1" w:rsidRDefault="0056628B" w:rsidP="00670650">
            <w:pPr>
              <w:pStyle w:val="TableText"/>
              <w:keepNext/>
              <w:rPr>
                <w:color w:val="0070C0"/>
                <w:sz w:val="24"/>
              </w:rPr>
            </w:pPr>
            <w:r w:rsidRPr="000449D1">
              <w:rPr>
                <w:color w:val="0070C0"/>
                <w:sz w:val="24"/>
              </w:rPr>
              <w:t>TG 18</w:t>
            </w:r>
          </w:p>
        </w:tc>
      </w:tr>
      <w:tr w:rsidR="00C05700" w:rsidRPr="000449D1" w14:paraId="0212C695" w14:textId="63F9F923" w:rsidTr="00C05700">
        <w:tc>
          <w:tcPr>
            <w:tcW w:w="2003" w:type="dxa"/>
          </w:tcPr>
          <w:p w14:paraId="3AC64F34" w14:textId="77777777" w:rsidR="00C05700" w:rsidRPr="000449D1" w:rsidRDefault="00C05700" w:rsidP="00670650">
            <w:pPr>
              <w:pStyle w:val="TableText"/>
              <w:keepNext/>
              <w:rPr>
                <w:szCs w:val="20"/>
              </w:rPr>
            </w:pPr>
            <w:r w:rsidRPr="000449D1">
              <w:rPr>
                <w:szCs w:val="20"/>
              </w:rPr>
              <w:t>Cycle length</w:t>
            </w:r>
          </w:p>
        </w:tc>
        <w:tc>
          <w:tcPr>
            <w:tcW w:w="5789" w:type="dxa"/>
          </w:tcPr>
          <w:p w14:paraId="64D95EB2" w14:textId="655CEA35"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x days/weeks/months/years</w:t>
            </w:r>
            <w:r w:rsidR="0025440D">
              <w:rPr>
                <w:szCs w:val="20"/>
              </w:rPr>
              <w:t>]</w:t>
            </w:r>
          </w:p>
        </w:tc>
        <w:tc>
          <w:tcPr>
            <w:tcW w:w="1224" w:type="dxa"/>
          </w:tcPr>
          <w:p w14:paraId="07D7A097" w14:textId="6AC4AA77" w:rsidR="00C05700" w:rsidRPr="000449D1" w:rsidRDefault="00697966" w:rsidP="00670650">
            <w:pPr>
              <w:pStyle w:val="TableText"/>
              <w:keepNext/>
              <w:rPr>
                <w:color w:val="0070C0"/>
                <w:sz w:val="24"/>
              </w:rPr>
            </w:pPr>
            <w:r w:rsidRPr="000449D1">
              <w:rPr>
                <w:color w:val="0070C0"/>
                <w:sz w:val="24"/>
              </w:rPr>
              <w:t>TG 18.3</w:t>
            </w:r>
          </w:p>
        </w:tc>
      </w:tr>
      <w:tr w:rsidR="00C05700" w:rsidRPr="000449D1" w14:paraId="2976544F" w14:textId="76387CDF" w:rsidTr="00C05700">
        <w:tc>
          <w:tcPr>
            <w:tcW w:w="2003" w:type="dxa"/>
          </w:tcPr>
          <w:p w14:paraId="2558F588" w14:textId="77777777" w:rsidR="00C05700" w:rsidRPr="000449D1" w:rsidRDefault="00C05700" w:rsidP="00670650">
            <w:pPr>
              <w:pStyle w:val="TableText"/>
              <w:keepNext/>
              <w:rPr>
                <w:szCs w:val="20"/>
              </w:rPr>
            </w:pPr>
            <w:r w:rsidRPr="000449D1">
              <w:rPr>
                <w:szCs w:val="20"/>
              </w:rPr>
              <w:t>Transition probabilities</w:t>
            </w:r>
          </w:p>
        </w:tc>
        <w:tc>
          <w:tcPr>
            <w:tcW w:w="5789" w:type="dxa"/>
          </w:tcPr>
          <w:p w14:paraId="60D02D1C" w14:textId="4E44582F" w:rsidR="00C05700" w:rsidRPr="00B61C66" w:rsidRDefault="00C05700" w:rsidP="00670650">
            <w:pPr>
              <w:pStyle w:val="TableText"/>
              <w:keepNext/>
              <w:rPr>
                <w:color w:val="258221"/>
                <w:szCs w:val="20"/>
              </w:rPr>
            </w:pPr>
            <w:r w:rsidRPr="00B61C66">
              <w:rPr>
                <w:color w:val="258221"/>
                <w:szCs w:val="20"/>
              </w:rPr>
              <w:t>[</w:t>
            </w:r>
            <w:r w:rsidR="00587639" w:rsidRPr="00B61C66">
              <w:rPr>
                <w:color w:val="258221"/>
                <w:szCs w:val="20"/>
              </w:rPr>
              <w:t>W</w:t>
            </w:r>
            <w:r w:rsidRPr="00B61C66">
              <w:rPr>
                <w:color w:val="258221"/>
                <w:szCs w:val="20"/>
              </w:rPr>
              <w:t xml:space="preserve">here different </w:t>
            </w:r>
            <w:r w:rsidR="00587639" w:rsidRPr="00B61C66">
              <w:rPr>
                <w:color w:val="258221"/>
                <w:szCs w:val="20"/>
              </w:rPr>
              <w:t xml:space="preserve">data </w:t>
            </w:r>
            <w:r w:rsidRPr="00B61C66">
              <w:rPr>
                <w:color w:val="258221"/>
                <w:szCs w:val="20"/>
              </w:rPr>
              <w:t>sources are used to inform different transition probabilities, e</w:t>
            </w:r>
            <w:r w:rsidR="00587639" w:rsidRPr="00B61C66">
              <w:rPr>
                <w:color w:val="258221"/>
                <w:szCs w:val="20"/>
              </w:rPr>
              <w:t>.</w:t>
            </w:r>
            <w:r w:rsidRPr="00B61C66">
              <w:rPr>
                <w:color w:val="258221"/>
                <w:szCs w:val="20"/>
              </w:rPr>
              <w:t>g</w:t>
            </w:r>
            <w:r w:rsidR="00587639" w:rsidRPr="00B61C66">
              <w:rPr>
                <w:color w:val="258221"/>
                <w:szCs w:val="20"/>
              </w:rPr>
              <w:t>.</w:t>
            </w:r>
            <w:r w:rsidRPr="00B61C66">
              <w:rPr>
                <w:color w:val="258221"/>
                <w:szCs w:val="20"/>
              </w:rPr>
              <w:t xml:space="preserve"> baseline event rate, treatment effect, secondary transition probabilities, </w:t>
            </w:r>
            <w:r w:rsidR="00587639" w:rsidRPr="00B61C66">
              <w:rPr>
                <w:color w:val="258221"/>
                <w:szCs w:val="20"/>
              </w:rPr>
              <w:t>describe</w:t>
            </w:r>
            <w:r w:rsidRPr="00B61C66">
              <w:rPr>
                <w:color w:val="258221"/>
                <w:szCs w:val="20"/>
              </w:rPr>
              <w:t xml:space="preserve"> the source(s) of each key model input. </w:t>
            </w:r>
          </w:p>
          <w:p w14:paraId="2D5F7FB0" w14:textId="77777777" w:rsidR="00C05700" w:rsidRPr="00B61C66" w:rsidRDefault="00C05700" w:rsidP="00670650">
            <w:pPr>
              <w:pStyle w:val="TableText"/>
              <w:keepNext/>
              <w:rPr>
                <w:color w:val="258221"/>
                <w:szCs w:val="20"/>
              </w:rPr>
            </w:pPr>
            <w:r w:rsidRPr="00B61C66">
              <w:rPr>
                <w:color w:val="258221"/>
                <w:szCs w:val="20"/>
              </w:rPr>
              <w:t xml:space="preserve">For investigative technologies, the sources of data used to inform additionally relevant inputs, such as prevalence, accuracy and change in management, should also be summarised. </w:t>
            </w:r>
          </w:p>
          <w:p w14:paraId="43B247B9" w14:textId="0085F1F0" w:rsidR="00C05700" w:rsidRPr="000449D1" w:rsidRDefault="00C05700" w:rsidP="00670650">
            <w:pPr>
              <w:pStyle w:val="TableText"/>
              <w:keepNext/>
              <w:rPr>
                <w:szCs w:val="20"/>
              </w:rPr>
            </w:pPr>
            <w:r w:rsidRPr="00B61C66">
              <w:rPr>
                <w:color w:val="258221"/>
                <w:szCs w:val="20"/>
              </w:rPr>
              <w:t>Indicate if the data required translation for use in the economic analysis</w:t>
            </w:r>
            <w:r w:rsidR="0025440D">
              <w:rPr>
                <w:color w:val="258221"/>
                <w:szCs w:val="20"/>
              </w:rPr>
              <w:t>.</w:t>
            </w:r>
            <w:r w:rsidRPr="00B61C66">
              <w:rPr>
                <w:color w:val="258221"/>
                <w:szCs w:val="20"/>
              </w:rPr>
              <w:t>]</w:t>
            </w:r>
          </w:p>
        </w:tc>
        <w:tc>
          <w:tcPr>
            <w:tcW w:w="1224" w:type="dxa"/>
          </w:tcPr>
          <w:p w14:paraId="701B63CE" w14:textId="7A88D94A" w:rsidR="00C05700" w:rsidRPr="000449D1" w:rsidRDefault="0056628B" w:rsidP="00670650">
            <w:pPr>
              <w:pStyle w:val="TableText"/>
              <w:keepNext/>
              <w:rPr>
                <w:color w:val="0070C0"/>
                <w:sz w:val="24"/>
              </w:rPr>
            </w:pPr>
            <w:r w:rsidRPr="000449D1">
              <w:rPr>
                <w:color w:val="0070C0"/>
                <w:sz w:val="24"/>
              </w:rPr>
              <w:t>TG 20</w:t>
            </w:r>
          </w:p>
        </w:tc>
      </w:tr>
      <w:tr w:rsidR="00C05700" w:rsidRPr="000449D1" w14:paraId="0619B77B" w14:textId="65D0CC25" w:rsidTr="00C05700">
        <w:tc>
          <w:tcPr>
            <w:tcW w:w="2003" w:type="dxa"/>
          </w:tcPr>
          <w:p w14:paraId="3B8D14D8" w14:textId="77777777" w:rsidR="00C05700" w:rsidRPr="000449D1" w:rsidRDefault="00C05700" w:rsidP="00670650">
            <w:pPr>
              <w:pStyle w:val="TableText"/>
              <w:keepNext/>
              <w:rPr>
                <w:szCs w:val="20"/>
              </w:rPr>
            </w:pPr>
            <w:r w:rsidRPr="000449D1">
              <w:rPr>
                <w:szCs w:val="20"/>
              </w:rPr>
              <w:t>Discount rate</w:t>
            </w:r>
          </w:p>
        </w:tc>
        <w:tc>
          <w:tcPr>
            <w:tcW w:w="5789" w:type="dxa"/>
          </w:tcPr>
          <w:p w14:paraId="2E657A83" w14:textId="0131FEF3"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5% for both costs and outcomes]</w:t>
            </w:r>
          </w:p>
        </w:tc>
        <w:tc>
          <w:tcPr>
            <w:tcW w:w="1224" w:type="dxa"/>
          </w:tcPr>
          <w:p w14:paraId="1634A074" w14:textId="2E7804CF" w:rsidR="00C05700" w:rsidRPr="000449D1" w:rsidRDefault="0056628B" w:rsidP="00670650">
            <w:pPr>
              <w:pStyle w:val="TableText"/>
              <w:keepNext/>
              <w:rPr>
                <w:color w:val="0070C0"/>
                <w:sz w:val="24"/>
              </w:rPr>
            </w:pPr>
            <w:r w:rsidRPr="000449D1">
              <w:rPr>
                <w:color w:val="0070C0"/>
                <w:sz w:val="24"/>
              </w:rPr>
              <w:t>TG 17.4</w:t>
            </w:r>
          </w:p>
        </w:tc>
      </w:tr>
      <w:tr w:rsidR="00C05700" w:rsidRPr="000449D1" w14:paraId="507E6356" w14:textId="7BFC4306" w:rsidTr="00C05700">
        <w:tc>
          <w:tcPr>
            <w:tcW w:w="2003" w:type="dxa"/>
          </w:tcPr>
          <w:p w14:paraId="23A08C87" w14:textId="77777777" w:rsidR="00C05700" w:rsidRPr="000449D1" w:rsidRDefault="00C05700" w:rsidP="00670650">
            <w:pPr>
              <w:pStyle w:val="TableText"/>
              <w:keepNext/>
              <w:rPr>
                <w:szCs w:val="20"/>
              </w:rPr>
            </w:pPr>
            <w:r w:rsidRPr="000449D1">
              <w:rPr>
                <w:szCs w:val="20"/>
              </w:rPr>
              <w:t>Software</w:t>
            </w:r>
          </w:p>
        </w:tc>
        <w:tc>
          <w:tcPr>
            <w:tcW w:w="5789" w:type="dxa"/>
          </w:tcPr>
          <w:p w14:paraId="613BDC46" w14:textId="6572592D"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Excel, @RISK, TreeAge Pro]</w:t>
            </w:r>
          </w:p>
        </w:tc>
        <w:tc>
          <w:tcPr>
            <w:tcW w:w="1224" w:type="dxa"/>
          </w:tcPr>
          <w:p w14:paraId="17A448EC" w14:textId="1F66510E" w:rsidR="00C05700" w:rsidRPr="000449D1" w:rsidRDefault="0056628B" w:rsidP="00670650">
            <w:pPr>
              <w:pStyle w:val="TableText"/>
              <w:keepNext/>
              <w:rPr>
                <w:color w:val="0070C0"/>
                <w:sz w:val="24"/>
              </w:rPr>
            </w:pPr>
            <w:r w:rsidRPr="000449D1">
              <w:rPr>
                <w:color w:val="0070C0"/>
                <w:sz w:val="24"/>
              </w:rPr>
              <w:t>TG 18.3</w:t>
            </w:r>
          </w:p>
        </w:tc>
      </w:tr>
    </w:tbl>
    <w:p w14:paraId="4B4236AC" w14:textId="006FD9FA" w:rsidR="00587639" w:rsidRDefault="00587639" w:rsidP="00587639">
      <w:pPr>
        <w:pStyle w:val="TableFigureFooter"/>
      </w:pPr>
      <w:bookmarkStart w:id="43" w:name="_Hlk68276459"/>
      <w:bookmarkEnd w:id="42"/>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43"/>
    <w:p w14:paraId="0B17DB01" w14:textId="1ADDD507" w:rsidR="002517A5" w:rsidRPr="003251C2" w:rsidRDefault="001D74A7" w:rsidP="00587639">
      <w:pPr>
        <w:pStyle w:val="Instructionaltext-afterfiguretable"/>
      </w:pPr>
      <w:r w:rsidRPr="001D74A7">
        <w:t xml:space="preserve">[Instructional text] </w:t>
      </w:r>
      <w:r w:rsidR="002517A5" w:rsidRPr="003251C2">
        <w:t>A commentary for an ADAR may present a</w:t>
      </w:r>
      <w:r w:rsidR="00D428B9" w:rsidRPr="003251C2">
        <w:t>n alternative</w:t>
      </w:r>
      <w:r w:rsidR="002517A5" w:rsidRPr="003251C2">
        <w:t xml:space="preserve"> base-case analysis alongside the ADAR base-case analysis. </w:t>
      </w:r>
      <w:r w:rsidR="00D428B9" w:rsidRPr="003251C2">
        <w:t>Explain why an alternative base-case is recommended in the commentary.</w:t>
      </w:r>
      <w:r w:rsidRPr="001D74A7">
        <w:t xml:space="preserve"> [End instructional text]</w:t>
      </w:r>
    </w:p>
    <w:p w14:paraId="0926A528" w14:textId="5DEDAC3A" w:rsidR="00C83D84" w:rsidRPr="000D1B52" w:rsidRDefault="003F7196" w:rsidP="00587639">
      <w:pPr>
        <w:pStyle w:val="Guidelinescross-ref"/>
        <w:keepNext/>
      </w:pPr>
      <w:r w:rsidRPr="003F7196">
        <w:t xml:space="preserve">Refer to: </w:t>
      </w:r>
      <w:r w:rsidR="00C83D84" w:rsidRPr="000D1B52">
        <w:t>MSAC Guidelines TG 24</w:t>
      </w:r>
      <w:r w:rsidR="00587639">
        <w:t xml:space="preserve"> (</w:t>
      </w:r>
      <w:r w:rsidR="00587639" w:rsidRPr="00587639">
        <w:t>Results of the base-case economic evaluation</w:t>
      </w:r>
      <w:r w:rsidR="00587639">
        <w:t>)</w:t>
      </w:r>
    </w:p>
    <w:p w14:paraId="779A4EB2" w14:textId="7B4E6401" w:rsidR="00FC5603" w:rsidRPr="003251C2" w:rsidRDefault="001D74A7" w:rsidP="00E76AE0">
      <w:pPr>
        <w:pStyle w:val="Instructionaltext"/>
      </w:pPr>
      <w:r w:rsidRPr="001D74A7">
        <w:t xml:space="preserve">[Instructional text] </w:t>
      </w:r>
      <w:r w:rsidR="002F32FB" w:rsidRPr="003251C2">
        <w:t>If possible, p</w:t>
      </w:r>
      <w:r w:rsidR="00FC5603" w:rsidRPr="003251C2">
        <w:t>resent a stepped economic analysis for the base</w:t>
      </w:r>
      <w:r w:rsidR="00587639">
        <w:t>-</w:t>
      </w:r>
      <w:r w:rsidR="00FC5603" w:rsidRPr="003251C2">
        <w:t>case results of the economic evaluation</w:t>
      </w:r>
      <w:r w:rsidR="00587639">
        <w:t xml:space="preserve"> (see </w:t>
      </w:r>
      <w:r w:rsidR="004A4FDF">
        <w:fldChar w:fldCharType="begin"/>
      </w:r>
      <w:r w:rsidR="004A4FDF">
        <w:instrText xml:space="preserve"> REF _Ref69725870 \h </w:instrText>
      </w:r>
      <w:r w:rsidR="004A4FDF">
        <w:fldChar w:fldCharType="separate"/>
      </w:r>
      <w:r w:rsidR="004A4FDF" w:rsidRPr="00CE28E3">
        <w:t>Table</w:t>
      </w:r>
      <w:r w:rsidR="004A4FDF">
        <w:t> </w:t>
      </w:r>
      <w:r w:rsidR="004A4FDF">
        <w:rPr>
          <w:noProof/>
        </w:rPr>
        <w:t>6</w:t>
      </w:r>
      <w:r w:rsidR="004A4FDF">
        <w:fldChar w:fldCharType="end"/>
      </w:r>
      <w:r w:rsidR="004A4FDF">
        <w:t xml:space="preserve"> and </w:t>
      </w:r>
      <w:r w:rsidR="004A4FDF">
        <w:fldChar w:fldCharType="begin"/>
      </w:r>
      <w:r w:rsidR="004A4FDF">
        <w:instrText xml:space="preserve"> REF _Ref69725876 \h </w:instrText>
      </w:r>
      <w:r w:rsidR="004A4FDF">
        <w:fldChar w:fldCharType="separate"/>
      </w:r>
      <w:r w:rsidR="004A4FDF" w:rsidRPr="00CE28E3">
        <w:t>Table</w:t>
      </w:r>
      <w:r w:rsidR="004A4FDF">
        <w:t> </w:t>
      </w:r>
      <w:r w:rsidR="004A4FDF">
        <w:rPr>
          <w:noProof/>
        </w:rPr>
        <w:t>7</w:t>
      </w:r>
      <w:r w:rsidR="004A4FDF">
        <w:fldChar w:fldCharType="end"/>
      </w:r>
      <w:r w:rsidR="00587639">
        <w:t>)</w:t>
      </w:r>
      <w:r w:rsidR="00FC5603" w:rsidRPr="003251C2">
        <w:t>.</w:t>
      </w:r>
      <w:r w:rsidRPr="001D74A7">
        <w:t xml:space="preserve"> [End instructional text]</w:t>
      </w:r>
    </w:p>
    <w:p w14:paraId="3650A475" w14:textId="1DEC58F2" w:rsidR="00FC5603" w:rsidRPr="00CE28E3" w:rsidRDefault="00FC5603" w:rsidP="00FC5603">
      <w:pPr>
        <w:pStyle w:val="Caption"/>
      </w:pPr>
      <w:bookmarkStart w:id="44" w:name="_Ref6972587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6</w:t>
      </w:r>
      <w:r w:rsidRPr="00CE28E3">
        <w:rPr>
          <w:noProof/>
        </w:rPr>
        <w:fldChar w:fldCharType="end"/>
      </w:r>
      <w:bookmarkEnd w:id="44"/>
      <w:r w:rsidRPr="00CE28E3">
        <w:t xml:space="preserve"> </w:t>
      </w:r>
      <w:r w:rsidRPr="00CE28E3">
        <w:tab/>
        <w:t xml:space="preserve">Results of the stepped economic analysis </w:t>
      </w:r>
      <w:r w:rsidRPr="001D74A7">
        <w:rPr>
          <w:color w:val="258221"/>
        </w:rPr>
        <w:t>(therapeutic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74226" w:rsidRPr="00CE28E3" w14:paraId="74A67C2B"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9924570" w14:textId="4A3FE106" w:rsidR="00A74226" w:rsidRPr="00CE28E3" w:rsidRDefault="00A74226" w:rsidP="005D2304">
            <w:pPr>
              <w:pStyle w:val="TableHeading"/>
            </w:pPr>
            <w:bookmarkStart w:id="45" w:name="Title_Table6"/>
            <w:bookmarkStart w:id="46" w:name="_Hlk68276518"/>
            <w:bookmarkEnd w:id="45"/>
            <w:r>
              <w:t>Step</w:t>
            </w:r>
          </w:p>
        </w:tc>
        <w:tc>
          <w:tcPr>
            <w:tcW w:w="734" w:type="pct"/>
            <w:noWrap/>
            <w:hideMark/>
          </w:tcPr>
          <w:p w14:paraId="2B7EDBFD" w14:textId="3D2D41FF" w:rsidR="00A74226" w:rsidRPr="00CE28E3" w:rsidRDefault="00A74226" w:rsidP="005D2304">
            <w:pPr>
              <w:pStyle w:val="TableHeading"/>
              <w:jc w:val="center"/>
            </w:pPr>
            <w:r>
              <w:t>[*</w:t>
            </w:r>
            <w:r w:rsidRPr="009E23EC">
              <w:t>Proposed health technology</w:t>
            </w:r>
            <w:r>
              <w:t>]</w:t>
            </w:r>
          </w:p>
        </w:tc>
        <w:tc>
          <w:tcPr>
            <w:tcW w:w="734" w:type="pct"/>
            <w:noWrap/>
            <w:hideMark/>
          </w:tcPr>
          <w:p w14:paraId="3CCA4DE1" w14:textId="76035DB0" w:rsidR="00A74226" w:rsidRPr="00CE28E3" w:rsidRDefault="00A74226" w:rsidP="005D2304">
            <w:pPr>
              <w:pStyle w:val="TableHeading"/>
              <w:jc w:val="center"/>
            </w:pPr>
            <w:r>
              <w:t>[*</w:t>
            </w:r>
            <w:r w:rsidRPr="009E23EC">
              <w:t>Main comparator</w:t>
            </w:r>
            <w:r>
              <w:t>]</w:t>
            </w:r>
          </w:p>
        </w:tc>
        <w:tc>
          <w:tcPr>
            <w:tcW w:w="734" w:type="pct"/>
            <w:noWrap/>
            <w:hideMark/>
          </w:tcPr>
          <w:p w14:paraId="381A89D4" w14:textId="77777777" w:rsidR="00A74226" w:rsidRPr="00CE28E3" w:rsidRDefault="00A74226" w:rsidP="005D2304">
            <w:pPr>
              <w:pStyle w:val="TableHeading"/>
              <w:jc w:val="center"/>
            </w:pPr>
            <w:r w:rsidRPr="009E23EC">
              <w:t>Increment</w:t>
            </w:r>
          </w:p>
        </w:tc>
        <w:tc>
          <w:tcPr>
            <w:tcW w:w="835" w:type="pct"/>
          </w:tcPr>
          <w:p w14:paraId="6D2662BA" w14:textId="77777777" w:rsidR="00A74226" w:rsidRPr="00CE28E3" w:rsidRDefault="00A74226" w:rsidP="005D2304">
            <w:pPr>
              <w:pStyle w:val="TableHeading"/>
              <w:jc w:val="center"/>
            </w:pPr>
            <w:r w:rsidRPr="00CE28E3">
              <w:t>ICER</w:t>
            </w:r>
          </w:p>
        </w:tc>
      </w:tr>
      <w:tr w:rsidR="00A74226" w:rsidRPr="00CE28E3" w14:paraId="55FB73C8" w14:textId="77777777" w:rsidTr="005D2304">
        <w:trPr>
          <w:cantSplit/>
          <w:trHeight w:val="300"/>
        </w:trPr>
        <w:tc>
          <w:tcPr>
            <w:tcW w:w="5000" w:type="pct"/>
            <w:gridSpan w:val="5"/>
            <w:tcBorders>
              <w:bottom w:val="single" w:sz="4" w:space="0" w:color="auto"/>
            </w:tcBorders>
            <w:noWrap/>
            <w:hideMark/>
          </w:tcPr>
          <w:p w14:paraId="31F66E8A" w14:textId="08802EBE" w:rsidR="00A74226" w:rsidRPr="00CE28E3" w:rsidRDefault="00A74226" w:rsidP="005D2304">
            <w:pPr>
              <w:pStyle w:val="Tabletext0"/>
              <w:jc w:val="left"/>
            </w:pPr>
            <w:r w:rsidRPr="00CE28E3">
              <w:t xml:space="preserve">Step 1 – Comparative study data (as presented in Section 2); Setting: </w:t>
            </w:r>
            <w:r>
              <w:t>[*</w:t>
            </w:r>
            <w:r w:rsidRPr="00CE28E3">
              <w:t>trial setting</w:t>
            </w:r>
            <w:r>
              <w:t>]</w:t>
            </w:r>
            <w:r w:rsidRPr="00CE28E3">
              <w:t>; Time horizon: </w:t>
            </w:r>
            <w:r>
              <w:t>[*</w:t>
            </w:r>
            <w:r w:rsidRPr="00CE28E3">
              <w:t>trial follow-up</w:t>
            </w:r>
            <w:r>
              <w:t>]</w:t>
            </w:r>
          </w:p>
        </w:tc>
      </w:tr>
      <w:tr w:rsidR="00A74226" w:rsidRPr="00CE28E3" w14:paraId="6313908E" w14:textId="77777777" w:rsidTr="005D2304">
        <w:trPr>
          <w:cantSplit/>
          <w:trHeight w:val="300"/>
        </w:trPr>
        <w:tc>
          <w:tcPr>
            <w:tcW w:w="1963" w:type="pct"/>
            <w:tcBorders>
              <w:bottom w:val="nil"/>
            </w:tcBorders>
            <w:noWrap/>
          </w:tcPr>
          <w:p w14:paraId="2A959CB8" w14:textId="77777777" w:rsidR="00A74226" w:rsidRPr="00CE28E3" w:rsidRDefault="00A74226" w:rsidP="005D2304">
            <w:pPr>
              <w:pStyle w:val="Tabletext0"/>
            </w:pPr>
            <w:r>
              <w:lastRenderedPageBreak/>
              <w:t>Costs</w:t>
            </w:r>
          </w:p>
        </w:tc>
        <w:tc>
          <w:tcPr>
            <w:tcW w:w="734" w:type="pct"/>
            <w:tcBorders>
              <w:bottom w:val="nil"/>
            </w:tcBorders>
            <w:noWrap/>
          </w:tcPr>
          <w:p w14:paraId="48AA093F" w14:textId="77777777" w:rsidR="00A74226" w:rsidRPr="00CE28E3" w:rsidRDefault="00A74226" w:rsidP="005D2304">
            <w:pPr>
              <w:pStyle w:val="Tabletext0"/>
              <w:jc w:val="right"/>
            </w:pPr>
            <w:r>
              <w:t>$</w:t>
            </w:r>
            <w:r w:rsidRPr="00447AE9">
              <w:t>[A]</w:t>
            </w:r>
          </w:p>
        </w:tc>
        <w:tc>
          <w:tcPr>
            <w:tcW w:w="734" w:type="pct"/>
            <w:tcBorders>
              <w:bottom w:val="nil"/>
            </w:tcBorders>
            <w:noWrap/>
          </w:tcPr>
          <w:p w14:paraId="3E319DE3" w14:textId="77777777" w:rsidR="00A74226" w:rsidRPr="00CE28E3" w:rsidRDefault="00A74226" w:rsidP="005D2304">
            <w:pPr>
              <w:pStyle w:val="Tabletext0"/>
              <w:jc w:val="right"/>
            </w:pPr>
            <w:r>
              <w:t>$[B]</w:t>
            </w:r>
          </w:p>
        </w:tc>
        <w:tc>
          <w:tcPr>
            <w:tcW w:w="734" w:type="pct"/>
            <w:tcBorders>
              <w:bottom w:val="nil"/>
            </w:tcBorders>
            <w:noWrap/>
          </w:tcPr>
          <w:p w14:paraId="1082EBCE" w14:textId="77777777" w:rsidR="00A74226" w:rsidRPr="00CE28E3" w:rsidRDefault="00A74226" w:rsidP="005D2304">
            <w:pPr>
              <w:pStyle w:val="Tabletext0"/>
              <w:jc w:val="right"/>
            </w:pPr>
            <w:r>
              <w:t>$</w:t>
            </w:r>
            <w:r w:rsidRPr="00447AE9">
              <w:t>[A – B]</w:t>
            </w:r>
          </w:p>
        </w:tc>
        <w:tc>
          <w:tcPr>
            <w:tcW w:w="835" w:type="pct"/>
            <w:tcBorders>
              <w:bottom w:val="nil"/>
            </w:tcBorders>
          </w:tcPr>
          <w:p w14:paraId="099CE540" w14:textId="77777777" w:rsidR="00A74226" w:rsidRPr="00CE28E3" w:rsidRDefault="00A74226" w:rsidP="005D2304">
            <w:pPr>
              <w:pStyle w:val="Tabletext0"/>
              <w:jc w:val="right"/>
            </w:pPr>
          </w:p>
        </w:tc>
      </w:tr>
      <w:tr w:rsidR="00A74226" w:rsidRPr="00CE28E3" w14:paraId="74A5D67F" w14:textId="77777777" w:rsidTr="005D2304">
        <w:trPr>
          <w:cantSplit/>
          <w:trHeight w:val="300"/>
        </w:trPr>
        <w:tc>
          <w:tcPr>
            <w:tcW w:w="1963" w:type="pct"/>
            <w:tcBorders>
              <w:top w:val="nil"/>
            </w:tcBorders>
            <w:noWrap/>
          </w:tcPr>
          <w:p w14:paraId="009D7C4B" w14:textId="77777777" w:rsidR="00A74226" w:rsidRDefault="00A74226" w:rsidP="005D2304">
            <w:pPr>
              <w:pStyle w:val="Tabletext0"/>
            </w:pPr>
            <w:r>
              <w:t>Outcome 1 (surrogate outcome)</w:t>
            </w:r>
          </w:p>
        </w:tc>
        <w:tc>
          <w:tcPr>
            <w:tcW w:w="734" w:type="pct"/>
            <w:tcBorders>
              <w:top w:val="nil"/>
            </w:tcBorders>
            <w:noWrap/>
          </w:tcPr>
          <w:p w14:paraId="34B60185" w14:textId="77777777" w:rsidR="00A74226" w:rsidRPr="00CE28E3" w:rsidRDefault="00A74226" w:rsidP="005D2304">
            <w:pPr>
              <w:pStyle w:val="Tabletext0"/>
              <w:jc w:val="right"/>
            </w:pPr>
            <w:r>
              <w:t>[C]</w:t>
            </w:r>
          </w:p>
        </w:tc>
        <w:tc>
          <w:tcPr>
            <w:tcW w:w="734" w:type="pct"/>
            <w:tcBorders>
              <w:top w:val="nil"/>
            </w:tcBorders>
            <w:noWrap/>
          </w:tcPr>
          <w:p w14:paraId="45650E9A" w14:textId="77777777" w:rsidR="00A74226" w:rsidRPr="00CE28E3" w:rsidRDefault="00A74226" w:rsidP="005D2304">
            <w:pPr>
              <w:pStyle w:val="Tabletext0"/>
              <w:jc w:val="right"/>
            </w:pPr>
            <w:r>
              <w:t>[D]</w:t>
            </w:r>
          </w:p>
        </w:tc>
        <w:tc>
          <w:tcPr>
            <w:tcW w:w="734" w:type="pct"/>
            <w:tcBorders>
              <w:top w:val="nil"/>
            </w:tcBorders>
            <w:noWrap/>
          </w:tcPr>
          <w:p w14:paraId="50EE13A2" w14:textId="77777777" w:rsidR="00A74226" w:rsidRPr="00CE28E3" w:rsidRDefault="00A74226" w:rsidP="005D2304">
            <w:pPr>
              <w:pStyle w:val="Tabletext0"/>
              <w:jc w:val="right"/>
            </w:pPr>
            <w:r>
              <w:t>[C – D]</w:t>
            </w:r>
          </w:p>
        </w:tc>
        <w:tc>
          <w:tcPr>
            <w:tcW w:w="835" w:type="pct"/>
            <w:tcBorders>
              <w:top w:val="nil"/>
            </w:tcBorders>
          </w:tcPr>
          <w:p w14:paraId="5873FC60" w14:textId="77777777" w:rsidR="00A74226" w:rsidRPr="00CE28E3" w:rsidRDefault="00A74226" w:rsidP="005D2304">
            <w:pPr>
              <w:pStyle w:val="Tabletext0"/>
              <w:jc w:val="right"/>
            </w:pPr>
            <w:r>
              <w:t>$[</w:t>
            </w:r>
            <w:r w:rsidRPr="00446340">
              <w:t>A – B</w:t>
            </w:r>
            <w:r>
              <w:t>]/[C – D]</w:t>
            </w:r>
          </w:p>
        </w:tc>
      </w:tr>
      <w:tr w:rsidR="00A74226" w:rsidRPr="00CE28E3" w14:paraId="67535B96" w14:textId="77777777" w:rsidTr="005D2304">
        <w:trPr>
          <w:cantSplit/>
          <w:trHeight w:val="300"/>
        </w:trPr>
        <w:tc>
          <w:tcPr>
            <w:tcW w:w="5000" w:type="pct"/>
            <w:gridSpan w:val="5"/>
            <w:tcBorders>
              <w:bottom w:val="single" w:sz="4" w:space="0" w:color="auto"/>
            </w:tcBorders>
            <w:noWrap/>
            <w:hideMark/>
          </w:tcPr>
          <w:p w14:paraId="1922CE5C" w14:textId="77777777" w:rsidR="00A74226" w:rsidRPr="00CE28E3" w:rsidRDefault="00A74226" w:rsidP="005D2304">
            <w:pPr>
              <w:pStyle w:val="Tabletext0"/>
              <w:jc w:val="left"/>
            </w:pPr>
            <w:r w:rsidRPr="00CE28E3">
              <w:t xml:space="preserve">Step </w:t>
            </w:r>
            <w:r>
              <w:t>2</w:t>
            </w:r>
            <w:r w:rsidRPr="00CE28E3">
              <w:t xml:space="preserve"> – </w:t>
            </w:r>
            <w:r w:rsidRPr="003B4766">
              <w:t>Study evidence transformed from surrogate</w:t>
            </w:r>
            <w:r>
              <w:t xml:space="preserve"> to clinical outcome</w:t>
            </w:r>
          </w:p>
        </w:tc>
      </w:tr>
      <w:tr w:rsidR="00A74226" w:rsidRPr="00CE28E3" w14:paraId="153612A0" w14:textId="77777777" w:rsidTr="005D2304">
        <w:trPr>
          <w:cantSplit/>
          <w:trHeight w:val="300"/>
        </w:trPr>
        <w:tc>
          <w:tcPr>
            <w:tcW w:w="1963" w:type="pct"/>
            <w:tcBorders>
              <w:bottom w:val="nil"/>
            </w:tcBorders>
            <w:noWrap/>
          </w:tcPr>
          <w:p w14:paraId="03ED843B" w14:textId="77777777" w:rsidR="00A74226" w:rsidRPr="00CE28E3" w:rsidRDefault="00A74226" w:rsidP="005D2304">
            <w:pPr>
              <w:pStyle w:val="Tabletext0"/>
            </w:pPr>
            <w:r>
              <w:t>Costs</w:t>
            </w:r>
          </w:p>
        </w:tc>
        <w:tc>
          <w:tcPr>
            <w:tcW w:w="734" w:type="pct"/>
            <w:tcBorders>
              <w:bottom w:val="nil"/>
            </w:tcBorders>
            <w:noWrap/>
          </w:tcPr>
          <w:p w14:paraId="49F66CC7" w14:textId="774F1879" w:rsidR="00A74226" w:rsidRPr="00CE28E3" w:rsidRDefault="00A74226" w:rsidP="005D2304">
            <w:pPr>
              <w:pStyle w:val="Tabletext0"/>
              <w:jc w:val="right"/>
            </w:pPr>
            <w:r>
              <w:t>$[A]</w:t>
            </w:r>
          </w:p>
        </w:tc>
        <w:tc>
          <w:tcPr>
            <w:tcW w:w="734" w:type="pct"/>
            <w:tcBorders>
              <w:bottom w:val="nil"/>
            </w:tcBorders>
            <w:noWrap/>
          </w:tcPr>
          <w:p w14:paraId="0DB7E19E" w14:textId="306ADBE2" w:rsidR="00A74226" w:rsidRPr="00CE28E3" w:rsidRDefault="00A74226" w:rsidP="005D2304">
            <w:pPr>
              <w:pStyle w:val="Tabletext0"/>
              <w:jc w:val="right"/>
            </w:pPr>
            <w:r>
              <w:t>$[B]</w:t>
            </w:r>
          </w:p>
        </w:tc>
        <w:tc>
          <w:tcPr>
            <w:tcW w:w="734" w:type="pct"/>
            <w:tcBorders>
              <w:bottom w:val="nil"/>
            </w:tcBorders>
            <w:noWrap/>
          </w:tcPr>
          <w:p w14:paraId="62571D46" w14:textId="0E8245BF" w:rsidR="00A74226" w:rsidRPr="00CE28E3" w:rsidRDefault="00A74226" w:rsidP="005D2304">
            <w:pPr>
              <w:pStyle w:val="Tabletext0"/>
              <w:jc w:val="right"/>
            </w:pPr>
            <w:r>
              <w:t>$</w:t>
            </w:r>
            <w:r w:rsidRPr="00447AE9">
              <w:t>[A – B]</w:t>
            </w:r>
          </w:p>
        </w:tc>
        <w:tc>
          <w:tcPr>
            <w:tcW w:w="835" w:type="pct"/>
            <w:tcBorders>
              <w:bottom w:val="nil"/>
            </w:tcBorders>
          </w:tcPr>
          <w:p w14:paraId="430AED15" w14:textId="77777777" w:rsidR="00A74226" w:rsidRPr="00CE28E3" w:rsidRDefault="00A74226" w:rsidP="005D2304">
            <w:pPr>
              <w:pStyle w:val="Tabletext0"/>
              <w:jc w:val="right"/>
            </w:pPr>
          </w:p>
        </w:tc>
      </w:tr>
      <w:tr w:rsidR="00A74226" w:rsidRPr="00CE28E3" w14:paraId="648F33B2" w14:textId="77777777" w:rsidTr="005D2304">
        <w:trPr>
          <w:cantSplit/>
          <w:trHeight w:val="300"/>
        </w:trPr>
        <w:tc>
          <w:tcPr>
            <w:tcW w:w="1963" w:type="pct"/>
            <w:tcBorders>
              <w:top w:val="nil"/>
            </w:tcBorders>
            <w:noWrap/>
          </w:tcPr>
          <w:p w14:paraId="56754F5A" w14:textId="77777777" w:rsidR="00A74226" w:rsidRDefault="00A74226" w:rsidP="005D2304">
            <w:pPr>
              <w:pStyle w:val="Tabletext0"/>
            </w:pPr>
            <w:r>
              <w:t>Outcome 1 (clinical outcome)</w:t>
            </w:r>
          </w:p>
        </w:tc>
        <w:tc>
          <w:tcPr>
            <w:tcW w:w="734" w:type="pct"/>
            <w:tcBorders>
              <w:top w:val="nil"/>
            </w:tcBorders>
            <w:noWrap/>
          </w:tcPr>
          <w:p w14:paraId="6D72179E" w14:textId="77777777" w:rsidR="00A74226" w:rsidRPr="00CE28E3" w:rsidRDefault="00A74226" w:rsidP="005D2304">
            <w:pPr>
              <w:pStyle w:val="Tabletext0"/>
              <w:jc w:val="right"/>
            </w:pPr>
            <w:r>
              <w:t>[E]</w:t>
            </w:r>
          </w:p>
        </w:tc>
        <w:tc>
          <w:tcPr>
            <w:tcW w:w="734" w:type="pct"/>
            <w:tcBorders>
              <w:top w:val="nil"/>
            </w:tcBorders>
            <w:noWrap/>
          </w:tcPr>
          <w:p w14:paraId="4D010621" w14:textId="77777777" w:rsidR="00A74226" w:rsidRPr="00CE28E3" w:rsidRDefault="00A74226" w:rsidP="005D2304">
            <w:pPr>
              <w:pStyle w:val="Tabletext0"/>
              <w:jc w:val="right"/>
            </w:pPr>
            <w:r>
              <w:t>[F]</w:t>
            </w:r>
          </w:p>
        </w:tc>
        <w:tc>
          <w:tcPr>
            <w:tcW w:w="734" w:type="pct"/>
            <w:tcBorders>
              <w:top w:val="nil"/>
            </w:tcBorders>
            <w:noWrap/>
          </w:tcPr>
          <w:p w14:paraId="3B54F209" w14:textId="77777777" w:rsidR="00A74226" w:rsidRPr="00CE28E3" w:rsidRDefault="00A74226" w:rsidP="005D2304">
            <w:pPr>
              <w:pStyle w:val="Tabletext0"/>
              <w:jc w:val="right"/>
            </w:pPr>
            <w:r>
              <w:t>[E – F]</w:t>
            </w:r>
          </w:p>
        </w:tc>
        <w:tc>
          <w:tcPr>
            <w:tcW w:w="835" w:type="pct"/>
            <w:tcBorders>
              <w:top w:val="nil"/>
            </w:tcBorders>
          </w:tcPr>
          <w:p w14:paraId="44D61923" w14:textId="77777777" w:rsidR="00A74226" w:rsidRPr="00CE28E3" w:rsidRDefault="00A74226" w:rsidP="005D2304">
            <w:pPr>
              <w:pStyle w:val="Tabletext0"/>
              <w:jc w:val="right"/>
            </w:pPr>
            <w:r>
              <w:t>$[</w:t>
            </w:r>
            <w:r w:rsidRPr="00446340">
              <w:t>A – B</w:t>
            </w:r>
            <w:r>
              <w:t>]/[E – F]</w:t>
            </w:r>
          </w:p>
        </w:tc>
      </w:tr>
      <w:tr w:rsidR="00A74226" w:rsidRPr="00CE28E3" w14:paraId="14611267" w14:textId="77777777" w:rsidTr="005D2304">
        <w:trPr>
          <w:cantSplit/>
          <w:trHeight w:val="300"/>
        </w:trPr>
        <w:tc>
          <w:tcPr>
            <w:tcW w:w="5000" w:type="pct"/>
            <w:gridSpan w:val="5"/>
            <w:tcBorders>
              <w:bottom w:val="single" w:sz="4" w:space="0" w:color="auto"/>
            </w:tcBorders>
            <w:noWrap/>
          </w:tcPr>
          <w:p w14:paraId="64BF27A7" w14:textId="7C544C59" w:rsidR="00A74226" w:rsidRPr="00CE28E3" w:rsidRDefault="00A74226" w:rsidP="005D2304">
            <w:pPr>
              <w:pStyle w:val="Tabletext0"/>
              <w:jc w:val="left"/>
            </w:pPr>
            <w:r w:rsidRPr="00CE28E3">
              <w:t xml:space="preserve">Step </w:t>
            </w:r>
            <w:r>
              <w:t>3</w:t>
            </w:r>
            <w:r w:rsidRPr="00CE28E3">
              <w:t xml:space="preserve"> </w:t>
            </w:r>
            <w:r>
              <w:t>–</w:t>
            </w:r>
            <w:r w:rsidRPr="00CE28E3">
              <w:t xml:space="preserve"> Study evidence transformed to clinical outcome and translated to the Australian population and/or Australian setting (may need multiple steps)</w:t>
            </w:r>
          </w:p>
        </w:tc>
      </w:tr>
      <w:tr w:rsidR="00A74226" w:rsidRPr="00CE28E3" w14:paraId="53F2265A" w14:textId="77777777" w:rsidTr="005D2304">
        <w:trPr>
          <w:cantSplit/>
          <w:trHeight w:val="300"/>
        </w:trPr>
        <w:tc>
          <w:tcPr>
            <w:tcW w:w="1963" w:type="pct"/>
            <w:tcBorders>
              <w:bottom w:val="nil"/>
            </w:tcBorders>
            <w:noWrap/>
          </w:tcPr>
          <w:p w14:paraId="6B0BC000" w14:textId="77777777" w:rsidR="00A74226" w:rsidRPr="00CE28E3" w:rsidRDefault="00A74226" w:rsidP="005D2304">
            <w:pPr>
              <w:pStyle w:val="Tabletext0"/>
            </w:pPr>
            <w:r>
              <w:t>Costs</w:t>
            </w:r>
          </w:p>
        </w:tc>
        <w:tc>
          <w:tcPr>
            <w:tcW w:w="734" w:type="pct"/>
            <w:tcBorders>
              <w:bottom w:val="nil"/>
            </w:tcBorders>
            <w:noWrap/>
          </w:tcPr>
          <w:p w14:paraId="3CD19DE3" w14:textId="7602E30F" w:rsidR="00A74226" w:rsidRPr="00CE28E3" w:rsidRDefault="00A74226" w:rsidP="005D2304">
            <w:pPr>
              <w:pStyle w:val="Tabletext0"/>
              <w:jc w:val="right"/>
            </w:pPr>
            <w:r>
              <w:t>$[A]</w:t>
            </w:r>
          </w:p>
        </w:tc>
        <w:tc>
          <w:tcPr>
            <w:tcW w:w="734" w:type="pct"/>
            <w:tcBorders>
              <w:bottom w:val="nil"/>
            </w:tcBorders>
            <w:noWrap/>
          </w:tcPr>
          <w:p w14:paraId="50A2D7DE" w14:textId="67CDBA8C" w:rsidR="00A74226" w:rsidRPr="00CE28E3" w:rsidRDefault="00A74226" w:rsidP="005D2304">
            <w:pPr>
              <w:pStyle w:val="Tabletext0"/>
              <w:jc w:val="right"/>
            </w:pPr>
            <w:r>
              <w:t>$[B]</w:t>
            </w:r>
          </w:p>
        </w:tc>
        <w:tc>
          <w:tcPr>
            <w:tcW w:w="734" w:type="pct"/>
            <w:tcBorders>
              <w:bottom w:val="nil"/>
            </w:tcBorders>
            <w:noWrap/>
          </w:tcPr>
          <w:p w14:paraId="124047A7" w14:textId="5A7A6FB0" w:rsidR="00A74226" w:rsidRPr="00CE28E3" w:rsidRDefault="00A74226" w:rsidP="005D2304">
            <w:pPr>
              <w:pStyle w:val="Tabletext0"/>
              <w:jc w:val="right"/>
            </w:pPr>
            <w:r>
              <w:t>$</w:t>
            </w:r>
            <w:r w:rsidRPr="00447AE9">
              <w:t>[A – B]</w:t>
            </w:r>
          </w:p>
        </w:tc>
        <w:tc>
          <w:tcPr>
            <w:tcW w:w="835" w:type="pct"/>
            <w:tcBorders>
              <w:bottom w:val="nil"/>
            </w:tcBorders>
          </w:tcPr>
          <w:p w14:paraId="470989A4" w14:textId="77777777" w:rsidR="00A74226" w:rsidRPr="00CE28E3" w:rsidRDefault="00A74226" w:rsidP="005D2304">
            <w:pPr>
              <w:pStyle w:val="Tabletext0"/>
              <w:jc w:val="right"/>
            </w:pPr>
          </w:p>
        </w:tc>
      </w:tr>
      <w:tr w:rsidR="00A74226" w:rsidRPr="00CE28E3" w14:paraId="34FB0BE7" w14:textId="77777777" w:rsidTr="005D2304">
        <w:trPr>
          <w:cantSplit/>
          <w:trHeight w:val="300"/>
        </w:trPr>
        <w:tc>
          <w:tcPr>
            <w:tcW w:w="1963" w:type="pct"/>
            <w:tcBorders>
              <w:top w:val="nil"/>
            </w:tcBorders>
            <w:noWrap/>
          </w:tcPr>
          <w:p w14:paraId="0BB6395E" w14:textId="77777777" w:rsidR="00A74226" w:rsidRDefault="00A74226" w:rsidP="005D2304">
            <w:pPr>
              <w:pStyle w:val="Tabletext0"/>
            </w:pPr>
            <w:r>
              <w:t>Outcome 2</w:t>
            </w:r>
          </w:p>
        </w:tc>
        <w:tc>
          <w:tcPr>
            <w:tcW w:w="734" w:type="pct"/>
            <w:tcBorders>
              <w:top w:val="nil"/>
            </w:tcBorders>
            <w:noWrap/>
          </w:tcPr>
          <w:p w14:paraId="68C3897D" w14:textId="77777777" w:rsidR="00A74226" w:rsidRDefault="00A74226" w:rsidP="005D2304">
            <w:pPr>
              <w:pStyle w:val="Tabletext0"/>
              <w:jc w:val="right"/>
            </w:pPr>
            <w:r>
              <w:t>[E]</w:t>
            </w:r>
          </w:p>
        </w:tc>
        <w:tc>
          <w:tcPr>
            <w:tcW w:w="734" w:type="pct"/>
            <w:tcBorders>
              <w:top w:val="nil"/>
            </w:tcBorders>
            <w:noWrap/>
          </w:tcPr>
          <w:p w14:paraId="307E5F0C" w14:textId="77777777" w:rsidR="00A74226" w:rsidRDefault="00A74226" w:rsidP="005D2304">
            <w:pPr>
              <w:pStyle w:val="Tabletext0"/>
              <w:jc w:val="right"/>
            </w:pPr>
            <w:r>
              <w:t>[F]</w:t>
            </w:r>
          </w:p>
        </w:tc>
        <w:tc>
          <w:tcPr>
            <w:tcW w:w="734" w:type="pct"/>
            <w:tcBorders>
              <w:top w:val="nil"/>
            </w:tcBorders>
            <w:noWrap/>
          </w:tcPr>
          <w:p w14:paraId="7B1112A4" w14:textId="77777777" w:rsidR="00A74226" w:rsidRDefault="00A74226" w:rsidP="005D2304">
            <w:pPr>
              <w:pStyle w:val="Tabletext0"/>
              <w:jc w:val="right"/>
            </w:pPr>
            <w:r>
              <w:t>[E – F]</w:t>
            </w:r>
          </w:p>
        </w:tc>
        <w:tc>
          <w:tcPr>
            <w:tcW w:w="835" w:type="pct"/>
            <w:tcBorders>
              <w:top w:val="nil"/>
            </w:tcBorders>
          </w:tcPr>
          <w:p w14:paraId="59052220" w14:textId="77777777" w:rsidR="00A74226" w:rsidRPr="00CE28E3" w:rsidRDefault="00A74226" w:rsidP="005D2304">
            <w:pPr>
              <w:pStyle w:val="Tabletext0"/>
              <w:jc w:val="right"/>
            </w:pPr>
            <w:r>
              <w:t>$[</w:t>
            </w:r>
            <w:r w:rsidRPr="00446340">
              <w:t>A – B</w:t>
            </w:r>
            <w:r>
              <w:t>]/[E – F]</w:t>
            </w:r>
          </w:p>
        </w:tc>
      </w:tr>
      <w:tr w:rsidR="00A74226" w:rsidRPr="00CE28E3" w14:paraId="2BF3A629" w14:textId="77777777" w:rsidTr="005D2304">
        <w:trPr>
          <w:cantSplit/>
          <w:trHeight w:val="300"/>
        </w:trPr>
        <w:tc>
          <w:tcPr>
            <w:tcW w:w="5000" w:type="pct"/>
            <w:gridSpan w:val="5"/>
            <w:noWrap/>
          </w:tcPr>
          <w:p w14:paraId="1E047470" w14:textId="74BBB98A" w:rsidR="00A74226" w:rsidRPr="00CE28E3" w:rsidRDefault="00A74226" w:rsidP="005D2304">
            <w:pPr>
              <w:pStyle w:val="Tabletext0"/>
              <w:jc w:val="left"/>
            </w:pPr>
            <w:r w:rsidRPr="00CE28E3">
              <w:t xml:space="preserve">Step </w:t>
            </w:r>
            <w:r>
              <w:t>4</w:t>
            </w:r>
            <w:r w:rsidRPr="00CE28E3">
              <w:t xml:space="preserve"> </w:t>
            </w:r>
            <w:r>
              <w:t>–</w:t>
            </w:r>
            <w:r w:rsidRPr="00CE28E3">
              <w:t xml:space="preserve"> Study evidence transformed to clinical outcome, translated to the Australian population/setting, and extrapolated to the appropriate time horizon</w:t>
            </w:r>
          </w:p>
        </w:tc>
      </w:tr>
      <w:tr w:rsidR="00A74226" w:rsidRPr="00CE28E3" w14:paraId="0D0DD8B5" w14:textId="77777777" w:rsidTr="005D2304">
        <w:trPr>
          <w:cantSplit/>
          <w:trHeight w:val="300"/>
        </w:trPr>
        <w:tc>
          <w:tcPr>
            <w:tcW w:w="1963" w:type="pct"/>
            <w:tcBorders>
              <w:bottom w:val="nil"/>
            </w:tcBorders>
            <w:noWrap/>
          </w:tcPr>
          <w:p w14:paraId="3D3A3296" w14:textId="77777777" w:rsidR="00A74226" w:rsidRPr="00CE28E3" w:rsidRDefault="00A74226" w:rsidP="005D2304">
            <w:pPr>
              <w:pStyle w:val="Tabletext0"/>
            </w:pPr>
            <w:r>
              <w:t>Costs</w:t>
            </w:r>
          </w:p>
        </w:tc>
        <w:tc>
          <w:tcPr>
            <w:tcW w:w="734" w:type="pct"/>
            <w:tcBorders>
              <w:bottom w:val="nil"/>
            </w:tcBorders>
            <w:noWrap/>
          </w:tcPr>
          <w:p w14:paraId="7CB3671A" w14:textId="34B1D97E" w:rsidR="00A74226" w:rsidRPr="00CE28E3" w:rsidRDefault="00A74226" w:rsidP="005D2304">
            <w:pPr>
              <w:pStyle w:val="Tabletext0"/>
              <w:jc w:val="right"/>
            </w:pPr>
            <w:r>
              <w:t>$[G]</w:t>
            </w:r>
          </w:p>
        </w:tc>
        <w:tc>
          <w:tcPr>
            <w:tcW w:w="734" w:type="pct"/>
            <w:tcBorders>
              <w:bottom w:val="nil"/>
            </w:tcBorders>
            <w:noWrap/>
          </w:tcPr>
          <w:p w14:paraId="09873CA5" w14:textId="25F19243" w:rsidR="00A74226" w:rsidRPr="00CE28E3" w:rsidRDefault="00A74226" w:rsidP="005D2304">
            <w:pPr>
              <w:pStyle w:val="Tabletext0"/>
              <w:jc w:val="right"/>
            </w:pPr>
            <w:r>
              <w:t>$[H]</w:t>
            </w:r>
          </w:p>
        </w:tc>
        <w:tc>
          <w:tcPr>
            <w:tcW w:w="734" w:type="pct"/>
            <w:tcBorders>
              <w:bottom w:val="nil"/>
            </w:tcBorders>
            <w:noWrap/>
          </w:tcPr>
          <w:p w14:paraId="242E4482" w14:textId="3F84E5DD" w:rsidR="00A74226" w:rsidRPr="00CE28E3" w:rsidRDefault="00A74226" w:rsidP="005D2304">
            <w:pPr>
              <w:pStyle w:val="Tabletext0"/>
              <w:jc w:val="right"/>
            </w:pPr>
            <w:r>
              <w:t>$</w:t>
            </w:r>
            <w:r w:rsidRPr="00447AE9">
              <w:t>[</w:t>
            </w:r>
            <w:r>
              <w:t>G</w:t>
            </w:r>
            <w:r w:rsidRPr="00447AE9">
              <w:t xml:space="preserve"> – </w:t>
            </w:r>
            <w:r>
              <w:t>H</w:t>
            </w:r>
            <w:r w:rsidRPr="00447AE9">
              <w:t>]</w:t>
            </w:r>
          </w:p>
        </w:tc>
        <w:tc>
          <w:tcPr>
            <w:tcW w:w="835" w:type="pct"/>
            <w:tcBorders>
              <w:bottom w:val="nil"/>
            </w:tcBorders>
          </w:tcPr>
          <w:p w14:paraId="1E06FC68" w14:textId="77777777" w:rsidR="00A74226" w:rsidRPr="00CE28E3" w:rsidRDefault="00A74226" w:rsidP="005D2304">
            <w:pPr>
              <w:pStyle w:val="Tabletext0"/>
              <w:jc w:val="right"/>
            </w:pPr>
          </w:p>
        </w:tc>
      </w:tr>
      <w:tr w:rsidR="00A74226" w:rsidRPr="00CE28E3" w14:paraId="33E97B18" w14:textId="77777777" w:rsidTr="005D2304">
        <w:trPr>
          <w:cantSplit/>
          <w:trHeight w:val="300"/>
        </w:trPr>
        <w:tc>
          <w:tcPr>
            <w:tcW w:w="1963" w:type="pct"/>
            <w:tcBorders>
              <w:top w:val="nil"/>
            </w:tcBorders>
            <w:noWrap/>
          </w:tcPr>
          <w:p w14:paraId="673F50B3" w14:textId="77777777" w:rsidR="00A74226" w:rsidRDefault="00A74226" w:rsidP="005D2304">
            <w:pPr>
              <w:pStyle w:val="Tabletext0"/>
            </w:pPr>
            <w:r>
              <w:t>Outcome 2</w:t>
            </w:r>
          </w:p>
        </w:tc>
        <w:tc>
          <w:tcPr>
            <w:tcW w:w="734" w:type="pct"/>
            <w:tcBorders>
              <w:top w:val="nil"/>
            </w:tcBorders>
            <w:noWrap/>
          </w:tcPr>
          <w:p w14:paraId="0307BEAB" w14:textId="77777777" w:rsidR="00A74226" w:rsidRDefault="00A74226" w:rsidP="005D2304">
            <w:pPr>
              <w:pStyle w:val="Tabletext0"/>
              <w:jc w:val="right"/>
            </w:pPr>
            <w:r>
              <w:t>[I]</w:t>
            </w:r>
          </w:p>
        </w:tc>
        <w:tc>
          <w:tcPr>
            <w:tcW w:w="734" w:type="pct"/>
            <w:tcBorders>
              <w:top w:val="nil"/>
            </w:tcBorders>
            <w:noWrap/>
          </w:tcPr>
          <w:p w14:paraId="5B2A5F37" w14:textId="77777777" w:rsidR="00A74226" w:rsidRDefault="00A74226" w:rsidP="005D2304">
            <w:pPr>
              <w:pStyle w:val="Tabletext0"/>
              <w:jc w:val="right"/>
            </w:pPr>
            <w:r>
              <w:t>[J]</w:t>
            </w:r>
          </w:p>
        </w:tc>
        <w:tc>
          <w:tcPr>
            <w:tcW w:w="734" w:type="pct"/>
            <w:tcBorders>
              <w:top w:val="nil"/>
            </w:tcBorders>
            <w:noWrap/>
          </w:tcPr>
          <w:p w14:paraId="0393AA90" w14:textId="77777777" w:rsidR="00A74226" w:rsidRDefault="00A74226" w:rsidP="005D2304">
            <w:pPr>
              <w:pStyle w:val="Tabletext0"/>
              <w:jc w:val="right"/>
            </w:pPr>
            <w:r>
              <w:t>[I – J]</w:t>
            </w:r>
          </w:p>
        </w:tc>
        <w:tc>
          <w:tcPr>
            <w:tcW w:w="835" w:type="pct"/>
            <w:tcBorders>
              <w:top w:val="nil"/>
            </w:tcBorders>
          </w:tcPr>
          <w:p w14:paraId="5302F7CE" w14:textId="76CB8D9E" w:rsidR="00A74226" w:rsidRPr="00CE28E3" w:rsidRDefault="00A74226" w:rsidP="005D2304">
            <w:pPr>
              <w:pStyle w:val="Tabletext0"/>
              <w:jc w:val="right"/>
            </w:pPr>
            <w:r>
              <w:t>$[G</w:t>
            </w:r>
            <w:r w:rsidRPr="00446340">
              <w:t xml:space="preserve"> –</w:t>
            </w:r>
            <w:r>
              <w:t>H]/[I – J]</w:t>
            </w:r>
          </w:p>
        </w:tc>
      </w:tr>
      <w:tr w:rsidR="00A74226" w:rsidRPr="00CE28E3" w14:paraId="46D50BE2" w14:textId="77777777" w:rsidTr="005D2304">
        <w:trPr>
          <w:cantSplit/>
          <w:trHeight w:val="300"/>
        </w:trPr>
        <w:tc>
          <w:tcPr>
            <w:tcW w:w="5000" w:type="pct"/>
            <w:gridSpan w:val="5"/>
            <w:noWrap/>
          </w:tcPr>
          <w:p w14:paraId="1F2418B8" w14:textId="6DA398DE" w:rsidR="00A74226" w:rsidRPr="00CE28E3" w:rsidRDefault="00A74226" w:rsidP="005D2304">
            <w:pPr>
              <w:pStyle w:val="Tabletext0"/>
              <w:jc w:val="left"/>
            </w:pPr>
            <w:r w:rsidRPr="00CE28E3">
              <w:t xml:space="preserve">Step </w:t>
            </w:r>
            <w:r>
              <w:t>5</w:t>
            </w:r>
            <w:r w:rsidRPr="00CE28E3">
              <w:t xml:space="preserve"> </w:t>
            </w:r>
            <w:r>
              <w:t>–</w:t>
            </w:r>
            <w:r w:rsidRPr="00CE28E3">
              <w:t xml:space="preserve"> Study evidence transformed to clinical outcome, translated to the Australian population/setting, extrapolated and with additional assumptions or modelled information</w:t>
            </w:r>
          </w:p>
        </w:tc>
      </w:tr>
      <w:tr w:rsidR="00A74226" w:rsidRPr="00CE28E3" w14:paraId="2A20FAB1" w14:textId="77777777" w:rsidTr="005D2304">
        <w:trPr>
          <w:cantSplit/>
          <w:trHeight w:val="300"/>
        </w:trPr>
        <w:tc>
          <w:tcPr>
            <w:tcW w:w="1963" w:type="pct"/>
            <w:tcBorders>
              <w:bottom w:val="nil"/>
            </w:tcBorders>
            <w:noWrap/>
          </w:tcPr>
          <w:p w14:paraId="7635AA0D" w14:textId="77777777" w:rsidR="00A74226" w:rsidRPr="00CE28E3" w:rsidRDefault="00A74226" w:rsidP="005D2304">
            <w:pPr>
              <w:pStyle w:val="Tabletext0"/>
            </w:pPr>
            <w:r>
              <w:t>Costs</w:t>
            </w:r>
          </w:p>
        </w:tc>
        <w:tc>
          <w:tcPr>
            <w:tcW w:w="734" w:type="pct"/>
            <w:tcBorders>
              <w:bottom w:val="nil"/>
            </w:tcBorders>
            <w:noWrap/>
          </w:tcPr>
          <w:p w14:paraId="03C9A378" w14:textId="048EDB18" w:rsidR="00A74226" w:rsidRPr="00CE28E3" w:rsidRDefault="00A74226" w:rsidP="005D2304">
            <w:pPr>
              <w:pStyle w:val="Tabletext0"/>
              <w:jc w:val="right"/>
            </w:pPr>
            <w:r>
              <w:t>$[K]</w:t>
            </w:r>
          </w:p>
        </w:tc>
        <w:tc>
          <w:tcPr>
            <w:tcW w:w="734" w:type="pct"/>
            <w:tcBorders>
              <w:bottom w:val="nil"/>
            </w:tcBorders>
            <w:noWrap/>
          </w:tcPr>
          <w:p w14:paraId="6990F80D" w14:textId="7777DE90" w:rsidR="00A74226" w:rsidRPr="00CE28E3" w:rsidRDefault="00A74226" w:rsidP="005D2304">
            <w:pPr>
              <w:pStyle w:val="Tabletext0"/>
              <w:jc w:val="right"/>
            </w:pPr>
            <w:r>
              <w:t>$[L]</w:t>
            </w:r>
          </w:p>
        </w:tc>
        <w:tc>
          <w:tcPr>
            <w:tcW w:w="734" w:type="pct"/>
            <w:tcBorders>
              <w:bottom w:val="nil"/>
            </w:tcBorders>
            <w:noWrap/>
          </w:tcPr>
          <w:p w14:paraId="7988F32B" w14:textId="4CA23904" w:rsidR="00A74226" w:rsidRPr="00CE28E3" w:rsidRDefault="00A74226" w:rsidP="005D2304">
            <w:pPr>
              <w:pStyle w:val="Tabletext0"/>
              <w:jc w:val="right"/>
            </w:pPr>
            <w:r>
              <w:t>$</w:t>
            </w:r>
            <w:r w:rsidRPr="00447AE9">
              <w:t>[</w:t>
            </w:r>
            <w:r>
              <w:t>K</w:t>
            </w:r>
            <w:r w:rsidRPr="00447AE9">
              <w:t xml:space="preserve"> – </w:t>
            </w:r>
            <w:r>
              <w:t>L</w:t>
            </w:r>
            <w:r w:rsidRPr="00447AE9">
              <w:t>]</w:t>
            </w:r>
          </w:p>
        </w:tc>
        <w:tc>
          <w:tcPr>
            <w:tcW w:w="835" w:type="pct"/>
            <w:tcBorders>
              <w:bottom w:val="nil"/>
            </w:tcBorders>
          </w:tcPr>
          <w:p w14:paraId="15E5C0C5" w14:textId="77777777" w:rsidR="00A74226" w:rsidRPr="00CE28E3" w:rsidRDefault="00A74226" w:rsidP="005D2304">
            <w:pPr>
              <w:pStyle w:val="Tabletext0"/>
              <w:jc w:val="right"/>
            </w:pPr>
          </w:p>
        </w:tc>
      </w:tr>
      <w:tr w:rsidR="00A74226" w:rsidRPr="00CE28E3" w14:paraId="4DE6AD97" w14:textId="77777777" w:rsidTr="005D2304">
        <w:trPr>
          <w:cantSplit/>
          <w:trHeight w:val="300"/>
        </w:trPr>
        <w:tc>
          <w:tcPr>
            <w:tcW w:w="1963" w:type="pct"/>
            <w:tcBorders>
              <w:top w:val="nil"/>
            </w:tcBorders>
            <w:noWrap/>
          </w:tcPr>
          <w:p w14:paraId="4E3E29D2" w14:textId="77777777" w:rsidR="00A74226" w:rsidRDefault="00A74226" w:rsidP="005D2304">
            <w:pPr>
              <w:pStyle w:val="Tabletext0"/>
            </w:pPr>
            <w:r>
              <w:t>Outcome 2</w:t>
            </w:r>
          </w:p>
        </w:tc>
        <w:tc>
          <w:tcPr>
            <w:tcW w:w="734" w:type="pct"/>
            <w:tcBorders>
              <w:top w:val="nil"/>
            </w:tcBorders>
            <w:noWrap/>
          </w:tcPr>
          <w:p w14:paraId="41D74F1B" w14:textId="77777777" w:rsidR="00A74226" w:rsidRDefault="00A74226" w:rsidP="005D2304">
            <w:pPr>
              <w:pStyle w:val="Tabletext0"/>
              <w:jc w:val="right"/>
            </w:pPr>
            <w:r>
              <w:t>[M]</w:t>
            </w:r>
          </w:p>
        </w:tc>
        <w:tc>
          <w:tcPr>
            <w:tcW w:w="734" w:type="pct"/>
            <w:tcBorders>
              <w:top w:val="nil"/>
            </w:tcBorders>
            <w:noWrap/>
          </w:tcPr>
          <w:p w14:paraId="7C029546" w14:textId="77777777" w:rsidR="00A74226" w:rsidRDefault="00A74226" w:rsidP="005D2304">
            <w:pPr>
              <w:pStyle w:val="Tabletext0"/>
              <w:jc w:val="right"/>
            </w:pPr>
            <w:r>
              <w:t>[N]</w:t>
            </w:r>
          </w:p>
        </w:tc>
        <w:tc>
          <w:tcPr>
            <w:tcW w:w="734" w:type="pct"/>
            <w:tcBorders>
              <w:top w:val="nil"/>
            </w:tcBorders>
            <w:noWrap/>
          </w:tcPr>
          <w:p w14:paraId="0A258FCD" w14:textId="77777777" w:rsidR="00A74226" w:rsidRDefault="00A74226" w:rsidP="005D2304">
            <w:pPr>
              <w:pStyle w:val="Tabletext0"/>
              <w:jc w:val="right"/>
            </w:pPr>
            <w:r>
              <w:t>[M – N]</w:t>
            </w:r>
          </w:p>
        </w:tc>
        <w:tc>
          <w:tcPr>
            <w:tcW w:w="835" w:type="pct"/>
            <w:tcBorders>
              <w:top w:val="nil"/>
            </w:tcBorders>
          </w:tcPr>
          <w:p w14:paraId="5E0A5834" w14:textId="3B4C1CE4" w:rsidR="00A74226" w:rsidRPr="00CE28E3" w:rsidRDefault="00A74226" w:rsidP="005D2304">
            <w:pPr>
              <w:pStyle w:val="Tabletext0"/>
              <w:jc w:val="right"/>
            </w:pPr>
            <w:r>
              <w:t>$[K</w:t>
            </w:r>
            <w:r w:rsidRPr="00446340">
              <w:t xml:space="preserve"> –</w:t>
            </w:r>
            <w:r>
              <w:t>L]/[M – N]</w:t>
            </w:r>
          </w:p>
        </w:tc>
      </w:tr>
      <w:tr w:rsidR="00A74226" w:rsidRPr="00CE28E3" w14:paraId="4403BC19" w14:textId="77777777" w:rsidTr="005D2304">
        <w:trPr>
          <w:cantSplit/>
          <w:trHeight w:val="300"/>
        </w:trPr>
        <w:tc>
          <w:tcPr>
            <w:tcW w:w="5000" w:type="pct"/>
            <w:gridSpan w:val="5"/>
            <w:tcBorders>
              <w:bottom w:val="single" w:sz="4" w:space="0" w:color="auto"/>
            </w:tcBorders>
            <w:noWrap/>
          </w:tcPr>
          <w:p w14:paraId="259E4682" w14:textId="6215EA82" w:rsidR="00A74226" w:rsidRPr="00CE28E3" w:rsidRDefault="00A74226" w:rsidP="005D2304">
            <w:pPr>
              <w:pStyle w:val="Tabletext0"/>
              <w:jc w:val="left"/>
            </w:pPr>
            <w:r w:rsidRPr="00CE28E3">
              <w:t xml:space="preserve">Step </w:t>
            </w:r>
            <w:r>
              <w:t>6</w:t>
            </w:r>
            <w:r w:rsidRPr="00CE28E3">
              <w:t xml:space="preserve"> </w:t>
            </w:r>
            <w:r>
              <w:t>–</w:t>
            </w:r>
            <w:r w:rsidRPr="00CE28E3">
              <w:t xml:space="preserve"> Study evidence translated to clinical outcomes, the Australian population/setting, extrapolated, with additional modelling</w:t>
            </w:r>
            <w:r w:rsidR="00D80C29">
              <w:t>,</w:t>
            </w:r>
            <w:r w:rsidRPr="00CE28E3">
              <w:t xml:space="preserve"> and transformed into a relevant health outcome (e.g. QALYs)</w:t>
            </w:r>
          </w:p>
        </w:tc>
      </w:tr>
      <w:tr w:rsidR="00A74226" w:rsidRPr="00CE28E3" w14:paraId="0BFFD649" w14:textId="77777777" w:rsidTr="005D2304">
        <w:trPr>
          <w:trHeight w:val="300"/>
        </w:trPr>
        <w:tc>
          <w:tcPr>
            <w:tcW w:w="1963" w:type="pct"/>
            <w:tcBorders>
              <w:bottom w:val="nil"/>
            </w:tcBorders>
            <w:noWrap/>
          </w:tcPr>
          <w:p w14:paraId="5E53E0E0" w14:textId="77777777" w:rsidR="00A74226" w:rsidRPr="00CE28E3" w:rsidRDefault="00A74226" w:rsidP="005D2304">
            <w:pPr>
              <w:pStyle w:val="Tabletext0"/>
            </w:pPr>
            <w:r>
              <w:t>Costs</w:t>
            </w:r>
          </w:p>
        </w:tc>
        <w:tc>
          <w:tcPr>
            <w:tcW w:w="734" w:type="pct"/>
            <w:tcBorders>
              <w:bottom w:val="nil"/>
            </w:tcBorders>
            <w:noWrap/>
          </w:tcPr>
          <w:p w14:paraId="52E6CA64" w14:textId="0FC96ED4" w:rsidR="00A74226" w:rsidRPr="00CE28E3" w:rsidRDefault="00D80C29" w:rsidP="005D2304">
            <w:pPr>
              <w:pStyle w:val="Tabletext0"/>
              <w:jc w:val="right"/>
            </w:pPr>
            <w:r>
              <w:t>$</w:t>
            </w:r>
            <w:r w:rsidR="00A74226">
              <w:t>[K]</w:t>
            </w:r>
          </w:p>
        </w:tc>
        <w:tc>
          <w:tcPr>
            <w:tcW w:w="734" w:type="pct"/>
            <w:tcBorders>
              <w:bottom w:val="nil"/>
            </w:tcBorders>
            <w:noWrap/>
          </w:tcPr>
          <w:p w14:paraId="7AEF3012" w14:textId="3DAD8199" w:rsidR="00A74226" w:rsidRPr="00CE28E3" w:rsidRDefault="00D80C29" w:rsidP="005D2304">
            <w:pPr>
              <w:pStyle w:val="Tabletext0"/>
              <w:jc w:val="right"/>
            </w:pPr>
            <w:r>
              <w:t>$</w:t>
            </w:r>
            <w:r w:rsidR="00A74226">
              <w:t>[L]</w:t>
            </w:r>
          </w:p>
        </w:tc>
        <w:tc>
          <w:tcPr>
            <w:tcW w:w="734" w:type="pct"/>
            <w:tcBorders>
              <w:bottom w:val="nil"/>
            </w:tcBorders>
            <w:noWrap/>
          </w:tcPr>
          <w:p w14:paraId="45142943" w14:textId="4451A878" w:rsidR="00A74226" w:rsidRPr="00CE28E3" w:rsidRDefault="00D80C29" w:rsidP="005D2304">
            <w:pPr>
              <w:pStyle w:val="Tabletext0"/>
              <w:jc w:val="right"/>
            </w:pPr>
            <w:r>
              <w:t>$</w:t>
            </w:r>
            <w:r w:rsidR="00A74226" w:rsidRPr="00447AE9">
              <w:t>[</w:t>
            </w:r>
            <w:r w:rsidR="00A74226">
              <w:t>K</w:t>
            </w:r>
            <w:r w:rsidR="00A74226" w:rsidRPr="00447AE9">
              <w:t xml:space="preserve"> – </w:t>
            </w:r>
            <w:r w:rsidR="00A74226">
              <w:t>L</w:t>
            </w:r>
            <w:r w:rsidR="00A74226" w:rsidRPr="00447AE9">
              <w:t>]</w:t>
            </w:r>
          </w:p>
        </w:tc>
        <w:tc>
          <w:tcPr>
            <w:tcW w:w="835" w:type="pct"/>
            <w:tcBorders>
              <w:bottom w:val="nil"/>
            </w:tcBorders>
          </w:tcPr>
          <w:p w14:paraId="317FB998" w14:textId="77777777" w:rsidR="00A74226" w:rsidRPr="00CE28E3" w:rsidRDefault="00A74226" w:rsidP="005D2304">
            <w:pPr>
              <w:pStyle w:val="Tabletext0"/>
              <w:jc w:val="right"/>
            </w:pPr>
          </w:p>
        </w:tc>
      </w:tr>
      <w:tr w:rsidR="00A74226" w:rsidRPr="00CE28E3" w14:paraId="3F0ACA11" w14:textId="77777777" w:rsidTr="005D2304">
        <w:trPr>
          <w:trHeight w:val="300"/>
        </w:trPr>
        <w:tc>
          <w:tcPr>
            <w:tcW w:w="1963" w:type="pct"/>
            <w:tcBorders>
              <w:top w:val="nil"/>
            </w:tcBorders>
            <w:noWrap/>
          </w:tcPr>
          <w:p w14:paraId="70CC6EBB" w14:textId="77777777" w:rsidR="00A74226" w:rsidRDefault="00A74226" w:rsidP="005D2304">
            <w:pPr>
              <w:pStyle w:val="Tabletext0"/>
            </w:pPr>
            <w:r>
              <w:t>Outcome 3 (QALYs)</w:t>
            </w:r>
          </w:p>
        </w:tc>
        <w:tc>
          <w:tcPr>
            <w:tcW w:w="734" w:type="pct"/>
            <w:tcBorders>
              <w:top w:val="nil"/>
            </w:tcBorders>
            <w:noWrap/>
          </w:tcPr>
          <w:p w14:paraId="6DC0EF52" w14:textId="77777777" w:rsidR="00A74226" w:rsidRDefault="00A74226" w:rsidP="005D2304">
            <w:pPr>
              <w:pStyle w:val="Tabletext0"/>
              <w:jc w:val="right"/>
            </w:pPr>
            <w:r>
              <w:t>[O]</w:t>
            </w:r>
          </w:p>
        </w:tc>
        <w:tc>
          <w:tcPr>
            <w:tcW w:w="734" w:type="pct"/>
            <w:tcBorders>
              <w:top w:val="nil"/>
            </w:tcBorders>
            <w:noWrap/>
          </w:tcPr>
          <w:p w14:paraId="1DAA1281" w14:textId="77777777" w:rsidR="00A74226" w:rsidRDefault="00A74226" w:rsidP="005D2304">
            <w:pPr>
              <w:pStyle w:val="Tabletext0"/>
              <w:jc w:val="right"/>
            </w:pPr>
            <w:r>
              <w:t>[P]</w:t>
            </w:r>
          </w:p>
        </w:tc>
        <w:tc>
          <w:tcPr>
            <w:tcW w:w="734" w:type="pct"/>
            <w:tcBorders>
              <w:top w:val="nil"/>
            </w:tcBorders>
            <w:noWrap/>
          </w:tcPr>
          <w:p w14:paraId="2094A021" w14:textId="77777777" w:rsidR="00A74226" w:rsidRDefault="00A74226" w:rsidP="005D2304">
            <w:pPr>
              <w:pStyle w:val="Tabletext0"/>
              <w:jc w:val="right"/>
            </w:pPr>
            <w:r>
              <w:t>[O – P]</w:t>
            </w:r>
          </w:p>
        </w:tc>
        <w:tc>
          <w:tcPr>
            <w:tcW w:w="835" w:type="pct"/>
            <w:tcBorders>
              <w:top w:val="nil"/>
            </w:tcBorders>
          </w:tcPr>
          <w:p w14:paraId="00CFCD7C" w14:textId="573A46D8" w:rsidR="00A74226" w:rsidRPr="00CE28E3" w:rsidRDefault="00A74226" w:rsidP="005D2304">
            <w:pPr>
              <w:pStyle w:val="Tabletext0"/>
              <w:jc w:val="right"/>
            </w:pPr>
            <w:r>
              <w:t>$[K</w:t>
            </w:r>
            <w:r w:rsidRPr="00446340">
              <w:t xml:space="preserve"> –</w:t>
            </w:r>
            <w:r>
              <w:t>L]/[O – P]</w:t>
            </w:r>
          </w:p>
        </w:tc>
      </w:tr>
    </w:tbl>
    <w:p w14:paraId="18B60A0A" w14:textId="60A98A4F" w:rsidR="00FC5603" w:rsidRDefault="00FC5603" w:rsidP="00A74226">
      <w:pPr>
        <w:pStyle w:val="TableFigureFooter"/>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3254ED56" w14:textId="718E7322" w:rsidR="00A74226" w:rsidRPr="00CE28E3" w:rsidRDefault="00A74226" w:rsidP="00B8535F">
      <w:pPr>
        <w:pStyle w:val="TableFigureFooter"/>
      </w:pPr>
      <w:r>
        <w:t>Note: Multiple outcomes may be informative for MSAC decision</w:t>
      </w:r>
      <w:r w:rsidR="00A662DC">
        <w:t xml:space="preserve"> </w:t>
      </w:r>
      <w:r>
        <w:t>making</w:t>
      </w:r>
      <w:r w:rsidR="00A662DC">
        <w:t>-</w:t>
      </w:r>
      <w:r>
        <w:t>within each step.</w:t>
      </w:r>
    </w:p>
    <w:p w14:paraId="515FB3B3" w14:textId="5E6003E2" w:rsidR="00FC5603" w:rsidRPr="00CE28E3" w:rsidRDefault="00FC5603" w:rsidP="00A662DC">
      <w:pPr>
        <w:pStyle w:val="Caption"/>
      </w:pPr>
      <w:bookmarkStart w:id="47" w:name="_Ref69725876"/>
      <w:bookmarkEnd w:id="46"/>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7</w:t>
      </w:r>
      <w:r w:rsidRPr="00CE28E3">
        <w:rPr>
          <w:noProof/>
        </w:rPr>
        <w:fldChar w:fldCharType="end"/>
      </w:r>
      <w:bookmarkEnd w:id="47"/>
      <w:r w:rsidRPr="00CE28E3">
        <w:t xml:space="preserve"> </w:t>
      </w:r>
      <w:r w:rsidRPr="00CE28E3">
        <w:tab/>
        <w:t>Results of the stepped economic analysis</w:t>
      </w:r>
      <w:r w:rsidRPr="00CE28E3">
        <w:rPr>
          <w:color w:val="385623" w:themeColor="accent6" w:themeShade="80"/>
        </w:rPr>
        <w:t xml:space="preserve"> </w:t>
      </w:r>
      <w:r w:rsidRPr="001D74A7">
        <w:rPr>
          <w:color w:val="258221"/>
        </w:rPr>
        <w:t>(investigative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498F309F"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01E6D06" w14:textId="7430F1C1" w:rsidR="00A662DC" w:rsidRPr="00CE28E3" w:rsidRDefault="00A662DC" w:rsidP="00A662DC">
            <w:pPr>
              <w:pStyle w:val="TableHeading"/>
            </w:pPr>
            <w:bookmarkStart w:id="48" w:name="Title_Table7" w:colFirst="0" w:colLast="0"/>
            <w:bookmarkStart w:id="49" w:name="_Hlk68276562"/>
            <w:r w:rsidRPr="00A662DC">
              <w:t>Step</w:t>
            </w:r>
          </w:p>
        </w:tc>
        <w:tc>
          <w:tcPr>
            <w:tcW w:w="734" w:type="pct"/>
            <w:noWrap/>
            <w:hideMark/>
          </w:tcPr>
          <w:p w14:paraId="0A496DB4" w14:textId="6FAFFCDE" w:rsidR="00A662DC" w:rsidRPr="00CE28E3" w:rsidRDefault="00A662DC" w:rsidP="00A662DC">
            <w:pPr>
              <w:pStyle w:val="TableHeading"/>
              <w:jc w:val="center"/>
            </w:pPr>
            <w:r>
              <w:t>[*</w:t>
            </w:r>
            <w:r w:rsidRPr="009E23EC">
              <w:t>Proposed health technology</w:t>
            </w:r>
            <w:r>
              <w:t>]</w:t>
            </w:r>
          </w:p>
        </w:tc>
        <w:tc>
          <w:tcPr>
            <w:tcW w:w="734" w:type="pct"/>
            <w:noWrap/>
            <w:hideMark/>
          </w:tcPr>
          <w:p w14:paraId="3E0242CB" w14:textId="2AC5533C" w:rsidR="00A662DC" w:rsidRPr="00CE28E3" w:rsidRDefault="00A662DC" w:rsidP="00A662DC">
            <w:pPr>
              <w:pStyle w:val="TableHeading"/>
              <w:jc w:val="center"/>
            </w:pPr>
            <w:r>
              <w:t>[*</w:t>
            </w:r>
            <w:r w:rsidRPr="009E23EC">
              <w:t>Main comparator</w:t>
            </w:r>
            <w:r>
              <w:t>]</w:t>
            </w:r>
          </w:p>
        </w:tc>
        <w:tc>
          <w:tcPr>
            <w:tcW w:w="734" w:type="pct"/>
            <w:noWrap/>
            <w:hideMark/>
          </w:tcPr>
          <w:p w14:paraId="77C94C9F" w14:textId="77777777" w:rsidR="00A662DC" w:rsidRPr="00CE28E3" w:rsidRDefault="00A662DC" w:rsidP="00A662DC">
            <w:pPr>
              <w:pStyle w:val="TableHeading"/>
              <w:jc w:val="center"/>
            </w:pPr>
            <w:r w:rsidRPr="009E23EC">
              <w:t>Increment</w:t>
            </w:r>
          </w:p>
        </w:tc>
        <w:tc>
          <w:tcPr>
            <w:tcW w:w="835" w:type="pct"/>
          </w:tcPr>
          <w:p w14:paraId="008D58AA" w14:textId="77777777" w:rsidR="00A662DC" w:rsidRPr="00CE28E3" w:rsidRDefault="00A662DC" w:rsidP="00A662DC">
            <w:pPr>
              <w:pStyle w:val="TableHeading"/>
              <w:jc w:val="center"/>
            </w:pPr>
            <w:r w:rsidRPr="00CE28E3">
              <w:t>ICER</w:t>
            </w:r>
          </w:p>
        </w:tc>
      </w:tr>
      <w:bookmarkEnd w:id="48"/>
      <w:tr w:rsidR="00A662DC" w:rsidRPr="00CE28E3" w14:paraId="128B40CF" w14:textId="77777777" w:rsidTr="005D2304">
        <w:trPr>
          <w:cantSplit/>
          <w:trHeight w:val="300"/>
        </w:trPr>
        <w:tc>
          <w:tcPr>
            <w:tcW w:w="5000" w:type="pct"/>
            <w:gridSpan w:val="5"/>
            <w:tcBorders>
              <w:bottom w:val="single" w:sz="4" w:space="0" w:color="auto"/>
            </w:tcBorders>
            <w:noWrap/>
            <w:hideMark/>
          </w:tcPr>
          <w:p w14:paraId="15492CD1" w14:textId="28D8762D" w:rsidR="00A662DC" w:rsidRDefault="00A662DC" w:rsidP="00A662DC">
            <w:pPr>
              <w:pStyle w:val="Tabletext0"/>
              <w:keepNext/>
            </w:pPr>
            <w:r>
              <w:t xml:space="preserve">Step 1 – Comparative diagnostic accuracy, as applied to the prevalence in the eligible Australian population </w:t>
            </w:r>
          </w:p>
          <w:p w14:paraId="3348FFD4" w14:textId="77777777" w:rsidR="00A662DC" w:rsidRPr="00CE28E3" w:rsidRDefault="00A662DC" w:rsidP="00A662DC">
            <w:pPr>
              <w:pStyle w:val="Tabletext0"/>
              <w:keepNext/>
            </w:pPr>
            <w:r>
              <w:t>Time horizon: time to reach a diagnosis</w:t>
            </w:r>
          </w:p>
        </w:tc>
      </w:tr>
      <w:tr w:rsidR="00A662DC" w:rsidRPr="00CE28E3" w14:paraId="5F03E0E7" w14:textId="77777777" w:rsidTr="005D2304">
        <w:trPr>
          <w:cantSplit/>
          <w:trHeight w:val="300"/>
        </w:trPr>
        <w:tc>
          <w:tcPr>
            <w:tcW w:w="1963" w:type="pct"/>
            <w:tcBorders>
              <w:bottom w:val="nil"/>
            </w:tcBorders>
            <w:noWrap/>
          </w:tcPr>
          <w:p w14:paraId="0342020C" w14:textId="77777777" w:rsidR="00A662DC" w:rsidRPr="00CE28E3" w:rsidRDefault="00A662DC" w:rsidP="00A662DC">
            <w:pPr>
              <w:pStyle w:val="Tabletext0"/>
              <w:keepNext/>
            </w:pPr>
            <w:r>
              <w:t>Costs</w:t>
            </w:r>
          </w:p>
        </w:tc>
        <w:tc>
          <w:tcPr>
            <w:tcW w:w="734" w:type="pct"/>
            <w:tcBorders>
              <w:bottom w:val="nil"/>
            </w:tcBorders>
            <w:noWrap/>
          </w:tcPr>
          <w:p w14:paraId="1655265B" w14:textId="77777777" w:rsidR="00A662DC" w:rsidRPr="00CE28E3" w:rsidRDefault="00A662DC" w:rsidP="00A662DC">
            <w:pPr>
              <w:pStyle w:val="Tabletext0"/>
              <w:keepNext/>
              <w:jc w:val="right"/>
            </w:pPr>
            <w:r>
              <w:t>$</w:t>
            </w:r>
            <w:r w:rsidRPr="00447AE9">
              <w:t>[A]</w:t>
            </w:r>
          </w:p>
        </w:tc>
        <w:tc>
          <w:tcPr>
            <w:tcW w:w="734" w:type="pct"/>
            <w:tcBorders>
              <w:bottom w:val="nil"/>
            </w:tcBorders>
            <w:noWrap/>
          </w:tcPr>
          <w:p w14:paraId="5BAD3A0A" w14:textId="77777777" w:rsidR="00A662DC" w:rsidRPr="00CE28E3" w:rsidRDefault="00A662DC" w:rsidP="00A662DC">
            <w:pPr>
              <w:pStyle w:val="Tabletext0"/>
              <w:keepNext/>
              <w:jc w:val="right"/>
            </w:pPr>
            <w:r>
              <w:t>$</w:t>
            </w:r>
            <w:r w:rsidRPr="00447AE9">
              <w:t>[B]</w:t>
            </w:r>
          </w:p>
        </w:tc>
        <w:tc>
          <w:tcPr>
            <w:tcW w:w="734" w:type="pct"/>
            <w:tcBorders>
              <w:bottom w:val="nil"/>
            </w:tcBorders>
            <w:noWrap/>
          </w:tcPr>
          <w:p w14:paraId="1F987F55" w14:textId="77777777" w:rsidR="00A662DC" w:rsidRPr="00CE28E3" w:rsidRDefault="00A662DC" w:rsidP="00A662DC">
            <w:pPr>
              <w:pStyle w:val="Tabletext0"/>
              <w:keepNext/>
              <w:jc w:val="right"/>
            </w:pPr>
            <w:r>
              <w:t>$</w:t>
            </w:r>
            <w:r w:rsidRPr="00447AE9">
              <w:t>[A – B]</w:t>
            </w:r>
          </w:p>
        </w:tc>
        <w:tc>
          <w:tcPr>
            <w:tcW w:w="835" w:type="pct"/>
            <w:tcBorders>
              <w:bottom w:val="nil"/>
            </w:tcBorders>
          </w:tcPr>
          <w:p w14:paraId="3859905C" w14:textId="77777777" w:rsidR="00A662DC" w:rsidRPr="00CE28E3" w:rsidRDefault="00A662DC" w:rsidP="00A662DC">
            <w:pPr>
              <w:pStyle w:val="Tabletext0"/>
              <w:keepNext/>
              <w:jc w:val="right"/>
            </w:pPr>
          </w:p>
        </w:tc>
      </w:tr>
      <w:tr w:rsidR="00A662DC" w:rsidRPr="00CE28E3" w14:paraId="23CF53F3" w14:textId="77777777" w:rsidTr="005D2304">
        <w:trPr>
          <w:cantSplit/>
          <w:trHeight w:val="300"/>
        </w:trPr>
        <w:tc>
          <w:tcPr>
            <w:tcW w:w="1963" w:type="pct"/>
            <w:tcBorders>
              <w:top w:val="nil"/>
            </w:tcBorders>
            <w:noWrap/>
          </w:tcPr>
          <w:p w14:paraId="32D7E2B3" w14:textId="77777777" w:rsidR="00A662DC" w:rsidRDefault="00A662DC" w:rsidP="00A662DC">
            <w:pPr>
              <w:pStyle w:val="Tabletext0"/>
              <w:keepNext/>
            </w:pPr>
            <w:r>
              <w:t>Total correct diagnoses</w:t>
            </w:r>
          </w:p>
        </w:tc>
        <w:tc>
          <w:tcPr>
            <w:tcW w:w="734" w:type="pct"/>
            <w:tcBorders>
              <w:top w:val="nil"/>
            </w:tcBorders>
            <w:noWrap/>
          </w:tcPr>
          <w:p w14:paraId="1F20AC45" w14:textId="77777777" w:rsidR="00A662DC" w:rsidRPr="00CE28E3" w:rsidRDefault="00A662DC" w:rsidP="00A662DC">
            <w:pPr>
              <w:pStyle w:val="Tabletext0"/>
              <w:keepNext/>
              <w:jc w:val="right"/>
            </w:pPr>
            <w:r>
              <w:t>[C]</w:t>
            </w:r>
          </w:p>
        </w:tc>
        <w:tc>
          <w:tcPr>
            <w:tcW w:w="734" w:type="pct"/>
            <w:tcBorders>
              <w:top w:val="nil"/>
            </w:tcBorders>
            <w:noWrap/>
          </w:tcPr>
          <w:p w14:paraId="437D923B" w14:textId="77777777" w:rsidR="00A662DC" w:rsidRPr="00CE28E3" w:rsidRDefault="00A662DC" w:rsidP="00A662DC">
            <w:pPr>
              <w:pStyle w:val="Tabletext0"/>
              <w:keepNext/>
              <w:jc w:val="right"/>
            </w:pPr>
            <w:r>
              <w:t>[D]</w:t>
            </w:r>
          </w:p>
        </w:tc>
        <w:tc>
          <w:tcPr>
            <w:tcW w:w="734" w:type="pct"/>
            <w:tcBorders>
              <w:top w:val="nil"/>
            </w:tcBorders>
            <w:noWrap/>
          </w:tcPr>
          <w:p w14:paraId="435FBFFE" w14:textId="77777777" w:rsidR="00A662DC" w:rsidRPr="00CE28E3" w:rsidRDefault="00A662DC" w:rsidP="00A662DC">
            <w:pPr>
              <w:pStyle w:val="Tabletext0"/>
              <w:keepNext/>
              <w:jc w:val="right"/>
            </w:pPr>
            <w:r>
              <w:t>[C – D]</w:t>
            </w:r>
          </w:p>
        </w:tc>
        <w:tc>
          <w:tcPr>
            <w:tcW w:w="835" w:type="pct"/>
            <w:tcBorders>
              <w:top w:val="nil"/>
            </w:tcBorders>
          </w:tcPr>
          <w:p w14:paraId="4B5555F4" w14:textId="77777777" w:rsidR="00A662DC" w:rsidRPr="00CE28E3" w:rsidRDefault="00A662DC" w:rsidP="00A662DC">
            <w:pPr>
              <w:pStyle w:val="Tabletext0"/>
              <w:keepNext/>
              <w:jc w:val="right"/>
            </w:pPr>
            <w:r>
              <w:t>$[</w:t>
            </w:r>
            <w:r w:rsidRPr="00446340">
              <w:t>A – B</w:t>
            </w:r>
            <w:r>
              <w:t>]/[C – D]</w:t>
            </w:r>
          </w:p>
        </w:tc>
      </w:tr>
      <w:tr w:rsidR="00A662DC" w:rsidRPr="00CE28E3" w14:paraId="6B4233EA" w14:textId="77777777" w:rsidTr="005D2304">
        <w:trPr>
          <w:cantSplit/>
          <w:trHeight w:val="300"/>
        </w:trPr>
        <w:tc>
          <w:tcPr>
            <w:tcW w:w="5000" w:type="pct"/>
            <w:gridSpan w:val="5"/>
            <w:tcBorders>
              <w:bottom w:val="single" w:sz="4" w:space="0" w:color="auto"/>
            </w:tcBorders>
            <w:noWrap/>
            <w:hideMark/>
          </w:tcPr>
          <w:p w14:paraId="63D450BD" w14:textId="4F105C08" w:rsidR="00A662DC" w:rsidRPr="00CE28E3" w:rsidRDefault="00A662DC" w:rsidP="00A662DC">
            <w:pPr>
              <w:pStyle w:val="TableText"/>
              <w:keepNext/>
            </w:pPr>
            <w:r w:rsidRPr="00CE28E3">
              <w:t xml:space="preserve">Step 2 </w:t>
            </w:r>
            <w:r>
              <w:t>–</w:t>
            </w:r>
            <w:r w:rsidRPr="00CE28E3">
              <w:t xml:space="preserve"> Incorporation of repeat or confirmatory testing, which may affect final diagnostic conclusions</w:t>
            </w:r>
          </w:p>
          <w:p w14:paraId="632A5D17" w14:textId="77777777" w:rsidR="00A662DC" w:rsidRPr="00CE28E3" w:rsidRDefault="00A662DC" w:rsidP="00A662DC">
            <w:pPr>
              <w:pStyle w:val="Tabletext0"/>
              <w:keepNext/>
              <w:jc w:val="left"/>
            </w:pPr>
            <w:r w:rsidRPr="00CE28E3">
              <w:t>Time horizon: time to reach a diagnosis</w:t>
            </w:r>
          </w:p>
        </w:tc>
      </w:tr>
      <w:tr w:rsidR="00A662DC" w:rsidRPr="00CE28E3" w14:paraId="50B57975" w14:textId="77777777" w:rsidTr="005D2304">
        <w:trPr>
          <w:cantSplit/>
          <w:trHeight w:val="300"/>
        </w:trPr>
        <w:tc>
          <w:tcPr>
            <w:tcW w:w="1963" w:type="pct"/>
            <w:tcBorders>
              <w:bottom w:val="nil"/>
            </w:tcBorders>
            <w:noWrap/>
          </w:tcPr>
          <w:p w14:paraId="65CE7BCF" w14:textId="77777777" w:rsidR="00A662DC" w:rsidRPr="00CE28E3" w:rsidRDefault="00A662DC" w:rsidP="00A662DC">
            <w:pPr>
              <w:pStyle w:val="Tabletext0"/>
              <w:keepNext/>
            </w:pPr>
            <w:r>
              <w:t>Costs</w:t>
            </w:r>
          </w:p>
        </w:tc>
        <w:tc>
          <w:tcPr>
            <w:tcW w:w="734" w:type="pct"/>
            <w:tcBorders>
              <w:bottom w:val="nil"/>
            </w:tcBorders>
            <w:noWrap/>
          </w:tcPr>
          <w:p w14:paraId="3D70B24E" w14:textId="77777777" w:rsidR="00A662DC" w:rsidRPr="00CE28E3" w:rsidRDefault="00A662DC" w:rsidP="00A662DC">
            <w:pPr>
              <w:pStyle w:val="Tabletext0"/>
              <w:keepNext/>
              <w:jc w:val="right"/>
            </w:pPr>
            <w:r>
              <w:t>$[E]</w:t>
            </w:r>
          </w:p>
        </w:tc>
        <w:tc>
          <w:tcPr>
            <w:tcW w:w="734" w:type="pct"/>
            <w:tcBorders>
              <w:bottom w:val="nil"/>
            </w:tcBorders>
            <w:noWrap/>
          </w:tcPr>
          <w:p w14:paraId="277528B6" w14:textId="77777777" w:rsidR="00A662DC" w:rsidRPr="00CE28E3" w:rsidRDefault="00A662DC" w:rsidP="00A662DC">
            <w:pPr>
              <w:pStyle w:val="Tabletext0"/>
              <w:keepNext/>
              <w:jc w:val="right"/>
            </w:pPr>
            <w:r>
              <w:t>$[F]</w:t>
            </w:r>
          </w:p>
        </w:tc>
        <w:tc>
          <w:tcPr>
            <w:tcW w:w="734" w:type="pct"/>
            <w:tcBorders>
              <w:bottom w:val="nil"/>
            </w:tcBorders>
            <w:noWrap/>
          </w:tcPr>
          <w:p w14:paraId="54A7A7CE" w14:textId="77777777" w:rsidR="00A662DC" w:rsidRPr="00CE28E3" w:rsidRDefault="00A662DC" w:rsidP="00A662DC">
            <w:pPr>
              <w:pStyle w:val="Tabletext0"/>
              <w:keepNext/>
              <w:jc w:val="right"/>
            </w:pPr>
            <w:r>
              <w:t>$</w:t>
            </w:r>
            <w:r w:rsidRPr="00447AE9">
              <w:t>[</w:t>
            </w:r>
            <w:r>
              <w:t>E</w:t>
            </w:r>
            <w:r w:rsidRPr="00447AE9">
              <w:t xml:space="preserve"> – </w:t>
            </w:r>
            <w:r>
              <w:t>F</w:t>
            </w:r>
            <w:r w:rsidRPr="00447AE9">
              <w:t>]</w:t>
            </w:r>
          </w:p>
        </w:tc>
        <w:tc>
          <w:tcPr>
            <w:tcW w:w="835" w:type="pct"/>
            <w:tcBorders>
              <w:bottom w:val="nil"/>
            </w:tcBorders>
          </w:tcPr>
          <w:p w14:paraId="3EDD73EF" w14:textId="77777777" w:rsidR="00A662DC" w:rsidRPr="00CE28E3" w:rsidRDefault="00A662DC" w:rsidP="00A662DC">
            <w:pPr>
              <w:pStyle w:val="Tabletext0"/>
              <w:keepNext/>
              <w:jc w:val="right"/>
            </w:pPr>
          </w:p>
        </w:tc>
      </w:tr>
      <w:tr w:rsidR="00A662DC" w:rsidRPr="00CE28E3" w14:paraId="7FA551E8" w14:textId="77777777" w:rsidTr="005D2304">
        <w:trPr>
          <w:cantSplit/>
          <w:trHeight w:val="300"/>
        </w:trPr>
        <w:tc>
          <w:tcPr>
            <w:tcW w:w="1963" w:type="pct"/>
            <w:tcBorders>
              <w:top w:val="nil"/>
            </w:tcBorders>
            <w:noWrap/>
          </w:tcPr>
          <w:p w14:paraId="5D014AFA" w14:textId="77777777" w:rsidR="00A662DC" w:rsidRDefault="00A662DC" w:rsidP="00A662DC">
            <w:pPr>
              <w:pStyle w:val="Tabletext0"/>
              <w:keepNext/>
            </w:pPr>
            <w:r>
              <w:t>Total correct final diagnoses</w:t>
            </w:r>
          </w:p>
        </w:tc>
        <w:tc>
          <w:tcPr>
            <w:tcW w:w="734" w:type="pct"/>
            <w:tcBorders>
              <w:top w:val="nil"/>
            </w:tcBorders>
            <w:noWrap/>
          </w:tcPr>
          <w:p w14:paraId="15A651FB" w14:textId="77777777" w:rsidR="00A662DC" w:rsidRPr="00CE28E3" w:rsidRDefault="00A662DC" w:rsidP="00A662DC">
            <w:pPr>
              <w:pStyle w:val="Tabletext0"/>
              <w:keepNext/>
              <w:jc w:val="right"/>
            </w:pPr>
            <w:r>
              <w:t>[G]</w:t>
            </w:r>
          </w:p>
        </w:tc>
        <w:tc>
          <w:tcPr>
            <w:tcW w:w="734" w:type="pct"/>
            <w:tcBorders>
              <w:top w:val="nil"/>
            </w:tcBorders>
            <w:noWrap/>
          </w:tcPr>
          <w:p w14:paraId="28A3D903" w14:textId="77777777" w:rsidR="00A662DC" w:rsidRPr="00CE28E3" w:rsidRDefault="00A662DC" w:rsidP="00A662DC">
            <w:pPr>
              <w:pStyle w:val="Tabletext0"/>
              <w:keepNext/>
              <w:jc w:val="right"/>
            </w:pPr>
            <w:r>
              <w:t>[H]</w:t>
            </w:r>
          </w:p>
        </w:tc>
        <w:tc>
          <w:tcPr>
            <w:tcW w:w="734" w:type="pct"/>
            <w:tcBorders>
              <w:top w:val="nil"/>
            </w:tcBorders>
            <w:noWrap/>
          </w:tcPr>
          <w:p w14:paraId="30C8FEDD" w14:textId="77777777" w:rsidR="00A662DC" w:rsidRPr="00CE28E3" w:rsidRDefault="00A662DC" w:rsidP="00A662DC">
            <w:pPr>
              <w:pStyle w:val="Tabletext0"/>
              <w:keepNext/>
              <w:jc w:val="right"/>
            </w:pPr>
            <w:r>
              <w:t>[G – H]</w:t>
            </w:r>
          </w:p>
        </w:tc>
        <w:tc>
          <w:tcPr>
            <w:tcW w:w="835" w:type="pct"/>
            <w:tcBorders>
              <w:top w:val="nil"/>
            </w:tcBorders>
          </w:tcPr>
          <w:p w14:paraId="29E635A9" w14:textId="77777777" w:rsidR="00A662DC" w:rsidRPr="00CE28E3" w:rsidRDefault="00A662DC" w:rsidP="00A662DC">
            <w:pPr>
              <w:pStyle w:val="Tabletext0"/>
              <w:keepNext/>
              <w:jc w:val="right"/>
            </w:pPr>
            <w:r>
              <w:t>$[E</w:t>
            </w:r>
            <w:r w:rsidRPr="00446340">
              <w:t xml:space="preserve"> – </w:t>
            </w:r>
            <w:r>
              <w:t>F]/[G – H]</w:t>
            </w:r>
          </w:p>
        </w:tc>
      </w:tr>
      <w:tr w:rsidR="00A662DC" w:rsidRPr="00CE28E3" w14:paraId="5F4CD620" w14:textId="77777777" w:rsidTr="005D2304">
        <w:trPr>
          <w:cantSplit/>
          <w:trHeight w:val="300"/>
        </w:trPr>
        <w:tc>
          <w:tcPr>
            <w:tcW w:w="5000" w:type="pct"/>
            <w:gridSpan w:val="5"/>
            <w:tcBorders>
              <w:bottom w:val="single" w:sz="4" w:space="0" w:color="auto"/>
            </w:tcBorders>
            <w:noWrap/>
          </w:tcPr>
          <w:p w14:paraId="0444365C" w14:textId="526D883D" w:rsidR="00A662DC" w:rsidRDefault="00A662DC" w:rsidP="00A662DC">
            <w:pPr>
              <w:pStyle w:val="Tabletext0"/>
              <w:keepNext/>
            </w:pPr>
            <w:r>
              <w:t>Step 3 – Uptake of treatment, or other change in clinical management, by final test result</w:t>
            </w:r>
          </w:p>
          <w:p w14:paraId="47E60B50" w14:textId="77777777" w:rsidR="00A662DC" w:rsidRPr="00CE28E3" w:rsidRDefault="00A662DC" w:rsidP="00A662DC">
            <w:pPr>
              <w:pStyle w:val="Tabletext0"/>
              <w:keepNext/>
              <w:jc w:val="left"/>
            </w:pPr>
            <w:r>
              <w:t>Time horizon: time to treatment allocation decision</w:t>
            </w:r>
          </w:p>
        </w:tc>
      </w:tr>
      <w:tr w:rsidR="00A662DC" w:rsidRPr="00CE28E3" w14:paraId="0E60DC45" w14:textId="77777777" w:rsidTr="005D2304">
        <w:trPr>
          <w:cantSplit/>
          <w:trHeight w:val="300"/>
        </w:trPr>
        <w:tc>
          <w:tcPr>
            <w:tcW w:w="1963" w:type="pct"/>
            <w:tcBorders>
              <w:bottom w:val="nil"/>
            </w:tcBorders>
            <w:noWrap/>
          </w:tcPr>
          <w:p w14:paraId="21BF7034" w14:textId="77777777" w:rsidR="00A662DC" w:rsidRPr="00CE28E3" w:rsidRDefault="00A662DC" w:rsidP="00A662DC">
            <w:pPr>
              <w:pStyle w:val="Tabletext0"/>
              <w:keepNext/>
            </w:pPr>
            <w:r>
              <w:t>Costs</w:t>
            </w:r>
          </w:p>
        </w:tc>
        <w:tc>
          <w:tcPr>
            <w:tcW w:w="734" w:type="pct"/>
            <w:tcBorders>
              <w:bottom w:val="nil"/>
            </w:tcBorders>
            <w:noWrap/>
          </w:tcPr>
          <w:p w14:paraId="484047EB" w14:textId="77777777" w:rsidR="00A662DC" w:rsidRPr="00CE28E3" w:rsidRDefault="00A662DC" w:rsidP="00A662DC">
            <w:pPr>
              <w:pStyle w:val="Tabletext0"/>
              <w:keepNext/>
              <w:jc w:val="right"/>
            </w:pPr>
            <w:r>
              <w:t>$[I]</w:t>
            </w:r>
          </w:p>
        </w:tc>
        <w:tc>
          <w:tcPr>
            <w:tcW w:w="734" w:type="pct"/>
            <w:tcBorders>
              <w:bottom w:val="nil"/>
            </w:tcBorders>
            <w:noWrap/>
          </w:tcPr>
          <w:p w14:paraId="6513D1B8" w14:textId="77777777" w:rsidR="00A662DC" w:rsidRPr="00CE28E3" w:rsidRDefault="00A662DC" w:rsidP="00A662DC">
            <w:pPr>
              <w:pStyle w:val="Tabletext0"/>
              <w:keepNext/>
              <w:jc w:val="right"/>
            </w:pPr>
            <w:r>
              <w:t>$[J]</w:t>
            </w:r>
          </w:p>
        </w:tc>
        <w:tc>
          <w:tcPr>
            <w:tcW w:w="734" w:type="pct"/>
            <w:tcBorders>
              <w:bottom w:val="nil"/>
            </w:tcBorders>
            <w:noWrap/>
          </w:tcPr>
          <w:p w14:paraId="44616765" w14:textId="4A75362A" w:rsidR="00A662DC" w:rsidRPr="00CE28E3" w:rsidRDefault="00A662DC" w:rsidP="00A662DC">
            <w:pPr>
              <w:pStyle w:val="Tabletext0"/>
              <w:keepNext/>
              <w:jc w:val="right"/>
            </w:pPr>
            <w:r>
              <w:t>$</w:t>
            </w:r>
            <w:r w:rsidRPr="00447AE9">
              <w:t>[</w:t>
            </w:r>
            <w:r>
              <w:t>I</w:t>
            </w:r>
            <w:r w:rsidRPr="00447AE9">
              <w:t xml:space="preserve"> – </w:t>
            </w:r>
            <w:r>
              <w:t>J</w:t>
            </w:r>
            <w:r w:rsidRPr="00447AE9">
              <w:t>]</w:t>
            </w:r>
          </w:p>
        </w:tc>
        <w:tc>
          <w:tcPr>
            <w:tcW w:w="835" w:type="pct"/>
            <w:tcBorders>
              <w:bottom w:val="nil"/>
            </w:tcBorders>
          </w:tcPr>
          <w:p w14:paraId="67C86894" w14:textId="77777777" w:rsidR="00A662DC" w:rsidRPr="00CE28E3" w:rsidRDefault="00A662DC" w:rsidP="00A662DC">
            <w:pPr>
              <w:pStyle w:val="Tabletext0"/>
              <w:keepNext/>
              <w:jc w:val="right"/>
            </w:pPr>
          </w:p>
        </w:tc>
      </w:tr>
      <w:tr w:rsidR="00A662DC" w:rsidRPr="00CE28E3" w14:paraId="5C2F188F" w14:textId="77777777" w:rsidTr="005D2304">
        <w:trPr>
          <w:cantSplit/>
          <w:trHeight w:val="300"/>
        </w:trPr>
        <w:tc>
          <w:tcPr>
            <w:tcW w:w="1963" w:type="pct"/>
            <w:tcBorders>
              <w:top w:val="nil"/>
            </w:tcBorders>
            <w:noWrap/>
          </w:tcPr>
          <w:p w14:paraId="34EF0920" w14:textId="77777777" w:rsidR="00A662DC" w:rsidRDefault="00A662DC" w:rsidP="00A662DC">
            <w:pPr>
              <w:pStyle w:val="Tabletext0"/>
              <w:keepNext/>
            </w:pPr>
            <w:r>
              <w:t>Appropriate management allocation</w:t>
            </w:r>
          </w:p>
        </w:tc>
        <w:tc>
          <w:tcPr>
            <w:tcW w:w="734" w:type="pct"/>
            <w:tcBorders>
              <w:top w:val="nil"/>
            </w:tcBorders>
            <w:noWrap/>
          </w:tcPr>
          <w:p w14:paraId="513DE418" w14:textId="77777777" w:rsidR="00A662DC" w:rsidRDefault="00A662DC" w:rsidP="00A662DC">
            <w:pPr>
              <w:pStyle w:val="Tabletext0"/>
              <w:keepNext/>
              <w:jc w:val="right"/>
            </w:pPr>
            <w:r>
              <w:t>[K]</w:t>
            </w:r>
          </w:p>
        </w:tc>
        <w:tc>
          <w:tcPr>
            <w:tcW w:w="734" w:type="pct"/>
            <w:tcBorders>
              <w:top w:val="nil"/>
            </w:tcBorders>
            <w:noWrap/>
          </w:tcPr>
          <w:p w14:paraId="4E6453E5" w14:textId="77777777" w:rsidR="00A662DC" w:rsidRDefault="00A662DC" w:rsidP="00A662DC">
            <w:pPr>
              <w:pStyle w:val="Tabletext0"/>
              <w:keepNext/>
              <w:jc w:val="right"/>
            </w:pPr>
            <w:r>
              <w:t>[L]</w:t>
            </w:r>
          </w:p>
        </w:tc>
        <w:tc>
          <w:tcPr>
            <w:tcW w:w="734" w:type="pct"/>
            <w:tcBorders>
              <w:top w:val="nil"/>
            </w:tcBorders>
            <w:noWrap/>
          </w:tcPr>
          <w:p w14:paraId="79F35699" w14:textId="0DABD3A9" w:rsidR="00A662DC" w:rsidRDefault="00A662DC" w:rsidP="00A662DC">
            <w:pPr>
              <w:pStyle w:val="Tabletext0"/>
              <w:keepNext/>
              <w:jc w:val="right"/>
            </w:pPr>
            <w:r>
              <w:t>[K – L]</w:t>
            </w:r>
          </w:p>
        </w:tc>
        <w:tc>
          <w:tcPr>
            <w:tcW w:w="835" w:type="pct"/>
            <w:tcBorders>
              <w:top w:val="nil"/>
            </w:tcBorders>
          </w:tcPr>
          <w:p w14:paraId="074E26B1" w14:textId="77777777" w:rsidR="00A662DC" w:rsidRPr="00CE28E3" w:rsidRDefault="00A662DC" w:rsidP="00A662DC">
            <w:pPr>
              <w:pStyle w:val="Tabletext0"/>
              <w:keepNext/>
              <w:jc w:val="right"/>
            </w:pPr>
            <w:r>
              <w:t>$[I</w:t>
            </w:r>
            <w:r w:rsidRPr="00446340">
              <w:t xml:space="preserve"> – </w:t>
            </w:r>
            <w:r>
              <w:t>J]/[K – L]</w:t>
            </w:r>
          </w:p>
        </w:tc>
      </w:tr>
      <w:tr w:rsidR="00A662DC" w:rsidRPr="00CE28E3" w14:paraId="00F707E9" w14:textId="77777777" w:rsidTr="005D2304">
        <w:trPr>
          <w:cantSplit/>
          <w:trHeight w:val="300"/>
        </w:trPr>
        <w:tc>
          <w:tcPr>
            <w:tcW w:w="5000" w:type="pct"/>
            <w:gridSpan w:val="5"/>
            <w:noWrap/>
          </w:tcPr>
          <w:p w14:paraId="15CE1200" w14:textId="03CC5F38" w:rsidR="00A662DC" w:rsidRDefault="00A662DC" w:rsidP="00A662DC">
            <w:pPr>
              <w:pStyle w:val="Tabletext0"/>
              <w:keepNext/>
            </w:pPr>
            <w:r>
              <w:t>Step 4 – Incorporation of effectiveness of treatment (e.g. survival benefit) translated to the Australian population and/or setting, and extrapolated to the appropriate time horizon (may need multiple steps)</w:t>
            </w:r>
          </w:p>
          <w:p w14:paraId="1D953AA2" w14:textId="77777777" w:rsidR="00A662DC" w:rsidRPr="00CE28E3" w:rsidRDefault="00A662DC" w:rsidP="00A662DC">
            <w:pPr>
              <w:pStyle w:val="Tabletext0"/>
              <w:keepNext/>
              <w:jc w:val="left"/>
            </w:pPr>
            <w:r>
              <w:t>Time horizon: appropriate time horizon to capture differences in costs and outcomes due to changes in treatment allocation decisions (e.g. lifetime)</w:t>
            </w:r>
          </w:p>
        </w:tc>
      </w:tr>
      <w:tr w:rsidR="00A662DC" w:rsidRPr="00CE28E3" w14:paraId="69387F67" w14:textId="77777777" w:rsidTr="005D2304">
        <w:trPr>
          <w:cantSplit/>
          <w:trHeight w:val="300"/>
        </w:trPr>
        <w:tc>
          <w:tcPr>
            <w:tcW w:w="1963" w:type="pct"/>
            <w:tcBorders>
              <w:bottom w:val="nil"/>
            </w:tcBorders>
            <w:noWrap/>
          </w:tcPr>
          <w:p w14:paraId="1FF72BD2" w14:textId="77777777" w:rsidR="00A662DC" w:rsidRPr="00CE28E3" w:rsidRDefault="00A662DC" w:rsidP="00A662DC">
            <w:pPr>
              <w:pStyle w:val="Tabletext0"/>
              <w:keepNext/>
            </w:pPr>
            <w:r>
              <w:t>Costs</w:t>
            </w:r>
          </w:p>
        </w:tc>
        <w:tc>
          <w:tcPr>
            <w:tcW w:w="734" w:type="pct"/>
            <w:tcBorders>
              <w:bottom w:val="nil"/>
            </w:tcBorders>
            <w:noWrap/>
          </w:tcPr>
          <w:p w14:paraId="6858D747" w14:textId="77777777" w:rsidR="00A662DC" w:rsidRPr="00CE28E3" w:rsidRDefault="00A662DC" w:rsidP="00A662DC">
            <w:pPr>
              <w:pStyle w:val="Tabletext0"/>
              <w:keepNext/>
              <w:jc w:val="right"/>
            </w:pPr>
            <w:r>
              <w:t>$[M]</w:t>
            </w:r>
          </w:p>
        </w:tc>
        <w:tc>
          <w:tcPr>
            <w:tcW w:w="734" w:type="pct"/>
            <w:tcBorders>
              <w:bottom w:val="nil"/>
            </w:tcBorders>
            <w:noWrap/>
          </w:tcPr>
          <w:p w14:paraId="3347A8C8" w14:textId="77777777" w:rsidR="00A662DC" w:rsidRPr="00CE28E3" w:rsidRDefault="00A662DC" w:rsidP="00A662DC">
            <w:pPr>
              <w:pStyle w:val="Tabletext0"/>
              <w:keepNext/>
              <w:jc w:val="right"/>
            </w:pPr>
            <w:r>
              <w:t>$[N]</w:t>
            </w:r>
          </w:p>
        </w:tc>
        <w:tc>
          <w:tcPr>
            <w:tcW w:w="734" w:type="pct"/>
            <w:tcBorders>
              <w:bottom w:val="nil"/>
            </w:tcBorders>
            <w:noWrap/>
          </w:tcPr>
          <w:p w14:paraId="5F22C4B1"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53E09171" w14:textId="77777777" w:rsidR="00A662DC" w:rsidRPr="00CE28E3" w:rsidRDefault="00A662DC" w:rsidP="00A662DC">
            <w:pPr>
              <w:pStyle w:val="Tabletext0"/>
              <w:keepNext/>
              <w:jc w:val="right"/>
            </w:pPr>
          </w:p>
        </w:tc>
      </w:tr>
      <w:tr w:rsidR="00A662DC" w:rsidRPr="00CE28E3" w14:paraId="50E4DEDE" w14:textId="77777777" w:rsidTr="005D2304">
        <w:trPr>
          <w:cantSplit/>
          <w:trHeight w:val="300"/>
        </w:trPr>
        <w:tc>
          <w:tcPr>
            <w:tcW w:w="1963" w:type="pct"/>
            <w:tcBorders>
              <w:top w:val="nil"/>
            </w:tcBorders>
            <w:noWrap/>
          </w:tcPr>
          <w:p w14:paraId="377C8D14" w14:textId="4B278750" w:rsidR="00A662DC" w:rsidRDefault="00A662DC" w:rsidP="00A662DC">
            <w:pPr>
              <w:pStyle w:val="Tabletext0"/>
              <w:keepNext/>
            </w:pPr>
            <w:r>
              <w:t>Life years gained</w:t>
            </w:r>
          </w:p>
        </w:tc>
        <w:tc>
          <w:tcPr>
            <w:tcW w:w="734" w:type="pct"/>
            <w:tcBorders>
              <w:top w:val="nil"/>
            </w:tcBorders>
            <w:noWrap/>
          </w:tcPr>
          <w:p w14:paraId="403CF901" w14:textId="77777777" w:rsidR="00A662DC" w:rsidRDefault="00A662DC" w:rsidP="00A662DC">
            <w:pPr>
              <w:pStyle w:val="Tabletext0"/>
              <w:keepNext/>
              <w:jc w:val="right"/>
            </w:pPr>
            <w:r>
              <w:t>[O]</w:t>
            </w:r>
          </w:p>
        </w:tc>
        <w:tc>
          <w:tcPr>
            <w:tcW w:w="734" w:type="pct"/>
            <w:tcBorders>
              <w:top w:val="nil"/>
            </w:tcBorders>
            <w:noWrap/>
          </w:tcPr>
          <w:p w14:paraId="7E2972CD" w14:textId="77777777" w:rsidR="00A662DC" w:rsidRDefault="00A662DC" w:rsidP="00A662DC">
            <w:pPr>
              <w:pStyle w:val="Tabletext0"/>
              <w:keepNext/>
              <w:jc w:val="right"/>
            </w:pPr>
            <w:r>
              <w:t>[P]</w:t>
            </w:r>
          </w:p>
        </w:tc>
        <w:tc>
          <w:tcPr>
            <w:tcW w:w="734" w:type="pct"/>
            <w:tcBorders>
              <w:top w:val="nil"/>
            </w:tcBorders>
            <w:noWrap/>
          </w:tcPr>
          <w:p w14:paraId="172621B4" w14:textId="77777777" w:rsidR="00A662DC" w:rsidRDefault="00A662DC" w:rsidP="00A662DC">
            <w:pPr>
              <w:pStyle w:val="Tabletext0"/>
              <w:keepNext/>
              <w:jc w:val="right"/>
            </w:pPr>
            <w:r>
              <w:t>[O – P]</w:t>
            </w:r>
          </w:p>
        </w:tc>
        <w:tc>
          <w:tcPr>
            <w:tcW w:w="835" w:type="pct"/>
            <w:tcBorders>
              <w:top w:val="nil"/>
            </w:tcBorders>
          </w:tcPr>
          <w:p w14:paraId="2CE7BA5A" w14:textId="77777777" w:rsidR="00A662DC" w:rsidRPr="00CE28E3" w:rsidRDefault="00A662DC" w:rsidP="00A662DC">
            <w:pPr>
              <w:pStyle w:val="Tabletext0"/>
              <w:keepNext/>
              <w:jc w:val="right"/>
            </w:pPr>
            <w:r>
              <w:t>$[M</w:t>
            </w:r>
            <w:r w:rsidRPr="00446340">
              <w:t xml:space="preserve"> –</w:t>
            </w:r>
            <w:r>
              <w:t xml:space="preserve"> N]/[O – P]</w:t>
            </w:r>
          </w:p>
        </w:tc>
      </w:tr>
      <w:tr w:rsidR="00A662DC" w:rsidRPr="00CE28E3" w14:paraId="72F7E98B" w14:textId="77777777" w:rsidTr="005D2304">
        <w:trPr>
          <w:cantSplit/>
          <w:trHeight w:val="300"/>
        </w:trPr>
        <w:tc>
          <w:tcPr>
            <w:tcW w:w="5000" w:type="pct"/>
            <w:gridSpan w:val="5"/>
            <w:noWrap/>
          </w:tcPr>
          <w:p w14:paraId="7746D21F" w14:textId="669DB4A2" w:rsidR="00A662DC" w:rsidRPr="00CE28E3" w:rsidRDefault="00A662DC" w:rsidP="00A662DC">
            <w:pPr>
              <w:pStyle w:val="Tabletext0"/>
              <w:keepNext/>
              <w:jc w:val="left"/>
            </w:pPr>
            <w:r w:rsidRPr="00DB7BCF">
              <w:t xml:space="preserve">Step 5 </w:t>
            </w:r>
            <w:r>
              <w:t>–</w:t>
            </w:r>
            <w:r w:rsidRPr="00DB7BCF">
              <w:t xml:space="preserve"> Outcomes transformed into a relevant health outcome (e.g. QALYs)</w:t>
            </w:r>
          </w:p>
        </w:tc>
      </w:tr>
      <w:tr w:rsidR="00A662DC" w:rsidRPr="00CE28E3" w14:paraId="20A6A609" w14:textId="77777777" w:rsidTr="005D2304">
        <w:trPr>
          <w:cantSplit/>
          <w:trHeight w:val="300"/>
        </w:trPr>
        <w:tc>
          <w:tcPr>
            <w:tcW w:w="1963" w:type="pct"/>
            <w:tcBorders>
              <w:bottom w:val="nil"/>
            </w:tcBorders>
            <w:noWrap/>
          </w:tcPr>
          <w:p w14:paraId="2BC7641F" w14:textId="77777777" w:rsidR="00A662DC" w:rsidRPr="00CE28E3" w:rsidRDefault="00A662DC" w:rsidP="00A662DC">
            <w:pPr>
              <w:pStyle w:val="Tabletext0"/>
              <w:keepNext/>
            </w:pPr>
            <w:r>
              <w:t>Costs</w:t>
            </w:r>
          </w:p>
        </w:tc>
        <w:tc>
          <w:tcPr>
            <w:tcW w:w="734" w:type="pct"/>
            <w:tcBorders>
              <w:bottom w:val="nil"/>
            </w:tcBorders>
            <w:noWrap/>
          </w:tcPr>
          <w:p w14:paraId="1B58BF06" w14:textId="77777777" w:rsidR="00A662DC" w:rsidRPr="00CE28E3" w:rsidRDefault="00A662DC" w:rsidP="00A662DC">
            <w:pPr>
              <w:pStyle w:val="Tabletext0"/>
              <w:keepNext/>
              <w:jc w:val="right"/>
            </w:pPr>
            <w:r>
              <w:t>$[M]</w:t>
            </w:r>
          </w:p>
        </w:tc>
        <w:tc>
          <w:tcPr>
            <w:tcW w:w="734" w:type="pct"/>
            <w:tcBorders>
              <w:bottom w:val="nil"/>
            </w:tcBorders>
            <w:noWrap/>
          </w:tcPr>
          <w:p w14:paraId="36A500C7" w14:textId="77777777" w:rsidR="00A662DC" w:rsidRPr="00CE28E3" w:rsidRDefault="00A662DC" w:rsidP="00A662DC">
            <w:pPr>
              <w:pStyle w:val="Tabletext0"/>
              <w:keepNext/>
              <w:jc w:val="right"/>
            </w:pPr>
            <w:r>
              <w:t>$[N]</w:t>
            </w:r>
          </w:p>
        </w:tc>
        <w:tc>
          <w:tcPr>
            <w:tcW w:w="734" w:type="pct"/>
            <w:tcBorders>
              <w:bottom w:val="nil"/>
            </w:tcBorders>
            <w:noWrap/>
          </w:tcPr>
          <w:p w14:paraId="731BA396"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065FB4C5" w14:textId="77777777" w:rsidR="00A662DC" w:rsidRPr="00CE28E3" w:rsidRDefault="00A662DC" w:rsidP="00A662DC">
            <w:pPr>
              <w:pStyle w:val="Tabletext0"/>
              <w:keepNext/>
              <w:jc w:val="right"/>
            </w:pPr>
          </w:p>
        </w:tc>
      </w:tr>
      <w:tr w:rsidR="00A662DC" w:rsidRPr="00CE28E3" w14:paraId="482260DB" w14:textId="77777777" w:rsidTr="005D2304">
        <w:trPr>
          <w:cantSplit/>
          <w:trHeight w:val="300"/>
        </w:trPr>
        <w:tc>
          <w:tcPr>
            <w:tcW w:w="1963" w:type="pct"/>
            <w:tcBorders>
              <w:top w:val="nil"/>
            </w:tcBorders>
            <w:noWrap/>
          </w:tcPr>
          <w:p w14:paraId="343C7126" w14:textId="77777777" w:rsidR="00A662DC" w:rsidRDefault="00A662DC" w:rsidP="00A662DC">
            <w:pPr>
              <w:pStyle w:val="Tabletext0"/>
              <w:keepNext/>
            </w:pPr>
            <w:r>
              <w:t>QALYs</w:t>
            </w:r>
          </w:p>
        </w:tc>
        <w:tc>
          <w:tcPr>
            <w:tcW w:w="734" w:type="pct"/>
            <w:tcBorders>
              <w:top w:val="nil"/>
            </w:tcBorders>
            <w:noWrap/>
          </w:tcPr>
          <w:p w14:paraId="0DCD9C65" w14:textId="77777777" w:rsidR="00A662DC" w:rsidRDefault="00A662DC" w:rsidP="00A662DC">
            <w:pPr>
              <w:pStyle w:val="Tabletext0"/>
              <w:keepNext/>
              <w:jc w:val="right"/>
            </w:pPr>
            <w:r>
              <w:t>[Q]</w:t>
            </w:r>
          </w:p>
        </w:tc>
        <w:tc>
          <w:tcPr>
            <w:tcW w:w="734" w:type="pct"/>
            <w:tcBorders>
              <w:top w:val="nil"/>
            </w:tcBorders>
            <w:noWrap/>
          </w:tcPr>
          <w:p w14:paraId="23F57D26" w14:textId="77777777" w:rsidR="00A662DC" w:rsidRDefault="00A662DC" w:rsidP="00A662DC">
            <w:pPr>
              <w:pStyle w:val="Tabletext0"/>
              <w:keepNext/>
              <w:jc w:val="right"/>
            </w:pPr>
            <w:r>
              <w:t>[R]</w:t>
            </w:r>
          </w:p>
        </w:tc>
        <w:tc>
          <w:tcPr>
            <w:tcW w:w="734" w:type="pct"/>
            <w:tcBorders>
              <w:top w:val="nil"/>
            </w:tcBorders>
            <w:noWrap/>
          </w:tcPr>
          <w:p w14:paraId="1BCEE5F6" w14:textId="77777777" w:rsidR="00A662DC" w:rsidRDefault="00A662DC" w:rsidP="00A662DC">
            <w:pPr>
              <w:pStyle w:val="Tabletext0"/>
              <w:keepNext/>
              <w:jc w:val="right"/>
            </w:pPr>
            <w:r>
              <w:t>[Q – R]</w:t>
            </w:r>
          </w:p>
        </w:tc>
        <w:tc>
          <w:tcPr>
            <w:tcW w:w="835" w:type="pct"/>
            <w:tcBorders>
              <w:top w:val="nil"/>
            </w:tcBorders>
          </w:tcPr>
          <w:p w14:paraId="6B58C8F5" w14:textId="77777777" w:rsidR="00A662DC" w:rsidRPr="00CE28E3" w:rsidRDefault="00A662DC" w:rsidP="00A662DC">
            <w:pPr>
              <w:pStyle w:val="Tabletext0"/>
              <w:keepNext/>
              <w:jc w:val="right"/>
            </w:pPr>
            <w:r>
              <w:t>$[M</w:t>
            </w:r>
            <w:r w:rsidRPr="00446340">
              <w:t xml:space="preserve"> –</w:t>
            </w:r>
            <w:r>
              <w:t xml:space="preserve"> N]/[Q – R]</w:t>
            </w:r>
          </w:p>
        </w:tc>
      </w:tr>
    </w:tbl>
    <w:p w14:paraId="68295DD2" w14:textId="3CA2D7FE" w:rsidR="00FC5603" w:rsidRDefault="00FC5603" w:rsidP="00A662DC">
      <w:pPr>
        <w:pStyle w:val="TableFigureFooter"/>
        <w:keepNext/>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247E6BC0" w14:textId="1B227CBA" w:rsidR="00A662DC" w:rsidRDefault="00A662DC" w:rsidP="00A662DC">
      <w:pPr>
        <w:pStyle w:val="TableFigureFooter"/>
      </w:pPr>
      <w:r>
        <w:t>Note: Multiple outcomes may be informative for MSAC decision-making within each step.</w:t>
      </w:r>
    </w:p>
    <w:bookmarkEnd w:id="49"/>
    <w:p w14:paraId="52EF394B" w14:textId="5A56D4BF" w:rsidR="00A662DC" w:rsidRDefault="002E63BE" w:rsidP="00A662DC">
      <w:pPr>
        <w:pStyle w:val="Instructionaltext"/>
      </w:pPr>
      <w:r>
        <w:t xml:space="preserve">[Instructional text] </w:t>
      </w:r>
      <w:r w:rsidR="00A662DC">
        <w:t xml:space="preserve">Where the proposed health technology is a heritable genetic test, in addition to a table that presents step-wise incorporation of key assumptions regarding change in management due to testing and transformation of outcomes (i.e. </w:t>
      </w:r>
      <w:r w:rsidR="003571C2">
        <w:fldChar w:fldCharType="begin"/>
      </w:r>
      <w:r w:rsidR="003571C2">
        <w:instrText xml:space="preserve"> REF _Ref69725876 \h </w:instrText>
      </w:r>
      <w:r w:rsidR="003571C2">
        <w:fldChar w:fldCharType="separate"/>
      </w:r>
      <w:r w:rsidR="003571C2" w:rsidRPr="00CE28E3">
        <w:t>Table</w:t>
      </w:r>
      <w:r w:rsidR="003571C2">
        <w:t> </w:t>
      </w:r>
      <w:r w:rsidR="003571C2">
        <w:rPr>
          <w:noProof/>
        </w:rPr>
        <w:t>7</w:t>
      </w:r>
      <w:r w:rsidR="003571C2">
        <w:fldChar w:fldCharType="end"/>
      </w:r>
      <w:r w:rsidR="00A662DC">
        <w:t>), present a table that explores alternate listing scenarios around the base</w:t>
      </w:r>
      <w:r w:rsidR="003571C2">
        <w:t>-</w:t>
      </w:r>
      <w:r w:rsidR="00A662DC">
        <w:t>case analysis, where testing is limited to, for example, affected cases only, affected cases and their first-degree relatives only, etc. (</w:t>
      </w:r>
      <w:r w:rsidR="00A662DC">
        <w:fldChar w:fldCharType="begin"/>
      </w:r>
      <w:r w:rsidR="00A662DC">
        <w:instrText xml:space="preserve"> REF _Ref69482998 \h </w:instrText>
      </w:r>
      <w:r w:rsidR="00A662DC">
        <w:fldChar w:fldCharType="separate"/>
      </w:r>
      <w:r w:rsidR="003571C2" w:rsidRPr="00CE28E3">
        <w:t>Table</w:t>
      </w:r>
      <w:r w:rsidR="003571C2">
        <w:t> </w:t>
      </w:r>
      <w:r w:rsidR="003571C2">
        <w:rPr>
          <w:noProof/>
        </w:rPr>
        <w:t>8</w:t>
      </w:r>
      <w:r w:rsidR="00A662DC">
        <w:fldChar w:fldCharType="end"/>
      </w:r>
      <w:r w:rsidR="00A662DC">
        <w:t>).</w:t>
      </w:r>
      <w:r>
        <w:t xml:space="preserve"> [End instructional text]</w:t>
      </w:r>
    </w:p>
    <w:p w14:paraId="3E75E02B" w14:textId="3D573ACB" w:rsidR="00A662DC" w:rsidRPr="00E46137" w:rsidRDefault="00A662DC" w:rsidP="00A662DC">
      <w:pPr>
        <w:pStyle w:val="Caption"/>
        <w:rPr>
          <w:color w:val="385623" w:themeColor="accent6" w:themeShade="80"/>
        </w:rPr>
      </w:pPr>
      <w:bookmarkStart w:id="50" w:name="_Ref69482998"/>
      <w:r w:rsidRPr="00CE28E3">
        <w:lastRenderedPageBreak/>
        <w:t>Table</w:t>
      </w:r>
      <w:r w:rsidR="003571C2">
        <w:t> </w:t>
      </w:r>
      <w:r w:rsidRPr="00CE28E3">
        <w:rPr>
          <w:noProof/>
        </w:rPr>
        <w:fldChar w:fldCharType="begin"/>
      </w:r>
      <w:r w:rsidRPr="00CE28E3">
        <w:rPr>
          <w:noProof/>
        </w:rPr>
        <w:instrText xml:space="preserve"> SEQ Table \* ARABIC </w:instrText>
      </w:r>
      <w:r w:rsidRPr="00CE28E3">
        <w:rPr>
          <w:noProof/>
        </w:rPr>
        <w:fldChar w:fldCharType="separate"/>
      </w:r>
      <w:r w:rsidR="003571C2">
        <w:rPr>
          <w:noProof/>
        </w:rPr>
        <w:t>8</w:t>
      </w:r>
      <w:r w:rsidRPr="00CE28E3">
        <w:rPr>
          <w:noProof/>
        </w:rPr>
        <w:fldChar w:fldCharType="end"/>
      </w:r>
      <w:bookmarkEnd w:id="50"/>
      <w:r w:rsidRPr="00CE28E3">
        <w:t xml:space="preserve"> </w:t>
      </w:r>
      <w:r w:rsidRPr="00CE28E3">
        <w:tab/>
      </w:r>
      <w:r w:rsidRPr="00CC6B3D">
        <w:t>Alternate scenarios exploring which cohorts of relatives are eligible for</w:t>
      </w:r>
      <w:r>
        <w:t xml:space="preserve"> proposed heritable genetic</w:t>
      </w:r>
      <w:r w:rsidRPr="00CC6B3D">
        <w:t xml:space="preserve"> testing</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644CFFC9"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4B259701" w14:textId="5DAFC445" w:rsidR="00A662DC" w:rsidRPr="00CE28E3" w:rsidRDefault="00A662DC" w:rsidP="00A662DC">
            <w:pPr>
              <w:pStyle w:val="TableHeading"/>
            </w:pPr>
            <w:bookmarkStart w:id="51" w:name="Title_Table8" w:colFirst="0" w:colLast="0"/>
            <w:r w:rsidRPr="00A662DC">
              <w:t xml:space="preserve">Parameter </w:t>
            </w:r>
          </w:p>
        </w:tc>
        <w:tc>
          <w:tcPr>
            <w:tcW w:w="734" w:type="pct"/>
            <w:noWrap/>
            <w:hideMark/>
          </w:tcPr>
          <w:p w14:paraId="7C1EE2D7" w14:textId="4CEAD6A1" w:rsidR="00A662DC" w:rsidRPr="00CE28E3" w:rsidRDefault="00A662DC" w:rsidP="00A662DC">
            <w:pPr>
              <w:pStyle w:val="TableHeading"/>
              <w:jc w:val="center"/>
            </w:pPr>
            <w:r>
              <w:t>[*</w:t>
            </w:r>
            <w:r w:rsidRPr="009E23EC">
              <w:t>Proposed health technology</w:t>
            </w:r>
            <w:r>
              <w:t>]</w:t>
            </w:r>
          </w:p>
        </w:tc>
        <w:tc>
          <w:tcPr>
            <w:tcW w:w="734" w:type="pct"/>
            <w:noWrap/>
            <w:hideMark/>
          </w:tcPr>
          <w:p w14:paraId="47F15E5F" w14:textId="6F90D32E" w:rsidR="00A662DC" w:rsidRPr="00CE28E3" w:rsidRDefault="00A662DC" w:rsidP="00A662DC">
            <w:pPr>
              <w:pStyle w:val="TableHeading"/>
              <w:jc w:val="center"/>
            </w:pPr>
            <w:r>
              <w:t>[*</w:t>
            </w:r>
            <w:r w:rsidRPr="009E23EC">
              <w:t>Main comparator</w:t>
            </w:r>
            <w:r>
              <w:t>]</w:t>
            </w:r>
          </w:p>
        </w:tc>
        <w:tc>
          <w:tcPr>
            <w:tcW w:w="734" w:type="pct"/>
            <w:noWrap/>
            <w:hideMark/>
          </w:tcPr>
          <w:p w14:paraId="11BE3D8E" w14:textId="77777777" w:rsidR="00A662DC" w:rsidRPr="00CE28E3" w:rsidRDefault="00A662DC" w:rsidP="00A662DC">
            <w:pPr>
              <w:pStyle w:val="TableHeading"/>
              <w:jc w:val="center"/>
            </w:pPr>
            <w:r w:rsidRPr="009E23EC">
              <w:t>Increment</w:t>
            </w:r>
          </w:p>
        </w:tc>
        <w:tc>
          <w:tcPr>
            <w:tcW w:w="835" w:type="pct"/>
          </w:tcPr>
          <w:p w14:paraId="4A4C184C" w14:textId="77777777" w:rsidR="00A662DC" w:rsidRPr="00CE28E3" w:rsidRDefault="00A662DC" w:rsidP="00A662DC">
            <w:pPr>
              <w:pStyle w:val="TableHeading"/>
              <w:jc w:val="center"/>
            </w:pPr>
            <w:r w:rsidRPr="00CE28E3">
              <w:t>ICER</w:t>
            </w:r>
          </w:p>
        </w:tc>
      </w:tr>
      <w:bookmarkEnd w:id="51"/>
      <w:tr w:rsidR="00A662DC" w:rsidRPr="00DB7BCF" w14:paraId="39394014" w14:textId="77777777" w:rsidTr="005D2304">
        <w:trPr>
          <w:cantSplit/>
          <w:trHeight w:val="300"/>
        </w:trPr>
        <w:tc>
          <w:tcPr>
            <w:tcW w:w="5000" w:type="pct"/>
            <w:gridSpan w:val="5"/>
            <w:tcBorders>
              <w:bottom w:val="single" w:sz="4" w:space="0" w:color="auto"/>
            </w:tcBorders>
            <w:noWrap/>
            <w:hideMark/>
          </w:tcPr>
          <w:p w14:paraId="78FDBC99" w14:textId="77777777" w:rsidR="00A662DC" w:rsidRPr="00DB7BCF" w:rsidRDefault="00A662DC" w:rsidP="00A662DC">
            <w:pPr>
              <w:pStyle w:val="Tabletext0"/>
              <w:keepNext/>
              <w:rPr>
                <w:b/>
              </w:rPr>
            </w:pPr>
            <w:r w:rsidRPr="00DB7BCF">
              <w:rPr>
                <w:b/>
              </w:rPr>
              <w:t>Affected cases only</w:t>
            </w:r>
          </w:p>
        </w:tc>
      </w:tr>
      <w:tr w:rsidR="00A662DC" w:rsidRPr="00CE28E3" w14:paraId="1DFF4CC2" w14:textId="77777777" w:rsidTr="005D2304">
        <w:trPr>
          <w:cantSplit/>
          <w:trHeight w:val="300"/>
        </w:trPr>
        <w:tc>
          <w:tcPr>
            <w:tcW w:w="1963" w:type="pct"/>
            <w:tcBorders>
              <w:bottom w:val="nil"/>
            </w:tcBorders>
            <w:noWrap/>
          </w:tcPr>
          <w:p w14:paraId="645C1AE7" w14:textId="77777777" w:rsidR="00A662DC" w:rsidRPr="00DB7BCF" w:rsidRDefault="00A662DC" w:rsidP="00A662DC">
            <w:pPr>
              <w:pStyle w:val="Tabletext0"/>
              <w:keepNext/>
              <w:rPr>
                <w:b/>
              </w:rPr>
            </w:pPr>
            <w:r>
              <w:t>Costs</w:t>
            </w:r>
          </w:p>
        </w:tc>
        <w:tc>
          <w:tcPr>
            <w:tcW w:w="734" w:type="pct"/>
            <w:tcBorders>
              <w:bottom w:val="nil"/>
            </w:tcBorders>
            <w:noWrap/>
          </w:tcPr>
          <w:p w14:paraId="3C80EF61" w14:textId="77777777" w:rsidR="00A662DC" w:rsidRPr="0031030F" w:rsidRDefault="00A662DC" w:rsidP="00A662DC">
            <w:pPr>
              <w:pStyle w:val="Tabletext0"/>
              <w:keepNext/>
              <w:jc w:val="right"/>
            </w:pPr>
          </w:p>
        </w:tc>
        <w:tc>
          <w:tcPr>
            <w:tcW w:w="734" w:type="pct"/>
            <w:tcBorders>
              <w:bottom w:val="nil"/>
            </w:tcBorders>
            <w:noWrap/>
          </w:tcPr>
          <w:p w14:paraId="396C1F73" w14:textId="77777777" w:rsidR="00A662DC" w:rsidRPr="0031030F" w:rsidRDefault="00A662DC" w:rsidP="00A662DC">
            <w:pPr>
              <w:pStyle w:val="Tabletext0"/>
              <w:keepNext/>
              <w:jc w:val="right"/>
            </w:pPr>
          </w:p>
        </w:tc>
        <w:tc>
          <w:tcPr>
            <w:tcW w:w="734" w:type="pct"/>
            <w:tcBorders>
              <w:bottom w:val="nil"/>
            </w:tcBorders>
            <w:noWrap/>
          </w:tcPr>
          <w:p w14:paraId="03FF55FF" w14:textId="77777777" w:rsidR="00A662DC" w:rsidRPr="0031030F" w:rsidRDefault="00A662DC" w:rsidP="00A662DC">
            <w:pPr>
              <w:pStyle w:val="Tabletext0"/>
              <w:keepNext/>
              <w:jc w:val="right"/>
            </w:pPr>
          </w:p>
        </w:tc>
        <w:tc>
          <w:tcPr>
            <w:tcW w:w="835" w:type="pct"/>
            <w:tcBorders>
              <w:bottom w:val="nil"/>
            </w:tcBorders>
          </w:tcPr>
          <w:p w14:paraId="7592DB98" w14:textId="77777777" w:rsidR="00A662DC" w:rsidRPr="0031030F" w:rsidRDefault="00A662DC" w:rsidP="00A662DC">
            <w:pPr>
              <w:pStyle w:val="Tabletext0"/>
              <w:keepNext/>
              <w:jc w:val="right"/>
            </w:pPr>
          </w:p>
        </w:tc>
      </w:tr>
      <w:tr w:rsidR="00A662DC" w:rsidRPr="00CE28E3" w14:paraId="7FB45491" w14:textId="77777777" w:rsidTr="005D2304">
        <w:trPr>
          <w:cantSplit/>
          <w:trHeight w:val="300"/>
        </w:trPr>
        <w:tc>
          <w:tcPr>
            <w:tcW w:w="1963" w:type="pct"/>
            <w:tcBorders>
              <w:top w:val="nil"/>
              <w:bottom w:val="nil"/>
            </w:tcBorders>
            <w:noWrap/>
          </w:tcPr>
          <w:p w14:paraId="66306FBD" w14:textId="77777777" w:rsidR="00A662DC" w:rsidRPr="00DB7BCF" w:rsidRDefault="00A662DC" w:rsidP="00A662DC">
            <w:pPr>
              <w:pStyle w:val="Tabletext0"/>
              <w:keepNext/>
              <w:rPr>
                <w:b/>
              </w:rPr>
            </w:pPr>
            <w:r>
              <w:t>QALYs</w:t>
            </w:r>
          </w:p>
        </w:tc>
        <w:tc>
          <w:tcPr>
            <w:tcW w:w="734" w:type="pct"/>
            <w:tcBorders>
              <w:top w:val="nil"/>
              <w:bottom w:val="nil"/>
            </w:tcBorders>
            <w:noWrap/>
          </w:tcPr>
          <w:p w14:paraId="6B3B8784" w14:textId="77777777" w:rsidR="00A662DC" w:rsidRPr="0031030F" w:rsidRDefault="00A662DC" w:rsidP="00A662DC">
            <w:pPr>
              <w:pStyle w:val="Tabletext0"/>
              <w:keepNext/>
              <w:jc w:val="right"/>
            </w:pPr>
          </w:p>
        </w:tc>
        <w:tc>
          <w:tcPr>
            <w:tcW w:w="734" w:type="pct"/>
            <w:tcBorders>
              <w:top w:val="nil"/>
              <w:bottom w:val="nil"/>
            </w:tcBorders>
            <w:noWrap/>
          </w:tcPr>
          <w:p w14:paraId="65CAB555" w14:textId="77777777" w:rsidR="00A662DC" w:rsidRPr="0031030F" w:rsidRDefault="00A662DC" w:rsidP="00A662DC">
            <w:pPr>
              <w:pStyle w:val="Tabletext0"/>
              <w:keepNext/>
              <w:jc w:val="right"/>
            </w:pPr>
          </w:p>
        </w:tc>
        <w:tc>
          <w:tcPr>
            <w:tcW w:w="734" w:type="pct"/>
            <w:tcBorders>
              <w:top w:val="nil"/>
              <w:bottom w:val="nil"/>
            </w:tcBorders>
            <w:noWrap/>
          </w:tcPr>
          <w:p w14:paraId="2C9B6AC0" w14:textId="77777777" w:rsidR="00A662DC" w:rsidRPr="0031030F" w:rsidRDefault="00A662DC" w:rsidP="00A662DC">
            <w:pPr>
              <w:pStyle w:val="Tabletext0"/>
              <w:keepNext/>
              <w:jc w:val="right"/>
            </w:pPr>
          </w:p>
        </w:tc>
        <w:tc>
          <w:tcPr>
            <w:tcW w:w="835" w:type="pct"/>
            <w:tcBorders>
              <w:top w:val="nil"/>
              <w:bottom w:val="nil"/>
            </w:tcBorders>
          </w:tcPr>
          <w:p w14:paraId="615B1EAA" w14:textId="77777777" w:rsidR="00A662DC" w:rsidRPr="0031030F" w:rsidRDefault="00A662DC" w:rsidP="00A662DC">
            <w:pPr>
              <w:pStyle w:val="Tabletext0"/>
              <w:keepNext/>
              <w:jc w:val="right"/>
            </w:pPr>
          </w:p>
        </w:tc>
      </w:tr>
      <w:tr w:rsidR="00A662DC" w:rsidRPr="00CE28E3" w14:paraId="0E25DE88" w14:textId="77777777" w:rsidTr="005D2304">
        <w:trPr>
          <w:cantSplit/>
          <w:trHeight w:val="300"/>
        </w:trPr>
        <w:tc>
          <w:tcPr>
            <w:tcW w:w="1963" w:type="pct"/>
            <w:tcBorders>
              <w:top w:val="nil"/>
              <w:bottom w:val="nil"/>
            </w:tcBorders>
            <w:noWrap/>
          </w:tcPr>
          <w:p w14:paraId="441D45B2" w14:textId="77777777" w:rsidR="00A662DC" w:rsidRDefault="00A662DC" w:rsidP="00A662DC">
            <w:pPr>
              <w:pStyle w:val="Tabletext0"/>
              <w:keepNext/>
            </w:pPr>
            <w:r>
              <w:t>No. positive affected cases identified</w:t>
            </w:r>
          </w:p>
        </w:tc>
        <w:tc>
          <w:tcPr>
            <w:tcW w:w="734" w:type="pct"/>
            <w:tcBorders>
              <w:top w:val="nil"/>
              <w:bottom w:val="nil"/>
            </w:tcBorders>
            <w:noWrap/>
          </w:tcPr>
          <w:p w14:paraId="3207A3CB" w14:textId="77777777" w:rsidR="00A662DC" w:rsidRPr="0031030F" w:rsidRDefault="00A662DC" w:rsidP="00A662DC">
            <w:pPr>
              <w:pStyle w:val="Tabletext0"/>
              <w:keepNext/>
              <w:jc w:val="right"/>
            </w:pPr>
          </w:p>
        </w:tc>
        <w:tc>
          <w:tcPr>
            <w:tcW w:w="734" w:type="pct"/>
            <w:tcBorders>
              <w:top w:val="nil"/>
              <w:bottom w:val="nil"/>
            </w:tcBorders>
            <w:noWrap/>
          </w:tcPr>
          <w:p w14:paraId="6A236C53" w14:textId="77777777" w:rsidR="00A662DC" w:rsidRPr="0031030F" w:rsidRDefault="00A662DC" w:rsidP="00A662DC">
            <w:pPr>
              <w:pStyle w:val="Tabletext0"/>
              <w:keepNext/>
              <w:jc w:val="right"/>
            </w:pPr>
          </w:p>
        </w:tc>
        <w:tc>
          <w:tcPr>
            <w:tcW w:w="734" w:type="pct"/>
            <w:tcBorders>
              <w:top w:val="nil"/>
              <w:bottom w:val="nil"/>
            </w:tcBorders>
            <w:noWrap/>
          </w:tcPr>
          <w:p w14:paraId="6BFF943A" w14:textId="77777777" w:rsidR="00A662DC" w:rsidRPr="0031030F" w:rsidRDefault="00A662DC" w:rsidP="00A662DC">
            <w:pPr>
              <w:pStyle w:val="Tabletext0"/>
              <w:keepNext/>
              <w:jc w:val="right"/>
            </w:pPr>
          </w:p>
        </w:tc>
        <w:tc>
          <w:tcPr>
            <w:tcW w:w="835" w:type="pct"/>
            <w:tcBorders>
              <w:top w:val="nil"/>
              <w:bottom w:val="nil"/>
            </w:tcBorders>
          </w:tcPr>
          <w:p w14:paraId="46E65A60" w14:textId="77777777" w:rsidR="00A662DC" w:rsidRPr="0031030F" w:rsidRDefault="00A662DC" w:rsidP="00A662DC">
            <w:pPr>
              <w:pStyle w:val="Tabletext0"/>
              <w:keepNext/>
              <w:jc w:val="right"/>
            </w:pPr>
          </w:p>
        </w:tc>
      </w:tr>
      <w:tr w:rsidR="00A662DC" w:rsidRPr="00CE28E3" w14:paraId="5F0CE6C1" w14:textId="77777777" w:rsidTr="005D2304">
        <w:trPr>
          <w:cantSplit/>
          <w:trHeight w:val="300"/>
        </w:trPr>
        <w:tc>
          <w:tcPr>
            <w:tcW w:w="1963" w:type="pct"/>
            <w:tcBorders>
              <w:top w:val="nil"/>
              <w:bottom w:val="nil"/>
            </w:tcBorders>
            <w:noWrap/>
          </w:tcPr>
          <w:p w14:paraId="5DD6D016" w14:textId="77777777" w:rsidR="00A662DC" w:rsidRDefault="00A662DC" w:rsidP="00A662DC">
            <w:pPr>
              <w:pStyle w:val="Tabletext0"/>
              <w:keepNext/>
            </w:pPr>
            <w:r>
              <w:t>No. positive relatives identified</w:t>
            </w:r>
          </w:p>
        </w:tc>
        <w:tc>
          <w:tcPr>
            <w:tcW w:w="734" w:type="pct"/>
            <w:tcBorders>
              <w:top w:val="nil"/>
              <w:bottom w:val="nil"/>
            </w:tcBorders>
            <w:noWrap/>
          </w:tcPr>
          <w:p w14:paraId="14F9BD2D" w14:textId="77777777" w:rsidR="00A662DC" w:rsidRPr="0031030F" w:rsidRDefault="00A662DC" w:rsidP="00A662DC">
            <w:pPr>
              <w:pStyle w:val="Tabletext0"/>
              <w:keepNext/>
              <w:jc w:val="right"/>
            </w:pPr>
          </w:p>
        </w:tc>
        <w:tc>
          <w:tcPr>
            <w:tcW w:w="734" w:type="pct"/>
            <w:tcBorders>
              <w:top w:val="nil"/>
              <w:bottom w:val="nil"/>
            </w:tcBorders>
            <w:noWrap/>
          </w:tcPr>
          <w:p w14:paraId="4BDB3160" w14:textId="77777777" w:rsidR="00A662DC" w:rsidRPr="0031030F" w:rsidRDefault="00A662DC" w:rsidP="00A662DC">
            <w:pPr>
              <w:pStyle w:val="Tabletext0"/>
              <w:keepNext/>
              <w:jc w:val="right"/>
            </w:pPr>
          </w:p>
        </w:tc>
        <w:tc>
          <w:tcPr>
            <w:tcW w:w="734" w:type="pct"/>
            <w:tcBorders>
              <w:top w:val="nil"/>
              <w:bottom w:val="nil"/>
            </w:tcBorders>
            <w:noWrap/>
          </w:tcPr>
          <w:p w14:paraId="33021B66" w14:textId="77777777" w:rsidR="00A662DC" w:rsidRPr="0031030F" w:rsidRDefault="00A662DC" w:rsidP="00A662DC">
            <w:pPr>
              <w:pStyle w:val="Tabletext0"/>
              <w:keepNext/>
              <w:jc w:val="right"/>
            </w:pPr>
          </w:p>
        </w:tc>
        <w:tc>
          <w:tcPr>
            <w:tcW w:w="835" w:type="pct"/>
            <w:tcBorders>
              <w:top w:val="nil"/>
              <w:bottom w:val="nil"/>
            </w:tcBorders>
          </w:tcPr>
          <w:p w14:paraId="72E1E4A1" w14:textId="77777777" w:rsidR="00A662DC" w:rsidRPr="0031030F" w:rsidRDefault="00A662DC" w:rsidP="00A662DC">
            <w:pPr>
              <w:pStyle w:val="Tabletext0"/>
              <w:keepNext/>
              <w:jc w:val="right"/>
            </w:pPr>
          </w:p>
        </w:tc>
      </w:tr>
      <w:tr w:rsidR="00A662DC" w:rsidRPr="00CE28E3" w14:paraId="7074CD99" w14:textId="77777777" w:rsidTr="005D2304">
        <w:trPr>
          <w:cantSplit/>
          <w:trHeight w:val="300"/>
        </w:trPr>
        <w:tc>
          <w:tcPr>
            <w:tcW w:w="1963" w:type="pct"/>
            <w:tcBorders>
              <w:top w:val="nil"/>
            </w:tcBorders>
            <w:noWrap/>
          </w:tcPr>
          <w:p w14:paraId="0CFD541B" w14:textId="77777777" w:rsidR="00A662DC" w:rsidRDefault="00A662DC" w:rsidP="00A662DC">
            <w:pPr>
              <w:pStyle w:val="Tabletext0"/>
              <w:keepNext/>
            </w:pPr>
            <w:r>
              <w:t>No. with appropriate management</w:t>
            </w:r>
          </w:p>
        </w:tc>
        <w:tc>
          <w:tcPr>
            <w:tcW w:w="734" w:type="pct"/>
            <w:tcBorders>
              <w:top w:val="nil"/>
            </w:tcBorders>
            <w:noWrap/>
          </w:tcPr>
          <w:p w14:paraId="6D90490D" w14:textId="77777777" w:rsidR="00A662DC" w:rsidRDefault="00A662DC" w:rsidP="00A662DC">
            <w:pPr>
              <w:pStyle w:val="Tabletext0"/>
              <w:keepNext/>
              <w:jc w:val="right"/>
            </w:pPr>
          </w:p>
        </w:tc>
        <w:tc>
          <w:tcPr>
            <w:tcW w:w="734" w:type="pct"/>
            <w:tcBorders>
              <w:top w:val="nil"/>
            </w:tcBorders>
            <w:noWrap/>
          </w:tcPr>
          <w:p w14:paraId="534F6F3C" w14:textId="77777777" w:rsidR="00A662DC" w:rsidRDefault="00A662DC" w:rsidP="00A662DC">
            <w:pPr>
              <w:pStyle w:val="Tabletext0"/>
              <w:keepNext/>
              <w:jc w:val="right"/>
            </w:pPr>
          </w:p>
        </w:tc>
        <w:tc>
          <w:tcPr>
            <w:tcW w:w="734" w:type="pct"/>
            <w:tcBorders>
              <w:top w:val="nil"/>
            </w:tcBorders>
            <w:noWrap/>
          </w:tcPr>
          <w:p w14:paraId="296B1FD9" w14:textId="77777777" w:rsidR="00A662DC" w:rsidRDefault="00A662DC" w:rsidP="00A662DC">
            <w:pPr>
              <w:pStyle w:val="Tabletext0"/>
              <w:keepNext/>
              <w:jc w:val="right"/>
            </w:pPr>
          </w:p>
        </w:tc>
        <w:tc>
          <w:tcPr>
            <w:tcW w:w="835" w:type="pct"/>
            <w:tcBorders>
              <w:top w:val="nil"/>
            </w:tcBorders>
          </w:tcPr>
          <w:p w14:paraId="0DB19383" w14:textId="77777777" w:rsidR="00A662DC" w:rsidRDefault="00A662DC" w:rsidP="00A662DC">
            <w:pPr>
              <w:pStyle w:val="Tabletext0"/>
              <w:keepNext/>
              <w:jc w:val="right"/>
            </w:pPr>
          </w:p>
        </w:tc>
      </w:tr>
      <w:tr w:rsidR="00A662DC" w:rsidRPr="00DB7BCF" w14:paraId="42608DA3" w14:textId="77777777" w:rsidTr="005D2304">
        <w:trPr>
          <w:cantSplit/>
          <w:trHeight w:val="300"/>
        </w:trPr>
        <w:tc>
          <w:tcPr>
            <w:tcW w:w="5000" w:type="pct"/>
            <w:gridSpan w:val="5"/>
            <w:tcBorders>
              <w:bottom w:val="single" w:sz="4" w:space="0" w:color="auto"/>
            </w:tcBorders>
            <w:noWrap/>
            <w:hideMark/>
          </w:tcPr>
          <w:p w14:paraId="4C004B96" w14:textId="77777777" w:rsidR="00A662DC" w:rsidRPr="00DB7BCF" w:rsidRDefault="00A662DC" w:rsidP="00A662DC">
            <w:pPr>
              <w:pStyle w:val="Tabletext0"/>
              <w:keepNext/>
              <w:jc w:val="left"/>
              <w:rPr>
                <w:b/>
              </w:rPr>
            </w:pPr>
            <w:r w:rsidRPr="00DB7BCF">
              <w:rPr>
                <w:b/>
              </w:rPr>
              <w:t xml:space="preserve">Affected cases and first-degree relatives </w:t>
            </w:r>
          </w:p>
        </w:tc>
      </w:tr>
      <w:tr w:rsidR="00A662DC" w:rsidRPr="00CE28E3" w14:paraId="5BF66FCE" w14:textId="77777777" w:rsidTr="005D2304">
        <w:trPr>
          <w:cantSplit/>
          <w:trHeight w:val="300"/>
        </w:trPr>
        <w:tc>
          <w:tcPr>
            <w:tcW w:w="1963" w:type="pct"/>
            <w:tcBorders>
              <w:bottom w:val="nil"/>
            </w:tcBorders>
            <w:noWrap/>
          </w:tcPr>
          <w:p w14:paraId="0D267F62" w14:textId="77777777" w:rsidR="00A662DC" w:rsidRPr="00CE28E3" w:rsidRDefault="00A662DC" w:rsidP="00A662DC">
            <w:pPr>
              <w:pStyle w:val="Tabletext0"/>
              <w:keepNext/>
            </w:pPr>
            <w:r>
              <w:t>Costs</w:t>
            </w:r>
          </w:p>
        </w:tc>
        <w:tc>
          <w:tcPr>
            <w:tcW w:w="734" w:type="pct"/>
            <w:tcBorders>
              <w:bottom w:val="nil"/>
            </w:tcBorders>
            <w:noWrap/>
          </w:tcPr>
          <w:p w14:paraId="18F18BED" w14:textId="77777777" w:rsidR="00A662DC" w:rsidRPr="00CE28E3" w:rsidRDefault="00A662DC" w:rsidP="00A662DC">
            <w:pPr>
              <w:pStyle w:val="Tabletext0"/>
              <w:keepNext/>
              <w:jc w:val="right"/>
            </w:pPr>
          </w:p>
        </w:tc>
        <w:tc>
          <w:tcPr>
            <w:tcW w:w="734" w:type="pct"/>
            <w:tcBorders>
              <w:bottom w:val="nil"/>
            </w:tcBorders>
            <w:noWrap/>
          </w:tcPr>
          <w:p w14:paraId="0591B4DB" w14:textId="77777777" w:rsidR="00A662DC" w:rsidRPr="00CE28E3" w:rsidRDefault="00A662DC" w:rsidP="00A662DC">
            <w:pPr>
              <w:pStyle w:val="Tabletext0"/>
              <w:keepNext/>
              <w:jc w:val="right"/>
            </w:pPr>
          </w:p>
        </w:tc>
        <w:tc>
          <w:tcPr>
            <w:tcW w:w="734" w:type="pct"/>
            <w:tcBorders>
              <w:bottom w:val="nil"/>
            </w:tcBorders>
            <w:noWrap/>
          </w:tcPr>
          <w:p w14:paraId="41D3DA0D" w14:textId="77777777" w:rsidR="00A662DC" w:rsidRPr="00CE28E3" w:rsidRDefault="00A662DC" w:rsidP="00A662DC">
            <w:pPr>
              <w:pStyle w:val="Tabletext0"/>
              <w:keepNext/>
              <w:jc w:val="right"/>
            </w:pPr>
          </w:p>
        </w:tc>
        <w:tc>
          <w:tcPr>
            <w:tcW w:w="835" w:type="pct"/>
            <w:tcBorders>
              <w:bottom w:val="nil"/>
            </w:tcBorders>
          </w:tcPr>
          <w:p w14:paraId="7760E9CE" w14:textId="77777777" w:rsidR="00A662DC" w:rsidRPr="00CE28E3" w:rsidRDefault="00A662DC" w:rsidP="00A662DC">
            <w:pPr>
              <w:pStyle w:val="Tabletext0"/>
              <w:keepNext/>
              <w:jc w:val="right"/>
            </w:pPr>
          </w:p>
        </w:tc>
      </w:tr>
      <w:tr w:rsidR="00A662DC" w:rsidRPr="00CE28E3" w14:paraId="6A2CF02F" w14:textId="77777777" w:rsidTr="005D2304">
        <w:trPr>
          <w:cantSplit/>
          <w:trHeight w:val="300"/>
        </w:trPr>
        <w:tc>
          <w:tcPr>
            <w:tcW w:w="1963" w:type="pct"/>
            <w:tcBorders>
              <w:top w:val="nil"/>
              <w:bottom w:val="nil"/>
            </w:tcBorders>
            <w:noWrap/>
          </w:tcPr>
          <w:p w14:paraId="182C284D" w14:textId="77777777" w:rsidR="00A662DC" w:rsidRDefault="00A662DC" w:rsidP="00A662DC">
            <w:pPr>
              <w:pStyle w:val="Tabletext0"/>
              <w:keepNext/>
            </w:pPr>
            <w:r>
              <w:t>QALYs</w:t>
            </w:r>
          </w:p>
        </w:tc>
        <w:tc>
          <w:tcPr>
            <w:tcW w:w="734" w:type="pct"/>
            <w:tcBorders>
              <w:top w:val="nil"/>
              <w:bottom w:val="nil"/>
            </w:tcBorders>
            <w:noWrap/>
          </w:tcPr>
          <w:p w14:paraId="7112CC1D" w14:textId="77777777" w:rsidR="00A662DC" w:rsidRPr="00CE28E3" w:rsidRDefault="00A662DC" w:rsidP="00A662DC">
            <w:pPr>
              <w:pStyle w:val="Tabletext0"/>
              <w:keepNext/>
              <w:jc w:val="right"/>
            </w:pPr>
          </w:p>
        </w:tc>
        <w:tc>
          <w:tcPr>
            <w:tcW w:w="734" w:type="pct"/>
            <w:tcBorders>
              <w:top w:val="nil"/>
              <w:bottom w:val="nil"/>
            </w:tcBorders>
            <w:noWrap/>
          </w:tcPr>
          <w:p w14:paraId="792D72F0" w14:textId="77777777" w:rsidR="00A662DC" w:rsidRPr="00CE28E3" w:rsidRDefault="00A662DC" w:rsidP="00A662DC">
            <w:pPr>
              <w:pStyle w:val="Tabletext0"/>
              <w:keepNext/>
              <w:jc w:val="right"/>
            </w:pPr>
          </w:p>
        </w:tc>
        <w:tc>
          <w:tcPr>
            <w:tcW w:w="734" w:type="pct"/>
            <w:tcBorders>
              <w:top w:val="nil"/>
              <w:bottom w:val="nil"/>
            </w:tcBorders>
            <w:noWrap/>
          </w:tcPr>
          <w:p w14:paraId="5F9F4B82" w14:textId="77777777" w:rsidR="00A662DC" w:rsidRPr="00CE28E3" w:rsidRDefault="00A662DC" w:rsidP="00A662DC">
            <w:pPr>
              <w:pStyle w:val="Tabletext0"/>
              <w:keepNext/>
              <w:jc w:val="right"/>
            </w:pPr>
          </w:p>
        </w:tc>
        <w:tc>
          <w:tcPr>
            <w:tcW w:w="835" w:type="pct"/>
            <w:tcBorders>
              <w:top w:val="nil"/>
              <w:bottom w:val="nil"/>
            </w:tcBorders>
          </w:tcPr>
          <w:p w14:paraId="7D20B0D6" w14:textId="77777777" w:rsidR="00A662DC" w:rsidRPr="00CE28E3" w:rsidRDefault="00A662DC" w:rsidP="00A662DC">
            <w:pPr>
              <w:pStyle w:val="Tabletext0"/>
              <w:keepNext/>
              <w:jc w:val="right"/>
            </w:pPr>
          </w:p>
        </w:tc>
      </w:tr>
      <w:tr w:rsidR="00A662DC" w:rsidRPr="00CE28E3" w14:paraId="151D7A16" w14:textId="77777777" w:rsidTr="005D2304">
        <w:trPr>
          <w:cantSplit/>
          <w:trHeight w:val="300"/>
        </w:trPr>
        <w:tc>
          <w:tcPr>
            <w:tcW w:w="1963" w:type="pct"/>
            <w:tcBorders>
              <w:top w:val="nil"/>
              <w:bottom w:val="nil"/>
            </w:tcBorders>
            <w:noWrap/>
          </w:tcPr>
          <w:p w14:paraId="59073163" w14:textId="77777777" w:rsidR="00A662DC" w:rsidRDefault="00A662DC" w:rsidP="00A662DC">
            <w:pPr>
              <w:pStyle w:val="Tabletext0"/>
              <w:keepNext/>
            </w:pPr>
            <w:r>
              <w:t>No. positive affected cases identified</w:t>
            </w:r>
          </w:p>
        </w:tc>
        <w:tc>
          <w:tcPr>
            <w:tcW w:w="734" w:type="pct"/>
            <w:tcBorders>
              <w:top w:val="nil"/>
              <w:bottom w:val="nil"/>
            </w:tcBorders>
            <w:noWrap/>
          </w:tcPr>
          <w:p w14:paraId="03FE758A" w14:textId="77777777" w:rsidR="00A662DC" w:rsidRDefault="00A662DC" w:rsidP="00A662DC">
            <w:pPr>
              <w:pStyle w:val="Tabletext0"/>
              <w:keepNext/>
              <w:jc w:val="right"/>
            </w:pPr>
          </w:p>
        </w:tc>
        <w:tc>
          <w:tcPr>
            <w:tcW w:w="734" w:type="pct"/>
            <w:tcBorders>
              <w:top w:val="nil"/>
              <w:bottom w:val="nil"/>
            </w:tcBorders>
            <w:noWrap/>
          </w:tcPr>
          <w:p w14:paraId="53EFE90D" w14:textId="77777777" w:rsidR="00A662DC" w:rsidRDefault="00A662DC" w:rsidP="00A662DC">
            <w:pPr>
              <w:pStyle w:val="Tabletext0"/>
              <w:keepNext/>
              <w:jc w:val="right"/>
            </w:pPr>
          </w:p>
        </w:tc>
        <w:tc>
          <w:tcPr>
            <w:tcW w:w="734" w:type="pct"/>
            <w:tcBorders>
              <w:top w:val="nil"/>
              <w:bottom w:val="nil"/>
            </w:tcBorders>
            <w:noWrap/>
          </w:tcPr>
          <w:p w14:paraId="35CC8139" w14:textId="77777777" w:rsidR="00A662DC" w:rsidRDefault="00A662DC" w:rsidP="00A662DC">
            <w:pPr>
              <w:pStyle w:val="Tabletext0"/>
              <w:keepNext/>
              <w:jc w:val="right"/>
            </w:pPr>
          </w:p>
        </w:tc>
        <w:tc>
          <w:tcPr>
            <w:tcW w:w="835" w:type="pct"/>
            <w:tcBorders>
              <w:top w:val="nil"/>
              <w:bottom w:val="nil"/>
            </w:tcBorders>
          </w:tcPr>
          <w:p w14:paraId="018637F6" w14:textId="77777777" w:rsidR="00A662DC" w:rsidRDefault="00A662DC" w:rsidP="00A662DC">
            <w:pPr>
              <w:pStyle w:val="Tabletext0"/>
              <w:keepNext/>
              <w:jc w:val="right"/>
            </w:pPr>
          </w:p>
        </w:tc>
      </w:tr>
      <w:tr w:rsidR="00A662DC" w:rsidRPr="00CE28E3" w14:paraId="0BC86EEA" w14:textId="77777777" w:rsidTr="005D2304">
        <w:trPr>
          <w:cantSplit/>
          <w:trHeight w:val="300"/>
        </w:trPr>
        <w:tc>
          <w:tcPr>
            <w:tcW w:w="1963" w:type="pct"/>
            <w:tcBorders>
              <w:top w:val="nil"/>
              <w:bottom w:val="nil"/>
            </w:tcBorders>
            <w:noWrap/>
          </w:tcPr>
          <w:p w14:paraId="26E16DCB" w14:textId="77777777" w:rsidR="00A662DC" w:rsidRDefault="00A662DC" w:rsidP="00A662DC">
            <w:pPr>
              <w:pStyle w:val="Tabletext0"/>
              <w:keepNext/>
            </w:pPr>
            <w:r>
              <w:t>No. positive relatives identified</w:t>
            </w:r>
          </w:p>
        </w:tc>
        <w:tc>
          <w:tcPr>
            <w:tcW w:w="734" w:type="pct"/>
            <w:tcBorders>
              <w:top w:val="nil"/>
              <w:bottom w:val="nil"/>
            </w:tcBorders>
            <w:noWrap/>
          </w:tcPr>
          <w:p w14:paraId="313DD4E2" w14:textId="77777777" w:rsidR="00A662DC" w:rsidRDefault="00A662DC" w:rsidP="00A662DC">
            <w:pPr>
              <w:pStyle w:val="Tabletext0"/>
              <w:keepNext/>
              <w:jc w:val="right"/>
            </w:pPr>
          </w:p>
        </w:tc>
        <w:tc>
          <w:tcPr>
            <w:tcW w:w="734" w:type="pct"/>
            <w:tcBorders>
              <w:top w:val="nil"/>
              <w:bottom w:val="nil"/>
            </w:tcBorders>
            <w:noWrap/>
          </w:tcPr>
          <w:p w14:paraId="2C1CB2EA" w14:textId="77777777" w:rsidR="00A662DC" w:rsidRDefault="00A662DC" w:rsidP="00A662DC">
            <w:pPr>
              <w:pStyle w:val="Tabletext0"/>
              <w:keepNext/>
              <w:jc w:val="right"/>
            </w:pPr>
          </w:p>
        </w:tc>
        <w:tc>
          <w:tcPr>
            <w:tcW w:w="734" w:type="pct"/>
            <w:tcBorders>
              <w:top w:val="nil"/>
              <w:bottom w:val="nil"/>
            </w:tcBorders>
            <w:noWrap/>
          </w:tcPr>
          <w:p w14:paraId="64087DCE" w14:textId="77777777" w:rsidR="00A662DC" w:rsidRDefault="00A662DC" w:rsidP="00A662DC">
            <w:pPr>
              <w:pStyle w:val="Tabletext0"/>
              <w:keepNext/>
              <w:jc w:val="right"/>
            </w:pPr>
          </w:p>
        </w:tc>
        <w:tc>
          <w:tcPr>
            <w:tcW w:w="835" w:type="pct"/>
            <w:tcBorders>
              <w:top w:val="nil"/>
              <w:bottom w:val="nil"/>
            </w:tcBorders>
          </w:tcPr>
          <w:p w14:paraId="34CF3246" w14:textId="77777777" w:rsidR="00A662DC" w:rsidRDefault="00A662DC" w:rsidP="00A662DC">
            <w:pPr>
              <w:pStyle w:val="Tabletext0"/>
              <w:keepNext/>
              <w:jc w:val="right"/>
            </w:pPr>
          </w:p>
        </w:tc>
      </w:tr>
      <w:tr w:rsidR="00A662DC" w:rsidRPr="00CE28E3" w14:paraId="156CD225" w14:textId="77777777" w:rsidTr="005D2304">
        <w:trPr>
          <w:cantSplit/>
          <w:trHeight w:val="300"/>
        </w:trPr>
        <w:tc>
          <w:tcPr>
            <w:tcW w:w="1963" w:type="pct"/>
            <w:tcBorders>
              <w:top w:val="nil"/>
            </w:tcBorders>
            <w:noWrap/>
          </w:tcPr>
          <w:p w14:paraId="2353C56D" w14:textId="77777777" w:rsidR="00A662DC" w:rsidRDefault="00A662DC" w:rsidP="00A662DC">
            <w:pPr>
              <w:pStyle w:val="Tabletext0"/>
              <w:keepNext/>
            </w:pPr>
            <w:r>
              <w:t>No. with appropriate management</w:t>
            </w:r>
          </w:p>
        </w:tc>
        <w:tc>
          <w:tcPr>
            <w:tcW w:w="734" w:type="pct"/>
            <w:tcBorders>
              <w:top w:val="nil"/>
            </w:tcBorders>
            <w:noWrap/>
          </w:tcPr>
          <w:p w14:paraId="5FC9A5D6" w14:textId="77777777" w:rsidR="00A662DC" w:rsidRDefault="00A662DC" w:rsidP="00A662DC">
            <w:pPr>
              <w:pStyle w:val="Tabletext0"/>
              <w:keepNext/>
              <w:jc w:val="right"/>
            </w:pPr>
          </w:p>
        </w:tc>
        <w:tc>
          <w:tcPr>
            <w:tcW w:w="734" w:type="pct"/>
            <w:tcBorders>
              <w:top w:val="nil"/>
            </w:tcBorders>
            <w:noWrap/>
          </w:tcPr>
          <w:p w14:paraId="55EBE845" w14:textId="77777777" w:rsidR="00A662DC" w:rsidRDefault="00A662DC" w:rsidP="00A662DC">
            <w:pPr>
              <w:pStyle w:val="Tabletext0"/>
              <w:keepNext/>
              <w:jc w:val="right"/>
            </w:pPr>
          </w:p>
        </w:tc>
        <w:tc>
          <w:tcPr>
            <w:tcW w:w="734" w:type="pct"/>
            <w:tcBorders>
              <w:top w:val="nil"/>
            </w:tcBorders>
            <w:noWrap/>
          </w:tcPr>
          <w:p w14:paraId="563A7DA0" w14:textId="77777777" w:rsidR="00A662DC" w:rsidRDefault="00A662DC" w:rsidP="00A662DC">
            <w:pPr>
              <w:pStyle w:val="Tabletext0"/>
              <w:keepNext/>
              <w:jc w:val="right"/>
            </w:pPr>
          </w:p>
        </w:tc>
        <w:tc>
          <w:tcPr>
            <w:tcW w:w="835" w:type="pct"/>
            <w:tcBorders>
              <w:top w:val="nil"/>
            </w:tcBorders>
          </w:tcPr>
          <w:p w14:paraId="1CF245CF" w14:textId="77777777" w:rsidR="00A662DC" w:rsidRDefault="00A662DC" w:rsidP="00A662DC">
            <w:pPr>
              <w:pStyle w:val="Tabletext0"/>
              <w:keepNext/>
              <w:jc w:val="right"/>
            </w:pPr>
          </w:p>
        </w:tc>
      </w:tr>
      <w:tr w:rsidR="00A662DC" w:rsidRPr="00DB7BCF" w14:paraId="7F4B5C59" w14:textId="77777777" w:rsidTr="005D2304">
        <w:trPr>
          <w:cantSplit/>
          <w:trHeight w:val="300"/>
        </w:trPr>
        <w:tc>
          <w:tcPr>
            <w:tcW w:w="5000" w:type="pct"/>
            <w:gridSpan w:val="5"/>
            <w:tcBorders>
              <w:bottom w:val="single" w:sz="4" w:space="0" w:color="auto"/>
            </w:tcBorders>
            <w:noWrap/>
            <w:hideMark/>
          </w:tcPr>
          <w:p w14:paraId="0AC694E9" w14:textId="7309F878" w:rsidR="00A662DC" w:rsidRPr="00DB7BCF" w:rsidRDefault="00A662DC" w:rsidP="00A662DC">
            <w:pPr>
              <w:pStyle w:val="Tabletext0"/>
              <w:keepNext/>
              <w:jc w:val="left"/>
              <w:rPr>
                <w:b/>
              </w:rPr>
            </w:pPr>
            <w:r w:rsidRPr="00DB7BCF">
              <w:rPr>
                <w:b/>
              </w:rPr>
              <w:t>Affected cases and first</w:t>
            </w:r>
            <w:r w:rsidR="00451645">
              <w:rPr>
                <w:b/>
              </w:rPr>
              <w:t>-</w:t>
            </w:r>
            <w:r w:rsidRPr="00DB7BCF">
              <w:rPr>
                <w:b/>
              </w:rPr>
              <w:t xml:space="preserve"> and second-degree relatives </w:t>
            </w:r>
          </w:p>
        </w:tc>
      </w:tr>
      <w:tr w:rsidR="00A662DC" w:rsidRPr="00CE28E3" w14:paraId="0966D8C1" w14:textId="77777777" w:rsidTr="005D2304">
        <w:trPr>
          <w:cantSplit/>
          <w:trHeight w:val="300"/>
        </w:trPr>
        <w:tc>
          <w:tcPr>
            <w:tcW w:w="1963" w:type="pct"/>
            <w:tcBorders>
              <w:bottom w:val="nil"/>
            </w:tcBorders>
            <w:noWrap/>
          </w:tcPr>
          <w:p w14:paraId="0922BAE5" w14:textId="77777777" w:rsidR="00A662DC" w:rsidRPr="00CE28E3" w:rsidRDefault="00A662DC" w:rsidP="00A662DC">
            <w:pPr>
              <w:pStyle w:val="Tabletext0"/>
              <w:keepNext/>
            </w:pPr>
            <w:r>
              <w:t>Costs</w:t>
            </w:r>
          </w:p>
        </w:tc>
        <w:tc>
          <w:tcPr>
            <w:tcW w:w="734" w:type="pct"/>
            <w:tcBorders>
              <w:bottom w:val="nil"/>
            </w:tcBorders>
            <w:noWrap/>
          </w:tcPr>
          <w:p w14:paraId="1468A0B6" w14:textId="77777777" w:rsidR="00A662DC" w:rsidRPr="00CE28E3" w:rsidRDefault="00A662DC" w:rsidP="00A662DC">
            <w:pPr>
              <w:pStyle w:val="Tabletext0"/>
              <w:keepNext/>
              <w:jc w:val="right"/>
            </w:pPr>
          </w:p>
        </w:tc>
        <w:tc>
          <w:tcPr>
            <w:tcW w:w="734" w:type="pct"/>
            <w:tcBorders>
              <w:bottom w:val="nil"/>
            </w:tcBorders>
            <w:noWrap/>
          </w:tcPr>
          <w:p w14:paraId="0CEA1E77" w14:textId="77777777" w:rsidR="00A662DC" w:rsidRPr="00CE28E3" w:rsidRDefault="00A662DC" w:rsidP="00A662DC">
            <w:pPr>
              <w:pStyle w:val="Tabletext0"/>
              <w:keepNext/>
              <w:jc w:val="right"/>
            </w:pPr>
          </w:p>
        </w:tc>
        <w:tc>
          <w:tcPr>
            <w:tcW w:w="734" w:type="pct"/>
            <w:tcBorders>
              <w:bottom w:val="nil"/>
            </w:tcBorders>
            <w:noWrap/>
          </w:tcPr>
          <w:p w14:paraId="0C9F857D" w14:textId="77777777" w:rsidR="00A662DC" w:rsidRPr="00CE28E3" w:rsidRDefault="00A662DC" w:rsidP="00A662DC">
            <w:pPr>
              <w:pStyle w:val="Tabletext0"/>
              <w:keepNext/>
              <w:jc w:val="right"/>
            </w:pPr>
          </w:p>
        </w:tc>
        <w:tc>
          <w:tcPr>
            <w:tcW w:w="835" w:type="pct"/>
            <w:tcBorders>
              <w:bottom w:val="nil"/>
            </w:tcBorders>
          </w:tcPr>
          <w:p w14:paraId="5ED0C01C" w14:textId="77777777" w:rsidR="00A662DC" w:rsidRPr="00CE28E3" w:rsidRDefault="00A662DC" w:rsidP="00A662DC">
            <w:pPr>
              <w:pStyle w:val="Tabletext0"/>
              <w:keepNext/>
              <w:jc w:val="right"/>
            </w:pPr>
          </w:p>
        </w:tc>
      </w:tr>
      <w:tr w:rsidR="00A662DC" w:rsidRPr="00CE28E3" w14:paraId="39F5FECC" w14:textId="77777777" w:rsidTr="005D2304">
        <w:trPr>
          <w:cantSplit/>
          <w:trHeight w:val="300"/>
        </w:trPr>
        <w:tc>
          <w:tcPr>
            <w:tcW w:w="1963" w:type="pct"/>
            <w:tcBorders>
              <w:top w:val="nil"/>
              <w:bottom w:val="nil"/>
            </w:tcBorders>
            <w:noWrap/>
          </w:tcPr>
          <w:p w14:paraId="49960AC7" w14:textId="77777777" w:rsidR="00A662DC" w:rsidRDefault="00A662DC" w:rsidP="00A662DC">
            <w:pPr>
              <w:pStyle w:val="Tabletext0"/>
              <w:keepNext/>
            </w:pPr>
            <w:r>
              <w:t>QALYs</w:t>
            </w:r>
          </w:p>
        </w:tc>
        <w:tc>
          <w:tcPr>
            <w:tcW w:w="734" w:type="pct"/>
            <w:tcBorders>
              <w:top w:val="nil"/>
              <w:bottom w:val="nil"/>
            </w:tcBorders>
            <w:noWrap/>
          </w:tcPr>
          <w:p w14:paraId="1C2843A5" w14:textId="77777777" w:rsidR="00A662DC" w:rsidRPr="00CE28E3" w:rsidRDefault="00A662DC" w:rsidP="00A662DC">
            <w:pPr>
              <w:pStyle w:val="Tabletext0"/>
              <w:keepNext/>
              <w:jc w:val="right"/>
            </w:pPr>
          </w:p>
        </w:tc>
        <w:tc>
          <w:tcPr>
            <w:tcW w:w="734" w:type="pct"/>
            <w:tcBorders>
              <w:top w:val="nil"/>
              <w:bottom w:val="nil"/>
            </w:tcBorders>
            <w:noWrap/>
          </w:tcPr>
          <w:p w14:paraId="4FB7D221" w14:textId="77777777" w:rsidR="00A662DC" w:rsidRPr="00CE28E3" w:rsidRDefault="00A662DC" w:rsidP="00A662DC">
            <w:pPr>
              <w:pStyle w:val="Tabletext0"/>
              <w:keepNext/>
              <w:jc w:val="right"/>
            </w:pPr>
          </w:p>
        </w:tc>
        <w:tc>
          <w:tcPr>
            <w:tcW w:w="734" w:type="pct"/>
            <w:tcBorders>
              <w:top w:val="nil"/>
              <w:bottom w:val="nil"/>
            </w:tcBorders>
            <w:noWrap/>
          </w:tcPr>
          <w:p w14:paraId="5A0516E0" w14:textId="77777777" w:rsidR="00A662DC" w:rsidRPr="00CE28E3" w:rsidRDefault="00A662DC" w:rsidP="00A662DC">
            <w:pPr>
              <w:pStyle w:val="Tabletext0"/>
              <w:keepNext/>
              <w:jc w:val="right"/>
            </w:pPr>
          </w:p>
        </w:tc>
        <w:tc>
          <w:tcPr>
            <w:tcW w:w="835" w:type="pct"/>
            <w:tcBorders>
              <w:top w:val="nil"/>
              <w:bottom w:val="nil"/>
            </w:tcBorders>
          </w:tcPr>
          <w:p w14:paraId="104B75E1" w14:textId="77777777" w:rsidR="00A662DC" w:rsidRPr="00CE28E3" w:rsidRDefault="00A662DC" w:rsidP="00A662DC">
            <w:pPr>
              <w:pStyle w:val="Tabletext0"/>
              <w:keepNext/>
              <w:jc w:val="right"/>
            </w:pPr>
          </w:p>
        </w:tc>
      </w:tr>
      <w:tr w:rsidR="00A662DC" w:rsidRPr="00CE28E3" w14:paraId="6D70EFEB" w14:textId="77777777" w:rsidTr="005D2304">
        <w:trPr>
          <w:cantSplit/>
          <w:trHeight w:val="300"/>
        </w:trPr>
        <w:tc>
          <w:tcPr>
            <w:tcW w:w="1963" w:type="pct"/>
            <w:tcBorders>
              <w:top w:val="nil"/>
              <w:bottom w:val="nil"/>
            </w:tcBorders>
            <w:noWrap/>
          </w:tcPr>
          <w:p w14:paraId="2D3CAB95" w14:textId="77777777" w:rsidR="00A662DC" w:rsidRDefault="00A662DC" w:rsidP="00A662DC">
            <w:pPr>
              <w:pStyle w:val="Tabletext0"/>
              <w:keepNext/>
            </w:pPr>
            <w:r>
              <w:t>No. positive affected cases identified</w:t>
            </w:r>
          </w:p>
        </w:tc>
        <w:tc>
          <w:tcPr>
            <w:tcW w:w="734" w:type="pct"/>
            <w:tcBorders>
              <w:top w:val="nil"/>
              <w:bottom w:val="nil"/>
            </w:tcBorders>
            <w:noWrap/>
          </w:tcPr>
          <w:p w14:paraId="0B8F33F2" w14:textId="77777777" w:rsidR="00A662DC" w:rsidRDefault="00A662DC" w:rsidP="00A662DC">
            <w:pPr>
              <w:pStyle w:val="Tabletext0"/>
              <w:keepNext/>
              <w:jc w:val="right"/>
            </w:pPr>
          </w:p>
        </w:tc>
        <w:tc>
          <w:tcPr>
            <w:tcW w:w="734" w:type="pct"/>
            <w:tcBorders>
              <w:top w:val="nil"/>
              <w:bottom w:val="nil"/>
            </w:tcBorders>
            <w:noWrap/>
          </w:tcPr>
          <w:p w14:paraId="0FC882F7" w14:textId="77777777" w:rsidR="00A662DC" w:rsidRDefault="00A662DC" w:rsidP="00A662DC">
            <w:pPr>
              <w:pStyle w:val="Tabletext0"/>
              <w:keepNext/>
              <w:jc w:val="right"/>
            </w:pPr>
          </w:p>
        </w:tc>
        <w:tc>
          <w:tcPr>
            <w:tcW w:w="734" w:type="pct"/>
            <w:tcBorders>
              <w:top w:val="nil"/>
              <w:bottom w:val="nil"/>
            </w:tcBorders>
            <w:noWrap/>
          </w:tcPr>
          <w:p w14:paraId="1A54EC1D" w14:textId="77777777" w:rsidR="00A662DC" w:rsidRDefault="00A662DC" w:rsidP="00A662DC">
            <w:pPr>
              <w:pStyle w:val="Tabletext0"/>
              <w:keepNext/>
              <w:jc w:val="right"/>
            </w:pPr>
          </w:p>
        </w:tc>
        <w:tc>
          <w:tcPr>
            <w:tcW w:w="835" w:type="pct"/>
            <w:tcBorders>
              <w:top w:val="nil"/>
              <w:bottom w:val="nil"/>
            </w:tcBorders>
          </w:tcPr>
          <w:p w14:paraId="46F2D8B8" w14:textId="77777777" w:rsidR="00A662DC" w:rsidRDefault="00A662DC" w:rsidP="00A662DC">
            <w:pPr>
              <w:pStyle w:val="Tabletext0"/>
              <w:keepNext/>
              <w:jc w:val="right"/>
            </w:pPr>
          </w:p>
        </w:tc>
      </w:tr>
      <w:tr w:rsidR="00A662DC" w:rsidRPr="00CE28E3" w14:paraId="76BB2480" w14:textId="77777777" w:rsidTr="005D2304">
        <w:trPr>
          <w:cantSplit/>
          <w:trHeight w:val="300"/>
        </w:trPr>
        <w:tc>
          <w:tcPr>
            <w:tcW w:w="1963" w:type="pct"/>
            <w:tcBorders>
              <w:top w:val="nil"/>
              <w:bottom w:val="nil"/>
            </w:tcBorders>
            <w:noWrap/>
          </w:tcPr>
          <w:p w14:paraId="20B10BD9" w14:textId="77777777" w:rsidR="00A662DC" w:rsidRDefault="00A662DC" w:rsidP="00A662DC">
            <w:pPr>
              <w:pStyle w:val="Tabletext0"/>
              <w:keepNext/>
            </w:pPr>
            <w:r>
              <w:t>No. positive relatives identified</w:t>
            </w:r>
          </w:p>
        </w:tc>
        <w:tc>
          <w:tcPr>
            <w:tcW w:w="734" w:type="pct"/>
            <w:tcBorders>
              <w:top w:val="nil"/>
              <w:bottom w:val="nil"/>
            </w:tcBorders>
            <w:noWrap/>
          </w:tcPr>
          <w:p w14:paraId="432058E0" w14:textId="77777777" w:rsidR="00A662DC" w:rsidRDefault="00A662DC" w:rsidP="00A662DC">
            <w:pPr>
              <w:pStyle w:val="Tabletext0"/>
              <w:keepNext/>
              <w:jc w:val="right"/>
            </w:pPr>
          </w:p>
        </w:tc>
        <w:tc>
          <w:tcPr>
            <w:tcW w:w="734" w:type="pct"/>
            <w:tcBorders>
              <w:top w:val="nil"/>
              <w:bottom w:val="nil"/>
            </w:tcBorders>
            <w:noWrap/>
          </w:tcPr>
          <w:p w14:paraId="4AFE696F" w14:textId="77777777" w:rsidR="00A662DC" w:rsidRDefault="00A662DC" w:rsidP="00A662DC">
            <w:pPr>
              <w:pStyle w:val="Tabletext0"/>
              <w:keepNext/>
              <w:jc w:val="right"/>
            </w:pPr>
          </w:p>
        </w:tc>
        <w:tc>
          <w:tcPr>
            <w:tcW w:w="734" w:type="pct"/>
            <w:tcBorders>
              <w:top w:val="nil"/>
              <w:bottom w:val="nil"/>
            </w:tcBorders>
            <w:noWrap/>
          </w:tcPr>
          <w:p w14:paraId="1D1F9BEC" w14:textId="77777777" w:rsidR="00A662DC" w:rsidRDefault="00A662DC" w:rsidP="00A662DC">
            <w:pPr>
              <w:pStyle w:val="Tabletext0"/>
              <w:keepNext/>
              <w:jc w:val="right"/>
            </w:pPr>
          </w:p>
        </w:tc>
        <w:tc>
          <w:tcPr>
            <w:tcW w:w="835" w:type="pct"/>
            <w:tcBorders>
              <w:top w:val="nil"/>
              <w:bottom w:val="nil"/>
            </w:tcBorders>
          </w:tcPr>
          <w:p w14:paraId="60AD62FB" w14:textId="77777777" w:rsidR="00A662DC" w:rsidRDefault="00A662DC" w:rsidP="00A662DC">
            <w:pPr>
              <w:pStyle w:val="Tabletext0"/>
              <w:keepNext/>
              <w:jc w:val="right"/>
            </w:pPr>
          </w:p>
        </w:tc>
      </w:tr>
      <w:tr w:rsidR="00A662DC" w:rsidRPr="00CE28E3" w14:paraId="4CEF1C61" w14:textId="77777777" w:rsidTr="005D2304">
        <w:trPr>
          <w:cantSplit/>
          <w:trHeight w:val="300"/>
        </w:trPr>
        <w:tc>
          <w:tcPr>
            <w:tcW w:w="1963" w:type="pct"/>
            <w:tcBorders>
              <w:top w:val="nil"/>
            </w:tcBorders>
            <w:noWrap/>
          </w:tcPr>
          <w:p w14:paraId="0474433B" w14:textId="77777777" w:rsidR="00A662DC" w:rsidRDefault="00A662DC" w:rsidP="00A662DC">
            <w:pPr>
              <w:pStyle w:val="Tabletext0"/>
              <w:keepNext/>
            </w:pPr>
            <w:r>
              <w:t>No. with appropriate management</w:t>
            </w:r>
          </w:p>
        </w:tc>
        <w:tc>
          <w:tcPr>
            <w:tcW w:w="734" w:type="pct"/>
            <w:tcBorders>
              <w:top w:val="nil"/>
            </w:tcBorders>
            <w:noWrap/>
          </w:tcPr>
          <w:p w14:paraId="7B43E44E" w14:textId="77777777" w:rsidR="00A662DC" w:rsidRDefault="00A662DC" w:rsidP="00A662DC">
            <w:pPr>
              <w:pStyle w:val="Tabletext0"/>
              <w:keepNext/>
              <w:jc w:val="right"/>
            </w:pPr>
          </w:p>
        </w:tc>
        <w:tc>
          <w:tcPr>
            <w:tcW w:w="734" w:type="pct"/>
            <w:tcBorders>
              <w:top w:val="nil"/>
            </w:tcBorders>
            <w:noWrap/>
          </w:tcPr>
          <w:p w14:paraId="769A752D" w14:textId="77777777" w:rsidR="00A662DC" w:rsidRDefault="00A662DC" w:rsidP="00A662DC">
            <w:pPr>
              <w:pStyle w:val="Tabletext0"/>
              <w:keepNext/>
              <w:jc w:val="right"/>
            </w:pPr>
          </w:p>
        </w:tc>
        <w:tc>
          <w:tcPr>
            <w:tcW w:w="734" w:type="pct"/>
            <w:tcBorders>
              <w:top w:val="nil"/>
            </w:tcBorders>
            <w:noWrap/>
          </w:tcPr>
          <w:p w14:paraId="1E8E2E78" w14:textId="77777777" w:rsidR="00A662DC" w:rsidRDefault="00A662DC" w:rsidP="00A662DC">
            <w:pPr>
              <w:pStyle w:val="Tabletext0"/>
              <w:keepNext/>
              <w:jc w:val="right"/>
            </w:pPr>
          </w:p>
        </w:tc>
        <w:tc>
          <w:tcPr>
            <w:tcW w:w="835" w:type="pct"/>
            <w:tcBorders>
              <w:top w:val="nil"/>
            </w:tcBorders>
          </w:tcPr>
          <w:p w14:paraId="4F997375" w14:textId="77777777" w:rsidR="00A662DC" w:rsidRDefault="00A662DC" w:rsidP="00A662DC">
            <w:pPr>
              <w:pStyle w:val="Tabletext0"/>
              <w:keepNext/>
              <w:jc w:val="right"/>
            </w:pPr>
          </w:p>
        </w:tc>
      </w:tr>
    </w:tbl>
    <w:p w14:paraId="5A346BE2" w14:textId="404FBA0E" w:rsidR="00A662DC" w:rsidRDefault="00A662DC" w:rsidP="00451645">
      <w:pPr>
        <w:pStyle w:val="TableFigureFooter"/>
        <w:spacing w:after="120"/>
      </w:pPr>
      <w:r w:rsidRPr="00CE28E3">
        <w:t>ICER = incremental cost-effectiveness ratio; QAL</w:t>
      </w:r>
      <w:r>
        <w:t>Y = quality-adjusted life year</w:t>
      </w:r>
      <w:r w:rsidR="00451645">
        <w:t xml:space="preserve">. </w:t>
      </w:r>
      <w:r w:rsidR="00451645" w:rsidRPr="00223664">
        <w:rPr>
          <w:color w:val="258221"/>
        </w:rPr>
        <w:t>[Define all abbreviations used in the table]</w:t>
      </w:r>
      <w:r w:rsidRPr="00CE28E3">
        <w:t xml:space="preserve"> </w:t>
      </w:r>
    </w:p>
    <w:p w14:paraId="0C750102" w14:textId="4DA18DEA" w:rsidR="00451645" w:rsidRDefault="00451645" w:rsidP="00451645">
      <w:pPr>
        <w:pStyle w:val="TableFigureFooter"/>
      </w:pPr>
      <w:r>
        <w:t>Note: Multiple outcomes may be informative for MSAC decision-making – examples have been presented.</w:t>
      </w:r>
    </w:p>
    <w:p w14:paraId="746EE3DD" w14:textId="0B2B452D" w:rsidR="00FC5603" w:rsidRPr="003251C2" w:rsidRDefault="00610ABA" w:rsidP="0045093D">
      <w:pPr>
        <w:pStyle w:val="Instructionaltext-afterfiguretable"/>
        <w:keepNext/>
      </w:pPr>
      <w:r w:rsidRPr="00610ABA">
        <w:t xml:space="preserve">[Instructional text] </w:t>
      </w:r>
      <w:r w:rsidR="00FC5603" w:rsidRPr="003251C2">
        <w:t>Present the overall results of the base case</w:t>
      </w:r>
      <w:r>
        <w:t xml:space="preserve"> </w:t>
      </w:r>
      <w:r w:rsidR="0045093D">
        <w:t>(</w:t>
      </w:r>
      <w:r w:rsidR="003571C2">
        <w:fldChar w:fldCharType="begin"/>
      </w:r>
      <w:r w:rsidR="003571C2">
        <w:instrText xml:space="preserve"> REF _Ref69726284 \h </w:instrText>
      </w:r>
      <w:r w:rsidR="003571C2">
        <w:fldChar w:fldCharType="separate"/>
      </w:r>
      <w:r w:rsidR="003571C2" w:rsidRPr="00CE28E3">
        <w:t>Table</w:t>
      </w:r>
      <w:r w:rsidR="003571C2">
        <w:t> </w:t>
      </w:r>
      <w:r w:rsidR="003571C2">
        <w:rPr>
          <w:noProof/>
        </w:rPr>
        <w:t>9</w:t>
      </w:r>
      <w:r w:rsidR="003571C2">
        <w:fldChar w:fldCharType="end"/>
      </w:r>
      <w:r w:rsidR="0045093D">
        <w:t>)</w:t>
      </w:r>
      <w:r>
        <w:t>.</w:t>
      </w:r>
      <w:r w:rsidR="00FC5603" w:rsidRPr="003251C2">
        <w:t xml:space="preserve"> </w:t>
      </w:r>
      <w:r w:rsidRPr="00610ABA">
        <w:t>[End instructional text]</w:t>
      </w:r>
    </w:p>
    <w:p w14:paraId="1B770181" w14:textId="7BB0186D" w:rsidR="002F32FB" w:rsidRPr="00CE28E3" w:rsidRDefault="002F32FB" w:rsidP="00135FC9">
      <w:pPr>
        <w:pStyle w:val="Caption"/>
      </w:pPr>
      <w:bookmarkStart w:id="52" w:name="_Ref69726284"/>
      <w:r w:rsidRPr="00CE28E3">
        <w:t>Table</w:t>
      </w:r>
      <w:r w:rsidR="003571C2">
        <w:t> </w:t>
      </w:r>
      <w:r w:rsidR="0099088A">
        <w:fldChar w:fldCharType="begin"/>
      </w:r>
      <w:r w:rsidR="0099088A">
        <w:instrText xml:space="preserve"> SEQ Table \* ARABIC </w:instrText>
      </w:r>
      <w:r w:rsidR="0099088A">
        <w:fldChar w:fldCharType="separate"/>
      </w:r>
      <w:r w:rsidR="003571C2">
        <w:rPr>
          <w:noProof/>
        </w:rPr>
        <w:t>9</w:t>
      </w:r>
      <w:r w:rsidR="0099088A">
        <w:rPr>
          <w:noProof/>
        </w:rPr>
        <w:fldChar w:fldCharType="end"/>
      </w:r>
      <w:bookmarkEnd w:id="52"/>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2F32FB" w:rsidRPr="00CE28E3" w14:paraId="6C9AAE3F" w14:textId="77777777" w:rsidTr="00135FC9">
        <w:trPr>
          <w:cantSplit/>
          <w:tblHeader/>
        </w:trPr>
        <w:tc>
          <w:tcPr>
            <w:tcW w:w="942" w:type="pct"/>
            <w:shd w:val="clear" w:color="auto" w:fill="FFFFFF"/>
          </w:tcPr>
          <w:p w14:paraId="3F81650A" w14:textId="250DA9C9" w:rsidR="002F32FB" w:rsidRPr="00CE28E3" w:rsidRDefault="00037302" w:rsidP="00037302">
            <w:pPr>
              <w:pStyle w:val="In-tableHeading"/>
            </w:pPr>
            <w:bookmarkStart w:id="53" w:name="Title_Table9" w:colFirst="0" w:colLast="0"/>
            <w:bookmarkStart w:id="54" w:name="_Hlk68276590"/>
            <w:r>
              <w:t>Parameter</w:t>
            </w:r>
            <w:r w:rsidR="00B8535F">
              <w:t xml:space="preserve"> </w:t>
            </w:r>
          </w:p>
        </w:tc>
        <w:tc>
          <w:tcPr>
            <w:tcW w:w="1353" w:type="pct"/>
            <w:shd w:val="clear" w:color="auto" w:fill="FFFFFF"/>
          </w:tcPr>
          <w:p w14:paraId="620E0CCB" w14:textId="250FE90B" w:rsidR="002F32FB" w:rsidRPr="00CE28E3" w:rsidRDefault="00037302" w:rsidP="00B8535F">
            <w:pPr>
              <w:pStyle w:val="In-tableHeading"/>
              <w:jc w:val="center"/>
            </w:pPr>
            <w:r>
              <w:t>[</w:t>
            </w:r>
            <w:r w:rsidR="00A74226">
              <w:t>*</w:t>
            </w:r>
            <w:r w:rsidR="002F32FB" w:rsidRPr="00CE28E3">
              <w:t>Proposed health technology</w:t>
            </w:r>
            <w:r>
              <w:t>]</w:t>
            </w:r>
          </w:p>
        </w:tc>
        <w:tc>
          <w:tcPr>
            <w:tcW w:w="1319" w:type="pct"/>
            <w:shd w:val="clear" w:color="auto" w:fill="FFFFFF"/>
          </w:tcPr>
          <w:p w14:paraId="500DB19E" w14:textId="48C5EAEC" w:rsidR="002F32FB" w:rsidRPr="00CE28E3" w:rsidRDefault="00037302" w:rsidP="00B8535F">
            <w:pPr>
              <w:pStyle w:val="In-tableHeading"/>
              <w:jc w:val="center"/>
            </w:pPr>
            <w:r>
              <w:t>[</w:t>
            </w:r>
            <w:r w:rsidR="00A74226">
              <w:t>*</w:t>
            </w:r>
            <w:r w:rsidR="002F32FB" w:rsidRPr="00CE28E3">
              <w:t>Main comparator</w:t>
            </w:r>
            <w:r>
              <w:t>]</w:t>
            </w:r>
          </w:p>
        </w:tc>
        <w:tc>
          <w:tcPr>
            <w:tcW w:w="1386" w:type="pct"/>
            <w:shd w:val="clear" w:color="auto" w:fill="FFFFFF"/>
            <w:vAlign w:val="center"/>
          </w:tcPr>
          <w:p w14:paraId="3863ED7D" w14:textId="77777777" w:rsidR="002F32FB" w:rsidRPr="00CE28E3" w:rsidRDefault="002F32FB" w:rsidP="00B8535F">
            <w:pPr>
              <w:pStyle w:val="In-tableHeading"/>
              <w:jc w:val="center"/>
            </w:pPr>
            <w:r w:rsidRPr="00CE28E3">
              <w:t>Increment</w:t>
            </w:r>
          </w:p>
        </w:tc>
      </w:tr>
      <w:bookmarkEnd w:id="53"/>
      <w:tr w:rsidR="002F32FB" w:rsidRPr="00CE28E3" w14:paraId="369EE6BC" w14:textId="77777777" w:rsidTr="00135FC9">
        <w:trPr>
          <w:cantSplit/>
        </w:trPr>
        <w:tc>
          <w:tcPr>
            <w:tcW w:w="942" w:type="pct"/>
            <w:shd w:val="clear" w:color="auto" w:fill="auto"/>
          </w:tcPr>
          <w:p w14:paraId="051B9EED" w14:textId="77777777" w:rsidR="002F32FB" w:rsidRPr="00CE28E3" w:rsidRDefault="002F32FB" w:rsidP="00B8535F">
            <w:pPr>
              <w:pStyle w:val="TableText"/>
              <w:keepNext/>
            </w:pPr>
            <w:r w:rsidRPr="00CE28E3">
              <w:t>Costs</w:t>
            </w:r>
          </w:p>
        </w:tc>
        <w:tc>
          <w:tcPr>
            <w:tcW w:w="1353" w:type="pct"/>
            <w:shd w:val="clear" w:color="auto" w:fill="auto"/>
          </w:tcPr>
          <w:p w14:paraId="0FAC9D47" w14:textId="0D26862E" w:rsidR="002F32FB" w:rsidRPr="00CE28E3" w:rsidRDefault="002F32FB" w:rsidP="00B8535F">
            <w:pPr>
              <w:pStyle w:val="TableText"/>
              <w:keepNext/>
              <w:jc w:val="center"/>
            </w:pPr>
            <w:r w:rsidRPr="00CE28E3">
              <w:t>${</w:t>
            </w:r>
            <w:r w:rsidR="00135FC9">
              <w:t>*</w:t>
            </w:r>
            <w:r w:rsidRPr="00CE28E3">
              <w:t>}</w:t>
            </w:r>
          </w:p>
        </w:tc>
        <w:tc>
          <w:tcPr>
            <w:tcW w:w="1319" w:type="pct"/>
            <w:shd w:val="clear" w:color="auto" w:fill="auto"/>
          </w:tcPr>
          <w:p w14:paraId="6C1A6297" w14:textId="0849BC35" w:rsidR="002F32FB" w:rsidRPr="00CE28E3" w:rsidRDefault="002F32FB" w:rsidP="00B8535F">
            <w:pPr>
              <w:pStyle w:val="TableText"/>
              <w:keepNext/>
              <w:jc w:val="center"/>
            </w:pPr>
            <w:r w:rsidRPr="00CE28E3">
              <w:t>${</w:t>
            </w:r>
            <w:r w:rsidR="00135FC9">
              <w:t>*</w:t>
            </w:r>
            <w:r w:rsidRPr="00CE28E3">
              <w:t>}</w:t>
            </w:r>
          </w:p>
        </w:tc>
        <w:tc>
          <w:tcPr>
            <w:tcW w:w="1386" w:type="pct"/>
            <w:shd w:val="clear" w:color="auto" w:fill="auto"/>
          </w:tcPr>
          <w:p w14:paraId="4B4524BB" w14:textId="11C56C35" w:rsidR="002F32FB" w:rsidRPr="00CE28E3" w:rsidRDefault="002F32FB" w:rsidP="00B8535F">
            <w:pPr>
              <w:pStyle w:val="TableText"/>
              <w:keepNext/>
              <w:jc w:val="center"/>
            </w:pPr>
            <w:r w:rsidRPr="00CE28E3">
              <w:t>${</w:t>
            </w:r>
            <w:r w:rsidR="00135FC9">
              <w:t>*</w:t>
            </w:r>
            <w:r w:rsidRPr="00CE28E3">
              <w:t>}</w:t>
            </w:r>
          </w:p>
        </w:tc>
      </w:tr>
      <w:tr w:rsidR="002F32FB" w:rsidRPr="00CE28E3" w14:paraId="6A9B9196" w14:textId="77777777" w:rsidTr="00135FC9">
        <w:trPr>
          <w:cantSplit/>
        </w:trPr>
        <w:tc>
          <w:tcPr>
            <w:tcW w:w="942" w:type="pct"/>
            <w:shd w:val="clear" w:color="auto" w:fill="auto"/>
          </w:tcPr>
          <w:p w14:paraId="09069B1C" w14:textId="77777777" w:rsidR="002F32FB" w:rsidRPr="00CE28E3" w:rsidRDefault="002F32FB" w:rsidP="00B8535F">
            <w:pPr>
              <w:pStyle w:val="TableText"/>
              <w:keepNext/>
            </w:pPr>
            <w:r w:rsidRPr="00CE28E3">
              <w:t>Life years</w:t>
            </w:r>
          </w:p>
        </w:tc>
        <w:tc>
          <w:tcPr>
            <w:tcW w:w="1353" w:type="pct"/>
            <w:shd w:val="clear" w:color="auto" w:fill="auto"/>
          </w:tcPr>
          <w:p w14:paraId="5D79285C" w14:textId="19F65B1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0C0E2B31" w14:textId="0FC60154"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169B9B25" w14:textId="5DD4DC88" w:rsidR="002F32FB" w:rsidRPr="00CE28E3" w:rsidRDefault="002F32FB" w:rsidP="00B8535F">
            <w:pPr>
              <w:pStyle w:val="TableText"/>
              <w:keepNext/>
              <w:jc w:val="center"/>
            </w:pPr>
            <w:r w:rsidRPr="00CE28E3">
              <w:t>{</w:t>
            </w:r>
            <w:r w:rsidR="00135FC9">
              <w:t>*</w:t>
            </w:r>
            <w:r w:rsidRPr="00CE28E3">
              <w:t>value}</w:t>
            </w:r>
          </w:p>
        </w:tc>
      </w:tr>
      <w:tr w:rsidR="002F32FB" w:rsidRPr="00CE28E3" w14:paraId="24736DA2" w14:textId="77777777" w:rsidTr="00135FC9">
        <w:trPr>
          <w:cantSplit/>
        </w:trPr>
        <w:tc>
          <w:tcPr>
            <w:tcW w:w="942" w:type="pct"/>
            <w:shd w:val="clear" w:color="auto" w:fill="auto"/>
          </w:tcPr>
          <w:p w14:paraId="6D2D1BB4" w14:textId="77777777" w:rsidR="002F32FB" w:rsidRPr="00CE28E3" w:rsidRDefault="002F32FB" w:rsidP="00B8535F">
            <w:pPr>
              <w:pStyle w:val="TableText"/>
              <w:keepNext/>
            </w:pPr>
            <w:r w:rsidRPr="00CE28E3">
              <w:t>QALYS</w:t>
            </w:r>
          </w:p>
        </w:tc>
        <w:tc>
          <w:tcPr>
            <w:tcW w:w="1353" w:type="pct"/>
            <w:shd w:val="clear" w:color="auto" w:fill="auto"/>
          </w:tcPr>
          <w:p w14:paraId="768CBE06" w14:textId="1B11788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1062F347" w14:textId="3A2DBAF6"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3F1BB173" w14:textId="4A1D3ED9" w:rsidR="002F32FB" w:rsidRPr="00CE28E3" w:rsidRDefault="002F32FB" w:rsidP="00B8535F">
            <w:pPr>
              <w:pStyle w:val="TableText"/>
              <w:keepNext/>
              <w:jc w:val="center"/>
            </w:pPr>
            <w:r w:rsidRPr="00CE28E3">
              <w:t>{</w:t>
            </w:r>
            <w:r w:rsidR="00135FC9">
              <w:t>*</w:t>
            </w:r>
            <w:r w:rsidRPr="00CE28E3">
              <w:t>value}</w:t>
            </w:r>
          </w:p>
        </w:tc>
      </w:tr>
      <w:tr w:rsidR="002F32FB" w:rsidRPr="00CE28E3" w14:paraId="4685A67E" w14:textId="77777777" w:rsidTr="00135FC9">
        <w:trPr>
          <w:cantSplit/>
        </w:trPr>
        <w:tc>
          <w:tcPr>
            <w:tcW w:w="3614" w:type="pct"/>
            <w:gridSpan w:val="3"/>
            <w:tcBorders>
              <w:right w:val="single" w:sz="4" w:space="0" w:color="000000"/>
            </w:tcBorders>
            <w:shd w:val="clear" w:color="auto" w:fill="auto"/>
          </w:tcPr>
          <w:p w14:paraId="7B41A60E" w14:textId="77777777" w:rsidR="002F32FB" w:rsidRPr="00CE28E3" w:rsidRDefault="002F32FB" w:rsidP="00B8535F">
            <w:pPr>
              <w:pStyle w:val="In-tableHeading"/>
            </w:pPr>
            <w:r w:rsidRPr="00CE28E3">
              <w:t>Incremental cost per life year gained</w:t>
            </w:r>
          </w:p>
        </w:tc>
        <w:tc>
          <w:tcPr>
            <w:tcW w:w="1386" w:type="pct"/>
            <w:tcBorders>
              <w:left w:val="single" w:sz="4" w:space="0" w:color="000000"/>
            </w:tcBorders>
            <w:shd w:val="clear" w:color="auto" w:fill="auto"/>
          </w:tcPr>
          <w:p w14:paraId="208C6EDC" w14:textId="5F00E4D2"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r w:rsidR="002F32FB" w:rsidRPr="00CE28E3" w14:paraId="4C386061" w14:textId="77777777" w:rsidTr="00135FC9">
        <w:trPr>
          <w:cantSplit/>
        </w:trPr>
        <w:tc>
          <w:tcPr>
            <w:tcW w:w="3614" w:type="pct"/>
            <w:gridSpan w:val="3"/>
            <w:tcBorders>
              <w:right w:val="single" w:sz="4" w:space="0" w:color="000000"/>
            </w:tcBorders>
            <w:shd w:val="clear" w:color="auto" w:fill="auto"/>
          </w:tcPr>
          <w:p w14:paraId="10510EF0" w14:textId="77777777" w:rsidR="002F32FB" w:rsidRPr="00CE28E3" w:rsidRDefault="002F32FB" w:rsidP="00B8535F">
            <w:pPr>
              <w:pStyle w:val="In-tableHeading"/>
            </w:pPr>
            <w:r w:rsidRPr="00CE28E3">
              <w:t>Incremental cost per QALY gained</w:t>
            </w:r>
          </w:p>
        </w:tc>
        <w:tc>
          <w:tcPr>
            <w:tcW w:w="1386" w:type="pct"/>
            <w:tcBorders>
              <w:left w:val="single" w:sz="4" w:space="0" w:color="000000"/>
            </w:tcBorders>
            <w:shd w:val="clear" w:color="auto" w:fill="auto"/>
          </w:tcPr>
          <w:p w14:paraId="10B6B487" w14:textId="40572BE6"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bl>
    <w:p w14:paraId="29D65211" w14:textId="076A3D7C" w:rsidR="002F32FB" w:rsidRPr="00CE28E3" w:rsidRDefault="002F32FB" w:rsidP="001F6F44">
      <w:pPr>
        <w:pStyle w:val="TableFigureFooter"/>
        <w:spacing w:after="600"/>
        <w:rPr>
          <w:rFonts w:eastAsia="Calibri"/>
          <w:szCs w:val="20"/>
        </w:rPr>
      </w:pPr>
      <w:bookmarkStart w:id="55" w:name="_Hlk68276600"/>
      <w:bookmarkEnd w:id="54"/>
      <w:r w:rsidRPr="00CE28E3">
        <w:rPr>
          <w:rFonts w:eastAsia="Calibri"/>
          <w:szCs w:val="20"/>
        </w:rPr>
        <w:t>QALY = quality</w:t>
      </w:r>
      <w:r w:rsidR="0045093D">
        <w:rPr>
          <w:rFonts w:eastAsia="Calibri"/>
          <w:szCs w:val="20"/>
        </w:rPr>
        <w:t>-</w:t>
      </w:r>
      <w:r w:rsidRPr="00CE28E3">
        <w:rPr>
          <w:rFonts w:eastAsia="Calibri"/>
          <w:szCs w:val="20"/>
        </w:rPr>
        <w:t>adjusted life year.</w:t>
      </w:r>
      <w:r w:rsidR="0045093D">
        <w:rPr>
          <w:rFonts w:eastAsia="Calibri"/>
          <w:szCs w:val="20"/>
        </w:rPr>
        <w:t xml:space="preserve"> </w:t>
      </w:r>
      <w:r w:rsidR="0045093D" w:rsidRPr="00587639">
        <w:rPr>
          <w:color w:val="258221"/>
        </w:rPr>
        <w:t>[</w:t>
      </w:r>
      <w:r w:rsidR="0087277A">
        <w:rPr>
          <w:color w:val="258221"/>
        </w:rPr>
        <w:t>D</w:t>
      </w:r>
      <w:r w:rsidR="0045093D" w:rsidRPr="00587639">
        <w:rPr>
          <w:color w:val="258221"/>
        </w:rPr>
        <w:t xml:space="preserve">efine </w:t>
      </w:r>
      <w:r w:rsidR="0045093D">
        <w:rPr>
          <w:color w:val="258221"/>
        </w:rPr>
        <w:t xml:space="preserve">all </w:t>
      </w:r>
      <w:r w:rsidR="0045093D" w:rsidRPr="00587639">
        <w:rPr>
          <w:color w:val="258221"/>
        </w:rPr>
        <w:t>abbreviations used in the table]</w:t>
      </w:r>
    </w:p>
    <w:bookmarkEnd w:id="55"/>
    <w:p w14:paraId="7ED6E8FB" w14:textId="522FB862" w:rsidR="00C922A2" w:rsidRPr="001F6F44" w:rsidRDefault="003F7196" w:rsidP="001F6F44">
      <w:pPr>
        <w:pStyle w:val="Guidelinescross-ref"/>
      </w:pPr>
      <w:r w:rsidRPr="001F6F44">
        <w:t xml:space="preserve">Refer to: </w:t>
      </w:r>
      <w:r w:rsidR="00C922A2" w:rsidRPr="001F6F44">
        <w:t>MSAC Guidelines TG 25</w:t>
      </w:r>
      <w:r w:rsidR="00EF1755" w:rsidRPr="001F6F44">
        <w:t xml:space="preserve"> (Uncertainty analysis: model inputs and assumptions)</w:t>
      </w:r>
    </w:p>
    <w:p w14:paraId="74448943" w14:textId="15343348" w:rsidR="00FC5603" w:rsidRPr="003251C2" w:rsidRDefault="00610ABA" w:rsidP="00E76AE0">
      <w:pPr>
        <w:pStyle w:val="Instructionaltext"/>
      </w:pPr>
      <w:r w:rsidRPr="00610ABA">
        <w:t xml:space="preserve">[Instructional text] </w:t>
      </w:r>
      <w:r w:rsidR="002F32FB" w:rsidRPr="003251C2">
        <w:t>Present the key drivers of the model that are uncertain</w:t>
      </w:r>
      <w:r w:rsidR="00EF1755">
        <w:t xml:space="preserve"> (</w:t>
      </w:r>
      <w:r w:rsidR="003571C2">
        <w:fldChar w:fldCharType="begin"/>
      </w:r>
      <w:r w:rsidR="003571C2">
        <w:instrText xml:space="preserve"> REF _Ref69726321 \h </w:instrText>
      </w:r>
      <w:r w:rsidR="003571C2">
        <w:fldChar w:fldCharType="separate"/>
      </w:r>
      <w:r w:rsidR="003571C2" w:rsidRPr="00CE28E3">
        <w:t>Table</w:t>
      </w:r>
      <w:r w:rsidR="003571C2">
        <w:t> </w:t>
      </w:r>
      <w:r w:rsidR="003571C2">
        <w:rPr>
          <w:noProof/>
        </w:rPr>
        <w:t>10</w:t>
      </w:r>
      <w:r w:rsidR="003571C2">
        <w:fldChar w:fldCharType="end"/>
      </w:r>
      <w:r w:rsidR="00EF1755">
        <w:t>)</w:t>
      </w:r>
      <w:r w:rsidR="002F32FB" w:rsidRPr="003251C2">
        <w:t>. Drivers may include inputs and translation issues. Rate the impact on the ICER as high or moderate. Keep the text in the tables brief. If further explanation of the key drivers is required, provide this in text.</w:t>
      </w:r>
      <w:r>
        <w:t xml:space="preserve"> </w:t>
      </w:r>
      <w:r w:rsidRPr="00610ABA">
        <w:t>[End instructional text]</w:t>
      </w:r>
    </w:p>
    <w:p w14:paraId="708EBBC4" w14:textId="0B593462" w:rsidR="002F32FB" w:rsidRPr="00CE28E3" w:rsidRDefault="002F32FB" w:rsidP="002F32FB">
      <w:pPr>
        <w:pStyle w:val="Caption"/>
      </w:pPr>
      <w:bookmarkStart w:id="56" w:name="_Ref69726321"/>
      <w:r w:rsidRPr="00CE28E3">
        <w:lastRenderedPageBreak/>
        <w:t>Table</w:t>
      </w:r>
      <w:r w:rsidR="003571C2">
        <w:t> </w:t>
      </w:r>
      <w:r w:rsidR="0099088A">
        <w:fldChar w:fldCharType="begin"/>
      </w:r>
      <w:r w:rsidR="0099088A">
        <w:instrText xml:space="preserve"> SEQ Table \* ARABIC </w:instrText>
      </w:r>
      <w:r w:rsidR="0099088A">
        <w:fldChar w:fldCharType="separate"/>
      </w:r>
      <w:r w:rsidR="003571C2">
        <w:rPr>
          <w:noProof/>
        </w:rPr>
        <w:t>10</w:t>
      </w:r>
      <w:r w:rsidR="0099088A">
        <w:rPr>
          <w:noProof/>
        </w:rPr>
        <w:fldChar w:fldCharType="end"/>
      </w:r>
      <w:bookmarkEnd w:id="56"/>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2F32FB" w:rsidRPr="00CE28E3" w14:paraId="11B0BC91" w14:textId="77777777" w:rsidTr="003B61B7">
        <w:trPr>
          <w:tblHeader/>
        </w:trPr>
        <w:tc>
          <w:tcPr>
            <w:tcW w:w="626" w:type="pct"/>
            <w:shd w:val="clear" w:color="auto" w:fill="auto"/>
            <w:vAlign w:val="center"/>
          </w:tcPr>
          <w:p w14:paraId="2EC6365B" w14:textId="77777777" w:rsidR="002F32FB" w:rsidRPr="00CE28E3" w:rsidRDefault="002F32FB" w:rsidP="003B61B7">
            <w:pPr>
              <w:pStyle w:val="In-tableHeading"/>
              <w:jc w:val="center"/>
            </w:pPr>
            <w:bookmarkStart w:id="57" w:name="Title_Table10" w:colFirst="0" w:colLast="0"/>
            <w:bookmarkStart w:id="58" w:name="_Hlk68276626"/>
            <w:r w:rsidRPr="00CE28E3">
              <w:t>Description</w:t>
            </w:r>
          </w:p>
        </w:tc>
        <w:tc>
          <w:tcPr>
            <w:tcW w:w="2830" w:type="pct"/>
            <w:shd w:val="clear" w:color="auto" w:fill="auto"/>
            <w:vAlign w:val="center"/>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vAlign w:val="center"/>
          </w:tcPr>
          <w:p w14:paraId="38BDDD5F" w14:textId="77777777" w:rsidR="002F32FB" w:rsidRPr="00CE28E3" w:rsidRDefault="002F32FB" w:rsidP="003B61B7">
            <w:pPr>
              <w:pStyle w:val="In-tableHeading"/>
              <w:jc w:val="center"/>
            </w:pPr>
            <w:r w:rsidRPr="00CE28E3">
              <w:t>Impact</w:t>
            </w:r>
          </w:p>
          <w:p w14:paraId="66E24653" w14:textId="5D8FE5DA" w:rsidR="002F32FB" w:rsidRPr="00CE28E3" w:rsidRDefault="002F32FB" w:rsidP="003251C2">
            <w:pPr>
              <w:pStyle w:val="In-tableHeading"/>
              <w:spacing w:after="160"/>
              <w:jc w:val="center"/>
            </w:pPr>
            <w:r w:rsidRPr="00610ABA">
              <w:rPr>
                <w:rFonts w:cs="Arial"/>
                <w:color w:val="258221"/>
                <w:szCs w:val="20"/>
              </w:rPr>
              <w:t>[If relevant per rows below, add:</w:t>
            </w:r>
            <w:r w:rsidR="00DC14AF">
              <w:rPr>
                <w:rFonts w:cs="Arial"/>
                <w:color w:val="258221"/>
                <w:szCs w:val="20"/>
              </w:rPr>
              <w:t>]</w:t>
            </w:r>
            <w:r w:rsidRPr="00330A0A">
              <w:rPr>
                <w:rFonts w:cs="Arial"/>
                <w:color w:val="538135" w:themeColor="accent6" w:themeShade="BF"/>
                <w:szCs w:val="20"/>
              </w:rPr>
              <w:t xml:space="preserve"> </w:t>
            </w:r>
            <w:r w:rsidRPr="00CE28E3">
              <w:rPr>
                <w:rFonts w:cs="Arial"/>
                <w:szCs w:val="20"/>
              </w:rPr>
              <w:t>Base case: $</w:t>
            </w:r>
            <w:proofErr w:type="spellStart"/>
            <w:r w:rsidRPr="00CE28E3">
              <w:rPr>
                <w:rFonts w:cs="Arial"/>
                <w:szCs w:val="20"/>
              </w:rPr>
              <w:t>xx,xxx</w:t>
            </w:r>
            <w:proofErr w:type="spellEnd"/>
            <w:r w:rsidRPr="00CE28E3">
              <w:rPr>
                <w:rFonts w:cs="Arial"/>
                <w:szCs w:val="20"/>
              </w:rPr>
              <w:t>/QALY gained</w:t>
            </w:r>
          </w:p>
        </w:tc>
      </w:tr>
      <w:bookmarkEnd w:id="57"/>
      <w:tr w:rsidR="002F32FB" w:rsidRPr="00CE28E3" w14:paraId="65F2DB8D" w14:textId="77777777" w:rsidTr="003B61B7">
        <w:tc>
          <w:tcPr>
            <w:tcW w:w="626" w:type="pct"/>
            <w:shd w:val="clear" w:color="auto" w:fill="auto"/>
            <w:vAlign w:val="center"/>
          </w:tcPr>
          <w:p w14:paraId="443EB50E" w14:textId="77777777" w:rsidR="002F32FB" w:rsidRPr="00CE28E3" w:rsidRDefault="002F32FB" w:rsidP="003B61B7">
            <w:pPr>
              <w:pStyle w:val="TableText"/>
              <w:jc w:val="center"/>
              <w:rPr>
                <w:lang w:val="en-US"/>
              </w:rPr>
            </w:pPr>
            <w:r w:rsidRPr="00CE28E3">
              <w:rPr>
                <w:lang w:val="en-US"/>
              </w:rPr>
              <w:t>Extrapolation</w:t>
            </w:r>
          </w:p>
        </w:tc>
        <w:tc>
          <w:tcPr>
            <w:tcW w:w="2830" w:type="pct"/>
            <w:shd w:val="clear" w:color="auto" w:fill="auto"/>
            <w:vAlign w:val="center"/>
          </w:tcPr>
          <w:p w14:paraId="34B4C4A3" w14:textId="2D44E6D9" w:rsidR="002F32FB" w:rsidRPr="00CE28E3" w:rsidRDefault="002F32FB" w:rsidP="003B61B7">
            <w:pPr>
              <w:pStyle w:val="TableText"/>
              <w:rPr>
                <w:lang w:val="en-US"/>
              </w:rPr>
            </w:pPr>
            <w:r w:rsidRPr="00CE28E3">
              <w:rPr>
                <w:lang w:val="en-US"/>
              </w:rPr>
              <w:t xml:space="preserve">Treatment effect continued beyond </w:t>
            </w:r>
            <w:r w:rsidR="00DC14AF">
              <w:rPr>
                <w:lang w:val="en-US"/>
              </w:rPr>
              <w:t>[*x]</w:t>
            </w:r>
            <w:r w:rsidR="00EF1755">
              <w:rPr>
                <w:lang w:val="en-US"/>
              </w:rPr>
              <w:t>-</w:t>
            </w:r>
            <w:r w:rsidRPr="00CE28E3">
              <w:rPr>
                <w:lang w:val="en-US"/>
              </w:rPr>
              <w:t xml:space="preserve">month trial period for up to </w:t>
            </w:r>
            <w:r w:rsidR="00DC14AF">
              <w:rPr>
                <w:lang w:val="en-US"/>
              </w:rPr>
              <w:t>[*xx]</w:t>
            </w:r>
            <w:r w:rsidRPr="00CE28E3">
              <w:rPr>
                <w:lang w:val="en-US"/>
              </w:rPr>
              <w:t xml:space="preserve"> years</w:t>
            </w:r>
          </w:p>
          <w:p w14:paraId="15E85FEF" w14:textId="77777777" w:rsidR="002F32FB" w:rsidRPr="00CE28E3" w:rsidRDefault="002F32FB" w:rsidP="003B61B7">
            <w:pPr>
              <w:pStyle w:val="TableText"/>
              <w:rPr>
                <w:lang w:val="en-US"/>
              </w:rPr>
            </w:pPr>
            <w:r w:rsidRPr="00CE28E3">
              <w:rPr>
                <w:lang w:val="en-US"/>
              </w:rPr>
              <w:t>OR</w:t>
            </w:r>
          </w:p>
          <w:p w14:paraId="0EB50894" w14:textId="362C5A4F" w:rsidR="002F32FB" w:rsidRPr="00CE28E3" w:rsidRDefault="002F32FB" w:rsidP="003B61B7">
            <w:pPr>
              <w:pStyle w:val="TableText"/>
              <w:rPr>
                <w:lang w:val="en-US"/>
              </w:rPr>
            </w:pPr>
            <w:r w:rsidRPr="00CE28E3">
              <w:rPr>
                <w:lang w:val="en-US"/>
              </w:rPr>
              <w:t xml:space="preserve">Point of extrapolation </w:t>
            </w:r>
            <w:r w:rsidR="00DC14AF">
              <w:rPr>
                <w:lang w:val="en-US"/>
              </w:rPr>
              <w:t>[*</w:t>
            </w:r>
            <w:r w:rsidRPr="00CE28E3">
              <w:rPr>
                <w:lang w:val="en-US"/>
              </w:rPr>
              <w:t>before/after</w:t>
            </w:r>
            <w:r w:rsidR="00DC14AF">
              <w:rPr>
                <w:lang w:val="en-US"/>
              </w:rPr>
              <w:t>]</w:t>
            </w:r>
            <w:r w:rsidRPr="00CE28E3">
              <w:rPr>
                <w:lang w:val="en-US"/>
              </w:rPr>
              <w:t xml:space="preserve"> time when observed data became unreliable as a result of </w:t>
            </w:r>
            <w:r w:rsidR="00DC14AF">
              <w:rPr>
                <w:lang w:val="en-US"/>
              </w:rPr>
              <w:t>[*e.g. </w:t>
            </w:r>
            <w:r w:rsidRPr="00CE28E3">
              <w:rPr>
                <w:lang w:val="en-US"/>
              </w:rPr>
              <w:t>small numbers of patients remaining event-free</w:t>
            </w:r>
            <w:r w:rsidR="00DC14AF">
              <w:rPr>
                <w:lang w:val="en-US"/>
              </w:rPr>
              <w:t>]</w:t>
            </w:r>
          </w:p>
        </w:tc>
        <w:tc>
          <w:tcPr>
            <w:tcW w:w="1544" w:type="pct"/>
            <w:shd w:val="clear" w:color="auto" w:fill="auto"/>
            <w:vAlign w:val="center"/>
          </w:tcPr>
          <w:p w14:paraId="5216C472" w14:textId="604809A4" w:rsidR="002F32FB" w:rsidRPr="00CE28E3" w:rsidRDefault="002F32FB" w:rsidP="003B61B7">
            <w:pPr>
              <w:pStyle w:val="TableText"/>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p>
          <w:p w14:paraId="4E7B2979" w14:textId="08346734"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sidRPr="00DC14AF">
              <w:rPr>
                <w:rFonts w:cs="Arial"/>
                <w:color w:val="258221"/>
                <w:szCs w:val="20"/>
              </w:rPr>
              <w:t>:</w:t>
            </w:r>
            <w:r w:rsidR="00DC14AF">
              <w:rPr>
                <w:rFonts w:cs="Arial"/>
                <w:color w:val="258221"/>
                <w:szCs w:val="20"/>
              </w:rPr>
              <w:t>]</w:t>
            </w:r>
            <w:r w:rsidR="00DC14AF">
              <w:rPr>
                <w:rFonts w:cs="Arial"/>
                <w:color w:val="258221"/>
                <w:szCs w:val="20"/>
              </w:rPr>
              <w:br/>
            </w:r>
            <w:r w:rsidRPr="00CE28E3">
              <w:rPr>
                <w:i/>
                <w:lang w:val="en-US"/>
              </w:rPr>
              <w:t xml:space="preserve">Use of </w:t>
            </w:r>
            <w:r w:rsidR="00DC14AF">
              <w:rPr>
                <w:i/>
                <w:lang w:val="en-US"/>
              </w:rPr>
              <w:t>[</w:t>
            </w:r>
            <w:r w:rsidR="00B81F38">
              <w:rPr>
                <w:i/>
                <w:lang w:val="en-US"/>
              </w:rPr>
              <w:t>*</w:t>
            </w:r>
            <w:r w:rsidRPr="00CE28E3">
              <w:rPr>
                <w:i/>
                <w:lang w:val="en-US"/>
              </w:rPr>
              <w:t>xx approach</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 xml:space="preserve">/QALY gained. </w:t>
            </w:r>
            <w:r w:rsidR="00B81F38">
              <w:rPr>
                <w:i/>
                <w:lang w:val="en-US"/>
              </w:rPr>
              <w:br/>
            </w:r>
            <w:r w:rsidR="00DC14AF">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6395056A" w14:textId="77777777" w:rsidTr="003B61B7">
        <w:tc>
          <w:tcPr>
            <w:tcW w:w="626" w:type="pct"/>
            <w:shd w:val="clear" w:color="auto" w:fill="auto"/>
            <w:vAlign w:val="center"/>
          </w:tcPr>
          <w:p w14:paraId="30DD8CD6" w14:textId="77777777" w:rsidR="002F32FB" w:rsidRPr="00CE28E3" w:rsidRDefault="002F32FB" w:rsidP="003B61B7">
            <w:pPr>
              <w:pStyle w:val="TableText"/>
              <w:jc w:val="center"/>
              <w:rPr>
                <w:lang w:val="en-US"/>
              </w:rPr>
            </w:pPr>
            <w:r w:rsidRPr="00CE28E3">
              <w:rPr>
                <w:lang w:val="en-US"/>
              </w:rPr>
              <w:t>Utilities</w:t>
            </w:r>
          </w:p>
        </w:tc>
        <w:tc>
          <w:tcPr>
            <w:tcW w:w="2830" w:type="pct"/>
            <w:shd w:val="clear" w:color="auto" w:fill="auto"/>
            <w:vAlign w:val="center"/>
          </w:tcPr>
          <w:p w14:paraId="3E70B4B3" w14:textId="772B6469" w:rsidR="002F32FB" w:rsidRPr="00CE28E3" w:rsidRDefault="002F32FB" w:rsidP="003B61B7">
            <w:pPr>
              <w:pStyle w:val="TableText"/>
              <w:rPr>
                <w:lang w:val="en-US"/>
              </w:rPr>
            </w:pPr>
            <w:r w:rsidRPr="00CE28E3">
              <w:rPr>
                <w:lang w:val="en-US"/>
              </w:rPr>
              <w:t xml:space="preserve">High values for model health states taken from </w:t>
            </w:r>
            <w:r w:rsidR="00DC14AF">
              <w:rPr>
                <w:lang w:val="en-US"/>
              </w:rPr>
              <w:t>[*</w:t>
            </w:r>
            <w:r w:rsidRPr="00CE28E3">
              <w:rPr>
                <w:lang w:val="en-US"/>
              </w:rPr>
              <w:t>literature</w:t>
            </w:r>
            <w:r w:rsidR="00DC14AF">
              <w:rPr>
                <w:lang w:val="en-US"/>
              </w:rPr>
              <w:t>]</w:t>
            </w:r>
            <w:r w:rsidRPr="00CE28E3">
              <w:rPr>
                <w:lang w:val="en-US"/>
              </w:rPr>
              <w:t xml:space="preserve"> and no disutility for adverse events</w:t>
            </w:r>
          </w:p>
        </w:tc>
        <w:tc>
          <w:tcPr>
            <w:tcW w:w="1544" w:type="pct"/>
            <w:shd w:val="clear" w:color="auto" w:fill="auto"/>
            <w:vAlign w:val="center"/>
          </w:tcPr>
          <w:p w14:paraId="06FBCBB7" w14:textId="46A6BE1B" w:rsidR="00B81F38" w:rsidRDefault="002F32FB" w:rsidP="00B81F38">
            <w:pPr>
              <w:pStyle w:val="TableText"/>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r w:rsidRPr="00CE28E3">
              <w:t xml:space="preserve"> </w:t>
            </w:r>
          </w:p>
          <w:p w14:paraId="04D11165" w14:textId="254E5C9D"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Pr>
                <w:rFonts w:cs="Arial"/>
                <w:color w:val="258221"/>
                <w:szCs w:val="20"/>
              </w:rPr>
              <w:t>]</w:t>
            </w:r>
            <w:r w:rsidRPr="00CE28E3">
              <w:rPr>
                <w:i/>
                <w:lang w:val="en-US"/>
              </w:rPr>
              <w:t xml:space="preserve"> </w:t>
            </w:r>
            <w:r w:rsidR="00DC14AF">
              <w:rPr>
                <w:i/>
                <w:lang w:val="en-US"/>
              </w:rPr>
              <w:br/>
            </w:r>
            <w:r w:rsidRPr="00CE28E3">
              <w:rPr>
                <w:i/>
                <w:lang w:val="en-US"/>
              </w:rPr>
              <w:t xml:space="preserve">Use of </w:t>
            </w:r>
            <w:r w:rsidR="00DC14AF">
              <w:rPr>
                <w:i/>
                <w:lang w:val="en-US"/>
              </w:rPr>
              <w:t>[</w:t>
            </w:r>
            <w:r w:rsidR="00B81F38">
              <w:rPr>
                <w:i/>
                <w:lang w:val="en-US"/>
              </w:rPr>
              <w:t>*</w:t>
            </w:r>
            <w:r w:rsidRPr="00CE28E3">
              <w:rPr>
                <w:i/>
                <w:lang w:val="en-US"/>
              </w:rPr>
              <w:t>xx utilities</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/QALY gained.</w:t>
            </w:r>
            <w:r w:rsidRPr="003251C2">
              <w:rPr>
                <w:rFonts w:cs="Arial"/>
                <w:color w:val="538135" w:themeColor="accent6" w:themeShade="BF"/>
                <w:szCs w:val="20"/>
              </w:rPr>
              <w:t xml:space="preserve"> </w:t>
            </w:r>
            <w:r w:rsidR="00B81F38">
              <w:rPr>
                <w:rFonts w:cs="Arial"/>
                <w:color w:val="538135" w:themeColor="accent6" w:themeShade="BF"/>
                <w:szCs w:val="20"/>
              </w:rPr>
              <w:br/>
            </w:r>
            <w:r w:rsidR="00DC14AF">
              <w:rPr>
                <w:rFonts w:cs="Arial"/>
                <w:color w:val="538135" w:themeColor="accent6" w:themeShade="BF"/>
                <w:szCs w:val="20"/>
              </w:rPr>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2AFB6EE0" w14:textId="77777777" w:rsidTr="003B61B7">
        <w:tc>
          <w:tcPr>
            <w:tcW w:w="626" w:type="pct"/>
            <w:shd w:val="clear" w:color="auto" w:fill="auto"/>
            <w:vAlign w:val="center"/>
          </w:tcPr>
          <w:p w14:paraId="66FD9669" w14:textId="468850E7" w:rsidR="002F32FB" w:rsidRPr="00CE28E3" w:rsidRDefault="002F32FB" w:rsidP="003B61B7">
            <w:pPr>
              <w:pStyle w:val="TableText"/>
              <w:jc w:val="center"/>
              <w:rPr>
                <w:lang w:val="en-US"/>
              </w:rPr>
            </w:pPr>
            <w:r w:rsidRPr="00CE28E3">
              <w:rPr>
                <w:lang w:val="en-US"/>
              </w:rPr>
              <w:t>etc</w:t>
            </w:r>
            <w:r w:rsidR="00E40DAE">
              <w:rPr>
                <w:lang w:val="en-US"/>
              </w:rPr>
              <w:t>.</w:t>
            </w:r>
          </w:p>
        </w:tc>
        <w:tc>
          <w:tcPr>
            <w:tcW w:w="2830" w:type="pct"/>
            <w:shd w:val="clear" w:color="auto" w:fill="auto"/>
            <w:vAlign w:val="center"/>
          </w:tcPr>
          <w:p w14:paraId="2980315B" w14:textId="77777777" w:rsidR="002F32FB" w:rsidRPr="00CE28E3" w:rsidRDefault="002F32FB" w:rsidP="003B61B7">
            <w:pPr>
              <w:pStyle w:val="TableText"/>
              <w:rPr>
                <w:lang w:val="en-US"/>
              </w:rPr>
            </w:pPr>
          </w:p>
        </w:tc>
        <w:tc>
          <w:tcPr>
            <w:tcW w:w="1544" w:type="pct"/>
            <w:shd w:val="clear" w:color="auto" w:fill="auto"/>
            <w:vAlign w:val="center"/>
          </w:tcPr>
          <w:p w14:paraId="35F24986" w14:textId="77777777" w:rsidR="002F32FB" w:rsidRPr="00CE28E3" w:rsidRDefault="002F32FB" w:rsidP="003B61B7">
            <w:pPr>
              <w:pStyle w:val="TableText"/>
              <w:jc w:val="center"/>
              <w:rPr>
                <w:lang w:val="en-US"/>
              </w:rPr>
            </w:pPr>
          </w:p>
        </w:tc>
      </w:tr>
    </w:tbl>
    <w:p w14:paraId="56B372CD" w14:textId="11ACA6E5" w:rsidR="0045093D" w:rsidRPr="00CE28E3" w:rsidRDefault="0045093D" w:rsidP="00B8535F">
      <w:pPr>
        <w:pStyle w:val="TableFigureFooter"/>
      </w:pPr>
      <w:bookmarkStart w:id="59" w:name="_Hlk68276635"/>
      <w:bookmarkEnd w:id="58"/>
      <w:r w:rsidRPr="00CE28E3">
        <w:t>ICER = incremental cost-effectiveness ratio; QALY = quality-adjusted life year</w:t>
      </w:r>
      <w:r>
        <w:t>.</w:t>
      </w:r>
      <w:r w:rsidRPr="00CE28E3">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59"/>
    <w:p w14:paraId="32359231" w14:textId="0AF936D0" w:rsidR="00610ABA" w:rsidRDefault="00610ABA" w:rsidP="0045093D">
      <w:pPr>
        <w:pStyle w:val="Instructionaltext-afterfiguretable"/>
      </w:pPr>
      <w:r w:rsidRPr="00610ABA">
        <w:t xml:space="preserve">[Instructional text] </w:t>
      </w:r>
    </w:p>
    <w:p w14:paraId="5ED58BB1" w14:textId="28C8FF08" w:rsidR="002F32FB" w:rsidRPr="003251C2" w:rsidRDefault="008B5B67" w:rsidP="002463A6">
      <w:pPr>
        <w:pStyle w:val="Instructionaltext"/>
        <w:keepNext/>
        <w:spacing w:after="0"/>
      </w:pPr>
      <w:r w:rsidRPr="003251C2">
        <w:t xml:space="preserve">Present key concerns with the economic evaluation. These may be the key drivers of the model. </w:t>
      </w:r>
      <w:r w:rsidR="00CA26EA">
        <w:t>For example</w:t>
      </w:r>
      <w:r w:rsidRPr="003251C2">
        <w:t>:</w:t>
      </w:r>
    </w:p>
    <w:p w14:paraId="1FB4EC5E" w14:textId="557AE8B2" w:rsidR="008B5B67" w:rsidRPr="00330A0A" w:rsidRDefault="008B5B67" w:rsidP="00E76AE0">
      <w:pPr>
        <w:pStyle w:val="Instructionaltext"/>
        <w:numPr>
          <w:ilvl w:val="0"/>
          <w:numId w:val="30"/>
        </w:numPr>
        <w:spacing w:before="0" w:after="0"/>
        <w:ind w:left="714" w:hanging="357"/>
      </w:pPr>
      <w:r w:rsidRPr="00330A0A">
        <w:t>If the time horizon is a key issue, consider presenting a trace of ICER over time, but only present this in the executive summary if it will be informative for MSAC decision-making (e.g.</w:t>
      </w:r>
      <w:r w:rsidR="00CA26EA">
        <w:t> </w:t>
      </w:r>
      <w:r w:rsidRPr="00330A0A">
        <w:t>consider whether it is the time horizon or the extrapolation that is a key issue).</w:t>
      </w:r>
    </w:p>
    <w:p w14:paraId="7ADC91FC" w14:textId="04CB79D9" w:rsidR="008B5B67" w:rsidRPr="00330A0A" w:rsidRDefault="008B5B67" w:rsidP="00E76AE0">
      <w:pPr>
        <w:pStyle w:val="Instructionaltext"/>
        <w:numPr>
          <w:ilvl w:val="0"/>
          <w:numId w:val="30"/>
        </w:numPr>
        <w:spacing w:before="0" w:after="0"/>
        <w:ind w:left="714" w:hanging="357"/>
      </w:pPr>
      <w:r w:rsidRPr="00330A0A">
        <w:t xml:space="preserve">If the utilities or costs are a key issue, consider presenting an abbreviated disaggregated costs/outcomes table to show the impact. </w:t>
      </w:r>
    </w:p>
    <w:p w14:paraId="325EEA5E" w14:textId="10582D8B" w:rsidR="008B5B67" w:rsidRPr="003251C2" w:rsidRDefault="008B5B67" w:rsidP="00E76AE0">
      <w:pPr>
        <w:pStyle w:val="Instructionaltext"/>
        <w:numPr>
          <w:ilvl w:val="0"/>
          <w:numId w:val="30"/>
        </w:numPr>
        <w:spacing w:before="0" w:after="0"/>
        <w:ind w:left="714" w:hanging="357"/>
        <w:rPr>
          <w:szCs w:val="24"/>
        </w:rPr>
      </w:pPr>
      <w:r w:rsidRPr="00330A0A">
        <w:t>Where relevant, consider including information that highlights inconsistencies or differences between the model and clinical data (e.g. a table comparing the number of events avoided in the model compared with the clinical trial data</w:t>
      </w:r>
      <w:r w:rsidR="00CA26EA">
        <w:t>;</w:t>
      </w:r>
      <w:r w:rsidRPr="00330A0A">
        <w:t xml:space="preserve"> graphs with an overlay of the Kaplan</w:t>
      </w:r>
      <w:r w:rsidR="00CA26EA">
        <w:t>–</w:t>
      </w:r>
      <w:r w:rsidRPr="00330A0A">
        <w:t>Meier plot and the modelled extrapolations; or disaggregated costs and outcomes).</w:t>
      </w:r>
    </w:p>
    <w:p w14:paraId="5F1CBBBA" w14:textId="21D7E099" w:rsidR="001D3A64" w:rsidRPr="003251C2" w:rsidRDefault="00CA26EA" w:rsidP="00E76AE0">
      <w:pPr>
        <w:pStyle w:val="Instructionaltext"/>
        <w:numPr>
          <w:ilvl w:val="0"/>
          <w:numId w:val="30"/>
        </w:numPr>
        <w:spacing w:before="0" w:after="0"/>
        <w:ind w:left="714" w:hanging="357"/>
        <w:rPr>
          <w:szCs w:val="24"/>
        </w:rPr>
      </w:pPr>
      <w:r>
        <w:t>Where relevant, describe t</w:t>
      </w:r>
      <w:r w:rsidR="001D3A64" w:rsidRPr="00330A0A">
        <w:t>he extent to which the model includes out-of-pocket expenses.</w:t>
      </w:r>
    </w:p>
    <w:p w14:paraId="16C01EC0" w14:textId="0735D50F" w:rsidR="00610ABA" w:rsidRDefault="008B5B67" w:rsidP="00E76AE0">
      <w:pPr>
        <w:pStyle w:val="Instructionaltext"/>
      </w:pPr>
      <w:r w:rsidRPr="003251C2">
        <w:t>Present and justify key sensitivity analyses</w:t>
      </w:r>
      <w:r w:rsidR="00215AFB">
        <w:t xml:space="preserve"> (</w:t>
      </w:r>
      <w:r w:rsidR="003571C2">
        <w:fldChar w:fldCharType="begin"/>
      </w:r>
      <w:r w:rsidR="003571C2">
        <w:instrText xml:space="preserve"> REF _Ref69726347 \h </w:instrText>
      </w:r>
      <w:r w:rsidR="003571C2">
        <w:fldChar w:fldCharType="separate"/>
      </w:r>
      <w:r w:rsidR="003571C2" w:rsidRPr="00CE28E3">
        <w:t>Table</w:t>
      </w:r>
      <w:r w:rsidR="003571C2">
        <w:t> </w:t>
      </w:r>
      <w:r w:rsidR="003571C2">
        <w:rPr>
          <w:noProof/>
        </w:rPr>
        <w:t>11</w:t>
      </w:r>
      <w:r w:rsidR="003571C2">
        <w:fldChar w:fldCharType="end"/>
      </w:r>
      <w:r w:rsidR="00215AFB">
        <w:t>)</w:t>
      </w:r>
      <w:r w:rsidRPr="003251C2">
        <w:t>.</w:t>
      </w:r>
      <w:r w:rsidR="00610ABA">
        <w:t xml:space="preserve"> </w:t>
      </w:r>
    </w:p>
    <w:p w14:paraId="03A13808" w14:textId="557E919B" w:rsidR="008B5B67" w:rsidRPr="003251C2" w:rsidRDefault="00CA26EA" w:rsidP="00E76AE0">
      <w:pPr>
        <w:pStyle w:val="Instructionaltext"/>
      </w:pPr>
      <w:r>
        <w:t>For example:</w:t>
      </w:r>
      <w:r w:rsidR="00215AFB">
        <w:t xml:space="preserve"> </w:t>
      </w:r>
      <w:r w:rsidR="00215AFB" w:rsidRPr="00215AFB">
        <w:t>[End instructional text]</w:t>
      </w:r>
    </w:p>
    <w:p w14:paraId="56EB7C23" w14:textId="6F92F423" w:rsidR="00610ABA" w:rsidRDefault="008B5B67" w:rsidP="00330A0A">
      <w:r w:rsidRPr="00CE28E3">
        <w:t xml:space="preserve">The results of key </w:t>
      </w:r>
      <w:r w:rsidR="00CA26EA">
        <w:rPr>
          <w:rStyle w:val="InstructionaltextChar"/>
        </w:rPr>
        <w:t>[</w:t>
      </w:r>
      <w:r w:rsidR="00CA26EA" w:rsidRPr="00215AFB">
        <w:rPr>
          <w:rStyle w:val="InstructionaltextChar"/>
          <w:highlight w:val="cyan"/>
        </w:rPr>
        <w:t>*</w:t>
      </w:r>
      <w:r w:rsidRPr="00215AFB">
        <w:rPr>
          <w:rStyle w:val="InstructionaltextChar"/>
          <w:color w:val="auto"/>
          <w:highlight w:val="cyan"/>
        </w:rPr>
        <w:t>univariate/multivariate</w:t>
      </w:r>
      <w:r w:rsidR="00CA26EA">
        <w:rPr>
          <w:rStyle w:val="InstructionaltextChar"/>
        </w:rPr>
        <w:t>]</w:t>
      </w:r>
      <w:r w:rsidRPr="00330A0A">
        <w:rPr>
          <w:color w:val="538135" w:themeColor="accent6" w:themeShade="BF"/>
        </w:rPr>
        <w:t xml:space="preserve"> </w:t>
      </w:r>
      <w:r w:rsidRPr="00CE28E3">
        <w:t xml:space="preserve">sensitivity analyses are summarised below. </w:t>
      </w:r>
    </w:p>
    <w:p w14:paraId="56D7B645" w14:textId="46A78FDD" w:rsidR="008B5B67" w:rsidRPr="00DF39E9" w:rsidRDefault="00610ABA" w:rsidP="00330A0A">
      <w:pPr>
        <w:rPr>
          <w:rStyle w:val="InstructionaltextChar"/>
        </w:rPr>
      </w:pPr>
      <w:r w:rsidRPr="00610ABA">
        <w:rPr>
          <w:rStyle w:val="InstructionaltextChar"/>
        </w:rPr>
        <w:t xml:space="preserve">[Instructional text] </w:t>
      </w:r>
      <w:r w:rsidR="008B5B67" w:rsidRPr="00DF39E9">
        <w:rPr>
          <w:rStyle w:val="InstructionaltextChar"/>
        </w:rPr>
        <w:t>Only present key sensitivity analyses that are pivotal for MSAC decision</w:t>
      </w:r>
      <w:r w:rsidR="00215AFB">
        <w:rPr>
          <w:rStyle w:val="InstructionaltextChar"/>
        </w:rPr>
        <w:t>-</w:t>
      </w:r>
      <w:r w:rsidR="008B5B67" w:rsidRPr="00DF39E9">
        <w:rPr>
          <w:rStyle w:val="InstructionaltextChar"/>
        </w:rPr>
        <w:t>making in the executive summary (i.e. concentrate on parameters with which there are issues and which have an impact on the ICER). This table should generally be no more than half a page. A more comprehensive table should be presented in the main body</w:t>
      </w:r>
      <w:r w:rsidR="00215AFB">
        <w:rPr>
          <w:rStyle w:val="InstructionaltextChar"/>
        </w:rPr>
        <w:t xml:space="preserve"> of the assessment report</w:t>
      </w:r>
      <w:r w:rsidR="008B5B67" w:rsidRPr="00DF39E9">
        <w:rPr>
          <w:rStyle w:val="InstructionaltextChar"/>
        </w:rPr>
        <w:t>. Consider presenting 1 or 2 realistic multivariate sensitivity analyses that assess the key issues.</w:t>
      </w:r>
      <w:r>
        <w:rPr>
          <w:rStyle w:val="InstructionaltextChar"/>
        </w:rPr>
        <w:t xml:space="preserve"> </w:t>
      </w:r>
      <w:r w:rsidRPr="00610ABA">
        <w:rPr>
          <w:rStyle w:val="InstructionaltextChar"/>
        </w:rPr>
        <w:t>[End instructional text]</w:t>
      </w:r>
    </w:p>
    <w:p w14:paraId="2C785A4C" w14:textId="1411F387" w:rsidR="008B5B67" w:rsidRPr="00CE28E3" w:rsidRDefault="008B5B67" w:rsidP="00135FC9">
      <w:pPr>
        <w:pStyle w:val="Caption"/>
      </w:pPr>
      <w:bookmarkStart w:id="60" w:name="_Ref69726347"/>
      <w:r w:rsidRPr="00CE28E3">
        <w:lastRenderedPageBreak/>
        <w:t>Table</w:t>
      </w:r>
      <w:r w:rsidR="003571C2">
        <w:t> </w:t>
      </w:r>
      <w:r w:rsidR="0099088A">
        <w:fldChar w:fldCharType="begin"/>
      </w:r>
      <w:r w:rsidR="0099088A">
        <w:instrText xml:space="preserve"> SEQ Table \* ARABIC </w:instrText>
      </w:r>
      <w:r w:rsidR="0099088A">
        <w:fldChar w:fldCharType="separate"/>
      </w:r>
      <w:r w:rsidR="003571C2">
        <w:rPr>
          <w:noProof/>
        </w:rPr>
        <w:t>11</w:t>
      </w:r>
      <w:r w:rsidR="0099088A">
        <w:rPr>
          <w:noProof/>
        </w:rPr>
        <w:fldChar w:fldCharType="end"/>
      </w:r>
      <w:bookmarkEnd w:id="60"/>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659"/>
        <w:gridCol w:w="1659"/>
        <w:gridCol w:w="1659"/>
      </w:tblGrid>
      <w:tr w:rsidR="008B5B67" w:rsidRPr="00CE28E3" w14:paraId="69171B90" w14:textId="77777777" w:rsidTr="00B8535F">
        <w:trPr>
          <w:cantSplit/>
          <w:trHeight w:val="420"/>
          <w:tblHeader/>
        </w:trPr>
        <w:tc>
          <w:tcPr>
            <w:tcW w:w="2240" w:type="pct"/>
            <w:vAlign w:val="center"/>
          </w:tcPr>
          <w:p w14:paraId="202CD84C" w14:textId="77777777" w:rsidR="008B5B67" w:rsidRPr="00CE28E3" w:rsidRDefault="008B5B67" w:rsidP="00135FC9">
            <w:pPr>
              <w:pStyle w:val="In-tableHeading"/>
            </w:pPr>
            <w:bookmarkStart w:id="61" w:name="Title_Table11" w:colFirst="0" w:colLast="0"/>
            <w:bookmarkStart w:id="62" w:name="_Hlk68276702"/>
            <w:r w:rsidRPr="00CE28E3">
              <w:t>Analyses</w:t>
            </w:r>
          </w:p>
        </w:tc>
        <w:tc>
          <w:tcPr>
            <w:tcW w:w="920" w:type="pct"/>
            <w:vAlign w:val="center"/>
          </w:tcPr>
          <w:p w14:paraId="7372A868" w14:textId="77777777" w:rsidR="008B5B67" w:rsidRPr="00CE28E3" w:rsidRDefault="008B5B67" w:rsidP="00135FC9">
            <w:pPr>
              <w:pStyle w:val="In-tableHeading"/>
              <w:jc w:val="center"/>
            </w:pPr>
            <w:r w:rsidRPr="00CE28E3">
              <w:t>Incremental cost</w:t>
            </w:r>
          </w:p>
        </w:tc>
        <w:tc>
          <w:tcPr>
            <w:tcW w:w="920" w:type="pct"/>
            <w:vAlign w:val="center"/>
          </w:tcPr>
          <w:p w14:paraId="10B3A4F5" w14:textId="77777777" w:rsidR="008B5B67" w:rsidRPr="00CE28E3" w:rsidRDefault="008B5B67" w:rsidP="00135FC9">
            <w:pPr>
              <w:pStyle w:val="In-tableHeading"/>
              <w:jc w:val="center"/>
            </w:pPr>
            <w:r w:rsidRPr="00CE28E3">
              <w:t>Incremental QALY</w:t>
            </w:r>
          </w:p>
        </w:tc>
        <w:tc>
          <w:tcPr>
            <w:tcW w:w="920" w:type="pct"/>
            <w:vAlign w:val="center"/>
          </w:tcPr>
          <w:p w14:paraId="56CBF231" w14:textId="77777777" w:rsidR="008B5B67" w:rsidRPr="00CE28E3" w:rsidRDefault="008B5B67" w:rsidP="00135FC9">
            <w:pPr>
              <w:pStyle w:val="In-tableHeading"/>
              <w:jc w:val="center"/>
            </w:pPr>
            <w:r w:rsidRPr="00CE28E3">
              <w:t>ICER</w:t>
            </w:r>
          </w:p>
        </w:tc>
      </w:tr>
      <w:bookmarkEnd w:id="61"/>
      <w:tr w:rsidR="008B5B67" w:rsidRPr="00CE28E3" w14:paraId="451EB8ED" w14:textId="77777777" w:rsidTr="003B61B7">
        <w:trPr>
          <w:cantSplit/>
        </w:trPr>
        <w:tc>
          <w:tcPr>
            <w:tcW w:w="2240" w:type="pct"/>
          </w:tcPr>
          <w:p w14:paraId="36895461" w14:textId="77777777" w:rsidR="008B5B67" w:rsidRPr="00CE28E3" w:rsidRDefault="008B5B67" w:rsidP="00211DC3">
            <w:pPr>
              <w:pStyle w:val="TableText"/>
              <w:keepNext/>
              <w:rPr>
                <w:b/>
              </w:rPr>
            </w:pPr>
            <w:r w:rsidRPr="00CE28E3">
              <w:rPr>
                <w:b/>
              </w:rPr>
              <w:t>Base case</w:t>
            </w:r>
          </w:p>
        </w:tc>
        <w:tc>
          <w:tcPr>
            <w:tcW w:w="920" w:type="pct"/>
          </w:tcPr>
          <w:p w14:paraId="4D76EAC0" w14:textId="5235401F"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c>
          <w:tcPr>
            <w:tcW w:w="920" w:type="pct"/>
          </w:tcPr>
          <w:p w14:paraId="66189599" w14:textId="18385F51" w:rsidR="008B5B67" w:rsidRPr="00CE28E3" w:rsidRDefault="008B5B67" w:rsidP="00211DC3">
            <w:pPr>
              <w:pStyle w:val="TableText"/>
              <w:keepNext/>
              <w:jc w:val="center"/>
              <w:rPr>
                <w:b/>
              </w:rPr>
            </w:pPr>
            <w:r w:rsidRPr="00CE28E3">
              <w:rPr>
                <w:rFonts w:eastAsia="Calibri"/>
                <w:b/>
                <w:szCs w:val="20"/>
              </w:rPr>
              <w:t>{</w:t>
            </w:r>
            <w:r w:rsidR="00B81F38">
              <w:rPr>
                <w:rFonts w:eastAsia="Calibri"/>
                <w:b/>
                <w:szCs w:val="20"/>
              </w:rPr>
              <w:t>*</w:t>
            </w:r>
            <w:r w:rsidRPr="00CE28E3">
              <w:rPr>
                <w:rFonts w:eastAsia="Calibri"/>
                <w:b/>
                <w:szCs w:val="20"/>
              </w:rPr>
              <w:t>value}</w:t>
            </w:r>
          </w:p>
        </w:tc>
        <w:tc>
          <w:tcPr>
            <w:tcW w:w="920" w:type="pct"/>
          </w:tcPr>
          <w:p w14:paraId="58300438" w14:textId="1465B8B0"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r>
      <w:tr w:rsidR="008B5B67" w:rsidRPr="00CE28E3" w14:paraId="654D60EF" w14:textId="77777777" w:rsidTr="003B61B7">
        <w:trPr>
          <w:cantSplit/>
        </w:trPr>
        <w:tc>
          <w:tcPr>
            <w:tcW w:w="5000" w:type="pct"/>
            <w:gridSpan w:val="4"/>
          </w:tcPr>
          <w:p w14:paraId="46A93B1B" w14:textId="77777777" w:rsidR="008B5B67" w:rsidRPr="00CE28E3" w:rsidRDefault="008B5B67" w:rsidP="00211DC3">
            <w:pPr>
              <w:pStyle w:val="TableText"/>
              <w:keepNext/>
            </w:pPr>
            <w:r w:rsidRPr="00CE28E3">
              <w:t>Time horizon (base case 30 years)</w:t>
            </w:r>
          </w:p>
        </w:tc>
      </w:tr>
      <w:tr w:rsidR="008B5B67" w:rsidRPr="00CE28E3" w14:paraId="00742E59" w14:textId="77777777" w:rsidTr="003B61B7">
        <w:trPr>
          <w:cantSplit/>
        </w:trPr>
        <w:tc>
          <w:tcPr>
            <w:tcW w:w="2240" w:type="pct"/>
          </w:tcPr>
          <w:p w14:paraId="648CA0C4" w14:textId="77777777" w:rsidR="008B5B67" w:rsidRPr="00CE28E3" w:rsidRDefault="008B5B67" w:rsidP="00211DC3">
            <w:pPr>
              <w:pStyle w:val="TableText"/>
              <w:keepNext/>
            </w:pPr>
            <w:r w:rsidRPr="00CE28E3">
              <w:t>20 years</w:t>
            </w:r>
          </w:p>
        </w:tc>
        <w:tc>
          <w:tcPr>
            <w:tcW w:w="920" w:type="pct"/>
          </w:tcPr>
          <w:p w14:paraId="02006748" w14:textId="23B57A7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6486F418" w14:textId="783D9F60"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284F2CBE" w14:textId="0D7D14F3"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4520D3D7" w14:textId="77777777" w:rsidTr="003B61B7">
        <w:trPr>
          <w:cantSplit/>
          <w:trHeight w:val="283"/>
        </w:trPr>
        <w:tc>
          <w:tcPr>
            <w:tcW w:w="2240" w:type="pct"/>
          </w:tcPr>
          <w:p w14:paraId="0422BE17" w14:textId="77777777" w:rsidR="008B5B67" w:rsidRPr="00CE28E3" w:rsidRDefault="008B5B67" w:rsidP="00211DC3">
            <w:pPr>
              <w:pStyle w:val="TableText"/>
              <w:keepNext/>
            </w:pPr>
            <w:r w:rsidRPr="00CE28E3">
              <w:t>10 years</w:t>
            </w:r>
          </w:p>
        </w:tc>
        <w:tc>
          <w:tcPr>
            <w:tcW w:w="920" w:type="pct"/>
          </w:tcPr>
          <w:p w14:paraId="43E31CD9" w14:textId="64D985F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7AD68169" w14:textId="474D01EA"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122F8C2A" w14:textId="3A2204B0"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607079A8" w14:textId="12BA454D" w:rsidTr="003B61B7">
        <w:trPr>
          <w:cantSplit/>
          <w:trHeight w:val="283"/>
        </w:trPr>
        <w:tc>
          <w:tcPr>
            <w:tcW w:w="2240" w:type="pct"/>
          </w:tcPr>
          <w:p w14:paraId="176BBBDF" w14:textId="6068866E" w:rsidR="008B5B67" w:rsidRPr="00CE28E3" w:rsidRDefault="00215AFB" w:rsidP="00211DC3">
            <w:pPr>
              <w:pStyle w:val="TableText"/>
              <w:keepNext/>
            </w:pPr>
            <w:r>
              <w:t>etc.</w:t>
            </w:r>
          </w:p>
        </w:tc>
        <w:tc>
          <w:tcPr>
            <w:tcW w:w="920" w:type="pct"/>
          </w:tcPr>
          <w:p w14:paraId="1B13088B" w14:textId="61C33AF8" w:rsidR="008B5B67" w:rsidRPr="00CE28E3" w:rsidRDefault="008B5B67" w:rsidP="00211DC3">
            <w:pPr>
              <w:pStyle w:val="TableText"/>
              <w:keepNext/>
              <w:jc w:val="center"/>
              <w:rPr>
                <w:rFonts w:eastAsia="Calibri"/>
                <w:szCs w:val="20"/>
              </w:rPr>
            </w:pPr>
          </w:p>
        </w:tc>
        <w:tc>
          <w:tcPr>
            <w:tcW w:w="920" w:type="pct"/>
          </w:tcPr>
          <w:p w14:paraId="443B8E9E" w14:textId="19BA1F00" w:rsidR="008B5B67" w:rsidRPr="00CE28E3" w:rsidRDefault="008B5B67" w:rsidP="00211DC3">
            <w:pPr>
              <w:pStyle w:val="TableText"/>
              <w:keepNext/>
              <w:jc w:val="center"/>
              <w:rPr>
                <w:rFonts w:eastAsia="Calibri"/>
                <w:szCs w:val="20"/>
              </w:rPr>
            </w:pPr>
          </w:p>
        </w:tc>
        <w:tc>
          <w:tcPr>
            <w:tcW w:w="920" w:type="pct"/>
          </w:tcPr>
          <w:p w14:paraId="3BDB203C" w14:textId="144413DA" w:rsidR="008B5B67" w:rsidRPr="00CE28E3" w:rsidRDefault="008B5B67" w:rsidP="00211DC3">
            <w:pPr>
              <w:pStyle w:val="TableText"/>
              <w:keepNext/>
              <w:jc w:val="center"/>
              <w:rPr>
                <w:rFonts w:eastAsia="Calibri"/>
                <w:szCs w:val="20"/>
              </w:rPr>
            </w:pPr>
          </w:p>
        </w:tc>
      </w:tr>
    </w:tbl>
    <w:p w14:paraId="1449AA11" w14:textId="52F9C563" w:rsidR="008B5B67" w:rsidRPr="00CE28E3" w:rsidRDefault="0045093D" w:rsidP="001F6F44">
      <w:pPr>
        <w:pStyle w:val="TableFigureFooter"/>
        <w:spacing w:after="600"/>
        <w:rPr>
          <w:rFonts w:eastAsia="Calibri"/>
          <w:szCs w:val="20"/>
        </w:rPr>
      </w:pPr>
      <w:bookmarkStart w:id="63" w:name="_Hlk68276759"/>
      <w:bookmarkEnd w:id="62"/>
      <w:r w:rsidRPr="0045093D">
        <w:rPr>
          <w:rFonts w:eastAsia="Calibri"/>
          <w:szCs w:val="20"/>
        </w:rPr>
        <w:t xml:space="preserve">ICER = incremental cost-effectiveness ratio; </w:t>
      </w:r>
      <w:r w:rsidR="008B5B67" w:rsidRPr="00CE28E3">
        <w:rPr>
          <w:rFonts w:eastAsia="Calibri"/>
          <w:szCs w:val="20"/>
        </w:rPr>
        <w:t>QALY = quality adjusted life year.</w:t>
      </w:r>
      <w:r>
        <w:rPr>
          <w:rFonts w:eastAsia="Calibri"/>
          <w:szCs w:val="20"/>
        </w:rPr>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p w14:paraId="25AE2BAC" w14:textId="7B31AF2D" w:rsidR="00772829" w:rsidRPr="00CE28E3" w:rsidRDefault="00B27795" w:rsidP="002A18BE">
      <w:pPr>
        <w:pStyle w:val="Heading2"/>
        <w:numPr>
          <w:ilvl w:val="0"/>
          <w:numId w:val="0"/>
        </w:numPr>
      </w:pPr>
      <w:bookmarkStart w:id="64" w:name="_Toc69491426"/>
      <w:bookmarkEnd w:id="63"/>
      <w:r>
        <w:t>11</w:t>
      </w:r>
      <w:r w:rsidR="00C36633">
        <w:t>.</w:t>
      </w:r>
      <w:r w:rsidR="00C36633">
        <w:tab/>
      </w:r>
      <w:r w:rsidR="00772829" w:rsidRPr="00CE28E3">
        <w:t>Financial/budgetary impacts</w:t>
      </w:r>
      <w:bookmarkEnd w:id="64"/>
    </w:p>
    <w:p w14:paraId="7BDE2BDD" w14:textId="4162C436" w:rsidR="001D3A64" w:rsidRPr="000D1B52" w:rsidRDefault="003F7196" w:rsidP="00502FFB">
      <w:pPr>
        <w:pStyle w:val="Guidelinescross-ref"/>
      </w:pPr>
      <w:r w:rsidRPr="003F7196">
        <w:t xml:space="preserve">Refer to: </w:t>
      </w:r>
      <w:r w:rsidR="001D3A64" w:rsidRPr="000D1B52">
        <w:t>MSAC Guidelines TG 27</w:t>
      </w:r>
      <w:r w:rsidR="00215AFB">
        <w:t xml:space="preserve"> (</w:t>
      </w:r>
      <w:r w:rsidR="00215AFB" w:rsidRPr="00215AFB">
        <w:t>Use of the health technology in practice</w:t>
      </w:r>
      <w:r w:rsidR="00215AFB">
        <w:t>)</w:t>
      </w:r>
    </w:p>
    <w:p w14:paraId="7A7DE596" w14:textId="7A46F45F" w:rsidR="00D428B9" w:rsidRPr="00330A0A" w:rsidRDefault="00610ABA" w:rsidP="00DF39E9">
      <w:pPr>
        <w:pStyle w:val="Instructionaltext"/>
      </w:pPr>
      <w:r w:rsidRPr="00610ABA">
        <w:t xml:space="preserve">[Instructional text] </w:t>
      </w:r>
      <w:r w:rsidR="00D428B9" w:rsidRPr="00330A0A">
        <w:t>Explain the approach used to estimate the uptake of the proposed technology (e.g.</w:t>
      </w:r>
      <w:r w:rsidR="00215AFB">
        <w:t> </w:t>
      </w:r>
      <w:r w:rsidR="00D428B9" w:rsidRPr="00330A0A">
        <w:t xml:space="preserve">epidemiological approach, market-based approach). </w:t>
      </w:r>
      <w:r w:rsidRPr="00610ABA">
        <w:t>[End instructional text]</w:t>
      </w:r>
    </w:p>
    <w:p w14:paraId="4FE2390F" w14:textId="205F7835" w:rsidR="0072578A" w:rsidRDefault="00D428B9" w:rsidP="00330A0A">
      <w:r w:rsidRPr="00CE28E3">
        <w:t xml:space="preserve">The financial implications to the </w:t>
      </w:r>
      <w:r w:rsidR="00215AFB">
        <w:rPr>
          <w:highlight w:val="cyan"/>
        </w:rPr>
        <w:t>[</w:t>
      </w:r>
      <w:r w:rsidR="00E40DAE">
        <w:rPr>
          <w:highlight w:val="cyan"/>
        </w:rPr>
        <w:t>*</w:t>
      </w:r>
      <w:r w:rsidRPr="00CE28E3">
        <w:rPr>
          <w:highlight w:val="cyan"/>
        </w:rPr>
        <w:t>MBS/other funding source</w:t>
      </w:r>
      <w:r w:rsidR="00215AFB">
        <w:rPr>
          <w:highlight w:val="cyan"/>
        </w:rPr>
        <w:t>]</w:t>
      </w:r>
      <w:r w:rsidRPr="00CE28E3">
        <w:t xml:space="preserve"> resulting from the proposed listing of </w:t>
      </w:r>
      <w:r w:rsidR="00215AFB">
        <w:t>[</w:t>
      </w:r>
      <w:r w:rsidR="00E40DAE" w:rsidRPr="00E40DAE">
        <w:rPr>
          <w:highlight w:val="cyan"/>
        </w:rPr>
        <w:t>*</w:t>
      </w:r>
      <w:r w:rsidR="00215AFB" w:rsidRPr="00215AFB">
        <w:rPr>
          <w:highlight w:val="cyan"/>
        </w:rPr>
        <w:t>proposed health technology</w:t>
      </w:r>
      <w:r w:rsidR="00215AFB">
        <w:t>]</w:t>
      </w:r>
      <w:r w:rsidRPr="00CE28E3">
        <w:t xml:space="preserve"> are summarised in </w:t>
      </w:r>
      <w:r w:rsidR="003571C2">
        <w:fldChar w:fldCharType="begin"/>
      </w:r>
      <w:r w:rsidR="003571C2">
        <w:instrText xml:space="preserve"> REF _Ref69726382 \h </w:instrText>
      </w:r>
      <w:r w:rsidR="003571C2">
        <w:fldChar w:fldCharType="separate"/>
      </w:r>
      <w:r w:rsidR="003571C2" w:rsidRPr="00CE28E3">
        <w:t>Table</w:t>
      </w:r>
      <w:r w:rsidR="003571C2">
        <w:t> </w:t>
      </w:r>
      <w:r w:rsidR="003571C2">
        <w:rPr>
          <w:noProof/>
        </w:rPr>
        <w:t>12</w:t>
      </w:r>
      <w:r w:rsidR="003571C2">
        <w:fldChar w:fldCharType="end"/>
      </w:r>
      <w:r w:rsidRPr="00CE28E3">
        <w:t xml:space="preserve">. </w:t>
      </w:r>
    </w:p>
    <w:p w14:paraId="4ADDA480" w14:textId="585ED7FA" w:rsidR="00D428B9" w:rsidRPr="00D77B20" w:rsidRDefault="00610ABA" w:rsidP="00330A0A">
      <w:pPr>
        <w:rPr>
          <w:i/>
          <w:iCs/>
          <w:color w:val="258221"/>
        </w:rPr>
      </w:pPr>
      <w:r w:rsidRPr="00610ABA">
        <w:rPr>
          <w:rStyle w:val="InstructionaltextChar"/>
        </w:rPr>
        <w:t xml:space="preserve">[Instructional text] </w:t>
      </w:r>
      <w:r w:rsidR="006D0EC2" w:rsidRPr="00DF39E9">
        <w:rPr>
          <w:rStyle w:val="InstructionaltextChar"/>
        </w:rPr>
        <w:t>The financial implications are presented over 6 years</w:t>
      </w:r>
      <w:r w:rsidR="001F6F44">
        <w:rPr>
          <w:rStyle w:val="InstructionaltextChar"/>
        </w:rPr>
        <w:t xml:space="preserve"> </w:t>
      </w:r>
      <w:r w:rsidR="0041217D">
        <w:rPr>
          <w:rStyle w:val="InstructionaltextChar"/>
        </w:rPr>
        <w:t>(</w:t>
      </w:r>
      <w:r w:rsidR="003571C2">
        <w:rPr>
          <w:rStyle w:val="InstructionaltextChar"/>
        </w:rPr>
        <w:fldChar w:fldCharType="begin"/>
      </w:r>
      <w:r w:rsidR="003571C2">
        <w:rPr>
          <w:rStyle w:val="InstructionaltextChar"/>
        </w:rPr>
        <w:instrText xml:space="preserve"> REF _Ref69726382 \h </w:instrText>
      </w:r>
      <w:r w:rsidR="003571C2">
        <w:rPr>
          <w:rStyle w:val="InstructionaltextChar"/>
        </w:rPr>
      </w:r>
      <w:r w:rsidR="003571C2">
        <w:rPr>
          <w:rStyle w:val="InstructionaltextChar"/>
        </w:rPr>
        <w:fldChar w:fldCharType="separate"/>
      </w:r>
      <w:r w:rsidR="003571C2" w:rsidRPr="00CE28E3">
        <w:t>Table</w:t>
      </w:r>
      <w:r w:rsidR="003571C2">
        <w:t> </w:t>
      </w:r>
      <w:r w:rsidR="003571C2">
        <w:rPr>
          <w:noProof/>
        </w:rPr>
        <w:t>12</w:t>
      </w:r>
      <w:r w:rsidR="003571C2">
        <w:rPr>
          <w:rStyle w:val="InstructionaltextChar"/>
        </w:rPr>
        <w:fldChar w:fldCharType="end"/>
      </w:r>
      <w:r w:rsidR="001F6F44">
        <w:rPr>
          <w:rStyle w:val="InstructionaltextChar"/>
        </w:rPr>
        <w:t>)</w:t>
      </w:r>
      <w:r w:rsidR="006D0EC2" w:rsidRPr="00DF39E9">
        <w:rPr>
          <w:rStyle w:val="InstructionaltextChar"/>
        </w:rPr>
        <w:t xml:space="preserve">. </w:t>
      </w:r>
      <w:r w:rsidR="00D77B20" w:rsidRPr="00D77B20">
        <w:rPr>
          <w:i/>
          <w:iCs/>
          <w:color w:val="258221"/>
        </w:rPr>
        <w:t xml:space="preserve">If the proposed funding source is the MBS, consider presenting </w:t>
      </w:r>
      <w:r w:rsidR="00D26D01">
        <w:rPr>
          <w:i/>
          <w:iCs/>
          <w:color w:val="258221"/>
        </w:rPr>
        <w:t>the net financial implications</w:t>
      </w:r>
      <w:r w:rsidR="00D77B20" w:rsidRPr="00D77B20">
        <w:rPr>
          <w:i/>
          <w:iCs/>
          <w:color w:val="258221"/>
        </w:rPr>
        <w:t xml:space="preserve"> in financial years. In this case the table should present the year as “FY 20XX-XX” rather than “20XX”.</w:t>
      </w:r>
      <w:r w:rsidR="00D77B20">
        <w:rPr>
          <w:i/>
          <w:iCs/>
          <w:color w:val="258221"/>
        </w:rPr>
        <w:t xml:space="preserve"> </w:t>
      </w:r>
      <w:r w:rsidR="006D0EC2" w:rsidRPr="00DF39E9">
        <w:rPr>
          <w:rStyle w:val="InstructionaltextChar"/>
        </w:rPr>
        <w:t>A</w:t>
      </w:r>
      <w:r w:rsidR="00D428B9" w:rsidRPr="00DF39E9">
        <w:rPr>
          <w:rStyle w:val="InstructionaltextChar"/>
        </w:rPr>
        <w:t xml:space="preserve">mend </w:t>
      </w:r>
      <w:r w:rsidR="00215AFB">
        <w:rPr>
          <w:rStyle w:val="InstructionaltextChar"/>
        </w:rPr>
        <w:t xml:space="preserve">table content </w:t>
      </w:r>
      <w:r w:rsidR="00D428B9" w:rsidRPr="00DF39E9">
        <w:rPr>
          <w:rStyle w:val="InstructionaltextChar"/>
        </w:rPr>
        <w:t>as relevant.</w:t>
      </w:r>
      <w:r>
        <w:rPr>
          <w:rStyle w:val="InstructionaltextChar"/>
        </w:rPr>
        <w:t xml:space="preserve"> </w:t>
      </w:r>
      <w:r w:rsidRPr="00610ABA">
        <w:rPr>
          <w:rStyle w:val="InstructionaltextChar"/>
        </w:rPr>
        <w:t>[End instructional text]</w:t>
      </w:r>
    </w:p>
    <w:p w14:paraId="33FCA9D4" w14:textId="44CB5CE6" w:rsidR="00D428B9" w:rsidRPr="00CE28E3" w:rsidRDefault="00D428B9" w:rsidP="00215AFB">
      <w:pPr>
        <w:pStyle w:val="Caption"/>
      </w:pPr>
      <w:bookmarkStart w:id="65" w:name="_Ref69726382"/>
      <w:r w:rsidRPr="00CE28E3">
        <w:t>Table</w:t>
      </w:r>
      <w:r w:rsidR="003571C2">
        <w:t> </w:t>
      </w:r>
      <w:r w:rsidR="0099088A">
        <w:fldChar w:fldCharType="begin"/>
      </w:r>
      <w:r w:rsidR="0099088A">
        <w:instrText xml:space="preserve"> SEQ Table \* ARABIC </w:instrText>
      </w:r>
      <w:r w:rsidR="0099088A">
        <w:fldChar w:fldCharType="separate"/>
      </w:r>
      <w:r w:rsidR="003571C2">
        <w:rPr>
          <w:noProof/>
        </w:rPr>
        <w:t>12</w:t>
      </w:r>
      <w:r w:rsidR="0099088A">
        <w:rPr>
          <w:noProof/>
        </w:rPr>
        <w:fldChar w:fldCharType="end"/>
      </w:r>
      <w:bookmarkEnd w:id="65"/>
      <w:r w:rsidRPr="00CE28E3">
        <w:tab/>
        <w:t xml:space="preserve">Net financial implications of </w:t>
      </w:r>
      <w:r w:rsidRPr="00CE28E3">
        <w:rPr>
          <w:highlight w:val="cyan"/>
        </w:rPr>
        <w:t>[</w:t>
      </w:r>
      <w:r w:rsidR="00E40DAE">
        <w:rPr>
          <w:highlight w:val="cyan"/>
        </w:rPr>
        <w:t>*</w:t>
      </w:r>
      <w:r w:rsidRPr="00CE28E3">
        <w:rPr>
          <w:highlight w:val="cyan"/>
        </w:rPr>
        <w:t>proposed health technology]</w:t>
      </w:r>
      <w:r w:rsidRPr="00CE28E3">
        <w:t xml:space="preserve"> to the </w:t>
      </w:r>
      <w:r w:rsidRPr="00CE28E3">
        <w:rPr>
          <w:highlight w:val="cyan"/>
        </w:rPr>
        <w:t>[</w:t>
      </w:r>
      <w:r w:rsidR="00E40DAE">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D428B9" w:rsidRPr="00CE28E3" w14:paraId="10C955A8" w14:textId="77777777" w:rsidTr="00211DC3">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66" w:name="Title_Table12" w:colFirst="0" w:colLast="0"/>
            <w:bookmarkStart w:id="67" w:name="_Hlk68276802"/>
            <w:r>
              <w:rPr>
                <w:b/>
                <w:bCs/>
              </w:rPr>
              <w:t>Parameter</w:t>
            </w:r>
            <w:r w:rsidR="001531D6">
              <w:rPr>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6386F263"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44217558"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4F1587EE" w:rsidR="00D428B9" w:rsidRPr="00CE28E3" w:rsidRDefault="00D428B9" w:rsidP="00215AFB">
            <w:pPr>
              <w:pStyle w:val="TableText"/>
              <w:keepNext/>
              <w:rPr>
                <w:b/>
                <w:bCs/>
              </w:rPr>
            </w:pPr>
            <w:r w:rsidRPr="00CE28E3">
              <w:rPr>
                <w:b/>
                <w:bCs/>
              </w:rPr>
              <w:t xml:space="preserve">Year </w:t>
            </w:r>
            <w:r w:rsidR="00D77B20">
              <w:rPr>
                <w:b/>
                <w:bCs/>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6466B434" w:rsidR="00D428B9" w:rsidRPr="00CE28E3" w:rsidRDefault="00D428B9" w:rsidP="00215AFB">
            <w:pPr>
              <w:pStyle w:val="TableText"/>
              <w:keepNext/>
              <w:rPr>
                <w:b/>
                <w:bCs/>
              </w:rPr>
            </w:pPr>
            <w:r w:rsidRPr="00CE28E3">
              <w:rPr>
                <w:b/>
                <w:bCs/>
              </w:rPr>
              <w:t xml:space="preserve">Year </w:t>
            </w:r>
            <w:r w:rsidR="00D77B20">
              <w:rPr>
                <w:b/>
                <w:bCs/>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905B762"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5461EE50" w:rsidR="00D428B9" w:rsidRPr="00CE28E3" w:rsidRDefault="00D428B9" w:rsidP="00215AFB">
            <w:pPr>
              <w:pStyle w:val="TableText"/>
              <w:keepNext/>
              <w:rPr>
                <w:b/>
                <w:bCs/>
              </w:rPr>
            </w:pPr>
            <w:r w:rsidRPr="00CE28E3">
              <w:rPr>
                <w:b/>
                <w:bCs/>
              </w:rPr>
              <w:t xml:space="preserve">Year </w:t>
            </w:r>
            <w:r w:rsidR="00D77B20">
              <w:rPr>
                <w:b/>
                <w:bCs/>
              </w:rPr>
              <w:t>20XX</w:t>
            </w:r>
          </w:p>
        </w:tc>
      </w:tr>
      <w:bookmarkEnd w:id="66"/>
      <w:tr w:rsidR="00D428B9" w:rsidRPr="00CE28E3" w14:paraId="5778418C"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D428B9" w:rsidRPr="00CE28E3" w14:paraId="16C50CD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4A46DD0A" w:rsidR="00D428B9" w:rsidRPr="00CE28E3" w:rsidRDefault="00D428B9" w:rsidP="00215AFB">
            <w:pPr>
              <w:pStyle w:val="TableText"/>
              <w:keepNext/>
            </w:pPr>
            <w:r w:rsidRPr="00CE28E3">
              <w:t>Number of people eligible for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309526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AB12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031D3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7859E0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0B54F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9C7884F" w14:textId="77777777" w:rsidR="00D428B9" w:rsidRPr="00CE28E3" w:rsidRDefault="00D428B9" w:rsidP="00215AFB">
            <w:pPr>
              <w:pStyle w:val="TableText"/>
              <w:keepNext/>
            </w:pPr>
          </w:p>
        </w:tc>
      </w:tr>
      <w:tr w:rsidR="00D428B9" w:rsidRPr="00CE28E3" w14:paraId="755DEAF4"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1B9A95A9" w:rsidR="00D428B9" w:rsidRPr="00CE28E3" w:rsidRDefault="00D428B9" w:rsidP="00215AFB">
            <w:pPr>
              <w:pStyle w:val="TableText"/>
              <w:keepNext/>
            </w:pPr>
            <w:r w:rsidRPr="00CE28E3">
              <w:t>Number of people who receive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7C02C4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26FA6A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0599FC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9543F6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12557F"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66D09E" w14:textId="77777777" w:rsidR="00D428B9" w:rsidRPr="00CE28E3" w:rsidRDefault="00D428B9" w:rsidP="00215AFB">
            <w:pPr>
              <w:pStyle w:val="TableText"/>
              <w:keepNext/>
            </w:pPr>
          </w:p>
        </w:tc>
      </w:tr>
      <w:tr w:rsidR="00D428B9" w:rsidRPr="00CE28E3" w14:paraId="55A6176D"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146C43BF" w:rsidR="00D428B9" w:rsidRPr="00CE28E3" w:rsidRDefault="00D428B9" w:rsidP="00215AFB">
            <w:pPr>
              <w:pStyle w:val="TableText"/>
              <w:keepNext/>
            </w:pPr>
            <w:r w:rsidRPr="00CE28E3">
              <w:t>Number of services of [</w:t>
            </w:r>
            <w:r w:rsidR="00215AFB">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D15F7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80FD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C94095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6361EF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54F194A"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89F5C3" w14:textId="77777777" w:rsidR="00D428B9" w:rsidRPr="00CE28E3" w:rsidRDefault="00D428B9" w:rsidP="00215AFB">
            <w:pPr>
              <w:pStyle w:val="TableText"/>
              <w:keepNext/>
            </w:pPr>
          </w:p>
        </w:tc>
      </w:tr>
      <w:tr w:rsidR="00D428B9" w:rsidRPr="00CE28E3" w14:paraId="17BAD6C0"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32FA1C54" w:rsidR="00D428B9" w:rsidRPr="00CE28E3" w:rsidRDefault="00D428B9" w:rsidP="00215AFB">
            <w:pPr>
              <w:pStyle w:val="TableText"/>
              <w:keepNext/>
            </w:pPr>
            <w:r w:rsidRPr="00CE28E3">
              <w:t>Cost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54250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1D3823"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FF7234"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0CD066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47BDB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B242D5" w14:textId="77777777" w:rsidR="00D428B9" w:rsidRPr="00CE28E3" w:rsidRDefault="00D428B9" w:rsidP="00215AFB">
            <w:pPr>
              <w:pStyle w:val="TableText"/>
              <w:keepNext/>
            </w:pPr>
          </w:p>
        </w:tc>
      </w:tr>
      <w:tr w:rsidR="00D428B9" w:rsidRPr="00CE28E3" w14:paraId="5BC9C961"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D428B9" w:rsidRPr="00CE28E3" w14:paraId="141B431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261D6929" w:rsidR="00D428B9" w:rsidRPr="00CE28E3" w:rsidRDefault="00D428B9" w:rsidP="00215AFB">
            <w:pPr>
              <w:pStyle w:val="TableText"/>
              <w:keepNext/>
            </w:pPr>
            <w:r w:rsidRPr="00CE28E3">
              <w:t>Change in use of [</w:t>
            </w:r>
            <w:r w:rsidR="00215AFB">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4E6D7D"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DCB03D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5F281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92FF03"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4DD02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33785F7" w14:textId="77777777" w:rsidR="00D428B9" w:rsidRPr="00CE28E3" w:rsidRDefault="00D428B9" w:rsidP="00215AFB">
            <w:pPr>
              <w:pStyle w:val="TableText"/>
              <w:keepNext/>
            </w:pPr>
          </w:p>
        </w:tc>
      </w:tr>
      <w:tr w:rsidR="00D428B9" w:rsidRPr="00CE28E3" w14:paraId="3D0475C2"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19D3B4EA" w:rsidR="00D428B9" w:rsidRPr="00CE28E3" w:rsidRDefault="00D428B9" w:rsidP="00215AFB">
            <w:pPr>
              <w:pStyle w:val="TableText"/>
              <w:keepNext/>
            </w:pPr>
            <w:r w:rsidRPr="00CE28E3">
              <w:t>Change in use of [</w:t>
            </w:r>
            <w:r w:rsidR="00215AFB">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D93D8C"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91B0C1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AB74D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AF506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1AD2F0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BF1F9AE" w14:textId="77777777" w:rsidR="00D428B9" w:rsidRPr="00CE28E3" w:rsidRDefault="00D428B9" w:rsidP="00215AFB">
            <w:pPr>
              <w:pStyle w:val="TableText"/>
              <w:keepNext/>
            </w:pPr>
          </w:p>
        </w:tc>
      </w:tr>
      <w:tr w:rsidR="00D428B9" w:rsidRPr="00CE28E3" w14:paraId="7537920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5B38E45F" w:rsidR="00D428B9" w:rsidRPr="00CE28E3" w:rsidRDefault="00D428B9" w:rsidP="00215AFB">
            <w:pPr>
              <w:pStyle w:val="TableText"/>
              <w:keepNext/>
            </w:pPr>
            <w:r w:rsidRPr="00CE28E3">
              <w:t>Net change in costs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128437E"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B21981"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B8956C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ED4213C"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B0BD324"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AFC579" w14:textId="77777777" w:rsidR="00D428B9" w:rsidRPr="00CE28E3" w:rsidRDefault="00D428B9" w:rsidP="00215AFB">
            <w:pPr>
              <w:pStyle w:val="TableText"/>
              <w:keepNext/>
            </w:pPr>
          </w:p>
        </w:tc>
      </w:tr>
      <w:tr w:rsidR="00D428B9" w:rsidRPr="00CE28E3" w14:paraId="1D7F897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1A31094" w:rsidR="00D428B9" w:rsidRPr="00CE28E3" w:rsidRDefault="00D428B9" w:rsidP="00215AFB">
            <w:pPr>
              <w:pStyle w:val="TableText"/>
              <w:keepNext/>
              <w:rPr>
                <w:b/>
                <w:bCs/>
              </w:rPr>
            </w:pPr>
            <w:r w:rsidRPr="00CE28E3">
              <w:rPr>
                <w:b/>
                <w:bCs/>
              </w:rPr>
              <w:t>Net financial impact to the [</w:t>
            </w:r>
            <w:r w:rsidR="00215AFB">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D9A965"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449DB"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BD218F3"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613D334"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19A632F"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ADBCE21" w14:textId="77777777" w:rsidR="00D428B9" w:rsidRPr="00CE28E3" w:rsidRDefault="00D428B9" w:rsidP="00215AFB">
            <w:pPr>
              <w:pStyle w:val="TableText"/>
              <w:keepNext/>
              <w:rPr>
                <w:b/>
                <w:bCs/>
              </w:rPr>
            </w:pPr>
          </w:p>
        </w:tc>
      </w:tr>
    </w:tbl>
    <w:p w14:paraId="314B5062" w14:textId="167E1DDE" w:rsidR="00215AFB" w:rsidRDefault="00215AFB" w:rsidP="00215AFB">
      <w:pPr>
        <w:pStyle w:val="TableFigureFooter"/>
      </w:pPr>
      <w:bookmarkStart w:id="68" w:name="_Hlk68276814"/>
      <w:bookmarkEnd w:id="67"/>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68"/>
    <w:p w14:paraId="5F74E0C0" w14:textId="4BD3B354" w:rsidR="00610ABA" w:rsidRDefault="00610ABA" w:rsidP="00215AFB">
      <w:pPr>
        <w:pStyle w:val="Instructionaltext-afterfiguretable"/>
      </w:pPr>
      <w:r w:rsidRPr="00610ABA">
        <w:t xml:space="preserve">[Instructional text] </w:t>
      </w:r>
    </w:p>
    <w:p w14:paraId="7A88BBF8" w14:textId="7E2DE605" w:rsidR="006D0EC2" w:rsidRPr="00330A0A" w:rsidRDefault="00D428B9" w:rsidP="00DF39E9">
      <w:pPr>
        <w:pStyle w:val="Instructionaltext"/>
      </w:pPr>
      <w:r w:rsidRPr="00330A0A">
        <w:lastRenderedPageBreak/>
        <w:t xml:space="preserve">The summary </w:t>
      </w:r>
      <w:r w:rsidR="007852E9">
        <w:t xml:space="preserve">of </w:t>
      </w:r>
      <w:r w:rsidR="007852E9" w:rsidRPr="007852E9">
        <w:t xml:space="preserve">financial implications </w:t>
      </w:r>
      <w:r w:rsidRPr="00330A0A">
        <w:t>should primarily focus on the implications to the funding source</w:t>
      </w:r>
      <w:r w:rsidR="00037302">
        <w:t>s</w:t>
      </w:r>
      <w:r w:rsidRPr="00330A0A">
        <w:t xml:space="preserve"> (</w:t>
      </w:r>
      <w:r w:rsidR="005342C3">
        <w:t>e.g. </w:t>
      </w:r>
      <w:r w:rsidRPr="00330A0A">
        <w:t xml:space="preserve">MBS, </w:t>
      </w:r>
      <w:r w:rsidR="00A22EFC">
        <w:t>National Blood Authority</w:t>
      </w:r>
      <w:r w:rsidRPr="00330A0A">
        <w:t>).</w:t>
      </w:r>
    </w:p>
    <w:p w14:paraId="2D9301B8" w14:textId="77777777" w:rsidR="006D0EC2" w:rsidRPr="00330A0A" w:rsidRDefault="006D0EC2" w:rsidP="002463A6">
      <w:pPr>
        <w:pStyle w:val="Instructionaltext"/>
        <w:spacing w:after="0"/>
      </w:pPr>
      <w:r w:rsidRPr="00330A0A">
        <w:t>Present the following (adapted if necessary):</w:t>
      </w:r>
    </w:p>
    <w:p w14:paraId="0EFB6CA1" w14:textId="07E56D42" w:rsidR="006D0EC2" w:rsidRPr="00330A0A" w:rsidRDefault="006D0EC2" w:rsidP="00DF39E9">
      <w:pPr>
        <w:pStyle w:val="Instructionaltext"/>
        <w:numPr>
          <w:ilvl w:val="0"/>
          <w:numId w:val="31"/>
        </w:numPr>
        <w:spacing w:before="0" w:after="0"/>
        <w:ind w:left="714" w:hanging="357"/>
      </w:pPr>
      <w:r w:rsidRPr="00330A0A">
        <w:t>The average cost of the proposed technology per patient &lt;per year/per course&gt; is: $</w:t>
      </w:r>
      <w:r w:rsidR="005342C3">
        <w:t>X.</w:t>
      </w:r>
    </w:p>
    <w:p w14:paraId="01215E54" w14:textId="33C04AAB" w:rsidR="006D0EC2" w:rsidRPr="00330A0A" w:rsidRDefault="006D0EC2" w:rsidP="00DF39E9">
      <w:pPr>
        <w:pStyle w:val="Instructionaltext"/>
        <w:numPr>
          <w:ilvl w:val="0"/>
          <w:numId w:val="31"/>
        </w:numPr>
        <w:spacing w:before="0" w:after="0"/>
        <w:ind w:left="714" w:hanging="357"/>
      </w:pPr>
      <w:r w:rsidRPr="00330A0A">
        <w:t>The average frequency of use of the proposed technology is: X &lt;per year/per lifetime&gt;.</w:t>
      </w:r>
    </w:p>
    <w:p w14:paraId="43B2CCBE" w14:textId="7AE9331E" w:rsidR="001D3A64" w:rsidRPr="00330A0A" w:rsidRDefault="006D0EC2" w:rsidP="00DF39E9">
      <w:pPr>
        <w:pStyle w:val="Instructionaltext"/>
        <w:numPr>
          <w:ilvl w:val="0"/>
          <w:numId w:val="31"/>
        </w:numPr>
        <w:spacing w:before="0" w:after="0"/>
        <w:ind w:left="714" w:hanging="357"/>
      </w:pPr>
      <w:r w:rsidRPr="00330A0A">
        <w:t xml:space="preserve">The average out-of-pocket </w:t>
      </w:r>
      <w:r w:rsidR="00C83D84" w:rsidRPr="00330A0A">
        <w:t>cost per patient &lt;per year/per course&gt; is: $</w:t>
      </w:r>
      <w:r w:rsidR="005342C3">
        <w:t>X.</w:t>
      </w:r>
    </w:p>
    <w:p w14:paraId="27D969D0" w14:textId="15F7DAF8" w:rsidR="00C83D84" w:rsidRPr="00330A0A" w:rsidRDefault="00C83D84" w:rsidP="00DF39E9">
      <w:pPr>
        <w:pStyle w:val="Instructionaltext"/>
      </w:pPr>
      <w:r w:rsidRPr="00330A0A">
        <w:t>Note that the out-of-pocket cost per patient includes both the estimated copayments and the additional costs above the funded amount.</w:t>
      </w:r>
    </w:p>
    <w:p w14:paraId="1B4BB1DD" w14:textId="311CE017" w:rsidR="00D428B9" w:rsidRPr="00330A0A" w:rsidRDefault="00D428B9" w:rsidP="00DF39E9">
      <w:pPr>
        <w:pStyle w:val="Instructionaltext"/>
      </w:pPr>
      <w:r w:rsidRPr="00330A0A">
        <w:t xml:space="preserve">If a service is primarily out-of-hospital, a separate analysis of the financial implications to the </w:t>
      </w:r>
      <w:r w:rsidR="005342C3" w:rsidRPr="005342C3">
        <w:t xml:space="preserve">Extended Medicare </w:t>
      </w:r>
      <w:r w:rsidR="005342C3">
        <w:t>S</w:t>
      </w:r>
      <w:r w:rsidRPr="00330A0A">
        <w:t xml:space="preserve">afety </w:t>
      </w:r>
      <w:r w:rsidR="005342C3">
        <w:t>N</w:t>
      </w:r>
      <w:r w:rsidRPr="00330A0A">
        <w:t>et</w:t>
      </w:r>
      <w:r w:rsidR="005342C3">
        <w:t xml:space="preserve"> will be required</w:t>
      </w:r>
      <w:r w:rsidRPr="00330A0A">
        <w:t>.</w:t>
      </w:r>
    </w:p>
    <w:p w14:paraId="29F24DDB" w14:textId="07D3DC27" w:rsidR="00D428B9" w:rsidRDefault="00D428B9" w:rsidP="00DF39E9">
      <w:pPr>
        <w:pStyle w:val="Instructionaltext"/>
      </w:pPr>
      <w:r w:rsidRPr="00330A0A">
        <w:t xml:space="preserve">If there is additional relevant information that should be taken </w:t>
      </w:r>
      <w:r w:rsidR="005342C3">
        <w:t xml:space="preserve">into </w:t>
      </w:r>
      <w:r w:rsidRPr="00330A0A">
        <w:t xml:space="preserve">account in the financial implications </w:t>
      </w:r>
      <w:r w:rsidR="005342C3">
        <w:t>(</w:t>
      </w:r>
      <w:r w:rsidRPr="00330A0A">
        <w:t>e</w:t>
      </w:r>
      <w:r w:rsidR="005342C3">
        <w:t>.</w:t>
      </w:r>
      <w:r w:rsidRPr="00330A0A">
        <w:t>g</w:t>
      </w:r>
      <w:r w:rsidR="005342C3">
        <w:t>. </w:t>
      </w:r>
      <w:r w:rsidRPr="00330A0A">
        <w:t>cost impacts on other government health budgets, patient costs</w:t>
      </w:r>
      <w:r w:rsidR="005342C3">
        <w:t>)</w:t>
      </w:r>
      <w:r w:rsidRPr="00330A0A">
        <w:t>, mention these here and be guided by the Department as to what data would be expected.</w:t>
      </w:r>
    </w:p>
    <w:p w14:paraId="73FE484E" w14:textId="362C6C8F" w:rsidR="00610ABA" w:rsidRPr="00CE28E3" w:rsidRDefault="00610ABA" w:rsidP="00DF39E9">
      <w:pPr>
        <w:pStyle w:val="Instructionaltext"/>
      </w:pPr>
      <w:r w:rsidRPr="00610ABA">
        <w:t>[End instructional text]</w:t>
      </w:r>
    </w:p>
    <w:p w14:paraId="7838A9FF" w14:textId="00995102" w:rsidR="00772829" w:rsidRPr="00CE28E3" w:rsidRDefault="00B27795" w:rsidP="002A18BE">
      <w:pPr>
        <w:pStyle w:val="Heading2"/>
        <w:numPr>
          <w:ilvl w:val="0"/>
          <w:numId w:val="0"/>
        </w:numPr>
      </w:pPr>
      <w:bookmarkStart w:id="69" w:name="_Toc69491427"/>
      <w:r>
        <w:t>12</w:t>
      </w:r>
      <w:r w:rsidR="00C36633">
        <w:t>.</w:t>
      </w:r>
      <w:r w:rsidR="00C36633">
        <w:tab/>
      </w:r>
      <w:r w:rsidR="00772829" w:rsidRPr="00CE28E3">
        <w:t xml:space="preserve">Other relevant </w:t>
      </w:r>
      <w:bookmarkEnd w:id="69"/>
      <w:r w:rsidR="00FA5766">
        <w:t>information</w:t>
      </w:r>
    </w:p>
    <w:p w14:paraId="4D9BE800" w14:textId="7DFBB470" w:rsidR="002D55E4" w:rsidRPr="000D1B52" w:rsidRDefault="003F7196" w:rsidP="00502FFB">
      <w:pPr>
        <w:pStyle w:val="Guidelinescross-ref"/>
      </w:pPr>
      <w:r w:rsidRPr="003F7196">
        <w:t xml:space="preserve">Refer to: </w:t>
      </w:r>
      <w:r w:rsidR="002D55E4" w:rsidRPr="000D1B52">
        <w:t>MSAC Guidelines TG 5</w:t>
      </w:r>
      <w:r w:rsidR="00560AF1">
        <w:t xml:space="preserve"> (</w:t>
      </w:r>
      <w:r w:rsidR="00560AF1" w:rsidRPr="00560AF1">
        <w:t>Approach to assessment</w:t>
      </w:r>
      <w:r w:rsidR="00560AF1">
        <w:t>)</w:t>
      </w:r>
    </w:p>
    <w:p w14:paraId="242F5AB7" w14:textId="3A0291BD" w:rsidR="002D55E4" w:rsidRPr="000D1B52" w:rsidRDefault="003F7196" w:rsidP="00502FFB">
      <w:pPr>
        <w:pStyle w:val="Guidelinescross-ref"/>
      </w:pPr>
      <w:r w:rsidRPr="003F7196">
        <w:t xml:space="preserve">Refer to: </w:t>
      </w:r>
      <w:r w:rsidR="002D55E4" w:rsidRPr="000D1B52">
        <w:t>MSAC Guidelines TG 28</w:t>
      </w:r>
      <w:r w:rsidR="00560AF1">
        <w:t xml:space="preserve"> (</w:t>
      </w:r>
      <w:r w:rsidR="00560AF1" w:rsidRPr="00560AF1">
        <w:t>Value of knowing</w:t>
      </w:r>
      <w:r w:rsidR="00560AF1">
        <w:t>)</w:t>
      </w:r>
    </w:p>
    <w:p w14:paraId="16C1A3F4" w14:textId="7A03C6D7" w:rsidR="00D36E67" w:rsidRPr="003251C2" w:rsidRDefault="00610ABA" w:rsidP="00DF39E9">
      <w:pPr>
        <w:pStyle w:val="Instructionaltext"/>
      </w:pPr>
      <w:r w:rsidRPr="00610ABA">
        <w:t xml:space="preserve">[Instructional text] </w:t>
      </w:r>
      <w:r w:rsidR="002D55E4" w:rsidRPr="003251C2">
        <w:t xml:space="preserve">In addition to a clinical claim relating to health outcomes, investigative technologies may (uncommonly) make a claim of </w:t>
      </w:r>
      <w:r w:rsidR="00662E5F">
        <w:t>‘</w:t>
      </w:r>
      <w:r w:rsidR="002D55E4" w:rsidRPr="003251C2">
        <w:t>value of knowing</w:t>
      </w:r>
      <w:r w:rsidR="00662E5F">
        <w:t>’</w:t>
      </w:r>
      <w:r w:rsidR="002D55E4" w:rsidRPr="003251C2">
        <w:t xml:space="preserve">. For an investigative technology that results in no, minimal or uncertain change in management, where the key benefit </w:t>
      </w:r>
      <w:r w:rsidR="00662E5F">
        <w:t>relates</w:t>
      </w:r>
      <w:r w:rsidR="002D55E4" w:rsidRPr="003251C2">
        <w:t xml:space="preserve"> to the value of knowing, tabulate the </w:t>
      </w:r>
      <w:r w:rsidR="00D36E67" w:rsidRPr="003251C2">
        <w:t xml:space="preserve">key </w:t>
      </w:r>
      <w:r w:rsidR="002D55E4" w:rsidRPr="003251C2">
        <w:t>proposed value of knowing benefits and harms associated with the use of the proposed test (</w:t>
      </w:r>
      <w:r w:rsidR="00662E5F" w:rsidRPr="0041217D">
        <w:rPr>
          <w:color w:val="0070C0"/>
          <w:sz w:val="24"/>
        </w:rPr>
        <w:t xml:space="preserve">Refer to: </w:t>
      </w:r>
      <w:r w:rsidR="002D55E4" w:rsidRPr="0041217D">
        <w:rPr>
          <w:color w:val="0070C0"/>
          <w:sz w:val="24"/>
        </w:rPr>
        <w:t>TG 28.2</w:t>
      </w:r>
      <w:r w:rsidR="002D55E4" w:rsidRPr="003251C2">
        <w:t>).</w:t>
      </w:r>
      <w:r w:rsidR="00D36E67" w:rsidRPr="003251C2">
        <w:t xml:space="preserve"> Key results are those that are quantitative and supported by evidence.</w:t>
      </w:r>
      <w:r w:rsidRPr="00610ABA">
        <w:t xml:space="preserve"> [End instructional text]</w:t>
      </w:r>
    </w:p>
    <w:p w14:paraId="51513501" w14:textId="5E714641" w:rsidR="002D55E4" w:rsidRPr="000D1B52" w:rsidRDefault="003F7196" w:rsidP="00502FFB">
      <w:pPr>
        <w:pStyle w:val="Guidelinescross-ref"/>
      </w:pPr>
      <w:r w:rsidRPr="003F7196">
        <w:t xml:space="preserve">Refer to: </w:t>
      </w:r>
      <w:r w:rsidR="00D36E67" w:rsidRPr="000D1B52">
        <w:t>MSAC Guidelines TG 29</w:t>
      </w:r>
      <w:r w:rsidR="00560AF1">
        <w:t xml:space="preserve"> (</w:t>
      </w:r>
      <w:r w:rsidR="00560AF1" w:rsidRPr="00560AF1">
        <w:t>Other relevant considerations</w:t>
      </w:r>
      <w:r w:rsidR="00560AF1">
        <w:t>)</w:t>
      </w:r>
    </w:p>
    <w:p w14:paraId="30DE9625" w14:textId="4263B567" w:rsidR="00772829" w:rsidRPr="003251C2" w:rsidRDefault="00610ABA" w:rsidP="00DF39E9">
      <w:pPr>
        <w:pStyle w:val="Instructionaltext"/>
      </w:pPr>
      <w:r w:rsidRPr="00610ABA">
        <w:t xml:space="preserve">[Instructional text] </w:t>
      </w:r>
      <w:r w:rsidR="00772829" w:rsidRPr="003251C2">
        <w:t>Summarise any other relevant factors (e</w:t>
      </w:r>
      <w:r w:rsidR="00662E5F">
        <w:t>.</w:t>
      </w:r>
      <w:r w:rsidR="00772829" w:rsidRPr="003251C2">
        <w:t>g</w:t>
      </w:r>
      <w:r w:rsidR="00662E5F">
        <w:t>.</w:t>
      </w:r>
      <w:r w:rsidR="00772829" w:rsidRPr="003251C2">
        <w:t xml:space="preserve"> ethical, legal, social, equity) as appropriate</w:t>
      </w:r>
      <w:r w:rsidR="00662E5F">
        <w:t>,</w:t>
      </w:r>
      <w:r w:rsidR="00772829" w:rsidRPr="003251C2">
        <w:t xml:space="preserve"> or identify as </w:t>
      </w:r>
      <w:r w:rsidR="00662E5F">
        <w:t>‘</w:t>
      </w:r>
      <w:r w:rsidR="00772829" w:rsidRPr="003251C2">
        <w:t>Nil</w:t>
      </w:r>
      <w:r w:rsidR="00662E5F">
        <w:t>’</w:t>
      </w:r>
      <w:r w:rsidR="00772829" w:rsidRPr="003251C2">
        <w:t>.</w:t>
      </w:r>
      <w:r w:rsidRPr="00610ABA">
        <w:t xml:space="preserve"> [End instructional text]</w:t>
      </w:r>
    </w:p>
    <w:p w14:paraId="6E40E8F2" w14:textId="526A06FD" w:rsidR="00037302" w:rsidRDefault="00B27795" w:rsidP="00487C85">
      <w:pPr>
        <w:pStyle w:val="Heading2"/>
        <w:numPr>
          <w:ilvl w:val="0"/>
          <w:numId w:val="0"/>
        </w:numPr>
      </w:pPr>
      <w:bookmarkStart w:id="70" w:name="_Toc69491428"/>
      <w:r>
        <w:t>13</w:t>
      </w:r>
      <w:r w:rsidR="00487C85">
        <w:t>.</w:t>
      </w:r>
      <w:r w:rsidR="00487C85">
        <w:tab/>
      </w:r>
      <w:r w:rsidR="00037302">
        <w:t>Committee-</w:t>
      </w:r>
      <w:r w:rsidR="00487C85">
        <w:t>i</w:t>
      </w:r>
      <w:r w:rsidR="00037302">
        <w:t>n-</w:t>
      </w:r>
      <w:r w:rsidR="00487C85">
        <w:t>c</w:t>
      </w:r>
      <w:r w:rsidR="00037302">
        <w:t>onfidence information</w:t>
      </w:r>
      <w:bookmarkEnd w:id="70"/>
    </w:p>
    <w:p w14:paraId="4B6EFE6D" w14:textId="638037B7" w:rsidR="00487C85" w:rsidRPr="00487C85" w:rsidRDefault="00487C85" w:rsidP="00487C85">
      <w:pPr>
        <w:pStyle w:val="Instructionaltext"/>
      </w:pPr>
      <w:r w:rsidRPr="00487C85">
        <w:t xml:space="preserve">[Instructional text] </w:t>
      </w:r>
      <w:r>
        <w:t>Include Committee-in-confidence information if relevant</w:t>
      </w:r>
      <w:r w:rsidRPr="00487C85">
        <w:t>, or identify as ‘Nil’. [End instructional text]</w:t>
      </w:r>
    </w:p>
    <w:p w14:paraId="01B2A9FA" w14:textId="50B2840D" w:rsidR="00772829" w:rsidRPr="00CE28E3" w:rsidRDefault="00772829"/>
    <w:sectPr w:rsidR="00772829" w:rsidRPr="00CE28E3" w:rsidSect="0078434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EF5C" w14:textId="77777777" w:rsidR="00052DB7" w:rsidRDefault="00052DB7" w:rsidP="00B62DF2">
      <w:pPr>
        <w:spacing w:after="0" w:line="240" w:lineRule="auto"/>
      </w:pPr>
      <w:r>
        <w:separator/>
      </w:r>
    </w:p>
  </w:endnote>
  <w:endnote w:type="continuationSeparator" w:id="0">
    <w:p w14:paraId="7F83FF54" w14:textId="77777777" w:rsidR="00052DB7" w:rsidRDefault="00052DB7"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0E922F06" w:rsidR="005947B5" w:rsidRDefault="005947B5">
        <w:pPr>
          <w:pStyle w:val="Footer"/>
        </w:pPr>
        <w:r>
          <w:fldChar w:fldCharType="begin"/>
        </w:r>
        <w:r>
          <w:instrText xml:space="preserve"> PAGE   \* MERGEFORMAT </w:instrText>
        </w:r>
        <w:r>
          <w:fldChar w:fldCharType="separate"/>
        </w:r>
        <w:r w:rsidR="00120BD3">
          <w:rPr>
            <w:noProof/>
          </w:rPr>
          <w:t>22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060711B7" w:rsidR="005947B5" w:rsidRDefault="005947B5" w:rsidP="00052DD3">
        <w:pPr>
          <w:pStyle w:val="Footer"/>
          <w:jc w:val="right"/>
        </w:pPr>
        <w:r w:rsidRPr="00052DD3">
          <w:t xml:space="preserve">MSAC assessment report </w:t>
        </w:r>
        <w:r w:rsidRPr="00807A3E">
          <w:rPr>
            <w:highlight w:val="cyan"/>
          </w:rPr>
          <w:t>*</w:t>
        </w:r>
        <w:r w:rsidRPr="00052DD3">
          <w:rPr>
            <w:highlight w:val="cyan"/>
          </w:rPr>
          <w:t>XXXX</w:t>
        </w:r>
        <w:r>
          <w:rPr>
            <w:highlight w:val="cyan"/>
          </w:rPr>
          <w:t xml:space="preserve"> –</w:t>
        </w:r>
        <w:r w:rsidRPr="00052DD3">
          <w:rPr>
            <w:highlight w:val="cyan"/>
          </w:rPr>
          <w:t xml:space="preserve"> Brief heading</w:t>
        </w:r>
        <w:r>
          <w:t xml:space="preserve"> </w:t>
        </w:r>
        <w:r>
          <w:tab/>
        </w:r>
        <w:r>
          <w:tab/>
        </w: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301" w14:textId="77777777" w:rsidR="0099088A" w:rsidRDefault="0099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21D0" w14:textId="77777777" w:rsidR="00052DB7" w:rsidRDefault="00052DB7" w:rsidP="00B62DF2">
      <w:pPr>
        <w:spacing w:after="0" w:line="240" w:lineRule="auto"/>
      </w:pPr>
      <w:r>
        <w:separator/>
      </w:r>
    </w:p>
  </w:footnote>
  <w:footnote w:type="continuationSeparator" w:id="0">
    <w:p w14:paraId="290B650E" w14:textId="77777777" w:rsidR="00052DB7" w:rsidRDefault="00052DB7" w:rsidP="00B6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D8D" w14:textId="77777777" w:rsidR="0099088A" w:rsidRDefault="0099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5A1" w14:textId="77777777" w:rsidR="0099088A" w:rsidRDefault="00990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422F" w14:textId="77777777" w:rsidR="0099088A" w:rsidRDefault="0099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8"/>
  </w:num>
  <w:num w:numId="2" w16cid:durableId="1962566925">
    <w:abstractNumId w:val="9"/>
  </w:num>
  <w:num w:numId="3" w16cid:durableId="1270162788">
    <w:abstractNumId w:val="33"/>
  </w:num>
  <w:num w:numId="4" w16cid:durableId="404036336">
    <w:abstractNumId w:val="19"/>
  </w:num>
  <w:num w:numId="5" w16cid:durableId="1754930659">
    <w:abstractNumId w:val="6"/>
  </w:num>
  <w:num w:numId="6" w16cid:durableId="410388863">
    <w:abstractNumId w:val="10"/>
  </w:num>
  <w:num w:numId="7" w16cid:durableId="1821774551">
    <w:abstractNumId w:val="31"/>
  </w:num>
  <w:num w:numId="8" w16cid:durableId="758334604">
    <w:abstractNumId w:val="12"/>
  </w:num>
  <w:num w:numId="9" w16cid:durableId="1483496751">
    <w:abstractNumId w:val="23"/>
  </w:num>
  <w:num w:numId="10" w16cid:durableId="2139227131">
    <w:abstractNumId w:val="29"/>
  </w:num>
  <w:num w:numId="11" w16cid:durableId="566039135">
    <w:abstractNumId w:val="4"/>
  </w:num>
  <w:num w:numId="12" w16cid:durableId="640697312">
    <w:abstractNumId w:val="8"/>
  </w:num>
  <w:num w:numId="13" w16cid:durableId="1414619933">
    <w:abstractNumId w:val="14"/>
  </w:num>
  <w:num w:numId="14" w16cid:durableId="232784738">
    <w:abstractNumId w:val="28"/>
  </w:num>
  <w:num w:numId="15" w16cid:durableId="710807365">
    <w:abstractNumId w:val="25"/>
  </w:num>
  <w:num w:numId="16" w16cid:durableId="1628702338">
    <w:abstractNumId w:val="32"/>
  </w:num>
  <w:num w:numId="17" w16cid:durableId="747844684">
    <w:abstractNumId w:val="16"/>
  </w:num>
  <w:num w:numId="18" w16cid:durableId="424039730">
    <w:abstractNumId w:val="27"/>
  </w:num>
  <w:num w:numId="19" w16cid:durableId="1863782569">
    <w:abstractNumId w:val="3"/>
  </w:num>
  <w:num w:numId="20" w16cid:durableId="379863140">
    <w:abstractNumId w:val="26"/>
  </w:num>
  <w:num w:numId="21" w16cid:durableId="2055930567">
    <w:abstractNumId w:val="21"/>
  </w:num>
  <w:num w:numId="22" w16cid:durableId="1942177116">
    <w:abstractNumId w:val="18"/>
  </w:num>
  <w:num w:numId="23" w16cid:durableId="929779484">
    <w:abstractNumId w:val="18"/>
  </w:num>
  <w:num w:numId="24" w16cid:durableId="1895582741">
    <w:abstractNumId w:val="11"/>
  </w:num>
  <w:num w:numId="25" w16cid:durableId="181164657">
    <w:abstractNumId w:val="15"/>
  </w:num>
  <w:num w:numId="26" w16cid:durableId="2051296491">
    <w:abstractNumId w:val="7"/>
  </w:num>
  <w:num w:numId="27" w16cid:durableId="1162088356">
    <w:abstractNumId w:val="1"/>
  </w:num>
  <w:num w:numId="28" w16cid:durableId="335770957">
    <w:abstractNumId w:val="2"/>
  </w:num>
  <w:num w:numId="29" w16cid:durableId="695809152">
    <w:abstractNumId w:val="20"/>
  </w:num>
  <w:num w:numId="30" w16cid:durableId="2109806881">
    <w:abstractNumId w:val="0"/>
  </w:num>
  <w:num w:numId="31" w16cid:durableId="382565020">
    <w:abstractNumId w:val="17"/>
  </w:num>
  <w:num w:numId="32" w16cid:durableId="650060571">
    <w:abstractNumId w:val="30"/>
  </w:num>
  <w:num w:numId="33" w16cid:durableId="1715084905">
    <w:abstractNumId w:val="5"/>
  </w:num>
  <w:num w:numId="34" w16cid:durableId="1684551736">
    <w:abstractNumId w:val="13"/>
  </w:num>
  <w:num w:numId="35" w16cid:durableId="489904018">
    <w:abstractNumId w:val="22"/>
  </w:num>
  <w:num w:numId="36" w16cid:durableId="1180662619">
    <w:abstractNumId w:val="24"/>
  </w:num>
  <w:num w:numId="37" w16cid:durableId="1932547673">
    <w:abstractNumId w:val="18"/>
  </w:num>
  <w:num w:numId="38" w16cid:durableId="1824198194">
    <w:abstractNumId w:val="18"/>
  </w:num>
  <w:num w:numId="39" w16cid:durableId="815951164">
    <w:abstractNumId w:val="18"/>
  </w:num>
  <w:num w:numId="40" w16cid:durableId="1921281902">
    <w:abstractNumId w:val="18"/>
  </w:num>
  <w:num w:numId="41" w16cid:durableId="1888687987">
    <w:abstractNumId w:val="18"/>
  </w:num>
  <w:num w:numId="42" w16cid:durableId="567107861">
    <w:abstractNumId w:val="18"/>
  </w:num>
  <w:num w:numId="43" w16cid:durableId="847328717">
    <w:abstractNumId w:val="18"/>
  </w:num>
  <w:num w:numId="44" w16cid:durableId="1445537820">
    <w:abstractNumId w:val="18"/>
  </w:num>
  <w:num w:numId="45" w16cid:durableId="1803380570">
    <w:abstractNumId w:val="18"/>
  </w:num>
  <w:num w:numId="46" w16cid:durableId="1466656193">
    <w:abstractNumId w:val="18"/>
  </w:num>
  <w:num w:numId="47" w16cid:durableId="1989355011">
    <w:abstractNumId w:val="18"/>
  </w:num>
  <w:num w:numId="48" w16cid:durableId="1987852736">
    <w:abstractNumId w:val="18"/>
  </w:num>
  <w:num w:numId="49" w16cid:durableId="536628929">
    <w:abstractNumId w:val="18"/>
  </w:num>
  <w:num w:numId="50" w16cid:durableId="2127649548">
    <w:abstractNumId w:val="18"/>
  </w:num>
  <w:num w:numId="51" w16cid:durableId="967201646">
    <w:abstractNumId w:val="18"/>
  </w:num>
  <w:num w:numId="52" w16cid:durableId="1486123588">
    <w:abstractNumId w:val="18"/>
  </w:num>
  <w:num w:numId="53" w16cid:durableId="419107034">
    <w:abstractNumId w:val="18"/>
  </w:num>
  <w:num w:numId="54" w16cid:durableId="1718118441">
    <w:abstractNumId w:val="18"/>
  </w:num>
  <w:num w:numId="55" w16cid:durableId="705913791">
    <w:abstractNumId w:val="18"/>
  </w:num>
  <w:num w:numId="56" w16cid:durableId="169881252">
    <w:abstractNumId w:val="18"/>
  </w:num>
  <w:num w:numId="57" w16cid:durableId="862860876">
    <w:abstractNumId w:val="18"/>
  </w:num>
  <w:num w:numId="58" w16cid:durableId="542593975">
    <w:abstractNumId w:val="18"/>
  </w:num>
  <w:num w:numId="59" w16cid:durableId="1417551991">
    <w:abstractNumId w:val="18"/>
  </w:num>
  <w:num w:numId="60" w16cid:durableId="455225276">
    <w:abstractNumId w:val="18"/>
  </w:num>
  <w:num w:numId="61" w16cid:durableId="1497453575">
    <w:abstractNumId w:val="18"/>
  </w:num>
  <w:num w:numId="62" w16cid:durableId="291860785">
    <w:abstractNumId w:val="18"/>
  </w:num>
  <w:num w:numId="63" w16cid:durableId="669452788">
    <w:abstractNumId w:val="18"/>
  </w:num>
  <w:num w:numId="64" w16cid:durableId="2126928022">
    <w:abstractNumId w:val="18"/>
  </w:num>
  <w:num w:numId="65" w16cid:durableId="1973245534">
    <w:abstractNumId w:val="18"/>
  </w:num>
  <w:num w:numId="66" w16cid:durableId="1718117510">
    <w:abstractNumId w:val="18"/>
  </w:num>
  <w:num w:numId="67" w16cid:durableId="1161968977">
    <w:abstractNumId w:val="18"/>
  </w:num>
  <w:num w:numId="68" w16cid:durableId="1549757800">
    <w:abstractNumId w:val="18"/>
  </w:num>
  <w:num w:numId="69" w16cid:durableId="1778519625">
    <w:abstractNumId w:val="18"/>
  </w:num>
  <w:num w:numId="70" w16cid:durableId="1637250937">
    <w:abstractNumId w:val="18"/>
  </w:num>
  <w:num w:numId="71" w16cid:durableId="1032656483">
    <w:abstractNumId w:val="18"/>
  </w:num>
  <w:num w:numId="72" w16cid:durableId="1175000392">
    <w:abstractNumId w:val="18"/>
  </w:num>
  <w:num w:numId="73" w16cid:durableId="1716076286">
    <w:abstractNumId w:val="18"/>
  </w:num>
  <w:num w:numId="74" w16cid:durableId="290282188">
    <w:abstractNumId w:val="18"/>
  </w:num>
  <w:num w:numId="75" w16cid:durableId="135727796">
    <w:abstractNumId w:val="18"/>
  </w:num>
  <w:num w:numId="76" w16cid:durableId="728454218">
    <w:abstractNumId w:val="18"/>
  </w:num>
  <w:num w:numId="77" w16cid:durableId="399787074">
    <w:abstractNumId w:val="18"/>
  </w:num>
  <w:num w:numId="78" w16cid:durableId="300160310">
    <w:abstractNumId w:val="18"/>
  </w:num>
  <w:num w:numId="79" w16cid:durableId="398019150">
    <w:abstractNumId w:val="18"/>
  </w:num>
  <w:num w:numId="80" w16cid:durableId="53088592">
    <w:abstractNumId w:val="18"/>
  </w:num>
  <w:num w:numId="81" w16cid:durableId="1892838921">
    <w:abstractNumId w:val="18"/>
  </w:num>
  <w:num w:numId="82" w16cid:durableId="961769630">
    <w:abstractNumId w:val="18"/>
  </w:num>
  <w:num w:numId="83" w16cid:durableId="1996454168">
    <w:abstractNumId w:val="18"/>
  </w:num>
  <w:num w:numId="84" w16cid:durableId="918250241">
    <w:abstractNumId w:val="18"/>
  </w:num>
  <w:num w:numId="85" w16cid:durableId="2050764724">
    <w:abstractNumId w:val="18"/>
  </w:num>
  <w:num w:numId="86" w16cid:durableId="872840982">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4D69"/>
    <w:rsid w:val="00004F7F"/>
    <w:rsid w:val="000054C9"/>
    <w:rsid w:val="00011568"/>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B7"/>
    <w:rsid w:val="00052DD3"/>
    <w:rsid w:val="0005326D"/>
    <w:rsid w:val="00053F6C"/>
    <w:rsid w:val="0006339C"/>
    <w:rsid w:val="00064783"/>
    <w:rsid w:val="000647C2"/>
    <w:rsid w:val="0007021F"/>
    <w:rsid w:val="000709A0"/>
    <w:rsid w:val="00074199"/>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0BD3"/>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9362A"/>
    <w:rsid w:val="0019474E"/>
    <w:rsid w:val="00195728"/>
    <w:rsid w:val="001970C0"/>
    <w:rsid w:val="001A1CB7"/>
    <w:rsid w:val="001A420B"/>
    <w:rsid w:val="001A4B97"/>
    <w:rsid w:val="001A4F7D"/>
    <w:rsid w:val="001A7B42"/>
    <w:rsid w:val="001A7D8F"/>
    <w:rsid w:val="001B2A97"/>
    <w:rsid w:val="001B2CD4"/>
    <w:rsid w:val="001B7329"/>
    <w:rsid w:val="001C174A"/>
    <w:rsid w:val="001C1D05"/>
    <w:rsid w:val="001C2A48"/>
    <w:rsid w:val="001C69E3"/>
    <w:rsid w:val="001C6DFD"/>
    <w:rsid w:val="001D32C0"/>
    <w:rsid w:val="001D3A64"/>
    <w:rsid w:val="001D5793"/>
    <w:rsid w:val="001D74A7"/>
    <w:rsid w:val="001E15F2"/>
    <w:rsid w:val="001E22F7"/>
    <w:rsid w:val="001E465F"/>
    <w:rsid w:val="001F2902"/>
    <w:rsid w:val="001F3F36"/>
    <w:rsid w:val="001F658C"/>
    <w:rsid w:val="001F675C"/>
    <w:rsid w:val="001F6F44"/>
    <w:rsid w:val="001F7563"/>
    <w:rsid w:val="00207F59"/>
    <w:rsid w:val="00211DC3"/>
    <w:rsid w:val="002155B6"/>
    <w:rsid w:val="002157E4"/>
    <w:rsid w:val="00215AFB"/>
    <w:rsid w:val="00215DEA"/>
    <w:rsid w:val="002200D8"/>
    <w:rsid w:val="00223664"/>
    <w:rsid w:val="00223A56"/>
    <w:rsid w:val="00225833"/>
    <w:rsid w:val="00226095"/>
    <w:rsid w:val="00227B89"/>
    <w:rsid w:val="00227F43"/>
    <w:rsid w:val="00234640"/>
    <w:rsid w:val="00240106"/>
    <w:rsid w:val="002411C7"/>
    <w:rsid w:val="00242F4E"/>
    <w:rsid w:val="002452A0"/>
    <w:rsid w:val="002463A6"/>
    <w:rsid w:val="00246ADB"/>
    <w:rsid w:val="002517A5"/>
    <w:rsid w:val="00251F6C"/>
    <w:rsid w:val="0025249C"/>
    <w:rsid w:val="002539ED"/>
    <w:rsid w:val="0025440D"/>
    <w:rsid w:val="0025450E"/>
    <w:rsid w:val="00255152"/>
    <w:rsid w:val="0025554E"/>
    <w:rsid w:val="002638F4"/>
    <w:rsid w:val="0027160C"/>
    <w:rsid w:val="002751D1"/>
    <w:rsid w:val="00275209"/>
    <w:rsid w:val="00284340"/>
    <w:rsid w:val="00287E78"/>
    <w:rsid w:val="00290676"/>
    <w:rsid w:val="00291462"/>
    <w:rsid w:val="00291572"/>
    <w:rsid w:val="002A04B4"/>
    <w:rsid w:val="002A145B"/>
    <w:rsid w:val="002A18BE"/>
    <w:rsid w:val="002A36F6"/>
    <w:rsid w:val="002A4084"/>
    <w:rsid w:val="002A4AD6"/>
    <w:rsid w:val="002A7196"/>
    <w:rsid w:val="002A76AE"/>
    <w:rsid w:val="002B1384"/>
    <w:rsid w:val="002B3681"/>
    <w:rsid w:val="002B667C"/>
    <w:rsid w:val="002C11CA"/>
    <w:rsid w:val="002C45E8"/>
    <w:rsid w:val="002C70CE"/>
    <w:rsid w:val="002D5097"/>
    <w:rsid w:val="002D55E4"/>
    <w:rsid w:val="002D690D"/>
    <w:rsid w:val="002E63BE"/>
    <w:rsid w:val="002E7775"/>
    <w:rsid w:val="002E7AD2"/>
    <w:rsid w:val="002F1399"/>
    <w:rsid w:val="002F32FB"/>
    <w:rsid w:val="002F5611"/>
    <w:rsid w:val="002F5F5E"/>
    <w:rsid w:val="002F5F85"/>
    <w:rsid w:val="002F693F"/>
    <w:rsid w:val="003008CC"/>
    <w:rsid w:val="00301763"/>
    <w:rsid w:val="00302252"/>
    <w:rsid w:val="00303C60"/>
    <w:rsid w:val="00304FB8"/>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4EB4"/>
    <w:rsid w:val="00356D29"/>
    <w:rsid w:val="003571C2"/>
    <w:rsid w:val="003640A7"/>
    <w:rsid w:val="00365447"/>
    <w:rsid w:val="0036794E"/>
    <w:rsid w:val="0038146C"/>
    <w:rsid w:val="00382609"/>
    <w:rsid w:val="00386124"/>
    <w:rsid w:val="003864D5"/>
    <w:rsid w:val="00390567"/>
    <w:rsid w:val="003966F6"/>
    <w:rsid w:val="0039677D"/>
    <w:rsid w:val="003A0660"/>
    <w:rsid w:val="003A0D52"/>
    <w:rsid w:val="003A2ED1"/>
    <w:rsid w:val="003A4C47"/>
    <w:rsid w:val="003A6724"/>
    <w:rsid w:val="003A6E1A"/>
    <w:rsid w:val="003B0BA1"/>
    <w:rsid w:val="003B4599"/>
    <w:rsid w:val="003B61B7"/>
    <w:rsid w:val="003C1AE2"/>
    <w:rsid w:val="003C4F8F"/>
    <w:rsid w:val="003C6B59"/>
    <w:rsid w:val="003D299E"/>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D76"/>
    <w:rsid w:val="00421EBC"/>
    <w:rsid w:val="0042304B"/>
    <w:rsid w:val="00424084"/>
    <w:rsid w:val="004273AD"/>
    <w:rsid w:val="004305AE"/>
    <w:rsid w:val="00431800"/>
    <w:rsid w:val="00433541"/>
    <w:rsid w:val="00436514"/>
    <w:rsid w:val="004423F7"/>
    <w:rsid w:val="00442A49"/>
    <w:rsid w:val="0044690B"/>
    <w:rsid w:val="00446BBE"/>
    <w:rsid w:val="0044782C"/>
    <w:rsid w:val="0045093D"/>
    <w:rsid w:val="00451645"/>
    <w:rsid w:val="00454F8E"/>
    <w:rsid w:val="00462778"/>
    <w:rsid w:val="00464F6C"/>
    <w:rsid w:val="00471D0D"/>
    <w:rsid w:val="00474E01"/>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C0E97"/>
    <w:rsid w:val="004C48C8"/>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7B1"/>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2638"/>
    <w:rsid w:val="00593138"/>
    <w:rsid w:val="00593A33"/>
    <w:rsid w:val="005947B5"/>
    <w:rsid w:val="005960BB"/>
    <w:rsid w:val="00597407"/>
    <w:rsid w:val="005A0496"/>
    <w:rsid w:val="005A4047"/>
    <w:rsid w:val="005A4384"/>
    <w:rsid w:val="005A7012"/>
    <w:rsid w:val="005A7A5E"/>
    <w:rsid w:val="005B1C07"/>
    <w:rsid w:val="005B3432"/>
    <w:rsid w:val="005B3BD6"/>
    <w:rsid w:val="005B7D6C"/>
    <w:rsid w:val="005C7215"/>
    <w:rsid w:val="005C73C4"/>
    <w:rsid w:val="005D00EA"/>
    <w:rsid w:val="005D023B"/>
    <w:rsid w:val="005D02C4"/>
    <w:rsid w:val="005D2304"/>
    <w:rsid w:val="005D3A04"/>
    <w:rsid w:val="005D48FE"/>
    <w:rsid w:val="005D7471"/>
    <w:rsid w:val="005D749D"/>
    <w:rsid w:val="005E2702"/>
    <w:rsid w:val="005E5874"/>
    <w:rsid w:val="005E75D5"/>
    <w:rsid w:val="005F1555"/>
    <w:rsid w:val="005F2978"/>
    <w:rsid w:val="005F4721"/>
    <w:rsid w:val="005F720A"/>
    <w:rsid w:val="006016CB"/>
    <w:rsid w:val="00602F43"/>
    <w:rsid w:val="00603B08"/>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38AA"/>
    <w:rsid w:val="0069474B"/>
    <w:rsid w:val="0069475D"/>
    <w:rsid w:val="00697966"/>
    <w:rsid w:val="006A3A2B"/>
    <w:rsid w:val="006A6BF1"/>
    <w:rsid w:val="006B3032"/>
    <w:rsid w:val="006B4B4A"/>
    <w:rsid w:val="006B75C6"/>
    <w:rsid w:val="006C354C"/>
    <w:rsid w:val="006C3B76"/>
    <w:rsid w:val="006C4572"/>
    <w:rsid w:val="006C7B03"/>
    <w:rsid w:val="006D0EC2"/>
    <w:rsid w:val="006D4C72"/>
    <w:rsid w:val="006D4E4C"/>
    <w:rsid w:val="006D5585"/>
    <w:rsid w:val="006D5F76"/>
    <w:rsid w:val="006D6D96"/>
    <w:rsid w:val="006D7211"/>
    <w:rsid w:val="006D75C8"/>
    <w:rsid w:val="006F0D46"/>
    <w:rsid w:val="006F23DD"/>
    <w:rsid w:val="006F5158"/>
    <w:rsid w:val="00700950"/>
    <w:rsid w:val="00701136"/>
    <w:rsid w:val="0070319A"/>
    <w:rsid w:val="00703CB4"/>
    <w:rsid w:val="00707C18"/>
    <w:rsid w:val="007103A9"/>
    <w:rsid w:val="00716AD2"/>
    <w:rsid w:val="007203CA"/>
    <w:rsid w:val="007226F5"/>
    <w:rsid w:val="00723B2C"/>
    <w:rsid w:val="00724ED0"/>
    <w:rsid w:val="00724F92"/>
    <w:rsid w:val="007253D6"/>
    <w:rsid w:val="0072578A"/>
    <w:rsid w:val="0072597A"/>
    <w:rsid w:val="0073792C"/>
    <w:rsid w:val="0074257A"/>
    <w:rsid w:val="00747434"/>
    <w:rsid w:val="0074788B"/>
    <w:rsid w:val="0075137C"/>
    <w:rsid w:val="0075418A"/>
    <w:rsid w:val="0076260D"/>
    <w:rsid w:val="00763B77"/>
    <w:rsid w:val="0076702C"/>
    <w:rsid w:val="00767F6C"/>
    <w:rsid w:val="00772829"/>
    <w:rsid w:val="00777848"/>
    <w:rsid w:val="00777893"/>
    <w:rsid w:val="00784341"/>
    <w:rsid w:val="007852E9"/>
    <w:rsid w:val="00790B15"/>
    <w:rsid w:val="00790F49"/>
    <w:rsid w:val="007931CB"/>
    <w:rsid w:val="007951D4"/>
    <w:rsid w:val="00797C46"/>
    <w:rsid w:val="007A19F6"/>
    <w:rsid w:val="007A2B65"/>
    <w:rsid w:val="007A5617"/>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C7B"/>
    <w:rsid w:val="008040A2"/>
    <w:rsid w:val="00804632"/>
    <w:rsid w:val="008054D9"/>
    <w:rsid w:val="00806688"/>
    <w:rsid w:val="00807A3E"/>
    <w:rsid w:val="00810338"/>
    <w:rsid w:val="00812282"/>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6074"/>
    <w:rsid w:val="00857949"/>
    <w:rsid w:val="008719C2"/>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6821"/>
    <w:rsid w:val="00906E65"/>
    <w:rsid w:val="009144D5"/>
    <w:rsid w:val="00915F98"/>
    <w:rsid w:val="00915FA3"/>
    <w:rsid w:val="009217F8"/>
    <w:rsid w:val="0092470E"/>
    <w:rsid w:val="00925187"/>
    <w:rsid w:val="0092709C"/>
    <w:rsid w:val="0092717F"/>
    <w:rsid w:val="00927744"/>
    <w:rsid w:val="00927B05"/>
    <w:rsid w:val="00930F4E"/>
    <w:rsid w:val="00936062"/>
    <w:rsid w:val="00937CBE"/>
    <w:rsid w:val="00944087"/>
    <w:rsid w:val="00944E74"/>
    <w:rsid w:val="0095012E"/>
    <w:rsid w:val="00951934"/>
    <w:rsid w:val="0095207B"/>
    <w:rsid w:val="00954C8C"/>
    <w:rsid w:val="00956ACE"/>
    <w:rsid w:val="009572A0"/>
    <w:rsid w:val="00957D24"/>
    <w:rsid w:val="00960DCF"/>
    <w:rsid w:val="00961B53"/>
    <w:rsid w:val="00963264"/>
    <w:rsid w:val="0096389D"/>
    <w:rsid w:val="009676C0"/>
    <w:rsid w:val="009803A9"/>
    <w:rsid w:val="009803CB"/>
    <w:rsid w:val="009803D4"/>
    <w:rsid w:val="009807A2"/>
    <w:rsid w:val="0098199C"/>
    <w:rsid w:val="009873F3"/>
    <w:rsid w:val="00987DE0"/>
    <w:rsid w:val="0099088A"/>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D1D"/>
    <w:rsid w:val="00A05EA2"/>
    <w:rsid w:val="00A076CC"/>
    <w:rsid w:val="00A1165C"/>
    <w:rsid w:val="00A125D6"/>
    <w:rsid w:val="00A14E53"/>
    <w:rsid w:val="00A15580"/>
    <w:rsid w:val="00A16449"/>
    <w:rsid w:val="00A22EFC"/>
    <w:rsid w:val="00A26389"/>
    <w:rsid w:val="00A303B8"/>
    <w:rsid w:val="00A34735"/>
    <w:rsid w:val="00A361C3"/>
    <w:rsid w:val="00A411FA"/>
    <w:rsid w:val="00A43755"/>
    <w:rsid w:val="00A44EC1"/>
    <w:rsid w:val="00A454B3"/>
    <w:rsid w:val="00A45E52"/>
    <w:rsid w:val="00A46652"/>
    <w:rsid w:val="00A46D15"/>
    <w:rsid w:val="00A4713D"/>
    <w:rsid w:val="00A5323B"/>
    <w:rsid w:val="00A54FB4"/>
    <w:rsid w:val="00A56DE0"/>
    <w:rsid w:val="00A63C18"/>
    <w:rsid w:val="00A662DC"/>
    <w:rsid w:val="00A6741B"/>
    <w:rsid w:val="00A74226"/>
    <w:rsid w:val="00A757B0"/>
    <w:rsid w:val="00A776A4"/>
    <w:rsid w:val="00A8049D"/>
    <w:rsid w:val="00A822C2"/>
    <w:rsid w:val="00A82990"/>
    <w:rsid w:val="00A90401"/>
    <w:rsid w:val="00A921E3"/>
    <w:rsid w:val="00A94D20"/>
    <w:rsid w:val="00A9752B"/>
    <w:rsid w:val="00AA2461"/>
    <w:rsid w:val="00AA2574"/>
    <w:rsid w:val="00AA2865"/>
    <w:rsid w:val="00AA3A9B"/>
    <w:rsid w:val="00AA3BF1"/>
    <w:rsid w:val="00AA5410"/>
    <w:rsid w:val="00AB21C6"/>
    <w:rsid w:val="00AB2841"/>
    <w:rsid w:val="00AC6F7D"/>
    <w:rsid w:val="00AC720A"/>
    <w:rsid w:val="00AD60EA"/>
    <w:rsid w:val="00AD67D4"/>
    <w:rsid w:val="00AE4331"/>
    <w:rsid w:val="00AE614D"/>
    <w:rsid w:val="00AE7849"/>
    <w:rsid w:val="00AE7977"/>
    <w:rsid w:val="00AF1F10"/>
    <w:rsid w:val="00AF3D39"/>
    <w:rsid w:val="00AF497B"/>
    <w:rsid w:val="00AF6A4C"/>
    <w:rsid w:val="00B02183"/>
    <w:rsid w:val="00B047C2"/>
    <w:rsid w:val="00B04CB1"/>
    <w:rsid w:val="00B05635"/>
    <w:rsid w:val="00B07620"/>
    <w:rsid w:val="00B1314F"/>
    <w:rsid w:val="00B151CF"/>
    <w:rsid w:val="00B20445"/>
    <w:rsid w:val="00B247AD"/>
    <w:rsid w:val="00B25D05"/>
    <w:rsid w:val="00B26622"/>
    <w:rsid w:val="00B26669"/>
    <w:rsid w:val="00B276B4"/>
    <w:rsid w:val="00B27795"/>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5F"/>
    <w:rsid w:val="00B878CD"/>
    <w:rsid w:val="00B91CB1"/>
    <w:rsid w:val="00B9249B"/>
    <w:rsid w:val="00B9536C"/>
    <w:rsid w:val="00BA1FFB"/>
    <w:rsid w:val="00BA2B3F"/>
    <w:rsid w:val="00BA4E45"/>
    <w:rsid w:val="00BA59FB"/>
    <w:rsid w:val="00BB14A3"/>
    <w:rsid w:val="00BC15DE"/>
    <w:rsid w:val="00BC17C8"/>
    <w:rsid w:val="00BC369C"/>
    <w:rsid w:val="00BC4972"/>
    <w:rsid w:val="00BC6897"/>
    <w:rsid w:val="00BD1B8D"/>
    <w:rsid w:val="00BD33D4"/>
    <w:rsid w:val="00BD40B1"/>
    <w:rsid w:val="00BE47BF"/>
    <w:rsid w:val="00BE5374"/>
    <w:rsid w:val="00BE627A"/>
    <w:rsid w:val="00BE6CE8"/>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32E0"/>
    <w:rsid w:val="00C24B5E"/>
    <w:rsid w:val="00C2534F"/>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0DE1"/>
    <w:rsid w:val="00C61464"/>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BD5"/>
    <w:rsid w:val="00CB5C55"/>
    <w:rsid w:val="00CC1D1A"/>
    <w:rsid w:val="00CC5956"/>
    <w:rsid w:val="00CC6260"/>
    <w:rsid w:val="00CD06DD"/>
    <w:rsid w:val="00CD1404"/>
    <w:rsid w:val="00CE28E3"/>
    <w:rsid w:val="00CF1A2D"/>
    <w:rsid w:val="00CF2913"/>
    <w:rsid w:val="00CF439F"/>
    <w:rsid w:val="00CF7120"/>
    <w:rsid w:val="00CF724C"/>
    <w:rsid w:val="00D001B4"/>
    <w:rsid w:val="00D003B7"/>
    <w:rsid w:val="00D00E36"/>
    <w:rsid w:val="00D02F4F"/>
    <w:rsid w:val="00D04CB3"/>
    <w:rsid w:val="00D104DE"/>
    <w:rsid w:val="00D14E59"/>
    <w:rsid w:val="00D20031"/>
    <w:rsid w:val="00D26D01"/>
    <w:rsid w:val="00D313B3"/>
    <w:rsid w:val="00D3292B"/>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4906"/>
    <w:rsid w:val="00D652D9"/>
    <w:rsid w:val="00D70DDA"/>
    <w:rsid w:val="00D73AD9"/>
    <w:rsid w:val="00D77B20"/>
    <w:rsid w:val="00D80C29"/>
    <w:rsid w:val="00D8316D"/>
    <w:rsid w:val="00D83B51"/>
    <w:rsid w:val="00D84ECA"/>
    <w:rsid w:val="00D8525E"/>
    <w:rsid w:val="00D9041B"/>
    <w:rsid w:val="00D90DBB"/>
    <w:rsid w:val="00D9141D"/>
    <w:rsid w:val="00D946C9"/>
    <w:rsid w:val="00D94CF3"/>
    <w:rsid w:val="00D967A8"/>
    <w:rsid w:val="00DA058E"/>
    <w:rsid w:val="00DA17E6"/>
    <w:rsid w:val="00DA512C"/>
    <w:rsid w:val="00DA6765"/>
    <w:rsid w:val="00DB003C"/>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360B"/>
    <w:rsid w:val="00E03A96"/>
    <w:rsid w:val="00E05D56"/>
    <w:rsid w:val="00E079B8"/>
    <w:rsid w:val="00E105A9"/>
    <w:rsid w:val="00E15056"/>
    <w:rsid w:val="00E15DB1"/>
    <w:rsid w:val="00E17552"/>
    <w:rsid w:val="00E21B03"/>
    <w:rsid w:val="00E22445"/>
    <w:rsid w:val="00E260A3"/>
    <w:rsid w:val="00E26D15"/>
    <w:rsid w:val="00E27DDB"/>
    <w:rsid w:val="00E31702"/>
    <w:rsid w:val="00E31B75"/>
    <w:rsid w:val="00E3242E"/>
    <w:rsid w:val="00E330C9"/>
    <w:rsid w:val="00E3330E"/>
    <w:rsid w:val="00E3351F"/>
    <w:rsid w:val="00E33992"/>
    <w:rsid w:val="00E40DAE"/>
    <w:rsid w:val="00E40F62"/>
    <w:rsid w:val="00E43249"/>
    <w:rsid w:val="00E436A2"/>
    <w:rsid w:val="00E458D8"/>
    <w:rsid w:val="00E518A7"/>
    <w:rsid w:val="00E529F5"/>
    <w:rsid w:val="00E5356B"/>
    <w:rsid w:val="00E53E00"/>
    <w:rsid w:val="00E54221"/>
    <w:rsid w:val="00E5650A"/>
    <w:rsid w:val="00E574EC"/>
    <w:rsid w:val="00E57F9C"/>
    <w:rsid w:val="00E615F9"/>
    <w:rsid w:val="00E6193C"/>
    <w:rsid w:val="00E62BC2"/>
    <w:rsid w:val="00E63DAA"/>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6A32"/>
    <w:rsid w:val="00EC33A0"/>
    <w:rsid w:val="00EC4836"/>
    <w:rsid w:val="00EC5088"/>
    <w:rsid w:val="00ED5E38"/>
    <w:rsid w:val="00EE4490"/>
    <w:rsid w:val="00EE4EEF"/>
    <w:rsid w:val="00EE6832"/>
    <w:rsid w:val="00EF1755"/>
    <w:rsid w:val="00EF3D58"/>
    <w:rsid w:val="00EF7063"/>
    <w:rsid w:val="00EF7084"/>
    <w:rsid w:val="00F03B39"/>
    <w:rsid w:val="00F04052"/>
    <w:rsid w:val="00F04FED"/>
    <w:rsid w:val="00F06673"/>
    <w:rsid w:val="00F06961"/>
    <w:rsid w:val="00F1066F"/>
    <w:rsid w:val="00F1415F"/>
    <w:rsid w:val="00F14201"/>
    <w:rsid w:val="00F1508C"/>
    <w:rsid w:val="00F1578E"/>
    <w:rsid w:val="00F20763"/>
    <w:rsid w:val="00F227C8"/>
    <w:rsid w:val="00F23CB7"/>
    <w:rsid w:val="00F257B5"/>
    <w:rsid w:val="00F2720E"/>
    <w:rsid w:val="00F2776D"/>
    <w:rsid w:val="00F346E6"/>
    <w:rsid w:val="00F40864"/>
    <w:rsid w:val="00F44895"/>
    <w:rsid w:val="00F50585"/>
    <w:rsid w:val="00F516E3"/>
    <w:rsid w:val="00F54832"/>
    <w:rsid w:val="00F57885"/>
    <w:rsid w:val="00F66144"/>
    <w:rsid w:val="00F6713F"/>
    <w:rsid w:val="00F74B51"/>
    <w:rsid w:val="00F81362"/>
    <w:rsid w:val="00F854EE"/>
    <w:rsid w:val="00F91353"/>
    <w:rsid w:val="00F9684A"/>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6052</Words>
  <Characters>34925</Characters>
  <DocSecurity>0</DocSecurity>
  <Lines>1126</Lines>
  <Paragraphs>745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Applicant-developed assessment report (ADAR) commentary template</dc:title>
  <dc:subject/>
  <dc:creator/>
  <cp:keywords/>
  <dc:description/>
  <cp:lastModifiedBy/>
  <dcterms:created xsi:type="dcterms:W3CDTF">2024-07-31T00:53:00Z</dcterms:created>
  <dcterms:modified xsi:type="dcterms:W3CDTF">2024-10-01T00:51:00Z</dcterms:modified>
  <cp:category/>
</cp:coreProperties>
</file>