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Default="009862A5" w:rsidP="009862A5">
      <w:pPr>
        <w:pStyle w:val="Title"/>
        <w:rPr>
          <w:rFonts w:asciiTheme="minorHAnsi" w:hAnsiTheme="minorHAnsi"/>
          <w:b w:val="0"/>
          <w:sz w:val="40"/>
          <w:szCs w:val="40"/>
        </w:rPr>
      </w:pPr>
      <w:r w:rsidRPr="009862A5">
        <w:rPr>
          <w:rFonts w:asciiTheme="minorHAnsi" w:hAnsiTheme="minorHAnsi"/>
          <w:b w:val="0"/>
          <w:sz w:val="40"/>
          <w:szCs w:val="40"/>
        </w:rPr>
        <w:t>Medical Services Advisory Committee (MSAC) Application 1182: The use of intensity modulated radiation therapy (IMRT)</w:t>
      </w:r>
    </w:p>
    <w:p w:rsidR="009862A5" w:rsidRDefault="009862A5" w:rsidP="009862A5">
      <w:pPr>
        <w:pStyle w:val="Heading1"/>
        <w:rPr>
          <w:lang w:eastAsia="en-AU"/>
        </w:rPr>
      </w:pPr>
      <w:r>
        <w:rPr>
          <w:lang w:eastAsia="en-AU"/>
        </w:rPr>
        <w:t>What is IMRT?</w:t>
      </w:r>
    </w:p>
    <w:p w:rsidR="009862A5" w:rsidRDefault="009862A5" w:rsidP="009862A5">
      <w:pPr>
        <w:rPr>
          <w:rFonts w:ascii="Calibri" w:hAnsi="Calibri" w:cs="Calibri"/>
          <w:color w:val="000000"/>
          <w:sz w:val="26"/>
          <w:szCs w:val="26"/>
          <w:lang w:eastAsia="en-AU"/>
        </w:rPr>
      </w:pPr>
      <w:r>
        <w:rPr>
          <w:rFonts w:ascii="Calibri" w:hAnsi="Calibri" w:cs="Calibri"/>
          <w:color w:val="000000"/>
          <w:sz w:val="26"/>
          <w:szCs w:val="26"/>
          <w:lang w:eastAsia="en-AU"/>
        </w:rPr>
        <w:t xml:space="preserve">IMRT uses radiation to treat </w:t>
      </w:r>
      <w:r w:rsidR="00BC757E">
        <w:rPr>
          <w:rFonts w:ascii="Calibri" w:hAnsi="Calibri" w:cs="Calibri"/>
          <w:color w:val="000000"/>
          <w:sz w:val="26"/>
          <w:szCs w:val="26"/>
          <w:lang w:eastAsia="en-AU"/>
        </w:rPr>
        <w:t xml:space="preserve">a variety of </w:t>
      </w:r>
      <w:r>
        <w:rPr>
          <w:rFonts w:ascii="Calibri" w:hAnsi="Calibri" w:cs="Calibri"/>
          <w:color w:val="000000"/>
          <w:sz w:val="26"/>
          <w:szCs w:val="26"/>
          <w:lang w:eastAsia="en-AU"/>
        </w:rPr>
        <w:t xml:space="preserve">cancers such as head and neck, genitourinary and anal cancers. The radiation </w:t>
      </w:r>
      <w:r w:rsidR="00BC757E">
        <w:rPr>
          <w:rFonts w:ascii="Calibri" w:hAnsi="Calibri" w:cs="Calibri"/>
          <w:color w:val="000000"/>
          <w:sz w:val="26"/>
          <w:szCs w:val="26"/>
          <w:lang w:eastAsia="en-AU"/>
        </w:rPr>
        <w:t xml:space="preserve">beam </w:t>
      </w:r>
      <w:r>
        <w:rPr>
          <w:rFonts w:ascii="Calibri" w:hAnsi="Calibri" w:cs="Calibri"/>
          <w:color w:val="000000"/>
          <w:sz w:val="26"/>
          <w:szCs w:val="26"/>
          <w:lang w:eastAsia="en-AU"/>
        </w:rPr>
        <w:t>can be altered so that the cancer is more precisely targeted and other surrounding organs and tissues that do not r</w:t>
      </w:r>
      <w:r w:rsidR="00BC757E">
        <w:rPr>
          <w:rFonts w:ascii="Calibri" w:hAnsi="Calibri" w:cs="Calibri"/>
          <w:color w:val="000000"/>
          <w:sz w:val="26"/>
          <w:szCs w:val="26"/>
          <w:lang w:eastAsia="en-AU"/>
        </w:rPr>
        <w:t>equire treatment are largely</w:t>
      </w:r>
      <w:r>
        <w:rPr>
          <w:rFonts w:ascii="Calibri" w:hAnsi="Calibri" w:cs="Calibri"/>
          <w:color w:val="000000"/>
          <w:sz w:val="26"/>
          <w:szCs w:val="26"/>
          <w:lang w:eastAsia="en-AU"/>
        </w:rPr>
        <w:t xml:space="preserve"> avoided. This often allows higher doses of radiation to be delivered to the cancer whilst reducing the potential side effects that can come from unnecessarily treating other nearby </w:t>
      </w:r>
      <w:r w:rsidR="00BC757E">
        <w:rPr>
          <w:rFonts w:ascii="Calibri" w:hAnsi="Calibri" w:cs="Calibri"/>
          <w:color w:val="000000"/>
          <w:sz w:val="26"/>
          <w:szCs w:val="26"/>
          <w:lang w:eastAsia="en-AU"/>
        </w:rPr>
        <w:t xml:space="preserve">normal </w:t>
      </w:r>
      <w:r>
        <w:rPr>
          <w:rFonts w:ascii="Calibri" w:hAnsi="Calibri" w:cs="Calibri"/>
          <w:color w:val="000000"/>
          <w:sz w:val="26"/>
          <w:szCs w:val="26"/>
          <w:lang w:eastAsia="en-AU"/>
        </w:rPr>
        <w:t xml:space="preserve">areas of the body. This </w:t>
      </w:r>
      <w:r w:rsidR="00BC757E">
        <w:rPr>
          <w:rFonts w:ascii="Calibri" w:hAnsi="Calibri" w:cs="Calibri"/>
          <w:color w:val="000000"/>
          <w:sz w:val="26"/>
          <w:szCs w:val="26"/>
          <w:lang w:eastAsia="en-AU"/>
        </w:rPr>
        <w:t xml:space="preserve">may </w:t>
      </w:r>
      <w:r>
        <w:rPr>
          <w:rFonts w:ascii="Calibri" w:hAnsi="Calibri" w:cs="Calibri"/>
          <w:color w:val="000000"/>
          <w:sz w:val="26"/>
          <w:szCs w:val="26"/>
          <w:lang w:eastAsia="en-AU"/>
        </w:rPr>
        <w:t xml:space="preserve">lead to a higher chance of cure of some cancers and significantly reduces the risk of damage </w:t>
      </w:r>
      <w:r w:rsidR="00BC757E">
        <w:rPr>
          <w:rFonts w:ascii="Calibri" w:hAnsi="Calibri" w:cs="Calibri"/>
          <w:color w:val="000000"/>
          <w:sz w:val="26"/>
          <w:szCs w:val="26"/>
          <w:lang w:eastAsia="en-AU"/>
        </w:rPr>
        <w:t xml:space="preserve">to normal tissue </w:t>
      </w:r>
      <w:r>
        <w:rPr>
          <w:rFonts w:ascii="Calibri" w:hAnsi="Calibri" w:cs="Calibri"/>
          <w:color w:val="000000"/>
          <w:sz w:val="26"/>
          <w:szCs w:val="26"/>
          <w:lang w:eastAsia="en-AU"/>
        </w:rPr>
        <w:t>from radiation.</w:t>
      </w:r>
      <w:r w:rsidR="00566815">
        <w:rPr>
          <w:rFonts w:ascii="Calibri" w:hAnsi="Calibri" w:cs="Calibri"/>
          <w:color w:val="000000"/>
          <w:sz w:val="26"/>
          <w:szCs w:val="26"/>
          <w:lang w:eastAsia="en-AU"/>
        </w:rPr>
        <w:t xml:space="preserve"> </w:t>
      </w:r>
    </w:p>
    <w:p w:rsidR="009862A5" w:rsidRDefault="009862A5" w:rsidP="009862A5">
      <w:pPr>
        <w:rPr>
          <w:rFonts w:ascii="Calibri" w:hAnsi="Calibri" w:cs="Calibri"/>
          <w:color w:val="000000"/>
          <w:sz w:val="26"/>
          <w:szCs w:val="26"/>
          <w:lang w:eastAsia="en-AU"/>
        </w:rPr>
      </w:pPr>
    </w:p>
    <w:p w:rsidR="009862A5" w:rsidRDefault="009862A5" w:rsidP="009862A5">
      <w:pPr>
        <w:pStyle w:val="Heading1"/>
        <w:rPr>
          <w:lang w:eastAsia="en-AU"/>
        </w:rPr>
      </w:pPr>
      <w:r>
        <w:rPr>
          <w:lang w:eastAsia="en-AU"/>
        </w:rPr>
        <w:t>Why was the application for MBS funding supported?</w:t>
      </w:r>
    </w:p>
    <w:p w:rsidR="009862A5" w:rsidRDefault="009862A5" w:rsidP="009862A5">
      <w:pPr>
        <w:autoSpaceDE w:val="0"/>
        <w:autoSpaceDN w:val="0"/>
        <w:adjustRightInd w:val="0"/>
        <w:spacing w:line="288" w:lineRule="auto"/>
        <w:rPr>
          <w:rFonts w:ascii="Calibri" w:hAnsi="Calibri" w:cs="Calibri"/>
          <w:color w:val="000000"/>
          <w:sz w:val="26"/>
          <w:szCs w:val="26"/>
          <w:lang w:val="en-US" w:eastAsia="en-AU"/>
        </w:rPr>
      </w:pPr>
      <w:r>
        <w:rPr>
          <w:rFonts w:ascii="Calibri" w:hAnsi="Calibri" w:cs="Calibri"/>
          <w:color w:val="000000"/>
          <w:sz w:val="26"/>
          <w:szCs w:val="26"/>
          <w:lang w:eastAsia="en-AU"/>
        </w:rPr>
        <w:t>MSAC considered a range of clinical and economic reasons to support listing the therapy on the Medicare Benefits Schedule (MBS). The committee recommended that the therapy be listed because the therapy provides good treatment outcomes in some patients, such as those with small tumours near important organs when compared to standard radiation treatment.</w:t>
      </w:r>
      <w:r w:rsidR="00566815">
        <w:rPr>
          <w:rFonts w:ascii="Calibri" w:hAnsi="Calibri" w:cs="Calibri"/>
          <w:color w:val="000000"/>
          <w:sz w:val="26"/>
          <w:szCs w:val="26"/>
          <w:lang w:eastAsia="en-AU"/>
        </w:rPr>
        <w:t xml:space="preserve"> </w:t>
      </w:r>
    </w:p>
    <w:p w:rsidR="009862A5" w:rsidRDefault="009862A5" w:rsidP="009862A5"/>
    <w:p w:rsidR="009862A5" w:rsidRDefault="009862A5" w:rsidP="009862A5">
      <w:pPr>
        <w:pStyle w:val="Heading1"/>
        <w:rPr>
          <w:lang w:eastAsia="en-AU"/>
        </w:rPr>
      </w:pPr>
      <w:r>
        <w:rPr>
          <w:lang w:eastAsia="en-AU"/>
        </w:rPr>
        <w:t>What alternatives are available?</w:t>
      </w:r>
    </w:p>
    <w:p w:rsidR="009862A5" w:rsidRDefault="009862A5" w:rsidP="009862A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This therapy is an alternative to radiation therapy 3D-CRT, which is similar </w:t>
      </w:r>
      <w:r w:rsidR="00BC757E">
        <w:rPr>
          <w:rFonts w:ascii="Calibri" w:hAnsi="Calibri" w:cs="Calibri"/>
          <w:color w:val="000000"/>
          <w:sz w:val="26"/>
          <w:szCs w:val="26"/>
          <w:lang w:eastAsia="en-AU"/>
        </w:rPr>
        <w:t>in</w:t>
      </w:r>
      <w:r>
        <w:rPr>
          <w:rFonts w:ascii="Calibri" w:hAnsi="Calibri" w:cs="Calibri"/>
          <w:color w:val="000000"/>
          <w:sz w:val="26"/>
          <w:szCs w:val="26"/>
          <w:lang w:eastAsia="en-AU"/>
        </w:rPr>
        <w:t xml:space="preserve"> the radiation intensity and distribution, but </w:t>
      </w:r>
      <w:r w:rsidR="00BC757E">
        <w:rPr>
          <w:rFonts w:ascii="Calibri" w:hAnsi="Calibri" w:cs="Calibri"/>
          <w:color w:val="000000"/>
          <w:sz w:val="26"/>
          <w:szCs w:val="26"/>
          <w:lang w:eastAsia="en-AU"/>
        </w:rPr>
        <w:t>is</w:t>
      </w:r>
      <w:r>
        <w:rPr>
          <w:rFonts w:ascii="Calibri" w:hAnsi="Calibri" w:cs="Calibri"/>
          <w:color w:val="000000"/>
          <w:sz w:val="26"/>
          <w:szCs w:val="26"/>
          <w:lang w:eastAsia="en-AU"/>
        </w:rPr>
        <w:t xml:space="preserve"> less precise than IMRT.</w:t>
      </w:r>
    </w:p>
    <w:p w:rsidR="009862A5" w:rsidRDefault="009862A5" w:rsidP="009862A5"/>
    <w:p w:rsidR="009862A5" w:rsidRDefault="009862A5" w:rsidP="009862A5">
      <w:pPr>
        <w:pStyle w:val="Heading1"/>
        <w:rPr>
          <w:lang w:eastAsia="en-AU"/>
        </w:rPr>
      </w:pPr>
      <w:r>
        <w:rPr>
          <w:lang w:eastAsia="en-AU"/>
        </w:rPr>
        <w:t>What happens next?</w:t>
      </w:r>
    </w:p>
    <w:p w:rsidR="009862A5" w:rsidRDefault="009862A5" w:rsidP="009862A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therapy is now funded by Medicare and listed as items 15555, 15565, 15275 and 15715 on the MBS (www.mbsonline.gov.au).</w:t>
      </w:r>
    </w:p>
    <w:p w:rsidR="009862A5" w:rsidRDefault="009862A5" w:rsidP="009862A5">
      <w:pPr>
        <w:autoSpaceDE w:val="0"/>
        <w:autoSpaceDN w:val="0"/>
        <w:adjustRightInd w:val="0"/>
        <w:spacing w:before="120" w:after="120" w:line="264" w:lineRule="auto"/>
        <w:rPr>
          <w:rFonts w:ascii="Calibri" w:hAnsi="Calibri" w:cs="Calibri"/>
          <w:b/>
          <w:bCs/>
          <w:color w:val="294E6F"/>
          <w:sz w:val="32"/>
          <w:szCs w:val="32"/>
          <w:lang w:eastAsia="en-AU"/>
        </w:rPr>
      </w:pPr>
    </w:p>
    <w:p w:rsidR="009862A5" w:rsidRDefault="009862A5" w:rsidP="009862A5">
      <w:pPr>
        <w:autoSpaceDE w:val="0"/>
        <w:autoSpaceDN w:val="0"/>
        <w:adjustRightInd w:val="0"/>
        <w:spacing w:before="120" w:after="120" w:line="264" w:lineRule="auto"/>
        <w:rPr>
          <w:rFonts w:ascii="Calibri" w:hAnsi="Calibri" w:cs="Calibri"/>
          <w:b/>
          <w:bCs/>
          <w:color w:val="294E6F"/>
          <w:sz w:val="32"/>
          <w:szCs w:val="32"/>
          <w:lang w:eastAsia="en-AU"/>
        </w:rPr>
      </w:pPr>
    </w:p>
    <w:p w:rsidR="009862A5" w:rsidRDefault="009862A5" w:rsidP="009862A5">
      <w:pPr>
        <w:pStyle w:val="Heading1"/>
        <w:rPr>
          <w:lang w:eastAsia="en-AU"/>
        </w:rPr>
      </w:pPr>
      <w:r>
        <w:rPr>
          <w:lang w:eastAsia="en-AU"/>
        </w:rPr>
        <w:lastRenderedPageBreak/>
        <w:t>What out-of-pockets expenses are involved?</w:t>
      </w:r>
      <w:bookmarkStart w:id="0" w:name="_GoBack"/>
      <w:bookmarkEnd w:id="0"/>
    </w:p>
    <w:p w:rsidR="009862A5" w:rsidRDefault="009862A5" w:rsidP="009862A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Each </w:t>
      </w:r>
      <w:r w:rsidR="00F13163">
        <w:rPr>
          <w:rFonts w:ascii="Calibri" w:hAnsi="Calibri" w:cs="Calibri"/>
          <w:color w:val="000000"/>
          <w:sz w:val="26"/>
          <w:szCs w:val="26"/>
          <w:lang w:eastAsia="en-AU"/>
        </w:rPr>
        <w:t>service listed in the MBS has a</w:t>
      </w:r>
      <w:r>
        <w:rPr>
          <w:rFonts w:ascii="Calibri" w:hAnsi="Calibri" w:cs="Calibri"/>
          <w:color w:val="000000"/>
          <w:sz w:val="26"/>
          <w:szCs w:val="26"/>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9862A5" w:rsidRDefault="009862A5" w:rsidP="009862A5">
      <w:pPr>
        <w:autoSpaceDE w:val="0"/>
        <w:autoSpaceDN w:val="0"/>
        <w:adjustRightInd w:val="0"/>
        <w:spacing w:before="120" w:after="120" w:line="264" w:lineRule="auto"/>
      </w:pPr>
    </w:p>
    <w:p w:rsidR="009862A5" w:rsidRDefault="009862A5" w:rsidP="009862A5">
      <w:pPr>
        <w:pStyle w:val="Heading1"/>
        <w:rPr>
          <w:lang w:eastAsia="en-AU"/>
        </w:rPr>
      </w:pPr>
      <w:r>
        <w:rPr>
          <w:lang w:eastAsia="en-AU"/>
        </w:rPr>
        <w:t>Where can I find out more?</w:t>
      </w:r>
    </w:p>
    <w:p w:rsidR="009862A5" w:rsidRDefault="009862A5" w:rsidP="009862A5">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9862A5" w:rsidRDefault="009862A5" w:rsidP="009862A5"/>
    <w:p w:rsidR="009862A5" w:rsidRDefault="009862A5" w:rsidP="009862A5">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9862A5" w:rsidRPr="009862A5" w:rsidRDefault="009862A5" w:rsidP="009862A5"/>
    <w:sectPr w:rsidR="009862A5" w:rsidRPr="009862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A5"/>
    <w:rsid w:val="00003743"/>
    <w:rsid w:val="00067456"/>
    <w:rsid w:val="001B3443"/>
    <w:rsid w:val="002F3AE3"/>
    <w:rsid w:val="0030786C"/>
    <w:rsid w:val="003D17F9"/>
    <w:rsid w:val="004867E2"/>
    <w:rsid w:val="00491F04"/>
    <w:rsid w:val="00566815"/>
    <w:rsid w:val="008264EB"/>
    <w:rsid w:val="009862A5"/>
    <w:rsid w:val="00A4512D"/>
    <w:rsid w:val="00A705AF"/>
    <w:rsid w:val="00B42851"/>
    <w:rsid w:val="00BC757E"/>
    <w:rsid w:val="00CB5B1A"/>
    <w:rsid w:val="00F13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9862A5"/>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9862A5"/>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4</cp:revision>
  <dcterms:created xsi:type="dcterms:W3CDTF">2018-05-01T00:48:00Z</dcterms:created>
  <dcterms:modified xsi:type="dcterms:W3CDTF">2018-05-25T05:20:00Z</dcterms:modified>
</cp:coreProperties>
</file>