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B4095A" w14:textId="77777777" w:rsidR="00ED65EE" w:rsidRPr="00452DF6" w:rsidRDefault="00ED65EE" w:rsidP="00AA13B3">
      <w:pPr>
        <w:spacing w:line="312" w:lineRule="auto"/>
      </w:pPr>
      <w:bookmarkStart w:id="0" w:name="_GoBack"/>
      <w:bookmarkEnd w:id="0"/>
    </w:p>
    <w:tbl>
      <w:tblPr>
        <w:tblW w:w="8931" w:type="dxa"/>
        <w:tblLayout w:type="fixed"/>
        <w:tblCellMar>
          <w:left w:w="0" w:type="dxa"/>
          <w:right w:w="0" w:type="dxa"/>
        </w:tblCellMar>
        <w:tblLook w:val="0000" w:firstRow="0" w:lastRow="0" w:firstColumn="0" w:lastColumn="0" w:noHBand="0" w:noVBand="0"/>
      </w:tblPr>
      <w:tblGrid>
        <w:gridCol w:w="4253"/>
        <w:gridCol w:w="4678"/>
      </w:tblGrid>
      <w:tr w:rsidR="00ED65EE" w:rsidRPr="00452DF6" w14:paraId="7FEC391A" w14:textId="77777777" w:rsidTr="001229D7">
        <w:trPr>
          <w:cantSplit/>
          <w:trHeight w:hRule="exact" w:val="4820"/>
        </w:trPr>
        <w:tc>
          <w:tcPr>
            <w:tcW w:w="4253" w:type="dxa"/>
            <w:shd w:val="clear" w:color="auto" w:fill="auto"/>
            <w:vAlign w:val="bottom"/>
          </w:tcPr>
          <w:p w14:paraId="1AD7AE45" w14:textId="77777777" w:rsidR="00ED65EE" w:rsidRPr="00452DF6" w:rsidRDefault="00ED65EE" w:rsidP="00AA13B3">
            <w:pPr>
              <w:pStyle w:val="TOC9"/>
              <w:spacing w:line="312" w:lineRule="auto"/>
            </w:pPr>
          </w:p>
        </w:tc>
        <w:tc>
          <w:tcPr>
            <w:tcW w:w="4678" w:type="dxa"/>
            <w:shd w:val="clear" w:color="auto" w:fill="auto"/>
            <w:vAlign w:val="bottom"/>
          </w:tcPr>
          <w:p w14:paraId="5F45481C" w14:textId="003C9B7D" w:rsidR="00ED65EE" w:rsidRPr="00BB51F6" w:rsidRDefault="000F6AD0" w:rsidP="00D002DB">
            <w:pPr>
              <w:pStyle w:val="PublicationTitle"/>
              <w:spacing w:line="240" w:lineRule="auto"/>
              <w:jc w:val="left"/>
              <w:rPr>
                <w:sz w:val="48"/>
                <w:szCs w:val="44"/>
              </w:rPr>
            </w:pPr>
            <w:r>
              <w:rPr>
                <w:sz w:val="48"/>
                <w:szCs w:val="44"/>
              </w:rPr>
              <w:t>Discussion</w:t>
            </w:r>
            <w:r w:rsidR="002251E8" w:rsidRPr="00BB51F6">
              <w:rPr>
                <w:sz w:val="48"/>
                <w:szCs w:val="44"/>
              </w:rPr>
              <w:t xml:space="preserve"> </w:t>
            </w:r>
            <w:r>
              <w:rPr>
                <w:sz w:val="48"/>
                <w:szCs w:val="44"/>
              </w:rPr>
              <w:t>p</w:t>
            </w:r>
            <w:r w:rsidR="002251E8" w:rsidRPr="00BB51F6">
              <w:rPr>
                <w:sz w:val="48"/>
                <w:szCs w:val="44"/>
              </w:rPr>
              <w:t xml:space="preserve">aper </w:t>
            </w:r>
            <w:r w:rsidR="00B66D53">
              <w:rPr>
                <w:sz w:val="48"/>
                <w:szCs w:val="44"/>
              </w:rPr>
              <w:t>on</w:t>
            </w:r>
            <w:r w:rsidR="00B66D53" w:rsidRPr="00BB51F6">
              <w:rPr>
                <w:sz w:val="48"/>
                <w:szCs w:val="44"/>
              </w:rPr>
              <w:t xml:space="preserve"> </w:t>
            </w:r>
            <w:r w:rsidR="002251E8" w:rsidRPr="00BB51F6">
              <w:rPr>
                <w:sz w:val="48"/>
                <w:szCs w:val="44"/>
              </w:rPr>
              <w:t xml:space="preserve">pan-tumour </w:t>
            </w:r>
            <w:r w:rsidR="0061287E" w:rsidRPr="00BB51F6">
              <w:rPr>
                <w:sz w:val="48"/>
                <w:szCs w:val="44"/>
              </w:rPr>
              <w:t xml:space="preserve">biomarker </w:t>
            </w:r>
            <w:r w:rsidR="002251E8" w:rsidRPr="00BB51F6">
              <w:rPr>
                <w:sz w:val="48"/>
                <w:szCs w:val="44"/>
              </w:rPr>
              <w:t xml:space="preserve">testing </w:t>
            </w:r>
            <w:r w:rsidR="002B39F9" w:rsidRPr="00BB51F6">
              <w:rPr>
                <w:sz w:val="48"/>
                <w:szCs w:val="44"/>
              </w:rPr>
              <w:t>to determine</w:t>
            </w:r>
            <w:r w:rsidR="002251E8" w:rsidRPr="00BB51F6">
              <w:rPr>
                <w:sz w:val="48"/>
                <w:szCs w:val="44"/>
              </w:rPr>
              <w:t xml:space="preserve"> eligibility </w:t>
            </w:r>
            <w:r w:rsidR="00F03970">
              <w:rPr>
                <w:sz w:val="48"/>
                <w:szCs w:val="44"/>
              </w:rPr>
              <w:t>for</w:t>
            </w:r>
            <w:r w:rsidR="002251E8" w:rsidRPr="00BB51F6">
              <w:rPr>
                <w:sz w:val="48"/>
                <w:szCs w:val="44"/>
              </w:rPr>
              <w:t xml:space="preserve"> </w:t>
            </w:r>
            <w:r w:rsidR="00E87DA4">
              <w:rPr>
                <w:sz w:val="48"/>
                <w:szCs w:val="44"/>
              </w:rPr>
              <w:t xml:space="preserve">targeted </w:t>
            </w:r>
            <w:r w:rsidR="00DC3735">
              <w:rPr>
                <w:sz w:val="48"/>
                <w:szCs w:val="44"/>
              </w:rPr>
              <w:t>treatment</w:t>
            </w:r>
          </w:p>
        </w:tc>
      </w:tr>
      <w:tr w:rsidR="00ED65EE" w:rsidRPr="00452DF6" w14:paraId="023E0306" w14:textId="77777777" w:rsidTr="001229D7">
        <w:trPr>
          <w:cantSplit/>
          <w:trHeight w:hRule="exact" w:val="2137"/>
        </w:trPr>
        <w:tc>
          <w:tcPr>
            <w:tcW w:w="4253" w:type="dxa"/>
            <w:shd w:val="clear" w:color="auto" w:fill="auto"/>
            <w:vAlign w:val="bottom"/>
          </w:tcPr>
          <w:p w14:paraId="24579FF8" w14:textId="77777777" w:rsidR="00ED65EE" w:rsidRPr="005F59A7" w:rsidRDefault="00ED65EE" w:rsidP="00AA13B3">
            <w:pPr>
              <w:spacing w:line="312" w:lineRule="auto"/>
            </w:pPr>
          </w:p>
        </w:tc>
        <w:tc>
          <w:tcPr>
            <w:tcW w:w="4678" w:type="dxa"/>
            <w:shd w:val="clear" w:color="auto" w:fill="auto"/>
            <w:vAlign w:val="bottom"/>
          </w:tcPr>
          <w:p w14:paraId="50A0BAF2" w14:textId="77777777" w:rsidR="00ED65EE" w:rsidRPr="005F59A7" w:rsidRDefault="00ED65EE" w:rsidP="00AA13B3">
            <w:pPr>
              <w:pStyle w:val="Heading1"/>
              <w:spacing w:line="312" w:lineRule="auto"/>
              <w:jc w:val="both"/>
            </w:pPr>
          </w:p>
          <w:p w14:paraId="4130A530" w14:textId="77777777" w:rsidR="00ED65EE" w:rsidRPr="005F59A7" w:rsidRDefault="00ED65EE" w:rsidP="00AA13B3">
            <w:pPr>
              <w:spacing w:line="312" w:lineRule="auto"/>
            </w:pPr>
          </w:p>
        </w:tc>
      </w:tr>
      <w:tr w:rsidR="00ED65EE" w:rsidRPr="00452DF6" w14:paraId="11CE052C" w14:textId="77777777" w:rsidTr="001229D7">
        <w:trPr>
          <w:cantSplit/>
          <w:trHeight w:hRule="exact" w:val="1265"/>
          <w:hidden/>
        </w:trPr>
        <w:tc>
          <w:tcPr>
            <w:tcW w:w="4253" w:type="dxa"/>
            <w:shd w:val="clear" w:color="auto" w:fill="auto"/>
            <w:vAlign w:val="center"/>
          </w:tcPr>
          <w:p w14:paraId="2006B5D4" w14:textId="77777777" w:rsidR="00ED65EE" w:rsidRPr="005F59A7" w:rsidRDefault="00ED65EE" w:rsidP="00AA13B3">
            <w:pPr>
              <w:pStyle w:val="Date"/>
              <w:spacing w:line="312" w:lineRule="auto"/>
              <w:jc w:val="both"/>
              <w:rPr>
                <w:rFonts w:ascii="Calibri" w:hAnsi="Calibri"/>
                <w:b w:val="0"/>
                <w:vanish/>
                <w:sz w:val="22"/>
              </w:rPr>
            </w:pPr>
          </w:p>
        </w:tc>
        <w:tc>
          <w:tcPr>
            <w:tcW w:w="4678" w:type="dxa"/>
            <w:shd w:val="clear" w:color="auto" w:fill="auto"/>
            <w:vAlign w:val="center"/>
          </w:tcPr>
          <w:p w14:paraId="39D3EA3D" w14:textId="445363BA" w:rsidR="00ED65EE" w:rsidRPr="00945A86" w:rsidRDefault="000C57A7" w:rsidP="00945A86">
            <w:pPr>
              <w:pStyle w:val="Date"/>
              <w:spacing w:line="312" w:lineRule="auto"/>
              <w:jc w:val="both"/>
            </w:pPr>
            <w:r w:rsidRPr="005F59A7">
              <w:t>January</w:t>
            </w:r>
            <w:r w:rsidR="00ED65EE" w:rsidRPr="005F59A7">
              <w:t xml:space="preserve"> </w:t>
            </w:r>
            <w:r w:rsidR="002B39F9" w:rsidRPr="005F59A7">
              <w:t>20</w:t>
            </w:r>
            <w:r w:rsidR="00D002DB" w:rsidRPr="005F59A7">
              <w:t>20</w:t>
            </w:r>
          </w:p>
        </w:tc>
      </w:tr>
    </w:tbl>
    <w:p w14:paraId="52FF7A23" w14:textId="7DB9CAC8" w:rsidR="00FC08E6" w:rsidRDefault="00ED65EE" w:rsidP="00945A86">
      <w:pPr>
        <w:spacing w:after="0" w:line="312" w:lineRule="auto"/>
        <w:rPr>
          <w:b/>
          <w:bCs/>
          <w:i/>
          <w:smallCaps/>
        </w:rPr>
      </w:pPr>
      <w:r w:rsidRPr="00452DF6">
        <w:br w:type="page"/>
      </w:r>
    </w:p>
    <w:p w14:paraId="37465411" w14:textId="77777777" w:rsidR="00945A86" w:rsidRPr="00945A86" w:rsidRDefault="00945A86" w:rsidP="00573D89">
      <w:pPr>
        <w:spacing w:after="12480"/>
      </w:pPr>
    </w:p>
    <w:p w14:paraId="48C4EED7" w14:textId="77777777" w:rsidR="00A959E0" w:rsidRDefault="00FC08E6" w:rsidP="00573D89">
      <w:pPr>
        <w:spacing w:before="600"/>
      </w:pPr>
      <w:r>
        <w:t>This discussion paper can be cited as: Morona J</w:t>
      </w:r>
      <w:r w:rsidR="00A15586">
        <w:t>K</w:t>
      </w:r>
      <w:r>
        <w:t>, Wyndham A,</w:t>
      </w:r>
      <w:r w:rsidR="00B66D53">
        <w:t xml:space="preserve"> Scott P, Mitchell A,</w:t>
      </w:r>
      <w:r>
        <w:t xml:space="preserve"> Merlin T. </w:t>
      </w:r>
      <w:r w:rsidRPr="00A15586">
        <w:rPr>
          <w:i/>
        </w:rPr>
        <w:t xml:space="preserve">Discussion paper </w:t>
      </w:r>
      <w:r w:rsidR="00B66D53">
        <w:rPr>
          <w:i/>
        </w:rPr>
        <w:t>on</w:t>
      </w:r>
      <w:r w:rsidR="00B66D53" w:rsidRPr="00A15586">
        <w:rPr>
          <w:i/>
        </w:rPr>
        <w:t xml:space="preserve"> </w:t>
      </w:r>
      <w:r w:rsidRPr="00A15586">
        <w:rPr>
          <w:i/>
        </w:rPr>
        <w:t xml:space="preserve">pan-tumour biomarker testing to determine eligibility </w:t>
      </w:r>
      <w:r w:rsidR="00F03970">
        <w:rPr>
          <w:i/>
        </w:rPr>
        <w:t>for</w:t>
      </w:r>
      <w:r w:rsidRPr="00A15586">
        <w:rPr>
          <w:i/>
        </w:rPr>
        <w:t xml:space="preserve"> </w:t>
      </w:r>
      <w:r w:rsidR="00E87DA4">
        <w:rPr>
          <w:i/>
        </w:rPr>
        <w:t xml:space="preserve">targeted </w:t>
      </w:r>
      <w:r w:rsidRPr="00A15586">
        <w:rPr>
          <w:i/>
        </w:rPr>
        <w:t>treatment</w:t>
      </w:r>
      <w:r>
        <w:t>.</w:t>
      </w:r>
      <w:r w:rsidRPr="00FC08E6">
        <w:t xml:space="preserve"> </w:t>
      </w:r>
      <w:r w:rsidR="00F03970">
        <w:t>January 20</w:t>
      </w:r>
      <w:r w:rsidR="00A959E0">
        <w:t>20</w:t>
      </w:r>
      <w:r w:rsidR="00693FD5">
        <w:t>.</w:t>
      </w:r>
    </w:p>
    <w:p w14:paraId="489C6EE7" w14:textId="7219497F" w:rsidR="00F42040" w:rsidRPr="00573D89" w:rsidRDefault="00A959E0" w:rsidP="00A959E0">
      <w:pPr>
        <w:spacing w:before="120"/>
        <w:rPr>
          <w:rStyle w:val="IntenseReference"/>
          <w:b w:val="0"/>
          <w:bCs w:val="0"/>
          <w:smallCaps w:val="0"/>
        </w:rPr>
      </w:pPr>
      <w:r>
        <w:t>Received January 2019; finalised August 2019.</w:t>
      </w:r>
      <w:r w:rsidR="00F42040" w:rsidRPr="00452DF6">
        <w:br w:type="page"/>
      </w:r>
    </w:p>
    <w:p w14:paraId="345771A8" w14:textId="4297537A" w:rsidR="00ED65EE" w:rsidRPr="00452DF6" w:rsidRDefault="00ED65EE" w:rsidP="00AA13B3">
      <w:pPr>
        <w:pStyle w:val="Heading1"/>
        <w:spacing w:line="312" w:lineRule="auto"/>
        <w:jc w:val="both"/>
      </w:pPr>
      <w:bookmarkStart w:id="1" w:name="_Toc192054741"/>
      <w:bookmarkStart w:id="2" w:name="_Toc206489930"/>
      <w:bookmarkStart w:id="3" w:name="_Toc206494639"/>
      <w:bookmarkStart w:id="4" w:name="_Toc214339152"/>
      <w:bookmarkStart w:id="5" w:name="_Toc237759553"/>
      <w:bookmarkStart w:id="6" w:name="_Toc356462688"/>
      <w:bookmarkStart w:id="7" w:name="_Toc356462742"/>
      <w:bookmarkStart w:id="8" w:name="_Toc356462997"/>
      <w:bookmarkStart w:id="9" w:name="_Ref360694627"/>
      <w:bookmarkStart w:id="10" w:name="_Toc379117342"/>
      <w:bookmarkStart w:id="11" w:name="_Toc379118055"/>
      <w:bookmarkStart w:id="12" w:name="_Toc379118243"/>
      <w:bookmarkStart w:id="13" w:name="_Toc381796424"/>
      <w:bookmarkStart w:id="14" w:name="_Toc395200735"/>
      <w:bookmarkStart w:id="15" w:name="_Toc399247190"/>
      <w:bookmarkStart w:id="16" w:name="_Toc495322192"/>
      <w:bookmarkStart w:id="17" w:name="_Toc498005179"/>
      <w:bookmarkStart w:id="18" w:name="_Toc499553345"/>
      <w:bookmarkStart w:id="19" w:name="_Toc499561444"/>
      <w:bookmarkStart w:id="20" w:name="_Toc29218452"/>
      <w:bookmarkStart w:id="21" w:name="_Toc29218715"/>
      <w:bookmarkStart w:id="22" w:name="_Toc29557649"/>
      <w:r w:rsidRPr="00452DF6">
        <w:lastRenderedPageBreak/>
        <w:t>Contents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sdt>
      <w:sdtPr>
        <w:rPr>
          <w:b w:val="0"/>
          <w:noProof w:val="0"/>
        </w:rPr>
        <w:id w:val="-1664701443"/>
        <w:docPartObj>
          <w:docPartGallery w:val="Table of Contents"/>
          <w:docPartUnique/>
        </w:docPartObj>
      </w:sdtPr>
      <w:sdtEndPr>
        <w:rPr>
          <w:bCs/>
        </w:rPr>
      </w:sdtEndPr>
      <w:sdtContent>
        <w:p w14:paraId="6526993F" w14:textId="385AE9E3" w:rsidR="00453F72" w:rsidRDefault="00ED65EE">
          <w:pPr>
            <w:pStyle w:val="TOC1"/>
            <w:rPr>
              <w:rFonts w:asciiTheme="minorHAnsi" w:eastAsiaTheme="minorEastAsia" w:hAnsiTheme="minorHAnsi" w:cstheme="minorBidi"/>
              <w:b w:val="0"/>
            </w:rPr>
          </w:pPr>
          <w:r w:rsidRPr="00452DF6">
            <w:fldChar w:fldCharType="begin"/>
          </w:r>
          <w:r w:rsidRPr="00452DF6">
            <w:instrText xml:space="preserve"> TOC \o "1-3" \h \z \u </w:instrText>
          </w:r>
          <w:r w:rsidRPr="00452DF6">
            <w:fldChar w:fldCharType="separate"/>
          </w:r>
          <w:hyperlink w:anchor="_Toc29557649" w:history="1">
            <w:r w:rsidR="00453F72" w:rsidRPr="00D60CFB">
              <w:rPr>
                <w:rStyle w:val="Hyperlink"/>
              </w:rPr>
              <w:t>Contents</w:t>
            </w:r>
            <w:r w:rsidR="00453F72">
              <w:rPr>
                <w:webHidden/>
              </w:rPr>
              <w:tab/>
            </w:r>
            <w:r w:rsidR="00A959E0" w:rsidRPr="00A959E0">
              <w:rPr>
                <w:webHidden/>
              </w:rPr>
              <w:tab/>
            </w:r>
            <w:r w:rsidR="00453F72">
              <w:rPr>
                <w:webHidden/>
              </w:rPr>
              <w:fldChar w:fldCharType="begin"/>
            </w:r>
            <w:r w:rsidR="00453F72">
              <w:rPr>
                <w:webHidden/>
              </w:rPr>
              <w:instrText xml:space="preserve"> PAGEREF _Toc29557649 \h </w:instrText>
            </w:r>
            <w:r w:rsidR="00453F72">
              <w:rPr>
                <w:webHidden/>
              </w:rPr>
            </w:r>
            <w:r w:rsidR="00453F72">
              <w:rPr>
                <w:webHidden/>
              </w:rPr>
              <w:fldChar w:fldCharType="separate"/>
            </w:r>
            <w:r w:rsidR="00453F72">
              <w:rPr>
                <w:webHidden/>
              </w:rPr>
              <w:t>iii</w:t>
            </w:r>
            <w:r w:rsidR="00453F72">
              <w:rPr>
                <w:webHidden/>
              </w:rPr>
              <w:fldChar w:fldCharType="end"/>
            </w:r>
          </w:hyperlink>
        </w:p>
        <w:p w14:paraId="14D1FB14" w14:textId="6877DE82" w:rsidR="00453F72" w:rsidRDefault="006D1557">
          <w:pPr>
            <w:pStyle w:val="TOC2"/>
            <w:rPr>
              <w:rFonts w:asciiTheme="minorHAnsi" w:eastAsiaTheme="minorEastAsia" w:hAnsiTheme="minorHAnsi" w:cstheme="minorBidi"/>
            </w:rPr>
          </w:pPr>
          <w:hyperlink w:anchor="_Toc29557650" w:history="1">
            <w:r w:rsidR="00453F72" w:rsidRPr="00D60CFB">
              <w:rPr>
                <w:rStyle w:val="Hyperlink"/>
              </w:rPr>
              <w:t>Tables</w:t>
            </w:r>
            <w:r w:rsidR="00453F72">
              <w:rPr>
                <w:webHidden/>
              </w:rPr>
              <w:tab/>
            </w:r>
            <w:r w:rsidR="00453F72">
              <w:rPr>
                <w:webHidden/>
              </w:rPr>
              <w:fldChar w:fldCharType="begin"/>
            </w:r>
            <w:r w:rsidR="00453F72">
              <w:rPr>
                <w:webHidden/>
              </w:rPr>
              <w:instrText xml:space="preserve"> PAGEREF _Toc29557650 \h </w:instrText>
            </w:r>
            <w:r w:rsidR="00453F72">
              <w:rPr>
                <w:webHidden/>
              </w:rPr>
            </w:r>
            <w:r w:rsidR="00453F72">
              <w:rPr>
                <w:webHidden/>
              </w:rPr>
              <w:fldChar w:fldCharType="separate"/>
            </w:r>
            <w:r w:rsidR="00453F72">
              <w:rPr>
                <w:webHidden/>
              </w:rPr>
              <w:t>iv</w:t>
            </w:r>
            <w:r w:rsidR="00453F72">
              <w:rPr>
                <w:webHidden/>
              </w:rPr>
              <w:fldChar w:fldCharType="end"/>
            </w:r>
          </w:hyperlink>
        </w:p>
        <w:p w14:paraId="5699E50A" w14:textId="55AE6CDE" w:rsidR="00453F72" w:rsidRDefault="006D1557">
          <w:pPr>
            <w:pStyle w:val="TOC2"/>
            <w:rPr>
              <w:rFonts w:asciiTheme="minorHAnsi" w:eastAsiaTheme="minorEastAsia" w:hAnsiTheme="minorHAnsi" w:cstheme="minorBidi"/>
            </w:rPr>
          </w:pPr>
          <w:hyperlink w:anchor="_Toc29557651" w:history="1">
            <w:r w:rsidR="00453F72" w:rsidRPr="00D60CFB">
              <w:rPr>
                <w:rStyle w:val="Hyperlink"/>
              </w:rPr>
              <w:t>Figures</w:t>
            </w:r>
            <w:r w:rsidR="00453F72">
              <w:rPr>
                <w:webHidden/>
              </w:rPr>
              <w:tab/>
            </w:r>
            <w:r w:rsidR="00453F72">
              <w:rPr>
                <w:webHidden/>
              </w:rPr>
              <w:fldChar w:fldCharType="begin"/>
            </w:r>
            <w:r w:rsidR="00453F72">
              <w:rPr>
                <w:webHidden/>
              </w:rPr>
              <w:instrText xml:space="preserve"> PAGEREF _Toc29557651 \h </w:instrText>
            </w:r>
            <w:r w:rsidR="00453F72">
              <w:rPr>
                <w:webHidden/>
              </w:rPr>
            </w:r>
            <w:r w:rsidR="00453F72">
              <w:rPr>
                <w:webHidden/>
              </w:rPr>
              <w:fldChar w:fldCharType="separate"/>
            </w:r>
            <w:r w:rsidR="00453F72">
              <w:rPr>
                <w:webHidden/>
              </w:rPr>
              <w:t>iv</w:t>
            </w:r>
            <w:r w:rsidR="00453F72">
              <w:rPr>
                <w:webHidden/>
              </w:rPr>
              <w:fldChar w:fldCharType="end"/>
            </w:r>
          </w:hyperlink>
        </w:p>
        <w:p w14:paraId="68F48201" w14:textId="3A83B4D2" w:rsidR="00453F72" w:rsidRDefault="006D1557">
          <w:pPr>
            <w:pStyle w:val="TOC1"/>
            <w:rPr>
              <w:rFonts w:asciiTheme="minorHAnsi" w:eastAsiaTheme="minorEastAsia" w:hAnsiTheme="minorHAnsi" w:cstheme="minorBidi"/>
              <w:b w:val="0"/>
            </w:rPr>
          </w:pPr>
          <w:hyperlink w:anchor="_Toc29557652" w:history="1">
            <w:r w:rsidR="00453F72" w:rsidRPr="00D60CFB">
              <w:rPr>
                <w:rStyle w:val="Hyperlink"/>
              </w:rPr>
              <w:t>Executive Summary</w:t>
            </w:r>
            <w:r w:rsidR="00453F72">
              <w:rPr>
                <w:webHidden/>
              </w:rPr>
              <w:tab/>
            </w:r>
            <w:r w:rsidR="00453F72">
              <w:rPr>
                <w:webHidden/>
              </w:rPr>
              <w:fldChar w:fldCharType="begin"/>
            </w:r>
            <w:r w:rsidR="00453F72">
              <w:rPr>
                <w:webHidden/>
              </w:rPr>
              <w:instrText xml:space="preserve"> PAGEREF _Toc29557652 \h </w:instrText>
            </w:r>
            <w:r w:rsidR="00453F72">
              <w:rPr>
                <w:webHidden/>
              </w:rPr>
            </w:r>
            <w:r w:rsidR="00453F72">
              <w:rPr>
                <w:webHidden/>
              </w:rPr>
              <w:fldChar w:fldCharType="separate"/>
            </w:r>
            <w:r w:rsidR="00453F72">
              <w:rPr>
                <w:webHidden/>
              </w:rPr>
              <w:t>5</w:t>
            </w:r>
            <w:r w:rsidR="00453F72">
              <w:rPr>
                <w:webHidden/>
              </w:rPr>
              <w:fldChar w:fldCharType="end"/>
            </w:r>
          </w:hyperlink>
        </w:p>
        <w:p w14:paraId="072C443F" w14:textId="0DE95362" w:rsidR="00453F72" w:rsidRDefault="006D1557">
          <w:pPr>
            <w:pStyle w:val="TOC1"/>
            <w:rPr>
              <w:rFonts w:asciiTheme="minorHAnsi" w:eastAsiaTheme="minorEastAsia" w:hAnsiTheme="minorHAnsi" w:cstheme="minorBidi"/>
              <w:b w:val="0"/>
            </w:rPr>
          </w:pPr>
          <w:hyperlink w:anchor="_Toc29557653" w:history="1">
            <w:r w:rsidR="00453F72" w:rsidRPr="00D60CFB">
              <w:rPr>
                <w:rStyle w:val="Hyperlink"/>
              </w:rPr>
              <w:t>Background</w:t>
            </w:r>
            <w:r w:rsidR="00453F72">
              <w:rPr>
                <w:webHidden/>
              </w:rPr>
              <w:tab/>
            </w:r>
            <w:r w:rsidR="00A959E0" w:rsidRPr="00A959E0">
              <w:rPr>
                <w:webHidden/>
              </w:rPr>
              <w:tab/>
            </w:r>
            <w:r w:rsidR="00453F72">
              <w:rPr>
                <w:webHidden/>
              </w:rPr>
              <w:fldChar w:fldCharType="begin"/>
            </w:r>
            <w:r w:rsidR="00453F72">
              <w:rPr>
                <w:webHidden/>
              </w:rPr>
              <w:instrText xml:space="preserve"> PAGEREF _Toc29557653 \h </w:instrText>
            </w:r>
            <w:r w:rsidR="00453F72">
              <w:rPr>
                <w:webHidden/>
              </w:rPr>
            </w:r>
            <w:r w:rsidR="00453F72">
              <w:rPr>
                <w:webHidden/>
              </w:rPr>
              <w:fldChar w:fldCharType="separate"/>
            </w:r>
            <w:r w:rsidR="00453F72">
              <w:rPr>
                <w:webHidden/>
              </w:rPr>
              <w:t>8</w:t>
            </w:r>
            <w:r w:rsidR="00453F72">
              <w:rPr>
                <w:webHidden/>
              </w:rPr>
              <w:fldChar w:fldCharType="end"/>
            </w:r>
          </w:hyperlink>
        </w:p>
        <w:p w14:paraId="4842DD3C" w14:textId="2EF3DEEE" w:rsidR="00453F72" w:rsidRDefault="006D1557">
          <w:pPr>
            <w:pStyle w:val="TOC2"/>
            <w:rPr>
              <w:rFonts w:asciiTheme="minorHAnsi" w:eastAsiaTheme="minorEastAsia" w:hAnsiTheme="minorHAnsi" w:cstheme="minorBidi"/>
            </w:rPr>
          </w:pPr>
          <w:hyperlink w:anchor="_Toc29557654" w:history="1">
            <w:r w:rsidR="00453F72" w:rsidRPr="00D60CFB">
              <w:rPr>
                <w:rStyle w:val="Hyperlink"/>
              </w:rPr>
              <w:t>Scope of this discussion paper</w:t>
            </w:r>
            <w:r w:rsidR="00453F72">
              <w:rPr>
                <w:webHidden/>
              </w:rPr>
              <w:tab/>
            </w:r>
            <w:r w:rsidR="00453F72">
              <w:rPr>
                <w:webHidden/>
              </w:rPr>
              <w:fldChar w:fldCharType="begin"/>
            </w:r>
            <w:r w:rsidR="00453F72">
              <w:rPr>
                <w:webHidden/>
              </w:rPr>
              <w:instrText xml:space="preserve"> PAGEREF _Toc29557654 \h </w:instrText>
            </w:r>
            <w:r w:rsidR="00453F72">
              <w:rPr>
                <w:webHidden/>
              </w:rPr>
            </w:r>
            <w:r w:rsidR="00453F72">
              <w:rPr>
                <w:webHidden/>
              </w:rPr>
              <w:fldChar w:fldCharType="separate"/>
            </w:r>
            <w:r w:rsidR="00453F72">
              <w:rPr>
                <w:webHidden/>
              </w:rPr>
              <w:t>9</w:t>
            </w:r>
            <w:r w:rsidR="00453F72">
              <w:rPr>
                <w:webHidden/>
              </w:rPr>
              <w:fldChar w:fldCharType="end"/>
            </w:r>
          </w:hyperlink>
        </w:p>
        <w:p w14:paraId="482E110D" w14:textId="23555482" w:rsidR="00453F72" w:rsidRDefault="006D1557">
          <w:pPr>
            <w:pStyle w:val="TOC1"/>
            <w:rPr>
              <w:rFonts w:asciiTheme="minorHAnsi" w:eastAsiaTheme="minorEastAsia" w:hAnsiTheme="minorHAnsi" w:cstheme="minorBidi"/>
              <w:b w:val="0"/>
            </w:rPr>
          </w:pPr>
          <w:hyperlink w:anchor="_Toc29557655" w:history="1">
            <w:r w:rsidR="00453F72" w:rsidRPr="00D60CFB">
              <w:rPr>
                <w:rStyle w:val="Hyperlink"/>
              </w:rPr>
              <w:t>Clinical evaluation of the proposed investigative medical service</w:t>
            </w:r>
            <w:r w:rsidR="00453F72">
              <w:rPr>
                <w:webHidden/>
              </w:rPr>
              <w:tab/>
            </w:r>
            <w:r w:rsidR="00453F72">
              <w:rPr>
                <w:webHidden/>
              </w:rPr>
              <w:fldChar w:fldCharType="begin"/>
            </w:r>
            <w:r w:rsidR="00453F72">
              <w:rPr>
                <w:webHidden/>
              </w:rPr>
              <w:instrText xml:space="preserve"> PAGEREF _Toc29557655 \h </w:instrText>
            </w:r>
            <w:r w:rsidR="00453F72">
              <w:rPr>
                <w:webHidden/>
              </w:rPr>
            </w:r>
            <w:r w:rsidR="00453F72">
              <w:rPr>
                <w:webHidden/>
              </w:rPr>
              <w:fldChar w:fldCharType="separate"/>
            </w:r>
            <w:r w:rsidR="00453F72">
              <w:rPr>
                <w:webHidden/>
              </w:rPr>
              <w:t>10</w:t>
            </w:r>
            <w:r w:rsidR="00453F72">
              <w:rPr>
                <w:webHidden/>
              </w:rPr>
              <w:fldChar w:fldCharType="end"/>
            </w:r>
          </w:hyperlink>
        </w:p>
        <w:p w14:paraId="2A50F9CA" w14:textId="695E37C3" w:rsidR="00453F72" w:rsidRDefault="006D1557">
          <w:pPr>
            <w:pStyle w:val="TOC2"/>
            <w:rPr>
              <w:rFonts w:asciiTheme="minorHAnsi" w:eastAsiaTheme="minorEastAsia" w:hAnsiTheme="minorHAnsi" w:cstheme="minorBidi"/>
            </w:rPr>
          </w:pPr>
          <w:hyperlink w:anchor="_Toc29557656" w:history="1">
            <w:r w:rsidR="00453F72" w:rsidRPr="00D60CFB">
              <w:rPr>
                <w:rStyle w:val="Hyperlink"/>
                <w:lang w:eastAsia="en-US"/>
              </w:rPr>
              <w:t>Introduction</w:t>
            </w:r>
            <w:r w:rsidR="00453F72">
              <w:rPr>
                <w:webHidden/>
              </w:rPr>
              <w:tab/>
            </w:r>
            <w:r w:rsidR="00453F72">
              <w:rPr>
                <w:webHidden/>
              </w:rPr>
              <w:fldChar w:fldCharType="begin"/>
            </w:r>
            <w:r w:rsidR="00453F72">
              <w:rPr>
                <w:webHidden/>
              </w:rPr>
              <w:instrText xml:space="preserve"> PAGEREF _Toc29557656 \h </w:instrText>
            </w:r>
            <w:r w:rsidR="00453F72">
              <w:rPr>
                <w:webHidden/>
              </w:rPr>
            </w:r>
            <w:r w:rsidR="00453F72">
              <w:rPr>
                <w:webHidden/>
              </w:rPr>
              <w:fldChar w:fldCharType="separate"/>
            </w:r>
            <w:r w:rsidR="00453F72">
              <w:rPr>
                <w:webHidden/>
              </w:rPr>
              <w:t>10</w:t>
            </w:r>
            <w:r w:rsidR="00453F72">
              <w:rPr>
                <w:webHidden/>
              </w:rPr>
              <w:fldChar w:fldCharType="end"/>
            </w:r>
          </w:hyperlink>
        </w:p>
        <w:p w14:paraId="7F8B7A98" w14:textId="297AFA74" w:rsidR="00453F72" w:rsidRDefault="006D1557">
          <w:pPr>
            <w:pStyle w:val="TOC3"/>
            <w:rPr>
              <w:rFonts w:asciiTheme="minorHAnsi" w:eastAsiaTheme="minorEastAsia" w:hAnsiTheme="minorHAnsi" w:cstheme="minorBidi"/>
            </w:rPr>
          </w:pPr>
          <w:hyperlink w:anchor="_Toc29557657" w:history="1">
            <w:r w:rsidR="00453F72" w:rsidRPr="00D60CFB">
              <w:rPr>
                <w:rStyle w:val="Hyperlink"/>
                <w:lang w:eastAsia="en-US"/>
              </w:rPr>
              <w:t>Types of evidence</w:t>
            </w:r>
            <w:r w:rsidR="00453F72">
              <w:rPr>
                <w:webHidden/>
              </w:rPr>
              <w:tab/>
            </w:r>
            <w:r w:rsidR="00453F72">
              <w:rPr>
                <w:webHidden/>
              </w:rPr>
              <w:fldChar w:fldCharType="begin"/>
            </w:r>
            <w:r w:rsidR="00453F72">
              <w:rPr>
                <w:webHidden/>
              </w:rPr>
              <w:instrText xml:space="preserve"> PAGEREF _Toc29557657 \h </w:instrText>
            </w:r>
            <w:r w:rsidR="00453F72">
              <w:rPr>
                <w:webHidden/>
              </w:rPr>
            </w:r>
            <w:r w:rsidR="00453F72">
              <w:rPr>
                <w:webHidden/>
              </w:rPr>
              <w:fldChar w:fldCharType="separate"/>
            </w:r>
            <w:r w:rsidR="00453F72">
              <w:rPr>
                <w:webHidden/>
              </w:rPr>
              <w:t>11</w:t>
            </w:r>
            <w:r w:rsidR="00453F72">
              <w:rPr>
                <w:webHidden/>
              </w:rPr>
              <w:fldChar w:fldCharType="end"/>
            </w:r>
          </w:hyperlink>
        </w:p>
        <w:p w14:paraId="24EB0C9C" w14:textId="63A362D3" w:rsidR="00453F72" w:rsidRDefault="006D1557">
          <w:pPr>
            <w:pStyle w:val="TOC2"/>
            <w:rPr>
              <w:rFonts w:asciiTheme="minorHAnsi" w:eastAsiaTheme="minorEastAsia" w:hAnsiTheme="minorHAnsi" w:cstheme="minorBidi"/>
            </w:rPr>
          </w:pPr>
          <w:hyperlink w:anchor="_Toc29557658" w:history="1">
            <w:r w:rsidR="00453F72" w:rsidRPr="00D60CFB">
              <w:rPr>
                <w:rStyle w:val="Hyperlink"/>
              </w:rPr>
              <w:t>Biological plausibility</w:t>
            </w:r>
            <w:r w:rsidR="00453F72">
              <w:rPr>
                <w:webHidden/>
              </w:rPr>
              <w:tab/>
            </w:r>
            <w:r w:rsidR="00453F72">
              <w:rPr>
                <w:webHidden/>
              </w:rPr>
              <w:fldChar w:fldCharType="begin"/>
            </w:r>
            <w:r w:rsidR="00453F72">
              <w:rPr>
                <w:webHidden/>
              </w:rPr>
              <w:instrText xml:space="preserve"> PAGEREF _Toc29557658 \h </w:instrText>
            </w:r>
            <w:r w:rsidR="00453F72">
              <w:rPr>
                <w:webHidden/>
              </w:rPr>
            </w:r>
            <w:r w:rsidR="00453F72">
              <w:rPr>
                <w:webHidden/>
              </w:rPr>
              <w:fldChar w:fldCharType="separate"/>
            </w:r>
            <w:r w:rsidR="00453F72">
              <w:rPr>
                <w:webHidden/>
              </w:rPr>
              <w:t>12</w:t>
            </w:r>
            <w:r w:rsidR="00453F72">
              <w:rPr>
                <w:webHidden/>
              </w:rPr>
              <w:fldChar w:fldCharType="end"/>
            </w:r>
          </w:hyperlink>
        </w:p>
        <w:p w14:paraId="684F8C05" w14:textId="6E751311" w:rsidR="00453F72" w:rsidRDefault="006D1557">
          <w:pPr>
            <w:pStyle w:val="TOC3"/>
            <w:rPr>
              <w:rFonts w:asciiTheme="minorHAnsi" w:eastAsiaTheme="minorEastAsia" w:hAnsiTheme="minorHAnsi" w:cstheme="minorBidi"/>
            </w:rPr>
          </w:pPr>
          <w:hyperlink w:anchor="_Toc29557659" w:history="1">
            <w:r w:rsidR="00453F72" w:rsidRPr="00D60CFB">
              <w:rPr>
                <w:rStyle w:val="Hyperlink"/>
              </w:rPr>
              <w:t>Alternative predictive biomarkers</w:t>
            </w:r>
            <w:r w:rsidR="00453F72">
              <w:rPr>
                <w:webHidden/>
              </w:rPr>
              <w:tab/>
            </w:r>
            <w:r w:rsidR="00453F72">
              <w:rPr>
                <w:webHidden/>
              </w:rPr>
              <w:fldChar w:fldCharType="begin"/>
            </w:r>
            <w:r w:rsidR="00453F72">
              <w:rPr>
                <w:webHidden/>
              </w:rPr>
              <w:instrText xml:space="preserve"> PAGEREF _Toc29557659 \h </w:instrText>
            </w:r>
            <w:r w:rsidR="00453F72">
              <w:rPr>
                <w:webHidden/>
              </w:rPr>
            </w:r>
            <w:r w:rsidR="00453F72">
              <w:rPr>
                <w:webHidden/>
              </w:rPr>
              <w:fldChar w:fldCharType="separate"/>
            </w:r>
            <w:r w:rsidR="00453F72">
              <w:rPr>
                <w:webHidden/>
              </w:rPr>
              <w:t>14</w:t>
            </w:r>
            <w:r w:rsidR="00453F72">
              <w:rPr>
                <w:webHidden/>
              </w:rPr>
              <w:fldChar w:fldCharType="end"/>
            </w:r>
          </w:hyperlink>
        </w:p>
        <w:p w14:paraId="4EBB835E" w14:textId="64181260" w:rsidR="00453F72" w:rsidRDefault="006D1557">
          <w:pPr>
            <w:pStyle w:val="TOC3"/>
            <w:rPr>
              <w:rFonts w:asciiTheme="minorHAnsi" w:eastAsiaTheme="minorEastAsia" w:hAnsiTheme="minorHAnsi" w:cstheme="minorBidi"/>
            </w:rPr>
          </w:pPr>
          <w:hyperlink w:anchor="_Toc29557660" w:history="1">
            <w:r w:rsidR="00453F72" w:rsidRPr="00D60CFB">
              <w:rPr>
                <w:rStyle w:val="Hyperlink"/>
              </w:rPr>
              <w:t>Multiple predictive biomarkers that predict response to the targeted therapy</w:t>
            </w:r>
            <w:r w:rsidR="00453F72">
              <w:rPr>
                <w:webHidden/>
              </w:rPr>
              <w:tab/>
            </w:r>
            <w:r w:rsidR="00453F72">
              <w:rPr>
                <w:webHidden/>
              </w:rPr>
              <w:fldChar w:fldCharType="begin"/>
            </w:r>
            <w:r w:rsidR="00453F72">
              <w:rPr>
                <w:webHidden/>
              </w:rPr>
              <w:instrText xml:space="preserve"> PAGEREF _Toc29557660 \h </w:instrText>
            </w:r>
            <w:r w:rsidR="00453F72">
              <w:rPr>
                <w:webHidden/>
              </w:rPr>
            </w:r>
            <w:r w:rsidR="00453F72">
              <w:rPr>
                <w:webHidden/>
              </w:rPr>
              <w:fldChar w:fldCharType="separate"/>
            </w:r>
            <w:r w:rsidR="00453F72">
              <w:rPr>
                <w:webHidden/>
              </w:rPr>
              <w:t>16</w:t>
            </w:r>
            <w:r w:rsidR="00453F72">
              <w:rPr>
                <w:webHidden/>
              </w:rPr>
              <w:fldChar w:fldCharType="end"/>
            </w:r>
          </w:hyperlink>
        </w:p>
        <w:p w14:paraId="0AAB880A" w14:textId="1C1C8E72" w:rsidR="00453F72" w:rsidRDefault="006D1557">
          <w:pPr>
            <w:pStyle w:val="TOC2"/>
            <w:rPr>
              <w:rFonts w:asciiTheme="minorHAnsi" w:eastAsiaTheme="minorEastAsia" w:hAnsiTheme="minorHAnsi" w:cstheme="minorBidi"/>
            </w:rPr>
          </w:pPr>
          <w:hyperlink w:anchor="_Toc29557661" w:history="1">
            <w:r w:rsidR="00453F72" w:rsidRPr="00D60CFB">
              <w:rPr>
                <w:rStyle w:val="Hyperlink"/>
              </w:rPr>
              <w:t>Prevalence of the biomarker in the population to be tested</w:t>
            </w:r>
            <w:r w:rsidR="00453F72">
              <w:rPr>
                <w:webHidden/>
              </w:rPr>
              <w:tab/>
            </w:r>
            <w:r w:rsidR="00453F72">
              <w:rPr>
                <w:webHidden/>
              </w:rPr>
              <w:fldChar w:fldCharType="begin"/>
            </w:r>
            <w:r w:rsidR="00453F72">
              <w:rPr>
                <w:webHidden/>
              </w:rPr>
              <w:instrText xml:space="preserve"> PAGEREF _Toc29557661 \h </w:instrText>
            </w:r>
            <w:r w:rsidR="00453F72">
              <w:rPr>
                <w:webHidden/>
              </w:rPr>
            </w:r>
            <w:r w:rsidR="00453F72">
              <w:rPr>
                <w:webHidden/>
              </w:rPr>
              <w:fldChar w:fldCharType="separate"/>
            </w:r>
            <w:r w:rsidR="00453F72">
              <w:rPr>
                <w:webHidden/>
              </w:rPr>
              <w:t>18</w:t>
            </w:r>
            <w:r w:rsidR="00453F72">
              <w:rPr>
                <w:webHidden/>
              </w:rPr>
              <w:fldChar w:fldCharType="end"/>
            </w:r>
          </w:hyperlink>
        </w:p>
        <w:p w14:paraId="718EA7C5" w14:textId="378C4E2E" w:rsidR="00453F72" w:rsidRDefault="006D1557">
          <w:pPr>
            <w:pStyle w:val="TOC2"/>
            <w:rPr>
              <w:rFonts w:asciiTheme="minorHAnsi" w:eastAsiaTheme="minorEastAsia" w:hAnsiTheme="minorHAnsi" w:cstheme="minorBidi"/>
            </w:rPr>
          </w:pPr>
          <w:hyperlink w:anchor="_Toc29557662" w:history="1">
            <w:r w:rsidR="00453F72" w:rsidRPr="00D60CFB">
              <w:rPr>
                <w:rStyle w:val="Hyperlink"/>
              </w:rPr>
              <w:t>Diagnostic performance</w:t>
            </w:r>
            <w:r w:rsidR="00453F72">
              <w:rPr>
                <w:webHidden/>
              </w:rPr>
              <w:tab/>
            </w:r>
            <w:r w:rsidR="00453F72">
              <w:rPr>
                <w:webHidden/>
              </w:rPr>
              <w:fldChar w:fldCharType="begin"/>
            </w:r>
            <w:r w:rsidR="00453F72">
              <w:rPr>
                <w:webHidden/>
              </w:rPr>
              <w:instrText xml:space="preserve"> PAGEREF _Toc29557662 \h </w:instrText>
            </w:r>
            <w:r w:rsidR="00453F72">
              <w:rPr>
                <w:webHidden/>
              </w:rPr>
            </w:r>
            <w:r w:rsidR="00453F72">
              <w:rPr>
                <w:webHidden/>
              </w:rPr>
              <w:fldChar w:fldCharType="separate"/>
            </w:r>
            <w:r w:rsidR="00453F72">
              <w:rPr>
                <w:webHidden/>
              </w:rPr>
              <w:t>19</w:t>
            </w:r>
            <w:r w:rsidR="00453F72">
              <w:rPr>
                <w:webHidden/>
              </w:rPr>
              <w:fldChar w:fldCharType="end"/>
            </w:r>
          </w:hyperlink>
        </w:p>
        <w:p w14:paraId="08C71CFE" w14:textId="2BFFC05D" w:rsidR="00453F72" w:rsidRDefault="006D1557">
          <w:pPr>
            <w:pStyle w:val="TOC3"/>
            <w:rPr>
              <w:rFonts w:asciiTheme="minorHAnsi" w:eastAsiaTheme="minorEastAsia" w:hAnsiTheme="minorHAnsi" w:cstheme="minorBidi"/>
            </w:rPr>
          </w:pPr>
          <w:hyperlink w:anchor="_Toc29557663" w:history="1">
            <w:r w:rsidR="00453F72" w:rsidRPr="00D60CFB">
              <w:rPr>
                <w:rStyle w:val="Hyperlink"/>
              </w:rPr>
              <w:t>The IHC dMMR test</w:t>
            </w:r>
            <w:r w:rsidR="00453F72">
              <w:rPr>
                <w:webHidden/>
              </w:rPr>
              <w:tab/>
            </w:r>
            <w:r w:rsidR="00453F72">
              <w:rPr>
                <w:webHidden/>
              </w:rPr>
              <w:fldChar w:fldCharType="begin"/>
            </w:r>
            <w:r w:rsidR="00453F72">
              <w:rPr>
                <w:webHidden/>
              </w:rPr>
              <w:instrText xml:space="preserve"> PAGEREF _Toc29557663 \h </w:instrText>
            </w:r>
            <w:r w:rsidR="00453F72">
              <w:rPr>
                <w:webHidden/>
              </w:rPr>
            </w:r>
            <w:r w:rsidR="00453F72">
              <w:rPr>
                <w:webHidden/>
              </w:rPr>
              <w:fldChar w:fldCharType="separate"/>
            </w:r>
            <w:r w:rsidR="00453F72">
              <w:rPr>
                <w:webHidden/>
              </w:rPr>
              <w:t>19</w:t>
            </w:r>
            <w:r w:rsidR="00453F72">
              <w:rPr>
                <w:webHidden/>
              </w:rPr>
              <w:fldChar w:fldCharType="end"/>
            </w:r>
          </w:hyperlink>
        </w:p>
        <w:p w14:paraId="59AFE974" w14:textId="645D25C0" w:rsidR="00453F72" w:rsidRDefault="006D1557">
          <w:pPr>
            <w:pStyle w:val="TOC3"/>
            <w:rPr>
              <w:rFonts w:asciiTheme="minorHAnsi" w:eastAsiaTheme="minorEastAsia" w:hAnsiTheme="minorHAnsi" w:cstheme="minorBidi"/>
            </w:rPr>
          </w:pPr>
          <w:hyperlink w:anchor="_Toc29557664" w:history="1">
            <w:r w:rsidR="00453F72" w:rsidRPr="00D60CFB">
              <w:rPr>
                <w:rStyle w:val="Hyperlink"/>
              </w:rPr>
              <w:t>Reference or evidentiary standard</w:t>
            </w:r>
            <w:r w:rsidR="00453F72">
              <w:rPr>
                <w:webHidden/>
              </w:rPr>
              <w:tab/>
            </w:r>
            <w:r w:rsidR="00453F72">
              <w:rPr>
                <w:webHidden/>
              </w:rPr>
              <w:fldChar w:fldCharType="begin"/>
            </w:r>
            <w:r w:rsidR="00453F72">
              <w:rPr>
                <w:webHidden/>
              </w:rPr>
              <w:instrText xml:space="preserve"> PAGEREF _Toc29557664 \h </w:instrText>
            </w:r>
            <w:r w:rsidR="00453F72">
              <w:rPr>
                <w:webHidden/>
              </w:rPr>
            </w:r>
            <w:r w:rsidR="00453F72">
              <w:rPr>
                <w:webHidden/>
              </w:rPr>
              <w:fldChar w:fldCharType="separate"/>
            </w:r>
            <w:r w:rsidR="00453F72">
              <w:rPr>
                <w:webHidden/>
              </w:rPr>
              <w:t>20</w:t>
            </w:r>
            <w:r w:rsidR="00453F72">
              <w:rPr>
                <w:webHidden/>
              </w:rPr>
              <w:fldChar w:fldCharType="end"/>
            </w:r>
          </w:hyperlink>
        </w:p>
        <w:p w14:paraId="4C9BF549" w14:textId="5B8FA8AB" w:rsidR="00453F72" w:rsidRDefault="006D1557">
          <w:pPr>
            <w:pStyle w:val="TOC3"/>
            <w:rPr>
              <w:rFonts w:asciiTheme="minorHAnsi" w:eastAsiaTheme="minorEastAsia" w:hAnsiTheme="minorHAnsi" w:cstheme="minorBidi"/>
            </w:rPr>
          </w:pPr>
          <w:hyperlink w:anchor="_Toc29557665" w:history="1">
            <w:r w:rsidR="00453F72" w:rsidRPr="00D60CFB">
              <w:rPr>
                <w:rStyle w:val="Hyperlink"/>
              </w:rPr>
              <w:t>Analytical validity</w:t>
            </w:r>
            <w:r w:rsidR="00453F72">
              <w:rPr>
                <w:webHidden/>
              </w:rPr>
              <w:tab/>
            </w:r>
            <w:r w:rsidR="00453F72">
              <w:rPr>
                <w:webHidden/>
              </w:rPr>
              <w:fldChar w:fldCharType="begin"/>
            </w:r>
            <w:r w:rsidR="00453F72">
              <w:rPr>
                <w:webHidden/>
              </w:rPr>
              <w:instrText xml:space="preserve"> PAGEREF _Toc29557665 \h </w:instrText>
            </w:r>
            <w:r w:rsidR="00453F72">
              <w:rPr>
                <w:webHidden/>
              </w:rPr>
            </w:r>
            <w:r w:rsidR="00453F72">
              <w:rPr>
                <w:webHidden/>
              </w:rPr>
              <w:fldChar w:fldCharType="separate"/>
            </w:r>
            <w:r w:rsidR="00453F72">
              <w:rPr>
                <w:webHidden/>
              </w:rPr>
              <w:t>21</w:t>
            </w:r>
            <w:r w:rsidR="00453F72">
              <w:rPr>
                <w:webHidden/>
              </w:rPr>
              <w:fldChar w:fldCharType="end"/>
            </w:r>
          </w:hyperlink>
        </w:p>
        <w:p w14:paraId="161DCBD0" w14:textId="30998448" w:rsidR="00453F72" w:rsidRDefault="006D1557">
          <w:pPr>
            <w:pStyle w:val="TOC3"/>
            <w:rPr>
              <w:rFonts w:asciiTheme="minorHAnsi" w:eastAsiaTheme="minorEastAsia" w:hAnsiTheme="minorHAnsi" w:cstheme="minorBidi"/>
            </w:rPr>
          </w:pPr>
          <w:hyperlink w:anchor="_Toc29557666" w:history="1">
            <w:r w:rsidR="00453F72" w:rsidRPr="00D60CFB">
              <w:rPr>
                <w:rStyle w:val="Hyperlink"/>
              </w:rPr>
              <w:t>Extended assessment of reliability evidence</w:t>
            </w:r>
            <w:r w:rsidR="00453F72">
              <w:rPr>
                <w:webHidden/>
              </w:rPr>
              <w:tab/>
            </w:r>
            <w:r w:rsidR="00453F72">
              <w:rPr>
                <w:webHidden/>
              </w:rPr>
              <w:fldChar w:fldCharType="begin"/>
            </w:r>
            <w:r w:rsidR="00453F72">
              <w:rPr>
                <w:webHidden/>
              </w:rPr>
              <w:instrText xml:space="preserve"> PAGEREF _Toc29557666 \h </w:instrText>
            </w:r>
            <w:r w:rsidR="00453F72">
              <w:rPr>
                <w:webHidden/>
              </w:rPr>
            </w:r>
            <w:r w:rsidR="00453F72">
              <w:rPr>
                <w:webHidden/>
              </w:rPr>
              <w:fldChar w:fldCharType="separate"/>
            </w:r>
            <w:r w:rsidR="00453F72">
              <w:rPr>
                <w:webHidden/>
              </w:rPr>
              <w:t>23</w:t>
            </w:r>
            <w:r w:rsidR="00453F72">
              <w:rPr>
                <w:webHidden/>
              </w:rPr>
              <w:fldChar w:fldCharType="end"/>
            </w:r>
          </w:hyperlink>
        </w:p>
        <w:p w14:paraId="10209952" w14:textId="36005BAE" w:rsidR="00453F72" w:rsidRDefault="006D1557">
          <w:pPr>
            <w:pStyle w:val="TOC3"/>
            <w:rPr>
              <w:rFonts w:asciiTheme="minorHAnsi" w:eastAsiaTheme="minorEastAsia" w:hAnsiTheme="minorHAnsi" w:cstheme="minorBidi"/>
            </w:rPr>
          </w:pPr>
          <w:hyperlink w:anchor="_Toc29557667" w:history="1">
            <w:r w:rsidR="00453F72" w:rsidRPr="00D60CFB">
              <w:rPr>
                <w:rStyle w:val="Hyperlink"/>
              </w:rPr>
              <w:t>Concordance analysis</w:t>
            </w:r>
            <w:r w:rsidR="00453F72">
              <w:rPr>
                <w:webHidden/>
              </w:rPr>
              <w:tab/>
            </w:r>
            <w:r w:rsidR="00453F72">
              <w:rPr>
                <w:webHidden/>
              </w:rPr>
              <w:fldChar w:fldCharType="begin"/>
            </w:r>
            <w:r w:rsidR="00453F72">
              <w:rPr>
                <w:webHidden/>
              </w:rPr>
              <w:instrText xml:space="preserve"> PAGEREF _Toc29557667 \h </w:instrText>
            </w:r>
            <w:r w:rsidR="00453F72">
              <w:rPr>
                <w:webHidden/>
              </w:rPr>
            </w:r>
            <w:r w:rsidR="00453F72">
              <w:rPr>
                <w:webHidden/>
              </w:rPr>
              <w:fldChar w:fldCharType="separate"/>
            </w:r>
            <w:r w:rsidR="00453F72">
              <w:rPr>
                <w:webHidden/>
              </w:rPr>
              <w:t>23</w:t>
            </w:r>
            <w:r w:rsidR="00453F72">
              <w:rPr>
                <w:webHidden/>
              </w:rPr>
              <w:fldChar w:fldCharType="end"/>
            </w:r>
          </w:hyperlink>
        </w:p>
        <w:p w14:paraId="4DA69F74" w14:textId="68FF83EC" w:rsidR="00453F72" w:rsidRDefault="006D1557">
          <w:pPr>
            <w:pStyle w:val="TOC3"/>
            <w:rPr>
              <w:rFonts w:asciiTheme="minorHAnsi" w:eastAsiaTheme="minorEastAsia" w:hAnsiTheme="minorHAnsi" w:cstheme="minorBidi"/>
            </w:rPr>
          </w:pPr>
          <w:hyperlink w:anchor="_Toc29557668" w:history="1">
            <w:r w:rsidR="00453F72" w:rsidRPr="00D60CFB">
              <w:rPr>
                <w:rStyle w:val="Hyperlink"/>
              </w:rPr>
              <w:t>Clinical validity</w:t>
            </w:r>
            <w:r w:rsidR="00453F72">
              <w:rPr>
                <w:webHidden/>
              </w:rPr>
              <w:tab/>
            </w:r>
            <w:r w:rsidR="00453F72">
              <w:rPr>
                <w:webHidden/>
              </w:rPr>
              <w:fldChar w:fldCharType="begin"/>
            </w:r>
            <w:r w:rsidR="00453F72">
              <w:rPr>
                <w:webHidden/>
              </w:rPr>
              <w:instrText xml:space="preserve"> PAGEREF _Toc29557668 \h </w:instrText>
            </w:r>
            <w:r w:rsidR="00453F72">
              <w:rPr>
                <w:webHidden/>
              </w:rPr>
            </w:r>
            <w:r w:rsidR="00453F72">
              <w:rPr>
                <w:webHidden/>
              </w:rPr>
              <w:fldChar w:fldCharType="separate"/>
            </w:r>
            <w:r w:rsidR="00453F72">
              <w:rPr>
                <w:webHidden/>
              </w:rPr>
              <w:t>23</w:t>
            </w:r>
            <w:r w:rsidR="00453F72">
              <w:rPr>
                <w:webHidden/>
              </w:rPr>
              <w:fldChar w:fldCharType="end"/>
            </w:r>
          </w:hyperlink>
        </w:p>
        <w:p w14:paraId="0C3FF59E" w14:textId="03914364" w:rsidR="00453F72" w:rsidRDefault="006D1557">
          <w:pPr>
            <w:pStyle w:val="TOC2"/>
            <w:rPr>
              <w:rFonts w:asciiTheme="minorHAnsi" w:eastAsiaTheme="minorEastAsia" w:hAnsiTheme="minorHAnsi" w:cstheme="minorBidi"/>
            </w:rPr>
          </w:pPr>
          <w:hyperlink w:anchor="_Toc29557669" w:history="1">
            <w:r w:rsidR="00453F72" w:rsidRPr="00D60CFB">
              <w:rPr>
                <w:rStyle w:val="Hyperlink"/>
              </w:rPr>
              <w:t>Clinical evaluation</w:t>
            </w:r>
            <w:r w:rsidR="00453F72">
              <w:rPr>
                <w:webHidden/>
              </w:rPr>
              <w:tab/>
            </w:r>
            <w:r w:rsidR="00453F72">
              <w:rPr>
                <w:webHidden/>
              </w:rPr>
              <w:fldChar w:fldCharType="begin"/>
            </w:r>
            <w:r w:rsidR="00453F72">
              <w:rPr>
                <w:webHidden/>
              </w:rPr>
              <w:instrText xml:space="preserve"> PAGEREF _Toc29557669 \h </w:instrText>
            </w:r>
            <w:r w:rsidR="00453F72">
              <w:rPr>
                <w:webHidden/>
              </w:rPr>
            </w:r>
            <w:r w:rsidR="00453F72">
              <w:rPr>
                <w:webHidden/>
              </w:rPr>
              <w:fldChar w:fldCharType="separate"/>
            </w:r>
            <w:r w:rsidR="00453F72">
              <w:rPr>
                <w:webHidden/>
              </w:rPr>
              <w:t>29</w:t>
            </w:r>
            <w:r w:rsidR="00453F72">
              <w:rPr>
                <w:webHidden/>
              </w:rPr>
              <w:fldChar w:fldCharType="end"/>
            </w:r>
          </w:hyperlink>
        </w:p>
        <w:p w14:paraId="0CBE6506" w14:textId="74364977" w:rsidR="00453F72" w:rsidRDefault="006D1557">
          <w:pPr>
            <w:pStyle w:val="TOC3"/>
            <w:rPr>
              <w:rFonts w:asciiTheme="minorHAnsi" w:eastAsiaTheme="minorEastAsia" w:hAnsiTheme="minorHAnsi" w:cstheme="minorBidi"/>
            </w:rPr>
          </w:pPr>
          <w:hyperlink w:anchor="_Toc29557670" w:history="1">
            <w:r w:rsidR="00453F72" w:rsidRPr="00D60CFB">
              <w:rPr>
                <w:rStyle w:val="Hyperlink"/>
              </w:rPr>
              <w:t>Prognosis or predisposition</w:t>
            </w:r>
            <w:r w:rsidR="00453F72">
              <w:rPr>
                <w:webHidden/>
              </w:rPr>
              <w:tab/>
            </w:r>
            <w:r w:rsidR="00453F72">
              <w:rPr>
                <w:webHidden/>
              </w:rPr>
              <w:fldChar w:fldCharType="begin"/>
            </w:r>
            <w:r w:rsidR="00453F72">
              <w:rPr>
                <w:webHidden/>
              </w:rPr>
              <w:instrText xml:space="preserve"> PAGEREF _Toc29557670 \h </w:instrText>
            </w:r>
            <w:r w:rsidR="00453F72">
              <w:rPr>
                <w:webHidden/>
              </w:rPr>
            </w:r>
            <w:r w:rsidR="00453F72">
              <w:rPr>
                <w:webHidden/>
              </w:rPr>
              <w:fldChar w:fldCharType="separate"/>
            </w:r>
            <w:r w:rsidR="00453F72">
              <w:rPr>
                <w:webHidden/>
              </w:rPr>
              <w:t>29</w:t>
            </w:r>
            <w:r w:rsidR="00453F72">
              <w:rPr>
                <w:webHidden/>
              </w:rPr>
              <w:fldChar w:fldCharType="end"/>
            </w:r>
          </w:hyperlink>
        </w:p>
        <w:p w14:paraId="7F365A9D" w14:textId="2AFED38F" w:rsidR="00453F72" w:rsidRDefault="006D1557">
          <w:pPr>
            <w:pStyle w:val="TOC3"/>
            <w:rPr>
              <w:rFonts w:asciiTheme="minorHAnsi" w:eastAsiaTheme="minorEastAsia" w:hAnsiTheme="minorHAnsi" w:cstheme="minorBidi"/>
            </w:rPr>
          </w:pPr>
          <w:hyperlink w:anchor="_Toc29557671" w:history="1">
            <w:r w:rsidR="00453F72" w:rsidRPr="00D60CFB">
              <w:rPr>
                <w:rStyle w:val="Hyperlink"/>
              </w:rPr>
              <w:t>Clinical utility</w:t>
            </w:r>
            <w:r w:rsidR="00453F72">
              <w:rPr>
                <w:webHidden/>
              </w:rPr>
              <w:tab/>
            </w:r>
            <w:r w:rsidR="00453F72">
              <w:rPr>
                <w:webHidden/>
              </w:rPr>
              <w:fldChar w:fldCharType="begin"/>
            </w:r>
            <w:r w:rsidR="00453F72">
              <w:rPr>
                <w:webHidden/>
              </w:rPr>
              <w:instrText xml:space="preserve"> PAGEREF _Toc29557671 \h </w:instrText>
            </w:r>
            <w:r w:rsidR="00453F72">
              <w:rPr>
                <w:webHidden/>
              </w:rPr>
            </w:r>
            <w:r w:rsidR="00453F72">
              <w:rPr>
                <w:webHidden/>
              </w:rPr>
              <w:fldChar w:fldCharType="separate"/>
            </w:r>
            <w:r w:rsidR="00453F72">
              <w:rPr>
                <w:webHidden/>
              </w:rPr>
              <w:t>29</w:t>
            </w:r>
            <w:r w:rsidR="00453F72">
              <w:rPr>
                <w:webHidden/>
              </w:rPr>
              <w:fldChar w:fldCharType="end"/>
            </w:r>
          </w:hyperlink>
        </w:p>
        <w:p w14:paraId="633F2528" w14:textId="6E9414F4" w:rsidR="00453F72" w:rsidRDefault="006D1557">
          <w:pPr>
            <w:pStyle w:val="TOC3"/>
            <w:rPr>
              <w:rFonts w:asciiTheme="minorHAnsi" w:eastAsiaTheme="minorEastAsia" w:hAnsiTheme="minorHAnsi" w:cstheme="minorBidi"/>
            </w:rPr>
          </w:pPr>
          <w:hyperlink w:anchor="_Toc29557672" w:history="1">
            <w:r w:rsidR="00453F72" w:rsidRPr="00D60CFB">
              <w:rPr>
                <w:rStyle w:val="Hyperlink"/>
              </w:rPr>
              <w:t>Therapeutic effectiveness (including impact of effect modification)</w:t>
            </w:r>
            <w:r w:rsidR="00453F72">
              <w:rPr>
                <w:webHidden/>
              </w:rPr>
              <w:tab/>
            </w:r>
            <w:r w:rsidR="00453F72">
              <w:rPr>
                <w:webHidden/>
              </w:rPr>
              <w:fldChar w:fldCharType="begin"/>
            </w:r>
            <w:r w:rsidR="00453F72">
              <w:rPr>
                <w:webHidden/>
              </w:rPr>
              <w:instrText xml:space="preserve"> PAGEREF _Toc29557672 \h </w:instrText>
            </w:r>
            <w:r w:rsidR="00453F72">
              <w:rPr>
                <w:webHidden/>
              </w:rPr>
            </w:r>
            <w:r w:rsidR="00453F72">
              <w:rPr>
                <w:webHidden/>
              </w:rPr>
              <w:fldChar w:fldCharType="separate"/>
            </w:r>
            <w:r w:rsidR="00453F72">
              <w:rPr>
                <w:webHidden/>
              </w:rPr>
              <w:t>30</w:t>
            </w:r>
            <w:r w:rsidR="00453F72">
              <w:rPr>
                <w:webHidden/>
              </w:rPr>
              <w:fldChar w:fldCharType="end"/>
            </w:r>
          </w:hyperlink>
        </w:p>
        <w:p w14:paraId="08814D92" w14:textId="22BC9339" w:rsidR="00453F72" w:rsidRDefault="006D1557">
          <w:pPr>
            <w:pStyle w:val="TOC2"/>
            <w:rPr>
              <w:rFonts w:asciiTheme="minorHAnsi" w:eastAsiaTheme="minorEastAsia" w:hAnsiTheme="minorHAnsi" w:cstheme="minorBidi"/>
            </w:rPr>
          </w:pPr>
          <w:hyperlink w:anchor="_Toc29557673" w:history="1">
            <w:r w:rsidR="00453F72" w:rsidRPr="00D60CFB">
              <w:rPr>
                <w:rStyle w:val="Hyperlink"/>
              </w:rPr>
              <w:t>Comparative costs</w:t>
            </w:r>
            <w:r w:rsidR="00453F72">
              <w:rPr>
                <w:webHidden/>
              </w:rPr>
              <w:tab/>
            </w:r>
            <w:r w:rsidR="00453F72">
              <w:rPr>
                <w:webHidden/>
              </w:rPr>
              <w:fldChar w:fldCharType="begin"/>
            </w:r>
            <w:r w:rsidR="00453F72">
              <w:rPr>
                <w:webHidden/>
              </w:rPr>
              <w:instrText xml:space="preserve"> PAGEREF _Toc29557673 \h </w:instrText>
            </w:r>
            <w:r w:rsidR="00453F72">
              <w:rPr>
                <w:webHidden/>
              </w:rPr>
            </w:r>
            <w:r w:rsidR="00453F72">
              <w:rPr>
                <w:webHidden/>
              </w:rPr>
              <w:fldChar w:fldCharType="separate"/>
            </w:r>
            <w:r w:rsidR="00453F72">
              <w:rPr>
                <w:webHidden/>
              </w:rPr>
              <w:t>32</w:t>
            </w:r>
            <w:r w:rsidR="00453F72">
              <w:rPr>
                <w:webHidden/>
              </w:rPr>
              <w:fldChar w:fldCharType="end"/>
            </w:r>
          </w:hyperlink>
        </w:p>
        <w:p w14:paraId="63898BF1" w14:textId="797E00DC" w:rsidR="00453F72" w:rsidRDefault="006D1557">
          <w:pPr>
            <w:pStyle w:val="TOC1"/>
            <w:rPr>
              <w:rFonts w:asciiTheme="minorHAnsi" w:eastAsiaTheme="minorEastAsia" w:hAnsiTheme="minorHAnsi" w:cstheme="minorBidi"/>
              <w:b w:val="0"/>
            </w:rPr>
          </w:pPr>
          <w:hyperlink w:anchor="_Toc29557674" w:history="1">
            <w:r w:rsidR="00453F72" w:rsidRPr="00D60CFB">
              <w:rPr>
                <w:rStyle w:val="Hyperlink"/>
              </w:rPr>
              <w:t>References</w:t>
            </w:r>
            <w:r w:rsidR="00453F72">
              <w:rPr>
                <w:webHidden/>
              </w:rPr>
              <w:tab/>
            </w:r>
            <w:r w:rsidR="00A959E0" w:rsidRPr="00A959E0">
              <w:rPr>
                <w:webHidden/>
              </w:rPr>
              <w:tab/>
            </w:r>
            <w:r w:rsidR="00453F72">
              <w:rPr>
                <w:webHidden/>
              </w:rPr>
              <w:fldChar w:fldCharType="begin"/>
            </w:r>
            <w:r w:rsidR="00453F72">
              <w:rPr>
                <w:webHidden/>
              </w:rPr>
              <w:instrText xml:space="preserve"> PAGEREF _Toc29557674 \h </w:instrText>
            </w:r>
            <w:r w:rsidR="00453F72">
              <w:rPr>
                <w:webHidden/>
              </w:rPr>
            </w:r>
            <w:r w:rsidR="00453F72">
              <w:rPr>
                <w:webHidden/>
              </w:rPr>
              <w:fldChar w:fldCharType="separate"/>
            </w:r>
            <w:r w:rsidR="00453F72">
              <w:rPr>
                <w:webHidden/>
              </w:rPr>
              <w:t>34</w:t>
            </w:r>
            <w:r w:rsidR="00453F72">
              <w:rPr>
                <w:webHidden/>
              </w:rPr>
              <w:fldChar w:fldCharType="end"/>
            </w:r>
          </w:hyperlink>
        </w:p>
        <w:p w14:paraId="59D6613C" w14:textId="32F11104" w:rsidR="00ED65EE" w:rsidRPr="00452DF6" w:rsidRDefault="00ED65EE" w:rsidP="00AA13B3">
          <w:pPr>
            <w:spacing w:line="312" w:lineRule="auto"/>
          </w:pPr>
          <w:r w:rsidRPr="00452DF6">
            <w:rPr>
              <w:b/>
              <w:bCs/>
              <w:noProof/>
            </w:rPr>
            <w:fldChar w:fldCharType="end"/>
          </w:r>
        </w:p>
      </w:sdtContent>
    </w:sdt>
    <w:p w14:paraId="7E5DF927" w14:textId="5BF51C0E" w:rsidR="00B66D53" w:rsidRDefault="00B66D53">
      <w:pPr>
        <w:jc w:val="left"/>
        <w:rPr>
          <w:b/>
          <w:smallCaps/>
          <w:sz w:val="28"/>
        </w:rPr>
      </w:pPr>
      <w:bookmarkStart w:id="23" w:name="_Toc498005180"/>
      <w:bookmarkStart w:id="24" w:name="_Toc499553346"/>
      <w:bookmarkStart w:id="25" w:name="_Toc499561445"/>
      <w:bookmarkStart w:id="26" w:name="_Toc381796427"/>
      <w:bookmarkStart w:id="27" w:name="_Toc395200738"/>
      <w:bookmarkStart w:id="28" w:name="_Toc399247193"/>
      <w:bookmarkStart w:id="29" w:name="_Toc495322195"/>
      <w:r>
        <w:br w:type="page"/>
      </w:r>
    </w:p>
    <w:p w14:paraId="3B2714AC" w14:textId="678898E2" w:rsidR="000F6AD0" w:rsidRDefault="000F6AD0" w:rsidP="00AA13B3">
      <w:pPr>
        <w:pStyle w:val="Heading2"/>
        <w:spacing w:line="312" w:lineRule="auto"/>
        <w:jc w:val="both"/>
      </w:pPr>
      <w:bookmarkStart w:id="30" w:name="_Toc29218453"/>
      <w:bookmarkStart w:id="31" w:name="_Toc29218716"/>
      <w:bookmarkStart w:id="32" w:name="_Toc29557650"/>
      <w:r>
        <w:lastRenderedPageBreak/>
        <w:t>Tables</w:t>
      </w:r>
      <w:bookmarkEnd w:id="23"/>
      <w:bookmarkEnd w:id="24"/>
      <w:bookmarkEnd w:id="25"/>
      <w:bookmarkEnd w:id="30"/>
      <w:bookmarkEnd w:id="31"/>
      <w:bookmarkEnd w:id="32"/>
    </w:p>
    <w:p w14:paraId="54536FB4" w14:textId="5B58988F" w:rsidR="00453F72" w:rsidRDefault="000F6AD0">
      <w:pPr>
        <w:pStyle w:val="TableofFigures"/>
        <w:rPr>
          <w:rFonts w:asciiTheme="minorHAnsi" w:eastAsiaTheme="minorEastAsia" w:hAnsiTheme="minorHAnsi" w:cstheme="minorBidi"/>
        </w:rPr>
      </w:pPr>
      <w:r>
        <w:fldChar w:fldCharType="begin"/>
      </w:r>
      <w:r>
        <w:instrText xml:space="preserve"> TOC \h \z \c "Table" </w:instrText>
      </w:r>
      <w:r>
        <w:fldChar w:fldCharType="separate"/>
      </w:r>
      <w:hyperlink w:anchor="_Toc29557675" w:history="1">
        <w:r w:rsidR="00453F72" w:rsidRPr="00DD7698">
          <w:rPr>
            <w:rStyle w:val="Hyperlink"/>
          </w:rPr>
          <w:t>Table 1</w:t>
        </w:r>
        <w:r w:rsidR="00453F72">
          <w:rPr>
            <w:rFonts w:asciiTheme="minorHAnsi" w:eastAsiaTheme="minorEastAsia" w:hAnsiTheme="minorHAnsi" w:cstheme="minorBidi"/>
          </w:rPr>
          <w:tab/>
        </w:r>
        <w:r w:rsidR="00453F72" w:rsidRPr="00DD7698">
          <w:rPr>
            <w:rStyle w:val="Hyperlink"/>
          </w:rPr>
          <w:t>Biomarker tests that have been used to evaluate response to pembrolizumab in patients with CRC or pan-tumours in clinical trials</w:t>
        </w:r>
        <w:r w:rsidR="00453F72">
          <w:rPr>
            <w:webHidden/>
          </w:rPr>
          <w:tab/>
        </w:r>
        <w:r w:rsidR="00453F72">
          <w:rPr>
            <w:webHidden/>
          </w:rPr>
          <w:fldChar w:fldCharType="begin"/>
        </w:r>
        <w:r w:rsidR="00453F72">
          <w:rPr>
            <w:webHidden/>
          </w:rPr>
          <w:instrText xml:space="preserve"> PAGEREF _Toc29557675 \h </w:instrText>
        </w:r>
        <w:r w:rsidR="00453F72">
          <w:rPr>
            <w:webHidden/>
          </w:rPr>
        </w:r>
        <w:r w:rsidR="00453F72">
          <w:rPr>
            <w:webHidden/>
          </w:rPr>
          <w:fldChar w:fldCharType="separate"/>
        </w:r>
        <w:r w:rsidR="00453F72">
          <w:rPr>
            <w:webHidden/>
          </w:rPr>
          <w:t>18</w:t>
        </w:r>
        <w:r w:rsidR="00453F72">
          <w:rPr>
            <w:webHidden/>
          </w:rPr>
          <w:fldChar w:fldCharType="end"/>
        </w:r>
      </w:hyperlink>
    </w:p>
    <w:p w14:paraId="1FF11D04" w14:textId="7F96B833" w:rsidR="00453F72" w:rsidRDefault="006D1557">
      <w:pPr>
        <w:pStyle w:val="TableofFigures"/>
        <w:rPr>
          <w:rFonts w:asciiTheme="minorHAnsi" w:eastAsiaTheme="minorEastAsia" w:hAnsiTheme="minorHAnsi" w:cstheme="minorBidi"/>
        </w:rPr>
      </w:pPr>
      <w:hyperlink w:anchor="_Toc29557676" w:history="1">
        <w:r w:rsidR="00453F72" w:rsidRPr="00DD7698">
          <w:rPr>
            <w:rStyle w:val="Hyperlink"/>
          </w:rPr>
          <w:t>Table 2</w:t>
        </w:r>
        <w:r w:rsidR="00453F72">
          <w:rPr>
            <w:rFonts w:asciiTheme="minorHAnsi" w:eastAsiaTheme="minorEastAsia" w:hAnsiTheme="minorHAnsi" w:cstheme="minorBidi"/>
          </w:rPr>
          <w:tab/>
        </w:r>
        <w:r w:rsidR="00453F72" w:rsidRPr="00DD7698">
          <w:rPr>
            <w:rStyle w:val="Hyperlink"/>
          </w:rPr>
          <w:t>Prevalence of the most common sporadic solid tumours cases in Australia, proportion that are Stage IV, and MSI-H prevalence per tumour type</w:t>
        </w:r>
        <w:r w:rsidR="00453F72">
          <w:rPr>
            <w:webHidden/>
          </w:rPr>
          <w:tab/>
        </w:r>
        <w:r w:rsidR="00453F72">
          <w:rPr>
            <w:webHidden/>
          </w:rPr>
          <w:fldChar w:fldCharType="begin"/>
        </w:r>
        <w:r w:rsidR="00453F72">
          <w:rPr>
            <w:webHidden/>
          </w:rPr>
          <w:instrText xml:space="preserve"> PAGEREF _Toc29557676 \h </w:instrText>
        </w:r>
        <w:r w:rsidR="00453F72">
          <w:rPr>
            <w:webHidden/>
          </w:rPr>
        </w:r>
        <w:r w:rsidR="00453F72">
          <w:rPr>
            <w:webHidden/>
          </w:rPr>
          <w:fldChar w:fldCharType="separate"/>
        </w:r>
        <w:r w:rsidR="00453F72">
          <w:rPr>
            <w:webHidden/>
          </w:rPr>
          <w:t>19</w:t>
        </w:r>
        <w:r w:rsidR="00453F72">
          <w:rPr>
            <w:webHidden/>
          </w:rPr>
          <w:fldChar w:fldCharType="end"/>
        </w:r>
      </w:hyperlink>
    </w:p>
    <w:p w14:paraId="7FF2E702" w14:textId="5A3D8104" w:rsidR="00453F72" w:rsidRDefault="006D1557">
      <w:pPr>
        <w:pStyle w:val="TableofFigures"/>
        <w:rPr>
          <w:rFonts w:asciiTheme="minorHAnsi" w:eastAsiaTheme="minorEastAsia" w:hAnsiTheme="minorHAnsi" w:cstheme="minorBidi"/>
        </w:rPr>
      </w:pPr>
      <w:hyperlink w:anchor="_Toc29557677" w:history="1">
        <w:r w:rsidR="00453F72" w:rsidRPr="00DD7698">
          <w:rPr>
            <w:rStyle w:val="Hyperlink"/>
          </w:rPr>
          <w:t>Table 3</w:t>
        </w:r>
        <w:r w:rsidR="00453F72">
          <w:rPr>
            <w:rFonts w:asciiTheme="minorHAnsi" w:eastAsiaTheme="minorEastAsia" w:hAnsiTheme="minorHAnsi" w:cstheme="minorBidi"/>
          </w:rPr>
          <w:tab/>
        </w:r>
        <w:r w:rsidR="00453F72" w:rsidRPr="00DD7698">
          <w:rPr>
            <w:rStyle w:val="Hyperlink"/>
          </w:rPr>
          <w:t>Number of patients with dMMR IHC positive test results for various non-CRC solid tumours types who would be eligible for pembrolizumab</w:t>
        </w:r>
        <w:r w:rsidR="00453F72">
          <w:rPr>
            <w:webHidden/>
          </w:rPr>
          <w:tab/>
        </w:r>
        <w:r w:rsidR="00453F72">
          <w:rPr>
            <w:webHidden/>
          </w:rPr>
          <w:fldChar w:fldCharType="begin"/>
        </w:r>
        <w:r w:rsidR="00453F72">
          <w:rPr>
            <w:webHidden/>
          </w:rPr>
          <w:instrText xml:space="preserve"> PAGEREF _Toc29557677 \h </w:instrText>
        </w:r>
        <w:r w:rsidR="00453F72">
          <w:rPr>
            <w:webHidden/>
          </w:rPr>
        </w:r>
        <w:r w:rsidR="00453F72">
          <w:rPr>
            <w:webHidden/>
          </w:rPr>
          <w:fldChar w:fldCharType="separate"/>
        </w:r>
        <w:r w:rsidR="00453F72">
          <w:rPr>
            <w:webHidden/>
          </w:rPr>
          <w:t>27</w:t>
        </w:r>
        <w:r w:rsidR="00453F72">
          <w:rPr>
            <w:webHidden/>
          </w:rPr>
          <w:fldChar w:fldCharType="end"/>
        </w:r>
      </w:hyperlink>
    </w:p>
    <w:p w14:paraId="24953FA6" w14:textId="408BB185" w:rsidR="00453F72" w:rsidRDefault="006D1557">
      <w:pPr>
        <w:pStyle w:val="TableofFigures"/>
        <w:rPr>
          <w:rFonts w:asciiTheme="minorHAnsi" w:eastAsiaTheme="minorEastAsia" w:hAnsiTheme="minorHAnsi" w:cstheme="minorBidi"/>
        </w:rPr>
      </w:pPr>
      <w:hyperlink w:anchor="_Toc29557678" w:history="1">
        <w:r w:rsidR="00453F72" w:rsidRPr="00DD7698">
          <w:rPr>
            <w:rStyle w:val="Hyperlink"/>
          </w:rPr>
          <w:t>Table 4</w:t>
        </w:r>
        <w:r w:rsidR="00453F72">
          <w:rPr>
            <w:rFonts w:asciiTheme="minorHAnsi" w:eastAsiaTheme="minorEastAsia" w:hAnsiTheme="minorHAnsi" w:cstheme="minorBidi"/>
          </w:rPr>
          <w:tab/>
        </w:r>
        <w:r w:rsidR="00453F72" w:rsidRPr="00DD7698">
          <w:rPr>
            <w:rStyle w:val="Hyperlink"/>
          </w:rPr>
          <w:t>Number needed to screen to detect one patient with a dMMR IHC positive test result for various non-CRC solid tumours</w:t>
        </w:r>
        <w:r w:rsidR="00453F72">
          <w:rPr>
            <w:webHidden/>
          </w:rPr>
          <w:tab/>
        </w:r>
        <w:r w:rsidR="00453F72">
          <w:rPr>
            <w:webHidden/>
          </w:rPr>
          <w:fldChar w:fldCharType="begin"/>
        </w:r>
        <w:r w:rsidR="00453F72">
          <w:rPr>
            <w:webHidden/>
          </w:rPr>
          <w:instrText xml:space="preserve"> PAGEREF _Toc29557678 \h </w:instrText>
        </w:r>
        <w:r w:rsidR="00453F72">
          <w:rPr>
            <w:webHidden/>
          </w:rPr>
        </w:r>
        <w:r w:rsidR="00453F72">
          <w:rPr>
            <w:webHidden/>
          </w:rPr>
          <w:fldChar w:fldCharType="separate"/>
        </w:r>
        <w:r w:rsidR="00453F72">
          <w:rPr>
            <w:webHidden/>
          </w:rPr>
          <w:t>33</w:t>
        </w:r>
        <w:r w:rsidR="00453F72">
          <w:rPr>
            <w:webHidden/>
          </w:rPr>
          <w:fldChar w:fldCharType="end"/>
        </w:r>
      </w:hyperlink>
    </w:p>
    <w:p w14:paraId="4A57FE8C" w14:textId="31DF0870" w:rsidR="000F6AD0" w:rsidRPr="000F6AD0" w:rsidRDefault="000F6AD0" w:rsidP="000F6AD0">
      <w:r>
        <w:fldChar w:fldCharType="end"/>
      </w:r>
    </w:p>
    <w:p w14:paraId="105D158A" w14:textId="6A60F5F8" w:rsidR="00ED65EE" w:rsidRPr="00452DF6" w:rsidRDefault="00ED65EE" w:rsidP="00AA13B3">
      <w:pPr>
        <w:pStyle w:val="Heading2"/>
        <w:spacing w:line="312" w:lineRule="auto"/>
        <w:jc w:val="both"/>
      </w:pPr>
      <w:bookmarkStart w:id="33" w:name="_Toc498005181"/>
      <w:bookmarkStart w:id="34" w:name="_Toc499553347"/>
      <w:bookmarkStart w:id="35" w:name="_Toc499561446"/>
      <w:bookmarkStart w:id="36" w:name="_Toc29218454"/>
      <w:bookmarkStart w:id="37" w:name="_Toc29218717"/>
      <w:bookmarkStart w:id="38" w:name="_Toc29557651"/>
      <w:r w:rsidRPr="00452DF6">
        <w:t>Figures</w:t>
      </w:r>
      <w:bookmarkEnd w:id="26"/>
      <w:bookmarkEnd w:id="27"/>
      <w:bookmarkEnd w:id="28"/>
      <w:bookmarkEnd w:id="29"/>
      <w:bookmarkEnd w:id="33"/>
      <w:bookmarkEnd w:id="34"/>
      <w:bookmarkEnd w:id="35"/>
      <w:bookmarkEnd w:id="36"/>
      <w:bookmarkEnd w:id="37"/>
      <w:bookmarkEnd w:id="38"/>
    </w:p>
    <w:p w14:paraId="4A4DABC5" w14:textId="48C9E51B" w:rsidR="00453F72" w:rsidRDefault="00ED65EE">
      <w:pPr>
        <w:pStyle w:val="TableofFigures"/>
        <w:rPr>
          <w:rFonts w:asciiTheme="minorHAnsi" w:eastAsiaTheme="minorEastAsia" w:hAnsiTheme="minorHAnsi" w:cstheme="minorBidi"/>
        </w:rPr>
      </w:pPr>
      <w:r w:rsidRPr="00452DF6">
        <w:rPr>
          <w:szCs w:val="24"/>
        </w:rPr>
        <w:fldChar w:fldCharType="begin"/>
      </w:r>
      <w:r w:rsidRPr="00452DF6">
        <w:rPr>
          <w:szCs w:val="24"/>
        </w:rPr>
        <w:instrText xml:space="preserve"> TOC \h \z \c "Figure" </w:instrText>
      </w:r>
      <w:r w:rsidRPr="00452DF6">
        <w:rPr>
          <w:szCs w:val="24"/>
        </w:rPr>
        <w:fldChar w:fldCharType="separate"/>
      </w:r>
      <w:hyperlink w:anchor="_Toc29557683" w:history="1">
        <w:r w:rsidR="00453F72" w:rsidRPr="00182544">
          <w:rPr>
            <w:rStyle w:val="Hyperlink"/>
          </w:rPr>
          <w:t>Figure 1</w:t>
        </w:r>
        <w:r w:rsidR="00453F72">
          <w:rPr>
            <w:rFonts w:asciiTheme="minorHAnsi" w:eastAsiaTheme="minorEastAsia" w:hAnsiTheme="minorHAnsi" w:cstheme="minorBidi"/>
          </w:rPr>
          <w:tab/>
        </w:r>
        <w:r w:rsidR="00453F72" w:rsidRPr="00182544">
          <w:rPr>
            <w:rStyle w:val="Hyperlink"/>
          </w:rPr>
          <w:t>The post-test probability of having the biomarker (dMMR) after receiving a positive test result (PPV) and after receiving a negative test result (1-NPV) for prevalence rates from 0–100%</w:t>
        </w:r>
        <w:r w:rsidR="00453F72">
          <w:rPr>
            <w:webHidden/>
          </w:rPr>
          <w:tab/>
        </w:r>
        <w:r w:rsidR="00453F72">
          <w:rPr>
            <w:webHidden/>
          </w:rPr>
          <w:fldChar w:fldCharType="begin"/>
        </w:r>
        <w:r w:rsidR="00453F72">
          <w:rPr>
            <w:webHidden/>
          </w:rPr>
          <w:instrText xml:space="preserve"> PAGEREF _Toc29557683 \h </w:instrText>
        </w:r>
        <w:r w:rsidR="00453F72">
          <w:rPr>
            <w:webHidden/>
          </w:rPr>
        </w:r>
        <w:r w:rsidR="00453F72">
          <w:rPr>
            <w:webHidden/>
          </w:rPr>
          <w:fldChar w:fldCharType="separate"/>
        </w:r>
        <w:r w:rsidR="00453F72">
          <w:rPr>
            <w:webHidden/>
          </w:rPr>
          <w:t>25</w:t>
        </w:r>
        <w:r w:rsidR="00453F72">
          <w:rPr>
            <w:webHidden/>
          </w:rPr>
          <w:fldChar w:fldCharType="end"/>
        </w:r>
      </w:hyperlink>
    </w:p>
    <w:p w14:paraId="20C38227" w14:textId="12E3040A" w:rsidR="00453F72" w:rsidRDefault="006D1557">
      <w:pPr>
        <w:pStyle w:val="TableofFigures"/>
        <w:rPr>
          <w:rFonts w:asciiTheme="minorHAnsi" w:eastAsiaTheme="minorEastAsia" w:hAnsiTheme="minorHAnsi" w:cstheme="minorBidi"/>
        </w:rPr>
      </w:pPr>
      <w:hyperlink w:anchor="_Toc29557684" w:history="1">
        <w:r w:rsidR="00453F72" w:rsidRPr="00182544">
          <w:rPr>
            <w:rStyle w:val="Hyperlink"/>
          </w:rPr>
          <w:t>Figure 2</w:t>
        </w:r>
        <w:r w:rsidR="00453F72">
          <w:rPr>
            <w:rFonts w:asciiTheme="minorHAnsi" w:eastAsiaTheme="minorEastAsia" w:hAnsiTheme="minorHAnsi" w:cstheme="minorBidi"/>
          </w:rPr>
          <w:tab/>
        </w:r>
        <w:r w:rsidR="00453F72" w:rsidRPr="00182544">
          <w:rPr>
            <w:rStyle w:val="Hyperlink"/>
          </w:rPr>
          <w:t>An algorithm to guide testing and treatment for a pan-tumour population to minimise harm in the event of false-positive test results</w:t>
        </w:r>
        <w:r w:rsidR="00453F72">
          <w:rPr>
            <w:webHidden/>
          </w:rPr>
          <w:tab/>
        </w:r>
        <w:r w:rsidR="00453F72">
          <w:rPr>
            <w:webHidden/>
          </w:rPr>
          <w:fldChar w:fldCharType="begin"/>
        </w:r>
        <w:r w:rsidR="00453F72">
          <w:rPr>
            <w:webHidden/>
          </w:rPr>
          <w:instrText xml:space="preserve"> PAGEREF _Toc29557684 \h </w:instrText>
        </w:r>
        <w:r w:rsidR="00453F72">
          <w:rPr>
            <w:webHidden/>
          </w:rPr>
        </w:r>
        <w:r w:rsidR="00453F72">
          <w:rPr>
            <w:webHidden/>
          </w:rPr>
          <w:fldChar w:fldCharType="separate"/>
        </w:r>
        <w:r w:rsidR="00453F72">
          <w:rPr>
            <w:webHidden/>
          </w:rPr>
          <w:t>28</w:t>
        </w:r>
        <w:r w:rsidR="00453F72">
          <w:rPr>
            <w:webHidden/>
          </w:rPr>
          <w:fldChar w:fldCharType="end"/>
        </w:r>
      </w:hyperlink>
    </w:p>
    <w:p w14:paraId="0764E6FE" w14:textId="092E114A" w:rsidR="00453F72" w:rsidRDefault="006D1557">
      <w:pPr>
        <w:pStyle w:val="TableofFigures"/>
        <w:rPr>
          <w:rFonts w:asciiTheme="minorHAnsi" w:eastAsiaTheme="minorEastAsia" w:hAnsiTheme="minorHAnsi" w:cstheme="minorBidi"/>
        </w:rPr>
      </w:pPr>
      <w:hyperlink w:anchor="_Toc29557685" w:history="1">
        <w:r w:rsidR="00453F72" w:rsidRPr="00182544">
          <w:rPr>
            <w:rStyle w:val="Hyperlink"/>
          </w:rPr>
          <w:t>Figure 3</w:t>
        </w:r>
        <w:r w:rsidR="00453F72">
          <w:rPr>
            <w:rFonts w:asciiTheme="minorHAnsi" w:eastAsiaTheme="minorEastAsia" w:hAnsiTheme="minorHAnsi" w:cstheme="minorBidi"/>
          </w:rPr>
          <w:tab/>
        </w:r>
        <w:r w:rsidR="00453F72" w:rsidRPr="00182544">
          <w:rPr>
            <w:rStyle w:val="Hyperlink"/>
          </w:rPr>
          <w:t>Indirect comparison of the effectiveness of pembrolizumab versus standard of care in dMMR CRC compared with dMMR pan-tumours (A) and standard of care treatment options in biomarker unselected populations</w:t>
        </w:r>
        <w:r w:rsidR="00453F72">
          <w:rPr>
            <w:webHidden/>
          </w:rPr>
          <w:tab/>
        </w:r>
        <w:r w:rsidR="00453F72">
          <w:rPr>
            <w:webHidden/>
          </w:rPr>
          <w:fldChar w:fldCharType="begin"/>
        </w:r>
        <w:r w:rsidR="00453F72">
          <w:rPr>
            <w:webHidden/>
          </w:rPr>
          <w:instrText xml:space="preserve"> PAGEREF _Toc29557685 \h </w:instrText>
        </w:r>
        <w:r w:rsidR="00453F72">
          <w:rPr>
            <w:webHidden/>
          </w:rPr>
        </w:r>
        <w:r w:rsidR="00453F72">
          <w:rPr>
            <w:webHidden/>
          </w:rPr>
          <w:fldChar w:fldCharType="separate"/>
        </w:r>
        <w:r w:rsidR="00453F72">
          <w:rPr>
            <w:webHidden/>
          </w:rPr>
          <w:t>31</w:t>
        </w:r>
        <w:r w:rsidR="00453F72">
          <w:rPr>
            <w:webHidden/>
          </w:rPr>
          <w:fldChar w:fldCharType="end"/>
        </w:r>
      </w:hyperlink>
    </w:p>
    <w:p w14:paraId="27100E8B" w14:textId="317E0334" w:rsidR="00ED65EE" w:rsidRPr="00452DF6" w:rsidRDefault="00ED65EE" w:rsidP="00AA13B3">
      <w:pPr>
        <w:spacing w:line="312" w:lineRule="auto"/>
        <w:ind w:left="414"/>
      </w:pPr>
      <w:r w:rsidRPr="00452DF6">
        <w:rPr>
          <w:szCs w:val="24"/>
        </w:rPr>
        <w:fldChar w:fldCharType="end"/>
      </w:r>
    </w:p>
    <w:p w14:paraId="2E0ABD38" w14:textId="77777777" w:rsidR="00ED65EE" w:rsidRPr="00452DF6" w:rsidRDefault="00ED65EE" w:rsidP="00AA13B3">
      <w:pPr>
        <w:spacing w:line="312" w:lineRule="auto"/>
        <w:sectPr w:rsidR="00ED65EE" w:rsidRPr="00452DF6" w:rsidSect="001229D7">
          <w:headerReference w:type="even" r:id="rId8"/>
          <w:headerReference w:type="default" r:id="rId9"/>
          <w:footerReference w:type="even" r:id="rId10"/>
          <w:footerReference w:type="default" r:id="rId11"/>
          <w:headerReference w:type="first" r:id="rId12"/>
          <w:footerReference w:type="first" r:id="rId13"/>
          <w:type w:val="oddPage"/>
          <w:pgSz w:w="11906" w:h="16838"/>
          <w:pgMar w:top="1440" w:right="1440" w:bottom="1440" w:left="1440" w:header="720" w:footer="720" w:gutter="0"/>
          <w:paperSrc w:first="2" w:other="2"/>
          <w:pgNumType w:fmt="lowerRoman"/>
          <w:cols w:space="720"/>
          <w:docGrid w:linePitch="299"/>
        </w:sectPr>
      </w:pPr>
    </w:p>
    <w:p w14:paraId="6D09D533" w14:textId="3BC64EA6" w:rsidR="00ED65EE" w:rsidRPr="00452DF6" w:rsidRDefault="00693FD5" w:rsidP="00AA13B3">
      <w:pPr>
        <w:pStyle w:val="Heading1"/>
        <w:spacing w:line="312" w:lineRule="auto"/>
        <w:jc w:val="both"/>
      </w:pPr>
      <w:bookmarkStart w:id="39" w:name="_Toc29557652"/>
      <w:r>
        <w:lastRenderedPageBreak/>
        <w:t xml:space="preserve">Executive </w:t>
      </w:r>
      <w:r w:rsidR="003C1C57">
        <w:t>Summary</w:t>
      </w:r>
      <w:bookmarkEnd w:id="39"/>
    </w:p>
    <w:p w14:paraId="7ED4B73F" w14:textId="1C8BE512" w:rsidR="00976D8F" w:rsidRDefault="000F6AD0" w:rsidP="00997C9D">
      <w:pPr>
        <w:spacing w:line="312" w:lineRule="auto"/>
      </w:pPr>
      <w:bookmarkStart w:id="40" w:name="_Toc379118060"/>
      <w:bookmarkStart w:id="41" w:name="_Toc379118252"/>
      <w:r>
        <w:t xml:space="preserve">The aim of this </w:t>
      </w:r>
      <w:r w:rsidRPr="000F6AD0">
        <w:t xml:space="preserve">discussion paper </w:t>
      </w:r>
      <w:r w:rsidR="00693FD5">
        <w:t>i</w:t>
      </w:r>
      <w:r>
        <w:t xml:space="preserve">s to </w:t>
      </w:r>
      <w:r w:rsidR="00693FD5">
        <w:t xml:space="preserve">provide guidance on </w:t>
      </w:r>
      <w:r w:rsidR="00467C46">
        <w:t xml:space="preserve">the evidence </w:t>
      </w:r>
      <w:r w:rsidR="00693FD5">
        <w:t xml:space="preserve">needed </w:t>
      </w:r>
      <w:r w:rsidR="00467C46">
        <w:t xml:space="preserve">to </w:t>
      </w:r>
      <w:r w:rsidRPr="000F6AD0">
        <w:t>evaluat</w:t>
      </w:r>
      <w:r>
        <w:t>e</w:t>
      </w:r>
      <w:r w:rsidRPr="000F6AD0">
        <w:t xml:space="preserve"> </w:t>
      </w:r>
      <w:r w:rsidR="00693FD5">
        <w:t>immunohistochemistry (IHC) testing for mismatch repair deficiency (</w:t>
      </w:r>
      <w:r w:rsidRPr="000F6AD0">
        <w:t>dMMR</w:t>
      </w:r>
      <w:r w:rsidR="00693FD5">
        <w:t>) in colorectal cance</w:t>
      </w:r>
      <w:r w:rsidR="00A15586">
        <w:t>r</w:t>
      </w:r>
      <w:r w:rsidRPr="000F6AD0">
        <w:t xml:space="preserve"> </w:t>
      </w:r>
      <w:r w:rsidR="00693FD5">
        <w:t>(</w:t>
      </w:r>
      <w:r w:rsidRPr="000F6AD0">
        <w:t>CRC</w:t>
      </w:r>
      <w:r w:rsidR="00693FD5">
        <w:t>)</w:t>
      </w:r>
      <w:r w:rsidRPr="000F6AD0">
        <w:t xml:space="preserve"> </w:t>
      </w:r>
      <w:r>
        <w:t xml:space="preserve">and </w:t>
      </w:r>
      <w:r w:rsidR="00693FD5">
        <w:t>many other types of tumour (</w:t>
      </w:r>
      <w:r>
        <w:t>pan-tumour</w:t>
      </w:r>
      <w:r w:rsidR="00D002DB">
        <w:t xml:space="preserve"> or tumour agnostic</w:t>
      </w:r>
      <w:r w:rsidR="00693FD5">
        <w:t>)</w:t>
      </w:r>
      <w:r>
        <w:t xml:space="preserve">, </w:t>
      </w:r>
      <w:r w:rsidR="00693FD5">
        <w:t>in order to access pembrolizumab treatment</w:t>
      </w:r>
      <w:r w:rsidR="00976D8F">
        <w:t>.</w:t>
      </w:r>
      <w:r w:rsidRPr="000F6AD0">
        <w:t xml:space="preserve"> </w:t>
      </w:r>
      <w:r w:rsidR="00976D8F">
        <w:t>S</w:t>
      </w:r>
      <w:r w:rsidRPr="000F6AD0">
        <w:t xml:space="preserve">ubsequent co-dependent </w:t>
      </w:r>
      <w:r w:rsidR="00976D8F">
        <w:t>technology submissions seeking subsidy for biomarker testing for</w:t>
      </w:r>
      <w:r w:rsidRPr="000F6AD0">
        <w:t xml:space="preserve"> treatment</w:t>
      </w:r>
      <w:r w:rsidR="00976D8F">
        <w:t>s that have pan-tumour effects may also be assessed according to this guidance.</w:t>
      </w:r>
    </w:p>
    <w:p w14:paraId="71DC6BED" w14:textId="7E06A4A3" w:rsidR="00976D8F" w:rsidRDefault="00871411" w:rsidP="00997C9D">
      <w:pPr>
        <w:spacing w:line="312" w:lineRule="auto"/>
      </w:pPr>
      <w:r>
        <w:t>One key aim of companion testing</w:t>
      </w:r>
      <w:r w:rsidR="00976D8F">
        <w:t xml:space="preserve"> is to determine whether </w:t>
      </w:r>
      <w:r>
        <w:t>the test</w:t>
      </w:r>
      <w:r w:rsidR="00976D8F">
        <w:t xml:space="preserve"> accurately identifies the </w:t>
      </w:r>
      <w:r w:rsidR="00F21001">
        <w:t xml:space="preserve">appropriate </w:t>
      </w:r>
      <w:r w:rsidR="00976D8F">
        <w:t>biomarker, in order for the clinician to commence the patient on treatment</w:t>
      </w:r>
      <w:r w:rsidR="00775B7D">
        <w:t xml:space="preserve"> in the appropriate clinical context</w:t>
      </w:r>
      <w:r w:rsidR="00976D8F">
        <w:t xml:space="preserve">. Accuracy in this </w:t>
      </w:r>
      <w:r w:rsidR="00F21001">
        <w:t>determination</w:t>
      </w:r>
      <w:r>
        <w:t xml:space="preserve"> flows on to judging </w:t>
      </w:r>
      <w:r w:rsidR="00976D8F">
        <w:t xml:space="preserve">when the likelihood of harms from an incorrect test result </w:t>
      </w:r>
      <w:r>
        <w:t>would be</w:t>
      </w:r>
      <w:r w:rsidR="00976D8F">
        <w:t xml:space="preserve"> outweighed by the likelihood of benefits from correctly targeted treatment. </w:t>
      </w:r>
      <w:r w:rsidR="00775B7D">
        <w:t>Four</w:t>
      </w:r>
      <w:r w:rsidR="00976D8F">
        <w:t xml:space="preserve"> pieces of information are critical to assess this balance of benefits and harms:</w:t>
      </w:r>
    </w:p>
    <w:p w14:paraId="2C2D9BFC" w14:textId="760425A9" w:rsidR="00976D8F" w:rsidRDefault="00976D8F" w:rsidP="00EA19A3">
      <w:pPr>
        <w:pStyle w:val="ListParagraph"/>
        <w:numPr>
          <w:ilvl w:val="0"/>
          <w:numId w:val="17"/>
        </w:numPr>
        <w:spacing w:line="312" w:lineRule="auto"/>
        <w:contextualSpacing/>
      </w:pPr>
      <w:r>
        <w:t xml:space="preserve">The sensitivity and specificity of the </w:t>
      </w:r>
      <w:r w:rsidR="00775B7D">
        <w:t xml:space="preserve">proposed </w:t>
      </w:r>
      <w:r>
        <w:t>test compared to the reference standard or the evidentiary standard</w:t>
      </w:r>
      <w:r w:rsidR="00775B7D">
        <w:t xml:space="preserve"> </w:t>
      </w:r>
      <w:r w:rsidR="00335E3A">
        <w:t xml:space="preserve">(which </w:t>
      </w:r>
      <w:r w:rsidR="00775B7D">
        <w:t>in this case</w:t>
      </w:r>
      <w:r w:rsidR="00335E3A">
        <w:t xml:space="preserve"> is</w:t>
      </w:r>
      <w:r w:rsidR="00F21001">
        <w:t xml:space="preserve"> </w:t>
      </w:r>
      <w:r w:rsidR="00CC6AB6">
        <w:t>M</w:t>
      </w:r>
      <w:r w:rsidR="00775B7D">
        <w:t>SI</w:t>
      </w:r>
      <w:r w:rsidR="000E4F60">
        <w:t>-H</w:t>
      </w:r>
      <w:r w:rsidR="00A824B6">
        <w:t xml:space="preserve"> </w:t>
      </w:r>
      <w:r w:rsidR="00B16639">
        <w:t>phenotype testing</w:t>
      </w:r>
      <w:r w:rsidR="00335E3A">
        <w:t>)</w:t>
      </w:r>
      <w:r w:rsidR="00974065">
        <w:t>.</w:t>
      </w:r>
    </w:p>
    <w:p w14:paraId="4CE812CD" w14:textId="7A038DB2" w:rsidR="00775B7D" w:rsidRDefault="00775B7D" w:rsidP="00DE4805">
      <w:pPr>
        <w:pStyle w:val="ListParagraph"/>
        <w:numPr>
          <w:ilvl w:val="0"/>
          <w:numId w:val="17"/>
        </w:numPr>
        <w:spacing w:line="312" w:lineRule="auto"/>
        <w:ind w:left="714" w:hanging="357"/>
        <w:contextualSpacing/>
      </w:pPr>
      <w:r>
        <w:t xml:space="preserve">The </w:t>
      </w:r>
      <w:r w:rsidR="007112C1">
        <w:t>relationship</w:t>
      </w:r>
      <w:r>
        <w:t xml:space="preserve"> between </w:t>
      </w:r>
      <w:r w:rsidR="00F21001">
        <w:t>alternative biomarkers</w:t>
      </w:r>
      <w:r w:rsidR="00335E3A">
        <w:t xml:space="preserve"> </w:t>
      </w:r>
      <w:r w:rsidR="00974065">
        <w:t xml:space="preserve">(which in </w:t>
      </w:r>
      <w:r w:rsidR="00F21001">
        <w:t xml:space="preserve">this case </w:t>
      </w:r>
      <w:r w:rsidR="00974065">
        <w:t xml:space="preserve">is </w:t>
      </w:r>
      <w:r w:rsidR="00F21001">
        <w:t xml:space="preserve">the </w:t>
      </w:r>
      <w:r w:rsidR="000E4F60">
        <w:t xml:space="preserve">dMMR </w:t>
      </w:r>
      <w:r w:rsidR="000B73C1">
        <w:t xml:space="preserve">biomarker </w:t>
      </w:r>
      <w:r>
        <w:t xml:space="preserve">and the evidentiary standard </w:t>
      </w:r>
      <w:r w:rsidR="00EA19A3">
        <w:t xml:space="preserve">MSI-H </w:t>
      </w:r>
      <w:r w:rsidR="00B16639">
        <w:t>phenotype</w:t>
      </w:r>
      <w:r w:rsidR="00974065">
        <w:t>)</w:t>
      </w:r>
      <w:r>
        <w:t>.</w:t>
      </w:r>
    </w:p>
    <w:p w14:paraId="12142CD2" w14:textId="540141E2" w:rsidR="00976D8F" w:rsidRDefault="00976D8F" w:rsidP="00DE4805">
      <w:pPr>
        <w:pStyle w:val="ListParagraph"/>
        <w:numPr>
          <w:ilvl w:val="0"/>
          <w:numId w:val="17"/>
        </w:numPr>
        <w:spacing w:line="312" w:lineRule="auto"/>
        <w:ind w:left="714" w:hanging="357"/>
        <w:contextualSpacing/>
      </w:pPr>
      <w:r>
        <w:t>The prevalence of the</w:t>
      </w:r>
      <w:r w:rsidR="00775B7D">
        <w:t>se</w:t>
      </w:r>
      <w:r>
        <w:t xml:space="preserve"> biomarker</w:t>
      </w:r>
      <w:r w:rsidR="00775B7D">
        <w:t>s</w:t>
      </w:r>
      <w:r>
        <w:t xml:space="preserve">, as determined by </w:t>
      </w:r>
      <w:r w:rsidR="00F21001">
        <w:t xml:space="preserve">the </w:t>
      </w:r>
      <w:r w:rsidR="00775B7D">
        <w:t xml:space="preserve">proposed companion test, </w:t>
      </w:r>
      <w:r>
        <w:t>the reference standard</w:t>
      </w:r>
      <w:r w:rsidR="00F21001">
        <w:t>,</w:t>
      </w:r>
      <w:r>
        <w:t xml:space="preserve"> or </w:t>
      </w:r>
      <w:r w:rsidR="00775B7D">
        <w:t xml:space="preserve">the </w:t>
      </w:r>
      <w:r>
        <w:t>evidentiary standard.</w:t>
      </w:r>
    </w:p>
    <w:p w14:paraId="71C24931" w14:textId="19CBBA73" w:rsidR="00976D8F" w:rsidRDefault="00976D8F" w:rsidP="00A15586">
      <w:pPr>
        <w:pStyle w:val="ListParagraph"/>
        <w:numPr>
          <w:ilvl w:val="0"/>
          <w:numId w:val="17"/>
        </w:numPr>
        <w:spacing w:line="312" w:lineRule="auto"/>
      </w:pPr>
      <w:r>
        <w:t>The degree of harm likely to be experienced by the patient through subsequent treatment decisions if incorrectly identified as having the biomarker by the test (false positive) or through failing to identify the biomarker (false negative).</w:t>
      </w:r>
    </w:p>
    <w:p w14:paraId="2F3EDDB2" w14:textId="61FC3298" w:rsidR="00976D8F" w:rsidRDefault="00976D8F" w:rsidP="00976D8F">
      <w:pPr>
        <w:spacing w:line="312" w:lineRule="auto"/>
      </w:pPr>
      <w:r>
        <w:t>In addition, for pan-tumour testing applications the following information is recommended:</w:t>
      </w:r>
    </w:p>
    <w:p w14:paraId="1AE707C2" w14:textId="15C978CD" w:rsidR="00AF25B3" w:rsidRDefault="00AF25B3" w:rsidP="003F5124">
      <w:pPr>
        <w:pStyle w:val="ListParagraph"/>
        <w:numPr>
          <w:ilvl w:val="0"/>
          <w:numId w:val="18"/>
        </w:numPr>
        <w:spacing w:after="240" w:line="312" w:lineRule="auto"/>
        <w:ind w:left="714" w:hanging="357"/>
        <w:contextualSpacing/>
      </w:pPr>
      <w:r w:rsidRPr="00237849">
        <w:rPr>
          <w:b/>
        </w:rPr>
        <w:t>Recommendation 1:</w:t>
      </w:r>
      <w:r>
        <w:t xml:space="preserve"> </w:t>
      </w:r>
      <w:r w:rsidR="00CF3D13">
        <w:t>A</w:t>
      </w:r>
      <w:r w:rsidRPr="00452DF6">
        <w:t xml:space="preserve"> </w:t>
      </w:r>
      <w:r w:rsidR="00CF3D13">
        <w:t xml:space="preserve">biological plausibility </w:t>
      </w:r>
      <w:r w:rsidRPr="00452DF6">
        <w:t xml:space="preserve">analysis </w:t>
      </w:r>
      <w:r w:rsidR="00CF3D13">
        <w:t>to give the</w:t>
      </w:r>
      <w:r w:rsidRPr="00452DF6">
        <w:t xml:space="preserve"> rationale as to why </w:t>
      </w:r>
      <w:r w:rsidR="007347C1">
        <w:t xml:space="preserve">a </w:t>
      </w:r>
      <w:r w:rsidR="00D06E90">
        <w:t>therapeutic</w:t>
      </w:r>
      <w:r w:rsidR="007347C1">
        <w:t xml:space="preserve"> </w:t>
      </w:r>
      <w:r w:rsidRPr="00452DF6">
        <w:t xml:space="preserve">response to </w:t>
      </w:r>
      <w:r w:rsidR="00CF3D13">
        <w:t xml:space="preserve">the treatment </w:t>
      </w:r>
      <w:r w:rsidRPr="00452DF6">
        <w:t>could be expected</w:t>
      </w:r>
      <w:r w:rsidR="003F5124">
        <w:t xml:space="preserve"> </w:t>
      </w:r>
      <w:r w:rsidR="00CF3D13">
        <w:t>across</w:t>
      </w:r>
      <w:r w:rsidRPr="00452DF6">
        <w:t xml:space="preserve"> diverse </w:t>
      </w:r>
      <w:r w:rsidR="00CF3D13">
        <w:t>sites or organs</w:t>
      </w:r>
      <w:r w:rsidRPr="00452DF6">
        <w:t>.</w:t>
      </w:r>
    </w:p>
    <w:p w14:paraId="58809259" w14:textId="32892329" w:rsidR="009570CA" w:rsidRDefault="00AF25B3" w:rsidP="003F5124">
      <w:pPr>
        <w:pStyle w:val="ListParagraph"/>
        <w:numPr>
          <w:ilvl w:val="0"/>
          <w:numId w:val="18"/>
        </w:numPr>
        <w:spacing w:after="240" w:line="312" w:lineRule="auto"/>
        <w:ind w:left="714" w:hanging="357"/>
        <w:contextualSpacing/>
        <w:rPr>
          <w:bCs/>
        </w:rPr>
      </w:pPr>
      <w:r w:rsidRPr="00237849">
        <w:rPr>
          <w:b/>
        </w:rPr>
        <w:t>Recommendation 2:</w:t>
      </w:r>
      <w:r>
        <w:t xml:space="preserve"> Any other </w:t>
      </w:r>
      <w:r w:rsidR="00871411">
        <w:t>bio</w:t>
      </w:r>
      <w:r>
        <w:t>markers that may have</w:t>
      </w:r>
      <w:r w:rsidRPr="001730B9">
        <w:rPr>
          <w:bCs/>
        </w:rPr>
        <w:t xml:space="preserve"> </w:t>
      </w:r>
      <w:r w:rsidRPr="00C635B1">
        <w:rPr>
          <w:bCs/>
        </w:rPr>
        <w:t xml:space="preserve">predictive value for </w:t>
      </w:r>
      <w:r w:rsidR="00CF3D13">
        <w:rPr>
          <w:bCs/>
        </w:rPr>
        <w:t xml:space="preserve">the proposed </w:t>
      </w:r>
      <w:r w:rsidRPr="00C635B1">
        <w:rPr>
          <w:bCs/>
        </w:rPr>
        <w:t>treatment</w:t>
      </w:r>
      <w:r>
        <w:rPr>
          <w:bCs/>
        </w:rPr>
        <w:t xml:space="preserve"> should be discussed.</w:t>
      </w:r>
    </w:p>
    <w:p w14:paraId="19CE6FC5" w14:textId="2A78DD0C" w:rsidR="00AF25B3" w:rsidRPr="00AF25B3" w:rsidRDefault="00AF25B3" w:rsidP="00DE4805">
      <w:pPr>
        <w:pStyle w:val="ListParagraph"/>
        <w:numPr>
          <w:ilvl w:val="0"/>
          <w:numId w:val="18"/>
        </w:numPr>
        <w:spacing w:line="312" w:lineRule="auto"/>
        <w:ind w:left="714" w:hanging="357"/>
        <w:contextualSpacing/>
      </w:pPr>
      <w:r w:rsidRPr="00237849">
        <w:rPr>
          <w:b/>
          <w:bCs/>
        </w:rPr>
        <w:t xml:space="preserve">Recommendation </w:t>
      </w:r>
      <w:r w:rsidR="00ED73CC" w:rsidRPr="00237849">
        <w:rPr>
          <w:b/>
          <w:bCs/>
        </w:rPr>
        <w:t>3</w:t>
      </w:r>
      <w:r w:rsidRPr="00237849">
        <w:rPr>
          <w:b/>
          <w:bCs/>
        </w:rPr>
        <w:t>:</w:t>
      </w:r>
      <w:r>
        <w:rPr>
          <w:bCs/>
        </w:rPr>
        <w:t xml:space="preserve"> </w:t>
      </w:r>
      <w:r w:rsidR="00CF3D13">
        <w:rPr>
          <w:bCs/>
        </w:rPr>
        <w:t>T</w:t>
      </w:r>
      <w:r>
        <w:rPr>
          <w:bCs/>
        </w:rPr>
        <w:t xml:space="preserve">he biomarker prevalence </w:t>
      </w:r>
      <w:r w:rsidR="00CF3D13">
        <w:rPr>
          <w:bCs/>
        </w:rPr>
        <w:t>in</w:t>
      </w:r>
      <w:r>
        <w:rPr>
          <w:bCs/>
        </w:rPr>
        <w:t xml:space="preserve"> the overall population</w:t>
      </w:r>
      <w:r w:rsidR="00CF3D13">
        <w:rPr>
          <w:bCs/>
        </w:rPr>
        <w:t xml:space="preserve"> should be reported</w:t>
      </w:r>
      <w:r>
        <w:rPr>
          <w:bCs/>
        </w:rPr>
        <w:t>, a</w:t>
      </w:r>
      <w:r w:rsidR="00CF3D13">
        <w:rPr>
          <w:bCs/>
        </w:rPr>
        <w:t>long with its</w:t>
      </w:r>
      <w:r>
        <w:rPr>
          <w:bCs/>
        </w:rPr>
        <w:t xml:space="preserve"> prevalence </w:t>
      </w:r>
      <w:r w:rsidR="00CF3D13">
        <w:rPr>
          <w:bCs/>
        </w:rPr>
        <w:t>in</w:t>
      </w:r>
      <w:r>
        <w:rPr>
          <w:bCs/>
        </w:rPr>
        <w:t xml:space="preserve"> as many spe</w:t>
      </w:r>
      <w:r w:rsidR="009570CA">
        <w:rPr>
          <w:bCs/>
        </w:rPr>
        <w:t>cific tumour types as possible.</w:t>
      </w:r>
    </w:p>
    <w:p w14:paraId="58C0F0C4" w14:textId="6A9A2FE0" w:rsidR="00AF25B3" w:rsidRPr="00AF25B3" w:rsidRDefault="00AF25B3" w:rsidP="00DE4805">
      <w:pPr>
        <w:pStyle w:val="ListParagraph"/>
        <w:numPr>
          <w:ilvl w:val="0"/>
          <w:numId w:val="18"/>
        </w:numPr>
        <w:spacing w:line="312" w:lineRule="auto"/>
        <w:ind w:left="714" w:hanging="357"/>
        <w:contextualSpacing/>
      </w:pPr>
      <w:r w:rsidRPr="00237849">
        <w:rPr>
          <w:b/>
          <w:bCs/>
        </w:rPr>
        <w:t xml:space="preserve">Recommendation </w:t>
      </w:r>
      <w:r w:rsidR="00ED73CC" w:rsidRPr="00237849">
        <w:rPr>
          <w:b/>
          <w:bCs/>
        </w:rPr>
        <w:t>4</w:t>
      </w:r>
      <w:r w:rsidRPr="00237849">
        <w:rPr>
          <w:b/>
          <w:bCs/>
        </w:rPr>
        <w:t>:</w:t>
      </w:r>
      <w:r>
        <w:rPr>
          <w:bCs/>
        </w:rPr>
        <w:t xml:space="preserve"> </w:t>
      </w:r>
      <w:r w:rsidR="00CF3D13">
        <w:rPr>
          <w:bCs/>
        </w:rPr>
        <w:t>Th</w:t>
      </w:r>
      <w:r w:rsidR="00CF3D13" w:rsidRPr="00D90E04">
        <w:rPr>
          <w:bCs/>
        </w:rPr>
        <w:t xml:space="preserve">e biomarker prevalence may change during the course of disease, especially if the biomarker </w:t>
      </w:r>
      <w:r w:rsidR="00CF3D13">
        <w:rPr>
          <w:bCs/>
        </w:rPr>
        <w:t>is unstable,</w:t>
      </w:r>
      <w:r w:rsidR="00CF3D13" w:rsidRPr="00D90E04">
        <w:rPr>
          <w:bCs/>
        </w:rPr>
        <w:t xml:space="preserve"> </w:t>
      </w:r>
      <w:r w:rsidR="00CF3D13">
        <w:rPr>
          <w:bCs/>
        </w:rPr>
        <w:t xml:space="preserve">or </w:t>
      </w:r>
      <w:r w:rsidR="00CF3D13" w:rsidRPr="00D90E04">
        <w:rPr>
          <w:bCs/>
        </w:rPr>
        <w:t>has a prognostic effect</w:t>
      </w:r>
      <w:r w:rsidR="00CF3D13">
        <w:rPr>
          <w:bCs/>
        </w:rPr>
        <w:t xml:space="preserve"> (as for dMMR in CRC). </w:t>
      </w:r>
      <w:r>
        <w:rPr>
          <w:bCs/>
        </w:rPr>
        <w:t>Thus, the p</w:t>
      </w:r>
      <w:r w:rsidRPr="00D90E04">
        <w:rPr>
          <w:bCs/>
        </w:rPr>
        <w:t xml:space="preserve">revalence </w:t>
      </w:r>
      <w:r>
        <w:rPr>
          <w:bCs/>
        </w:rPr>
        <w:t xml:space="preserve">rate of the biomarker </w:t>
      </w:r>
      <w:r w:rsidRPr="00D90E04">
        <w:rPr>
          <w:bCs/>
        </w:rPr>
        <w:t>should be considered in the specific stage</w:t>
      </w:r>
      <w:r>
        <w:rPr>
          <w:bCs/>
        </w:rPr>
        <w:t>(s)</w:t>
      </w:r>
      <w:r w:rsidRPr="00D90E04">
        <w:rPr>
          <w:bCs/>
        </w:rPr>
        <w:t xml:space="preserve"> of disease being targeted for te</w:t>
      </w:r>
      <w:r>
        <w:rPr>
          <w:bCs/>
        </w:rPr>
        <w:t>sting and treatment.</w:t>
      </w:r>
    </w:p>
    <w:p w14:paraId="374D612E" w14:textId="5FC2E10D" w:rsidR="00AF25B3" w:rsidRPr="00452DF6" w:rsidRDefault="00AF25B3" w:rsidP="00DE4805">
      <w:pPr>
        <w:pStyle w:val="ListParagraph"/>
        <w:numPr>
          <w:ilvl w:val="0"/>
          <w:numId w:val="18"/>
        </w:numPr>
        <w:spacing w:after="240" w:line="312" w:lineRule="auto"/>
        <w:ind w:left="714" w:hanging="357"/>
        <w:contextualSpacing/>
      </w:pPr>
      <w:r w:rsidRPr="00237849">
        <w:rPr>
          <w:b/>
          <w:bCs/>
        </w:rPr>
        <w:t xml:space="preserve">Recommendation </w:t>
      </w:r>
      <w:r w:rsidR="00ED73CC" w:rsidRPr="00237849">
        <w:rPr>
          <w:b/>
          <w:bCs/>
        </w:rPr>
        <w:t>5</w:t>
      </w:r>
      <w:r w:rsidRPr="00237849">
        <w:rPr>
          <w:b/>
          <w:bCs/>
        </w:rPr>
        <w:t>:</w:t>
      </w:r>
      <w:r w:rsidRPr="00AF25B3">
        <w:rPr>
          <w:bCs/>
        </w:rPr>
        <w:t xml:space="preserve"> </w:t>
      </w:r>
      <w:r w:rsidR="00390223">
        <w:t>The</w:t>
      </w:r>
      <w:r w:rsidRPr="00452DF6">
        <w:t xml:space="preserve"> reference standard</w:t>
      </w:r>
      <w:r>
        <w:t xml:space="preserve"> </w:t>
      </w:r>
      <w:r w:rsidR="00237849">
        <w:t xml:space="preserve">test </w:t>
      </w:r>
      <w:r w:rsidR="00984B14">
        <w:t>and</w:t>
      </w:r>
      <w:r w:rsidR="00237849">
        <w:t xml:space="preserve"> the </w:t>
      </w:r>
      <w:r>
        <w:t xml:space="preserve">evidentiary standard </w:t>
      </w:r>
      <w:r w:rsidR="00237849">
        <w:t xml:space="preserve">test </w:t>
      </w:r>
      <w:r w:rsidR="00390223">
        <w:t xml:space="preserve">should be nominated, </w:t>
      </w:r>
      <w:r w:rsidR="00BC4309">
        <w:t>see</w:t>
      </w:r>
      <w:r>
        <w:t xml:space="preserve"> Section B3.1 </w:t>
      </w:r>
      <w:r w:rsidR="006B0257">
        <w:t>and</w:t>
      </w:r>
      <w:r w:rsidR="00BC4309">
        <w:t xml:space="preserve"> Item 5 in Appendix 7, respectively, </w:t>
      </w:r>
      <w:r>
        <w:t xml:space="preserve">of the MSAC Technical Guidelines for Investigative Services </w:t>
      </w:r>
      <w:r w:rsidR="00F77139">
        <w:fldChar w:fldCharType="begin"/>
      </w:r>
      <w:r w:rsidR="00F77139">
        <w:instrText xml:space="preserve"> ADDIN EN.CITE &lt;EndNote&gt;&lt;Cite&gt;&lt;Author&gt;MSAC&lt;/Author&gt;&lt;Year&gt;2017&lt;/Year&gt;&lt;RecNum&gt;2&lt;/RecNum&gt;&lt;DisplayText&gt;(MSAC 2017)&lt;/DisplayText&gt;&lt;record&gt;&lt;rec-number&gt;2&lt;/rec-number&gt;&lt;foreign-keys&gt;&lt;key app="EN" db-id="20rafrsx2d50edew5w15fz0q0dvfzstzed55" timestamp="1508463126"&gt;2&lt;/key&gt;&lt;/foreign-keys&gt;&lt;ref-type name="Government Document"&gt;46&lt;/ref-type&gt;&lt;contributors&gt;&lt;authors&gt;&lt;author&gt;MSAC &lt;/author&gt;&lt;/authors&gt;&lt;secondary-authors&gt;&lt;author&gt;Department of Health&lt;/author&gt;&lt;/secondary-authors&gt;&lt;/contributors&gt;&lt;titles&gt;&lt;title&gt;Technical Guidelines for preparing assessment reports for the Medical Services Advisory Committee – Service Type: Investigative&lt;/title&gt;&lt;/titles&gt;&lt;dates&gt;&lt;year&gt;2017&lt;/year&gt;&lt;/dates&gt;&lt;pub-location&gt;Canberra&lt;/pub-location&gt;&lt;publisher&gt;Australian Government&lt;/publisher&gt;&lt;urls&gt;&lt;related-urls&gt;&lt;url&gt;http://www.msac.gov.au/internet/msac/publishing.nsf/Content/applicants&lt;/url&gt;&lt;/related-urls&gt;&lt;/urls&gt;&lt;/record&gt;&lt;/Cite&gt;&lt;/EndNote&gt;</w:instrText>
      </w:r>
      <w:r w:rsidR="00F77139">
        <w:fldChar w:fldCharType="separate"/>
      </w:r>
      <w:r w:rsidR="00F77139">
        <w:rPr>
          <w:noProof/>
        </w:rPr>
        <w:t>(MSAC 2017)</w:t>
      </w:r>
      <w:r w:rsidR="00F77139">
        <w:fldChar w:fldCharType="end"/>
      </w:r>
      <w:r>
        <w:t>.</w:t>
      </w:r>
    </w:p>
    <w:p w14:paraId="5DBAF37E" w14:textId="506523D3" w:rsidR="00ED73CC" w:rsidRPr="00AF25B3" w:rsidRDefault="00ED73CC" w:rsidP="00ED73CC">
      <w:pPr>
        <w:pStyle w:val="ListParagraph"/>
        <w:numPr>
          <w:ilvl w:val="0"/>
          <w:numId w:val="18"/>
        </w:numPr>
        <w:spacing w:line="312" w:lineRule="auto"/>
        <w:contextualSpacing/>
      </w:pPr>
      <w:r w:rsidRPr="00237849">
        <w:rPr>
          <w:b/>
          <w:bCs/>
        </w:rPr>
        <w:lastRenderedPageBreak/>
        <w:t>Recommendation 6:</w:t>
      </w:r>
      <w:r>
        <w:rPr>
          <w:bCs/>
        </w:rPr>
        <w:t xml:space="preserve"> If the proposed test is not the evidentiary standard test used in the supportive clinical trials</w:t>
      </w:r>
      <w:r w:rsidR="009A77E5">
        <w:rPr>
          <w:bCs/>
        </w:rPr>
        <w:t xml:space="preserve"> assessing treatment efficacy</w:t>
      </w:r>
      <w:r>
        <w:rPr>
          <w:bCs/>
        </w:rPr>
        <w:t xml:space="preserve">, then bridging data should be provided to assess the comparability of the performance of the proposed test </w:t>
      </w:r>
      <w:r w:rsidR="009A77E5">
        <w:rPr>
          <w:bCs/>
        </w:rPr>
        <w:t>to the evidentiary standard test. K</w:t>
      </w:r>
      <w:r>
        <w:rPr>
          <w:bCs/>
        </w:rPr>
        <w:t>ey differences that may affect or alter the eligibility/selection of patients for the proposed treatment</w:t>
      </w:r>
      <w:r w:rsidR="009A77E5">
        <w:rPr>
          <w:bCs/>
        </w:rPr>
        <w:t xml:space="preserve"> should be identified</w:t>
      </w:r>
      <w:r>
        <w:rPr>
          <w:bCs/>
        </w:rPr>
        <w:t>, e.g., for pan-tumour</w:t>
      </w:r>
      <w:r w:rsidR="009A77E5">
        <w:rPr>
          <w:bCs/>
        </w:rPr>
        <w:t xml:space="preserve"> use</w:t>
      </w:r>
      <w:r>
        <w:rPr>
          <w:bCs/>
        </w:rPr>
        <w:t xml:space="preserve">, </w:t>
      </w:r>
      <w:r w:rsidR="009A77E5">
        <w:rPr>
          <w:bCs/>
        </w:rPr>
        <w:t xml:space="preserve">this comparison would be </w:t>
      </w:r>
      <w:r>
        <w:rPr>
          <w:bCs/>
        </w:rPr>
        <w:t>dMMR as determined by IHC vs MSI-H as determined by either the PCR-based MSI test or, in the near future, a next generation sequencing (</w:t>
      </w:r>
      <w:r w:rsidRPr="003F5124">
        <w:rPr>
          <w:bCs/>
        </w:rPr>
        <w:t>NGS</w:t>
      </w:r>
      <w:r>
        <w:rPr>
          <w:bCs/>
        </w:rPr>
        <w:t>)</w:t>
      </w:r>
      <w:r w:rsidRPr="003F5124">
        <w:rPr>
          <w:bCs/>
        </w:rPr>
        <w:t xml:space="preserve"> </w:t>
      </w:r>
      <w:r>
        <w:rPr>
          <w:bCs/>
        </w:rPr>
        <w:t xml:space="preserve">MSI </w:t>
      </w:r>
      <w:r w:rsidRPr="003F5124">
        <w:rPr>
          <w:bCs/>
        </w:rPr>
        <w:t>comput</w:t>
      </w:r>
      <w:r>
        <w:rPr>
          <w:bCs/>
        </w:rPr>
        <w:t>ational</w:t>
      </w:r>
      <w:r w:rsidRPr="003F5124">
        <w:rPr>
          <w:bCs/>
        </w:rPr>
        <w:t xml:space="preserve"> algorithm</w:t>
      </w:r>
      <w:r>
        <w:rPr>
          <w:bCs/>
        </w:rPr>
        <w:t>.</w:t>
      </w:r>
    </w:p>
    <w:p w14:paraId="5C26F025" w14:textId="377BF8E2" w:rsidR="00AF25B3" w:rsidRDefault="00AF25B3" w:rsidP="00DE4805">
      <w:pPr>
        <w:pStyle w:val="ListParagraph"/>
        <w:numPr>
          <w:ilvl w:val="0"/>
          <w:numId w:val="18"/>
        </w:numPr>
        <w:spacing w:line="312" w:lineRule="auto"/>
        <w:ind w:left="714" w:hanging="357"/>
        <w:contextualSpacing/>
      </w:pPr>
      <w:r w:rsidRPr="00237849">
        <w:rPr>
          <w:b/>
        </w:rPr>
        <w:t xml:space="preserve">Recommendation </w:t>
      </w:r>
      <w:r w:rsidR="009570CA" w:rsidRPr="00237849">
        <w:rPr>
          <w:b/>
        </w:rPr>
        <w:t>7</w:t>
      </w:r>
      <w:r w:rsidRPr="00237849">
        <w:rPr>
          <w:b/>
        </w:rPr>
        <w:t>:</w:t>
      </w:r>
      <w:r>
        <w:t xml:space="preserve"> </w:t>
      </w:r>
      <w:r w:rsidR="00CF3D13">
        <w:t>D</w:t>
      </w:r>
      <w:r w:rsidR="00356791" w:rsidRPr="00452DF6">
        <w:t xml:space="preserve">ata on the accuracy of the test </w:t>
      </w:r>
      <w:r w:rsidR="00356791">
        <w:t>across</w:t>
      </w:r>
      <w:r w:rsidR="00356791" w:rsidRPr="00452DF6">
        <w:t xml:space="preserve"> tumour types should be provided </w:t>
      </w:r>
      <w:r w:rsidR="00356791">
        <w:t xml:space="preserve">in Section B3 </w:t>
      </w:r>
      <w:r w:rsidR="00CB3A61">
        <w:t xml:space="preserve">of the assessment </w:t>
      </w:r>
      <w:r w:rsidR="00356791" w:rsidRPr="00452DF6">
        <w:t xml:space="preserve">to demonstrate </w:t>
      </w:r>
      <w:r w:rsidR="00356791">
        <w:t>that the test performance is consistent, or if not</w:t>
      </w:r>
      <w:r w:rsidR="00CF3D13">
        <w:t>,</w:t>
      </w:r>
      <w:r w:rsidR="00356791">
        <w:t xml:space="preserve"> to identify when other testing measures are required</w:t>
      </w:r>
      <w:r w:rsidR="00A15586">
        <w:t>,</w:t>
      </w:r>
      <w:r w:rsidR="00356791">
        <w:t xml:space="preserve"> e</w:t>
      </w:r>
      <w:r w:rsidR="00A15586">
        <w:t>.</w:t>
      </w:r>
      <w:r w:rsidR="00356791">
        <w:t>g</w:t>
      </w:r>
      <w:r w:rsidR="00A15586">
        <w:t>.</w:t>
      </w:r>
      <w:r w:rsidR="00356791">
        <w:t xml:space="preserve"> </w:t>
      </w:r>
      <w:r w:rsidR="00785742">
        <w:t xml:space="preserve">varying </w:t>
      </w:r>
      <w:r w:rsidR="00356791">
        <w:t>diagnostic thresholds, at-risk patient populations etc.</w:t>
      </w:r>
    </w:p>
    <w:p w14:paraId="740DD7B3" w14:textId="108EF967" w:rsidR="00356791" w:rsidRPr="00356791" w:rsidRDefault="00356791" w:rsidP="00DE4805">
      <w:pPr>
        <w:pStyle w:val="ListParagraph"/>
        <w:numPr>
          <w:ilvl w:val="0"/>
          <w:numId w:val="18"/>
        </w:numPr>
        <w:spacing w:line="312" w:lineRule="auto"/>
        <w:ind w:left="714" w:hanging="357"/>
        <w:contextualSpacing/>
      </w:pPr>
      <w:r w:rsidRPr="00237849">
        <w:rPr>
          <w:b/>
        </w:rPr>
        <w:t xml:space="preserve">Recommendation </w:t>
      </w:r>
      <w:r w:rsidR="009570CA" w:rsidRPr="00237849">
        <w:rPr>
          <w:b/>
        </w:rPr>
        <w:t>8</w:t>
      </w:r>
      <w:r w:rsidRPr="00237849">
        <w:rPr>
          <w:b/>
        </w:rPr>
        <w:t>:</w:t>
      </w:r>
      <w:r>
        <w:t xml:space="preserve"> </w:t>
      </w:r>
      <w:r>
        <w:rPr>
          <w:szCs w:val="24"/>
        </w:rPr>
        <w:t>Test reproducibility</w:t>
      </w:r>
      <w:r w:rsidRPr="00452DF6">
        <w:rPr>
          <w:szCs w:val="24"/>
        </w:rPr>
        <w:t xml:space="preserve"> </w:t>
      </w:r>
      <w:r>
        <w:rPr>
          <w:szCs w:val="24"/>
        </w:rPr>
        <w:t>is</w:t>
      </w:r>
      <w:r w:rsidRPr="00452DF6">
        <w:rPr>
          <w:szCs w:val="24"/>
        </w:rPr>
        <w:t xml:space="preserve"> particularly important for pan-tumour </w:t>
      </w:r>
      <w:r>
        <w:rPr>
          <w:szCs w:val="24"/>
        </w:rPr>
        <w:t>assessments</w:t>
      </w:r>
      <w:r w:rsidRPr="00452DF6">
        <w:rPr>
          <w:szCs w:val="24"/>
        </w:rPr>
        <w:t xml:space="preserve"> to demonstrate testing equivalence across different tumour types</w:t>
      </w:r>
      <w:r>
        <w:rPr>
          <w:szCs w:val="24"/>
        </w:rPr>
        <w:t xml:space="preserve"> and for different diagnostic laboratories</w:t>
      </w:r>
      <w:r w:rsidRPr="00452DF6">
        <w:rPr>
          <w:szCs w:val="24"/>
        </w:rPr>
        <w:t>.</w:t>
      </w:r>
    </w:p>
    <w:p w14:paraId="4663D04A" w14:textId="4CC71FA1" w:rsidR="00356791" w:rsidRPr="00356791" w:rsidRDefault="00356791" w:rsidP="00DE4805">
      <w:pPr>
        <w:pStyle w:val="ListParagraph"/>
        <w:numPr>
          <w:ilvl w:val="0"/>
          <w:numId w:val="18"/>
        </w:numPr>
        <w:spacing w:line="312" w:lineRule="auto"/>
        <w:ind w:left="714" w:hanging="357"/>
        <w:contextualSpacing/>
      </w:pPr>
      <w:r w:rsidRPr="00237849">
        <w:rPr>
          <w:b/>
          <w:szCs w:val="24"/>
        </w:rPr>
        <w:t xml:space="preserve">Recommendation </w:t>
      </w:r>
      <w:r w:rsidR="009570CA" w:rsidRPr="00237849">
        <w:rPr>
          <w:b/>
          <w:szCs w:val="24"/>
        </w:rPr>
        <w:t>9</w:t>
      </w:r>
      <w:r w:rsidRPr="00237849">
        <w:rPr>
          <w:b/>
          <w:szCs w:val="24"/>
        </w:rPr>
        <w:t>:</w:t>
      </w:r>
      <w:r>
        <w:rPr>
          <w:szCs w:val="24"/>
        </w:rPr>
        <w:t xml:space="preserve"> </w:t>
      </w:r>
      <w:r>
        <w:rPr>
          <w:bCs/>
        </w:rPr>
        <w:t>It is important that th</w:t>
      </w:r>
      <w:r w:rsidRPr="008924B1">
        <w:rPr>
          <w:bCs/>
        </w:rPr>
        <w:t xml:space="preserve">e </w:t>
      </w:r>
      <w:r w:rsidR="00390223">
        <w:rPr>
          <w:bCs/>
        </w:rPr>
        <w:t>positive predictive value (</w:t>
      </w:r>
      <w:r w:rsidRPr="008924B1">
        <w:rPr>
          <w:bCs/>
        </w:rPr>
        <w:t>PPV</w:t>
      </w:r>
      <w:r w:rsidR="00390223">
        <w:rPr>
          <w:bCs/>
        </w:rPr>
        <w:t>)</w:t>
      </w:r>
      <w:r w:rsidRPr="008924B1">
        <w:rPr>
          <w:bCs/>
        </w:rPr>
        <w:t xml:space="preserve"> and </w:t>
      </w:r>
      <w:r w:rsidR="00390223">
        <w:rPr>
          <w:bCs/>
        </w:rPr>
        <w:t>negative predictive value (</w:t>
      </w:r>
      <w:r w:rsidRPr="008924B1">
        <w:rPr>
          <w:bCs/>
        </w:rPr>
        <w:t>NPV</w:t>
      </w:r>
      <w:r w:rsidR="00390223">
        <w:rPr>
          <w:bCs/>
        </w:rPr>
        <w:t>)</w:t>
      </w:r>
      <w:r w:rsidRPr="008924B1">
        <w:rPr>
          <w:bCs/>
        </w:rPr>
        <w:t xml:space="preserve"> for </w:t>
      </w:r>
      <w:r w:rsidR="00390223">
        <w:rPr>
          <w:bCs/>
        </w:rPr>
        <w:t>the biomarker</w:t>
      </w:r>
      <w:r w:rsidRPr="008924B1">
        <w:rPr>
          <w:bCs/>
        </w:rPr>
        <w:t xml:space="preserve"> test</w:t>
      </w:r>
      <w:r w:rsidR="00984B14">
        <w:rPr>
          <w:bCs/>
        </w:rPr>
        <w:t xml:space="preserve"> </w:t>
      </w:r>
      <w:r w:rsidR="00984B14" w:rsidRPr="008924B1">
        <w:rPr>
          <w:bCs/>
        </w:rPr>
        <w:t xml:space="preserve">versus </w:t>
      </w:r>
      <w:r w:rsidR="00984B14">
        <w:rPr>
          <w:bCs/>
        </w:rPr>
        <w:t xml:space="preserve">its </w:t>
      </w:r>
      <w:r w:rsidR="00984B14" w:rsidRPr="008924B1">
        <w:rPr>
          <w:bCs/>
        </w:rPr>
        <w:t xml:space="preserve">reference standard </w:t>
      </w:r>
      <w:r w:rsidR="00984B14">
        <w:rPr>
          <w:bCs/>
        </w:rPr>
        <w:t>is</w:t>
      </w:r>
      <w:r w:rsidR="00984B14" w:rsidRPr="008924B1">
        <w:rPr>
          <w:bCs/>
        </w:rPr>
        <w:t xml:space="preserve"> provided</w:t>
      </w:r>
      <w:r w:rsidRPr="008924B1">
        <w:rPr>
          <w:bCs/>
        </w:rPr>
        <w:t xml:space="preserve"> over the relevant </w:t>
      </w:r>
      <w:r w:rsidR="00785742">
        <w:rPr>
          <w:bCs/>
        </w:rPr>
        <w:t xml:space="preserve">biomarker </w:t>
      </w:r>
      <w:r w:rsidRPr="008924B1">
        <w:rPr>
          <w:bCs/>
        </w:rPr>
        <w:t xml:space="preserve">prevalence range for </w:t>
      </w:r>
      <w:r>
        <w:rPr>
          <w:bCs/>
        </w:rPr>
        <w:t xml:space="preserve">the </w:t>
      </w:r>
      <w:r w:rsidRPr="008924B1">
        <w:rPr>
          <w:bCs/>
        </w:rPr>
        <w:t>tumour</w:t>
      </w:r>
      <w:r w:rsidR="00390223">
        <w:rPr>
          <w:bCs/>
        </w:rPr>
        <w:t>s being targeted</w:t>
      </w:r>
      <w:r w:rsidRPr="008924B1">
        <w:rPr>
          <w:bCs/>
        </w:rPr>
        <w:t xml:space="preserve"> to </w:t>
      </w:r>
      <w:r>
        <w:rPr>
          <w:bCs/>
        </w:rPr>
        <w:t xml:space="preserve">enable an assessment of the </w:t>
      </w:r>
      <w:r w:rsidR="00390223">
        <w:rPr>
          <w:bCs/>
        </w:rPr>
        <w:t>ratio of correct to incorrect test results</w:t>
      </w:r>
      <w:r>
        <w:rPr>
          <w:bCs/>
        </w:rPr>
        <w:t>.</w:t>
      </w:r>
    </w:p>
    <w:p w14:paraId="31C4D8BD" w14:textId="3DC038AA" w:rsidR="00356791" w:rsidRPr="00356791" w:rsidRDefault="00356791" w:rsidP="005D7117">
      <w:pPr>
        <w:pStyle w:val="ListParagraph"/>
        <w:numPr>
          <w:ilvl w:val="0"/>
          <w:numId w:val="18"/>
        </w:numPr>
        <w:spacing w:line="312" w:lineRule="auto"/>
        <w:contextualSpacing/>
      </w:pPr>
      <w:r w:rsidRPr="00237849">
        <w:rPr>
          <w:b/>
          <w:bCs/>
        </w:rPr>
        <w:t xml:space="preserve">Recommendation </w:t>
      </w:r>
      <w:r w:rsidR="009570CA" w:rsidRPr="00237849">
        <w:rPr>
          <w:b/>
          <w:bCs/>
        </w:rPr>
        <w:t>10</w:t>
      </w:r>
      <w:r w:rsidRPr="00237849">
        <w:rPr>
          <w:b/>
          <w:bCs/>
        </w:rPr>
        <w:t>:</w:t>
      </w:r>
      <w:r>
        <w:rPr>
          <w:bCs/>
        </w:rPr>
        <w:t xml:space="preserve"> </w:t>
      </w:r>
      <w:r w:rsidR="005D7117">
        <w:rPr>
          <w:bCs/>
        </w:rPr>
        <w:t xml:space="preserve">MSAC/PBAC may consider it prudent to ensure that </w:t>
      </w:r>
      <w:r w:rsidR="005D7117" w:rsidRPr="005D7117">
        <w:rPr>
          <w:bCs/>
        </w:rPr>
        <w:t xml:space="preserve">testing for access to a pan-tumour medication is not undertaken before </w:t>
      </w:r>
      <w:r w:rsidR="005D7117" w:rsidRPr="00F26546">
        <w:rPr>
          <w:bCs/>
        </w:rPr>
        <w:t>other viable treatment options</w:t>
      </w:r>
      <w:r w:rsidR="005D7117">
        <w:rPr>
          <w:bCs/>
        </w:rPr>
        <w:t xml:space="preserve"> </w:t>
      </w:r>
      <w:r w:rsidR="005D7117" w:rsidRPr="005D7117">
        <w:rPr>
          <w:bCs/>
        </w:rPr>
        <w:t>are considered</w:t>
      </w:r>
      <w:r w:rsidR="005D7117">
        <w:rPr>
          <w:bCs/>
        </w:rPr>
        <w:t xml:space="preserve">. </w:t>
      </w:r>
      <w:r w:rsidR="00390223">
        <w:rPr>
          <w:bCs/>
        </w:rPr>
        <w:t xml:space="preserve">Alternatively, </w:t>
      </w:r>
      <w:r w:rsidR="00A145ED">
        <w:rPr>
          <w:bCs/>
        </w:rPr>
        <w:t xml:space="preserve">each </w:t>
      </w:r>
      <w:r w:rsidR="00390223">
        <w:rPr>
          <w:bCs/>
        </w:rPr>
        <w:t xml:space="preserve">patient could be individually triaged for </w:t>
      </w:r>
      <w:r w:rsidR="00702F7D" w:rsidRPr="00A145ED">
        <w:rPr>
          <w:bCs/>
        </w:rPr>
        <w:t xml:space="preserve">either standard of care or </w:t>
      </w:r>
      <w:r w:rsidR="00390223">
        <w:rPr>
          <w:bCs/>
        </w:rPr>
        <w:t>the pan-tumour medicine</w:t>
      </w:r>
      <w:r w:rsidR="00C164FB">
        <w:rPr>
          <w:bCs/>
        </w:rPr>
        <w:t xml:space="preserve">, based on </w:t>
      </w:r>
      <w:r w:rsidR="00390223">
        <w:rPr>
          <w:bCs/>
        </w:rPr>
        <w:t>the prevalence of the biomarker</w:t>
      </w:r>
      <w:r w:rsidR="000C57A7">
        <w:rPr>
          <w:bCs/>
        </w:rPr>
        <w:t xml:space="preserve"> in that tumour type</w:t>
      </w:r>
      <w:r w:rsidR="00D06E90">
        <w:rPr>
          <w:bCs/>
        </w:rPr>
        <w:t xml:space="preserve"> and</w:t>
      </w:r>
      <w:r w:rsidR="00811CC6">
        <w:rPr>
          <w:bCs/>
        </w:rPr>
        <w:t>/or</w:t>
      </w:r>
      <w:r w:rsidR="00D06E90">
        <w:rPr>
          <w:bCs/>
        </w:rPr>
        <w:t xml:space="preserve"> </w:t>
      </w:r>
      <w:r w:rsidR="005D7117">
        <w:rPr>
          <w:bCs/>
        </w:rPr>
        <w:t xml:space="preserve">the </w:t>
      </w:r>
      <w:r w:rsidR="00914BA3">
        <w:rPr>
          <w:bCs/>
        </w:rPr>
        <w:t xml:space="preserve">population level </w:t>
      </w:r>
      <w:r w:rsidR="00D06E90">
        <w:rPr>
          <w:bCs/>
        </w:rPr>
        <w:t>evidence supporting a potential treatment effect of the therapy</w:t>
      </w:r>
      <w:r w:rsidR="00914BA3">
        <w:rPr>
          <w:bCs/>
        </w:rPr>
        <w:t xml:space="preserve"> in that patient</w:t>
      </w:r>
      <w:r w:rsidR="00390223">
        <w:rPr>
          <w:bCs/>
        </w:rPr>
        <w:t>.</w:t>
      </w:r>
    </w:p>
    <w:p w14:paraId="7285FA83" w14:textId="5AF2EBFF" w:rsidR="001E18A9" w:rsidRPr="00356791" w:rsidRDefault="001E18A9" w:rsidP="00962671">
      <w:pPr>
        <w:pStyle w:val="ListParagraph"/>
        <w:numPr>
          <w:ilvl w:val="0"/>
          <w:numId w:val="18"/>
        </w:numPr>
        <w:spacing w:line="312" w:lineRule="auto"/>
        <w:contextualSpacing/>
      </w:pPr>
      <w:r w:rsidRPr="00237849">
        <w:rPr>
          <w:b/>
        </w:rPr>
        <w:t xml:space="preserve">Recommendation </w:t>
      </w:r>
      <w:r w:rsidR="00A145ED" w:rsidRPr="00237849">
        <w:rPr>
          <w:b/>
        </w:rPr>
        <w:t>11</w:t>
      </w:r>
      <w:r w:rsidRPr="00237849">
        <w:rPr>
          <w:b/>
        </w:rPr>
        <w:t>:</w:t>
      </w:r>
      <w:r>
        <w:t xml:space="preserve"> </w:t>
      </w:r>
      <w:r w:rsidR="00962671" w:rsidRPr="00962671">
        <w:rPr>
          <w:bCs/>
        </w:rPr>
        <w:t>For tumour types with very low prevalence rates, MSAC could consider the use of sequential testing to reduce the number of false positive patients who would be eligible for targeted treatment.</w:t>
      </w:r>
    </w:p>
    <w:p w14:paraId="3FF47AF2" w14:textId="422F48CF" w:rsidR="00356791" w:rsidRPr="00356791" w:rsidRDefault="00356791" w:rsidP="00DE4805">
      <w:pPr>
        <w:pStyle w:val="ListParagraph"/>
        <w:numPr>
          <w:ilvl w:val="0"/>
          <w:numId w:val="18"/>
        </w:numPr>
        <w:spacing w:line="312" w:lineRule="auto"/>
        <w:ind w:left="714" w:hanging="357"/>
        <w:contextualSpacing/>
      </w:pPr>
      <w:r w:rsidRPr="00237849">
        <w:rPr>
          <w:b/>
        </w:rPr>
        <w:t xml:space="preserve">Recommendation </w:t>
      </w:r>
      <w:r w:rsidR="009570CA" w:rsidRPr="00237849">
        <w:rPr>
          <w:b/>
        </w:rPr>
        <w:t>1</w:t>
      </w:r>
      <w:r w:rsidR="001E18A9" w:rsidRPr="00237849">
        <w:rPr>
          <w:b/>
        </w:rPr>
        <w:t>2</w:t>
      </w:r>
      <w:r w:rsidRPr="00237849">
        <w:rPr>
          <w:b/>
        </w:rPr>
        <w:t>:</w:t>
      </w:r>
      <w:r>
        <w:t xml:space="preserve"> </w:t>
      </w:r>
      <w:r>
        <w:rPr>
          <w:bCs/>
        </w:rPr>
        <w:t>S</w:t>
      </w:r>
      <w:r w:rsidRPr="003D6005">
        <w:rPr>
          <w:bCs/>
        </w:rPr>
        <w:t xml:space="preserve">hould the </w:t>
      </w:r>
      <w:r>
        <w:rPr>
          <w:bCs/>
        </w:rPr>
        <w:t xml:space="preserve">prevalence of the </w:t>
      </w:r>
      <w:r w:rsidRPr="003D6005">
        <w:rPr>
          <w:bCs/>
        </w:rPr>
        <w:t xml:space="preserve">biomarker </w:t>
      </w:r>
      <w:r>
        <w:rPr>
          <w:bCs/>
        </w:rPr>
        <w:t xml:space="preserve">change </w:t>
      </w:r>
      <w:r w:rsidRPr="003D6005">
        <w:rPr>
          <w:bCs/>
        </w:rPr>
        <w:t>during the course of disease and in response to treatments such as chemotherapy or radiotherapy</w:t>
      </w:r>
      <w:r>
        <w:rPr>
          <w:bCs/>
        </w:rPr>
        <w:t>,</w:t>
      </w:r>
      <w:r w:rsidRPr="003D6005">
        <w:rPr>
          <w:bCs/>
        </w:rPr>
        <w:t xml:space="preserve"> a re-biopsy may be necessary which will have implications for p</w:t>
      </w:r>
      <w:r>
        <w:rPr>
          <w:bCs/>
        </w:rPr>
        <w:t>atient safety, test uptake and costs.</w:t>
      </w:r>
    </w:p>
    <w:p w14:paraId="61D6305A" w14:textId="4BC0D972" w:rsidR="00074A25" w:rsidRPr="00390223" w:rsidRDefault="00356791" w:rsidP="009570CA">
      <w:pPr>
        <w:pStyle w:val="ListParagraph"/>
        <w:numPr>
          <w:ilvl w:val="0"/>
          <w:numId w:val="18"/>
        </w:numPr>
        <w:spacing w:after="120" w:line="312" w:lineRule="auto"/>
        <w:rPr>
          <w:bCs/>
        </w:rPr>
      </w:pPr>
      <w:r w:rsidRPr="00237849">
        <w:rPr>
          <w:b/>
          <w:bCs/>
        </w:rPr>
        <w:t>Recommendation 1</w:t>
      </w:r>
      <w:r w:rsidR="001E18A9" w:rsidRPr="00237849">
        <w:rPr>
          <w:b/>
          <w:bCs/>
        </w:rPr>
        <w:t>3</w:t>
      </w:r>
      <w:r w:rsidRPr="00237849">
        <w:rPr>
          <w:b/>
          <w:bCs/>
        </w:rPr>
        <w:t>:</w:t>
      </w:r>
      <w:r w:rsidRPr="00074A25">
        <w:rPr>
          <w:bCs/>
        </w:rPr>
        <w:t xml:space="preserve"> </w:t>
      </w:r>
      <w:r w:rsidR="00390223">
        <w:rPr>
          <w:bCs/>
        </w:rPr>
        <w:t>T</w:t>
      </w:r>
      <w:r w:rsidR="00074A25" w:rsidRPr="00074A25">
        <w:rPr>
          <w:bCs/>
        </w:rPr>
        <w:t>he evidence is likely to consist of singl</w:t>
      </w:r>
      <w:r w:rsidR="00074A25" w:rsidRPr="00FD6522">
        <w:rPr>
          <w:bCs/>
        </w:rPr>
        <w:t>e</w:t>
      </w:r>
      <w:r w:rsidR="00CA4D7D">
        <w:rPr>
          <w:bCs/>
        </w:rPr>
        <w:t>-</w:t>
      </w:r>
      <w:r w:rsidR="00074A25" w:rsidRPr="00FD6522">
        <w:rPr>
          <w:bCs/>
        </w:rPr>
        <w:t>arm</w:t>
      </w:r>
      <w:r w:rsidR="00074A25" w:rsidRPr="00CF3D13">
        <w:rPr>
          <w:bCs/>
        </w:rPr>
        <w:t xml:space="preserve"> phase II trials</w:t>
      </w:r>
      <w:r w:rsidR="00390223">
        <w:rPr>
          <w:bCs/>
        </w:rPr>
        <w:t xml:space="preserve"> in pan-tumour applications</w:t>
      </w:r>
      <w:r w:rsidR="00074A25" w:rsidRPr="00CF3D13">
        <w:rPr>
          <w:bCs/>
        </w:rPr>
        <w:t>. Thus, demonstrating a therapeutic benefit will rely on the use of a reference case</w:t>
      </w:r>
      <w:r w:rsidR="00785742">
        <w:rPr>
          <w:bCs/>
        </w:rPr>
        <w:t xml:space="preserve"> (most common cancer)</w:t>
      </w:r>
      <w:r w:rsidR="00074A25" w:rsidRPr="00CF3D13">
        <w:rPr>
          <w:bCs/>
        </w:rPr>
        <w:t xml:space="preserve"> of the effect size of the treatment in biomarker-positive patients over </w:t>
      </w:r>
      <w:r w:rsidR="001E18A9">
        <w:rPr>
          <w:bCs/>
        </w:rPr>
        <w:t xml:space="preserve">the current </w:t>
      </w:r>
      <w:r w:rsidR="00074A25" w:rsidRPr="00CF3D13">
        <w:rPr>
          <w:bCs/>
        </w:rPr>
        <w:t>standard of care</w:t>
      </w:r>
      <w:r w:rsidR="00415F90">
        <w:rPr>
          <w:bCs/>
        </w:rPr>
        <w:t>. In the absence of randomised controlled trials</w:t>
      </w:r>
      <w:r w:rsidR="00984B14">
        <w:rPr>
          <w:bCs/>
        </w:rPr>
        <w:t>,</w:t>
      </w:r>
      <w:r w:rsidR="00415F90">
        <w:rPr>
          <w:bCs/>
        </w:rPr>
        <w:t xml:space="preserve"> th</w:t>
      </w:r>
      <w:r w:rsidR="00984B14">
        <w:rPr>
          <w:bCs/>
        </w:rPr>
        <w:t>e</w:t>
      </w:r>
      <w:r w:rsidR="00415F90">
        <w:rPr>
          <w:bCs/>
        </w:rPr>
        <w:t xml:space="preserve"> comparison could be made using </w:t>
      </w:r>
      <w:r w:rsidR="009570CA">
        <w:rPr>
          <w:bCs/>
        </w:rPr>
        <w:t>prognostic data from a historical data set with subgroup cohorts defined by having different test results (e.g. dMMR and proficient MMR)</w:t>
      </w:r>
      <w:r w:rsidR="00074A25" w:rsidRPr="00CF3D13">
        <w:rPr>
          <w:bCs/>
        </w:rPr>
        <w:t>, against which the results of single</w:t>
      </w:r>
      <w:r w:rsidR="00CA4D7D">
        <w:rPr>
          <w:bCs/>
        </w:rPr>
        <w:t>-</w:t>
      </w:r>
      <w:r w:rsidR="00074A25" w:rsidRPr="00CF3D13">
        <w:rPr>
          <w:bCs/>
        </w:rPr>
        <w:t xml:space="preserve">arm trials across a </w:t>
      </w:r>
      <w:r w:rsidR="00074A25" w:rsidRPr="00390223">
        <w:rPr>
          <w:bCs/>
        </w:rPr>
        <w:t>pan</w:t>
      </w:r>
      <w:r w:rsidR="00390223">
        <w:rPr>
          <w:bCs/>
        </w:rPr>
        <w:t>-tumour population can be bench</w:t>
      </w:r>
      <w:r w:rsidR="00074A25" w:rsidRPr="00390223">
        <w:rPr>
          <w:bCs/>
        </w:rPr>
        <w:t>marked.</w:t>
      </w:r>
    </w:p>
    <w:p w14:paraId="2C90E04B" w14:textId="2A95436D" w:rsidR="00ED65EE" w:rsidRPr="00452DF6" w:rsidRDefault="00074A25" w:rsidP="00AA13B3">
      <w:pPr>
        <w:spacing w:line="312" w:lineRule="auto"/>
      </w:pPr>
      <w:r>
        <w:lastRenderedPageBreak/>
        <w:t>If information is provided</w:t>
      </w:r>
      <w:r w:rsidR="00390223">
        <w:t xml:space="preserve"> as recommended above</w:t>
      </w:r>
      <w:r>
        <w:t xml:space="preserve">, the clinical impact of pan-tumour treatment targeted by a biomarker </w:t>
      </w:r>
      <w:r w:rsidR="00390223">
        <w:t>may</w:t>
      </w:r>
      <w:r>
        <w:t xml:space="preserve"> be estimated.</w:t>
      </w:r>
      <w:bookmarkEnd w:id="40"/>
      <w:bookmarkEnd w:id="41"/>
    </w:p>
    <w:p w14:paraId="4CF96660" w14:textId="77777777" w:rsidR="00ED65EE" w:rsidRPr="00452DF6" w:rsidRDefault="00ED65EE" w:rsidP="00AA13B3">
      <w:pPr>
        <w:spacing w:line="312" w:lineRule="auto"/>
        <w:sectPr w:rsidR="00ED65EE" w:rsidRPr="00452DF6" w:rsidSect="001229D7">
          <w:headerReference w:type="even" r:id="rId14"/>
          <w:headerReference w:type="default" r:id="rId15"/>
          <w:headerReference w:type="first" r:id="rId16"/>
          <w:type w:val="oddPage"/>
          <w:pgSz w:w="11906" w:h="16838"/>
          <w:pgMar w:top="1440" w:right="1440" w:bottom="1440" w:left="1440" w:header="720" w:footer="720" w:gutter="0"/>
          <w:paperSrc w:first="2" w:other="2"/>
          <w:cols w:space="720"/>
        </w:sectPr>
      </w:pPr>
    </w:p>
    <w:p w14:paraId="16D95582" w14:textId="77777777" w:rsidR="002251E8" w:rsidRPr="00452DF6" w:rsidRDefault="002251E8" w:rsidP="00AA13B3">
      <w:pPr>
        <w:pStyle w:val="Heading1"/>
        <w:spacing w:line="312" w:lineRule="auto"/>
      </w:pPr>
      <w:bookmarkStart w:id="42" w:name="_Toc29557653"/>
      <w:r w:rsidRPr="00452DF6">
        <w:lastRenderedPageBreak/>
        <w:t>Background</w:t>
      </w:r>
      <w:bookmarkEnd w:id="42"/>
    </w:p>
    <w:p w14:paraId="2AB20D88" w14:textId="43A69955" w:rsidR="00293EC5" w:rsidRPr="00452DF6" w:rsidRDefault="00293EC5" w:rsidP="00293EC5">
      <w:pPr>
        <w:spacing w:line="312" w:lineRule="auto"/>
      </w:pPr>
      <w:r w:rsidRPr="00452DF6">
        <w:t xml:space="preserve">This </w:t>
      </w:r>
      <w:r w:rsidR="000F6AD0">
        <w:t>discussion</w:t>
      </w:r>
      <w:r w:rsidRPr="00452DF6">
        <w:t xml:space="preserve"> paper is supplemental t</w:t>
      </w:r>
      <w:r w:rsidR="000E6E28">
        <w:t xml:space="preserve">o, and not a replacement of the </w:t>
      </w:r>
      <w:r w:rsidRPr="00452DF6">
        <w:t xml:space="preserve">MSAC </w:t>
      </w:r>
      <w:r w:rsidR="000E6E28">
        <w:t>Technical G</w:t>
      </w:r>
      <w:r w:rsidRPr="00452DF6">
        <w:t xml:space="preserve">uidelines for </w:t>
      </w:r>
      <w:r w:rsidR="000E6E28">
        <w:t>I</w:t>
      </w:r>
      <w:r w:rsidRPr="00452DF6">
        <w:t xml:space="preserve">nvestigative </w:t>
      </w:r>
      <w:r w:rsidR="000E6E28">
        <w:t>S</w:t>
      </w:r>
      <w:r w:rsidRPr="00452DF6">
        <w:t>ervices</w:t>
      </w:r>
      <w:r w:rsidR="000E6E28">
        <w:t xml:space="preserve"> </w:t>
      </w:r>
      <w:r w:rsidR="00F77139">
        <w:fldChar w:fldCharType="begin"/>
      </w:r>
      <w:r w:rsidR="00F77139">
        <w:instrText xml:space="preserve"> ADDIN EN.CITE &lt;EndNote&gt;&lt;Cite&gt;&lt;Author&gt;MSAC&lt;/Author&gt;&lt;Year&gt;2017&lt;/Year&gt;&lt;RecNum&gt;2&lt;/RecNum&gt;&lt;DisplayText&gt;(MSAC 2017)&lt;/DisplayText&gt;&lt;record&gt;&lt;rec-number&gt;2&lt;/rec-number&gt;&lt;foreign-keys&gt;&lt;key app="EN" db-id="20rafrsx2d50edew5w15fz0q0dvfzstzed55" timestamp="1508463126"&gt;2&lt;/key&gt;&lt;/foreign-keys&gt;&lt;ref-type name="Government Document"&gt;46&lt;/ref-type&gt;&lt;contributors&gt;&lt;authors&gt;&lt;author&gt;MSAC &lt;/author&gt;&lt;/authors&gt;&lt;secondary-authors&gt;&lt;author&gt;Department of Health&lt;/author&gt;&lt;/secondary-authors&gt;&lt;/contributors&gt;&lt;titles&gt;&lt;title&gt;Technical Guidelines for preparing assessment reports for the Medical Services Advisory Committee – Service Type: Investigative&lt;/title&gt;&lt;/titles&gt;&lt;dates&gt;&lt;year&gt;2017&lt;/year&gt;&lt;/dates&gt;&lt;pub-location&gt;Canberra&lt;/pub-location&gt;&lt;publisher&gt;Australian Government&lt;/publisher&gt;&lt;urls&gt;&lt;related-urls&gt;&lt;url&gt;http://www.msac.gov.au/internet/msac/publishing.nsf/Content/applicants&lt;/url&gt;&lt;/related-urls&gt;&lt;/urls&gt;&lt;/record&gt;&lt;/Cite&gt;&lt;/EndNote&gt;</w:instrText>
      </w:r>
      <w:r w:rsidR="00F77139">
        <w:fldChar w:fldCharType="separate"/>
      </w:r>
      <w:r w:rsidR="00F77139">
        <w:rPr>
          <w:noProof/>
        </w:rPr>
        <w:t>(MSAC 2017)</w:t>
      </w:r>
      <w:r w:rsidR="00F77139">
        <w:fldChar w:fldCharType="end"/>
      </w:r>
      <w:r w:rsidRPr="00452DF6">
        <w:t xml:space="preserve">, which </w:t>
      </w:r>
      <w:r w:rsidR="00DA115B">
        <w:t>is</w:t>
      </w:r>
      <w:r w:rsidRPr="00452DF6">
        <w:t xml:space="preserve"> available </w:t>
      </w:r>
      <w:r>
        <w:t>from</w:t>
      </w:r>
      <w:r w:rsidRPr="00452DF6">
        <w:t xml:space="preserve"> the MSAC website at </w:t>
      </w:r>
      <w:hyperlink r:id="rId17" w:tooltip="MSAC website" w:history="1">
        <w:r w:rsidRPr="00452DF6">
          <w:rPr>
            <w:rStyle w:val="Hyperlink"/>
          </w:rPr>
          <w:t>www.msac.gov.au</w:t>
        </w:r>
      </w:hyperlink>
      <w:r>
        <w:t>, and the PBAC Guidelines Part B: p</w:t>
      </w:r>
      <w:r w:rsidRPr="00A81DFF">
        <w:t>roduct type 4 – Codependent technologies</w:t>
      </w:r>
      <w:r>
        <w:t xml:space="preserve"> </w:t>
      </w:r>
      <w:r w:rsidR="00F77139">
        <w:fldChar w:fldCharType="begin"/>
      </w:r>
      <w:r w:rsidR="00F77139">
        <w:instrText xml:space="preserve"> ADDIN EN.CITE &lt;EndNote&gt;&lt;Cite&gt;&lt;Author&gt;PBAC&lt;/Author&gt;&lt;Year&gt;2016&lt;/Year&gt;&lt;RecNum&gt;3&lt;/RecNum&gt;&lt;DisplayText&gt;(PBAC 2016)&lt;/DisplayText&gt;&lt;record&gt;&lt;rec-number&gt;3&lt;/rec-number&gt;&lt;foreign-keys&gt;&lt;key app="EN" db-id="20rafrsx2d50edew5w15fz0q0dvfzstzed55" timestamp="1508463420"&gt;3&lt;/key&gt;&lt;/foreign-keys&gt;&lt;ref-type name="Government Document"&gt;46&lt;/ref-type&gt;&lt;contributors&gt;&lt;authors&gt;&lt;author&gt;PBAC&lt;/author&gt;&lt;/authors&gt;&lt;secondary-authors&gt;&lt;author&gt;Department of Health&lt;/author&gt;&lt;/secondary-authors&gt;&lt;/contributors&gt;&lt;titles&gt;&lt;title&gt;Guidelines for preparing a submission to the Pharmaceutical Benefits Advisory Committee (Version 5.0)&lt;/title&gt;&lt;/titles&gt;&lt;dates&gt;&lt;year&gt;2016&lt;/year&gt;&lt;/dates&gt;&lt;pub-location&gt;Canberra&lt;/pub-location&gt;&lt;publisher&gt;Australian Government&lt;/publisher&gt;&lt;urls&gt;&lt;/urls&gt;&lt;/record&gt;&lt;/Cite&gt;&lt;/EndNote&gt;</w:instrText>
      </w:r>
      <w:r w:rsidR="00F77139">
        <w:fldChar w:fldCharType="separate"/>
      </w:r>
      <w:r w:rsidR="00F77139">
        <w:rPr>
          <w:noProof/>
        </w:rPr>
        <w:t>(PBAC 2016)</w:t>
      </w:r>
      <w:r w:rsidR="00F77139">
        <w:fldChar w:fldCharType="end"/>
      </w:r>
      <w:r w:rsidR="00074A25">
        <w:t>, which are</w:t>
      </w:r>
      <w:r w:rsidR="00DA115B">
        <w:t xml:space="preserve"> </w:t>
      </w:r>
      <w:r>
        <w:t xml:space="preserve">available from </w:t>
      </w:r>
      <w:hyperlink r:id="rId18" w:tooltip="PBAC website" w:history="1">
        <w:r w:rsidRPr="007B4DE5">
          <w:rPr>
            <w:rStyle w:val="Hyperlink"/>
          </w:rPr>
          <w:t>https://pbac.pbs.gov.au/</w:t>
        </w:r>
      </w:hyperlink>
      <w:r>
        <w:t>.</w:t>
      </w:r>
    </w:p>
    <w:p w14:paraId="2F89D4FA" w14:textId="2ADD8EDF" w:rsidR="00A15586" w:rsidRDefault="002251E8" w:rsidP="00AA13B3">
      <w:pPr>
        <w:spacing w:after="240" w:line="312" w:lineRule="auto"/>
      </w:pPr>
      <w:r w:rsidRPr="00452DF6">
        <w:t>On 3 March 2017</w:t>
      </w:r>
      <w:r w:rsidR="00892859" w:rsidRPr="00452DF6">
        <w:t>, the</w:t>
      </w:r>
      <w:r w:rsidRPr="00452DF6">
        <w:t xml:space="preserve"> MSAC Executive met via teleconference to discuss </w:t>
      </w:r>
      <w:r w:rsidR="000C05F5">
        <w:t xml:space="preserve">MSAC </w:t>
      </w:r>
      <w:r w:rsidR="006B0257">
        <w:t>A</w:t>
      </w:r>
      <w:r w:rsidR="000C05F5">
        <w:t>pplication</w:t>
      </w:r>
      <w:r w:rsidRPr="00452DF6">
        <w:t xml:space="preserve"> 1452</w:t>
      </w:r>
      <w:r w:rsidR="000C05F5">
        <w:t xml:space="preserve"> </w:t>
      </w:r>
      <w:r w:rsidRPr="00452DF6">
        <w:t>–</w:t>
      </w:r>
      <w:r w:rsidR="000C05F5">
        <w:t xml:space="preserve"> mismatch repair deficient (dMMR) immunohistochemistry (IHC) testing of </w:t>
      </w:r>
      <w:r w:rsidR="00293EC5">
        <w:t>c</w:t>
      </w:r>
      <w:r w:rsidRPr="00452DF6">
        <w:t xml:space="preserve">olorectal </w:t>
      </w:r>
      <w:r w:rsidR="00293EC5">
        <w:t>c</w:t>
      </w:r>
      <w:r w:rsidRPr="00452DF6">
        <w:t>arcinoma</w:t>
      </w:r>
      <w:r w:rsidR="007F7305">
        <w:t xml:space="preserve"> (CRC)</w:t>
      </w:r>
      <w:r w:rsidR="000C05F5">
        <w:t xml:space="preserve"> for access to</w:t>
      </w:r>
      <w:r w:rsidRPr="00452DF6">
        <w:t xml:space="preserve"> </w:t>
      </w:r>
      <w:r w:rsidR="000C05F5">
        <w:t>p</w:t>
      </w:r>
      <w:r w:rsidR="000C05F5" w:rsidRPr="00452DF6">
        <w:t>embrolizumab</w:t>
      </w:r>
      <w:r w:rsidR="000C05F5">
        <w:t>.</w:t>
      </w:r>
      <w:r w:rsidR="000C05F5" w:rsidRPr="00452DF6">
        <w:t xml:space="preserve"> </w:t>
      </w:r>
      <w:r w:rsidR="00A15586" w:rsidRPr="00A15586">
        <w:t>The MSAC Executive agreed with a proposal that the Department of Health to work with an assessment group to provide a discussion paper evaluating dMMR IHC testing for CRC that could be used as a benchmark against which subsequent co-dependent proposals for testing in other tumour types for access to a pan-tumour targeted treatment could be assessed.</w:t>
      </w:r>
    </w:p>
    <w:p w14:paraId="0BBDE1D1" w14:textId="23068559" w:rsidR="008B09BA" w:rsidRDefault="000C05F5" w:rsidP="00AA13B3">
      <w:pPr>
        <w:spacing w:after="240" w:line="312" w:lineRule="auto"/>
      </w:pPr>
      <w:r>
        <w:t>A</w:t>
      </w:r>
      <w:r w:rsidR="002251E8" w:rsidRPr="00452DF6">
        <w:t xml:space="preserve">t the 31 January 2017 MSAC Executive teleconference, </w:t>
      </w:r>
      <w:r w:rsidR="00074A25">
        <w:t>the Executive</w:t>
      </w:r>
      <w:r w:rsidR="00074A25" w:rsidRPr="00452DF6">
        <w:t xml:space="preserve"> </w:t>
      </w:r>
      <w:r w:rsidR="002251E8" w:rsidRPr="00452DF6">
        <w:t xml:space="preserve">had agreed with PASC that dMMR IHC testing in CRC is already routine practice and funded via </w:t>
      </w:r>
      <w:r w:rsidR="00293EC5">
        <w:t xml:space="preserve">the </w:t>
      </w:r>
      <w:r w:rsidR="002251E8" w:rsidRPr="00452DF6">
        <w:t>MBS general item</w:t>
      </w:r>
      <w:r w:rsidR="00293EC5">
        <w:t xml:space="preserve"> number</w:t>
      </w:r>
      <w:r w:rsidR="002251E8" w:rsidRPr="00452DF6">
        <w:t xml:space="preserve">s for IHC of biopsy material </w:t>
      </w:r>
      <w:r w:rsidR="00293EC5">
        <w:t>(</w:t>
      </w:r>
      <w:r w:rsidR="002251E8" w:rsidRPr="00452DF6">
        <w:t>72846-72850)</w:t>
      </w:r>
      <w:r>
        <w:t>.</w:t>
      </w:r>
      <w:r w:rsidR="002251E8" w:rsidRPr="00452DF6">
        <w:t xml:space="preserve"> </w:t>
      </w:r>
      <w:r w:rsidR="00293EC5">
        <w:t>The purpose of current</w:t>
      </w:r>
      <w:r w:rsidR="00281FB6">
        <w:t xml:space="preserve"> dMMR</w:t>
      </w:r>
      <w:r w:rsidR="00293EC5">
        <w:t xml:space="preserve"> </w:t>
      </w:r>
      <w:r w:rsidR="00074A25">
        <w:t xml:space="preserve">IHC </w:t>
      </w:r>
      <w:r w:rsidR="00293EC5">
        <w:t xml:space="preserve">testing in CRC is </w:t>
      </w:r>
      <w:r w:rsidR="00293EC5" w:rsidRPr="00293EC5">
        <w:t xml:space="preserve">to predict </w:t>
      </w:r>
      <w:r w:rsidR="00074A25">
        <w:t xml:space="preserve">the </w:t>
      </w:r>
      <w:r w:rsidR="00293EC5" w:rsidRPr="00293EC5">
        <w:t xml:space="preserve">efficacy of fluorouracil-based chemotherapy, especially in stage II disease, and/or </w:t>
      </w:r>
      <w:r w:rsidR="00E070C6">
        <w:t xml:space="preserve">as a triage test </w:t>
      </w:r>
      <w:r w:rsidR="00293EC5" w:rsidRPr="00293EC5">
        <w:t xml:space="preserve">to </w:t>
      </w:r>
      <w:r w:rsidR="00E070C6">
        <w:t xml:space="preserve">identify patients who may have </w:t>
      </w:r>
      <w:r w:rsidR="00293EC5" w:rsidRPr="00293EC5">
        <w:t xml:space="preserve">Lynch syndrome, a hereditary </w:t>
      </w:r>
      <w:r w:rsidR="00293EC5">
        <w:t>d</w:t>
      </w:r>
      <w:r w:rsidR="00293EC5" w:rsidRPr="00293EC5">
        <w:t>MMR disease</w:t>
      </w:r>
      <w:r w:rsidR="00920354">
        <w:t xml:space="preserve"> </w:t>
      </w:r>
      <w:r w:rsidR="00920354" w:rsidRPr="00920354">
        <w:t>(where the causal mutation is germline, rather than a somatic mutation characteristic of the tumour).</w:t>
      </w:r>
    </w:p>
    <w:p w14:paraId="0E8CC660" w14:textId="47F0FFDE" w:rsidR="00293EC5" w:rsidRPr="00452DF6" w:rsidRDefault="00293EC5" w:rsidP="00293EC5">
      <w:pPr>
        <w:spacing w:after="240" w:line="312" w:lineRule="auto"/>
      </w:pPr>
      <w:r>
        <w:t xml:space="preserve">It should be noted that there has been no previous formal evaluation of either routine dMMR IHC testing in CRC or for the usage of the MSAC </w:t>
      </w:r>
      <w:r w:rsidRPr="005C134D">
        <w:t>general item</w:t>
      </w:r>
      <w:r>
        <w:t xml:space="preserve"> number</w:t>
      </w:r>
      <w:r w:rsidRPr="005C134D">
        <w:t>s for IHC</w:t>
      </w:r>
      <w:r>
        <w:t xml:space="preserve">. </w:t>
      </w:r>
      <w:r w:rsidR="0062722B">
        <w:t xml:space="preserve">Assessment of the </w:t>
      </w:r>
      <w:r w:rsidR="0043417B">
        <w:t xml:space="preserve">analytical and </w:t>
      </w:r>
      <w:r w:rsidR="0062722B">
        <w:t xml:space="preserve">clinical validity of the dMMR IHC test </w:t>
      </w:r>
      <w:r w:rsidR="00CD1804">
        <w:t xml:space="preserve">in </w:t>
      </w:r>
      <w:r w:rsidR="0043417B">
        <w:t xml:space="preserve">a codependent application </w:t>
      </w:r>
      <w:r w:rsidR="001E18A9">
        <w:t xml:space="preserve">would </w:t>
      </w:r>
      <w:r w:rsidR="0043417B">
        <w:t>help determine the validity of current testing practices</w:t>
      </w:r>
      <w:r w:rsidR="00CD1804">
        <w:t xml:space="preserve">, as well as the test’s </w:t>
      </w:r>
      <w:r w:rsidR="0043417B">
        <w:t>utility in determining eligibility for targeted therapies.</w:t>
      </w:r>
    </w:p>
    <w:p w14:paraId="49A3143C" w14:textId="3E20FE6B" w:rsidR="0062722B" w:rsidRDefault="000C05F5" w:rsidP="00AA13B3">
      <w:pPr>
        <w:spacing w:after="240" w:line="312" w:lineRule="auto"/>
      </w:pPr>
      <w:r w:rsidRPr="00962671">
        <w:t xml:space="preserve">However, dMMR IHC testing is </w:t>
      </w:r>
      <w:r w:rsidR="007F60A8" w:rsidRPr="00962671">
        <w:t xml:space="preserve">less </w:t>
      </w:r>
      <w:r w:rsidRPr="00962671">
        <w:t>likely to be</w:t>
      </w:r>
      <w:r w:rsidR="00CD1804" w:rsidRPr="00962671">
        <w:t>come</w:t>
      </w:r>
      <w:r w:rsidRPr="00962671">
        <w:t xml:space="preserve"> routine practice</w:t>
      </w:r>
      <w:r w:rsidR="0062722B" w:rsidRPr="00962671">
        <w:t xml:space="preserve"> </w:t>
      </w:r>
      <w:r w:rsidR="001E18A9" w:rsidRPr="00962671">
        <w:t xml:space="preserve">for </w:t>
      </w:r>
      <w:r w:rsidR="00962671" w:rsidRPr="00962671">
        <w:t xml:space="preserve">the purpose of identifying </w:t>
      </w:r>
      <w:r w:rsidR="001E18A9" w:rsidRPr="00962671">
        <w:t xml:space="preserve">patients with Lynch syndrome </w:t>
      </w:r>
      <w:r w:rsidRPr="00962671">
        <w:t xml:space="preserve">for the </w:t>
      </w:r>
      <w:r w:rsidR="0062722B" w:rsidRPr="00962671">
        <w:t xml:space="preserve">majority of the </w:t>
      </w:r>
      <w:r w:rsidRPr="00962671">
        <w:t>foreshadowed pan-tumour testing population</w:t>
      </w:r>
      <w:r w:rsidR="00957DCD" w:rsidRPr="00962671">
        <w:t>,</w:t>
      </w:r>
      <w:r w:rsidR="007F60A8" w:rsidRPr="00962671">
        <w:t xml:space="preserve"> as</w:t>
      </w:r>
      <w:r w:rsidR="00957DCD" w:rsidRPr="00962671">
        <w:t xml:space="preserve"> these tumours </w:t>
      </w:r>
      <w:r w:rsidR="00353108" w:rsidRPr="00962671">
        <w:t xml:space="preserve">are associated with a much lower cumulative lifetime risk </w:t>
      </w:r>
      <w:r w:rsidR="00957DCD" w:rsidRPr="00962671">
        <w:t xml:space="preserve">than CRC and endometrial cancer </w:t>
      </w:r>
      <w:r w:rsidR="00F77139" w:rsidRPr="00962671">
        <w:fldChar w:fldCharType="begin"/>
      </w:r>
      <w:r w:rsidR="00F77139" w:rsidRPr="00962671">
        <w:instrText xml:space="preserve"> ADDIN EN.CITE &lt;EndNote&gt;&lt;Cite&gt;&lt;Author&gt;Barrow&lt;/Author&gt;&lt;Year&gt;2009&lt;/Year&gt;&lt;RecNum&gt;17&lt;/RecNum&gt;&lt;DisplayText&gt;(Barrow et al. 2009)&lt;/DisplayText&gt;&lt;record&gt;&lt;rec-number&gt;17&lt;/rec-number&gt;&lt;foreign-keys&gt;&lt;key app="EN" db-id="20rafrsx2d50edew5w15fz0q0dvfzstzed55" timestamp="1511741000"&gt;17&lt;/key&gt;&lt;/foreign-keys&gt;&lt;ref-type name="Journal Article"&gt;17&lt;/ref-type&gt;&lt;contributors&gt;&lt;authors&gt;&lt;author&gt;Barrow, E.&lt;/author&gt;&lt;author&gt;Robinson, L.&lt;/author&gt;&lt;author&gt;Alduaij, W.&lt;/author&gt;&lt;author&gt;Shenton, A.&lt;/author&gt;&lt;author&gt;Clancy, T.&lt;/author&gt;&lt;author&gt;Lalloo, F.&lt;/author&gt;&lt;author&gt;Hill, J.&lt;/author&gt;&lt;author&gt;Evans, D. G.&lt;/author&gt;&lt;/authors&gt;&lt;/contributors&gt;&lt;titles&gt;&lt;title&gt;Cumulative lifetime incidence of extracolonic cancers in Lynch syndrome: a report of 121 families with proven mutations&lt;/title&gt;&lt;secondary-title&gt;Clinical Genetics&lt;/secondary-title&gt;&lt;/titles&gt;&lt;periodical&gt;&lt;full-title&gt;Clinical Genetics&lt;/full-title&gt;&lt;/periodical&gt;&lt;pages&gt;141-149&lt;/pages&gt;&lt;volume&gt;75&lt;/volume&gt;&lt;number&gt;2&lt;/number&gt;&lt;keywords&gt;&lt;keyword&gt;DNA mismatch repair&lt;/keyword&gt;&lt;keyword&gt;hereditary non-polyposis colorectal cancer&lt;/keyword&gt;&lt;keyword&gt;Kaplan-Meiers analysis&lt;/keyword&gt;&lt;keyword&gt;Lynch syndrome&lt;/keyword&gt;&lt;keyword&gt;multiple primary neoplasms&lt;/keyword&gt;&lt;keyword&gt;statistical bias&lt;/keyword&gt;&lt;/keywords&gt;&lt;dates&gt;&lt;year&gt;2009&lt;/year&gt;&lt;/dates&gt;&lt;publisher&gt;Blackwell Publishing Ltd&lt;/publisher&gt;&lt;isbn&gt;1399-0004&lt;/isbn&gt;&lt;urls&gt;&lt;related-urls&gt;&lt;url&gt;http://dx.doi.org/10.1111/j.1399-0004.2008.01125.x&lt;/url&gt;&lt;url&gt;http://onlinelibrary.wiley.com/store/10.1111/j.1399-0004.2008.01125.x/asset/j.1399-0004.2008.01125.x.pdf?v=1&amp;amp;t=j78bl6et&amp;amp;s=3f73bb937ed16df9c3d49b64b61a3023bb232488&lt;/url&gt;&lt;/related-urls&gt;&lt;/urls&gt;&lt;electronic-resource-num&gt;10.1111/j.1399-0004.2008.01125.x&lt;/electronic-resource-num&gt;&lt;/record&gt;&lt;/Cite&gt;&lt;/EndNote&gt;</w:instrText>
      </w:r>
      <w:r w:rsidR="00F77139" w:rsidRPr="00962671">
        <w:fldChar w:fldCharType="separate"/>
      </w:r>
      <w:r w:rsidR="00F77139" w:rsidRPr="00962671">
        <w:rPr>
          <w:noProof/>
        </w:rPr>
        <w:t>(Barrow et al. 2009)</w:t>
      </w:r>
      <w:r w:rsidR="00F77139" w:rsidRPr="00962671">
        <w:fldChar w:fldCharType="end"/>
      </w:r>
      <w:r w:rsidRPr="00962671">
        <w:t>.</w:t>
      </w:r>
      <w:r w:rsidR="0062722B" w:rsidRPr="005D7117">
        <w:t xml:space="preserve"> </w:t>
      </w:r>
      <w:r w:rsidR="00B92300" w:rsidRPr="005D7117">
        <w:t>In 2015</w:t>
      </w:r>
      <w:r w:rsidR="002C3207" w:rsidRPr="005D7117">
        <w:t>,</w:t>
      </w:r>
      <w:r w:rsidR="00CD1804" w:rsidRPr="005D7117">
        <w:t xml:space="preserve"> </w:t>
      </w:r>
      <w:r w:rsidR="00353108" w:rsidRPr="005D7117">
        <w:t>routine</w:t>
      </w:r>
      <w:r w:rsidR="00CD1804" w:rsidRPr="005D7117">
        <w:t xml:space="preserve"> </w:t>
      </w:r>
      <w:r w:rsidR="002C3207" w:rsidRPr="005D7117">
        <w:t xml:space="preserve">dMMR IHC </w:t>
      </w:r>
      <w:r w:rsidR="00CD1804" w:rsidRPr="005D7117">
        <w:t>test</w:t>
      </w:r>
      <w:r w:rsidR="00353108" w:rsidRPr="005D7117">
        <w:t>ing of</w:t>
      </w:r>
      <w:r w:rsidR="0062722B" w:rsidRPr="005D7117">
        <w:t xml:space="preserve"> endometrial cancer</w:t>
      </w:r>
      <w:r w:rsidR="002C3207" w:rsidRPr="005D7117">
        <w:t xml:space="preserve"> </w:t>
      </w:r>
      <w:r w:rsidR="00353108" w:rsidRPr="005D7117">
        <w:t xml:space="preserve">to </w:t>
      </w:r>
      <w:r w:rsidR="00962671" w:rsidRPr="005D7117">
        <w:t>identify</w:t>
      </w:r>
      <w:r w:rsidR="00E070C6" w:rsidRPr="005D7117">
        <w:t xml:space="preserve"> </w:t>
      </w:r>
      <w:r w:rsidR="00353108" w:rsidRPr="005D7117">
        <w:t xml:space="preserve">patients with Lynch syndrome </w:t>
      </w:r>
      <w:r w:rsidR="00B92300" w:rsidRPr="005D7117">
        <w:t>was</w:t>
      </w:r>
      <w:r w:rsidR="0062722B" w:rsidRPr="005D7117">
        <w:t xml:space="preserve"> </w:t>
      </w:r>
      <w:r w:rsidR="0043417B" w:rsidRPr="005D7117">
        <w:t>only</w:t>
      </w:r>
      <w:r w:rsidR="0062722B" w:rsidRPr="005D7117">
        <w:t xml:space="preserve"> being performed in 26% of Australian diagnostic laboratories</w:t>
      </w:r>
      <w:r w:rsidR="00B92300" w:rsidRPr="005D7117">
        <w:t>; since then the</w:t>
      </w:r>
      <w:r w:rsidR="001E18A9" w:rsidRPr="005D7117">
        <w:t xml:space="preserve"> number of laboratories</w:t>
      </w:r>
      <w:r w:rsidR="00B92300" w:rsidRPr="005D7117">
        <w:t xml:space="preserve"> has </w:t>
      </w:r>
      <w:r w:rsidR="001E18A9" w:rsidRPr="005D7117">
        <w:t>most likely</w:t>
      </w:r>
      <w:r w:rsidR="00B92300" w:rsidRPr="005D7117">
        <w:t xml:space="preserve"> increase</w:t>
      </w:r>
      <w:r w:rsidR="001E18A9" w:rsidRPr="005D7117">
        <w:t>d</w:t>
      </w:r>
      <w:r w:rsidR="0062722B" w:rsidRPr="005D7117">
        <w:t>.</w:t>
      </w:r>
    </w:p>
    <w:p w14:paraId="104C26F4" w14:textId="125A3B7E" w:rsidR="00A72228" w:rsidRDefault="00A72228" w:rsidP="00AA13B3">
      <w:pPr>
        <w:spacing w:after="240" w:line="312" w:lineRule="auto"/>
      </w:pPr>
      <w:r>
        <w:t>Tumours that are dMMR have defective DNA mismatch repair</w:t>
      </w:r>
      <w:r w:rsidR="00920354">
        <w:t>,</w:t>
      </w:r>
      <w:r>
        <w:t xml:space="preserve"> </w:t>
      </w:r>
      <w:r w:rsidR="00920354" w:rsidRPr="00920354">
        <w:t xml:space="preserve">due to loss of function in one of four </w:t>
      </w:r>
      <w:r w:rsidR="00920354">
        <w:t>proteins</w:t>
      </w:r>
      <w:r w:rsidR="00920354" w:rsidRPr="00920354">
        <w:t xml:space="preserve"> (MLH1, MSH2, MSH6, </w:t>
      </w:r>
      <w:r w:rsidR="00920354">
        <w:t>or</w:t>
      </w:r>
      <w:r w:rsidR="00920354" w:rsidRPr="00920354">
        <w:t xml:space="preserve"> PMS2),</w:t>
      </w:r>
      <w:r w:rsidR="00920354">
        <w:t xml:space="preserve"> </w:t>
      </w:r>
      <w:r>
        <w:t>leading to an increased mutation rate</w:t>
      </w:r>
      <w:r w:rsidR="003F3F1B">
        <w:t xml:space="preserve">. </w:t>
      </w:r>
      <w:r w:rsidR="003F3F1B" w:rsidRPr="003F3F1B">
        <w:t>Microsatellites, or short tandem repetitive DNA sequences are particularly sensitive to mismatch errors</w:t>
      </w:r>
      <w:r w:rsidR="003F3F1B">
        <w:t>,</w:t>
      </w:r>
      <w:r w:rsidR="003F3F1B" w:rsidRPr="003F3F1B">
        <w:t xml:space="preserve"> </w:t>
      </w:r>
      <w:r w:rsidR="003F3F1B">
        <w:t>and</w:t>
      </w:r>
      <w:r w:rsidR="003F3F1B" w:rsidRPr="003F3F1B">
        <w:t xml:space="preserve"> accumulation of repeat length alterations</w:t>
      </w:r>
      <w:r w:rsidR="003F3F1B">
        <w:t xml:space="preserve"> due to dMMR leads to the microsatellite instability-high (MSI-H) phenotype</w:t>
      </w:r>
      <w:r>
        <w:t xml:space="preserve">. </w:t>
      </w:r>
      <w:r w:rsidR="00920354">
        <w:t xml:space="preserve">The loss of function </w:t>
      </w:r>
      <w:r w:rsidR="00B92300">
        <w:t xml:space="preserve">is associated with </w:t>
      </w:r>
      <w:r w:rsidR="00920354" w:rsidRPr="00920354">
        <w:t>either a mutation in one of the four genes</w:t>
      </w:r>
      <w:r w:rsidR="00920354">
        <w:t xml:space="preserve"> encoding the MMR proteins</w:t>
      </w:r>
      <w:r w:rsidR="00396165">
        <w:t xml:space="preserve">, a deletion in the </w:t>
      </w:r>
      <w:r w:rsidR="00396165" w:rsidRPr="007347C1">
        <w:rPr>
          <w:i/>
        </w:rPr>
        <w:t>EPCAM</w:t>
      </w:r>
      <w:r w:rsidR="00396165">
        <w:t xml:space="preserve"> gene leading to epigenetic inactivation of MSH2</w:t>
      </w:r>
      <w:r w:rsidR="00872FDC">
        <w:t xml:space="preserve"> </w:t>
      </w:r>
      <w:r w:rsidR="00872FDC" w:rsidRPr="00920354">
        <w:lastRenderedPageBreak/>
        <w:t>(Lynch syndrome)</w:t>
      </w:r>
      <w:r w:rsidR="00396165">
        <w:t>,</w:t>
      </w:r>
      <w:r w:rsidR="00920354" w:rsidRPr="00920354">
        <w:t xml:space="preserve"> or hyper-methylation of the </w:t>
      </w:r>
      <w:r w:rsidR="00920354" w:rsidRPr="00920354">
        <w:rPr>
          <w:i/>
        </w:rPr>
        <w:t>MLH1</w:t>
      </w:r>
      <w:r w:rsidR="00920354" w:rsidRPr="00920354">
        <w:t xml:space="preserve"> </w:t>
      </w:r>
      <w:r w:rsidR="00920354">
        <w:t xml:space="preserve">gene </w:t>
      </w:r>
      <w:r w:rsidR="00920354" w:rsidRPr="00920354">
        <w:t>promot</w:t>
      </w:r>
      <w:r w:rsidR="00871ABF">
        <w:t>e</w:t>
      </w:r>
      <w:r w:rsidR="00920354" w:rsidRPr="00920354">
        <w:t xml:space="preserve">r (sporadic tumours). </w:t>
      </w:r>
      <w:r>
        <w:t>Tumours that have no defect in their DNA mismatch repair system are referred to as MMR sufficient</w:t>
      </w:r>
      <w:r w:rsidR="006C1A57">
        <w:t xml:space="preserve">, and </w:t>
      </w:r>
      <w:r w:rsidR="00EF4DBF">
        <w:t>tend to be</w:t>
      </w:r>
      <w:r w:rsidR="003F3F1B">
        <w:t xml:space="preserve"> microsatellite stable</w:t>
      </w:r>
      <w:r>
        <w:t>.</w:t>
      </w:r>
    </w:p>
    <w:p w14:paraId="547F1A5C" w14:textId="29645526" w:rsidR="00C635B1" w:rsidRDefault="00CD1804" w:rsidP="00AA13B3">
      <w:pPr>
        <w:spacing w:after="240" w:line="312" w:lineRule="auto"/>
      </w:pPr>
      <w:r>
        <w:t>Medicines that have pan-tumour capability are able to affect</w:t>
      </w:r>
      <w:r w:rsidR="008B09BA">
        <w:t xml:space="preserve"> any tumour originating from any part of the body. </w:t>
      </w:r>
      <w:r w:rsidR="00920354">
        <w:t>In the United States, the Food and Drug Administration has referred to this indication as “tissue/site agnostic”</w:t>
      </w:r>
      <w:r w:rsidR="00920354">
        <w:rPr>
          <w:rStyle w:val="FootnoteReference"/>
        </w:rPr>
        <w:footnoteReference w:id="1"/>
      </w:r>
      <w:r w:rsidR="00920354">
        <w:t xml:space="preserve">. </w:t>
      </w:r>
      <w:r w:rsidR="00ED3B14">
        <w:t xml:space="preserve">With respect to </w:t>
      </w:r>
      <w:r w:rsidR="008B09BA">
        <w:t xml:space="preserve">MSAC </w:t>
      </w:r>
      <w:r w:rsidR="006B0257">
        <w:t>A</w:t>
      </w:r>
      <w:r w:rsidR="008B09BA">
        <w:t xml:space="preserve">pplication 1508 </w:t>
      </w:r>
      <w:r w:rsidR="00ED3B14">
        <w:t xml:space="preserve">– </w:t>
      </w:r>
      <w:r>
        <w:t xml:space="preserve">pan-tumour </w:t>
      </w:r>
      <w:r w:rsidR="00ED3B14">
        <w:t xml:space="preserve">dMMR </w:t>
      </w:r>
      <w:r w:rsidR="007E3160">
        <w:t xml:space="preserve">IHC </w:t>
      </w:r>
      <w:r w:rsidR="00ED3B14">
        <w:t xml:space="preserve">testing </w:t>
      </w:r>
      <w:r w:rsidR="008B09BA">
        <w:t>in</w:t>
      </w:r>
      <w:r w:rsidR="007716FE">
        <w:t xml:space="preserve">cludes any </w:t>
      </w:r>
      <w:r w:rsidR="00920354">
        <w:t xml:space="preserve">unresectable or metastatic </w:t>
      </w:r>
      <w:r w:rsidR="007716FE">
        <w:t xml:space="preserve">non-CRC solid tumour. </w:t>
      </w:r>
      <w:r w:rsidR="0062722B">
        <w:t xml:space="preserve">CRC is omitted, as </w:t>
      </w:r>
      <w:r w:rsidR="000C05F5">
        <w:t xml:space="preserve">dMMR </w:t>
      </w:r>
      <w:r w:rsidR="007E3160">
        <w:t xml:space="preserve">IHC </w:t>
      </w:r>
      <w:r w:rsidR="000C05F5">
        <w:t xml:space="preserve">testing of </w:t>
      </w:r>
      <w:r w:rsidR="007716FE">
        <w:t xml:space="preserve">CRC tumours </w:t>
      </w:r>
      <w:r w:rsidR="0062722B">
        <w:t>is</w:t>
      </w:r>
      <w:r w:rsidR="007716FE">
        <w:t xml:space="preserve"> included in </w:t>
      </w:r>
      <w:r w:rsidR="0062722B">
        <w:t xml:space="preserve">a separate </w:t>
      </w:r>
      <w:r w:rsidR="007716FE">
        <w:t xml:space="preserve">MSAC </w:t>
      </w:r>
      <w:r w:rsidR="006B0257">
        <w:t>A</w:t>
      </w:r>
      <w:r w:rsidR="007716FE">
        <w:t xml:space="preserve">pplication </w:t>
      </w:r>
      <w:r w:rsidR="0062722B">
        <w:t>(</w:t>
      </w:r>
      <w:r w:rsidR="007716FE">
        <w:t>1452,</w:t>
      </w:r>
      <w:r w:rsidR="000C05F5">
        <w:t xml:space="preserve"> as</w:t>
      </w:r>
      <w:r w:rsidR="007716FE">
        <w:t xml:space="preserve"> </w:t>
      </w:r>
      <w:r w:rsidR="0062722B">
        <w:t>discussed</w:t>
      </w:r>
      <w:r w:rsidR="007716FE">
        <w:t xml:space="preserve"> above</w:t>
      </w:r>
      <w:r w:rsidR="0062722B">
        <w:t>)</w:t>
      </w:r>
      <w:r w:rsidR="007716FE">
        <w:t>.</w:t>
      </w:r>
    </w:p>
    <w:p w14:paraId="7A9D6C66" w14:textId="7436C781" w:rsidR="002251E8" w:rsidRPr="00452DF6" w:rsidRDefault="002251E8" w:rsidP="00250BBA">
      <w:pPr>
        <w:pStyle w:val="Heading2"/>
      </w:pPr>
      <w:bookmarkStart w:id="43" w:name="_Toc499553350"/>
      <w:bookmarkStart w:id="44" w:name="_Toc499561449"/>
      <w:bookmarkStart w:id="45" w:name="_Toc29557654"/>
      <w:r w:rsidRPr="00452DF6">
        <w:t>Scope</w:t>
      </w:r>
      <w:r w:rsidR="0093254B">
        <w:t xml:space="preserve"> of this discussion paper</w:t>
      </w:r>
      <w:bookmarkEnd w:id="43"/>
      <w:bookmarkEnd w:id="44"/>
      <w:bookmarkEnd w:id="45"/>
    </w:p>
    <w:p w14:paraId="04547C7F" w14:textId="0B1B2628" w:rsidR="002251E8" w:rsidRPr="00452DF6" w:rsidRDefault="002251E8" w:rsidP="00C635B1">
      <w:pPr>
        <w:spacing w:after="120" w:line="312" w:lineRule="auto"/>
      </w:pPr>
      <w:r w:rsidRPr="00452DF6">
        <w:t xml:space="preserve">It </w:t>
      </w:r>
      <w:r w:rsidR="00CD1804">
        <w:t>wa</w:t>
      </w:r>
      <w:r w:rsidRPr="00452DF6">
        <w:t xml:space="preserve">s recommended that </w:t>
      </w:r>
      <w:r w:rsidR="000125F7">
        <w:t>this discussion paper</w:t>
      </w:r>
      <w:r w:rsidRPr="00452DF6">
        <w:t xml:space="preserve"> should follow the MSAC </w:t>
      </w:r>
      <w:r w:rsidR="00DA115B">
        <w:t>Technical G</w:t>
      </w:r>
      <w:r w:rsidRPr="00452DF6">
        <w:t xml:space="preserve">uidelines for </w:t>
      </w:r>
      <w:r w:rsidR="00DA115B">
        <w:t>I</w:t>
      </w:r>
      <w:r w:rsidR="004818B6" w:rsidRPr="00452DF6">
        <w:t>nvestigative</w:t>
      </w:r>
      <w:r w:rsidRPr="00452DF6">
        <w:t xml:space="preserve"> </w:t>
      </w:r>
      <w:r w:rsidR="00DA115B">
        <w:t>S</w:t>
      </w:r>
      <w:r w:rsidRPr="00452DF6">
        <w:t>ervices</w:t>
      </w:r>
      <w:r w:rsidR="00DA115B">
        <w:t xml:space="preserve"> </w:t>
      </w:r>
      <w:r w:rsidR="00F77139">
        <w:fldChar w:fldCharType="begin"/>
      </w:r>
      <w:r w:rsidR="00F77139">
        <w:instrText xml:space="preserve"> ADDIN EN.CITE &lt;EndNote&gt;&lt;Cite&gt;&lt;Author&gt;MSAC&lt;/Author&gt;&lt;Year&gt;2017&lt;/Year&gt;&lt;RecNum&gt;2&lt;/RecNum&gt;&lt;DisplayText&gt;(MSAC 2017)&lt;/DisplayText&gt;&lt;record&gt;&lt;rec-number&gt;2&lt;/rec-number&gt;&lt;foreign-keys&gt;&lt;key app="EN" db-id="20rafrsx2d50edew5w15fz0q0dvfzstzed55" timestamp="1508463126"&gt;2&lt;/key&gt;&lt;/foreign-keys&gt;&lt;ref-type name="Government Document"&gt;46&lt;/ref-type&gt;&lt;contributors&gt;&lt;authors&gt;&lt;author&gt;MSAC &lt;/author&gt;&lt;/authors&gt;&lt;secondary-authors&gt;&lt;author&gt;Department of Health&lt;/author&gt;&lt;/secondary-authors&gt;&lt;/contributors&gt;&lt;titles&gt;&lt;title&gt;Technical Guidelines for preparing assessment reports for the Medical Services Advisory Committee – Service Type: Investigative&lt;/title&gt;&lt;/titles&gt;&lt;dates&gt;&lt;year&gt;2017&lt;/year&gt;&lt;/dates&gt;&lt;pub-location&gt;Canberra&lt;/pub-location&gt;&lt;publisher&gt;Australian Government&lt;/publisher&gt;&lt;urls&gt;&lt;related-urls&gt;&lt;url&gt;http://www.msac.gov.au/internet/msac/publishing.nsf/Content/applicants&lt;/url&gt;&lt;/related-urls&gt;&lt;/urls&gt;&lt;/record&gt;&lt;/Cite&gt;&lt;/EndNote&gt;</w:instrText>
      </w:r>
      <w:r w:rsidR="00F77139">
        <w:fldChar w:fldCharType="separate"/>
      </w:r>
      <w:r w:rsidR="00F77139">
        <w:rPr>
          <w:noProof/>
        </w:rPr>
        <w:t>(MSAC 2017)</w:t>
      </w:r>
      <w:r w:rsidR="00F77139">
        <w:fldChar w:fldCharType="end"/>
      </w:r>
      <w:r w:rsidRPr="00452DF6">
        <w:t>. T</w:t>
      </w:r>
      <w:r w:rsidR="007E3160">
        <w:t xml:space="preserve">he matters to be addressed for </w:t>
      </w:r>
      <w:r w:rsidRPr="00452DF6">
        <w:t xml:space="preserve">CRC </w:t>
      </w:r>
      <w:r w:rsidR="00CD1804">
        <w:t>that should</w:t>
      </w:r>
      <w:r w:rsidRPr="00452DF6">
        <w:t xml:space="preserve"> set the benchmark for </w:t>
      </w:r>
      <w:r w:rsidR="003C489C">
        <w:t xml:space="preserve">consideration of </w:t>
      </w:r>
      <w:r w:rsidRPr="00452DF6">
        <w:t>other tumours include:</w:t>
      </w:r>
    </w:p>
    <w:p w14:paraId="3838B5EE" w14:textId="14C7B56A" w:rsidR="002251E8" w:rsidRDefault="002251E8" w:rsidP="0026448E">
      <w:pPr>
        <w:pStyle w:val="ListParagraph"/>
        <w:numPr>
          <w:ilvl w:val="0"/>
          <w:numId w:val="8"/>
        </w:numPr>
        <w:spacing w:after="240" w:line="312" w:lineRule="auto"/>
        <w:ind w:left="431" w:hanging="352"/>
        <w:contextualSpacing/>
      </w:pPr>
      <w:r w:rsidRPr="00452DF6">
        <w:t xml:space="preserve">Analytical validity assessment of IHC </w:t>
      </w:r>
      <w:r w:rsidR="00920354">
        <w:t xml:space="preserve">dMMR testing </w:t>
      </w:r>
      <w:r w:rsidRPr="00452DF6">
        <w:t>against an accepted refe</w:t>
      </w:r>
      <w:r w:rsidR="007E3160">
        <w:t xml:space="preserve">rence standard (in the case of </w:t>
      </w:r>
      <w:r w:rsidRPr="00452DF6">
        <w:t xml:space="preserve">CRC this would be </w:t>
      </w:r>
      <w:r w:rsidR="00920354">
        <w:t>MSI-H</w:t>
      </w:r>
      <w:r w:rsidRPr="00452DF6">
        <w:t xml:space="preserve"> </w:t>
      </w:r>
      <w:r w:rsidR="00920354">
        <w:t>testing</w:t>
      </w:r>
      <w:r w:rsidRPr="00452DF6">
        <w:t>, including false po</w:t>
      </w:r>
      <w:r w:rsidR="00C635B1">
        <w:t>sitive and false negative rates</w:t>
      </w:r>
      <w:r w:rsidR="00EF4DBF">
        <w:t>)</w:t>
      </w:r>
    </w:p>
    <w:p w14:paraId="6218CF4D" w14:textId="40907FA7" w:rsidR="00E070C6" w:rsidRPr="00452DF6" w:rsidRDefault="005C6D9E" w:rsidP="0026448E">
      <w:pPr>
        <w:pStyle w:val="ListParagraph"/>
        <w:numPr>
          <w:ilvl w:val="0"/>
          <w:numId w:val="8"/>
        </w:numPr>
        <w:spacing w:after="240" w:line="312" w:lineRule="auto"/>
        <w:ind w:left="431" w:hanging="352"/>
        <w:contextualSpacing/>
      </w:pPr>
      <w:r>
        <w:t>Relationship</w:t>
      </w:r>
      <w:r w:rsidR="00E070C6">
        <w:t xml:space="preserve"> between the dMMR biomarker and the MSI-H biomarker </w:t>
      </w:r>
    </w:p>
    <w:p w14:paraId="72A8423A" w14:textId="77777777" w:rsidR="002251E8" w:rsidRPr="00452DF6" w:rsidRDefault="002251E8" w:rsidP="0026448E">
      <w:pPr>
        <w:pStyle w:val="ListParagraph"/>
        <w:numPr>
          <w:ilvl w:val="0"/>
          <w:numId w:val="8"/>
        </w:numPr>
        <w:spacing w:after="240" w:line="312" w:lineRule="auto"/>
        <w:ind w:left="431" w:hanging="352"/>
        <w:contextualSpacing/>
      </w:pPr>
      <w:r w:rsidRPr="00452DF6">
        <w:t xml:space="preserve">Detailed laboratory procedures for dMMR </w:t>
      </w:r>
      <w:r w:rsidR="007E3160" w:rsidRPr="00452DF6">
        <w:t xml:space="preserve">IHC </w:t>
      </w:r>
      <w:r w:rsidRPr="00452DF6">
        <w:t>testing and associated Q</w:t>
      </w:r>
      <w:r w:rsidR="00C635B1">
        <w:t>uality Assurance Programs (QAP</w:t>
      </w:r>
      <w:r w:rsidR="007E3160">
        <w:t>s</w:t>
      </w:r>
      <w:r w:rsidR="00C635B1">
        <w:t>)</w:t>
      </w:r>
    </w:p>
    <w:p w14:paraId="3C0191F3" w14:textId="5921F49B" w:rsidR="002251E8" w:rsidRPr="00452DF6" w:rsidRDefault="002251E8" w:rsidP="0026448E">
      <w:pPr>
        <w:pStyle w:val="ListParagraph"/>
        <w:numPr>
          <w:ilvl w:val="0"/>
          <w:numId w:val="8"/>
        </w:numPr>
        <w:spacing w:after="240" w:line="312" w:lineRule="auto"/>
        <w:ind w:left="431" w:hanging="352"/>
        <w:contextualSpacing/>
      </w:pPr>
      <w:r w:rsidRPr="00452DF6">
        <w:t xml:space="preserve">Number needed to test of the defined </w:t>
      </w:r>
      <w:r w:rsidR="00005647">
        <w:t xml:space="preserve">tumour </w:t>
      </w:r>
      <w:r w:rsidRPr="00452DF6">
        <w:t>population</w:t>
      </w:r>
      <w:r w:rsidR="00005647">
        <w:t>s</w:t>
      </w:r>
      <w:r w:rsidRPr="00452DF6">
        <w:t xml:space="preserve"> </w:t>
      </w:r>
      <w:r w:rsidR="00C635B1">
        <w:t xml:space="preserve">to detect one case of </w:t>
      </w:r>
      <w:r w:rsidR="00005647">
        <w:t xml:space="preserve">a </w:t>
      </w:r>
      <w:r w:rsidR="00250BBA">
        <w:t xml:space="preserve">true positive </w:t>
      </w:r>
      <w:r w:rsidR="00C635B1">
        <w:t xml:space="preserve">dMMR </w:t>
      </w:r>
      <w:r w:rsidR="00005647">
        <w:t>tumour</w:t>
      </w:r>
    </w:p>
    <w:p w14:paraId="2348D9E4" w14:textId="77777777" w:rsidR="002251E8" w:rsidRPr="00452DF6" w:rsidRDefault="002251E8" w:rsidP="0026448E">
      <w:pPr>
        <w:pStyle w:val="ListParagraph"/>
        <w:numPr>
          <w:ilvl w:val="0"/>
          <w:numId w:val="8"/>
        </w:numPr>
        <w:spacing w:after="240" w:line="312" w:lineRule="auto"/>
        <w:ind w:left="431" w:hanging="352"/>
        <w:contextualSpacing/>
      </w:pPr>
      <w:r w:rsidRPr="00452DF6">
        <w:t>Preval</w:t>
      </w:r>
      <w:r w:rsidR="00C635B1">
        <w:t>ence of dMMR in this population</w:t>
      </w:r>
    </w:p>
    <w:p w14:paraId="3CDBC5A9" w14:textId="2A254E3A" w:rsidR="002251E8" w:rsidRPr="00452DF6" w:rsidRDefault="002251E8" w:rsidP="0026448E">
      <w:pPr>
        <w:pStyle w:val="ListParagraph"/>
        <w:numPr>
          <w:ilvl w:val="0"/>
          <w:numId w:val="8"/>
        </w:numPr>
        <w:spacing w:after="240" w:line="312" w:lineRule="auto"/>
        <w:ind w:left="431" w:hanging="352"/>
        <w:contextualSpacing/>
      </w:pPr>
      <w:r w:rsidRPr="00452DF6">
        <w:t>Whether other genetic mutations have similar or better predictive value for treatment outcomes than dMMR and, if so, the information outlined above for th</w:t>
      </w:r>
      <w:r w:rsidR="00C635B1">
        <w:t>e testing for any such mutation</w:t>
      </w:r>
      <w:r w:rsidR="006F5EBD">
        <w:t>.</w:t>
      </w:r>
    </w:p>
    <w:p w14:paraId="563AC952" w14:textId="3AB80D08" w:rsidR="002251E8" w:rsidRPr="00452DF6" w:rsidRDefault="006D37EF" w:rsidP="00AA13B3">
      <w:pPr>
        <w:spacing w:after="240" w:line="312" w:lineRule="auto"/>
      </w:pPr>
      <w:r w:rsidRPr="00452DF6">
        <w:t>Th</w:t>
      </w:r>
      <w:r w:rsidR="00EC20F8" w:rsidRPr="00452DF6">
        <w:t xml:space="preserve">ese issues </w:t>
      </w:r>
      <w:r w:rsidR="00CD1804">
        <w:t>are</w:t>
      </w:r>
      <w:r w:rsidR="00EC20F8" w:rsidRPr="00452DF6">
        <w:t xml:space="preserve"> addressed in</w:t>
      </w:r>
      <w:r w:rsidRPr="00452DF6">
        <w:t xml:space="preserve"> </w:t>
      </w:r>
      <w:r w:rsidR="003131F0" w:rsidRPr="00452DF6">
        <w:t xml:space="preserve">appropriate </w:t>
      </w:r>
      <w:r w:rsidRPr="00452DF6">
        <w:t>section</w:t>
      </w:r>
      <w:r w:rsidR="003131F0" w:rsidRPr="00452DF6">
        <w:t>s</w:t>
      </w:r>
      <w:r w:rsidRPr="00452DF6">
        <w:t xml:space="preserve"> of the assessment</w:t>
      </w:r>
      <w:r w:rsidR="00DA115B">
        <w:t xml:space="preserve"> below</w:t>
      </w:r>
      <w:r w:rsidR="00EC20F8" w:rsidRPr="00452DF6">
        <w:t>.</w:t>
      </w:r>
    </w:p>
    <w:p w14:paraId="284A4255" w14:textId="41D8B244" w:rsidR="002251E8" w:rsidRPr="00452DF6" w:rsidRDefault="002251E8" w:rsidP="00AA13B3">
      <w:pPr>
        <w:pStyle w:val="Heading1"/>
        <w:spacing w:line="312" w:lineRule="auto"/>
        <w:ind w:left="0" w:firstLine="0"/>
      </w:pPr>
      <w:bookmarkStart w:id="46" w:name="_Toc316047370"/>
      <w:bookmarkStart w:id="47" w:name="_Toc323936979"/>
      <w:bookmarkStart w:id="48" w:name="_Toc29557655"/>
      <w:r w:rsidRPr="00452DF6">
        <w:lastRenderedPageBreak/>
        <w:t xml:space="preserve">Clinical </w:t>
      </w:r>
      <w:bookmarkEnd w:id="46"/>
      <w:bookmarkEnd w:id="47"/>
      <w:r w:rsidR="0081494A" w:rsidRPr="00452DF6">
        <w:t xml:space="preserve">evaluation </w:t>
      </w:r>
      <w:r w:rsidR="00CD1804">
        <w:t>of</w:t>
      </w:r>
      <w:r w:rsidR="00CD1804" w:rsidRPr="00452DF6">
        <w:t xml:space="preserve"> </w:t>
      </w:r>
      <w:r w:rsidR="0081494A" w:rsidRPr="00452DF6">
        <w:t xml:space="preserve">the proposed </w:t>
      </w:r>
      <w:r w:rsidR="00AD4385" w:rsidRPr="00452DF6">
        <w:t xml:space="preserve">investigative </w:t>
      </w:r>
      <w:r w:rsidR="0081494A" w:rsidRPr="00452DF6">
        <w:t>medical service</w:t>
      </w:r>
      <w:bookmarkEnd w:id="48"/>
    </w:p>
    <w:p w14:paraId="43DF6DCD" w14:textId="77777777" w:rsidR="0081494A" w:rsidRPr="00452DF6" w:rsidRDefault="0081494A" w:rsidP="00AA13B3">
      <w:pPr>
        <w:pStyle w:val="Heading2"/>
        <w:spacing w:line="312" w:lineRule="auto"/>
        <w:rPr>
          <w:lang w:eastAsia="en-US"/>
        </w:rPr>
      </w:pPr>
      <w:bookmarkStart w:id="49" w:name="_Toc29557656"/>
      <w:bookmarkStart w:id="50" w:name="_Toc318718155"/>
      <w:bookmarkStart w:id="51" w:name="_Toc321761772"/>
      <w:r w:rsidRPr="00452DF6">
        <w:rPr>
          <w:lang w:eastAsia="en-US"/>
        </w:rPr>
        <w:t>Introduction</w:t>
      </w:r>
      <w:bookmarkEnd w:id="49"/>
    </w:p>
    <w:p w14:paraId="6D8430C7" w14:textId="3BCB0F3B" w:rsidR="0081494A" w:rsidRPr="00452DF6" w:rsidRDefault="0081494A" w:rsidP="00AA13B3">
      <w:pPr>
        <w:spacing w:after="240" w:line="312" w:lineRule="auto"/>
        <w:rPr>
          <w:rFonts w:cs="Times New Roman"/>
          <w:color w:val="000000"/>
          <w:szCs w:val="24"/>
          <w:lang w:eastAsia="en-US"/>
        </w:rPr>
      </w:pPr>
      <w:r w:rsidRPr="00452DF6">
        <w:rPr>
          <w:rFonts w:cs="Times New Roman"/>
          <w:color w:val="000000"/>
          <w:szCs w:val="24"/>
          <w:lang w:eastAsia="en-US"/>
        </w:rPr>
        <w:t xml:space="preserve">The purpose of Section B </w:t>
      </w:r>
      <w:r w:rsidR="00F211A9">
        <w:rPr>
          <w:rFonts w:cs="Times New Roman"/>
          <w:color w:val="000000"/>
          <w:szCs w:val="24"/>
          <w:lang w:eastAsia="en-US"/>
        </w:rPr>
        <w:t xml:space="preserve">of the </w:t>
      </w:r>
      <w:r w:rsidR="00CD1804">
        <w:rPr>
          <w:rFonts w:cs="Times New Roman"/>
          <w:color w:val="000000"/>
          <w:szCs w:val="24"/>
          <w:lang w:eastAsia="en-US"/>
        </w:rPr>
        <w:t xml:space="preserve">MSAC </w:t>
      </w:r>
      <w:r w:rsidR="00CB3A61">
        <w:t>Technical Guidelines for Investigative Services</w:t>
      </w:r>
      <w:r w:rsidR="00CB3A61">
        <w:rPr>
          <w:rFonts w:cs="Times New Roman"/>
          <w:color w:val="000000"/>
          <w:szCs w:val="24"/>
          <w:lang w:eastAsia="en-US"/>
        </w:rPr>
        <w:t xml:space="preserve"> </w:t>
      </w:r>
      <w:r w:rsidRPr="00452DF6">
        <w:rPr>
          <w:rFonts w:cs="Times New Roman"/>
          <w:color w:val="000000"/>
          <w:szCs w:val="24"/>
          <w:lang w:eastAsia="en-US"/>
        </w:rPr>
        <w:t xml:space="preserve">is to identify and present the best available clinical evidence for </w:t>
      </w:r>
      <w:r w:rsidR="00CD1804">
        <w:rPr>
          <w:rFonts w:cs="Times New Roman"/>
          <w:color w:val="000000"/>
          <w:szCs w:val="24"/>
          <w:lang w:eastAsia="en-US"/>
        </w:rPr>
        <w:t xml:space="preserve">use of </w:t>
      </w:r>
      <w:r w:rsidRPr="00452DF6">
        <w:rPr>
          <w:rFonts w:cs="Times New Roman"/>
          <w:color w:val="000000"/>
          <w:szCs w:val="24"/>
          <w:lang w:eastAsia="en-US"/>
        </w:rPr>
        <w:t>a</w:t>
      </w:r>
      <w:r w:rsidR="008D3CA7">
        <w:rPr>
          <w:rFonts w:cs="Times New Roman"/>
          <w:color w:val="000000"/>
          <w:szCs w:val="24"/>
          <w:lang w:eastAsia="en-US"/>
        </w:rPr>
        <w:t>n</w:t>
      </w:r>
      <w:r w:rsidRPr="00452DF6">
        <w:rPr>
          <w:rFonts w:cs="Times New Roman"/>
          <w:color w:val="000000"/>
          <w:szCs w:val="24"/>
          <w:lang w:eastAsia="en-US"/>
        </w:rPr>
        <w:t xml:space="preserve"> </w:t>
      </w:r>
      <w:r w:rsidR="008D3CA7">
        <w:rPr>
          <w:rFonts w:cs="Times New Roman"/>
          <w:color w:val="000000"/>
          <w:szCs w:val="24"/>
          <w:lang w:eastAsia="en-US"/>
        </w:rPr>
        <w:t>investigative</w:t>
      </w:r>
      <w:r w:rsidRPr="00452DF6">
        <w:rPr>
          <w:rFonts w:cs="Times New Roman"/>
          <w:color w:val="000000"/>
          <w:szCs w:val="24"/>
          <w:lang w:eastAsia="en-US"/>
        </w:rPr>
        <w:t xml:space="preserve"> medical service</w:t>
      </w:r>
      <w:r w:rsidR="003024D6">
        <w:rPr>
          <w:rFonts w:cs="Times New Roman"/>
          <w:color w:val="000000"/>
          <w:szCs w:val="24"/>
          <w:lang w:eastAsia="en-US"/>
        </w:rPr>
        <w:t xml:space="preserve"> that</w:t>
      </w:r>
      <w:r w:rsidR="008D3CA7" w:rsidRPr="008D3CA7">
        <w:rPr>
          <w:rFonts w:cs="Times New Roman"/>
          <w:color w:val="000000"/>
          <w:szCs w:val="24"/>
          <w:lang w:eastAsia="en-US"/>
        </w:rPr>
        <w:t xml:space="preserve"> has the potential to change clinical management</w:t>
      </w:r>
      <w:r w:rsidR="00CD1804" w:rsidRPr="00CD1804">
        <w:rPr>
          <w:rFonts w:cs="Times New Roman"/>
          <w:color w:val="000000"/>
          <w:szCs w:val="24"/>
          <w:lang w:eastAsia="en-US"/>
        </w:rPr>
        <w:t xml:space="preserve"> </w:t>
      </w:r>
      <w:r w:rsidR="00CD1804" w:rsidRPr="00452DF6">
        <w:rPr>
          <w:rFonts w:cs="Times New Roman"/>
          <w:color w:val="000000"/>
          <w:szCs w:val="24"/>
          <w:lang w:eastAsia="en-US"/>
        </w:rPr>
        <w:t>for the main indication</w:t>
      </w:r>
      <w:r w:rsidR="00ED3B14">
        <w:rPr>
          <w:rFonts w:cs="Times New Roman"/>
          <w:color w:val="000000"/>
          <w:szCs w:val="24"/>
          <w:lang w:eastAsia="en-US"/>
        </w:rPr>
        <w:t>,</w:t>
      </w:r>
      <w:r w:rsidR="008D3CA7" w:rsidRPr="008D3CA7">
        <w:rPr>
          <w:rFonts w:cs="Times New Roman"/>
          <w:color w:val="000000"/>
          <w:szCs w:val="24"/>
          <w:lang w:eastAsia="en-US"/>
        </w:rPr>
        <w:t xml:space="preserve"> and thereby improve </w:t>
      </w:r>
      <w:r w:rsidR="00CD1804">
        <w:rPr>
          <w:rFonts w:cs="Times New Roman"/>
          <w:color w:val="000000"/>
          <w:szCs w:val="24"/>
          <w:lang w:eastAsia="en-US"/>
        </w:rPr>
        <w:t xml:space="preserve">patient </w:t>
      </w:r>
      <w:r w:rsidR="008D3CA7" w:rsidRPr="008D3CA7">
        <w:rPr>
          <w:rFonts w:cs="Times New Roman"/>
          <w:color w:val="000000"/>
          <w:szCs w:val="24"/>
          <w:lang w:eastAsia="en-US"/>
        </w:rPr>
        <w:t>health outcomes</w:t>
      </w:r>
      <w:r w:rsidR="008D3CA7">
        <w:rPr>
          <w:rFonts w:cs="Times New Roman"/>
          <w:color w:val="000000"/>
          <w:szCs w:val="24"/>
          <w:lang w:eastAsia="en-US"/>
        </w:rPr>
        <w:t>.</w:t>
      </w:r>
      <w:r w:rsidR="00F211A9" w:rsidRPr="00F211A9">
        <w:rPr>
          <w:rFonts w:cs="Times New Roman"/>
          <w:color w:val="000000"/>
          <w:szCs w:val="24"/>
          <w:lang w:eastAsia="en-US"/>
        </w:rPr>
        <w:t xml:space="preserve"> </w:t>
      </w:r>
      <w:r w:rsidR="00F211A9">
        <w:rPr>
          <w:rFonts w:cs="Times New Roman"/>
          <w:color w:val="000000"/>
          <w:szCs w:val="24"/>
          <w:lang w:eastAsia="en-US"/>
        </w:rPr>
        <w:t xml:space="preserve">In the case of a co-dependent MSAC/PBAC application, the medical service is </w:t>
      </w:r>
      <w:r w:rsidR="007A559E">
        <w:rPr>
          <w:rFonts w:cs="Times New Roman"/>
          <w:color w:val="000000"/>
          <w:szCs w:val="24"/>
          <w:lang w:eastAsia="en-US"/>
        </w:rPr>
        <w:t>usually</w:t>
      </w:r>
      <w:r w:rsidR="00F211A9">
        <w:rPr>
          <w:rFonts w:cs="Times New Roman"/>
          <w:color w:val="000000"/>
          <w:szCs w:val="24"/>
          <w:lang w:eastAsia="en-US"/>
        </w:rPr>
        <w:t xml:space="preserve"> a diagnostic test that would determine eligibility for a targeted </w:t>
      </w:r>
      <w:r w:rsidR="00064683">
        <w:rPr>
          <w:rFonts w:cs="Times New Roman"/>
          <w:color w:val="000000"/>
          <w:szCs w:val="24"/>
          <w:lang w:eastAsia="en-US"/>
        </w:rPr>
        <w:t>medicinal</w:t>
      </w:r>
      <w:r w:rsidR="00F211A9">
        <w:rPr>
          <w:rFonts w:cs="Times New Roman"/>
          <w:color w:val="000000"/>
          <w:szCs w:val="24"/>
          <w:lang w:eastAsia="en-US"/>
        </w:rPr>
        <w:t xml:space="preserve"> therapy.</w:t>
      </w:r>
    </w:p>
    <w:p w14:paraId="0350444C" w14:textId="156EBDA2" w:rsidR="0012074A" w:rsidRPr="00452DF6" w:rsidRDefault="00EC20F8" w:rsidP="00AA13B3">
      <w:pPr>
        <w:spacing w:after="240" w:line="312" w:lineRule="auto"/>
        <w:rPr>
          <w:rFonts w:cs="Times New Roman"/>
          <w:color w:val="000000"/>
          <w:szCs w:val="24"/>
          <w:lang w:eastAsia="en-US"/>
        </w:rPr>
      </w:pPr>
      <w:r w:rsidRPr="00452DF6">
        <w:rPr>
          <w:rFonts w:cs="Times New Roman"/>
          <w:color w:val="000000"/>
          <w:szCs w:val="24"/>
          <w:lang w:eastAsia="en-US"/>
        </w:rPr>
        <w:t>The most important</w:t>
      </w:r>
      <w:r w:rsidR="0012074A" w:rsidRPr="00452DF6">
        <w:rPr>
          <w:rFonts w:cs="Times New Roman"/>
          <w:color w:val="000000"/>
          <w:szCs w:val="24"/>
          <w:lang w:eastAsia="en-US"/>
        </w:rPr>
        <w:t xml:space="preserve"> process for determining the evidence base </w:t>
      </w:r>
      <w:r w:rsidR="00F211A9">
        <w:rPr>
          <w:rFonts w:cs="Times New Roman"/>
          <w:color w:val="000000"/>
          <w:szCs w:val="24"/>
          <w:lang w:eastAsia="en-US"/>
        </w:rPr>
        <w:t xml:space="preserve">for assessment of </w:t>
      </w:r>
      <w:r w:rsidR="00CD1804">
        <w:rPr>
          <w:rFonts w:cs="Times New Roman"/>
          <w:color w:val="000000"/>
          <w:szCs w:val="24"/>
          <w:lang w:eastAsia="en-US"/>
        </w:rPr>
        <w:t xml:space="preserve">a </w:t>
      </w:r>
      <w:r w:rsidR="00F211A9">
        <w:rPr>
          <w:rFonts w:cs="Times New Roman"/>
          <w:color w:val="000000"/>
          <w:szCs w:val="24"/>
          <w:lang w:eastAsia="en-US"/>
        </w:rPr>
        <w:t xml:space="preserve">medical service </w:t>
      </w:r>
      <w:r w:rsidR="0012074A" w:rsidRPr="00452DF6">
        <w:rPr>
          <w:rFonts w:cs="Times New Roman"/>
          <w:color w:val="000000"/>
          <w:szCs w:val="24"/>
          <w:lang w:eastAsia="en-US"/>
        </w:rPr>
        <w:t xml:space="preserve">is the development of the PICO </w:t>
      </w:r>
      <w:r w:rsidR="00395938">
        <w:rPr>
          <w:rFonts w:cs="Times New Roman"/>
          <w:color w:val="000000"/>
          <w:szCs w:val="24"/>
          <w:lang w:eastAsia="en-US"/>
        </w:rPr>
        <w:t xml:space="preserve">(population, intervention, comparator, outcomes) </w:t>
      </w:r>
      <w:r w:rsidR="00CD1804">
        <w:rPr>
          <w:rFonts w:cs="Times New Roman"/>
          <w:color w:val="000000"/>
          <w:szCs w:val="24"/>
          <w:lang w:eastAsia="en-US"/>
        </w:rPr>
        <w:t xml:space="preserve">study selection </w:t>
      </w:r>
      <w:r w:rsidR="0012074A" w:rsidRPr="00452DF6">
        <w:rPr>
          <w:rFonts w:cs="Times New Roman"/>
          <w:color w:val="000000"/>
          <w:szCs w:val="24"/>
          <w:lang w:eastAsia="en-US"/>
        </w:rPr>
        <w:t xml:space="preserve">criteria. </w:t>
      </w:r>
      <w:r w:rsidR="00F211A9">
        <w:rPr>
          <w:rFonts w:cs="Times New Roman"/>
          <w:color w:val="000000"/>
          <w:szCs w:val="24"/>
          <w:lang w:eastAsia="en-US"/>
        </w:rPr>
        <w:t xml:space="preserve">This </w:t>
      </w:r>
      <w:r w:rsidR="00395938">
        <w:rPr>
          <w:rFonts w:cs="Times New Roman"/>
          <w:color w:val="000000"/>
          <w:szCs w:val="24"/>
          <w:lang w:eastAsia="en-US"/>
        </w:rPr>
        <w:t>defines</w:t>
      </w:r>
      <w:r w:rsidR="00F211A9">
        <w:rPr>
          <w:rFonts w:cs="Times New Roman"/>
          <w:color w:val="000000"/>
          <w:szCs w:val="24"/>
          <w:lang w:eastAsia="en-US"/>
        </w:rPr>
        <w:t xml:space="preserve"> the relevant </w:t>
      </w:r>
      <w:r w:rsidR="00395938">
        <w:rPr>
          <w:rFonts w:cs="Times New Roman"/>
          <w:color w:val="000000"/>
          <w:szCs w:val="24"/>
          <w:lang w:eastAsia="en-US"/>
        </w:rPr>
        <w:t xml:space="preserve">testing </w:t>
      </w:r>
      <w:r w:rsidR="00F211A9">
        <w:rPr>
          <w:rFonts w:cs="Times New Roman"/>
          <w:color w:val="000000"/>
          <w:szCs w:val="24"/>
          <w:lang w:eastAsia="en-US"/>
        </w:rPr>
        <w:t>population</w:t>
      </w:r>
      <w:r w:rsidR="00395938">
        <w:rPr>
          <w:rFonts w:cs="Times New Roman"/>
          <w:color w:val="000000"/>
          <w:szCs w:val="24"/>
          <w:lang w:eastAsia="en-US"/>
        </w:rPr>
        <w:t>, as well as the population eligible for</w:t>
      </w:r>
      <w:r w:rsidR="00F211A9">
        <w:rPr>
          <w:rFonts w:cs="Times New Roman"/>
          <w:color w:val="000000"/>
          <w:szCs w:val="24"/>
          <w:lang w:eastAsia="en-US"/>
        </w:rPr>
        <w:t xml:space="preserve"> treat</w:t>
      </w:r>
      <w:r w:rsidR="00395938">
        <w:rPr>
          <w:rFonts w:cs="Times New Roman"/>
          <w:color w:val="000000"/>
          <w:szCs w:val="24"/>
          <w:lang w:eastAsia="en-US"/>
        </w:rPr>
        <w:t>ment with the therapy.</w:t>
      </w:r>
      <w:r w:rsidR="00F211A9">
        <w:rPr>
          <w:rFonts w:cs="Times New Roman"/>
          <w:color w:val="000000"/>
          <w:szCs w:val="24"/>
          <w:lang w:eastAsia="en-US"/>
        </w:rPr>
        <w:t xml:space="preserve"> </w:t>
      </w:r>
      <w:r w:rsidR="00395938">
        <w:rPr>
          <w:rFonts w:cs="Times New Roman"/>
          <w:color w:val="000000"/>
          <w:szCs w:val="24"/>
          <w:lang w:eastAsia="en-US"/>
        </w:rPr>
        <w:t>I</w:t>
      </w:r>
      <w:r w:rsidR="00F211A9">
        <w:rPr>
          <w:rFonts w:cs="Times New Roman"/>
          <w:color w:val="000000"/>
          <w:szCs w:val="24"/>
          <w:lang w:eastAsia="en-US"/>
        </w:rPr>
        <w:t xml:space="preserve">t also </w:t>
      </w:r>
      <w:r w:rsidR="00395938">
        <w:rPr>
          <w:rFonts w:cs="Times New Roman"/>
          <w:color w:val="000000"/>
          <w:szCs w:val="24"/>
          <w:lang w:eastAsia="en-US"/>
        </w:rPr>
        <w:t>defines the reference standard</w:t>
      </w:r>
      <w:r w:rsidR="00CD1804">
        <w:rPr>
          <w:rFonts w:cs="Times New Roman"/>
          <w:color w:val="000000"/>
          <w:szCs w:val="24"/>
          <w:lang w:eastAsia="en-US"/>
        </w:rPr>
        <w:t xml:space="preserve"> test</w:t>
      </w:r>
      <w:r w:rsidR="00395938">
        <w:rPr>
          <w:rFonts w:cs="Times New Roman"/>
          <w:color w:val="000000"/>
          <w:szCs w:val="24"/>
          <w:lang w:eastAsia="en-US"/>
        </w:rPr>
        <w:t xml:space="preserve">, the comparators (usually any current or alternative tests plus standard of care), and </w:t>
      </w:r>
      <w:r w:rsidR="00F211A9">
        <w:rPr>
          <w:rFonts w:cs="Times New Roman"/>
          <w:color w:val="000000"/>
          <w:szCs w:val="24"/>
          <w:lang w:eastAsia="en-US"/>
        </w:rPr>
        <w:t>the clinical outcomes</w:t>
      </w:r>
      <w:r w:rsidR="00CD1804">
        <w:rPr>
          <w:rFonts w:cs="Times New Roman"/>
          <w:color w:val="000000"/>
          <w:szCs w:val="24"/>
          <w:lang w:eastAsia="en-US"/>
        </w:rPr>
        <w:t xml:space="preserve"> to demonstrate the clinical safety and effectiveness of the test</w:t>
      </w:r>
      <w:r w:rsidR="00395938">
        <w:rPr>
          <w:rFonts w:cs="Times New Roman"/>
          <w:color w:val="000000"/>
          <w:szCs w:val="24"/>
          <w:lang w:eastAsia="en-US"/>
        </w:rPr>
        <w:t xml:space="preserve">. The studies </w:t>
      </w:r>
      <w:r w:rsidR="009C38BF">
        <w:rPr>
          <w:rFonts w:cs="Times New Roman"/>
          <w:color w:val="000000"/>
          <w:szCs w:val="24"/>
          <w:lang w:eastAsia="en-US"/>
        </w:rPr>
        <w:t xml:space="preserve">that form the evidence base </w:t>
      </w:r>
      <w:r w:rsidR="00395938">
        <w:rPr>
          <w:rFonts w:cs="Times New Roman"/>
          <w:color w:val="000000"/>
          <w:szCs w:val="24"/>
          <w:lang w:eastAsia="en-US"/>
        </w:rPr>
        <w:t>should meet the</w:t>
      </w:r>
      <w:r w:rsidR="009C38BF">
        <w:rPr>
          <w:rFonts w:cs="Times New Roman"/>
          <w:color w:val="000000"/>
          <w:szCs w:val="24"/>
          <w:lang w:eastAsia="en-US"/>
        </w:rPr>
        <w:t xml:space="preserve">se </w:t>
      </w:r>
      <w:r w:rsidR="00CD1804">
        <w:rPr>
          <w:rFonts w:cs="Times New Roman"/>
          <w:color w:val="000000"/>
          <w:szCs w:val="24"/>
          <w:lang w:eastAsia="en-US"/>
        </w:rPr>
        <w:t xml:space="preserve">selection </w:t>
      </w:r>
      <w:r w:rsidR="009C38BF">
        <w:rPr>
          <w:rFonts w:cs="Times New Roman"/>
          <w:color w:val="000000"/>
          <w:szCs w:val="24"/>
          <w:lang w:eastAsia="en-US"/>
        </w:rPr>
        <w:t xml:space="preserve">criteria. </w:t>
      </w:r>
      <w:r w:rsidR="00F211A9">
        <w:rPr>
          <w:rFonts w:cs="Times New Roman"/>
          <w:color w:val="000000"/>
          <w:szCs w:val="24"/>
          <w:lang w:eastAsia="en-US"/>
        </w:rPr>
        <w:t>A</w:t>
      </w:r>
      <w:r w:rsidR="009C38BF">
        <w:rPr>
          <w:rFonts w:cs="Times New Roman"/>
          <w:color w:val="000000"/>
          <w:szCs w:val="24"/>
          <w:lang w:eastAsia="en-US"/>
        </w:rPr>
        <w:t>s a</w:t>
      </w:r>
      <w:r w:rsidR="00F211A9">
        <w:rPr>
          <w:rFonts w:cs="Times New Roman"/>
          <w:color w:val="000000"/>
          <w:szCs w:val="24"/>
          <w:lang w:eastAsia="en-US"/>
        </w:rPr>
        <w:t xml:space="preserve">n </w:t>
      </w:r>
      <w:r w:rsidR="0012074A" w:rsidRPr="00452DF6">
        <w:rPr>
          <w:rFonts w:cs="Times New Roman"/>
          <w:color w:val="000000"/>
          <w:szCs w:val="24"/>
          <w:lang w:eastAsia="en-US"/>
        </w:rPr>
        <w:t>example</w:t>
      </w:r>
      <w:r w:rsidR="009C38BF">
        <w:rPr>
          <w:rFonts w:cs="Times New Roman"/>
          <w:color w:val="000000"/>
          <w:szCs w:val="24"/>
          <w:lang w:eastAsia="en-US"/>
        </w:rPr>
        <w:t xml:space="preserve">, </w:t>
      </w:r>
      <w:r w:rsidR="0012074A" w:rsidRPr="00452DF6">
        <w:rPr>
          <w:rFonts w:cs="Times New Roman"/>
          <w:color w:val="000000"/>
          <w:szCs w:val="24"/>
          <w:lang w:eastAsia="en-US"/>
        </w:rPr>
        <w:t>the PICO criteria</w:t>
      </w:r>
      <w:r w:rsidR="001730B9">
        <w:rPr>
          <w:rFonts w:cs="Times New Roman"/>
          <w:color w:val="000000"/>
          <w:szCs w:val="24"/>
          <w:lang w:eastAsia="en-US"/>
        </w:rPr>
        <w:t xml:space="preserve"> </w:t>
      </w:r>
      <w:r w:rsidR="009C38BF" w:rsidRPr="00452DF6">
        <w:rPr>
          <w:rFonts w:cs="Times New Roman"/>
          <w:color w:val="000000"/>
          <w:szCs w:val="24"/>
          <w:lang w:eastAsia="en-US"/>
        </w:rPr>
        <w:t xml:space="preserve">for MSAC </w:t>
      </w:r>
      <w:r w:rsidR="005F59A7" w:rsidRPr="00452DF6">
        <w:rPr>
          <w:rFonts w:cs="Times New Roman"/>
          <w:color w:val="000000"/>
          <w:szCs w:val="24"/>
          <w:lang w:eastAsia="en-US"/>
        </w:rPr>
        <w:t>A</w:t>
      </w:r>
      <w:r w:rsidR="009C38BF" w:rsidRPr="00452DF6">
        <w:rPr>
          <w:rFonts w:cs="Times New Roman"/>
          <w:color w:val="000000"/>
          <w:szCs w:val="24"/>
          <w:lang w:eastAsia="en-US"/>
        </w:rPr>
        <w:t xml:space="preserve">pplication 1452 </w:t>
      </w:r>
      <w:r w:rsidR="009C38BF">
        <w:rPr>
          <w:rFonts w:cs="Times New Roman"/>
          <w:color w:val="000000"/>
          <w:szCs w:val="24"/>
          <w:lang w:eastAsia="en-US"/>
        </w:rPr>
        <w:t xml:space="preserve">‘dMMR </w:t>
      </w:r>
      <w:r w:rsidR="007E3160">
        <w:rPr>
          <w:rFonts w:cs="Times New Roman"/>
          <w:color w:val="000000"/>
          <w:szCs w:val="24"/>
          <w:lang w:eastAsia="en-US"/>
        </w:rPr>
        <w:t xml:space="preserve">IHC </w:t>
      </w:r>
      <w:r w:rsidR="009C38BF">
        <w:rPr>
          <w:rFonts w:cs="Times New Roman"/>
          <w:color w:val="000000"/>
          <w:szCs w:val="24"/>
          <w:lang w:eastAsia="en-US"/>
        </w:rPr>
        <w:t xml:space="preserve">testing in CRC’, which was </w:t>
      </w:r>
      <w:r w:rsidR="003C489C">
        <w:rPr>
          <w:rFonts w:cs="Times New Roman"/>
          <w:color w:val="000000"/>
          <w:szCs w:val="24"/>
          <w:lang w:eastAsia="en-US"/>
        </w:rPr>
        <w:t xml:space="preserve">are slightly modified from those </w:t>
      </w:r>
      <w:r w:rsidR="001730B9">
        <w:rPr>
          <w:rFonts w:cs="Times New Roman"/>
          <w:color w:val="000000"/>
          <w:szCs w:val="24"/>
          <w:lang w:eastAsia="en-US"/>
        </w:rPr>
        <w:t>ratified by PASC,</w:t>
      </w:r>
      <w:r w:rsidR="0012074A" w:rsidRPr="00452DF6">
        <w:rPr>
          <w:rFonts w:cs="Times New Roman"/>
          <w:color w:val="000000"/>
          <w:szCs w:val="24"/>
          <w:lang w:eastAsia="en-US"/>
        </w:rPr>
        <w:t xml:space="preserve"> </w:t>
      </w:r>
      <w:r w:rsidR="00CD1804">
        <w:rPr>
          <w:rFonts w:cs="Times New Roman"/>
          <w:color w:val="000000"/>
          <w:szCs w:val="24"/>
          <w:lang w:eastAsia="en-US"/>
        </w:rPr>
        <w:t>are</w:t>
      </w:r>
      <w:r w:rsidR="0012074A" w:rsidRPr="00452DF6">
        <w:rPr>
          <w:rFonts w:cs="Times New Roman"/>
          <w:color w:val="000000"/>
          <w:szCs w:val="24"/>
          <w:lang w:eastAsia="en-US"/>
        </w:rPr>
        <w:t xml:space="preserve"> shown below.</w:t>
      </w:r>
    </w:p>
    <w:tbl>
      <w:tblPr>
        <w:tblStyle w:val="TableGrid1"/>
        <w:tblW w:w="5000" w:type="pct"/>
        <w:tblLook w:val="00A0" w:firstRow="1" w:lastRow="0" w:firstColumn="1" w:lastColumn="0" w:noHBand="0" w:noVBand="0"/>
        <w:tblCaption w:val="Summary of PICO/PPICO criteria for linked evidence"/>
        <w:tblDescription w:val="this is used to define the question(s) to be addressed in an Assessment Report to the Medical Services Advisory Committee (MSAC)"/>
      </w:tblPr>
      <w:tblGrid>
        <w:gridCol w:w="1408"/>
        <w:gridCol w:w="7608"/>
      </w:tblGrid>
      <w:tr w:rsidR="0012074A" w:rsidRPr="00452DF6" w14:paraId="1ACCC5D8" w14:textId="77777777" w:rsidTr="0073133E">
        <w:trPr>
          <w:cnfStyle w:val="100000000000" w:firstRow="1" w:lastRow="0" w:firstColumn="0" w:lastColumn="0" w:oddVBand="0" w:evenVBand="0" w:oddHBand="0" w:evenHBand="0" w:firstRowFirstColumn="0" w:firstRowLastColumn="0" w:lastRowFirstColumn="0" w:lastRowLastColumn="0"/>
          <w:tblHeader/>
        </w:trPr>
        <w:tc>
          <w:tcPr>
            <w:tcW w:w="781" w:type="pct"/>
            <w:shd w:val="clear" w:color="auto" w:fill="D9D9D9" w:themeFill="background1" w:themeFillShade="D9"/>
          </w:tcPr>
          <w:p w14:paraId="3958D0C8" w14:textId="77777777" w:rsidR="0012074A" w:rsidRPr="00452DF6" w:rsidRDefault="0012074A" w:rsidP="00AA13B3">
            <w:pPr>
              <w:jc w:val="left"/>
              <w:rPr>
                <w:rFonts w:ascii="Arial Narrow" w:eastAsia="Calibri" w:hAnsi="Arial Narrow" w:cs="Times New Roman"/>
                <w:b/>
                <w:lang w:eastAsia="en-US"/>
              </w:rPr>
            </w:pPr>
            <w:r w:rsidRPr="00452DF6">
              <w:rPr>
                <w:rFonts w:ascii="Arial Narrow" w:eastAsia="Calibri" w:hAnsi="Arial Narrow" w:cs="Times New Roman"/>
                <w:b/>
                <w:lang w:eastAsia="en-US"/>
              </w:rPr>
              <w:t>Component</w:t>
            </w:r>
          </w:p>
        </w:tc>
        <w:tc>
          <w:tcPr>
            <w:tcW w:w="4219" w:type="pct"/>
            <w:shd w:val="clear" w:color="auto" w:fill="D9D9D9" w:themeFill="background1" w:themeFillShade="D9"/>
          </w:tcPr>
          <w:p w14:paraId="1F4E52D7" w14:textId="77777777" w:rsidR="0012074A" w:rsidRPr="00452DF6" w:rsidRDefault="0012074A" w:rsidP="00AA13B3">
            <w:pPr>
              <w:rPr>
                <w:rFonts w:ascii="Arial Narrow" w:eastAsia="Calibri" w:hAnsi="Arial Narrow" w:cs="Times New Roman"/>
                <w:b/>
                <w:lang w:eastAsia="en-US"/>
              </w:rPr>
            </w:pPr>
            <w:r w:rsidRPr="00452DF6">
              <w:rPr>
                <w:rFonts w:ascii="Arial Narrow" w:eastAsia="Calibri" w:hAnsi="Arial Narrow" w:cs="Times New Roman"/>
                <w:b/>
                <w:lang w:eastAsia="en-US"/>
              </w:rPr>
              <w:t>Description</w:t>
            </w:r>
          </w:p>
        </w:tc>
      </w:tr>
      <w:tr w:rsidR="0012074A" w:rsidRPr="00452DF6" w14:paraId="009081D1" w14:textId="77777777" w:rsidTr="0073133E">
        <w:tc>
          <w:tcPr>
            <w:tcW w:w="781" w:type="pct"/>
          </w:tcPr>
          <w:p w14:paraId="3CCEAABD" w14:textId="77777777" w:rsidR="0012074A" w:rsidRPr="00452DF6" w:rsidRDefault="0012074A" w:rsidP="00AA13B3">
            <w:pPr>
              <w:jc w:val="left"/>
              <w:rPr>
                <w:rFonts w:ascii="Arial Narrow" w:eastAsia="Calibri" w:hAnsi="Arial Narrow" w:cs="Arial"/>
                <w:lang w:eastAsia="en-US"/>
              </w:rPr>
            </w:pPr>
            <w:r w:rsidRPr="00452DF6">
              <w:rPr>
                <w:rFonts w:ascii="Arial Narrow" w:eastAsia="Calibri" w:hAnsi="Arial Narrow" w:cs="Arial"/>
                <w:lang w:eastAsia="en-US"/>
              </w:rPr>
              <w:t>Patients</w:t>
            </w:r>
          </w:p>
        </w:tc>
        <w:tc>
          <w:tcPr>
            <w:tcW w:w="4219" w:type="pct"/>
          </w:tcPr>
          <w:p w14:paraId="5F78E222" w14:textId="77777777" w:rsidR="0012074A" w:rsidRPr="00452DF6" w:rsidRDefault="0012074A" w:rsidP="00AA13B3">
            <w:pPr>
              <w:jc w:val="left"/>
              <w:rPr>
                <w:rFonts w:ascii="Arial Narrow" w:eastAsia="Calibri" w:hAnsi="Arial Narrow" w:cs="Times New Roman"/>
                <w:u w:val="single"/>
                <w:lang w:eastAsia="en-US"/>
              </w:rPr>
            </w:pPr>
            <w:r w:rsidRPr="00452DF6">
              <w:rPr>
                <w:rFonts w:ascii="Arial Narrow" w:eastAsia="Calibri" w:hAnsi="Arial Narrow" w:cs="Times New Roman"/>
                <w:u w:val="single"/>
                <w:lang w:eastAsia="en-US"/>
              </w:rPr>
              <w:t>Testing population:</w:t>
            </w:r>
          </w:p>
          <w:p w14:paraId="3B882B83" w14:textId="13C9A485" w:rsidR="0012074A" w:rsidRPr="00452DF6" w:rsidRDefault="0012074A" w:rsidP="00AA13B3">
            <w:pPr>
              <w:jc w:val="left"/>
              <w:rPr>
                <w:rFonts w:ascii="Arial Narrow" w:eastAsia="Calibri" w:hAnsi="Arial Narrow" w:cs="Times New Roman"/>
                <w:lang w:eastAsia="en-US"/>
              </w:rPr>
            </w:pPr>
            <w:r w:rsidRPr="00452DF6">
              <w:rPr>
                <w:rFonts w:ascii="Arial Narrow" w:eastAsia="Calibri" w:hAnsi="Arial Narrow" w:cs="Times New Roman"/>
                <w:lang w:eastAsia="en-US"/>
              </w:rPr>
              <w:t>Patients diagnosed with colorectal cancer (CRC) (any stage) not currently tested</w:t>
            </w:r>
            <w:r w:rsidR="002C3207">
              <w:rPr>
                <w:rFonts w:ascii="Arial Narrow" w:eastAsia="Calibri" w:hAnsi="Arial Narrow" w:cs="Times New Roman"/>
                <w:lang w:eastAsia="en-US"/>
              </w:rPr>
              <w:t xml:space="preserve"> </w:t>
            </w:r>
            <w:r w:rsidRPr="00452DF6">
              <w:rPr>
                <w:rFonts w:ascii="Arial Narrow" w:eastAsia="Calibri" w:hAnsi="Arial Narrow" w:cs="Times New Roman"/>
                <w:lang w:eastAsia="en-US"/>
              </w:rPr>
              <w:t>or</w:t>
            </w:r>
          </w:p>
          <w:p w14:paraId="71FA0F69" w14:textId="3CF55B61" w:rsidR="0012074A" w:rsidRPr="00452DF6" w:rsidRDefault="0012074A" w:rsidP="00AA13B3">
            <w:pPr>
              <w:jc w:val="left"/>
              <w:rPr>
                <w:rFonts w:ascii="Arial Narrow" w:eastAsia="Calibri" w:hAnsi="Arial Narrow" w:cs="Times New Roman"/>
                <w:lang w:eastAsia="en-US"/>
              </w:rPr>
            </w:pPr>
            <w:r w:rsidRPr="00452DF6">
              <w:rPr>
                <w:rFonts w:ascii="Arial Narrow" w:eastAsia="Calibri" w:hAnsi="Arial Narrow" w:cs="Times New Roman"/>
                <w:lang w:eastAsia="en-US"/>
              </w:rPr>
              <w:t xml:space="preserve">Patients with Stage IV CRC who have not already been tested for </w:t>
            </w:r>
            <w:r w:rsidR="00DC3DEB">
              <w:rPr>
                <w:rFonts w:ascii="Arial Narrow" w:eastAsia="Calibri" w:hAnsi="Arial Narrow" w:cs="Times New Roman"/>
                <w:lang w:eastAsia="en-US"/>
              </w:rPr>
              <w:t xml:space="preserve">a </w:t>
            </w:r>
            <w:r w:rsidRPr="00452DF6">
              <w:rPr>
                <w:rFonts w:ascii="Arial Narrow" w:eastAsia="Calibri" w:hAnsi="Arial Narrow" w:cs="Times New Roman"/>
                <w:lang w:eastAsia="en-US"/>
              </w:rPr>
              <w:t>MMR</w:t>
            </w:r>
            <w:r w:rsidR="00DC3DEB">
              <w:rPr>
                <w:rFonts w:ascii="Arial Narrow" w:eastAsia="Calibri" w:hAnsi="Arial Narrow" w:cs="Times New Roman"/>
                <w:lang w:eastAsia="en-US"/>
              </w:rPr>
              <w:t xml:space="preserve"> deficiency (dMMR)</w:t>
            </w:r>
          </w:p>
          <w:p w14:paraId="212E32A5" w14:textId="77777777" w:rsidR="0012074A" w:rsidRPr="00452DF6" w:rsidRDefault="0012074A" w:rsidP="00AA13B3">
            <w:pPr>
              <w:jc w:val="left"/>
              <w:rPr>
                <w:rFonts w:ascii="Arial Narrow" w:eastAsia="Calibri" w:hAnsi="Arial Narrow" w:cs="Times New Roman"/>
                <w:u w:val="single"/>
                <w:lang w:eastAsia="en-US"/>
              </w:rPr>
            </w:pPr>
            <w:r w:rsidRPr="00452DF6">
              <w:rPr>
                <w:rFonts w:ascii="Arial Narrow" w:eastAsia="Calibri" w:hAnsi="Arial Narrow" w:cs="Times New Roman"/>
                <w:u w:val="single"/>
                <w:lang w:eastAsia="en-US"/>
              </w:rPr>
              <w:t>Treatment population:</w:t>
            </w:r>
          </w:p>
          <w:p w14:paraId="0459B564" w14:textId="513AAFA1" w:rsidR="0012074A" w:rsidRPr="00452DF6" w:rsidRDefault="0012074A" w:rsidP="00C164FB">
            <w:pPr>
              <w:jc w:val="left"/>
              <w:rPr>
                <w:rFonts w:ascii="Arial Narrow" w:eastAsia="Calibri" w:hAnsi="Arial Narrow" w:cs="Times New Roman"/>
                <w:lang w:eastAsia="en-US"/>
              </w:rPr>
            </w:pPr>
            <w:r w:rsidRPr="00452DF6">
              <w:rPr>
                <w:rFonts w:ascii="Arial Narrow" w:eastAsia="Calibri" w:hAnsi="Arial Narrow" w:cs="Times New Roman"/>
                <w:lang w:eastAsia="en-US"/>
              </w:rPr>
              <w:t xml:space="preserve">Patients with Stage IV </w:t>
            </w:r>
            <w:r w:rsidR="00DC3DEB">
              <w:rPr>
                <w:rFonts w:ascii="Arial Narrow" w:eastAsia="Calibri" w:hAnsi="Arial Narrow" w:cs="Times New Roman"/>
                <w:lang w:eastAsia="en-US"/>
              </w:rPr>
              <w:t>d</w:t>
            </w:r>
            <w:r w:rsidRPr="00452DF6">
              <w:rPr>
                <w:rFonts w:ascii="Arial Narrow" w:eastAsia="Calibri" w:hAnsi="Arial Narrow" w:cs="Times New Roman"/>
                <w:lang w:eastAsia="en-US"/>
              </w:rPr>
              <w:t>MMR CRC</w:t>
            </w:r>
            <w:r w:rsidR="00B92300">
              <w:rPr>
                <w:rFonts w:ascii="Arial Narrow" w:eastAsia="Calibri" w:hAnsi="Arial Narrow" w:cs="Times New Roman"/>
                <w:lang w:eastAsia="en-US"/>
              </w:rPr>
              <w:t xml:space="preserve"> </w:t>
            </w:r>
            <w:r w:rsidR="00C164FB">
              <w:rPr>
                <w:rFonts w:ascii="Arial Narrow" w:eastAsia="Calibri" w:hAnsi="Arial Narrow" w:cs="Times New Roman"/>
                <w:lang w:eastAsia="en-US"/>
              </w:rPr>
              <w:t>with disease progression following</w:t>
            </w:r>
            <w:r w:rsidR="00B92300">
              <w:rPr>
                <w:rFonts w:ascii="Arial Narrow" w:eastAsia="Calibri" w:hAnsi="Arial Narrow" w:cs="Times New Roman"/>
                <w:lang w:eastAsia="en-US"/>
              </w:rPr>
              <w:t xml:space="preserve"> a first-line therapy for </w:t>
            </w:r>
            <w:r w:rsidR="00C164FB">
              <w:rPr>
                <w:rFonts w:ascii="Arial Narrow" w:eastAsia="Calibri" w:hAnsi="Arial Narrow" w:cs="Times New Roman"/>
                <w:lang w:eastAsia="en-US"/>
              </w:rPr>
              <w:t>metastatic</w:t>
            </w:r>
            <w:r w:rsidR="00B92300">
              <w:rPr>
                <w:rFonts w:ascii="Arial Narrow" w:eastAsia="Calibri" w:hAnsi="Arial Narrow" w:cs="Times New Roman"/>
                <w:lang w:eastAsia="en-US"/>
              </w:rPr>
              <w:t xml:space="preserve"> disease</w:t>
            </w:r>
          </w:p>
        </w:tc>
      </w:tr>
      <w:tr w:rsidR="0012074A" w:rsidRPr="00452DF6" w14:paraId="3F95891E" w14:textId="77777777" w:rsidTr="0073133E">
        <w:trPr>
          <w:trHeight w:val="475"/>
        </w:trPr>
        <w:tc>
          <w:tcPr>
            <w:tcW w:w="781" w:type="pct"/>
          </w:tcPr>
          <w:p w14:paraId="42D0E327" w14:textId="77777777" w:rsidR="0012074A" w:rsidRPr="00452DF6" w:rsidRDefault="0012074A" w:rsidP="00AA13B3">
            <w:pPr>
              <w:jc w:val="left"/>
              <w:rPr>
                <w:rFonts w:ascii="Arial Narrow" w:eastAsia="Calibri" w:hAnsi="Arial Narrow" w:cs="Arial"/>
                <w:lang w:eastAsia="en-US"/>
              </w:rPr>
            </w:pPr>
            <w:r w:rsidRPr="00452DF6">
              <w:rPr>
                <w:rFonts w:ascii="Arial Narrow" w:eastAsia="Calibri" w:hAnsi="Arial Narrow" w:cs="Arial"/>
                <w:lang w:eastAsia="en-US"/>
              </w:rPr>
              <w:t>Prior tests</w:t>
            </w:r>
          </w:p>
        </w:tc>
        <w:tc>
          <w:tcPr>
            <w:tcW w:w="4219" w:type="pct"/>
          </w:tcPr>
          <w:p w14:paraId="62A719CC" w14:textId="77777777" w:rsidR="0012074A" w:rsidRPr="00452DF6" w:rsidRDefault="0012074A" w:rsidP="00AA13B3">
            <w:pPr>
              <w:jc w:val="left"/>
              <w:rPr>
                <w:rFonts w:ascii="Arial Narrow" w:eastAsia="Calibri" w:hAnsi="Arial Narrow" w:cs="Arial"/>
                <w:lang w:eastAsia="en-US"/>
              </w:rPr>
            </w:pPr>
            <w:r w:rsidRPr="00452DF6">
              <w:rPr>
                <w:rFonts w:ascii="Arial Narrow" w:eastAsia="Calibri" w:hAnsi="Arial Narrow" w:cs="Arial"/>
                <w:lang w:eastAsia="en-US"/>
              </w:rPr>
              <w:t>Routine histology, cytology and immunohistochemical (IHC) tests to confirm diagnosis and stage of CRC</w:t>
            </w:r>
          </w:p>
        </w:tc>
      </w:tr>
      <w:tr w:rsidR="0012074A" w:rsidRPr="00452DF6" w14:paraId="62A00D4E" w14:textId="77777777" w:rsidTr="0073133E">
        <w:tc>
          <w:tcPr>
            <w:tcW w:w="781" w:type="pct"/>
          </w:tcPr>
          <w:p w14:paraId="66BA0DDA" w14:textId="3B9332C7" w:rsidR="0012074A" w:rsidRPr="00452DF6" w:rsidRDefault="0012074A" w:rsidP="00AA13B3">
            <w:pPr>
              <w:jc w:val="left"/>
              <w:rPr>
                <w:rFonts w:ascii="Arial Narrow" w:eastAsia="Calibri" w:hAnsi="Arial Narrow" w:cs="Arial"/>
                <w:lang w:eastAsia="en-US"/>
              </w:rPr>
            </w:pPr>
            <w:r w:rsidRPr="00452DF6">
              <w:rPr>
                <w:rFonts w:ascii="Arial Narrow" w:eastAsia="Calibri" w:hAnsi="Arial Narrow" w:cs="Arial"/>
                <w:lang w:eastAsia="en-US"/>
              </w:rPr>
              <w:t>Intervention</w:t>
            </w:r>
            <w:r w:rsidR="00D72CD8">
              <w:rPr>
                <w:rFonts w:ascii="Arial Narrow" w:eastAsia="Calibri" w:hAnsi="Arial Narrow" w:cs="Arial"/>
                <w:lang w:eastAsia="en-US"/>
              </w:rPr>
              <w:t>s</w:t>
            </w:r>
          </w:p>
        </w:tc>
        <w:tc>
          <w:tcPr>
            <w:tcW w:w="4219" w:type="pct"/>
          </w:tcPr>
          <w:p w14:paraId="0AB248C1" w14:textId="191A1837" w:rsidR="0012074A" w:rsidRPr="002C3207" w:rsidRDefault="00DC3DEB" w:rsidP="002C3207">
            <w:pPr>
              <w:pStyle w:val="ListParagraph"/>
              <w:numPr>
                <w:ilvl w:val="0"/>
                <w:numId w:val="19"/>
              </w:numPr>
              <w:ind w:left="322"/>
              <w:jc w:val="left"/>
              <w:rPr>
                <w:rFonts w:ascii="Arial Narrow" w:eastAsia="Calibri" w:hAnsi="Arial Narrow" w:cs="Times New Roman"/>
                <w:lang w:eastAsia="en-US"/>
              </w:rPr>
            </w:pPr>
            <w:r>
              <w:rPr>
                <w:rFonts w:ascii="Arial Narrow" w:eastAsia="Calibri" w:hAnsi="Arial Narrow" w:cs="Times New Roman"/>
                <w:lang w:eastAsia="en-US"/>
              </w:rPr>
              <w:t>d</w:t>
            </w:r>
            <w:r w:rsidRPr="00127B9C">
              <w:rPr>
                <w:rFonts w:ascii="Arial Narrow" w:eastAsia="Calibri" w:hAnsi="Arial Narrow" w:cs="Times New Roman"/>
                <w:lang w:eastAsia="en-US"/>
              </w:rPr>
              <w:t xml:space="preserve">MMR </w:t>
            </w:r>
            <w:r w:rsidR="0012074A" w:rsidRPr="002C3207">
              <w:rPr>
                <w:rFonts w:ascii="Arial Narrow" w:eastAsia="Calibri" w:hAnsi="Arial Narrow" w:cs="Times New Roman"/>
                <w:lang w:eastAsia="en-US"/>
              </w:rPr>
              <w:t>IHC testing using antibodies directed against the four MMR proteins to detect a deficiency</w:t>
            </w:r>
            <w:r w:rsidR="00CD1804">
              <w:rPr>
                <w:rFonts w:ascii="Arial Narrow" w:eastAsia="Calibri" w:hAnsi="Arial Narrow" w:cs="Times New Roman"/>
                <w:lang w:eastAsia="en-US"/>
              </w:rPr>
              <w:t>. If dMMR is identified patients are eligible</w:t>
            </w:r>
            <w:r w:rsidR="0012074A" w:rsidRPr="002C3207">
              <w:rPr>
                <w:rFonts w:ascii="Arial Narrow" w:eastAsia="Calibri" w:hAnsi="Arial Narrow" w:cs="Times New Roman"/>
                <w:lang w:eastAsia="en-US"/>
              </w:rPr>
              <w:t xml:space="preserve"> for treatment with pembrolizumab on progression to Stage IV CRC</w:t>
            </w:r>
          </w:p>
          <w:p w14:paraId="749DBE72" w14:textId="668E5D0D" w:rsidR="0012074A" w:rsidRPr="002C3207" w:rsidRDefault="0012074A" w:rsidP="00DC3DEB">
            <w:pPr>
              <w:pStyle w:val="ListParagraph"/>
              <w:numPr>
                <w:ilvl w:val="0"/>
                <w:numId w:val="19"/>
              </w:numPr>
              <w:ind w:left="322"/>
              <w:jc w:val="left"/>
              <w:rPr>
                <w:rFonts w:ascii="Arial Narrow" w:eastAsia="Calibri" w:hAnsi="Arial Narrow" w:cs="Times New Roman"/>
                <w:lang w:eastAsia="en-US"/>
              </w:rPr>
            </w:pPr>
            <w:r w:rsidRPr="002C3207">
              <w:rPr>
                <w:rFonts w:ascii="Arial Narrow" w:eastAsia="Calibri" w:hAnsi="Arial Narrow" w:cs="Times New Roman"/>
                <w:lang w:eastAsia="en-US"/>
              </w:rPr>
              <w:t xml:space="preserve">No </w:t>
            </w:r>
            <w:r w:rsidR="00DC3DEB">
              <w:rPr>
                <w:rFonts w:ascii="Arial Narrow" w:eastAsia="Calibri" w:hAnsi="Arial Narrow" w:cs="Times New Roman"/>
                <w:lang w:eastAsia="en-US"/>
              </w:rPr>
              <w:t>d</w:t>
            </w:r>
            <w:r w:rsidR="00DC3DEB" w:rsidRPr="002C3207">
              <w:rPr>
                <w:rFonts w:ascii="Arial Narrow" w:eastAsia="Calibri" w:hAnsi="Arial Narrow" w:cs="Times New Roman"/>
                <w:lang w:eastAsia="en-US"/>
              </w:rPr>
              <w:t xml:space="preserve">MMR </w:t>
            </w:r>
            <w:r w:rsidRPr="002C3207">
              <w:rPr>
                <w:rFonts w:ascii="Arial Narrow" w:eastAsia="Calibri" w:hAnsi="Arial Narrow" w:cs="Times New Roman"/>
                <w:lang w:eastAsia="en-US"/>
              </w:rPr>
              <w:t>IHC testing plus pembrolizumab</w:t>
            </w:r>
            <w:r w:rsidR="00B92300">
              <w:rPr>
                <w:rFonts w:ascii="Arial Narrow" w:eastAsia="Calibri" w:hAnsi="Arial Narrow" w:cs="Times New Roman"/>
                <w:lang w:eastAsia="en-US"/>
              </w:rPr>
              <w:t xml:space="preserve"> </w:t>
            </w:r>
            <w:r w:rsidR="000B73C1" w:rsidRPr="000125F7">
              <w:rPr>
                <w:rFonts w:ascii="Arial Narrow" w:eastAsia="Calibri" w:hAnsi="Arial Narrow" w:cs="Times New Roman"/>
                <w:i/>
                <w:lang w:eastAsia="en-US"/>
              </w:rPr>
              <w:t>(</w:t>
            </w:r>
            <w:r w:rsidR="00B92300" w:rsidRPr="000125F7">
              <w:rPr>
                <w:rFonts w:ascii="Arial Narrow" w:eastAsia="Calibri" w:hAnsi="Arial Narrow" w:cs="Times New Roman"/>
                <w:i/>
                <w:lang w:eastAsia="en-US"/>
              </w:rPr>
              <w:t>to demonstrate the value of dMMR IHC testing</w:t>
            </w:r>
            <w:r w:rsidR="000B73C1" w:rsidRPr="000125F7">
              <w:rPr>
                <w:rFonts w:ascii="Arial Narrow" w:eastAsia="Calibri" w:hAnsi="Arial Narrow" w:cs="Times New Roman"/>
                <w:i/>
                <w:lang w:eastAsia="en-US"/>
              </w:rPr>
              <w:t>)</w:t>
            </w:r>
          </w:p>
        </w:tc>
      </w:tr>
      <w:tr w:rsidR="0012074A" w:rsidRPr="00452DF6" w14:paraId="30E6BD37" w14:textId="77777777" w:rsidTr="0073133E">
        <w:tc>
          <w:tcPr>
            <w:tcW w:w="781" w:type="pct"/>
          </w:tcPr>
          <w:p w14:paraId="312B46C6" w14:textId="790A95DD" w:rsidR="0012074A" w:rsidRPr="00452DF6" w:rsidRDefault="0012074A" w:rsidP="00AA13B3">
            <w:pPr>
              <w:jc w:val="left"/>
              <w:rPr>
                <w:rFonts w:ascii="Arial Narrow" w:eastAsia="Calibri" w:hAnsi="Arial Narrow" w:cs="Arial"/>
                <w:lang w:eastAsia="en-US"/>
              </w:rPr>
            </w:pPr>
            <w:r w:rsidRPr="00452DF6">
              <w:rPr>
                <w:rFonts w:ascii="Arial Narrow" w:eastAsia="Calibri" w:hAnsi="Arial Narrow" w:cs="Arial"/>
                <w:lang w:eastAsia="en-US"/>
              </w:rPr>
              <w:t>Reference standard</w:t>
            </w:r>
            <w:r w:rsidR="00D72CD8">
              <w:rPr>
                <w:rFonts w:ascii="Arial Narrow" w:eastAsia="Calibri" w:hAnsi="Arial Narrow" w:cs="Arial"/>
                <w:lang w:eastAsia="en-US"/>
              </w:rPr>
              <w:t>s</w:t>
            </w:r>
          </w:p>
        </w:tc>
        <w:tc>
          <w:tcPr>
            <w:tcW w:w="4219" w:type="pct"/>
          </w:tcPr>
          <w:p w14:paraId="6446E0CF" w14:textId="21AF0B5E" w:rsidR="0012074A" w:rsidRPr="002C3207" w:rsidRDefault="0012074A" w:rsidP="002C3207">
            <w:pPr>
              <w:pStyle w:val="ListParagraph"/>
              <w:numPr>
                <w:ilvl w:val="0"/>
                <w:numId w:val="20"/>
              </w:numPr>
              <w:ind w:left="322"/>
              <w:contextualSpacing/>
              <w:jc w:val="left"/>
              <w:rPr>
                <w:rFonts w:ascii="Arial Narrow" w:eastAsia="Calibri" w:hAnsi="Arial Narrow" w:cs="Times New Roman"/>
                <w:lang w:eastAsia="en-US"/>
              </w:rPr>
            </w:pPr>
            <w:r w:rsidRPr="002C3207">
              <w:rPr>
                <w:rFonts w:ascii="Arial Narrow" w:eastAsia="Calibri" w:hAnsi="Arial Narrow" w:cs="Times New Roman"/>
                <w:lang w:eastAsia="en-US"/>
              </w:rPr>
              <w:t>Genomic sequencing of the four MMR genes</w:t>
            </w:r>
            <w:r w:rsidR="00E40787">
              <w:rPr>
                <w:rFonts w:ascii="Arial Narrow" w:eastAsia="Calibri" w:hAnsi="Arial Narrow" w:cs="Times New Roman"/>
                <w:lang w:eastAsia="en-US"/>
              </w:rPr>
              <w:t xml:space="preserve"> and the EPCAM gene</w:t>
            </w:r>
            <w:r w:rsidRPr="002C3207">
              <w:rPr>
                <w:rFonts w:ascii="Arial Narrow" w:eastAsia="Calibri" w:hAnsi="Arial Narrow" w:cs="Times New Roman"/>
                <w:lang w:eastAsia="en-US"/>
              </w:rPr>
              <w:t xml:space="preserve"> (Lynch syndrome)</w:t>
            </w:r>
            <w:r w:rsidR="000125F7">
              <w:rPr>
                <w:rFonts w:ascii="Arial Narrow" w:eastAsia="Calibri" w:hAnsi="Arial Narrow" w:cs="Times New Roman"/>
                <w:lang w:eastAsia="en-US"/>
              </w:rPr>
              <w:t xml:space="preserve"> </w:t>
            </w:r>
          </w:p>
          <w:p w14:paraId="0E2B5EF6" w14:textId="0810ED5B" w:rsidR="0012074A" w:rsidRPr="002C3207" w:rsidRDefault="0012074A" w:rsidP="002C3207">
            <w:pPr>
              <w:pStyle w:val="ListParagraph"/>
              <w:numPr>
                <w:ilvl w:val="0"/>
                <w:numId w:val="20"/>
              </w:numPr>
              <w:ind w:left="322"/>
              <w:jc w:val="left"/>
              <w:rPr>
                <w:rFonts w:ascii="Arial Narrow" w:eastAsia="Calibri" w:hAnsi="Arial Narrow" w:cs="Times New Roman"/>
                <w:lang w:eastAsia="en-US"/>
              </w:rPr>
            </w:pPr>
            <w:r w:rsidRPr="002C3207">
              <w:rPr>
                <w:rFonts w:ascii="Arial Narrow" w:eastAsia="Calibri" w:hAnsi="Arial Narrow" w:cs="Times New Roman"/>
                <w:lang w:eastAsia="en-US"/>
              </w:rPr>
              <w:t xml:space="preserve">Multiplex ligation-dependent probe amplification to detect hyper-methylation </w:t>
            </w:r>
            <w:r w:rsidRPr="002C3207">
              <w:rPr>
                <w:rFonts w:ascii="Arial Narrow" w:eastAsia="Calibri" w:hAnsi="Arial Narrow" w:cs="Times New Roman"/>
                <w:i/>
                <w:lang w:eastAsia="en-US"/>
              </w:rPr>
              <w:t>MLH1</w:t>
            </w:r>
            <w:r w:rsidRPr="002C3207">
              <w:rPr>
                <w:rFonts w:ascii="Arial Narrow" w:eastAsia="Calibri" w:hAnsi="Arial Narrow" w:cs="Times New Roman"/>
                <w:lang w:eastAsia="en-US"/>
              </w:rPr>
              <w:t xml:space="preserve"> gene promoter (sporadic cases)</w:t>
            </w:r>
          </w:p>
        </w:tc>
      </w:tr>
      <w:tr w:rsidR="0012074A" w:rsidRPr="00452DF6" w14:paraId="1AA7FF69" w14:textId="77777777" w:rsidTr="0073133E">
        <w:tc>
          <w:tcPr>
            <w:tcW w:w="781" w:type="pct"/>
          </w:tcPr>
          <w:p w14:paraId="1EF5A326" w14:textId="620B1F25" w:rsidR="0012074A" w:rsidRPr="00452DF6" w:rsidRDefault="0012074A" w:rsidP="00AA13B3">
            <w:pPr>
              <w:jc w:val="left"/>
              <w:rPr>
                <w:rFonts w:ascii="Arial Narrow" w:eastAsia="Calibri" w:hAnsi="Arial Narrow" w:cs="Arial"/>
                <w:lang w:eastAsia="en-US"/>
              </w:rPr>
            </w:pPr>
            <w:r w:rsidRPr="00452DF6">
              <w:rPr>
                <w:rFonts w:ascii="Arial Narrow" w:eastAsia="Calibri" w:hAnsi="Arial Narrow" w:cs="Arial"/>
                <w:lang w:eastAsia="en-US"/>
              </w:rPr>
              <w:t>Comparator</w:t>
            </w:r>
            <w:r w:rsidR="00D72CD8">
              <w:rPr>
                <w:rFonts w:ascii="Arial Narrow" w:eastAsia="Calibri" w:hAnsi="Arial Narrow" w:cs="Arial"/>
                <w:lang w:eastAsia="en-US"/>
              </w:rPr>
              <w:t>s</w:t>
            </w:r>
          </w:p>
        </w:tc>
        <w:tc>
          <w:tcPr>
            <w:tcW w:w="4219" w:type="pct"/>
          </w:tcPr>
          <w:p w14:paraId="5080BD2C" w14:textId="493A22C6" w:rsidR="0012074A" w:rsidRPr="00452DF6" w:rsidRDefault="0012074A" w:rsidP="00AA13B3">
            <w:pPr>
              <w:jc w:val="left"/>
              <w:rPr>
                <w:rFonts w:ascii="Arial Narrow" w:eastAsia="Calibri" w:hAnsi="Arial Narrow" w:cs="Times New Roman"/>
                <w:lang w:eastAsia="en-US"/>
              </w:rPr>
            </w:pPr>
            <w:r w:rsidRPr="00452DF6">
              <w:rPr>
                <w:rFonts w:ascii="Arial Narrow" w:eastAsia="Calibri" w:hAnsi="Arial Narrow" w:cs="Times New Roman"/>
                <w:b/>
                <w:lang w:eastAsia="en-US"/>
              </w:rPr>
              <w:t>Diagnostic accuracy:</w:t>
            </w:r>
            <w:r w:rsidRPr="00452DF6">
              <w:rPr>
                <w:rFonts w:ascii="Arial Narrow" w:eastAsia="Calibri" w:hAnsi="Arial Narrow" w:cs="Times New Roman"/>
                <w:lang w:eastAsia="en-US"/>
              </w:rPr>
              <w:t xml:space="preserve"> polymerase chain reaction-based microsatellite instability testing</w:t>
            </w:r>
            <w:r w:rsidR="000B73C1">
              <w:rPr>
                <w:rFonts w:ascii="Arial Narrow" w:eastAsia="Calibri" w:hAnsi="Arial Narrow" w:cs="Times New Roman"/>
                <w:lang w:eastAsia="en-US"/>
              </w:rPr>
              <w:t xml:space="preserve">, </w:t>
            </w:r>
            <w:r w:rsidR="000125F7" w:rsidRPr="000125F7">
              <w:rPr>
                <w:rFonts w:ascii="Arial Narrow" w:eastAsia="Calibri" w:hAnsi="Arial Narrow" w:cs="Times New Roman"/>
                <w:i/>
                <w:lang w:eastAsia="en-US"/>
              </w:rPr>
              <w:t xml:space="preserve">(the </w:t>
            </w:r>
            <w:r w:rsidR="00962671" w:rsidRPr="000125F7">
              <w:rPr>
                <w:rFonts w:ascii="Arial Narrow" w:eastAsia="Calibri" w:hAnsi="Arial Narrow" w:cs="Times New Roman"/>
                <w:i/>
                <w:lang w:eastAsia="en-US"/>
              </w:rPr>
              <w:t xml:space="preserve">NGS </w:t>
            </w:r>
            <w:r w:rsidR="000B73C1" w:rsidRPr="000125F7">
              <w:rPr>
                <w:rFonts w:ascii="Arial Narrow" w:eastAsia="Calibri" w:hAnsi="Arial Narrow" w:cs="Times New Roman"/>
                <w:i/>
                <w:lang w:eastAsia="en-US"/>
              </w:rPr>
              <w:t>MSI</w:t>
            </w:r>
            <w:r w:rsidR="000125F7" w:rsidRPr="000125F7">
              <w:rPr>
                <w:rFonts w:ascii="Arial Narrow" w:eastAsia="Calibri" w:hAnsi="Arial Narrow" w:cs="Times New Roman"/>
                <w:i/>
                <w:lang w:eastAsia="en-US"/>
              </w:rPr>
              <w:t xml:space="preserve"> comput</w:t>
            </w:r>
            <w:r w:rsidR="00962671">
              <w:rPr>
                <w:rFonts w:ascii="Arial Narrow" w:eastAsia="Calibri" w:hAnsi="Arial Narrow" w:cs="Times New Roman"/>
                <w:i/>
                <w:lang w:eastAsia="en-US"/>
              </w:rPr>
              <w:t>ational</w:t>
            </w:r>
            <w:r w:rsidR="000125F7" w:rsidRPr="000125F7">
              <w:rPr>
                <w:rFonts w:ascii="Arial Narrow" w:eastAsia="Calibri" w:hAnsi="Arial Narrow" w:cs="Times New Roman"/>
                <w:i/>
                <w:lang w:eastAsia="en-US"/>
              </w:rPr>
              <w:t xml:space="preserve"> algorithm tests would also be valid comparator</w:t>
            </w:r>
            <w:r w:rsidR="003C489C">
              <w:rPr>
                <w:rFonts w:ascii="Arial Narrow" w:eastAsia="Calibri" w:hAnsi="Arial Narrow" w:cs="Times New Roman"/>
                <w:i/>
                <w:lang w:eastAsia="en-US"/>
              </w:rPr>
              <w:t>s</w:t>
            </w:r>
            <w:r w:rsidR="000125F7" w:rsidRPr="000125F7">
              <w:rPr>
                <w:rFonts w:ascii="Arial Narrow" w:eastAsia="Calibri" w:hAnsi="Arial Narrow" w:cs="Times New Roman"/>
                <w:i/>
                <w:lang w:eastAsia="en-US"/>
              </w:rPr>
              <w:t>)</w:t>
            </w:r>
          </w:p>
          <w:p w14:paraId="75E62F0D" w14:textId="14295B10" w:rsidR="0012074A" w:rsidRPr="00452DF6" w:rsidRDefault="0012074A" w:rsidP="00DC3DEB">
            <w:pPr>
              <w:jc w:val="left"/>
              <w:rPr>
                <w:rFonts w:ascii="Arial Narrow" w:eastAsia="Calibri" w:hAnsi="Arial Narrow" w:cs="Times New Roman"/>
                <w:lang w:eastAsia="en-US"/>
              </w:rPr>
            </w:pPr>
            <w:r w:rsidRPr="00452DF6">
              <w:rPr>
                <w:rFonts w:ascii="Arial Narrow" w:eastAsia="Calibri" w:hAnsi="Arial Narrow" w:cs="Times New Roman"/>
                <w:b/>
                <w:lang w:eastAsia="en-US"/>
              </w:rPr>
              <w:t>Therapeutic effectiveness:</w:t>
            </w:r>
            <w:r w:rsidRPr="00452DF6">
              <w:rPr>
                <w:rFonts w:ascii="Arial Narrow" w:eastAsia="Calibri" w:hAnsi="Arial Narrow" w:cs="Times New Roman"/>
                <w:lang w:eastAsia="en-US"/>
              </w:rPr>
              <w:t xml:space="preserve"> no </w:t>
            </w:r>
            <w:r w:rsidR="00D72CD8">
              <w:rPr>
                <w:rFonts w:ascii="Arial Narrow" w:eastAsia="Calibri" w:hAnsi="Arial Narrow" w:cs="Times New Roman"/>
                <w:lang w:eastAsia="en-US"/>
              </w:rPr>
              <w:t>d</w:t>
            </w:r>
            <w:r w:rsidRPr="00452DF6">
              <w:rPr>
                <w:rFonts w:ascii="Arial Narrow" w:eastAsia="Calibri" w:hAnsi="Arial Narrow" w:cs="Times New Roman"/>
                <w:lang w:eastAsia="en-US"/>
              </w:rPr>
              <w:t xml:space="preserve">MMR </w:t>
            </w:r>
            <w:r w:rsidR="00DC3DEB" w:rsidRPr="00452DF6">
              <w:rPr>
                <w:rFonts w:ascii="Arial Narrow" w:eastAsia="Calibri" w:hAnsi="Arial Narrow" w:cs="Times New Roman"/>
                <w:lang w:eastAsia="en-US"/>
              </w:rPr>
              <w:t xml:space="preserve">IHC </w:t>
            </w:r>
            <w:r w:rsidRPr="00452DF6">
              <w:rPr>
                <w:rFonts w:ascii="Arial Narrow" w:eastAsia="Calibri" w:hAnsi="Arial Narrow" w:cs="Times New Roman"/>
                <w:lang w:eastAsia="en-US"/>
              </w:rPr>
              <w:t>testing plus standard of care (chemotherapy with a combination of two drugs)</w:t>
            </w:r>
          </w:p>
        </w:tc>
      </w:tr>
      <w:tr w:rsidR="0012074A" w:rsidRPr="00452DF6" w14:paraId="3DEA740A" w14:textId="77777777" w:rsidTr="0073133E">
        <w:tc>
          <w:tcPr>
            <w:tcW w:w="781" w:type="pct"/>
          </w:tcPr>
          <w:p w14:paraId="39FE1206" w14:textId="77777777" w:rsidR="0012074A" w:rsidRPr="00452DF6" w:rsidRDefault="0012074A" w:rsidP="00AA13B3">
            <w:pPr>
              <w:jc w:val="left"/>
              <w:rPr>
                <w:rFonts w:ascii="Arial Narrow" w:eastAsia="Calibri" w:hAnsi="Arial Narrow" w:cs="Arial"/>
                <w:lang w:eastAsia="en-US"/>
              </w:rPr>
            </w:pPr>
            <w:r w:rsidRPr="00452DF6">
              <w:rPr>
                <w:rFonts w:ascii="Arial Narrow" w:eastAsia="Calibri" w:hAnsi="Arial Narrow" w:cs="Arial"/>
                <w:lang w:eastAsia="en-US"/>
              </w:rPr>
              <w:lastRenderedPageBreak/>
              <w:t>Outcomes</w:t>
            </w:r>
          </w:p>
        </w:tc>
        <w:tc>
          <w:tcPr>
            <w:tcW w:w="4219" w:type="pct"/>
          </w:tcPr>
          <w:p w14:paraId="63063077" w14:textId="713A2B2E" w:rsidR="0012074A" w:rsidRPr="00452DF6" w:rsidRDefault="0012074A" w:rsidP="00AA13B3">
            <w:pPr>
              <w:keepNext/>
              <w:jc w:val="left"/>
              <w:rPr>
                <w:rFonts w:ascii="Arial Narrow" w:eastAsia="SimSun" w:hAnsi="Arial Narrow" w:cs="Times New Roman"/>
                <w:lang w:eastAsia="en-US"/>
              </w:rPr>
            </w:pPr>
            <w:r w:rsidRPr="00452DF6">
              <w:rPr>
                <w:rFonts w:ascii="Arial Narrow" w:eastAsia="SimSun" w:hAnsi="Arial Narrow" w:cs="Times New Roman"/>
                <w:b/>
                <w:lang w:eastAsia="en-US"/>
              </w:rPr>
              <w:t xml:space="preserve">Safety: </w:t>
            </w:r>
            <w:r w:rsidR="006F5EBD">
              <w:rPr>
                <w:rFonts w:ascii="Arial Narrow" w:eastAsia="SimSun" w:hAnsi="Arial Narrow" w:cs="Times New Roman"/>
                <w:lang w:eastAsia="en-US"/>
              </w:rPr>
              <w:t>h</w:t>
            </w:r>
            <w:r w:rsidRPr="00452DF6">
              <w:rPr>
                <w:rFonts w:ascii="Arial Narrow" w:eastAsia="SimSun" w:hAnsi="Arial Narrow" w:cs="Times New Roman"/>
                <w:lang w:eastAsia="en-US"/>
              </w:rPr>
              <w:t>arms from testing (including rates of re-biopsy required for testing); treatment-associated adverse events and tolerability</w:t>
            </w:r>
          </w:p>
          <w:p w14:paraId="1D4B3CC6" w14:textId="51538946" w:rsidR="0070543F" w:rsidRDefault="0012074A" w:rsidP="00AA13B3">
            <w:pPr>
              <w:keepNext/>
              <w:jc w:val="left"/>
              <w:rPr>
                <w:rFonts w:ascii="Arial Narrow" w:eastAsia="SimSun" w:hAnsi="Arial Narrow" w:cs="Times New Roman"/>
                <w:lang w:eastAsia="en-US"/>
              </w:rPr>
            </w:pPr>
            <w:r w:rsidRPr="00452DF6">
              <w:rPr>
                <w:rFonts w:ascii="Arial Narrow" w:eastAsia="SimSun" w:hAnsi="Arial Narrow" w:cs="Times New Roman"/>
                <w:b/>
                <w:lang w:eastAsia="en-US"/>
              </w:rPr>
              <w:t xml:space="preserve">Diagnostic </w:t>
            </w:r>
            <w:r w:rsidR="0070543F">
              <w:rPr>
                <w:rFonts w:ascii="Arial Narrow" w:eastAsia="SimSun" w:hAnsi="Arial Narrow" w:cs="Times New Roman"/>
                <w:b/>
                <w:lang w:eastAsia="en-US"/>
              </w:rPr>
              <w:t>performance</w:t>
            </w:r>
            <w:r w:rsidRPr="00452DF6">
              <w:rPr>
                <w:rFonts w:ascii="Arial Narrow" w:eastAsia="SimSun" w:hAnsi="Arial Narrow" w:cs="Times New Roman"/>
                <w:b/>
                <w:lang w:eastAsia="en-US"/>
              </w:rPr>
              <w:t xml:space="preserve">: </w:t>
            </w:r>
            <w:r w:rsidR="006F5EBD" w:rsidRPr="00452DF6">
              <w:rPr>
                <w:rFonts w:ascii="Arial Narrow" w:eastAsia="SimSun" w:hAnsi="Arial Narrow" w:cs="Times New Roman"/>
                <w:lang w:eastAsia="en-US"/>
              </w:rPr>
              <w:t>s</w:t>
            </w:r>
            <w:r w:rsidRPr="00452DF6">
              <w:rPr>
                <w:rFonts w:ascii="Arial Narrow" w:eastAsia="SimSun" w:hAnsi="Arial Narrow" w:cs="Times New Roman"/>
                <w:lang w:eastAsia="en-US"/>
              </w:rPr>
              <w:t>ensitivity</w:t>
            </w:r>
            <w:r w:rsidR="0093254B">
              <w:rPr>
                <w:rFonts w:ascii="Arial Narrow" w:eastAsia="SimSun" w:hAnsi="Arial Narrow" w:cs="Times New Roman"/>
                <w:lang w:eastAsia="en-US"/>
              </w:rPr>
              <w:t xml:space="preserve"> and</w:t>
            </w:r>
            <w:r w:rsidRPr="00452DF6">
              <w:rPr>
                <w:rFonts w:ascii="Arial Narrow" w:eastAsia="SimSun" w:hAnsi="Arial Narrow" w:cs="Times New Roman"/>
                <w:lang w:eastAsia="en-US"/>
              </w:rPr>
              <w:t xml:space="preserve"> specificity</w:t>
            </w:r>
            <w:r w:rsidR="0093254B">
              <w:rPr>
                <w:rFonts w:ascii="Arial Narrow" w:eastAsia="SimSun" w:hAnsi="Arial Narrow" w:cs="Times New Roman"/>
                <w:lang w:eastAsia="en-US"/>
              </w:rPr>
              <w:t xml:space="preserve"> (analytical validity)</w:t>
            </w:r>
            <w:r w:rsidRPr="00452DF6">
              <w:rPr>
                <w:rFonts w:ascii="Arial Narrow" w:eastAsia="SimSun" w:hAnsi="Arial Narrow" w:cs="Times New Roman"/>
                <w:lang w:eastAsia="en-US"/>
              </w:rPr>
              <w:t>, concordance, test-retest reliability</w:t>
            </w:r>
          </w:p>
          <w:p w14:paraId="7F7E3F96" w14:textId="2DD1C6DB" w:rsidR="0012074A" w:rsidRPr="00452DF6" w:rsidRDefault="0070543F" w:rsidP="00AA13B3">
            <w:pPr>
              <w:keepNext/>
              <w:jc w:val="left"/>
              <w:rPr>
                <w:rFonts w:ascii="Arial Narrow" w:eastAsia="SimSun" w:hAnsi="Arial Narrow" w:cs="Times New Roman"/>
                <w:lang w:eastAsia="en-US"/>
              </w:rPr>
            </w:pPr>
            <w:r w:rsidRPr="0070543F">
              <w:rPr>
                <w:rFonts w:ascii="Arial Narrow" w:eastAsia="SimSun" w:hAnsi="Arial Narrow" w:cs="Times New Roman"/>
                <w:b/>
                <w:lang w:eastAsia="en-US"/>
              </w:rPr>
              <w:t>Clinical validity:</w:t>
            </w:r>
            <w:r>
              <w:rPr>
                <w:rFonts w:ascii="Arial Narrow" w:eastAsia="SimSun" w:hAnsi="Arial Narrow" w:cs="Times New Roman"/>
                <w:lang w:eastAsia="en-US"/>
              </w:rPr>
              <w:t xml:space="preserve"> </w:t>
            </w:r>
            <w:r w:rsidR="006F5EBD">
              <w:rPr>
                <w:rFonts w:ascii="Arial Narrow" w:eastAsia="SimSun" w:hAnsi="Arial Narrow" w:cs="Times New Roman"/>
                <w:lang w:eastAsia="en-US"/>
              </w:rPr>
              <w:t>p</w:t>
            </w:r>
            <w:r w:rsidR="0012074A" w:rsidRPr="00452DF6">
              <w:rPr>
                <w:rFonts w:ascii="Arial Narrow" w:eastAsia="SimSun" w:hAnsi="Arial Narrow" w:cs="Times New Roman"/>
                <w:lang w:eastAsia="en-US"/>
              </w:rPr>
              <w:t>ositive</w:t>
            </w:r>
            <w:r w:rsidR="006F5EBD">
              <w:rPr>
                <w:rFonts w:ascii="Arial Narrow" w:eastAsia="SimSun" w:hAnsi="Arial Narrow" w:cs="Times New Roman"/>
                <w:lang w:eastAsia="en-US"/>
              </w:rPr>
              <w:t xml:space="preserve"> and negative predictive values</w:t>
            </w:r>
          </w:p>
          <w:p w14:paraId="295A4F16" w14:textId="4B3E673C" w:rsidR="0012074A" w:rsidRPr="00452DF6" w:rsidRDefault="0012074A" w:rsidP="00AA13B3">
            <w:pPr>
              <w:keepNext/>
              <w:jc w:val="left"/>
              <w:rPr>
                <w:rFonts w:ascii="Arial Narrow" w:eastAsia="SimSun" w:hAnsi="Arial Narrow" w:cs="Times New Roman"/>
                <w:lang w:eastAsia="en-US"/>
              </w:rPr>
            </w:pPr>
            <w:r w:rsidRPr="00452DF6">
              <w:rPr>
                <w:rFonts w:ascii="Arial Narrow" w:eastAsia="SimSun" w:hAnsi="Arial Narrow" w:cs="Times New Roman"/>
                <w:b/>
                <w:lang w:eastAsia="en-US"/>
              </w:rPr>
              <w:t xml:space="preserve">Prognosis: </w:t>
            </w:r>
            <w:r w:rsidR="006F5EBD">
              <w:rPr>
                <w:rFonts w:ascii="Arial Narrow" w:eastAsia="SimSun" w:hAnsi="Arial Narrow" w:cs="Times New Roman"/>
                <w:lang w:eastAsia="en-US"/>
              </w:rPr>
              <w:t>p</w:t>
            </w:r>
            <w:r w:rsidRPr="00452DF6">
              <w:rPr>
                <w:rFonts w:ascii="Arial Narrow" w:eastAsia="SimSun" w:hAnsi="Arial Narrow" w:cs="Times New Roman"/>
                <w:lang w:eastAsia="en-US"/>
              </w:rPr>
              <w:t>rognostic effect of biomarker</w:t>
            </w:r>
          </w:p>
          <w:p w14:paraId="0898C08F" w14:textId="3803B666" w:rsidR="0012074A" w:rsidRPr="00452DF6" w:rsidRDefault="0070543F" w:rsidP="00AA13B3">
            <w:pPr>
              <w:keepNext/>
              <w:jc w:val="left"/>
              <w:rPr>
                <w:rFonts w:ascii="Arial Narrow" w:eastAsia="SimSun" w:hAnsi="Arial Narrow" w:cs="Times New Roman"/>
                <w:lang w:eastAsia="en-US"/>
              </w:rPr>
            </w:pPr>
            <w:r>
              <w:rPr>
                <w:rFonts w:ascii="Arial Narrow" w:eastAsia="SimSun" w:hAnsi="Arial Narrow" w:cs="Times New Roman"/>
                <w:b/>
                <w:lang w:eastAsia="en-US"/>
              </w:rPr>
              <w:t>Clinical utility</w:t>
            </w:r>
            <w:r w:rsidR="0012074A" w:rsidRPr="00452DF6">
              <w:rPr>
                <w:rFonts w:ascii="Arial Narrow" w:eastAsia="SimSun" w:hAnsi="Arial Narrow" w:cs="Times New Roman"/>
                <w:b/>
                <w:lang w:eastAsia="en-US"/>
              </w:rPr>
              <w:t xml:space="preserve">: </w:t>
            </w:r>
            <w:r w:rsidR="0012074A" w:rsidRPr="00452DF6">
              <w:rPr>
                <w:rFonts w:ascii="Arial Narrow" w:eastAsia="SimSun" w:hAnsi="Arial Narrow" w:cs="Times New Roman"/>
                <w:lang w:eastAsia="en-US"/>
              </w:rPr>
              <w:t>% change in management plan (e.g. changes in treatment)</w:t>
            </w:r>
          </w:p>
          <w:p w14:paraId="59C8D5E6" w14:textId="529C0AE2" w:rsidR="00D72CD8" w:rsidRPr="00452DF6" w:rsidRDefault="00D72CD8" w:rsidP="00D72CD8">
            <w:pPr>
              <w:keepNext/>
              <w:jc w:val="left"/>
              <w:rPr>
                <w:rFonts w:ascii="Arial Narrow" w:eastAsia="SimSun" w:hAnsi="Arial Narrow" w:cs="Times New Roman"/>
                <w:lang w:eastAsia="en-US"/>
              </w:rPr>
            </w:pPr>
            <w:r w:rsidRPr="00452DF6">
              <w:rPr>
                <w:rFonts w:ascii="Arial Narrow" w:eastAsia="SimSun" w:hAnsi="Arial Narrow" w:cs="Times New Roman"/>
                <w:b/>
                <w:lang w:eastAsia="en-US"/>
              </w:rPr>
              <w:t>Predictive validity</w:t>
            </w:r>
            <w:r w:rsidRPr="00452DF6">
              <w:rPr>
                <w:rFonts w:ascii="Arial Narrow" w:eastAsia="SimSun" w:hAnsi="Arial Narrow" w:cs="Times New Roman"/>
                <w:lang w:eastAsia="en-US"/>
              </w:rPr>
              <w:t xml:space="preserve">: </w:t>
            </w:r>
            <w:r w:rsidR="006F5EBD">
              <w:rPr>
                <w:rFonts w:ascii="Arial Narrow" w:eastAsia="SimSun" w:hAnsi="Arial Narrow" w:cs="Times New Roman"/>
                <w:lang w:eastAsia="en-US"/>
              </w:rPr>
              <w:t>t</w:t>
            </w:r>
            <w:r w:rsidRPr="00452DF6">
              <w:rPr>
                <w:rFonts w:ascii="Arial Narrow" w:eastAsia="SimSun" w:hAnsi="Arial Narrow" w:cs="Times New Roman"/>
                <w:lang w:eastAsia="en-US"/>
              </w:rPr>
              <w:t>reatment effect modification</w:t>
            </w:r>
            <w:r>
              <w:rPr>
                <w:rFonts w:ascii="Arial Narrow" w:eastAsia="SimSun" w:hAnsi="Arial Narrow" w:cs="Times New Roman"/>
                <w:lang w:eastAsia="en-US"/>
              </w:rPr>
              <w:t xml:space="preserve"> by biomarker status</w:t>
            </w:r>
          </w:p>
          <w:p w14:paraId="671FDEF3" w14:textId="4AAD3737" w:rsidR="0012074A" w:rsidRPr="00452DF6" w:rsidRDefault="0012074A" w:rsidP="00AA13B3">
            <w:pPr>
              <w:keepNext/>
              <w:jc w:val="left"/>
              <w:rPr>
                <w:rFonts w:ascii="Arial Narrow" w:eastAsia="SimSun" w:hAnsi="Arial Narrow" w:cs="Times New Roman"/>
                <w:lang w:eastAsia="en-US"/>
              </w:rPr>
            </w:pPr>
            <w:r w:rsidRPr="00452DF6">
              <w:rPr>
                <w:rFonts w:ascii="Arial Narrow" w:eastAsia="SimSun" w:hAnsi="Arial Narrow" w:cs="Times New Roman"/>
                <w:b/>
                <w:lang w:eastAsia="en-US"/>
              </w:rPr>
              <w:t>Therapeutic effectiveness</w:t>
            </w:r>
            <w:r w:rsidRPr="00452DF6">
              <w:rPr>
                <w:rFonts w:ascii="Arial Narrow" w:eastAsia="SimSun" w:hAnsi="Arial Narrow" w:cs="Times New Roman"/>
                <w:lang w:eastAsia="en-US"/>
              </w:rPr>
              <w:t xml:space="preserve">: </w:t>
            </w:r>
            <w:r w:rsidR="006F5EBD">
              <w:rPr>
                <w:rFonts w:ascii="Arial Narrow" w:eastAsia="SimSun" w:hAnsi="Arial Narrow" w:cs="Times New Roman"/>
                <w:lang w:eastAsia="en-US"/>
              </w:rPr>
              <w:t>c</w:t>
            </w:r>
            <w:r w:rsidRPr="00452DF6">
              <w:rPr>
                <w:rFonts w:ascii="Arial Narrow" w:eastAsia="SimSun" w:hAnsi="Arial Narrow" w:cs="Times New Roman"/>
                <w:lang w:eastAsia="en-US"/>
              </w:rPr>
              <w:t>ritical outcomes</w:t>
            </w:r>
            <w:r w:rsidRPr="00452DF6">
              <w:rPr>
                <w:rFonts w:ascii="Arial Narrow" w:eastAsia="SimSun" w:hAnsi="Arial Narrow" w:cs="Times New Roman"/>
                <w:vertAlign w:val="superscript"/>
                <w:lang w:eastAsia="en-US"/>
              </w:rPr>
              <w:t>a</w:t>
            </w:r>
            <w:r w:rsidRPr="00452DF6">
              <w:rPr>
                <w:rFonts w:ascii="Arial Narrow" w:eastAsia="SimSun" w:hAnsi="Arial Narrow" w:cs="Times New Roman"/>
                <w:lang w:eastAsia="en-US"/>
              </w:rPr>
              <w:t xml:space="preserve">: </w:t>
            </w:r>
            <w:r w:rsidR="006F5EBD">
              <w:rPr>
                <w:rFonts w:ascii="Arial Narrow" w:eastAsia="SimSun" w:hAnsi="Arial Narrow" w:cs="Times New Roman"/>
                <w:lang w:eastAsia="en-US"/>
              </w:rPr>
              <w:t>o</w:t>
            </w:r>
            <w:r w:rsidRPr="00452DF6">
              <w:rPr>
                <w:rFonts w:ascii="Arial Narrow" w:eastAsia="SimSun" w:hAnsi="Arial Narrow" w:cs="Times New Roman"/>
                <w:lang w:eastAsia="en-US"/>
              </w:rPr>
              <w:t xml:space="preserve">verall survival, progression-free survival, overall response rate; </w:t>
            </w:r>
            <w:r w:rsidR="006F5EBD">
              <w:rPr>
                <w:rFonts w:ascii="Arial Narrow" w:eastAsia="SimSun" w:hAnsi="Arial Narrow" w:cs="Times New Roman"/>
                <w:lang w:eastAsia="en-US"/>
              </w:rPr>
              <w:t>i</w:t>
            </w:r>
            <w:r w:rsidRPr="00452DF6">
              <w:rPr>
                <w:rFonts w:ascii="Arial Narrow" w:eastAsia="SimSun" w:hAnsi="Arial Narrow" w:cs="Times New Roman"/>
                <w:lang w:eastAsia="en-US"/>
              </w:rPr>
              <w:t>mportant outcomes</w:t>
            </w:r>
            <w:r w:rsidRPr="00452DF6">
              <w:rPr>
                <w:rFonts w:ascii="Arial Narrow" w:eastAsia="SimSun" w:hAnsi="Arial Narrow" w:cs="Times New Roman"/>
                <w:vertAlign w:val="superscript"/>
                <w:lang w:eastAsia="en-US"/>
              </w:rPr>
              <w:t>a</w:t>
            </w:r>
            <w:r w:rsidRPr="00452DF6">
              <w:rPr>
                <w:rFonts w:ascii="Arial Narrow" w:eastAsia="SimSun" w:hAnsi="Arial Narrow" w:cs="Times New Roman"/>
                <w:lang w:eastAsia="en-US"/>
              </w:rPr>
              <w:t xml:space="preserve">: </w:t>
            </w:r>
            <w:r w:rsidR="006F5EBD">
              <w:rPr>
                <w:rFonts w:ascii="Arial Narrow" w:eastAsia="SimSun" w:hAnsi="Arial Narrow" w:cs="Times New Roman"/>
                <w:lang w:eastAsia="en-US"/>
              </w:rPr>
              <w:t>q</w:t>
            </w:r>
            <w:r w:rsidRPr="00452DF6">
              <w:rPr>
                <w:rFonts w:ascii="Arial Narrow" w:eastAsia="SimSun" w:hAnsi="Arial Narrow" w:cs="Times New Roman"/>
                <w:lang w:eastAsia="en-US"/>
              </w:rPr>
              <w:t>uality of life</w:t>
            </w:r>
          </w:p>
          <w:p w14:paraId="71895E10" w14:textId="3877B87B" w:rsidR="0012074A" w:rsidRPr="00452DF6" w:rsidRDefault="0012074A" w:rsidP="00AA13B3">
            <w:pPr>
              <w:keepNext/>
              <w:jc w:val="left"/>
              <w:rPr>
                <w:rFonts w:ascii="Arial Narrow" w:eastAsia="SimSun" w:hAnsi="Arial Narrow" w:cs="Times New Roman"/>
                <w:lang w:eastAsia="en-US"/>
              </w:rPr>
            </w:pPr>
            <w:r w:rsidRPr="00452DF6">
              <w:rPr>
                <w:rFonts w:ascii="Arial Narrow" w:eastAsia="SimSun" w:hAnsi="Arial Narrow" w:cs="Times New Roman"/>
                <w:b/>
                <w:lang w:eastAsia="en-US"/>
              </w:rPr>
              <w:t>Cost-effectiveness:</w:t>
            </w:r>
            <w:r w:rsidR="006F5EBD">
              <w:rPr>
                <w:rFonts w:ascii="Arial Narrow" w:eastAsia="SimSun" w:hAnsi="Arial Narrow" w:cs="Times New Roman"/>
                <w:lang w:eastAsia="en-US"/>
              </w:rPr>
              <w:t xml:space="preserve"> c</w:t>
            </w:r>
            <w:r w:rsidRPr="00452DF6">
              <w:rPr>
                <w:rFonts w:ascii="Arial Narrow" w:eastAsia="SimSun" w:hAnsi="Arial Narrow" w:cs="Times New Roman"/>
                <w:lang w:eastAsia="en-US"/>
              </w:rPr>
              <w:t>ost, cost per life year gained, cost per quality adjusted life year or disability adjusted life year, incremental cost-effectiveness ratio, cost per case identified</w:t>
            </w:r>
          </w:p>
        </w:tc>
      </w:tr>
    </w:tbl>
    <w:p w14:paraId="297608FE" w14:textId="5F5B7940" w:rsidR="00DC3DEB" w:rsidRDefault="0012074A" w:rsidP="008570E4">
      <w:pPr>
        <w:pStyle w:val="Tablenotes0"/>
        <w:rPr>
          <w:rFonts w:eastAsia="SimSun"/>
        </w:rPr>
      </w:pPr>
      <w:r w:rsidRPr="00452DF6">
        <w:rPr>
          <w:rFonts w:eastAsia="MS Gothic"/>
          <w:bCs/>
          <w:color w:val="000000"/>
          <w:szCs w:val="26"/>
          <w:vertAlign w:val="superscript"/>
        </w:rPr>
        <w:t>a</w:t>
      </w:r>
      <w:r w:rsidRPr="00452DF6">
        <w:rPr>
          <w:rFonts w:eastAsia="SimSun"/>
          <w:color w:val="000000"/>
        </w:rPr>
        <w:t xml:space="preserve">Outcomes </w:t>
      </w:r>
      <w:r w:rsidRPr="00452DF6">
        <w:rPr>
          <w:rFonts w:eastAsia="SimSun"/>
        </w:rPr>
        <w:t>ranked as recommended by GRADE</w:t>
      </w:r>
      <w:r w:rsidR="008E7C06">
        <w:rPr>
          <w:rFonts w:eastAsia="SimSun"/>
        </w:rPr>
        <w:t xml:space="preserve"> URL</w:t>
      </w:r>
      <w:r w:rsidR="008E7C06" w:rsidRPr="008E7C06">
        <w:t xml:space="preserve"> </w:t>
      </w:r>
      <w:r w:rsidR="006D1EF6">
        <w:t>&lt;</w:t>
      </w:r>
      <w:hyperlink r:id="rId19" w:tooltip="the GRADE working party website" w:history="1">
        <w:r w:rsidR="008E7C06" w:rsidRPr="00A36CBA">
          <w:rPr>
            <w:rStyle w:val="Hyperlink"/>
            <w:rFonts w:eastAsia="SimSun"/>
          </w:rPr>
          <w:t>http://www.gradeworkinggroup.org/</w:t>
        </w:r>
      </w:hyperlink>
      <w:r w:rsidR="006D1EF6">
        <w:rPr>
          <w:rFonts w:eastAsia="SimSun"/>
        </w:rPr>
        <w:t>&gt;. Accessed 1 November 2017</w:t>
      </w:r>
    </w:p>
    <w:p w14:paraId="66727095" w14:textId="37541729" w:rsidR="0012074A" w:rsidRPr="00452DF6" w:rsidRDefault="00DC3DEB" w:rsidP="008570E4">
      <w:pPr>
        <w:pStyle w:val="Tablenotes0"/>
        <w:rPr>
          <w:rFonts w:eastAsia="SimSun"/>
        </w:rPr>
      </w:pPr>
      <w:r>
        <w:rPr>
          <w:rFonts w:eastAsia="SimSun"/>
        </w:rPr>
        <w:t>CRC = colorectal cancer; d</w:t>
      </w:r>
      <w:r w:rsidR="00D72CD8">
        <w:rPr>
          <w:rFonts w:eastAsia="SimSun"/>
        </w:rPr>
        <w:t>MMR</w:t>
      </w:r>
      <w:r>
        <w:rPr>
          <w:rFonts w:eastAsia="SimSun"/>
        </w:rPr>
        <w:t xml:space="preserve"> </w:t>
      </w:r>
      <w:r w:rsidR="00D72CD8">
        <w:rPr>
          <w:rFonts w:eastAsia="SimSun"/>
        </w:rPr>
        <w:t xml:space="preserve">= </w:t>
      </w:r>
      <w:r>
        <w:rPr>
          <w:rFonts w:eastAsia="SimSun"/>
        </w:rPr>
        <w:t>mismatch repair deficient</w:t>
      </w:r>
      <w:r w:rsidR="00D72CD8">
        <w:rPr>
          <w:rFonts w:eastAsia="SimSun"/>
        </w:rPr>
        <w:t xml:space="preserve">; IHC = </w:t>
      </w:r>
      <w:r w:rsidRPr="00DC3DEB">
        <w:rPr>
          <w:rFonts w:eastAsia="SimSun"/>
        </w:rPr>
        <w:t>immunohistochemi</w:t>
      </w:r>
      <w:r w:rsidR="006F5EBD">
        <w:rPr>
          <w:rFonts w:eastAsia="SimSun"/>
        </w:rPr>
        <w:t>stry</w:t>
      </w:r>
    </w:p>
    <w:p w14:paraId="4F55F2DF" w14:textId="77777777" w:rsidR="009C38BF" w:rsidRDefault="009C38BF" w:rsidP="00AA13B3">
      <w:pPr>
        <w:pStyle w:val="Heading3"/>
        <w:spacing w:line="312" w:lineRule="auto"/>
        <w:rPr>
          <w:lang w:eastAsia="en-US"/>
        </w:rPr>
      </w:pPr>
      <w:bookmarkStart w:id="52" w:name="_Toc29557657"/>
      <w:r>
        <w:rPr>
          <w:lang w:eastAsia="en-US"/>
        </w:rPr>
        <w:t>Types of evidence</w:t>
      </w:r>
      <w:bookmarkEnd w:id="52"/>
    </w:p>
    <w:p w14:paraId="2F5340AF" w14:textId="77777777" w:rsidR="008F33AC" w:rsidRPr="00452DF6" w:rsidRDefault="008F33AC" w:rsidP="009C38BF">
      <w:pPr>
        <w:pStyle w:val="Heading4"/>
        <w:rPr>
          <w:lang w:eastAsia="en-US"/>
        </w:rPr>
      </w:pPr>
      <w:r w:rsidRPr="00452DF6">
        <w:rPr>
          <w:lang w:eastAsia="en-US"/>
        </w:rPr>
        <w:t>Direct evidence:</w:t>
      </w:r>
    </w:p>
    <w:p w14:paraId="27E55417" w14:textId="42B2C12B" w:rsidR="004818B6" w:rsidRDefault="00AD4385" w:rsidP="0043417B">
      <w:pPr>
        <w:spacing w:after="120" w:line="312" w:lineRule="auto"/>
        <w:rPr>
          <w:rFonts w:cs="Times New Roman"/>
          <w:color w:val="000000"/>
          <w:szCs w:val="24"/>
          <w:lang w:eastAsia="en-US"/>
        </w:rPr>
      </w:pPr>
      <w:r w:rsidRPr="00452DF6">
        <w:rPr>
          <w:rFonts w:cs="Times New Roman"/>
          <w:color w:val="000000"/>
          <w:szCs w:val="24"/>
          <w:lang w:eastAsia="en-US"/>
        </w:rPr>
        <w:t xml:space="preserve">The availability of </w:t>
      </w:r>
      <w:r w:rsidR="0081494A" w:rsidRPr="00452DF6">
        <w:rPr>
          <w:rFonts w:cs="Times New Roman"/>
          <w:color w:val="000000"/>
          <w:szCs w:val="24"/>
          <w:lang w:eastAsia="en-US"/>
        </w:rPr>
        <w:t xml:space="preserve">randomised </w:t>
      </w:r>
      <w:r w:rsidR="009C38BF">
        <w:rPr>
          <w:rFonts w:cs="Times New Roman"/>
          <w:color w:val="000000"/>
          <w:szCs w:val="24"/>
          <w:lang w:eastAsia="en-US"/>
        </w:rPr>
        <w:t xml:space="preserve">controlled </w:t>
      </w:r>
      <w:r w:rsidR="0081494A" w:rsidRPr="00452DF6">
        <w:rPr>
          <w:rFonts w:cs="Times New Roman"/>
          <w:color w:val="000000"/>
          <w:szCs w:val="24"/>
          <w:lang w:eastAsia="en-US"/>
        </w:rPr>
        <w:t xml:space="preserve">trials </w:t>
      </w:r>
      <w:r w:rsidR="009C38BF">
        <w:rPr>
          <w:rFonts w:cs="Times New Roman"/>
          <w:color w:val="000000"/>
          <w:szCs w:val="24"/>
          <w:lang w:eastAsia="en-US"/>
        </w:rPr>
        <w:t xml:space="preserve">(RCTs) </w:t>
      </w:r>
      <w:r w:rsidR="0081494A" w:rsidRPr="00452DF6">
        <w:rPr>
          <w:rFonts w:cs="Times New Roman"/>
          <w:color w:val="000000"/>
          <w:szCs w:val="24"/>
          <w:lang w:eastAsia="en-US"/>
        </w:rPr>
        <w:t xml:space="preserve">that </w:t>
      </w:r>
      <w:r w:rsidRPr="00452DF6">
        <w:rPr>
          <w:rFonts w:cs="Times New Roman"/>
          <w:color w:val="000000"/>
          <w:szCs w:val="24"/>
          <w:lang w:eastAsia="en-US"/>
        </w:rPr>
        <w:t xml:space="preserve">that have been specifically designed to prove a linkage between the investigative medical service and </w:t>
      </w:r>
      <w:r w:rsidR="00D72CD8">
        <w:rPr>
          <w:rFonts w:cs="Times New Roman"/>
          <w:color w:val="000000"/>
          <w:szCs w:val="24"/>
          <w:lang w:eastAsia="en-US"/>
        </w:rPr>
        <w:t>the</w:t>
      </w:r>
      <w:r w:rsidR="00D72CD8" w:rsidRPr="00452DF6">
        <w:rPr>
          <w:rFonts w:cs="Times New Roman"/>
          <w:color w:val="000000"/>
          <w:szCs w:val="24"/>
          <w:lang w:eastAsia="en-US"/>
        </w:rPr>
        <w:t xml:space="preserve"> </w:t>
      </w:r>
      <w:r w:rsidRPr="00452DF6">
        <w:rPr>
          <w:rFonts w:cs="Times New Roman"/>
          <w:color w:val="000000"/>
          <w:szCs w:val="24"/>
          <w:lang w:eastAsia="en-US"/>
        </w:rPr>
        <w:t>therapeutic outcome is unlikely</w:t>
      </w:r>
      <w:r w:rsidR="0081494A" w:rsidRPr="00452DF6">
        <w:rPr>
          <w:rFonts w:cs="Times New Roman"/>
          <w:color w:val="000000"/>
          <w:szCs w:val="24"/>
          <w:lang w:eastAsia="en-US"/>
        </w:rPr>
        <w:t xml:space="preserve">. </w:t>
      </w:r>
      <w:r w:rsidR="0043417B">
        <w:rPr>
          <w:rFonts w:cs="Times New Roman"/>
          <w:color w:val="000000"/>
          <w:szCs w:val="24"/>
          <w:lang w:eastAsia="en-US"/>
        </w:rPr>
        <w:t>However, i</w:t>
      </w:r>
      <w:r w:rsidR="004818B6" w:rsidRPr="00452DF6">
        <w:rPr>
          <w:rFonts w:cs="Times New Roman"/>
          <w:color w:val="000000"/>
          <w:szCs w:val="24"/>
          <w:lang w:eastAsia="en-US"/>
        </w:rPr>
        <w:t xml:space="preserve">f these </w:t>
      </w:r>
      <w:r w:rsidR="00BE2501">
        <w:rPr>
          <w:rFonts w:cs="Times New Roman"/>
          <w:color w:val="000000"/>
          <w:szCs w:val="24"/>
          <w:lang w:eastAsia="en-US"/>
        </w:rPr>
        <w:t>trial</w:t>
      </w:r>
      <w:r w:rsidR="004818B6" w:rsidRPr="00452DF6">
        <w:rPr>
          <w:rFonts w:cs="Times New Roman"/>
          <w:color w:val="000000"/>
          <w:szCs w:val="24"/>
          <w:lang w:eastAsia="en-US"/>
        </w:rPr>
        <w:t xml:space="preserve"> types are available, refer to the MSAC </w:t>
      </w:r>
      <w:r w:rsidR="002101A0" w:rsidRPr="002101A0">
        <w:rPr>
          <w:rFonts w:cs="Times New Roman"/>
          <w:color w:val="000000"/>
          <w:szCs w:val="24"/>
          <w:lang w:eastAsia="en-US"/>
        </w:rPr>
        <w:t xml:space="preserve">Technical Guidelines </w:t>
      </w:r>
      <w:r w:rsidR="004818B6" w:rsidRPr="00452DF6">
        <w:rPr>
          <w:rFonts w:cs="Times New Roman"/>
          <w:color w:val="000000"/>
          <w:szCs w:val="24"/>
          <w:lang w:eastAsia="en-US"/>
        </w:rPr>
        <w:t xml:space="preserve">for </w:t>
      </w:r>
      <w:r w:rsidR="00DA115B">
        <w:rPr>
          <w:rFonts w:cs="Times New Roman"/>
          <w:color w:val="000000"/>
          <w:szCs w:val="24"/>
          <w:lang w:eastAsia="en-US"/>
        </w:rPr>
        <w:t>I</w:t>
      </w:r>
      <w:r w:rsidR="004818B6" w:rsidRPr="00452DF6">
        <w:rPr>
          <w:rFonts w:cs="Times New Roman"/>
          <w:color w:val="000000"/>
          <w:szCs w:val="24"/>
          <w:lang w:eastAsia="en-US"/>
        </w:rPr>
        <w:t xml:space="preserve">nvestigative </w:t>
      </w:r>
      <w:r w:rsidR="00DA115B">
        <w:rPr>
          <w:rFonts w:cs="Times New Roman"/>
          <w:color w:val="000000"/>
          <w:szCs w:val="24"/>
          <w:lang w:eastAsia="en-US"/>
        </w:rPr>
        <w:t>S</w:t>
      </w:r>
      <w:r w:rsidR="004818B6" w:rsidRPr="00452DF6">
        <w:rPr>
          <w:rFonts w:cs="Times New Roman"/>
          <w:color w:val="000000"/>
          <w:szCs w:val="24"/>
          <w:lang w:eastAsia="en-US"/>
        </w:rPr>
        <w:t>ervices</w:t>
      </w:r>
      <w:r w:rsidR="002101A0">
        <w:rPr>
          <w:rFonts w:cs="Times New Roman"/>
          <w:color w:val="000000"/>
          <w:szCs w:val="24"/>
          <w:lang w:eastAsia="en-US"/>
        </w:rPr>
        <w:t xml:space="preserve"> </w:t>
      </w:r>
      <w:r w:rsidR="00F77139">
        <w:rPr>
          <w:rFonts w:cs="Times New Roman"/>
          <w:color w:val="000000"/>
          <w:szCs w:val="24"/>
          <w:lang w:eastAsia="en-US"/>
        </w:rPr>
        <w:fldChar w:fldCharType="begin"/>
      </w:r>
      <w:r w:rsidR="00F77139">
        <w:rPr>
          <w:rFonts w:cs="Times New Roman"/>
          <w:color w:val="000000"/>
          <w:szCs w:val="24"/>
          <w:lang w:eastAsia="en-US"/>
        </w:rPr>
        <w:instrText xml:space="preserve"> ADDIN EN.CITE &lt;EndNote&gt;&lt;Cite&gt;&lt;Author&gt;MSAC&lt;/Author&gt;&lt;Year&gt;2017&lt;/Year&gt;&lt;RecNum&gt;2&lt;/RecNum&gt;&lt;DisplayText&gt;(MSAC 2017)&lt;/DisplayText&gt;&lt;record&gt;&lt;rec-number&gt;2&lt;/rec-number&gt;&lt;foreign-keys&gt;&lt;key app="EN" db-id="20rafrsx2d50edew5w15fz0q0dvfzstzed55" timestamp="1508463126"&gt;2&lt;/key&gt;&lt;/foreign-keys&gt;&lt;ref-type name="Government Document"&gt;46&lt;/ref-type&gt;&lt;contributors&gt;&lt;authors&gt;&lt;author&gt;MSAC &lt;/author&gt;&lt;/authors&gt;&lt;secondary-authors&gt;&lt;author&gt;Department of Health&lt;/author&gt;&lt;/secondary-authors&gt;&lt;/contributors&gt;&lt;titles&gt;&lt;title&gt;Technical Guidelines for preparing assessment reports for the Medical Services Advisory Committee – Service Type: Investigative&lt;/title&gt;&lt;/titles&gt;&lt;dates&gt;&lt;year&gt;2017&lt;/year&gt;&lt;/dates&gt;&lt;pub-location&gt;Canberra&lt;/pub-location&gt;&lt;publisher&gt;Australian Government&lt;/publisher&gt;&lt;urls&gt;&lt;related-urls&gt;&lt;url&gt;http://www.msac.gov.au/internet/msac/publishing.nsf/Content/applicants&lt;/url&gt;&lt;/related-urls&gt;&lt;/urls&gt;&lt;/record&gt;&lt;/Cite&gt;&lt;/EndNote&gt;</w:instrText>
      </w:r>
      <w:r w:rsidR="00F77139">
        <w:rPr>
          <w:rFonts w:cs="Times New Roman"/>
          <w:color w:val="000000"/>
          <w:szCs w:val="24"/>
          <w:lang w:eastAsia="en-US"/>
        </w:rPr>
        <w:fldChar w:fldCharType="separate"/>
      </w:r>
      <w:r w:rsidR="00F77139">
        <w:rPr>
          <w:rFonts w:cs="Times New Roman"/>
          <w:noProof/>
          <w:color w:val="000000"/>
          <w:szCs w:val="24"/>
          <w:lang w:eastAsia="en-US"/>
        </w:rPr>
        <w:t>(MSAC 2017)</w:t>
      </w:r>
      <w:r w:rsidR="00F77139">
        <w:rPr>
          <w:rFonts w:cs="Times New Roman"/>
          <w:color w:val="000000"/>
          <w:szCs w:val="24"/>
          <w:lang w:eastAsia="en-US"/>
        </w:rPr>
        <w:fldChar w:fldCharType="end"/>
      </w:r>
      <w:r w:rsidR="00DA115B">
        <w:rPr>
          <w:rFonts w:cs="Times New Roman"/>
          <w:color w:val="000000"/>
          <w:szCs w:val="24"/>
          <w:lang w:eastAsia="en-US"/>
        </w:rPr>
        <w:t xml:space="preserve"> </w:t>
      </w:r>
      <w:r w:rsidR="002101A0">
        <w:rPr>
          <w:rFonts w:cs="Times New Roman"/>
          <w:color w:val="000000"/>
          <w:szCs w:val="24"/>
          <w:lang w:eastAsia="en-US"/>
        </w:rPr>
        <w:t>for further information on preparing an assessment of direct evidence</w:t>
      </w:r>
      <w:r w:rsidR="00DA115B">
        <w:rPr>
          <w:rFonts w:cs="Times New Roman"/>
          <w:color w:val="000000"/>
          <w:szCs w:val="24"/>
          <w:lang w:eastAsia="en-US"/>
        </w:rPr>
        <w:t>.</w:t>
      </w:r>
    </w:p>
    <w:p w14:paraId="23D7BA05" w14:textId="3CDA8854" w:rsidR="00C635B1" w:rsidRPr="00C635B1" w:rsidRDefault="00ED3B14" w:rsidP="00C635B1">
      <w:pPr>
        <w:spacing w:after="120" w:line="312" w:lineRule="auto"/>
        <w:ind w:left="11"/>
        <w:rPr>
          <w:rFonts w:cs="Times New Roman"/>
          <w:color w:val="000000"/>
          <w:szCs w:val="24"/>
          <w:lang w:eastAsia="en-US"/>
        </w:rPr>
      </w:pPr>
      <w:r>
        <w:rPr>
          <w:rFonts w:cs="Times New Roman"/>
          <w:color w:val="000000"/>
          <w:szCs w:val="24"/>
          <w:lang w:eastAsia="en-US"/>
        </w:rPr>
        <w:t>I</w:t>
      </w:r>
      <w:r w:rsidR="00C635B1" w:rsidRPr="00C635B1">
        <w:rPr>
          <w:rFonts w:cs="Times New Roman"/>
          <w:color w:val="000000"/>
          <w:szCs w:val="24"/>
          <w:lang w:eastAsia="en-US"/>
        </w:rPr>
        <w:t>nvestigative medical services that have direct evidence of their ef</w:t>
      </w:r>
      <w:r>
        <w:rPr>
          <w:rFonts w:cs="Times New Roman"/>
          <w:color w:val="000000"/>
          <w:szCs w:val="24"/>
          <w:lang w:eastAsia="en-US"/>
        </w:rPr>
        <w:t>fect on patient health outcomes</w:t>
      </w:r>
      <w:r w:rsidR="00C635B1" w:rsidRPr="00C635B1">
        <w:rPr>
          <w:rFonts w:cs="Times New Roman"/>
          <w:color w:val="000000"/>
          <w:szCs w:val="24"/>
          <w:lang w:eastAsia="en-US"/>
        </w:rPr>
        <w:t xml:space="preserve"> </w:t>
      </w:r>
      <w:r w:rsidR="00C635B1">
        <w:rPr>
          <w:rFonts w:cs="Times New Roman"/>
          <w:color w:val="000000"/>
          <w:szCs w:val="24"/>
          <w:lang w:eastAsia="en-US"/>
        </w:rPr>
        <w:t>still require additional information</w:t>
      </w:r>
      <w:r w:rsidR="00C635B1" w:rsidRPr="00C635B1">
        <w:rPr>
          <w:rFonts w:cs="Times New Roman"/>
          <w:color w:val="000000"/>
          <w:szCs w:val="24"/>
          <w:lang w:eastAsia="en-US"/>
        </w:rPr>
        <w:t xml:space="preserve"> to inform whether the proposed service is superior or no</w:t>
      </w:r>
      <w:r>
        <w:rPr>
          <w:rFonts w:cs="Times New Roman"/>
          <w:color w:val="000000"/>
          <w:szCs w:val="24"/>
          <w:lang w:eastAsia="en-US"/>
        </w:rPr>
        <w:t>t</w:t>
      </w:r>
      <w:r w:rsidR="00C635B1" w:rsidRPr="00C635B1">
        <w:rPr>
          <w:rFonts w:cs="Times New Roman"/>
          <w:color w:val="000000"/>
          <w:szCs w:val="24"/>
          <w:lang w:eastAsia="en-US"/>
        </w:rPr>
        <w:t xml:space="preserve"> to the main comparator (see Section B8</w:t>
      </w:r>
      <w:r w:rsidR="00DA1289">
        <w:rPr>
          <w:rFonts w:cs="Times New Roman"/>
          <w:color w:val="000000"/>
          <w:szCs w:val="24"/>
          <w:lang w:eastAsia="en-US"/>
        </w:rPr>
        <w:t xml:space="preserve"> of the </w:t>
      </w:r>
      <w:r w:rsidR="00CB3A61">
        <w:rPr>
          <w:rFonts w:cs="Times New Roman"/>
          <w:color w:val="000000"/>
          <w:szCs w:val="24"/>
          <w:lang w:eastAsia="en-US"/>
        </w:rPr>
        <w:t>G</w:t>
      </w:r>
      <w:r w:rsidR="00DA1289">
        <w:rPr>
          <w:rFonts w:cs="Times New Roman"/>
          <w:color w:val="000000"/>
          <w:szCs w:val="24"/>
          <w:lang w:eastAsia="en-US"/>
        </w:rPr>
        <w:t>uidelines</w:t>
      </w:r>
      <w:r w:rsidR="00C635B1" w:rsidRPr="00C635B1">
        <w:rPr>
          <w:rFonts w:cs="Times New Roman"/>
          <w:color w:val="000000"/>
          <w:szCs w:val="24"/>
          <w:lang w:eastAsia="en-US"/>
        </w:rPr>
        <w:t xml:space="preserve">). The following information </w:t>
      </w:r>
      <w:r w:rsidR="00C635B1">
        <w:rPr>
          <w:rFonts w:cs="Times New Roman"/>
          <w:color w:val="000000"/>
          <w:szCs w:val="24"/>
          <w:lang w:eastAsia="en-US"/>
        </w:rPr>
        <w:t xml:space="preserve">(if not </w:t>
      </w:r>
      <w:r w:rsidR="00C635B1" w:rsidRPr="00C635B1">
        <w:rPr>
          <w:rFonts w:cs="Times New Roman"/>
          <w:color w:val="000000"/>
          <w:szCs w:val="24"/>
          <w:lang w:eastAsia="en-US"/>
        </w:rPr>
        <w:t>reported as part of any direct clinical trials</w:t>
      </w:r>
      <w:r w:rsidR="00C635B1">
        <w:rPr>
          <w:rFonts w:cs="Times New Roman"/>
          <w:color w:val="000000"/>
          <w:szCs w:val="24"/>
          <w:lang w:eastAsia="en-US"/>
        </w:rPr>
        <w:t>)</w:t>
      </w:r>
      <w:r w:rsidR="00C635B1" w:rsidRPr="00C635B1">
        <w:rPr>
          <w:rFonts w:cs="Times New Roman"/>
          <w:color w:val="000000"/>
          <w:szCs w:val="24"/>
          <w:lang w:eastAsia="en-US"/>
        </w:rPr>
        <w:t xml:space="preserve"> </w:t>
      </w:r>
      <w:r w:rsidR="00C635B1">
        <w:rPr>
          <w:rFonts w:cs="Times New Roman"/>
          <w:color w:val="000000"/>
          <w:szCs w:val="24"/>
          <w:lang w:eastAsia="en-US"/>
        </w:rPr>
        <w:t>should also be presented as discussed below</w:t>
      </w:r>
      <w:r w:rsidR="00C635B1" w:rsidRPr="00C635B1">
        <w:rPr>
          <w:rFonts w:cs="Times New Roman"/>
          <w:color w:val="000000"/>
          <w:szCs w:val="24"/>
          <w:lang w:eastAsia="en-US"/>
        </w:rPr>
        <w:t>:</w:t>
      </w:r>
    </w:p>
    <w:p w14:paraId="2608061E" w14:textId="77777777" w:rsidR="00C635B1" w:rsidRDefault="00C635B1" w:rsidP="0026448E">
      <w:pPr>
        <w:numPr>
          <w:ilvl w:val="0"/>
          <w:numId w:val="8"/>
        </w:numPr>
        <w:spacing w:after="240" w:line="312" w:lineRule="auto"/>
        <w:ind w:left="431" w:hanging="352"/>
        <w:contextualSpacing/>
      </w:pPr>
      <w:r w:rsidRPr="00C635B1">
        <w:t>The diagnostic performance and clinical validity of the investigativ</w:t>
      </w:r>
      <w:r>
        <w:t>e medical service</w:t>
      </w:r>
    </w:p>
    <w:p w14:paraId="1CDF7E7F" w14:textId="0017D7E3" w:rsidR="00C635B1" w:rsidRPr="00C635B1" w:rsidRDefault="00C635B1" w:rsidP="0026448E">
      <w:pPr>
        <w:numPr>
          <w:ilvl w:val="1"/>
          <w:numId w:val="8"/>
        </w:numPr>
        <w:spacing w:after="240" w:line="312" w:lineRule="auto"/>
        <w:ind w:left="851"/>
        <w:contextualSpacing/>
      </w:pPr>
      <w:r>
        <w:rPr>
          <w:rFonts w:cs="Times New Roman"/>
          <w:color w:val="000000"/>
          <w:szCs w:val="24"/>
          <w:lang w:eastAsia="en-US"/>
        </w:rPr>
        <w:t xml:space="preserve">In particular any differences between the test(s) used in the </w:t>
      </w:r>
      <w:r w:rsidR="00D72CD8">
        <w:rPr>
          <w:rFonts w:cs="Times New Roman"/>
          <w:color w:val="000000"/>
          <w:szCs w:val="24"/>
          <w:lang w:eastAsia="en-US"/>
        </w:rPr>
        <w:t xml:space="preserve">key supporting studies </w:t>
      </w:r>
      <w:r>
        <w:rPr>
          <w:rFonts w:cs="Times New Roman"/>
          <w:color w:val="000000"/>
          <w:szCs w:val="24"/>
          <w:lang w:eastAsia="en-US"/>
        </w:rPr>
        <w:t>and the test(s) that will be used in Australian clinical practice</w:t>
      </w:r>
    </w:p>
    <w:p w14:paraId="4504A08F" w14:textId="77777777" w:rsidR="00C635B1" w:rsidRPr="00C635B1" w:rsidRDefault="00C635B1" w:rsidP="0026448E">
      <w:pPr>
        <w:numPr>
          <w:ilvl w:val="0"/>
          <w:numId w:val="8"/>
        </w:numPr>
        <w:spacing w:after="240" w:line="312" w:lineRule="auto"/>
        <w:ind w:left="431" w:hanging="352"/>
        <w:contextualSpacing/>
      </w:pPr>
      <w:r w:rsidRPr="00C635B1">
        <w:t>The relative clinical impact of false negatives and false positives arising from the test if this information cannot be extracted from direct evidence presented</w:t>
      </w:r>
    </w:p>
    <w:p w14:paraId="5D90604B" w14:textId="77777777" w:rsidR="00C635B1" w:rsidRPr="00C635B1" w:rsidRDefault="00BE2501" w:rsidP="0026448E">
      <w:pPr>
        <w:numPr>
          <w:ilvl w:val="0"/>
          <w:numId w:val="8"/>
        </w:numPr>
        <w:spacing w:after="240" w:line="312" w:lineRule="auto"/>
        <w:ind w:left="431" w:hanging="352"/>
        <w:contextualSpacing/>
      </w:pPr>
      <w:r>
        <w:t>The i</w:t>
      </w:r>
      <w:r w:rsidR="00C635B1" w:rsidRPr="00C635B1">
        <w:t>mpact of repeat testing (if relevant)</w:t>
      </w:r>
    </w:p>
    <w:p w14:paraId="06CB0EFE" w14:textId="77777777" w:rsidR="00C635B1" w:rsidRPr="00C635B1" w:rsidRDefault="00C635B1" w:rsidP="0026448E">
      <w:pPr>
        <w:numPr>
          <w:ilvl w:val="0"/>
          <w:numId w:val="8"/>
        </w:numPr>
        <w:spacing w:after="120" w:line="312" w:lineRule="auto"/>
        <w:ind w:left="431" w:hanging="352"/>
      </w:pPr>
      <w:r w:rsidRPr="00C635B1">
        <w:t>The relative safety of performing the test.</w:t>
      </w:r>
    </w:p>
    <w:p w14:paraId="370ACF69" w14:textId="77777777" w:rsidR="00DE312C" w:rsidRPr="00452DF6" w:rsidRDefault="004818B6" w:rsidP="00AA13B3">
      <w:pPr>
        <w:spacing w:after="240" w:line="312" w:lineRule="auto"/>
        <w:ind w:left="11"/>
        <w:rPr>
          <w:rFonts w:cs="Times New Roman"/>
          <w:color w:val="000000"/>
          <w:szCs w:val="24"/>
          <w:lang w:eastAsia="en-US"/>
        </w:rPr>
      </w:pPr>
      <w:r w:rsidRPr="00452DF6">
        <w:rPr>
          <w:rFonts w:cs="Times New Roman"/>
          <w:color w:val="000000"/>
          <w:szCs w:val="24"/>
          <w:lang w:eastAsia="en-US"/>
        </w:rPr>
        <w:t>If no</w:t>
      </w:r>
      <w:r w:rsidR="00BE2501">
        <w:rPr>
          <w:rFonts w:cs="Times New Roman"/>
          <w:color w:val="000000"/>
          <w:szCs w:val="24"/>
          <w:lang w:eastAsia="en-US"/>
        </w:rPr>
        <w:t xml:space="preserve"> direct evidence is available</w:t>
      </w:r>
      <w:r w:rsidR="00AD4385" w:rsidRPr="00452DF6">
        <w:rPr>
          <w:rFonts w:cs="Times New Roman"/>
          <w:color w:val="000000"/>
          <w:szCs w:val="24"/>
          <w:lang w:eastAsia="en-US"/>
        </w:rPr>
        <w:t>,</w:t>
      </w:r>
      <w:r w:rsidR="00DE312C" w:rsidRPr="00452DF6">
        <w:rPr>
          <w:rFonts w:cs="Times New Roman"/>
          <w:color w:val="000000"/>
          <w:szCs w:val="24"/>
          <w:lang w:eastAsia="en-US"/>
        </w:rPr>
        <w:t xml:space="preserve"> </w:t>
      </w:r>
      <w:r w:rsidR="00AD4385" w:rsidRPr="00452DF6">
        <w:rPr>
          <w:rFonts w:cs="Times New Roman"/>
          <w:color w:val="000000"/>
          <w:szCs w:val="24"/>
          <w:lang w:eastAsia="en-US"/>
        </w:rPr>
        <w:t xml:space="preserve">the assessment </w:t>
      </w:r>
      <w:r w:rsidR="00DE312C" w:rsidRPr="00452DF6">
        <w:rPr>
          <w:rFonts w:cs="Times New Roman"/>
          <w:color w:val="000000"/>
          <w:szCs w:val="24"/>
          <w:lang w:eastAsia="en-US"/>
        </w:rPr>
        <w:t xml:space="preserve">will require a linked </w:t>
      </w:r>
      <w:r w:rsidR="00AD4385" w:rsidRPr="00452DF6">
        <w:rPr>
          <w:rFonts w:cs="Times New Roman"/>
          <w:color w:val="000000"/>
          <w:szCs w:val="24"/>
          <w:lang w:eastAsia="en-US"/>
        </w:rPr>
        <w:t xml:space="preserve">evidence </w:t>
      </w:r>
      <w:r w:rsidR="00DE312C" w:rsidRPr="00452DF6">
        <w:rPr>
          <w:rFonts w:cs="Times New Roman"/>
          <w:color w:val="000000"/>
          <w:szCs w:val="24"/>
          <w:lang w:eastAsia="en-US"/>
        </w:rPr>
        <w:t>approach</w:t>
      </w:r>
      <w:r w:rsidR="00AD4385" w:rsidRPr="00452DF6">
        <w:rPr>
          <w:rFonts w:cs="Times New Roman"/>
          <w:color w:val="000000"/>
          <w:szCs w:val="24"/>
          <w:lang w:eastAsia="en-US"/>
        </w:rPr>
        <w:t>.</w:t>
      </w:r>
    </w:p>
    <w:bookmarkEnd w:id="50"/>
    <w:bookmarkEnd w:id="51"/>
    <w:p w14:paraId="34C3BE45" w14:textId="77777777" w:rsidR="008F33AC" w:rsidRPr="00452DF6" w:rsidRDefault="008F33AC" w:rsidP="009C38BF">
      <w:pPr>
        <w:pStyle w:val="Heading4"/>
      </w:pPr>
      <w:r w:rsidRPr="00452DF6">
        <w:t>Linked evidence:</w:t>
      </w:r>
    </w:p>
    <w:p w14:paraId="54672FB6" w14:textId="7E47EA6C" w:rsidR="008F33AC" w:rsidRPr="00452DF6" w:rsidRDefault="008F33AC" w:rsidP="00AA13B3">
      <w:pPr>
        <w:spacing w:after="240" w:line="312" w:lineRule="auto"/>
      </w:pPr>
      <w:r w:rsidRPr="00452DF6">
        <w:t xml:space="preserve">A linked evidence approach requires evidence to determine the investigative medical service’s impact on clinical management and health outcomes. In other words, different types of evidence from different sources </w:t>
      </w:r>
      <w:r w:rsidR="00BE2501">
        <w:t>are</w:t>
      </w:r>
      <w:r w:rsidRPr="00452DF6">
        <w:t xml:space="preserve"> linked in a chain of argument to estimate </w:t>
      </w:r>
      <w:r w:rsidR="00D72CD8">
        <w:t>the clinical</w:t>
      </w:r>
      <w:r w:rsidR="00D72CD8" w:rsidRPr="00452DF6">
        <w:t xml:space="preserve"> </w:t>
      </w:r>
      <w:r w:rsidRPr="00452DF6">
        <w:t>impact</w:t>
      </w:r>
      <w:r w:rsidR="00D72CD8">
        <w:t xml:space="preserve"> of the test</w:t>
      </w:r>
      <w:r w:rsidR="00BE2501">
        <w:t>.</w:t>
      </w:r>
    </w:p>
    <w:p w14:paraId="159E405F" w14:textId="1BCB1FF4" w:rsidR="008F33AC" w:rsidRPr="00452DF6" w:rsidRDefault="008F33AC" w:rsidP="00AA13B3">
      <w:pPr>
        <w:spacing w:after="240" w:line="312" w:lineRule="auto"/>
      </w:pPr>
      <w:r w:rsidRPr="00452DF6">
        <w:lastRenderedPageBreak/>
        <w:t xml:space="preserve">This approach is only meaningful when the evidence for </w:t>
      </w:r>
      <w:r w:rsidR="00D72CD8">
        <w:t xml:space="preserve">the </w:t>
      </w:r>
      <w:r w:rsidRPr="00452DF6">
        <w:t xml:space="preserve">accuracy </w:t>
      </w:r>
      <w:r w:rsidR="00D72CD8">
        <w:t>of the</w:t>
      </w:r>
      <w:r w:rsidRPr="00452DF6">
        <w:t xml:space="preserve"> investigative medical service under consideration and the evidence supporting </w:t>
      </w:r>
      <w:r w:rsidR="00D72CD8">
        <w:t>treatment considerations</w:t>
      </w:r>
      <w:r w:rsidRPr="00452DF6">
        <w:t xml:space="preserve"> have been generated in </w:t>
      </w:r>
      <w:r w:rsidR="009C38BF">
        <w:t>relevant</w:t>
      </w:r>
      <w:r w:rsidRPr="00452DF6">
        <w:t xml:space="preserve"> patient populations</w:t>
      </w:r>
      <w:r w:rsidR="009C38BF">
        <w:t>, as defined by the PICO criteria</w:t>
      </w:r>
      <w:r w:rsidRPr="00452DF6">
        <w:t>.</w:t>
      </w:r>
    </w:p>
    <w:p w14:paraId="73183B86" w14:textId="77777777" w:rsidR="008F33AC" w:rsidRPr="00452DF6" w:rsidRDefault="008F33AC" w:rsidP="00C635B1">
      <w:pPr>
        <w:spacing w:after="120" w:line="312" w:lineRule="auto"/>
      </w:pPr>
      <w:r w:rsidRPr="00452DF6">
        <w:t>The evidence required includes:</w:t>
      </w:r>
    </w:p>
    <w:p w14:paraId="03B07AAB" w14:textId="77777777" w:rsidR="004818B6" w:rsidRPr="00452DF6" w:rsidRDefault="004818B6" w:rsidP="0026448E">
      <w:pPr>
        <w:numPr>
          <w:ilvl w:val="0"/>
          <w:numId w:val="8"/>
        </w:numPr>
        <w:spacing w:after="240" w:line="312" w:lineRule="auto"/>
        <w:ind w:left="431" w:hanging="352"/>
        <w:contextualSpacing/>
      </w:pPr>
      <w:r w:rsidRPr="00452DF6">
        <w:t>Prevalence of the biomarker in the population to be tested</w:t>
      </w:r>
    </w:p>
    <w:p w14:paraId="0A6DE163" w14:textId="3A05CF2E" w:rsidR="006345C9" w:rsidRDefault="006345C9" w:rsidP="006345C9">
      <w:pPr>
        <w:numPr>
          <w:ilvl w:val="0"/>
          <w:numId w:val="8"/>
        </w:numPr>
        <w:spacing w:after="240" w:line="312" w:lineRule="auto"/>
        <w:ind w:left="431" w:hanging="352"/>
        <w:contextualSpacing/>
      </w:pPr>
      <w:r>
        <w:t xml:space="preserve">Stability/inducibility of the biomarker in the tumour type during the natural history </w:t>
      </w:r>
      <w:r w:rsidR="00250BBA">
        <w:t xml:space="preserve">and treatment </w:t>
      </w:r>
      <w:r>
        <w:t>of the disease</w:t>
      </w:r>
    </w:p>
    <w:p w14:paraId="609312C4" w14:textId="7AC5D238" w:rsidR="002D0C38" w:rsidRPr="00452DF6" w:rsidRDefault="002D0C38" w:rsidP="00D72CD8">
      <w:pPr>
        <w:numPr>
          <w:ilvl w:val="0"/>
          <w:numId w:val="8"/>
        </w:numPr>
        <w:spacing w:after="240" w:line="312" w:lineRule="auto"/>
        <w:ind w:left="431" w:hanging="352"/>
        <w:contextualSpacing/>
      </w:pPr>
      <w:r w:rsidRPr="00452DF6">
        <w:t>Prognostic evidence</w:t>
      </w:r>
      <w:r w:rsidR="00D72CD8">
        <w:t xml:space="preserve"> showing whether the biomarker is a prognostic indicator or not, through the</w:t>
      </w:r>
      <w:r w:rsidR="008E7C06">
        <w:t xml:space="preserve"> </w:t>
      </w:r>
      <w:r w:rsidR="00D72CD8">
        <w:t>c</w:t>
      </w:r>
      <w:r w:rsidRPr="00452DF6">
        <w:t>omparison of outcomes in patients receiving usual care conditioned on the presence or absenc</w:t>
      </w:r>
      <w:r w:rsidR="008F33AC" w:rsidRPr="00452DF6">
        <w:t xml:space="preserve">e of </w:t>
      </w:r>
      <w:r w:rsidR="00D72CD8">
        <w:t xml:space="preserve">the </w:t>
      </w:r>
      <w:r w:rsidR="006F5EBD">
        <w:t>biomarker</w:t>
      </w:r>
    </w:p>
    <w:p w14:paraId="16786DD2" w14:textId="418C908C" w:rsidR="008F33AC" w:rsidRPr="00452DF6" w:rsidRDefault="002D0C38" w:rsidP="0026448E">
      <w:pPr>
        <w:numPr>
          <w:ilvl w:val="0"/>
          <w:numId w:val="8"/>
        </w:numPr>
        <w:spacing w:after="240" w:line="312" w:lineRule="auto"/>
        <w:ind w:left="431" w:hanging="352"/>
        <w:contextualSpacing/>
      </w:pPr>
      <w:r w:rsidRPr="00452DF6">
        <w:t>Comparative analytical performance</w:t>
      </w:r>
      <w:r w:rsidR="00D72CD8">
        <w:t xml:space="preserve"> of the proposed test, relative to the reference standard or evidentiary standard test</w:t>
      </w:r>
    </w:p>
    <w:p w14:paraId="122F92CF" w14:textId="48AA04F1" w:rsidR="00D72CD8" w:rsidRPr="00452DF6" w:rsidRDefault="002D0C38" w:rsidP="00D72CD8">
      <w:pPr>
        <w:numPr>
          <w:ilvl w:val="0"/>
          <w:numId w:val="8"/>
        </w:numPr>
        <w:spacing w:after="240" w:line="312" w:lineRule="auto"/>
        <w:ind w:left="431" w:hanging="352"/>
        <w:contextualSpacing/>
      </w:pPr>
      <w:r w:rsidRPr="00452DF6">
        <w:t xml:space="preserve">Evidence to </w:t>
      </w:r>
      <w:r w:rsidR="00D72CD8">
        <w:t>indicate</w:t>
      </w:r>
      <w:r w:rsidRPr="00452DF6">
        <w:t xml:space="preserve"> that biomarker determination guides decisions about treatment with the </w:t>
      </w:r>
      <w:r w:rsidR="00064683">
        <w:t>medicine</w:t>
      </w:r>
      <w:r w:rsidR="00D72CD8">
        <w:t xml:space="preserve"> showing</w:t>
      </w:r>
      <w:r w:rsidR="00D72CD8" w:rsidRPr="00D72CD8">
        <w:t xml:space="preserve"> </w:t>
      </w:r>
      <w:r w:rsidR="00D72CD8">
        <w:t>clinical utility or c</w:t>
      </w:r>
      <w:r w:rsidR="00D72CD8" w:rsidRPr="00452DF6">
        <w:t>hange</w:t>
      </w:r>
      <w:r w:rsidR="00D72CD8">
        <w:t>s</w:t>
      </w:r>
      <w:r w:rsidR="00D72CD8" w:rsidRPr="00452DF6">
        <w:t xml:space="preserve"> in patient management</w:t>
      </w:r>
      <w:r w:rsidR="00D72CD8">
        <w:t xml:space="preserve"> (therapeutic efficacy)</w:t>
      </w:r>
    </w:p>
    <w:p w14:paraId="3243FC80" w14:textId="457E38AA" w:rsidR="008F33AC" w:rsidRPr="00452DF6" w:rsidRDefault="0093254B" w:rsidP="0026448E">
      <w:pPr>
        <w:numPr>
          <w:ilvl w:val="0"/>
          <w:numId w:val="8"/>
        </w:numPr>
        <w:spacing w:after="240" w:line="312" w:lineRule="auto"/>
        <w:ind w:left="431" w:hanging="352"/>
        <w:contextualSpacing/>
      </w:pPr>
      <w:r>
        <w:t>Therapeutic effectiveness</w:t>
      </w:r>
      <w:r w:rsidR="004818B6" w:rsidRPr="00452DF6">
        <w:t>,</w:t>
      </w:r>
      <w:r>
        <w:t xml:space="preserve"> which</w:t>
      </w:r>
      <w:r w:rsidR="004818B6" w:rsidRPr="00452DF6">
        <w:t xml:space="preserve"> may include:</w:t>
      </w:r>
    </w:p>
    <w:p w14:paraId="753A8B6B" w14:textId="4A5A4F78" w:rsidR="002D0C38" w:rsidRPr="00452DF6" w:rsidRDefault="002D0C38" w:rsidP="0026448E">
      <w:pPr>
        <w:numPr>
          <w:ilvl w:val="1"/>
          <w:numId w:val="8"/>
        </w:numPr>
        <w:spacing w:after="240" w:line="312" w:lineRule="auto"/>
        <w:ind w:left="851"/>
        <w:contextualSpacing/>
      </w:pPr>
      <w:r w:rsidRPr="00452DF6">
        <w:t xml:space="preserve">Single randomised controlled trial of </w:t>
      </w:r>
      <w:r w:rsidR="00064683">
        <w:t>medicine</w:t>
      </w:r>
      <w:r w:rsidRPr="00452DF6">
        <w:t xml:space="preserve"> vs usual care in patients that</w:t>
      </w:r>
      <w:r w:rsidR="008F33AC" w:rsidRPr="00452DF6">
        <w:t xml:space="preserve"> are test positive in both arms</w:t>
      </w:r>
    </w:p>
    <w:p w14:paraId="62038EAA" w14:textId="132A9360" w:rsidR="00AD4385" w:rsidRPr="00452DF6" w:rsidRDefault="00AD4385" w:rsidP="0026448E">
      <w:pPr>
        <w:numPr>
          <w:ilvl w:val="1"/>
          <w:numId w:val="8"/>
        </w:numPr>
        <w:spacing w:after="240" w:line="312" w:lineRule="auto"/>
        <w:ind w:left="851"/>
        <w:contextualSpacing/>
      </w:pPr>
      <w:r w:rsidRPr="00452DF6">
        <w:t xml:space="preserve">Prospective biomarker stratified randomised controlled trial of </w:t>
      </w:r>
      <w:r w:rsidR="00064683">
        <w:t>medicine</w:t>
      </w:r>
      <w:r w:rsidR="004818B6" w:rsidRPr="00452DF6">
        <w:t xml:space="preserve"> vs usual care in patients </w:t>
      </w:r>
      <w:r w:rsidRPr="00452DF6">
        <w:t>with and without the biomarker</w:t>
      </w:r>
      <w:r w:rsidR="00D72CD8">
        <w:t xml:space="preserve"> (enabling an assessment of treatment effect modification by biomarker status)</w:t>
      </w:r>
    </w:p>
    <w:p w14:paraId="3D850745" w14:textId="580F1337" w:rsidR="00AD4385" w:rsidRPr="00452DF6" w:rsidRDefault="00AD4385" w:rsidP="0026448E">
      <w:pPr>
        <w:numPr>
          <w:ilvl w:val="1"/>
          <w:numId w:val="8"/>
        </w:numPr>
        <w:spacing w:after="240" w:line="312" w:lineRule="auto"/>
        <w:ind w:left="851"/>
        <w:contextualSpacing/>
      </w:pPr>
      <w:r w:rsidRPr="00452DF6">
        <w:t xml:space="preserve">Retrospective biomarker stratified randomised controlled trial of </w:t>
      </w:r>
      <w:r w:rsidR="00064683">
        <w:t>medicine</w:t>
      </w:r>
      <w:r w:rsidR="004818B6" w:rsidRPr="00452DF6">
        <w:t xml:space="preserve"> vs </w:t>
      </w:r>
      <w:r w:rsidRPr="00452DF6">
        <w:t xml:space="preserve">usual care </w:t>
      </w:r>
      <w:r w:rsidR="004818B6" w:rsidRPr="00452DF6">
        <w:t xml:space="preserve">in patients with unknown biomarker status </w:t>
      </w:r>
      <w:r w:rsidRPr="00452DF6">
        <w:t>and then biomarker status determined</w:t>
      </w:r>
      <w:r w:rsidR="00D72CD8">
        <w:t xml:space="preserve"> (enabling an assessment of treatment effect modification by biomarker status)</w:t>
      </w:r>
    </w:p>
    <w:p w14:paraId="3374B10B" w14:textId="66F18991" w:rsidR="00AD4385" w:rsidRPr="00452DF6" w:rsidRDefault="00AD4385" w:rsidP="0026448E">
      <w:pPr>
        <w:numPr>
          <w:ilvl w:val="1"/>
          <w:numId w:val="8"/>
        </w:numPr>
        <w:spacing w:after="240" w:line="312" w:lineRule="auto"/>
        <w:ind w:left="851"/>
        <w:contextualSpacing/>
      </w:pPr>
      <w:r w:rsidRPr="00452DF6">
        <w:t>An indirect comparison across two or more sets of randomised trials involving one or more common reference (indirect compar</w:t>
      </w:r>
      <w:r w:rsidR="006F5EBD">
        <w:t>ison of randomised trials)</w:t>
      </w:r>
    </w:p>
    <w:p w14:paraId="1EB8B7B5" w14:textId="7474C1F3" w:rsidR="00AD4385" w:rsidRPr="00452DF6" w:rsidRDefault="00250BBA" w:rsidP="0026448E">
      <w:pPr>
        <w:numPr>
          <w:ilvl w:val="1"/>
          <w:numId w:val="8"/>
        </w:numPr>
        <w:spacing w:after="240" w:line="312" w:lineRule="auto"/>
        <w:ind w:left="850" w:hanging="357"/>
        <w:contextualSpacing/>
      </w:pPr>
      <w:r w:rsidRPr="00452DF6">
        <w:t xml:space="preserve">A comparison </w:t>
      </w:r>
      <w:r>
        <w:t xml:space="preserve">of </w:t>
      </w:r>
      <w:r w:rsidR="00D72CD8">
        <w:t xml:space="preserve">the results of </w:t>
      </w:r>
      <w:r w:rsidR="00AD4385" w:rsidRPr="00452DF6">
        <w:t>single</w:t>
      </w:r>
      <w:r w:rsidR="00CA4D7D">
        <w:t>-</w:t>
      </w:r>
      <w:r w:rsidR="00AD4385" w:rsidRPr="00452DF6">
        <w:t>arm</w:t>
      </w:r>
      <w:r w:rsidR="00D72CD8">
        <w:t xml:space="preserve"> </w:t>
      </w:r>
      <w:r w:rsidR="00AD4385" w:rsidRPr="00452DF6">
        <w:t>s</w:t>
      </w:r>
      <w:r w:rsidR="00D72CD8">
        <w:t>tudies to a reference case</w:t>
      </w:r>
    </w:p>
    <w:p w14:paraId="05BDAC2F" w14:textId="4E25565C" w:rsidR="00D72CD8" w:rsidRDefault="004818B6" w:rsidP="006345C9">
      <w:pPr>
        <w:numPr>
          <w:ilvl w:val="0"/>
          <w:numId w:val="8"/>
        </w:numPr>
        <w:spacing w:after="240" w:line="312" w:lineRule="auto"/>
        <w:ind w:left="431" w:hanging="352"/>
      </w:pPr>
      <w:r w:rsidRPr="00452DF6">
        <w:t xml:space="preserve">Relative safety of performing the investigative service, both immediate safety issues of directly performing the test and ‘flow on’ safety issues that arise </w:t>
      </w:r>
      <w:r w:rsidR="00250BBA">
        <w:t>from</w:t>
      </w:r>
      <w:r w:rsidRPr="00452DF6">
        <w:t xml:space="preserve"> conducting the investigative service</w:t>
      </w:r>
      <w:r w:rsidR="0093254B">
        <w:t xml:space="preserve"> (false-positives and false-negatives)</w:t>
      </w:r>
      <w:r w:rsidR="006F5EBD">
        <w:t>.</w:t>
      </w:r>
    </w:p>
    <w:p w14:paraId="6C40B9BA" w14:textId="1B03D5F1" w:rsidR="002D0C38" w:rsidRPr="00452DF6" w:rsidRDefault="00794933" w:rsidP="00AA13B3">
      <w:pPr>
        <w:spacing w:after="240" w:line="312" w:lineRule="auto"/>
      </w:pPr>
      <w:r w:rsidRPr="00452DF6">
        <w:t xml:space="preserve">How these matters should be addressed for dMMR </w:t>
      </w:r>
      <w:r w:rsidR="007E3160">
        <w:t xml:space="preserve">IHC testing of patients with </w:t>
      </w:r>
      <w:r w:rsidRPr="00452DF6">
        <w:t>CRC</w:t>
      </w:r>
      <w:r w:rsidR="00DA1289">
        <w:t xml:space="preserve"> or </w:t>
      </w:r>
      <w:r w:rsidR="00525342">
        <w:t>across multiple tumour types</w:t>
      </w:r>
      <w:r w:rsidRPr="00452DF6">
        <w:t xml:space="preserve"> </w:t>
      </w:r>
      <w:r w:rsidRPr="00BE2501">
        <w:t>will be discussed below</w:t>
      </w:r>
      <w:r w:rsidRPr="00452DF6">
        <w:t>.</w:t>
      </w:r>
    </w:p>
    <w:p w14:paraId="0A22129A" w14:textId="77777777" w:rsidR="003131F0" w:rsidRPr="00452DF6" w:rsidRDefault="003131F0" w:rsidP="00AA13B3">
      <w:pPr>
        <w:pStyle w:val="Heading2"/>
        <w:spacing w:line="312" w:lineRule="auto"/>
      </w:pPr>
      <w:bookmarkStart w:id="53" w:name="_Toc29557658"/>
      <w:r w:rsidRPr="00452DF6">
        <w:t>Biological plausibility</w:t>
      </w:r>
      <w:bookmarkEnd w:id="53"/>
    </w:p>
    <w:p w14:paraId="58306580" w14:textId="0C884D36" w:rsidR="00FA5058" w:rsidRPr="00452DF6" w:rsidRDefault="00525342" w:rsidP="00AA13B3">
      <w:pPr>
        <w:spacing w:after="240" w:line="312" w:lineRule="auto"/>
      </w:pPr>
      <w:r>
        <w:t>T</w:t>
      </w:r>
      <w:r w:rsidR="00FA5058" w:rsidRPr="00452DF6">
        <w:t xml:space="preserve">o justify the testing of the biomarker to identify </w:t>
      </w:r>
      <w:r>
        <w:t>biomarker</w:t>
      </w:r>
      <w:r w:rsidRPr="00452DF6">
        <w:t xml:space="preserve"> </w:t>
      </w:r>
      <w:r w:rsidR="00FA5058" w:rsidRPr="00452DF6">
        <w:t>positive or negative patients (depending on biomarker</w:t>
      </w:r>
      <w:r w:rsidR="0093254B">
        <w:t>/test combination</w:t>
      </w:r>
      <w:r w:rsidR="00FA5058" w:rsidRPr="00452DF6">
        <w:t>) who would be eligible for a treatment</w:t>
      </w:r>
      <w:r>
        <w:t>,</w:t>
      </w:r>
      <w:r w:rsidR="003024D6">
        <w:t xml:space="preserve"> </w:t>
      </w:r>
      <w:r>
        <w:t>a</w:t>
      </w:r>
      <w:r w:rsidRPr="00452DF6">
        <w:t xml:space="preserve"> detailed analysis of the biological plausibility </w:t>
      </w:r>
      <w:r>
        <w:t xml:space="preserve">of the relationship between biomarker and treatment is required and </w:t>
      </w:r>
      <w:r w:rsidR="003024D6">
        <w:t xml:space="preserve">should be included in Section A4 </w:t>
      </w:r>
      <w:r w:rsidR="00890C37">
        <w:t>of the assessment</w:t>
      </w:r>
      <w:r w:rsidR="006F5EBD">
        <w:t>.</w:t>
      </w:r>
    </w:p>
    <w:p w14:paraId="53B2CB3F" w14:textId="4985BB57" w:rsidR="00FA5058" w:rsidRPr="00452DF6" w:rsidRDefault="00892859" w:rsidP="00C635B1">
      <w:pPr>
        <w:spacing w:after="120" w:line="312" w:lineRule="auto"/>
      </w:pPr>
      <w:r w:rsidRPr="00452DF6">
        <w:lastRenderedPageBreak/>
        <w:t xml:space="preserve">In </w:t>
      </w:r>
      <w:r w:rsidR="00BE2501">
        <w:t>the</w:t>
      </w:r>
      <w:r w:rsidRPr="00452DF6">
        <w:t xml:space="preserve"> case</w:t>
      </w:r>
      <w:r w:rsidR="00BE2501">
        <w:t xml:space="preserve"> of dMMR </w:t>
      </w:r>
      <w:r w:rsidR="007E3160">
        <w:t xml:space="preserve">IHC </w:t>
      </w:r>
      <w:r w:rsidR="00BE2501">
        <w:t>testing</w:t>
      </w:r>
      <w:r w:rsidRPr="00452DF6">
        <w:t>, th</w:t>
      </w:r>
      <w:r w:rsidR="00525342">
        <w:t>is</w:t>
      </w:r>
      <w:r w:rsidRPr="00452DF6">
        <w:t xml:space="preserve"> analysis would need to explain</w:t>
      </w:r>
      <w:r w:rsidR="00FA5058" w:rsidRPr="00452DF6">
        <w:t xml:space="preserve"> </w:t>
      </w:r>
      <w:r w:rsidR="00AA13B3">
        <w:t>how</w:t>
      </w:r>
      <w:r w:rsidR="00491FDC" w:rsidRPr="00452DF6">
        <w:t xml:space="preserve"> the dMMR mutation </w:t>
      </w:r>
      <w:r w:rsidR="00AA13B3">
        <w:t xml:space="preserve">leads </w:t>
      </w:r>
      <w:r w:rsidR="00491FDC" w:rsidRPr="00452DF6">
        <w:t>to increased susceptibility to immune checkpoint inhibitors. One approach would be to link the following logical steps identified from the literature</w:t>
      </w:r>
      <w:r w:rsidR="00FA5058" w:rsidRPr="00452DF6">
        <w:t>:</w:t>
      </w:r>
    </w:p>
    <w:p w14:paraId="0D2C115F" w14:textId="6F75F314" w:rsidR="00FA5058" w:rsidRPr="00452DF6" w:rsidRDefault="00525342" w:rsidP="0026448E">
      <w:pPr>
        <w:numPr>
          <w:ilvl w:val="0"/>
          <w:numId w:val="8"/>
        </w:numPr>
        <w:spacing w:after="240" w:line="312" w:lineRule="auto"/>
        <w:ind w:left="851" w:hanging="352"/>
        <w:contextualSpacing/>
      </w:pPr>
      <w:r>
        <w:t>Prevalence</w:t>
      </w:r>
      <w:r w:rsidR="00FA5058" w:rsidRPr="00452DF6">
        <w:t xml:space="preserve"> of </w:t>
      </w:r>
      <w:r w:rsidR="00892859" w:rsidRPr="00452DF6">
        <w:t xml:space="preserve">dMMR </w:t>
      </w:r>
      <w:r w:rsidR="00FA5058" w:rsidRPr="00452DF6">
        <w:t>tumours</w:t>
      </w:r>
      <w:r w:rsidR="00BE2501">
        <w:t xml:space="preserve"> </w:t>
      </w:r>
      <w:r w:rsidR="00F77139">
        <w:fldChar w:fldCharType="begin"/>
      </w:r>
      <w:r w:rsidR="00F77139">
        <w:instrText xml:space="preserve"> ADDIN EN.CITE &lt;EndNote&gt;&lt;Cite&gt;&lt;Author&gt;Llosa&lt;/Author&gt;&lt;Year&gt;2015&lt;/Year&gt;&lt;RecNum&gt;10&lt;/RecNum&gt;&lt;DisplayText&gt;(Llosa et al. 2015)&lt;/DisplayText&gt;&lt;record&gt;&lt;rec-number&gt;10&lt;/rec-number&gt;&lt;foreign-keys&gt;&lt;key app="EN" db-id="20rafrsx2d50edew5w15fz0q0dvfzstzed55" timestamp="1509495328"&gt;10&lt;/key&gt;&lt;/foreign-keys&gt;&lt;ref-type name="Journal Article"&gt;17&lt;/ref-type&gt;&lt;contributors&gt;&lt;authors&gt;&lt;author&gt;Llosa, Nicolas J.&lt;/author&gt;&lt;author&gt;Cruise, Michael&lt;/author&gt;&lt;author&gt;Tam, Ada&lt;/author&gt;&lt;author&gt;Wicks, Elizabeth C.&lt;/author&gt;&lt;author&gt;Hechenbleikner, Elizabeth M.&lt;/author&gt;&lt;author&gt;Taube, Janis M.&lt;/author&gt;&lt;author&gt;Blosser, Richard L.&lt;/author&gt;&lt;author&gt;Fan, Hongni&lt;/author&gt;&lt;author&gt;Wang, Hao&lt;/author&gt;&lt;author&gt;Luber, Brandon S.&lt;/author&gt;&lt;author&gt;Zhang, Ming&lt;/author&gt;&lt;author&gt;Papadopoulos, Nickolas&lt;/author&gt;&lt;author&gt;Kinzler, Kenneth W.&lt;/author&gt;&lt;author&gt;Vogelstein, Bert&lt;/author&gt;&lt;author&gt;Sears, Cynthia L.&lt;/author&gt;&lt;author&gt;Anders, Robert A.&lt;/author&gt;&lt;author&gt;Pardoll, Drew M.&lt;/author&gt;&lt;author&gt;Housseau, Franck&lt;/author&gt;&lt;/authors&gt;&lt;/contributors&gt;&lt;titles&gt;&lt;title&gt;The Vigorous Immune Microenvironment of Microsatellite Instable Colon Cancer Is Balanced by Multiple Counter-Inhibitory Checkpoints&lt;/title&gt;&lt;secondary-title&gt;Cancer Discovery&lt;/secondary-title&gt;&lt;/titles&gt;&lt;periodical&gt;&lt;full-title&gt;Cancer Discovery&lt;/full-title&gt;&lt;/periodical&gt;&lt;pages&gt;43-51&lt;/pages&gt;&lt;volume&gt;5&lt;/volume&gt;&lt;number&gt;1&lt;/number&gt;&lt;dates&gt;&lt;year&gt;2015&lt;/year&gt;&lt;pub-dates&gt;&lt;date&gt;January 1, 2015&lt;/date&gt;&lt;/pub-dates&gt;&lt;/dates&gt;&lt;urls&gt;&lt;related-urls&gt;&lt;url&gt;http://cancerdiscovery.aacrjournals.org/content/5/1/43.abstract&lt;/url&gt;&lt;url&gt;http://cancerdiscovery.aacrjournals.org/content/5/1/43.full.pdf&lt;/url&gt;&lt;/related-urls&gt;&lt;/urls&gt;&lt;electronic-resource-num&gt;10.1158/2159-8290.cd-14-0863&lt;/electronic-resource-num&gt;&lt;/record&gt;&lt;/Cite&gt;&lt;/EndNote&gt;</w:instrText>
      </w:r>
      <w:r w:rsidR="00F77139">
        <w:fldChar w:fldCharType="separate"/>
      </w:r>
      <w:r w:rsidR="00F77139">
        <w:rPr>
          <w:noProof/>
        </w:rPr>
        <w:t>(Llosa et al. 2015)</w:t>
      </w:r>
      <w:r w:rsidR="00F77139">
        <w:fldChar w:fldCharType="end"/>
      </w:r>
    </w:p>
    <w:p w14:paraId="6EA3290C" w14:textId="61717997" w:rsidR="003131F0" w:rsidRPr="00452DF6" w:rsidRDefault="00542B28" w:rsidP="0026448E">
      <w:pPr>
        <w:numPr>
          <w:ilvl w:val="0"/>
          <w:numId w:val="8"/>
        </w:numPr>
        <w:spacing w:after="240" w:line="312" w:lineRule="auto"/>
        <w:ind w:left="851" w:hanging="352"/>
        <w:contextualSpacing/>
      </w:pPr>
      <w:r>
        <w:t>I</w:t>
      </w:r>
      <w:r w:rsidR="00892859" w:rsidRPr="00452DF6">
        <w:t>ncreased expression of ‘foreign’ peptides on tumour cells</w:t>
      </w:r>
      <w:r w:rsidR="00970F63">
        <w:t xml:space="preserve"> </w:t>
      </w:r>
      <w:r w:rsidR="00F77139">
        <w:fldChar w:fldCharType="begin"/>
      </w:r>
      <w:r w:rsidR="00F77139">
        <w:instrText xml:space="preserve"> ADDIN EN.CITE &lt;EndNote&gt;&lt;Cite&gt;&lt;Author&gt;Llosa&lt;/Author&gt;&lt;Year&gt;2015&lt;/Year&gt;&lt;RecNum&gt;10&lt;/RecNum&gt;&lt;DisplayText&gt;(Llosa et al. 2015)&lt;/DisplayText&gt;&lt;record&gt;&lt;rec-number&gt;10&lt;/rec-number&gt;&lt;foreign-keys&gt;&lt;key app="EN" db-id="20rafrsx2d50edew5w15fz0q0dvfzstzed55" timestamp="1509495328"&gt;10&lt;/key&gt;&lt;/foreign-keys&gt;&lt;ref-type name="Journal Article"&gt;17&lt;/ref-type&gt;&lt;contributors&gt;&lt;authors&gt;&lt;author&gt;Llosa, Nicolas J.&lt;/author&gt;&lt;author&gt;Cruise, Michael&lt;/author&gt;&lt;author&gt;Tam, Ada&lt;/author&gt;&lt;author&gt;Wicks, Elizabeth C.&lt;/author&gt;&lt;author&gt;Hechenbleikner, Elizabeth M.&lt;/author&gt;&lt;author&gt;Taube, Janis M.&lt;/author&gt;&lt;author&gt;Blosser, Richard L.&lt;/author&gt;&lt;author&gt;Fan, Hongni&lt;/author&gt;&lt;author&gt;Wang, Hao&lt;/author&gt;&lt;author&gt;Luber, Brandon S.&lt;/author&gt;&lt;author&gt;Zhang, Ming&lt;/author&gt;&lt;author&gt;Papadopoulos, Nickolas&lt;/author&gt;&lt;author&gt;Kinzler, Kenneth W.&lt;/author&gt;&lt;author&gt;Vogelstein, Bert&lt;/author&gt;&lt;author&gt;Sears, Cynthia L.&lt;/author&gt;&lt;author&gt;Anders, Robert A.&lt;/author&gt;&lt;author&gt;Pardoll, Drew M.&lt;/author&gt;&lt;author&gt;Housseau, Franck&lt;/author&gt;&lt;/authors&gt;&lt;/contributors&gt;&lt;titles&gt;&lt;title&gt;The Vigorous Immune Microenvironment of Microsatellite Instable Colon Cancer Is Balanced by Multiple Counter-Inhibitory Checkpoints&lt;/title&gt;&lt;secondary-title&gt;Cancer Discovery&lt;/secondary-title&gt;&lt;/titles&gt;&lt;periodical&gt;&lt;full-title&gt;Cancer Discovery&lt;/full-title&gt;&lt;/periodical&gt;&lt;pages&gt;43-51&lt;/pages&gt;&lt;volume&gt;5&lt;/volume&gt;&lt;number&gt;1&lt;/number&gt;&lt;dates&gt;&lt;year&gt;2015&lt;/year&gt;&lt;pub-dates&gt;&lt;date&gt;January 1, 2015&lt;/date&gt;&lt;/pub-dates&gt;&lt;/dates&gt;&lt;urls&gt;&lt;related-urls&gt;&lt;url&gt;http://cancerdiscovery.aacrjournals.org/content/5/1/43.abstract&lt;/url&gt;&lt;url&gt;http://cancerdiscovery.aacrjournals.org/content/5/1/43.full.pdf&lt;/url&gt;&lt;/related-urls&gt;&lt;/urls&gt;&lt;electronic-resource-num&gt;10.1158/2159-8290.cd-14-0863&lt;/electronic-resource-num&gt;&lt;/record&gt;&lt;/Cite&gt;&lt;/EndNote&gt;</w:instrText>
      </w:r>
      <w:r w:rsidR="00F77139">
        <w:fldChar w:fldCharType="separate"/>
      </w:r>
      <w:r w:rsidR="00F77139">
        <w:rPr>
          <w:noProof/>
        </w:rPr>
        <w:t>(Llosa et al. 2015)</w:t>
      </w:r>
      <w:r w:rsidR="00F77139">
        <w:fldChar w:fldCharType="end"/>
      </w:r>
    </w:p>
    <w:p w14:paraId="046AB2C4" w14:textId="3C70AB59" w:rsidR="00FA5058" w:rsidRPr="00452DF6" w:rsidRDefault="00542B28" w:rsidP="0026448E">
      <w:pPr>
        <w:numPr>
          <w:ilvl w:val="0"/>
          <w:numId w:val="8"/>
        </w:numPr>
        <w:spacing w:after="240" w:line="312" w:lineRule="auto"/>
        <w:ind w:left="851" w:hanging="352"/>
        <w:contextualSpacing/>
      </w:pPr>
      <w:r>
        <w:t>I</w:t>
      </w:r>
      <w:r w:rsidR="00FA5058" w:rsidRPr="00452DF6">
        <w:t>ncrease in tumour-infiltrating lymphocytes</w:t>
      </w:r>
      <w:r w:rsidR="00970F63">
        <w:t xml:space="preserve"> </w:t>
      </w:r>
      <w:r w:rsidR="00F77139">
        <w:fldChar w:fldCharType="begin">
          <w:fldData xml:space="preserve">PEVuZE5vdGU+PENpdGU+PEF1dGhvcj5CdWVjaGVyPC9BdXRob3I+PFllYXI+MjAxMzwvWWVhcj48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</w:fldData>
        </w:fldChar>
      </w:r>
      <w:r w:rsidR="00F77139">
        <w:instrText xml:space="preserve"> ADDIN EN.CITE </w:instrText>
      </w:r>
      <w:r w:rsidR="00F77139">
        <w:fldChar w:fldCharType="begin">
          <w:fldData xml:space="preserve">PEVuZE5vdGU+PENpdGU+PEF1dGhvcj5CdWVjaGVyPC9BdXRob3I+PFllYXI+MjAxMzwvWWVhcj48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</w:fldData>
        </w:fldChar>
      </w:r>
      <w:r w:rsidR="00F77139">
        <w:instrText xml:space="preserve"> ADDIN EN.CITE.DATA </w:instrText>
      </w:r>
      <w:r w:rsidR="00F77139">
        <w:fldChar w:fldCharType="end"/>
      </w:r>
      <w:r w:rsidR="00F77139">
        <w:fldChar w:fldCharType="separate"/>
      </w:r>
      <w:r w:rsidR="00F77139">
        <w:rPr>
          <w:noProof/>
        </w:rPr>
        <w:t>(Buecher et al. 2013; Drescher, Sharma &amp; Lynch 2010)</w:t>
      </w:r>
      <w:r w:rsidR="00F77139">
        <w:fldChar w:fldCharType="end"/>
      </w:r>
    </w:p>
    <w:p w14:paraId="0C58B0FE" w14:textId="5A112A8D" w:rsidR="00FA5058" w:rsidRPr="00452DF6" w:rsidRDefault="00542B28" w:rsidP="0026448E">
      <w:pPr>
        <w:numPr>
          <w:ilvl w:val="0"/>
          <w:numId w:val="8"/>
        </w:numPr>
        <w:spacing w:after="240" w:line="312" w:lineRule="auto"/>
        <w:ind w:left="851" w:hanging="352"/>
        <w:contextualSpacing/>
      </w:pPr>
      <w:r>
        <w:t>I</w:t>
      </w:r>
      <w:r w:rsidR="00FA5058" w:rsidRPr="00452DF6">
        <w:t>ncreased expression of PD-L1 on tumour cells to avoid cell death</w:t>
      </w:r>
      <w:r w:rsidR="00970F63">
        <w:t xml:space="preserve"> </w:t>
      </w:r>
      <w:r w:rsidR="00F77139">
        <w:fldChar w:fldCharType="begin"/>
      </w:r>
      <w:r w:rsidR="00F77139">
        <w:instrText xml:space="preserve"> ADDIN EN.CITE &lt;EndNote&gt;&lt;Cite&gt;&lt;Author&gt;Rosenbaum&lt;/Author&gt;&lt;Year&gt;2016&lt;/Year&gt;&lt;RecNum&gt;13&lt;/RecNum&gt;&lt;DisplayText&gt;(Rosenbaum et al. 2016)&lt;/DisplayText&gt;&lt;record&gt;&lt;rec-number&gt;13&lt;/rec-number&gt;&lt;foreign-keys&gt;&lt;key app="EN" db-id="20rafrsx2d50edew5w15fz0q0dvfzstzed55" timestamp="1509495492"&gt;13&lt;/key&gt;&lt;/foreign-keys&gt;&lt;ref-type name="Journal Article"&gt;17&lt;/ref-type&gt;&lt;contributors&gt;&lt;authors&gt;&lt;author&gt;Rosenbaum, M. W.&lt;/author&gt;&lt;author&gt;Bledsoe, J. R.&lt;/author&gt;&lt;author&gt;Morales-Oyarvide, V.&lt;/author&gt;&lt;author&gt;Huynh, T. G.&lt;/author&gt;&lt;author&gt;Mino-Kenudson, M.&lt;/author&gt;&lt;/authors&gt;&lt;/contributors&gt;&lt;auth-address&gt;Department of Pathology, Massachusetts General Hospital, Boston, MA, USA.&amp;#xD;Department of Epidemiology and Biostatistics, Harvard T.H. Chan School of Public Health, Boston, MA, USA.&amp;#xD;Department of Pathology, Harvard Medical School, Boston, MA, USA.&lt;/auth-address&gt;&lt;titles&gt;&lt;title&gt;PD-L1 expression in colorectal cancer is associated with microsatellite instability, BRAF mutation, medullary morphology and cytotoxic tumor-infiltrating lymphocytes&lt;/title&gt;&lt;secondary-title&gt;Mod Pathol&lt;/secondary-title&gt;&lt;/titles&gt;&lt;periodical&gt;&lt;full-title&gt;Mod Pathol&lt;/full-title&gt;&lt;/periodical&gt;&lt;edition&gt;2016/05/21&lt;/edition&gt;&lt;dates&gt;&lt;year&gt;2016&lt;/year&gt;&lt;pub-dates&gt;&lt;date&gt;May 20&lt;/date&gt;&lt;/pub-dates&gt;&lt;/dates&gt;&lt;isbn&gt;1530-0285 (Electronic)&amp;#xD;0893-3952 (Linking)&lt;/isbn&gt;&lt;accession-num&gt;27198569&lt;/accession-num&gt;&lt;urls&gt;&lt;related-urls&gt;&lt;url&gt;http://www.nature.com/modpathol/journal/vaop/ncurrent/pdf/modpathol201695a.pdf&lt;/url&gt;&lt;/related-urls&gt;&lt;/urls&gt;&lt;electronic-resource-num&gt;10.1038/modpathol.2016.95&lt;/electronic-resource-num&gt;&lt;remote-database-provider&gt;NLM&lt;/remote-database-provider&gt;&lt;language&gt;Eng&lt;/language&gt;&lt;/record&gt;&lt;/Cite&gt;&lt;/EndNote&gt;</w:instrText>
      </w:r>
      <w:r w:rsidR="00F77139">
        <w:fldChar w:fldCharType="separate"/>
      </w:r>
      <w:r w:rsidR="00F77139">
        <w:rPr>
          <w:noProof/>
        </w:rPr>
        <w:t>(Rosenbaum et al. 2016)</w:t>
      </w:r>
      <w:r w:rsidR="00F77139">
        <w:fldChar w:fldCharType="end"/>
      </w:r>
    </w:p>
    <w:p w14:paraId="434679A2" w14:textId="2D701463" w:rsidR="00542B28" w:rsidRDefault="00542B28" w:rsidP="00542B28">
      <w:pPr>
        <w:numPr>
          <w:ilvl w:val="0"/>
          <w:numId w:val="8"/>
        </w:numPr>
        <w:spacing w:after="120" w:line="312" w:lineRule="auto"/>
        <w:ind w:left="851" w:hanging="346"/>
        <w:contextualSpacing/>
      </w:pPr>
      <w:r w:rsidRPr="00452DF6">
        <w:t>Susceptibility</w:t>
      </w:r>
      <w:r w:rsidR="00FA5058" w:rsidRPr="00452DF6">
        <w:t xml:space="preserve"> to immune checkpoint inhibitors</w:t>
      </w:r>
      <w:r w:rsidRPr="00542B28">
        <w:t xml:space="preserve"> </w:t>
      </w:r>
      <w:r w:rsidR="00F77139">
        <w:fldChar w:fldCharType="begin">
          <w:fldData xml:space="preserve">PEVuZE5vdGU+PENpdGU+PEF1dGhvcj5MZTwvQXV0aG9yPjxZZWFyPjIwMTU8L1llYXI+PFJlY051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</w:fldData>
        </w:fldChar>
      </w:r>
      <w:r w:rsidR="00F77139">
        <w:instrText xml:space="preserve"> ADDIN EN.CITE </w:instrText>
      </w:r>
      <w:r w:rsidR="00F77139">
        <w:fldChar w:fldCharType="begin">
          <w:fldData xml:space="preserve">PEVuZE5vdGU+PENpdGU+PEF1dGhvcj5MZTwvQXV0aG9yPjxZZWFyPjIwMTU8L1llYXI+PFJlY051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</w:fldData>
        </w:fldChar>
      </w:r>
      <w:r w:rsidR="00F77139">
        <w:instrText xml:space="preserve"> ADDIN EN.CITE.DATA </w:instrText>
      </w:r>
      <w:r w:rsidR="00F77139">
        <w:fldChar w:fldCharType="end"/>
      </w:r>
      <w:r w:rsidR="00F77139">
        <w:fldChar w:fldCharType="separate"/>
      </w:r>
      <w:r w:rsidR="00F77139">
        <w:rPr>
          <w:noProof/>
        </w:rPr>
        <w:t>(Le et al. 2015)</w:t>
      </w:r>
      <w:r w:rsidR="00F77139">
        <w:fldChar w:fldCharType="end"/>
      </w:r>
      <w:r>
        <w:t xml:space="preserve">. In the case of pembrolizumab, </w:t>
      </w:r>
      <w:r w:rsidRPr="00542B28">
        <w:t>the antibody binds to an epi</w:t>
      </w:r>
      <w:r>
        <w:t xml:space="preserve">tope on the PD-1 molecule, and </w:t>
      </w:r>
      <w:r w:rsidRPr="00542B28">
        <w:t>inhibits binding of PD-</w:t>
      </w:r>
      <w:r w:rsidRPr="00452DF6">
        <w:t xml:space="preserve"> </w:t>
      </w:r>
      <w:r w:rsidRPr="00542B28">
        <w:t>L1</w:t>
      </w:r>
    </w:p>
    <w:p w14:paraId="418AC50F" w14:textId="1C3742B9" w:rsidR="00FA5058" w:rsidRPr="00452DF6" w:rsidRDefault="00542B28" w:rsidP="00542B28">
      <w:pPr>
        <w:numPr>
          <w:ilvl w:val="0"/>
          <w:numId w:val="8"/>
        </w:numPr>
        <w:spacing w:after="120" w:line="312" w:lineRule="auto"/>
        <w:ind w:left="851" w:hanging="347"/>
      </w:pPr>
      <w:r>
        <w:t xml:space="preserve">Inhibition of PD-1/PD-L1 binding results in the </w:t>
      </w:r>
      <w:r w:rsidRPr="00452DF6">
        <w:t>tumour-infiltrating lymphocytes</w:t>
      </w:r>
      <w:r>
        <w:t xml:space="preserve"> being able to kill the ‘foreign’ tumour cell</w:t>
      </w:r>
      <w:r w:rsidR="008E7C06">
        <w:t xml:space="preserve"> </w:t>
      </w:r>
      <w:r w:rsidR="00F77139">
        <w:fldChar w:fldCharType="begin"/>
      </w:r>
      <w:r w:rsidR="00F77139">
        <w:instrText xml:space="preserve"> ADDIN EN.CITE &lt;EndNote&gt;&lt;Cite&gt;&lt;Author&gt;Dudley&lt;/Author&gt;&lt;Year&gt;2016&lt;/Year&gt;&lt;RecNum&gt;18&lt;/RecNum&gt;&lt;DisplayText&gt;(Dudley et al. 2016)&lt;/DisplayText&gt;&lt;record&gt;&lt;rec-number&gt;18&lt;/rec-number&gt;&lt;foreign-keys&gt;&lt;key app="EN" db-id="20rafrsx2d50edew5w15fz0q0dvfzstzed55" timestamp="1511742822"&gt;18&lt;/key&gt;&lt;/foreign-keys&gt;&lt;ref-type name="Journal Article"&gt;17&lt;/ref-type&gt;&lt;contributors&gt;&lt;authors&gt;&lt;author&gt;Dudley, J. C.&lt;/author&gt;&lt;author&gt;Lin, M. T.&lt;/author&gt;&lt;author&gt;Le, D. T.&lt;/author&gt;&lt;author&gt;Eshleman, J. R.&lt;/author&gt;&lt;/authors&gt;&lt;/contributors&gt;&lt;auth-address&gt;Department of Pathology, Massachusetts General Hospital, Boston, Massachusetts.&amp;#xD;Department of Pathology, Johns Hopkins University School of Medicine, Baltimore, Maryland.&amp;#xD;Department of Oncology, Johns Hopkins University School of Medicine, Baltimore, Maryland.&amp;#xD;Department of Pathology, Johns Hopkins University School of Medicine, Baltimore, Maryland. Department of Oncology, Johns Hopkins University School of Medicine, Baltimore, Maryland. jeshlem@jhmi.edu.&lt;/auth-address&gt;&lt;titles&gt;&lt;title&gt;Microsatellite Instability as a Biomarker for PD-1 Blockade&lt;/title&gt;&lt;secondary-title&gt;Clin Cancer Res&lt;/secondary-title&gt;&lt;/titles&gt;&lt;periodical&gt;&lt;full-title&gt;Clin Cancer Res&lt;/full-title&gt;&lt;/periodical&gt;&lt;pages&gt;813-20&lt;/pages&gt;&lt;volume&gt;22&lt;/volume&gt;&lt;number&gt;4&lt;/number&gt;&lt;edition&gt;2016/02/18&lt;/edition&gt;&lt;dates&gt;&lt;year&gt;2016&lt;/year&gt;&lt;pub-dates&gt;&lt;date&gt;Feb 15&lt;/date&gt;&lt;/pub-dates&gt;&lt;/dates&gt;&lt;isbn&gt;1078-0432 (Print)&amp;#xD;1078-0432 (Linking)&lt;/isbn&gt;&lt;accession-num&gt;26880610&lt;/accession-num&gt;&lt;urls&gt;&lt;related-urls&gt;&lt;url&gt;http://clincancerres.aacrjournals.org/content/clincanres/22/4/813.full.pdf&lt;/url&gt;&lt;/related-urls&gt;&lt;/urls&gt;&lt;electronic-resource-num&gt;10.1158/1078-0432.ccr-15-1678&lt;/electronic-resource-num&gt;&lt;remote-database-provider&gt;NLM&lt;/remote-database-provider&gt;&lt;language&gt;eng&lt;/language&gt;&lt;/record&gt;&lt;/Cite&gt;&lt;/EndNote&gt;</w:instrText>
      </w:r>
      <w:r w:rsidR="00F77139">
        <w:fldChar w:fldCharType="separate"/>
      </w:r>
      <w:r w:rsidR="00F77139">
        <w:rPr>
          <w:noProof/>
        </w:rPr>
        <w:t>(Dudley et al. 2016)</w:t>
      </w:r>
      <w:r w:rsidR="00F77139">
        <w:fldChar w:fldCharType="end"/>
      </w:r>
      <w:r>
        <w:t>.</w:t>
      </w:r>
    </w:p>
    <w:p w14:paraId="03B6A08D" w14:textId="0D9D1022" w:rsidR="003131F0" w:rsidRDefault="003131F0" w:rsidP="00AA13B3">
      <w:pPr>
        <w:spacing w:after="240" w:line="312" w:lineRule="auto"/>
      </w:pPr>
      <w:r w:rsidRPr="00452DF6">
        <w:t>For pan-tumour applications</w:t>
      </w:r>
      <w:r w:rsidR="00491FDC" w:rsidRPr="00452DF6">
        <w:t xml:space="preserve">, this </w:t>
      </w:r>
      <w:r w:rsidR="00525342">
        <w:t xml:space="preserve">biological plausibility </w:t>
      </w:r>
      <w:r w:rsidR="00491FDC" w:rsidRPr="00452DF6">
        <w:t xml:space="preserve">analysis would need to be expanded to provide a rationale as to why </w:t>
      </w:r>
      <w:r w:rsidR="007347C1">
        <w:t xml:space="preserve">a </w:t>
      </w:r>
      <w:r w:rsidR="00C164FB">
        <w:t xml:space="preserve">therapeutic </w:t>
      </w:r>
      <w:r w:rsidR="00491FDC" w:rsidRPr="00452DF6">
        <w:t xml:space="preserve">response to immune checkpoint inhibitors could be </w:t>
      </w:r>
      <w:r w:rsidR="009648B5" w:rsidRPr="00452DF6">
        <w:t>expected</w:t>
      </w:r>
      <w:r w:rsidR="009648B5" w:rsidRPr="009648B5">
        <w:t xml:space="preserve"> across diverse sites or organs</w:t>
      </w:r>
      <w:r w:rsidR="00491FDC" w:rsidRPr="00452DF6">
        <w:t>.</w:t>
      </w:r>
      <w:r w:rsidR="00525342">
        <w:t xml:space="preserve"> </w:t>
      </w:r>
      <w:r w:rsidR="00525342" w:rsidRPr="00237849">
        <w:rPr>
          <w:b/>
        </w:rPr>
        <w:t>(Recommendation 1)</w:t>
      </w:r>
    </w:p>
    <w:p w14:paraId="3BC72F66" w14:textId="09705867" w:rsidR="00D87770" w:rsidRDefault="003B5755" w:rsidP="003B5755">
      <w:pPr>
        <w:spacing w:after="240" w:line="312" w:lineRule="auto"/>
      </w:pPr>
      <w:r>
        <w:t>Current recommendations for dMMR</w:t>
      </w:r>
      <w:r w:rsidR="00690004">
        <w:t xml:space="preserve"> IHC</w:t>
      </w:r>
      <w:r>
        <w:t xml:space="preserve"> testing in CRC patients are </w:t>
      </w:r>
      <w:r w:rsidR="00D87770">
        <w:t xml:space="preserve">partly </w:t>
      </w:r>
      <w:r>
        <w:t xml:space="preserve">driven by the relatively high incidence of Lynch syndrome patients presenting with the disease, the need </w:t>
      </w:r>
      <w:r w:rsidR="00C3650A" w:rsidRPr="00C3650A">
        <w:t xml:space="preserve">for surveillance for </w:t>
      </w:r>
      <w:r w:rsidR="00C3650A">
        <w:t xml:space="preserve">the emergence of </w:t>
      </w:r>
      <w:r w:rsidR="00C3650A" w:rsidRPr="00C3650A">
        <w:t xml:space="preserve">other </w:t>
      </w:r>
      <w:r w:rsidR="00C3650A">
        <w:t>Lynch</w:t>
      </w:r>
      <w:r w:rsidR="001B49F1">
        <w:t xml:space="preserve"> syndrome</w:t>
      </w:r>
      <w:r w:rsidR="00C3650A">
        <w:t xml:space="preserve">-associated </w:t>
      </w:r>
      <w:r w:rsidR="00C3650A" w:rsidRPr="00C3650A">
        <w:t>tumour</w:t>
      </w:r>
      <w:r w:rsidR="00C3650A">
        <w:t>s</w:t>
      </w:r>
      <w:r w:rsidR="00C3650A" w:rsidRPr="00C3650A">
        <w:t xml:space="preserve"> and</w:t>
      </w:r>
      <w:r>
        <w:t xml:space="preserve"> </w:t>
      </w:r>
      <w:r w:rsidR="00C3650A">
        <w:t xml:space="preserve">to </w:t>
      </w:r>
      <w:r>
        <w:t xml:space="preserve">identify family members at risk. Lynch syndrome is caused by a </w:t>
      </w:r>
      <w:r w:rsidRPr="00353108">
        <w:t>germline</w:t>
      </w:r>
      <w:r>
        <w:t xml:space="preserve"> mutation in one of the </w:t>
      </w:r>
      <w:r w:rsidRPr="00C3539A">
        <w:rPr>
          <w:i/>
        </w:rPr>
        <w:t>MMR</w:t>
      </w:r>
      <w:r>
        <w:t xml:space="preserve"> genes</w:t>
      </w:r>
      <w:r w:rsidR="007347C1">
        <w:t xml:space="preserve"> or </w:t>
      </w:r>
      <w:r w:rsidR="009648B5">
        <w:t xml:space="preserve">the </w:t>
      </w:r>
      <w:r w:rsidR="007347C1" w:rsidRPr="007347C1">
        <w:rPr>
          <w:i/>
        </w:rPr>
        <w:t>EPCAM</w:t>
      </w:r>
      <w:r w:rsidR="009648B5">
        <w:rPr>
          <w:i/>
        </w:rPr>
        <w:t xml:space="preserve"> </w:t>
      </w:r>
      <w:r w:rsidR="009648B5" w:rsidRPr="009648B5">
        <w:t>gene</w:t>
      </w:r>
      <w:r>
        <w:t xml:space="preserve">. The </w:t>
      </w:r>
      <w:r w:rsidR="007347C1">
        <w:t xml:space="preserve">cancer risks </w:t>
      </w:r>
      <w:r w:rsidR="009E67CD">
        <w:t xml:space="preserve">associated </w:t>
      </w:r>
      <w:r w:rsidR="007347C1">
        <w:t xml:space="preserve">with </w:t>
      </w:r>
      <w:r>
        <w:t xml:space="preserve">Lynch Syndrome </w:t>
      </w:r>
      <w:r w:rsidR="009E67CD">
        <w:t>have been accurately determined</w:t>
      </w:r>
      <w:r w:rsidR="00953D30">
        <w:t xml:space="preserve"> </w:t>
      </w:r>
      <w:r w:rsidR="00C164FB">
        <w:t xml:space="preserve">for CRC and </w:t>
      </w:r>
      <w:r w:rsidR="00C164FB" w:rsidRPr="007B1F38">
        <w:t>endometrial cancer</w:t>
      </w:r>
      <w:r w:rsidR="009E67CD" w:rsidRPr="007B1F38">
        <w:t>, due to their relatively high frequency among those with predisposing mutations</w:t>
      </w:r>
      <w:r w:rsidR="00953D30" w:rsidRPr="007B1F38">
        <w:t>. However,</w:t>
      </w:r>
      <w:r w:rsidR="00953D30">
        <w:t xml:space="preserve"> </w:t>
      </w:r>
      <w:r w:rsidR="00F26E3F">
        <w:t xml:space="preserve">the range of less common cancers recognised as part of the Lynch syndrome cancer spectrum and their prevalence rate will increase as </w:t>
      </w:r>
      <w:r w:rsidR="00953D30">
        <w:t xml:space="preserve">incidental detection of </w:t>
      </w:r>
      <w:r w:rsidR="00F26E3F">
        <w:t xml:space="preserve">Lynch syndrome cases </w:t>
      </w:r>
      <w:r w:rsidR="007B1F38">
        <w:t>occurs</w:t>
      </w:r>
      <w:r w:rsidR="00953D30">
        <w:t xml:space="preserve"> during somatic </w:t>
      </w:r>
      <w:r w:rsidR="009E67CD">
        <w:t xml:space="preserve">dMMR or MSI-H </w:t>
      </w:r>
      <w:r w:rsidR="00953D30">
        <w:t>testing</w:t>
      </w:r>
      <w:r w:rsidR="00F26E3F">
        <w:t>.</w:t>
      </w:r>
      <w:r w:rsidR="00953D30">
        <w:t xml:space="preserve"> The</w:t>
      </w:r>
      <w:r w:rsidR="00AF011E">
        <w:t xml:space="preserve"> relatively</w:t>
      </w:r>
      <w:r w:rsidR="00953D30">
        <w:t xml:space="preserve"> low </w:t>
      </w:r>
      <w:r w:rsidR="00AF011E">
        <w:t xml:space="preserve">or uncertain </w:t>
      </w:r>
      <w:r w:rsidR="00953D30">
        <w:t xml:space="preserve">frequency </w:t>
      </w:r>
      <w:r w:rsidR="00F26E3F">
        <w:t xml:space="preserve">of the less common Lynch syndrome cancers </w:t>
      </w:r>
      <w:r w:rsidR="00953D30">
        <w:t xml:space="preserve">has meant that routine dMMR IHC testing is not currently conducted beyond CRC and endometrial cancers (noting that uptake for the latter is still variable in Australian clinical practice). </w:t>
      </w:r>
      <w:r w:rsidR="00353108">
        <w:t>T</w:t>
      </w:r>
      <w:r w:rsidR="00353108" w:rsidRPr="00353108">
        <w:t xml:space="preserve">he cumulative lifetime risk (at 70 years </w:t>
      </w:r>
      <w:r w:rsidR="00353108">
        <w:t xml:space="preserve">of </w:t>
      </w:r>
      <w:r w:rsidR="00353108" w:rsidRPr="00353108">
        <w:t>age) of having a non-CRC and non-endometrial dMMR tumour ranges from 0% to 15% compared with 20–100% for CRC and 20–71% for endometrial cancer</w:t>
      </w:r>
      <w:r w:rsidR="00661BC5">
        <w:t>; where the risk</w:t>
      </w:r>
      <w:r w:rsidR="00353108" w:rsidRPr="00353108">
        <w:t xml:space="preserve"> </w:t>
      </w:r>
      <w:r w:rsidR="00661BC5">
        <w:t>for individual Lynch syndrome patients varies according to</w:t>
      </w:r>
      <w:r w:rsidR="00353108" w:rsidRPr="00353108">
        <w:t xml:space="preserve"> which gene carries </w:t>
      </w:r>
      <w:r w:rsidR="00240A85">
        <w:t>the</w:t>
      </w:r>
      <w:r w:rsidR="00353108" w:rsidRPr="00353108">
        <w:t xml:space="preserve"> mutation</w:t>
      </w:r>
      <w:r w:rsidR="00661BC5">
        <w:t xml:space="preserve"> </w:t>
      </w:r>
      <w:r w:rsidR="00F77139">
        <w:fldChar w:fldCharType="begin"/>
      </w:r>
      <w:r w:rsidR="00F77139">
        <w:instrText xml:space="preserve"> ADDIN EN.CITE &lt;EndNote&gt;&lt;Cite&gt;&lt;Author&gt;Barrow&lt;/Author&gt;&lt;Year&gt;2009&lt;/Year&gt;&lt;RecNum&gt;17&lt;/RecNum&gt;&lt;DisplayText&gt;(Barrow et al. 2009)&lt;/DisplayText&gt;&lt;record&gt;&lt;rec-number&gt;17&lt;/rec-number&gt;&lt;foreign-keys&gt;&lt;key app="EN" db-id="20rafrsx2d50edew5w15fz0q0dvfzstzed55" timestamp="1511741000"&gt;17&lt;/key&gt;&lt;/foreign-keys&gt;&lt;ref-type name="Journal Article"&gt;17&lt;/ref-type&gt;&lt;contributors&gt;&lt;authors&gt;&lt;author&gt;Barrow, E.&lt;/author&gt;&lt;author&gt;Robinson, L.&lt;/author&gt;&lt;author&gt;Alduaij, W.&lt;/author&gt;&lt;author&gt;Shenton, A.&lt;/author&gt;&lt;author&gt;Clancy, T.&lt;/author&gt;&lt;author&gt;Lalloo, F.&lt;/author&gt;&lt;author&gt;Hill, J.&lt;/author&gt;&lt;author&gt;Evans, D. G.&lt;/author&gt;&lt;/authors&gt;&lt;/contributors&gt;&lt;titles&gt;&lt;title&gt;Cumulative lifetime incidence of extracolonic cancers in Lynch syndrome: a report of 121 families with proven mutations&lt;/title&gt;&lt;secondary-title&gt;Clinical Genetics&lt;/secondary-title&gt;&lt;/titles&gt;&lt;periodical&gt;&lt;full-title&gt;Clinical Genetics&lt;/full-title&gt;&lt;/periodical&gt;&lt;pages&gt;141-149&lt;/pages&gt;&lt;volume&gt;75&lt;/volume&gt;&lt;number&gt;2&lt;/number&gt;&lt;keywords&gt;&lt;keyword&gt;DNA mismatch repair&lt;/keyword&gt;&lt;keyword&gt;hereditary non-polyposis colorectal cancer&lt;/keyword&gt;&lt;keyword&gt;Kaplan-Meiers analysis&lt;/keyword&gt;&lt;keyword&gt;Lynch syndrome&lt;/keyword&gt;&lt;keyword&gt;multiple primary neoplasms&lt;/keyword&gt;&lt;keyword&gt;statistical bias&lt;/keyword&gt;&lt;/keywords&gt;&lt;dates&gt;&lt;year&gt;2009&lt;/year&gt;&lt;/dates&gt;&lt;publisher&gt;Blackwell Publishing Ltd&lt;/publisher&gt;&lt;isbn&gt;1399-0004&lt;/isbn&gt;&lt;urls&gt;&lt;related-urls&gt;&lt;url&gt;http://dx.doi.org/10.1111/j.1399-0004.2008.01125.x&lt;/url&gt;&lt;url&gt;http://onlinelibrary.wiley.com/store/10.1111/j.1399-0004.2008.01125.x/asset/j.1399-0004.2008.01125.x.pdf?v=1&amp;amp;t=j78bl6et&amp;amp;s=3f73bb937ed16df9c3d49b64b61a3023bb232488&lt;/url&gt;&lt;/related-urls&gt;&lt;/urls&gt;&lt;electronic-resource-num&gt;10.1111/j.1399-0004.2008.01125.x&lt;/electronic-resource-num&gt;&lt;/record&gt;&lt;/Cite&gt;&lt;/EndNote&gt;</w:instrText>
      </w:r>
      <w:r w:rsidR="00F77139">
        <w:fldChar w:fldCharType="separate"/>
      </w:r>
      <w:r w:rsidR="00F77139">
        <w:rPr>
          <w:noProof/>
        </w:rPr>
        <w:t>(Barrow et al. 2009)</w:t>
      </w:r>
      <w:r w:rsidR="00F77139">
        <w:fldChar w:fldCharType="end"/>
      </w:r>
      <w:r w:rsidR="00661BC5">
        <w:t>.</w:t>
      </w:r>
      <w:r w:rsidR="00B92300">
        <w:t xml:space="preserve"> </w:t>
      </w:r>
      <w:r w:rsidR="00AF011E">
        <w:t>The potential for a treatment option for any or all of Lynch syndrome and/or MSI-</w:t>
      </w:r>
      <w:r w:rsidR="00240A85">
        <w:t>H</w:t>
      </w:r>
      <w:r w:rsidR="00AF011E">
        <w:t xml:space="preserve"> cancers</w:t>
      </w:r>
      <w:r w:rsidR="004D3D9C">
        <w:t xml:space="preserve"> agnostic of tumour histology,</w:t>
      </w:r>
      <w:r w:rsidR="00240A85" w:rsidRPr="00240A85">
        <w:t xml:space="preserve"> will result in</w:t>
      </w:r>
      <w:r w:rsidR="00AF011E">
        <w:t xml:space="preserve"> a paradigm shift</w:t>
      </w:r>
      <w:r w:rsidR="00F26E3F" w:rsidRPr="00F26E3F">
        <w:t xml:space="preserve"> in how testing is conducted</w:t>
      </w:r>
      <w:r w:rsidR="00AF011E">
        <w:t xml:space="preserve"> and an increase in </w:t>
      </w:r>
      <w:r w:rsidR="00F26E3F">
        <w:t xml:space="preserve">the </w:t>
      </w:r>
      <w:r w:rsidR="00AF011E">
        <w:t>demand for such</w:t>
      </w:r>
      <w:r w:rsidR="004D3D9C">
        <w:t xml:space="preserve"> pan-tumour</w:t>
      </w:r>
      <w:r w:rsidR="00974065">
        <w:t xml:space="preserve"> testing.</w:t>
      </w:r>
    </w:p>
    <w:p w14:paraId="4B569AE8" w14:textId="38CDC233" w:rsidR="00D87770" w:rsidRDefault="00690004" w:rsidP="003B5755">
      <w:pPr>
        <w:spacing w:after="240" w:line="312" w:lineRule="auto"/>
      </w:pPr>
      <w:r>
        <w:t>The d</w:t>
      </w:r>
      <w:r w:rsidR="00D87770" w:rsidRPr="00D87770">
        <w:t xml:space="preserve">MMR </w:t>
      </w:r>
      <w:r w:rsidRPr="00D87770">
        <w:t xml:space="preserve">IHC </w:t>
      </w:r>
      <w:r w:rsidR="00D87770" w:rsidRPr="00D87770">
        <w:t xml:space="preserve">test is </w:t>
      </w:r>
      <w:r w:rsidR="00D87770">
        <w:t xml:space="preserve">also </w:t>
      </w:r>
      <w:r w:rsidR="00D87770" w:rsidRPr="00D87770">
        <w:t>used to predict efficacy of fluorouracil-based adjuvant chemotherapy for stage II CRC</w:t>
      </w:r>
      <w:r w:rsidR="00486D27">
        <w:t>.</w:t>
      </w:r>
      <w:r w:rsidR="00D87770" w:rsidRPr="00D87770">
        <w:t xml:space="preserve"> </w:t>
      </w:r>
      <w:r w:rsidR="00486D27">
        <w:t>I</w:t>
      </w:r>
      <w:r w:rsidR="00D87770" w:rsidRPr="00D87770">
        <w:t>n these patients</w:t>
      </w:r>
      <w:r>
        <w:t>,</w:t>
      </w:r>
      <w:r w:rsidR="00D87770" w:rsidRPr="00D87770">
        <w:t xml:space="preserve"> </w:t>
      </w:r>
      <w:r>
        <w:t>d</w:t>
      </w:r>
      <w:r w:rsidR="00D87770" w:rsidRPr="00D87770">
        <w:t xml:space="preserve">MMR is associated with an excellent prognosis and </w:t>
      </w:r>
      <w:r w:rsidR="00525342">
        <w:t>fluorouracil-based chemotherapy is not indicated as it provides limited therapeutic benefit but additional harms</w:t>
      </w:r>
      <w:r w:rsidR="00661BC5">
        <w:t xml:space="preserve"> </w:t>
      </w:r>
      <w:r w:rsidR="00F77139">
        <w:fldChar w:fldCharType="begin"/>
      </w:r>
      <w:r w:rsidR="00F77139">
        <w:instrText xml:space="preserve"> ADDIN EN.CITE &lt;EndNote&gt;&lt;Cite&gt;&lt;Author&gt;Buecher&lt;/Author&gt;&lt;Year&gt;2013&lt;/Year&gt;&lt;RecNum&gt;12&lt;/RecNum&gt;&lt;DisplayText&gt;(Buecher et al. 2013)&lt;/DisplayText&gt;&lt;record&gt;&lt;rec-number&gt;12&lt;/rec-number&gt;&lt;foreign-keys&gt;&lt;key app="EN" db-id="20rafrsx2d50edew5w15fz0q0dvfzstzed55" timestamp="1509495427"&gt;12&lt;/key&gt;&lt;/foreign-keys&gt;&lt;ref-type name="Journal Article"&gt;17&lt;/ref-type&gt;&lt;contributors&gt;&lt;authors&gt;&lt;author&gt;Buecher, B.&lt;/author&gt;&lt;author&gt;Cacheux, W.&lt;/author&gt;&lt;author&gt;Rouleau, E.&lt;/author&gt;&lt;author&gt;Dieumegard, B.&lt;/author&gt;&lt;author&gt;Mitry, E.&lt;/author&gt;&lt;author&gt;Lievre, A.&lt;/author&gt;&lt;/authors&gt;&lt;/contributors&gt;&lt;auth-address&gt;Department of Medical Oncology, Groupe Hospitalier, Institut Curie, 26, rue d&amp;apos;Ulm, 75248 Paris Cedex 5, France.&lt;/auth-address&gt;&lt;titles&gt;&lt;title&gt;Role of microsatellite instability in the management of colorectal cancers&lt;/title&gt;&lt;secondary-title&gt;Dig Liver Dis&lt;/secondary-title&gt;&lt;/titles&gt;&lt;periodical&gt;&lt;full-title&gt;Dig Liver Dis&lt;/full-title&gt;&lt;/periodical&gt;&lt;pages&gt;441-9&lt;/pages&gt;&lt;volume&gt;45&lt;/volume&gt;&lt;number&gt;6&lt;/number&gt;&lt;edition&gt;2012/12/01&lt;/edition&gt;&lt;keywords&gt;&lt;keyword&gt;Antineoplastic Combined Chemotherapy Protocols/therapeutic use&lt;/keyword&gt;&lt;keyword&gt;Chemotherapy, Adjuvant&lt;/keyword&gt;&lt;keyword&gt;Colorectal Neoplasms/diagnosis/ drug therapy/ genetics&lt;/keyword&gt;&lt;keyword&gt;Colorectal Neoplasms, Hereditary Nonpolyposis/diagnosis/drug therapy/genetics&lt;/keyword&gt;&lt;keyword&gt;Fluorouracil/therapeutic use&lt;/keyword&gt;&lt;keyword&gt;Humans&lt;/keyword&gt;&lt;keyword&gt;Leucovorin/therapeutic use&lt;/keyword&gt;&lt;keyword&gt;Microsatellite Instability&lt;/keyword&gt;&lt;keyword&gt;Organoplatinum Compounds/therapeutic use&lt;/keyword&gt;&lt;keyword&gt;Prognosis&lt;/keyword&gt;&lt;keyword&gt;Treatment Outcome&lt;/keyword&gt;&lt;/keywords&gt;&lt;dates&gt;&lt;year&gt;2013&lt;/year&gt;&lt;pub-dates&gt;&lt;date&gt;Jun&lt;/date&gt;&lt;/pub-dates&gt;&lt;/dates&gt;&lt;isbn&gt;1878-3562 (Electronic)&amp;#xD;1590-8658 (Linking)&lt;/isbn&gt;&lt;accession-num&gt;23195666&lt;/accession-num&gt;&lt;urls&gt;&lt;/urls&gt;&lt;electronic-resource-num&gt;10.1016/j.dld.2012.10.006&lt;/electronic-resource-num&gt;&lt;remote-database-provider&gt;NLM&lt;/remote-database-provider&gt;&lt;language&gt;eng&lt;/language&gt;&lt;/record&gt;&lt;/Cite&gt;&lt;/EndNote&gt;</w:instrText>
      </w:r>
      <w:r w:rsidR="00F77139">
        <w:fldChar w:fldCharType="separate"/>
      </w:r>
      <w:r w:rsidR="00F77139">
        <w:rPr>
          <w:noProof/>
        </w:rPr>
        <w:t>(Buecher et al. 2013)</w:t>
      </w:r>
      <w:r w:rsidR="00F77139">
        <w:fldChar w:fldCharType="end"/>
      </w:r>
      <w:r w:rsidR="00D87770">
        <w:t xml:space="preserve">. </w:t>
      </w:r>
      <w:r>
        <w:t xml:space="preserve">This is also not relevant for </w:t>
      </w:r>
      <w:r w:rsidR="00525342">
        <w:t xml:space="preserve">the </w:t>
      </w:r>
      <w:r>
        <w:t xml:space="preserve">pan-tumour </w:t>
      </w:r>
      <w:r w:rsidR="00525342">
        <w:t>application</w:t>
      </w:r>
      <w:r>
        <w:t>.</w:t>
      </w:r>
    </w:p>
    <w:p w14:paraId="56F64894" w14:textId="01F01019" w:rsidR="00690004" w:rsidRDefault="00690004" w:rsidP="003B5755">
      <w:pPr>
        <w:spacing w:after="240" w:line="312" w:lineRule="auto"/>
      </w:pPr>
      <w:r>
        <w:lastRenderedPageBreak/>
        <w:t>Instead, t</w:t>
      </w:r>
      <w:r w:rsidR="003B5755">
        <w:t>he rationale for</w:t>
      </w:r>
      <w:r>
        <w:t xml:space="preserve"> dMMR IHC</w:t>
      </w:r>
      <w:r w:rsidR="003B5755">
        <w:t xml:space="preserve"> testing </w:t>
      </w:r>
      <w:r w:rsidR="00ED411C">
        <w:t xml:space="preserve">of pan-tumours </w:t>
      </w:r>
      <w:r w:rsidR="003B5755">
        <w:t xml:space="preserve">will </w:t>
      </w:r>
      <w:r>
        <w:t xml:space="preserve">mostly </w:t>
      </w:r>
      <w:r w:rsidR="003B5755">
        <w:t xml:space="preserve">rely on the link between </w:t>
      </w:r>
      <w:r w:rsidR="003B5755" w:rsidRPr="00661BC5">
        <w:t>somatic</w:t>
      </w:r>
      <w:r w:rsidR="003B5755">
        <w:t xml:space="preserve"> dMMR status and </w:t>
      </w:r>
      <w:r w:rsidR="00525342">
        <w:t xml:space="preserve">the </w:t>
      </w:r>
      <w:r w:rsidR="003B5755">
        <w:t xml:space="preserve">response to </w:t>
      </w:r>
      <w:r w:rsidR="00871ABF">
        <w:t>PD-1/</w:t>
      </w:r>
      <w:r w:rsidR="003B5755">
        <w:t xml:space="preserve">PD-L1 inhibitor immunotherapy. </w:t>
      </w:r>
      <w:r w:rsidR="003B5755" w:rsidRPr="00FD755E">
        <w:t xml:space="preserve">Although spontaneous dMMR mutations can occur in sporadic tumours, </w:t>
      </w:r>
      <w:r w:rsidR="00D87770" w:rsidRPr="00FD755E">
        <w:t>nearly all</w:t>
      </w:r>
      <w:r w:rsidR="003B5755" w:rsidRPr="00FD755E">
        <w:t xml:space="preserve"> are due to hyper-methylation of the </w:t>
      </w:r>
      <w:r w:rsidR="003B5755" w:rsidRPr="00FD755E">
        <w:rPr>
          <w:i/>
        </w:rPr>
        <w:t>MLH1</w:t>
      </w:r>
      <w:r w:rsidR="003B5755" w:rsidRPr="00FD755E">
        <w:t xml:space="preserve"> gene promot</w:t>
      </w:r>
      <w:r w:rsidR="00871ABF" w:rsidRPr="00FD755E">
        <w:t>e</w:t>
      </w:r>
      <w:r w:rsidR="003B5755" w:rsidRPr="00FD755E">
        <w:t>r.</w:t>
      </w:r>
      <w:r w:rsidR="003B5755">
        <w:t xml:space="preserve"> dMMR testing in CRC patients as a means of identifying those </w:t>
      </w:r>
      <w:r w:rsidR="00693070">
        <w:t xml:space="preserve">tumours </w:t>
      </w:r>
      <w:r w:rsidR="003B5755">
        <w:t>that will respond to immunotherapy treatments has not been definitively established</w:t>
      </w:r>
      <w:r w:rsidR="00525342">
        <w:t>. The biological plausibility of this relationship</w:t>
      </w:r>
      <w:r w:rsidR="003B5755">
        <w:t xml:space="preserve"> provides a less robust benchmark against which to measure the </w:t>
      </w:r>
      <w:r w:rsidR="00693070">
        <w:t xml:space="preserve">currently available </w:t>
      </w:r>
      <w:r w:rsidR="003B5755">
        <w:t xml:space="preserve">evidence </w:t>
      </w:r>
      <w:r w:rsidR="00693070">
        <w:t xml:space="preserve">to support </w:t>
      </w:r>
      <w:r w:rsidR="00525342">
        <w:t xml:space="preserve">dMMR testing of </w:t>
      </w:r>
      <w:r w:rsidR="003B5755">
        <w:t>non-CRC tumours</w:t>
      </w:r>
      <w:r w:rsidR="00693070">
        <w:t xml:space="preserve"> in order to determine</w:t>
      </w:r>
      <w:r w:rsidR="00F8186C">
        <w:t xml:space="preserve"> access to pembrolizumab</w:t>
      </w:r>
      <w:r w:rsidR="00693070">
        <w:t>.</w:t>
      </w:r>
    </w:p>
    <w:p w14:paraId="7BAD1998" w14:textId="3C47BDCB" w:rsidR="003B5755" w:rsidRDefault="003B5755" w:rsidP="00B970F1">
      <w:pPr>
        <w:spacing w:after="240" w:line="312" w:lineRule="auto"/>
      </w:pPr>
      <w:r>
        <w:t xml:space="preserve">The picture for </w:t>
      </w:r>
      <w:r w:rsidR="001E0354">
        <w:t xml:space="preserve">sporadic </w:t>
      </w:r>
      <w:r>
        <w:t xml:space="preserve">dMMR is further complicated by an association between </w:t>
      </w:r>
      <w:r w:rsidR="001E0354">
        <w:t xml:space="preserve">hyper-methylation of the </w:t>
      </w:r>
      <w:r w:rsidRPr="00F64F48">
        <w:rPr>
          <w:i/>
        </w:rPr>
        <w:t>MLH1</w:t>
      </w:r>
      <w:r>
        <w:t xml:space="preserve"> </w:t>
      </w:r>
      <w:r w:rsidR="001E0354">
        <w:t xml:space="preserve">gene promoter </w:t>
      </w:r>
      <w:r>
        <w:t xml:space="preserve">and </w:t>
      </w:r>
      <w:r w:rsidRPr="006F5EBD">
        <w:rPr>
          <w:i/>
        </w:rPr>
        <w:t>BRAF</w:t>
      </w:r>
      <w:r>
        <w:t xml:space="preserve"> V600E mutations, noting that </w:t>
      </w:r>
      <w:r w:rsidR="00406221">
        <w:t xml:space="preserve">the </w:t>
      </w:r>
      <w:r w:rsidRPr="00406221">
        <w:t>BRAF</w:t>
      </w:r>
      <w:r w:rsidR="00406221">
        <w:t xml:space="preserve"> protein</w:t>
      </w:r>
      <w:r>
        <w:t xml:space="preserve"> is also almost never mutated in Lynch syndrome CRC tumours. In fact, </w:t>
      </w:r>
      <w:r w:rsidR="00406221">
        <w:t xml:space="preserve">the </w:t>
      </w:r>
      <w:r w:rsidR="00406221" w:rsidRPr="00406221">
        <w:t>Royal College of Pathologists of Australasia</w:t>
      </w:r>
      <w:r>
        <w:t xml:space="preserve"> </w:t>
      </w:r>
      <w:r w:rsidR="00666A02">
        <w:t>(RCPA) CRC</w:t>
      </w:r>
      <w:r w:rsidR="00406221" w:rsidRPr="00406221">
        <w:t xml:space="preserve"> </w:t>
      </w:r>
      <w:r w:rsidR="00666A02">
        <w:t>R</w:t>
      </w:r>
      <w:r w:rsidR="00406221" w:rsidRPr="00406221">
        <w:t>eporting Protoco</w:t>
      </w:r>
      <w:r w:rsidR="00C3650A">
        <w:t xml:space="preserve">l </w:t>
      </w:r>
      <w:r>
        <w:t>indicate</w:t>
      </w:r>
      <w:r w:rsidR="00F8186C">
        <w:t>s</w:t>
      </w:r>
      <w:r>
        <w:t xml:space="preserve"> that </w:t>
      </w:r>
      <w:r w:rsidR="00B970F1">
        <w:t>the presence of a</w:t>
      </w:r>
      <w:r>
        <w:t xml:space="preserve"> BRAF </w:t>
      </w:r>
      <w:r w:rsidR="00B970F1" w:rsidRPr="00B970F1">
        <w:t>V600E</w:t>
      </w:r>
      <w:r w:rsidR="00B970F1">
        <w:t xml:space="preserve"> mutation in </w:t>
      </w:r>
      <w:r w:rsidR="00240A85">
        <w:t xml:space="preserve">CRC </w:t>
      </w:r>
      <w:r w:rsidR="00B970F1">
        <w:t xml:space="preserve">tumours </w:t>
      </w:r>
      <w:r w:rsidR="00B970F1" w:rsidRPr="00B970F1">
        <w:t>exhibiting loss of MLH1 expression</w:t>
      </w:r>
      <w:r w:rsidR="00B970F1">
        <w:t xml:space="preserve"> can</w:t>
      </w:r>
      <w:r w:rsidR="00B970F1" w:rsidRPr="00B970F1">
        <w:t xml:space="preserve"> effectively exclude Lynch syndrome</w:t>
      </w:r>
      <w:r w:rsidR="00B970F1">
        <w:t xml:space="preserve">, but its absence is unhelpful as the tumour could be either sporadic or </w:t>
      </w:r>
      <w:r w:rsidR="00C3650A">
        <w:t>caused by Lynch syndrome</w:t>
      </w:r>
      <w:r w:rsidR="00666A02">
        <w:t xml:space="preserve"> </w:t>
      </w:r>
      <w:r w:rsidR="00F77139">
        <w:fldChar w:fldCharType="begin"/>
      </w:r>
      <w:r w:rsidR="00F77139">
        <w:instrText xml:space="preserve"> ADDIN EN.CITE &lt;EndNote&gt;&lt;Cite&gt;&lt;Author&gt;RCPA&lt;/Author&gt;&lt;Year&gt;2016&lt;/Year&gt;&lt;RecNum&gt;15&lt;/RecNum&gt;&lt;DisplayText&gt;(RCPA 2016)&lt;/DisplayText&gt;&lt;record&gt;&lt;rec-number&gt;15&lt;/rec-number&gt;&lt;foreign-keys&gt;&lt;key app="EN" db-id="20rafrsx2d50edew5w15fz0q0dvfzstzed55" timestamp="1510102743"&gt;15&lt;/key&gt;&lt;/foreign-keys&gt;&lt;ref-type name="Report"&gt;27&lt;/ref-type&gt;&lt;contributors&gt;&lt;authors&gt;&lt;author&gt;RCPA&lt;/author&gt;&lt;/authors&gt;&lt;/contributors&gt;&lt;titles&gt;&lt;title&gt;Colorectal Cancer Structured Reporting Protocol. 3rd Edition.&lt;/title&gt;&lt;/titles&gt;&lt;dates&gt;&lt;year&gt;2016&lt;/year&gt;&lt;/dates&gt;&lt;pub-location&gt;Surry Hills, NSW 2010, Australia&lt;/pub-location&gt;&lt;publisher&gt;The Royal College of Pathologists of Australasia&lt;/publisher&gt;&lt;urls&gt;&lt;/urls&gt;&lt;/record&gt;&lt;/Cite&gt;&lt;/EndNote&gt;</w:instrText>
      </w:r>
      <w:r w:rsidR="00F77139">
        <w:fldChar w:fldCharType="separate"/>
      </w:r>
      <w:r w:rsidR="00F77139">
        <w:rPr>
          <w:noProof/>
        </w:rPr>
        <w:t>(RCPA 2016)</w:t>
      </w:r>
      <w:r w:rsidR="00F77139">
        <w:fldChar w:fldCharType="end"/>
      </w:r>
      <w:r w:rsidR="00B970F1">
        <w:t>.</w:t>
      </w:r>
    </w:p>
    <w:p w14:paraId="7BB60B39" w14:textId="4B147F1B" w:rsidR="00575E78" w:rsidRDefault="00575E78" w:rsidP="00575E78">
      <w:pPr>
        <w:spacing w:after="240" w:line="312" w:lineRule="auto"/>
      </w:pPr>
      <w:r>
        <w:t xml:space="preserve">The </w:t>
      </w:r>
      <w:r w:rsidR="005E56FA">
        <w:t>highly conserved</w:t>
      </w:r>
      <w:r>
        <w:t xml:space="preserve"> MMR proteins </w:t>
      </w:r>
      <w:r w:rsidR="005E56FA">
        <w:t xml:space="preserve">function </w:t>
      </w:r>
      <w:r>
        <w:t>to</w:t>
      </w:r>
      <w:r w:rsidRPr="00575E78">
        <w:t xml:space="preserve"> restor</w:t>
      </w:r>
      <w:r>
        <w:t>e</w:t>
      </w:r>
      <w:r w:rsidRPr="00575E78">
        <w:t xml:space="preserve"> DNA integrity after the occurrence of mismatching errors </w:t>
      </w:r>
      <w:r w:rsidR="005E56FA">
        <w:t xml:space="preserve">resulting from </w:t>
      </w:r>
      <w:r w:rsidRPr="00575E78">
        <w:t>DNA replication</w:t>
      </w:r>
      <w:r w:rsidR="00240A85">
        <w:t xml:space="preserve"> and</w:t>
      </w:r>
      <w:r w:rsidRPr="00575E78">
        <w:t xml:space="preserve"> </w:t>
      </w:r>
      <w:r w:rsidR="005E56FA">
        <w:t xml:space="preserve">recombination </w:t>
      </w:r>
      <w:r>
        <w:t xml:space="preserve">or </w:t>
      </w:r>
      <w:r w:rsidR="005E56FA">
        <w:t xml:space="preserve">damage from external stimuli </w:t>
      </w:r>
      <w:r w:rsidR="00240A85">
        <w:t>such as</w:t>
      </w:r>
      <w:r w:rsidR="005E56FA">
        <w:t xml:space="preserve"> chemical or radiation </w:t>
      </w:r>
      <w:r w:rsidR="00F77139">
        <w:fldChar w:fldCharType="begin"/>
      </w:r>
      <w:r w:rsidR="00F77139">
        <w:instrText xml:space="preserve"> ADDIN EN.CITE &lt;EndNote&gt;&lt;Cite&gt;&lt;Author&gt;Scarpa&lt;/Author&gt;&lt;Year&gt;2016&lt;/Year&gt;&lt;RecNum&gt;16&lt;/RecNum&gt;&lt;DisplayText&gt;(Scarpa, Cataldo &amp;amp; Salvatore 2016)&lt;/DisplayText&gt;&lt;record&gt;&lt;rec-number&gt;16&lt;/rec-number&gt;&lt;foreign-keys&gt;&lt;key app="EN" db-id="20rafrsx2d50edew5w15fz0q0dvfzstzed55" timestamp="1510200949"&gt;16&lt;/key&gt;&lt;/foreign-keys&gt;&lt;ref-type name="Electronic Article"&gt;43&lt;/ref-type&gt;&lt;contributors&gt;&lt;authors&gt;&lt;author&gt;Scarpa, Aldo&lt;/author&gt;&lt;author&gt;Cataldo, Ivana&lt;/author&gt;&lt;author&gt;Salvatore, Lisa&lt;/author&gt;&lt;/authors&gt;&lt;/contributors&gt;&lt;titles&gt;&lt;title&gt;Microsatellite Instability - Defective DNA Mismatch Repair&lt;/title&gt;&lt;secondary-title&gt;ESMO Biomarker Factsheet&lt;/secondary-title&gt;&lt;/titles&gt;&lt;periodical&gt;&lt;full-title&gt;ESMO Biomarker Factsheet&lt;/full-title&gt;&lt;/periodical&gt;&lt;dates&gt;&lt;year&gt;2016&lt;/year&gt;&lt;pub-dates&gt;&lt;date&gt;26 September 2017&lt;/date&gt;&lt;/pub-dates&gt;&lt;/dates&gt;&lt;publisher&gt;European Society for Medical Onclology&lt;/publisher&gt;&lt;urls&gt;&lt;related-urls&gt;&lt;url&gt;http://oncologypro.esmo.org/Education-Library/Factsheets-on-Biomarkers/Microsatellite-Instability-Defective-DNA-Mismatch-Repair#eztoc1701983_0_0_5_8&lt;/url&gt;&lt;/related-urls&gt;&lt;/urls&gt;&lt;/record&gt;&lt;/Cite&gt;&lt;/EndNote&gt;</w:instrText>
      </w:r>
      <w:r w:rsidR="00F77139">
        <w:fldChar w:fldCharType="separate"/>
      </w:r>
      <w:r w:rsidR="00F77139">
        <w:rPr>
          <w:noProof/>
        </w:rPr>
        <w:t>(Scarpa, Cataldo &amp; Salvatore 2016)</w:t>
      </w:r>
      <w:r w:rsidR="00F77139">
        <w:fldChar w:fldCharType="end"/>
      </w:r>
      <w:r w:rsidR="005E56FA">
        <w:t>. Thus</w:t>
      </w:r>
      <w:r>
        <w:t>, it is logical to assume that there are likely to be little to no differences in the expression and function of these genes in different tumour cell types. However, evidence to support this function across tumour types is still required.</w:t>
      </w:r>
    </w:p>
    <w:p w14:paraId="1B6D1D31" w14:textId="6406D9AC" w:rsidR="00C635B1" w:rsidRDefault="00C635B1" w:rsidP="00AA13B3">
      <w:pPr>
        <w:spacing w:after="240" w:line="312" w:lineRule="auto"/>
      </w:pPr>
      <w:r>
        <w:t xml:space="preserve">This will not </w:t>
      </w:r>
      <w:r w:rsidR="00B70034">
        <w:t xml:space="preserve">be </w:t>
      </w:r>
      <w:r>
        <w:t xml:space="preserve">the case for all biomarkers. Many proteins will have different expression levels in different cell types </w:t>
      </w:r>
      <w:r w:rsidR="00F8186C">
        <w:t>as a consequence of</w:t>
      </w:r>
      <w:r>
        <w:t xml:space="preserve"> their basic function; this may affect the biomarker expression levels in different tumour cell types. Differences in expression may alter the ability of the test to detect the biomarker and/or the effectiveness of the treatment for different tumour types. This will have important implications for pan-tumour applications and</w:t>
      </w:r>
      <w:r w:rsidRPr="00C635B1">
        <w:t xml:space="preserve"> </w:t>
      </w:r>
      <w:r w:rsidR="007F5D3B">
        <w:t xml:space="preserve">will </w:t>
      </w:r>
      <w:r>
        <w:t>need to be addressed.</w:t>
      </w:r>
    </w:p>
    <w:p w14:paraId="322C3AAD" w14:textId="77777777" w:rsidR="00F26E3F" w:rsidRDefault="00F26E3F" w:rsidP="00F26E3F">
      <w:pPr>
        <w:pStyle w:val="Heading3"/>
      </w:pPr>
      <w:bookmarkStart w:id="54" w:name="_Toc29557659"/>
      <w:r>
        <w:t>Alternative predictive biomarkers</w:t>
      </w:r>
      <w:bookmarkEnd w:id="54"/>
    </w:p>
    <w:p w14:paraId="65D3DC48" w14:textId="2F1FB027" w:rsidR="00F26E3F" w:rsidRDefault="00F26E3F" w:rsidP="00F26E3F">
      <w:pPr>
        <w:spacing w:after="240" w:line="312" w:lineRule="auto"/>
        <w:rPr>
          <w:bCs/>
        </w:rPr>
      </w:pPr>
      <w:r>
        <w:t>Any other biomarkers that may have</w:t>
      </w:r>
      <w:r w:rsidRPr="001730B9">
        <w:rPr>
          <w:bCs/>
        </w:rPr>
        <w:t xml:space="preserve"> </w:t>
      </w:r>
      <w:r w:rsidRPr="00C635B1">
        <w:rPr>
          <w:bCs/>
        </w:rPr>
        <w:t>predictive value for treatment outcomes</w:t>
      </w:r>
      <w:r>
        <w:rPr>
          <w:bCs/>
        </w:rPr>
        <w:t xml:space="preserve"> should be discussed. </w:t>
      </w:r>
      <w:r w:rsidRPr="00237849">
        <w:rPr>
          <w:b/>
          <w:bCs/>
        </w:rPr>
        <w:t>(Recommendation 2)</w:t>
      </w:r>
      <w:r>
        <w:rPr>
          <w:bCs/>
        </w:rPr>
        <w:t xml:space="preserve"> This includes their comparative abilities to predict response to the treatment.</w:t>
      </w:r>
    </w:p>
    <w:p w14:paraId="1551491D" w14:textId="1C1561C5" w:rsidR="002E7D1E" w:rsidRDefault="002E7D1E" w:rsidP="00F26E3F">
      <w:pPr>
        <w:pStyle w:val="Heading4"/>
      </w:pPr>
      <w:r>
        <w:t>Microsatellite instability</w:t>
      </w:r>
    </w:p>
    <w:p w14:paraId="4F141BD8" w14:textId="5566BB57" w:rsidR="002E7D1E" w:rsidRDefault="00A55199" w:rsidP="00AA13B3">
      <w:pPr>
        <w:spacing w:after="240" w:line="312" w:lineRule="auto"/>
      </w:pPr>
      <w:r>
        <w:t xml:space="preserve">The most important alternative predictive biomarker is MSI-H. </w:t>
      </w:r>
      <w:r w:rsidR="002E7D1E" w:rsidRPr="002E7D1E">
        <w:t>Tumours that are dMMR hav</w:t>
      </w:r>
      <w:r>
        <w:t>e defective DNA mismatch repair</w:t>
      </w:r>
      <w:r w:rsidR="002E7D1E" w:rsidRPr="002E7D1E">
        <w:t xml:space="preserve"> leading to an increased mutation rate. Microsatellites, or short tandem repetitive DNA sequences are particularly sensitive to mismatch errors, and accumulation of repeat length alterations due to dMMR leads to the MSI-H phenotype.</w:t>
      </w:r>
    </w:p>
    <w:p w14:paraId="27C0644A" w14:textId="18331CF0" w:rsidR="00A55199" w:rsidRDefault="00A55199" w:rsidP="00A55199">
      <w:pPr>
        <w:spacing w:after="240" w:line="312" w:lineRule="auto"/>
      </w:pPr>
      <w:r>
        <w:lastRenderedPageBreak/>
        <w:t xml:space="preserve">There are two different tests that can be used to determine MSI status. The PCR-based MSI test has been used to determine </w:t>
      </w:r>
      <w:r w:rsidR="00A16163">
        <w:t xml:space="preserve">the MSI-H phenotype and </w:t>
      </w:r>
      <w:r>
        <w:t xml:space="preserve">eligibility for </w:t>
      </w:r>
      <w:r w:rsidR="00B16639">
        <w:t>all or nearly all</w:t>
      </w:r>
      <w:r w:rsidR="00A16163">
        <w:t xml:space="preserve"> check-point inhibitor trials </w:t>
      </w:r>
      <w:r w:rsidR="00DD0266">
        <w:t>to date, including the</w:t>
      </w:r>
      <w:r w:rsidR="00A16163">
        <w:t xml:space="preserve"> KEYNOTE-1</w:t>
      </w:r>
      <w:r w:rsidR="00BF196A">
        <w:t>58</w:t>
      </w:r>
      <w:r w:rsidR="00A16163">
        <w:t xml:space="preserve"> trial</w:t>
      </w:r>
      <w:r>
        <w:t>.</w:t>
      </w:r>
    </w:p>
    <w:p w14:paraId="39CD42E5" w14:textId="467F60C7" w:rsidR="00A55199" w:rsidRDefault="00A16163" w:rsidP="00A55199">
      <w:pPr>
        <w:spacing w:after="240" w:line="312" w:lineRule="auto"/>
      </w:pPr>
      <w:r>
        <w:t xml:space="preserve">This test involves </w:t>
      </w:r>
      <w:r w:rsidR="00A55199">
        <w:t xml:space="preserve">PCR amplification of specific microsatellite markers, usually by multiplex PCR, </w:t>
      </w:r>
      <w:r>
        <w:t xml:space="preserve">and </w:t>
      </w:r>
      <w:r w:rsidR="00A55199">
        <w:t xml:space="preserve">can be performed on fresh, frozen or </w:t>
      </w:r>
      <w:r w:rsidR="00702F7D" w:rsidRPr="00FE7CEC">
        <w:t>formalin-fixed paraffin-embedded (</w:t>
      </w:r>
      <w:r w:rsidR="00A55199">
        <w:t>FFPE</w:t>
      </w:r>
      <w:r w:rsidR="00702F7D">
        <w:t>)</w:t>
      </w:r>
      <w:r w:rsidR="00A55199">
        <w:t xml:space="preserve"> tumour material </w:t>
      </w:r>
      <w:r w:rsidR="00F77139">
        <w:fldChar w:fldCharType="begin"/>
      </w:r>
      <w:r w:rsidR="00F77139">
        <w:instrText xml:space="preserve"> ADDIN EN.CITE &lt;EndNote&gt;&lt;Cite&gt;&lt;Author&gt;Buecher&lt;/Author&gt;&lt;Year&gt;2013&lt;/Year&gt;&lt;RecNum&gt;12&lt;/RecNum&gt;&lt;DisplayText&gt;(Buecher et al. 2013)&lt;/DisplayText&gt;&lt;record&gt;&lt;rec-number&gt;12&lt;/rec-number&gt;&lt;foreign-keys&gt;&lt;key app="EN" db-id="20rafrsx2d50edew5w15fz0q0dvfzstzed55" timestamp="1509495427"&gt;12&lt;/key&gt;&lt;/foreign-keys&gt;&lt;ref-type name="Journal Article"&gt;17&lt;/ref-type&gt;&lt;contributors&gt;&lt;authors&gt;&lt;author&gt;Buecher, B.&lt;/author&gt;&lt;author&gt;Cacheux, W.&lt;/author&gt;&lt;author&gt;Rouleau, E.&lt;/author&gt;&lt;author&gt;Dieumegard, B.&lt;/author&gt;&lt;author&gt;Mitry, E.&lt;/author&gt;&lt;author&gt;Lievre, A.&lt;/author&gt;&lt;/authors&gt;&lt;/contributors&gt;&lt;auth-address&gt;Department of Medical Oncology, Groupe Hospitalier, Institut Curie, 26, rue d&amp;apos;Ulm, 75248 Paris Cedex 5, France.&lt;/auth-address&gt;&lt;titles&gt;&lt;title&gt;Role of microsatellite instability in the management of colorectal cancers&lt;/title&gt;&lt;secondary-title&gt;Dig Liver Dis&lt;/secondary-title&gt;&lt;/titles&gt;&lt;periodical&gt;&lt;full-title&gt;Dig Liver Dis&lt;/full-title&gt;&lt;/periodical&gt;&lt;pages&gt;441-9&lt;/pages&gt;&lt;volume&gt;45&lt;/volume&gt;&lt;number&gt;6&lt;/number&gt;&lt;edition&gt;2012/12/01&lt;/edition&gt;&lt;keywords&gt;&lt;keyword&gt;Antineoplastic Combined Chemotherapy Protocols/therapeutic use&lt;/keyword&gt;&lt;keyword&gt;Chemotherapy, Adjuvant&lt;/keyword&gt;&lt;keyword&gt;Colorectal Neoplasms/diagnosis/ drug therapy/ genetics&lt;/keyword&gt;&lt;keyword&gt;Colorectal Neoplasms, Hereditary Nonpolyposis/diagnosis/drug therapy/genetics&lt;/keyword&gt;&lt;keyword&gt;Fluorouracil/therapeutic use&lt;/keyword&gt;&lt;keyword&gt;Humans&lt;/keyword&gt;&lt;keyword&gt;Leucovorin/therapeutic use&lt;/keyword&gt;&lt;keyword&gt;Microsatellite Instability&lt;/keyword&gt;&lt;keyword&gt;Organoplatinum Compounds/therapeutic use&lt;/keyword&gt;&lt;keyword&gt;Prognosis&lt;/keyword&gt;&lt;keyword&gt;Treatment Outcome&lt;/keyword&gt;&lt;/keywords&gt;&lt;dates&gt;&lt;year&gt;2013&lt;/year&gt;&lt;pub-dates&gt;&lt;date&gt;Jun&lt;/date&gt;&lt;/pub-dates&gt;&lt;/dates&gt;&lt;isbn&gt;1878-3562 (Electronic)&amp;#xD;1590-8658 (Linking)&lt;/isbn&gt;&lt;accession-num&gt;23195666&lt;/accession-num&gt;&lt;urls&gt;&lt;/urls&gt;&lt;electronic-resource-num&gt;10.1016/j.dld.2012.10.006&lt;/electronic-resource-num&gt;&lt;remote-database-provider&gt;NLM&lt;/remote-database-provider&gt;&lt;language&gt;eng&lt;/language&gt;&lt;/record&gt;&lt;/Cite&gt;&lt;/EndNote&gt;</w:instrText>
      </w:r>
      <w:r w:rsidR="00F77139">
        <w:fldChar w:fldCharType="separate"/>
      </w:r>
      <w:r w:rsidR="00F77139">
        <w:rPr>
          <w:noProof/>
        </w:rPr>
        <w:t>(Buecher et al. 2013)</w:t>
      </w:r>
      <w:r w:rsidR="00F77139">
        <w:fldChar w:fldCharType="end"/>
      </w:r>
      <w:r w:rsidR="00A55199">
        <w:t>. A MSI</w:t>
      </w:r>
      <w:r>
        <w:t>-H</w:t>
      </w:r>
      <w:r w:rsidR="00A55199">
        <w:t xml:space="preserve"> phenotype is defined by at least two </w:t>
      </w:r>
      <w:r>
        <w:t xml:space="preserve">out of five </w:t>
      </w:r>
      <w:r w:rsidR="00A55199">
        <w:t xml:space="preserve">unstable markers </w:t>
      </w:r>
      <w:r>
        <w:t xml:space="preserve">being </w:t>
      </w:r>
      <w:r w:rsidR="00A55199">
        <w:t xml:space="preserve">identified as having insertions or deletions (or ≥30% of unstable markers if a larger panel is used). All other tumours, with 0–30% unstable markers, are considered as </w:t>
      </w:r>
      <w:r>
        <w:t>being microsatellite stable</w:t>
      </w:r>
      <w:r w:rsidR="00A55199">
        <w:t xml:space="preserve"> owing to their clinical, histological and outcome similarities.</w:t>
      </w:r>
    </w:p>
    <w:p w14:paraId="7EC2456B" w14:textId="7EBFD59B" w:rsidR="0055190B" w:rsidRDefault="0055190B" w:rsidP="00CB5507">
      <w:pPr>
        <w:spacing w:after="240" w:line="312" w:lineRule="auto"/>
      </w:pPr>
      <w:r>
        <w:t xml:space="preserve">However, the use of NGS MSI computational algorithms to determine MSI status is </w:t>
      </w:r>
      <w:r w:rsidR="00090897">
        <w:t>quickly approaching</w:t>
      </w:r>
      <w:r>
        <w:t xml:space="preserve">. </w:t>
      </w:r>
      <w:r w:rsidR="00090897">
        <w:t xml:space="preserve">The </w:t>
      </w:r>
      <w:r>
        <w:t>algorithms currently being discussed in the literature includ</w:t>
      </w:r>
      <w:r w:rsidR="00090897">
        <w:t>e</w:t>
      </w:r>
      <w:r>
        <w:t xml:space="preserve"> MS</w:t>
      </w:r>
      <w:r w:rsidR="003E5828">
        <w:t>I</w:t>
      </w:r>
      <w:r>
        <w:t>sensor</w:t>
      </w:r>
      <w:r w:rsidR="00252707">
        <w:t xml:space="preserve"> </w:t>
      </w:r>
      <w:r w:rsidR="00F77139">
        <w:fldChar w:fldCharType="begin"/>
      </w:r>
      <w:r w:rsidR="00F77139">
        <w:instrText xml:space="preserve"> ADDIN EN.CITE &lt;EndNote&gt;&lt;Cite&gt;&lt;Author&gt;Niu&lt;/Author&gt;&lt;Year&gt;2014&lt;/Year&gt;&lt;RecNum&gt;78&lt;/RecNum&gt;&lt;DisplayText&gt;(Niu et al. 2014)&lt;/DisplayText&gt;&lt;record&gt;&lt;rec-number&gt;78&lt;/rec-number&gt;&lt;foreign-keys&gt;&lt;key app="EN" db-id="20rafrsx2d50edew5w15fz0q0dvfzstzed55" timestamp="1548722098"&gt;78&lt;/key&gt;&lt;/foreign-keys&gt;&lt;ref-type name="Journal Article"&gt;17&lt;/ref-type&gt;&lt;contributors&gt;&lt;authors&gt;&lt;author&gt;Niu, Beifang&lt;/author&gt;&lt;author&gt;Ye, Kai&lt;/author&gt;&lt;author&gt;Zhang, Qunyuan&lt;/author&gt;&lt;author&gt;Lu, Charles&lt;/author&gt;&lt;author&gt;Xie, Mingchao&lt;/author&gt;&lt;author&gt;McLellan, Michael D.&lt;/author&gt;&lt;author&gt;Wendl, Michael C.&lt;/author&gt;&lt;author&gt;Ding, Li&lt;/author&gt;&lt;/authors&gt;&lt;/contributors&gt;&lt;titles&gt;&lt;title&gt;MSIsensor: microsatellite instability detection using paired tumor-normal sequence data&lt;/title&gt;&lt;secondary-title&gt;Bioinformatics (Oxford, England)&lt;/secondary-title&gt;&lt;/titles&gt;&lt;periodical&gt;&lt;full-title&gt;Bioinformatics (Oxford, England)&lt;/full-title&gt;&lt;/periodical&gt;&lt;pages&gt;1015-1016&lt;/pages&gt;&lt;volume&gt;30&lt;/volume&gt;&lt;number&gt;7&lt;/number&gt;&lt;edition&gt;12/25&lt;/edition&gt;&lt;dates&gt;&lt;year&gt;2014&lt;/year&gt;&lt;/dates&gt;&lt;publisher&gt;Oxford University Press&lt;/publisher&gt;&lt;isbn&gt;1367-4811&amp;#xD;1367-4803&lt;/isbn&gt;&lt;accession-num&gt;24371154&lt;/accession-num&gt;&lt;urls&gt;&lt;related-urls&gt;&lt;url&gt;https://www.ncbi.nlm.nih.gov/pubmed/24371154&lt;/url&gt;&lt;url&gt;https://www.ncbi.nlm.nih.gov/pmc/PMC3967115/&lt;/url&gt;&lt;url&gt;https://www.ncbi.nlm.nih.gov/pmc/articles/PMC3967115/pdf/btt755.pdf&lt;/url&gt;&lt;/related-urls&gt;&lt;/urls&gt;&lt;electronic-resource-num&gt;10.1093/bioinformatics/btt755&lt;/electronic-resource-num&gt;&lt;remote-database-name&gt;PubMed&lt;/remote-database-name&gt;&lt;/record&gt;&lt;/Cite&gt;&lt;/EndNote&gt;</w:instrText>
      </w:r>
      <w:r w:rsidR="00F77139">
        <w:fldChar w:fldCharType="separate"/>
      </w:r>
      <w:r w:rsidR="00F77139">
        <w:rPr>
          <w:noProof/>
        </w:rPr>
        <w:t>(Niu et al. 2014)</w:t>
      </w:r>
      <w:r w:rsidR="00F77139">
        <w:fldChar w:fldCharType="end"/>
      </w:r>
      <w:r>
        <w:t>, MANTIS</w:t>
      </w:r>
      <w:r w:rsidR="00252707">
        <w:t xml:space="preserve"> </w:t>
      </w:r>
      <w:r w:rsidR="00F77139">
        <w:fldChar w:fldCharType="begin"/>
      </w:r>
      <w:r w:rsidR="00F77139">
        <w:instrText xml:space="preserve"> ADDIN EN.CITE &lt;EndNote&gt;&lt;Cite&gt;&lt;Author&gt;Kautto&lt;/Author&gt;&lt;Year&gt;2016&lt;/Year&gt;&lt;RecNum&gt;77&lt;/RecNum&gt;&lt;DisplayText&gt;(Kautto et al. 2016)&lt;/DisplayText&gt;&lt;record&gt;&lt;rec-number&gt;77&lt;/rec-number&gt;&lt;foreign-keys&gt;&lt;key app="EN" db-id="20rafrsx2d50edew5w15fz0q0dvfzstzed55" timestamp="1548722038"&gt;77&lt;/key&gt;&lt;/foreign-keys&gt;&lt;ref-type name="Journal Article"&gt;17&lt;/ref-type&gt;&lt;contributors&gt;&lt;authors&gt;&lt;author&gt;Kautto, Esko A.&lt;/author&gt;&lt;author&gt;Bonneville, Russell&lt;/author&gt;&lt;author&gt;Miya, Jharna&lt;/author&gt;&lt;author&gt;Yu, Lianbo&lt;/author&gt;&lt;author&gt;Krook, Melanie A.&lt;/author&gt;&lt;author&gt;Reeser, Julie W.&lt;/author&gt;&lt;author&gt;Roychowdhury, Sameek&lt;/author&gt;&lt;/authors&gt;&lt;/contributors&gt;&lt;titles&gt;&lt;title&gt;Performance evaluation for rapid detection of pan-cancer microsatellite instability with MANTIS&lt;/title&gt;&lt;secondary-title&gt;Oncotarget&lt;/secondary-title&gt;&lt;/titles&gt;&lt;periodical&gt;&lt;full-title&gt;Oncotarget&lt;/full-title&gt;&lt;/periodical&gt;&lt;pages&gt;7452-7463&lt;/pages&gt;&lt;volume&gt;8&lt;/volume&gt;&lt;number&gt;5&lt;/number&gt;&lt;dates&gt;&lt;year&gt;2016&lt;/year&gt;&lt;/dates&gt;&lt;publisher&gt;Impact Journals LLC&lt;/publisher&gt;&lt;isbn&gt;1949-2553&lt;/isbn&gt;&lt;accession-num&gt;27980218&lt;/accession-num&gt;&lt;urls&gt;&lt;related-urls&gt;&lt;url&gt;https://www.ncbi.nlm.nih.gov/pubmed/27980218&lt;/url&gt;&lt;url&gt;https://www.ncbi.nlm.nih.gov/pmc/PMC5352334/&lt;/url&gt;&lt;url&gt;https://www.ncbi.nlm.nih.gov/pmc/articles/PMC5352334/pdf/oncotarget-08-7452.pdf&lt;/url&gt;&lt;/related-urls&gt;&lt;/urls&gt;&lt;electronic-resource-num&gt;10.18632/oncotarget.13918&lt;/electronic-resource-num&gt;&lt;remote-database-name&gt;PubMed&lt;/remote-database-name&gt;&lt;/record&gt;&lt;/Cite&gt;&lt;/EndNote&gt;</w:instrText>
      </w:r>
      <w:r w:rsidR="00F77139">
        <w:fldChar w:fldCharType="separate"/>
      </w:r>
      <w:r w:rsidR="00F77139">
        <w:rPr>
          <w:noProof/>
        </w:rPr>
        <w:t>(Kautto et al. 2016)</w:t>
      </w:r>
      <w:r w:rsidR="00F77139">
        <w:fldChar w:fldCharType="end"/>
      </w:r>
      <w:r>
        <w:t xml:space="preserve"> and MSI-ColonCore</w:t>
      </w:r>
      <w:r w:rsidR="00252707">
        <w:t xml:space="preserve"> </w:t>
      </w:r>
      <w:r w:rsidR="00F77139">
        <w:fldChar w:fldCharType="begin"/>
      </w:r>
      <w:r w:rsidR="00F77139">
        <w:instrText xml:space="preserve"> ADDIN EN.CITE &lt;EndNote&gt;&lt;Cite&gt;&lt;Author&gt;Zhu&lt;/Author&gt;&lt;Year&gt;2018&lt;/Year&gt;&lt;RecNum&gt;76&lt;/RecNum&gt;&lt;DisplayText&gt;(Zhu et al. 2018)&lt;/DisplayText&gt;&lt;record&gt;&lt;rec-number&gt;76&lt;/rec-number&gt;&lt;foreign-keys&gt;&lt;key app="EN" db-id="20rafrsx2d50edew5w15fz0q0dvfzstzed55" timestamp="1548721972"&gt;76&lt;/key&gt;&lt;/foreign-keys&gt;&lt;ref-type name="Journal Article"&gt;17&lt;/ref-type&gt;&lt;contributors&gt;&lt;authors&gt;&lt;author&gt;Zhu, Lizhen&lt;/author&gt;&lt;author&gt;Huang, Yanqin&lt;/author&gt;&lt;author&gt;Fang, Xuefeng&lt;/author&gt;&lt;author&gt;Liu, Chenglin&lt;/author&gt;&lt;author&gt;Deng, Wanglong&lt;/author&gt;&lt;author&gt;Zhong, Chenhan&lt;/author&gt;&lt;author&gt;Xu, Jinghong&lt;/author&gt;&lt;author&gt;Xu, Dong&lt;/author&gt;&lt;author&gt;Yuan, Ying&lt;/author&gt;&lt;/authors&gt;&lt;/contributors&gt;&lt;titles&gt;&lt;title&gt;A Novel and Reliable Method to Detect Microsatellite Instability in Colorectal Cancer by Next-Generation Sequencing&lt;/title&gt;&lt;secondary-title&gt;The Journal of Molecular Diagnostics&lt;/secondary-title&gt;&lt;/titles&gt;&lt;periodical&gt;&lt;full-title&gt;The Journal of Molecular Diagnostics&lt;/full-title&gt;&lt;/periodical&gt;&lt;pages&gt;225-231&lt;/pages&gt;&lt;volume&gt;20&lt;/volume&gt;&lt;number&gt;2&lt;/number&gt;&lt;dates&gt;&lt;year&gt;2018&lt;/year&gt;&lt;pub-dates&gt;&lt;date&gt;2018/03/01/&lt;/date&gt;&lt;/pub-dates&gt;&lt;/dates&gt;&lt;isbn&gt;1525-1578&lt;/isbn&gt;&lt;urls&gt;&lt;related-urls&gt;&lt;url&gt;http://www.sciencedirect.com/science/article/pii/S1525157817303690&lt;/url&gt;&lt;url&gt;https://ac.els-cdn.com/S1525157817303690/1-s2.0-S1525157817303690-main.pdf?_tid=99324521-c9ef-41c9-984c-db0896c3a695&amp;amp;acdnat=1548722194_67535c7f5c32b214f571a2d49c94633c&lt;/url&gt;&lt;/related-urls&gt;&lt;/urls&gt;&lt;electronic-resource-num&gt;https://doi.org/10.1016/j.jmoldx.2017.11.007&lt;/electronic-resource-num&gt;&lt;/record&gt;&lt;/Cite&gt;&lt;/EndNote&gt;</w:instrText>
      </w:r>
      <w:r w:rsidR="00F77139">
        <w:fldChar w:fldCharType="separate"/>
      </w:r>
      <w:r w:rsidR="00F77139">
        <w:rPr>
          <w:noProof/>
        </w:rPr>
        <w:t>(Zhu et al. 2018)</w:t>
      </w:r>
      <w:r w:rsidR="00F77139">
        <w:fldChar w:fldCharType="end"/>
      </w:r>
      <w:r>
        <w:t xml:space="preserve">. </w:t>
      </w:r>
      <w:r w:rsidR="00252707">
        <w:t xml:space="preserve">Each method uses different criteria to select the loci, including setting thresholds and creating baselines using normal samples. </w:t>
      </w:r>
      <w:r w:rsidR="005D1171">
        <w:t xml:space="preserve">Two </w:t>
      </w:r>
      <w:r w:rsidR="00252707">
        <w:t>of t</w:t>
      </w:r>
      <w:r>
        <w:t xml:space="preserve">hese algorithms </w:t>
      </w:r>
      <w:r w:rsidR="003E5828">
        <w:t>(M</w:t>
      </w:r>
      <w:r w:rsidR="005D1171">
        <w:t>S</w:t>
      </w:r>
      <w:r w:rsidR="003E5828">
        <w:t>I</w:t>
      </w:r>
      <w:r w:rsidR="005D1171">
        <w:t xml:space="preserve">sensor and MANTIS) </w:t>
      </w:r>
      <w:r>
        <w:t xml:space="preserve">use a </w:t>
      </w:r>
      <w:r w:rsidR="005D1171">
        <w:t xml:space="preserve">normal </w:t>
      </w:r>
      <w:r>
        <w:t xml:space="preserve">reference standard against which the repeat lengths of different mononucleotide repeat microsatellite locus are </w:t>
      </w:r>
      <w:r w:rsidR="00252707">
        <w:t xml:space="preserve">directly </w:t>
      </w:r>
      <w:r>
        <w:t xml:space="preserve">compared. </w:t>
      </w:r>
      <w:r w:rsidR="005D1171">
        <w:t>The</w:t>
      </w:r>
      <w:r w:rsidR="00252707">
        <w:t xml:space="preserve"> MSI-ColonCore </w:t>
      </w:r>
      <w:r w:rsidR="00CB5507">
        <w:t xml:space="preserve">algorithm </w:t>
      </w:r>
      <w:r w:rsidR="00252707">
        <w:t>use</w:t>
      </w:r>
      <w:r w:rsidR="00CB5507">
        <w:t>s</w:t>
      </w:r>
      <w:r w:rsidR="00252707">
        <w:t xml:space="preserve"> predetermined </w:t>
      </w:r>
      <w:r w:rsidR="005D1171">
        <w:t xml:space="preserve">baseline </w:t>
      </w:r>
      <w:r>
        <w:t>coverage ratio</w:t>
      </w:r>
      <w:r w:rsidR="00252707">
        <w:t>s</w:t>
      </w:r>
      <w:r>
        <w:t xml:space="preserve"> </w:t>
      </w:r>
      <w:r w:rsidR="005D1171">
        <w:t>and categoris</w:t>
      </w:r>
      <w:r>
        <w:t>e a locus as unstable if the coverage ratio is less than a given threshold. The MSI status of a sample is determined by the percentage of unstable loci in the given sample.</w:t>
      </w:r>
      <w:r w:rsidR="00CB5507">
        <w:t xml:space="preserve"> NGS MSI analysis using these computational algorithms is highly accurate compared with PCR-based MSI testing </w:t>
      </w:r>
      <w:r w:rsidR="00F77139">
        <w:fldChar w:fldCharType="begin">
          <w:fldData xml:space="preserve">PEVuZE5vdGU+PENpdGU+PEF1dGhvcj5LYXV0dG88L0F1dGhvcj48WWVhcj4yMDE2PC9ZZWFyPjxS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</w:fldData>
        </w:fldChar>
      </w:r>
      <w:r w:rsidR="00F77139">
        <w:instrText xml:space="preserve"> ADDIN EN.CITE </w:instrText>
      </w:r>
      <w:r w:rsidR="00F77139">
        <w:fldChar w:fldCharType="begin">
          <w:fldData xml:space="preserve">PEVuZE5vdGU+PENpdGU+PEF1dGhvcj5LYXV0dG88L0F1dGhvcj48WWVhcj4yMDE2PC9ZZWFyPjxS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</w:fldData>
        </w:fldChar>
      </w:r>
      <w:r w:rsidR="00F77139">
        <w:instrText xml:space="preserve"> ADDIN EN.CITE.DATA </w:instrText>
      </w:r>
      <w:r w:rsidR="00F77139">
        <w:fldChar w:fldCharType="end"/>
      </w:r>
      <w:r w:rsidR="00F77139">
        <w:fldChar w:fldCharType="separate"/>
      </w:r>
      <w:r w:rsidR="00F77139">
        <w:rPr>
          <w:noProof/>
        </w:rPr>
        <w:t>(Kautto et al. 2016; Zhu et al. 2018)</w:t>
      </w:r>
      <w:r w:rsidR="00F77139">
        <w:fldChar w:fldCharType="end"/>
      </w:r>
      <w:r w:rsidR="00CB5507">
        <w:t xml:space="preserve">; with sensitivities of </w:t>
      </w:r>
      <w:r w:rsidR="00CB5507" w:rsidRPr="005D1171">
        <w:t>97.9%</w:t>
      </w:r>
      <w:r w:rsidR="00CB5507">
        <w:t xml:space="preserve"> (</w:t>
      </w:r>
      <w:r w:rsidR="005D1171">
        <w:t>MSI-ColonCore</w:t>
      </w:r>
      <w:r w:rsidR="00CB5507">
        <w:t>),</w:t>
      </w:r>
      <w:r w:rsidR="00CB5507" w:rsidRPr="00CB5507">
        <w:t xml:space="preserve"> </w:t>
      </w:r>
      <w:r w:rsidR="00CB5507">
        <w:t xml:space="preserve">97.18% (MANTIS), and 96.48% (MSIsensor) and specificities of </w:t>
      </w:r>
      <w:r w:rsidR="00CB5507" w:rsidRPr="005D1171">
        <w:t>100%</w:t>
      </w:r>
      <w:r w:rsidR="00CB5507">
        <w:t xml:space="preserve"> (</w:t>
      </w:r>
      <w:r w:rsidR="00CB5507" w:rsidRPr="00CB5507">
        <w:t>MSI-ColonCore</w:t>
      </w:r>
      <w:r w:rsidR="00CB5507">
        <w:t>),</w:t>
      </w:r>
      <w:r w:rsidR="005D1171" w:rsidRPr="005D1171">
        <w:t xml:space="preserve"> </w:t>
      </w:r>
      <w:r w:rsidR="00CB5507">
        <w:t>99.68% (</w:t>
      </w:r>
      <w:r w:rsidR="005D1171">
        <w:t>MANTIS</w:t>
      </w:r>
      <w:r w:rsidR="00CB5507">
        <w:t>)</w:t>
      </w:r>
      <w:r w:rsidR="005D1171">
        <w:t xml:space="preserve">, </w:t>
      </w:r>
      <w:r w:rsidR="00CB5507">
        <w:t>and 98.73% (</w:t>
      </w:r>
      <w:r w:rsidR="005D1171">
        <w:t>MSI</w:t>
      </w:r>
      <w:r w:rsidR="003E5828">
        <w:t>s</w:t>
      </w:r>
      <w:r w:rsidR="005D1171">
        <w:t>ensor)</w:t>
      </w:r>
      <w:r w:rsidR="00CB5507">
        <w:t>.</w:t>
      </w:r>
    </w:p>
    <w:p w14:paraId="556C8FC4" w14:textId="4E8014A1" w:rsidR="002E7D1E" w:rsidRDefault="002E7D1E" w:rsidP="002E7D1E">
      <w:pPr>
        <w:spacing w:after="240" w:line="312" w:lineRule="auto"/>
      </w:pPr>
      <w:r>
        <w:t>The biological plausibility of the relationship between the biomarkers of dMMR and MSI-H should be discussed for tumours beyond their more widely understood relationship in the context of Lynch syndrome and CRC.</w:t>
      </w:r>
    </w:p>
    <w:p w14:paraId="2B27CF1C" w14:textId="08BED9FB" w:rsidR="00F26E3F" w:rsidRDefault="00F26E3F" w:rsidP="00F26E3F">
      <w:pPr>
        <w:pStyle w:val="Heading4"/>
      </w:pPr>
      <w:r>
        <w:t>Other possible biomarkers</w:t>
      </w:r>
    </w:p>
    <w:p w14:paraId="36E3F9AD" w14:textId="05455DF0" w:rsidR="00C635B1" w:rsidRDefault="00F26E3F" w:rsidP="00AA13B3">
      <w:pPr>
        <w:spacing w:after="240" w:line="312" w:lineRule="auto"/>
      </w:pPr>
      <w:r>
        <w:rPr>
          <w:bCs/>
        </w:rPr>
        <w:t>O</w:t>
      </w:r>
      <w:r w:rsidR="00B818B5">
        <w:rPr>
          <w:bCs/>
        </w:rPr>
        <w:t xml:space="preserve">ther </w:t>
      </w:r>
      <w:r w:rsidR="007F5D3B">
        <w:rPr>
          <w:bCs/>
        </w:rPr>
        <w:t>MSAC applications have requested p</w:t>
      </w:r>
      <w:r w:rsidR="007F5D3B" w:rsidRPr="007F5D3B">
        <w:rPr>
          <w:bCs/>
        </w:rPr>
        <w:t xml:space="preserve">rogrammed </w:t>
      </w:r>
      <w:r w:rsidR="007F5D3B">
        <w:rPr>
          <w:bCs/>
        </w:rPr>
        <w:t xml:space="preserve">cell </w:t>
      </w:r>
      <w:r w:rsidR="007F5D3B" w:rsidRPr="007F5D3B">
        <w:rPr>
          <w:bCs/>
        </w:rPr>
        <w:t>death-ligand 1 (PD-L1)</w:t>
      </w:r>
      <w:r w:rsidR="007F5D3B">
        <w:rPr>
          <w:bCs/>
        </w:rPr>
        <w:t xml:space="preserve"> testing</w:t>
      </w:r>
      <w:r w:rsidR="006B449B">
        <w:rPr>
          <w:bCs/>
        </w:rPr>
        <w:t>, not dMMR</w:t>
      </w:r>
      <w:r w:rsidR="007F5D3B">
        <w:rPr>
          <w:bCs/>
        </w:rPr>
        <w:t xml:space="preserve"> </w:t>
      </w:r>
      <w:r w:rsidR="005E56FA">
        <w:rPr>
          <w:bCs/>
        </w:rPr>
        <w:t xml:space="preserve">IHC </w:t>
      </w:r>
      <w:r w:rsidR="00F3677F">
        <w:rPr>
          <w:bCs/>
        </w:rPr>
        <w:t>testing</w:t>
      </w:r>
      <w:r w:rsidR="00B818B5">
        <w:rPr>
          <w:bCs/>
        </w:rPr>
        <w:t>, in other cancers to determine</w:t>
      </w:r>
      <w:r w:rsidR="007F5D3B">
        <w:rPr>
          <w:bCs/>
        </w:rPr>
        <w:t xml:space="preserve"> access to pembrolizumab</w:t>
      </w:r>
      <w:r w:rsidR="002E0B15">
        <w:rPr>
          <w:bCs/>
        </w:rPr>
        <w:t xml:space="preserve">. </w:t>
      </w:r>
      <w:r w:rsidR="006B449B" w:rsidRPr="006B449B">
        <w:rPr>
          <w:bCs/>
        </w:rPr>
        <w:t xml:space="preserve">PD-L1 status </w:t>
      </w:r>
      <w:r w:rsidR="006B449B">
        <w:rPr>
          <w:bCs/>
        </w:rPr>
        <w:t xml:space="preserve">is </w:t>
      </w:r>
      <w:r w:rsidR="002E0B15">
        <w:rPr>
          <w:bCs/>
        </w:rPr>
        <w:t xml:space="preserve">determined </w:t>
      </w:r>
      <w:r w:rsidR="006B449B">
        <w:rPr>
          <w:bCs/>
        </w:rPr>
        <w:t>using</w:t>
      </w:r>
      <w:r w:rsidR="002E0B15">
        <w:rPr>
          <w:bCs/>
        </w:rPr>
        <w:t xml:space="preserve"> an IHC PD-L1 test </w:t>
      </w:r>
      <w:r w:rsidR="007E40C1">
        <w:rPr>
          <w:bCs/>
        </w:rPr>
        <w:t xml:space="preserve">and </w:t>
      </w:r>
      <w:r w:rsidR="006B449B">
        <w:rPr>
          <w:bCs/>
        </w:rPr>
        <w:t xml:space="preserve">involves </w:t>
      </w:r>
      <w:r w:rsidR="00B818B5">
        <w:rPr>
          <w:bCs/>
        </w:rPr>
        <w:t xml:space="preserve">a number of </w:t>
      </w:r>
      <w:r w:rsidR="007E40C1">
        <w:rPr>
          <w:bCs/>
        </w:rPr>
        <w:t xml:space="preserve">different </w:t>
      </w:r>
      <w:r w:rsidR="002E0B15">
        <w:rPr>
          <w:bCs/>
        </w:rPr>
        <w:t>scor</w:t>
      </w:r>
      <w:r w:rsidR="006B449B">
        <w:rPr>
          <w:bCs/>
        </w:rPr>
        <w:t>ing</w:t>
      </w:r>
      <w:r w:rsidR="002E0B15">
        <w:rPr>
          <w:bCs/>
        </w:rPr>
        <w:t xml:space="preserve"> </w:t>
      </w:r>
      <w:r w:rsidR="00B818B5">
        <w:rPr>
          <w:bCs/>
        </w:rPr>
        <w:t xml:space="preserve">methods relating to </w:t>
      </w:r>
      <w:r w:rsidR="002E0B15">
        <w:rPr>
          <w:bCs/>
        </w:rPr>
        <w:t xml:space="preserve">the proportion of tumour cells that express detectable levels of PD-L1, and </w:t>
      </w:r>
      <w:r w:rsidR="00B818B5">
        <w:rPr>
          <w:bCs/>
        </w:rPr>
        <w:t xml:space="preserve">a number of </w:t>
      </w:r>
      <w:r w:rsidR="007E40C1">
        <w:rPr>
          <w:bCs/>
        </w:rPr>
        <w:t xml:space="preserve">different </w:t>
      </w:r>
      <w:r w:rsidR="00B818B5">
        <w:rPr>
          <w:bCs/>
        </w:rPr>
        <w:t>threshold proportions</w:t>
      </w:r>
      <w:r w:rsidR="007E40C1">
        <w:rPr>
          <w:bCs/>
        </w:rPr>
        <w:t xml:space="preserve">, depending on the PD-L1 antibody used in the test. </w:t>
      </w:r>
    </w:p>
    <w:p w14:paraId="62EE3564" w14:textId="0800F7CC" w:rsidR="00DA2A3A" w:rsidRDefault="006C6F55" w:rsidP="00DA2A3A">
      <w:pPr>
        <w:spacing w:after="120" w:line="312" w:lineRule="auto"/>
        <w:rPr>
          <w:bCs/>
        </w:rPr>
      </w:pPr>
      <w:r>
        <w:rPr>
          <w:bCs/>
        </w:rPr>
        <w:t xml:space="preserve">Thus, a discussion on </w:t>
      </w:r>
      <w:r w:rsidR="006B449B">
        <w:rPr>
          <w:bCs/>
        </w:rPr>
        <w:t>the</w:t>
      </w:r>
      <w:r>
        <w:rPr>
          <w:bCs/>
        </w:rPr>
        <w:t xml:space="preserve"> reason why the</w:t>
      </w:r>
      <w:r w:rsidR="006B449B">
        <w:rPr>
          <w:bCs/>
        </w:rPr>
        <w:t xml:space="preserve"> PD-L1 biomarker is not used for the CRC or </w:t>
      </w:r>
      <w:r w:rsidR="006B0257">
        <w:rPr>
          <w:bCs/>
        </w:rPr>
        <w:t xml:space="preserve">the </w:t>
      </w:r>
      <w:r w:rsidR="006B449B">
        <w:rPr>
          <w:bCs/>
        </w:rPr>
        <w:t xml:space="preserve">pan-tumour application is </w:t>
      </w:r>
      <w:r w:rsidR="00B818B5">
        <w:rPr>
          <w:bCs/>
        </w:rPr>
        <w:t xml:space="preserve">also </w:t>
      </w:r>
      <w:r w:rsidR="006B449B">
        <w:rPr>
          <w:bCs/>
        </w:rPr>
        <w:t xml:space="preserve">warranted. </w:t>
      </w:r>
      <w:r w:rsidR="00DA2A3A">
        <w:rPr>
          <w:bCs/>
        </w:rPr>
        <w:t>This discussion should answer potential questions such as:</w:t>
      </w:r>
    </w:p>
    <w:p w14:paraId="67832B78" w14:textId="77777777" w:rsidR="00DA2A3A" w:rsidRDefault="00DA2A3A" w:rsidP="0026448E">
      <w:pPr>
        <w:numPr>
          <w:ilvl w:val="0"/>
          <w:numId w:val="8"/>
        </w:numPr>
        <w:spacing w:after="240" w:line="312" w:lineRule="auto"/>
        <w:ind w:left="426" w:hanging="352"/>
        <w:contextualSpacing/>
      </w:pPr>
      <w:r w:rsidRPr="00DA2A3A">
        <w:t>Once the potential problems and limitations of PD-L1 testing have been overcome, c</w:t>
      </w:r>
      <w:r w:rsidR="006B449B" w:rsidRPr="00DA2A3A">
        <w:t>ould PD-L1 testing be used as an alternative biomarker</w:t>
      </w:r>
      <w:r w:rsidRPr="00DA2A3A">
        <w:t xml:space="preserve"> in the CRC and pan-tumour populations?</w:t>
      </w:r>
    </w:p>
    <w:p w14:paraId="2E279B3F" w14:textId="77777777" w:rsidR="00DA2A3A" w:rsidRDefault="00DA2A3A" w:rsidP="0026448E">
      <w:pPr>
        <w:numPr>
          <w:ilvl w:val="0"/>
          <w:numId w:val="8"/>
        </w:numPr>
        <w:spacing w:after="240" w:line="312" w:lineRule="auto"/>
        <w:ind w:left="426" w:hanging="352"/>
        <w:contextualSpacing/>
      </w:pPr>
      <w:r w:rsidRPr="00DA2A3A">
        <w:t>Can the over-expression of PD-L1 by dMMR tumour cells be detected by the PD-L1 IHC test?</w:t>
      </w:r>
    </w:p>
    <w:p w14:paraId="407B9501" w14:textId="5373723D" w:rsidR="006B449B" w:rsidRDefault="00DA2A3A" w:rsidP="0026448E">
      <w:pPr>
        <w:numPr>
          <w:ilvl w:val="0"/>
          <w:numId w:val="8"/>
        </w:numPr>
        <w:spacing w:after="240" w:line="312" w:lineRule="auto"/>
        <w:ind w:left="426" w:hanging="352"/>
        <w:contextualSpacing/>
      </w:pPr>
      <w:r w:rsidRPr="00DA2A3A">
        <w:lastRenderedPageBreak/>
        <w:t>W</w:t>
      </w:r>
      <w:r w:rsidR="006B449B" w:rsidRPr="00DA2A3A">
        <w:t>ould the PD-L1 test identify a similar, broader or entirely different sub-population that would be eligible for pembrolizumab?</w:t>
      </w:r>
    </w:p>
    <w:p w14:paraId="1217C76C" w14:textId="77777777" w:rsidR="007E40C1" w:rsidRDefault="007E40C1" w:rsidP="007E40C1">
      <w:pPr>
        <w:numPr>
          <w:ilvl w:val="0"/>
          <w:numId w:val="8"/>
        </w:numPr>
        <w:spacing w:after="240" w:line="312" w:lineRule="auto"/>
        <w:ind w:left="426" w:hanging="352"/>
        <w:contextualSpacing/>
      </w:pPr>
      <w:r>
        <w:t>How does the relationship between dMMR and PD-L1 overexpression vary in different tumour types?</w:t>
      </w:r>
    </w:p>
    <w:p w14:paraId="49ED7543" w14:textId="44A2DF70" w:rsidR="00D90E04" w:rsidRDefault="00D90E04" w:rsidP="00B818B5">
      <w:pPr>
        <w:numPr>
          <w:ilvl w:val="0"/>
          <w:numId w:val="8"/>
        </w:numPr>
        <w:spacing w:after="0" w:line="312" w:lineRule="auto"/>
        <w:ind w:left="426" w:hanging="352"/>
      </w:pPr>
      <w:r>
        <w:t>How informative is biomarker testing in non-CRC pan-tumours, given that pembrolizumab access in at least one tumour type (melanoma) requires no biomarker testing for treatment?</w:t>
      </w:r>
      <w:r w:rsidR="00F8186C">
        <w:t xml:space="preserve"> (presumably as a consequence of the prevalence of the PD-L1 biomarker in melanoma)</w:t>
      </w:r>
    </w:p>
    <w:p w14:paraId="1921E6E0" w14:textId="3703D507" w:rsidR="00F8186C" w:rsidRDefault="00F8186C" w:rsidP="007E40C1">
      <w:pPr>
        <w:numPr>
          <w:ilvl w:val="0"/>
          <w:numId w:val="8"/>
        </w:numPr>
        <w:spacing w:after="240" w:line="312" w:lineRule="auto"/>
        <w:ind w:left="426" w:hanging="342"/>
        <w:contextualSpacing/>
      </w:pPr>
      <w:r>
        <w:t>Is sequential testing an option</w:t>
      </w:r>
      <w:r w:rsidR="003F3F1B">
        <w:t>,</w:t>
      </w:r>
      <w:r>
        <w:t xml:space="preserve"> i</w:t>
      </w:r>
      <w:r w:rsidR="003F3F1B">
        <w:t>.</w:t>
      </w:r>
      <w:r>
        <w:t>e</w:t>
      </w:r>
      <w:r w:rsidR="003F3F1B">
        <w:t>.</w:t>
      </w:r>
      <w:r>
        <w:t xml:space="preserve"> PD-L1 testing, and if negative, dMMR testing</w:t>
      </w:r>
      <w:r w:rsidR="007E40C1" w:rsidRPr="007E40C1">
        <w:t xml:space="preserve"> or </w:t>
      </w:r>
      <w:r w:rsidR="007E40C1" w:rsidRPr="007E40C1">
        <w:rPr>
          <w:i/>
        </w:rPr>
        <w:t>vice versa</w:t>
      </w:r>
      <w:r>
        <w:t>?</w:t>
      </w:r>
    </w:p>
    <w:p w14:paraId="1C92F2A1" w14:textId="4419CFFB" w:rsidR="006206F2" w:rsidRDefault="006206F2" w:rsidP="007E40C1">
      <w:pPr>
        <w:numPr>
          <w:ilvl w:val="0"/>
          <w:numId w:val="8"/>
        </w:numPr>
        <w:spacing w:after="240" w:line="312" w:lineRule="auto"/>
        <w:ind w:left="426" w:hanging="352"/>
        <w:contextualSpacing/>
      </w:pPr>
      <w:r>
        <w:t xml:space="preserve">One study by Rosenbaum et al. </w:t>
      </w:r>
      <w:r w:rsidR="00F77139">
        <w:fldChar w:fldCharType="begin"/>
      </w:r>
      <w:r w:rsidR="00F77139">
        <w:instrText xml:space="preserve"> ADDIN EN.CITE &lt;EndNote&gt;&lt;Cite ExcludeAuth="1"&gt;&lt;Author&gt;Rosenbaum&lt;/Author&gt;&lt;Year&gt;2016&lt;/Year&gt;&lt;RecNum&gt;13&lt;/RecNum&gt;&lt;DisplayText&gt;(2016)&lt;/DisplayText&gt;&lt;record&gt;&lt;rec-number&gt;13&lt;/rec-number&gt;&lt;foreign-keys&gt;&lt;key app="EN" db-id="20rafrsx2d50edew5w15fz0q0dvfzstzed55" timestamp="1509495492"&gt;13&lt;/key&gt;&lt;/foreign-keys&gt;&lt;ref-type name="Journal Article"&gt;17&lt;/ref-type&gt;&lt;contributors&gt;&lt;authors&gt;&lt;author&gt;Rosenbaum, M. W.&lt;/author&gt;&lt;author&gt;Bledsoe, J. R.&lt;/author&gt;&lt;author&gt;Morales-Oyarvide, V.&lt;/author&gt;&lt;author&gt;Huynh, T. G.&lt;/author&gt;&lt;author&gt;Mino-Kenudson, M.&lt;/author&gt;&lt;/authors&gt;&lt;/contributors&gt;&lt;auth-address&gt;Department of Pathology, Massachusetts General Hospital, Boston, MA, USA.&amp;#xD;Department of Epidemiology and Biostatistics, Harvard T.H. Chan School of Public Health, Boston, MA, USA.&amp;#xD;Department of Pathology, Harvard Medical School, Boston, MA, USA.&lt;/auth-address&gt;&lt;titles&gt;&lt;title&gt;PD-L1 expression in colorectal cancer is associated with microsatellite instability, BRAF mutation, medullary morphology and cytotoxic tumor-infiltrating lymphocytes&lt;/title&gt;&lt;secondary-title&gt;Mod Pathol&lt;/secondary-title&gt;&lt;/titles&gt;&lt;periodical&gt;&lt;full-title&gt;Mod Pathol&lt;/full-title&gt;&lt;/periodical&gt;&lt;edition&gt;2016/05/21&lt;/edition&gt;&lt;dates&gt;&lt;year&gt;2016&lt;/year&gt;&lt;pub-dates&gt;&lt;date&gt;May 20&lt;/date&gt;&lt;/pub-dates&gt;&lt;/dates&gt;&lt;isbn&gt;1530-0285 (Electronic)&amp;#xD;0893-3952 (Linking)&lt;/isbn&gt;&lt;accession-num&gt;27198569&lt;/accession-num&gt;&lt;urls&gt;&lt;related-urls&gt;&lt;url&gt;http://www.nature.com/modpathol/journal/vaop/ncurrent/pdf/modpathol201695a.pdf&lt;/url&gt;&lt;/related-urls&gt;&lt;/urls&gt;&lt;electronic-resource-num&gt;10.1038/modpathol.2016.95&lt;/electronic-resource-num&gt;&lt;remote-database-provider&gt;NLM&lt;/remote-database-provider&gt;&lt;language&gt;Eng&lt;/language&gt;&lt;/record&gt;&lt;/Cite&gt;&lt;/EndNote&gt;</w:instrText>
      </w:r>
      <w:r w:rsidR="00F77139">
        <w:fldChar w:fldCharType="separate"/>
      </w:r>
      <w:r w:rsidR="00F77139">
        <w:rPr>
          <w:noProof/>
        </w:rPr>
        <w:t>(2016)</w:t>
      </w:r>
      <w:r w:rsidR="00F77139">
        <w:fldChar w:fldCharType="end"/>
      </w:r>
      <w:r>
        <w:t xml:space="preserve"> found that only 9% of patients with MSI-H</w:t>
      </w:r>
      <w:r w:rsidR="0040368F">
        <w:t xml:space="preserve"> (a marker for dMMR)</w:t>
      </w:r>
      <w:r>
        <w:t xml:space="preserve"> CRC tumours had IHC-detectable PD-L1 expression levels.</w:t>
      </w:r>
      <w:r w:rsidR="000E6E28">
        <w:t xml:space="preserve"> Why </w:t>
      </w:r>
      <w:r w:rsidR="00B909A6">
        <w:t>would</w:t>
      </w:r>
      <w:r w:rsidR="000E6E28">
        <w:t xml:space="preserve"> pembrolizumab</w:t>
      </w:r>
      <w:r w:rsidR="0040368F">
        <w:t>, which directly inhibit</w:t>
      </w:r>
      <w:r w:rsidR="00A9672E">
        <w:t>s</w:t>
      </w:r>
      <w:r w:rsidR="0040368F">
        <w:t xml:space="preserve"> the PD-1/PD-L1 signal transduction pathway,</w:t>
      </w:r>
      <w:r w:rsidR="000E6E28">
        <w:t xml:space="preserve"> </w:t>
      </w:r>
      <w:r w:rsidR="00B909A6">
        <w:t xml:space="preserve">be </w:t>
      </w:r>
      <w:r w:rsidR="000E6E28">
        <w:t>effective in dMMR tumours with undetectable PD-L1 levels</w:t>
      </w:r>
      <w:r w:rsidR="00B818B5">
        <w:t>,</w:t>
      </w:r>
      <w:r w:rsidR="0040368F">
        <w:t xml:space="preserve"> but not </w:t>
      </w:r>
      <w:r w:rsidR="000E6E28">
        <w:t>MMR-proficient tumours?</w:t>
      </w:r>
      <w:r w:rsidR="00A9672E">
        <w:t xml:space="preserve"> Especially MMR-proficient tumours with detectable PD-L1 expression levels.</w:t>
      </w:r>
    </w:p>
    <w:p w14:paraId="4314826B" w14:textId="4E3B1616" w:rsidR="007E40C1" w:rsidRPr="007E40C1" w:rsidRDefault="007E40C1" w:rsidP="007E40C1">
      <w:pPr>
        <w:numPr>
          <w:ilvl w:val="0"/>
          <w:numId w:val="8"/>
        </w:numPr>
        <w:spacing w:after="240" w:line="312" w:lineRule="auto"/>
        <w:ind w:left="426" w:hanging="352"/>
      </w:pPr>
      <w:r w:rsidRPr="007E40C1">
        <w:t xml:space="preserve">It is feasible that PD-L1 testing may be a more clinically relevant test for determining eligibility for pembrolizumab in patients with solid tumour types that have a very low dMMR prevalence rate. A study by Mills et al. </w:t>
      </w:r>
      <w:r w:rsidR="00F77139">
        <w:fldChar w:fldCharType="begin"/>
      </w:r>
      <w:r w:rsidR="00F77139">
        <w:instrText xml:space="preserve"> ADDIN EN.CITE &lt;EndNote&gt;&lt;Cite ExcludeAuth="1"&gt;&lt;Author&gt;Mills&lt;/Author&gt;&lt;Year&gt;2017&lt;/Year&gt;&lt;RecNum&gt;19&lt;/RecNum&gt;&lt;DisplayText&gt;(2017)&lt;/DisplayText&gt;&lt;record&gt;&lt;rec-number&gt;19&lt;/rec-number&gt;&lt;foreign-keys&gt;&lt;key app="EN" db-id="20rafrsx2d50edew5w15fz0q0dvfzstzed55" timestamp="1515554957"&gt;19&lt;/key&gt;&lt;/foreign-keys&gt;&lt;ref-type name="Journal Article"&gt;17&lt;/ref-type&gt;&lt;contributors&gt;&lt;authors&gt;&lt;author&gt;Mills, A. M.&lt;/author&gt;&lt;author&gt;Dill, E. A.&lt;/author&gt;&lt;author&gt;Moskaluk, C. A.&lt;/author&gt;&lt;author&gt;Dziegielewski, J.&lt;/author&gt;&lt;author&gt;Bullock, T. N.&lt;/author&gt;&lt;author&gt;Dillon, P. M.&lt;/author&gt;&lt;/authors&gt;&lt;/contributors&gt;&lt;auth-address&gt;Departments of *Pathology daggerRadiation Oncology double daggerMedicine, Hematology/Oncology, University of Virginia, Charlottesville, VA.&lt;/auth-address&gt;&lt;titles&gt;&lt;title&gt;The Relationship Between Mismatch Repair Deficiency and PD-L1 Expression in Breast Carcinoma&lt;/title&gt;&lt;secondary-title&gt;Am J Surg Pathol&lt;/secondary-title&gt;&lt;/titles&gt;&lt;periodical&gt;&lt;full-title&gt;Am J Surg Pathol&lt;/full-title&gt;&lt;/periodical&gt;&lt;edition&gt;2017/09/16&lt;/edition&gt;&lt;dates&gt;&lt;year&gt;2017&lt;/year&gt;&lt;pub-dates&gt;&lt;date&gt;Sep 13&lt;/date&gt;&lt;/pub-dates&gt;&lt;/dates&gt;&lt;isbn&gt;1532-0979 (Electronic)&amp;#xD;0147-5185 (Linking)&lt;/isbn&gt;&lt;accession-num&gt;28914717&lt;/accession-num&gt;&lt;urls&gt;&lt;related-urls&gt;&lt;url&gt;https://insights.ovid.com/crossref?an=00000478-900000000-97985&lt;/url&gt;&lt;url&gt;https://insights.ovid.com/crossref?an=00000478-201802000-00006&lt;/url&gt;&lt;/related-urls&gt;&lt;/urls&gt;&lt;electronic-resource-num&gt;10.1097/pas.0000000000000949&lt;/electronic-resource-num&gt;&lt;remote-database-provider&gt;NLM&lt;/remote-database-provider&gt;&lt;language&gt;eng&lt;/language&gt;&lt;/record&gt;&lt;/Cite&gt;&lt;/EndNote&gt;</w:instrText>
      </w:r>
      <w:r w:rsidR="00F77139">
        <w:fldChar w:fldCharType="separate"/>
      </w:r>
      <w:r w:rsidR="00F77139">
        <w:rPr>
          <w:noProof/>
        </w:rPr>
        <w:t>(2017)</w:t>
      </w:r>
      <w:r w:rsidR="00F77139">
        <w:fldChar w:fldCharType="end"/>
      </w:r>
      <w:r w:rsidRPr="007E40C1">
        <w:t xml:space="preserve"> reported that 12% of breast cancers tested (32% of triple-negative breast cancers) expressed PD-L1 while dMMR was found in only 1 case out of 285 samples (giving a 0.4% prevalence rate). The dMMR case was also PD-L1 positive, indicating that the PD-L1 test was sufficient to detect all patients likely to benefit from pembrolizumab in this study. However, further testing would be needed to determine if this scenario is true for all dMMR breast cancers.</w:t>
      </w:r>
    </w:p>
    <w:p w14:paraId="04DC14EC" w14:textId="77777777" w:rsidR="007E40C1" w:rsidRPr="007E40C1" w:rsidRDefault="007E40C1" w:rsidP="00284782">
      <w:pPr>
        <w:pStyle w:val="Heading3"/>
      </w:pPr>
      <w:bookmarkStart w:id="55" w:name="_Toc504561301"/>
      <w:bookmarkStart w:id="56" w:name="_Toc29557660"/>
      <w:r w:rsidRPr="007E40C1">
        <w:t>Multiple predictive biomarkers that predict response to the targeted therapy</w:t>
      </w:r>
      <w:bookmarkEnd w:id="55"/>
      <w:bookmarkEnd w:id="56"/>
    </w:p>
    <w:p w14:paraId="0A1B513E" w14:textId="462831BE" w:rsidR="007E40C1" w:rsidRPr="007E40C1" w:rsidRDefault="007E40C1" w:rsidP="007E40C1">
      <w:pPr>
        <w:spacing w:after="240" w:line="312" w:lineRule="auto"/>
      </w:pPr>
      <w:r w:rsidRPr="007E40C1">
        <w:t xml:space="preserve">Although the focus of the current pan-tumour application is to identify patients who will likely respond to immune checkpoint inhibitors due to their dMMR phenotype, there are many other known (and as yet unknown) genetic mutations that lead to tumours with an increased tumour mutation burden (TMB). Next generation sequencing (NGS) panels are currently being used in the research setting to identify these tumours, and the causative activating gene mutations. Rizvi et al. </w:t>
      </w:r>
      <w:r w:rsidR="00F77139">
        <w:fldChar w:fldCharType="begin">
          <w:fldData xml:space="preserve">PEVuZE5vdGU+PENpdGUgRXhjbHVkZUF1dGg9IjEiPjxBdXRob3I+Uml6dmk8L0F1dGhvcj48WWVh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</w:fldData>
        </w:fldChar>
      </w:r>
      <w:r w:rsidR="00F77139">
        <w:instrText xml:space="preserve"> ADDIN EN.CITE </w:instrText>
      </w:r>
      <w:r w:rsidR="00F77139">
        <w:fldChar w:fldCharType="begin">
          <w:fldData xml:space="preserve">PEVuZE5vdGU+PENpdGUgRXhjbHVkZUF1dGg9IjEiPjxBdXRob3I+Uml6dmk8L0F1dGhvcj48WWVh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</w:fldData>
        </w:fldChar>
      </w:r>
      <w:r w:rsidR="00F77139">
        <w:instrText xml:space="preserve"> ADDIN EN.CITE.DATA </w:instrText>
      </w:r>
      <w:r w:rsidR="00F77139">
        <w:fldChar w:fldCharType="end"/>
      </w:r>
      <w:r w:rsidR="00F77139">
        <w:fldChar w:fldCharType="separate"/>
      </w:r>
      <w:r w:rsidR="00F77139">
        <w:rPr>
          <w:noProof/>
        </w:rPr>
        <w:t>(2018)</w:t>
      </w:r>
      <w:r w:rsidR="00F77139">
        <w:fldChar w:fldCharType="end"/>
      </w:r>
      <w:r w:rsidRPr="007E40C1">
        <w:t xml:space="preserve"> reviewed 240 patients with NSCLC who had been treated with immune checkpoint inhibitors (anti-PD-1/PD-L1 alone or in combination with anti-CTLA-4). In addition, these patients had had NGS molecular profiling to determine TMB, PD-L1 testing to determine proportion of tumour cells with membranous staining and radiologically evaluation for their clinical response. The authors found that the TMB was significantly greater in patients with a durable clinical benefit from immune checkpoint inhibitors than in those with no durable benefit (p=0.006). They also found that TMB and PD-L1 expression were independent variables, and a composite of these two variables further enriched for patients who would benefit from immune checkpoint inhibitor therapy. They reported that 50% of NSCLC patients with a high TMB and high PD-L1 expression (defined as ≥1% of tumour cells) had a durable clinical benefit compared to 35%, 29% and 18% of patients with high PD-L1 alone, high TMB alone and low TMB/PD-L1, respectively.</w:t>
      </w:r>
    </w:p>
    <w:p w14:paraId="55087124" w14:textId="77777777" w:rsidR="007E40C1" w:rsidRPr="007E40C1" w:rsidRDefault="007E40C1" w:rsidP="007E40C1">
      <w:pPr>
        <w:keepNext/>
        <w:spacing w:before="240" w:after="120"/>
        <w:jc w:val="left"/>
        <w:outlineLvl w:val="3"/>
        <w:rPr>
          <w:b/>
          <w:szCs w:val="24"/>
        </w:rPr>
      </w:pPr>
      <w:r w:rsidRPr="007E40C1">
        <w:rPr>
          <w:b/>
          <w:szCs w:val="24"/>
        </w:rPr>
        <w:lastRenderedPageBreak/>
        <w:t>Other mutations known to lead to increased TMB</w:t>
      </w:r>
    </w:p>
    <w:p w14:paraId="3FE96611" w14:textId="2604FBDA" w:rsidR="007E40C1" w:rsidRPr="007E40C1" w:rsidRDefault="007E40C1" w:rsidP="007E40C1">
      <w:pPr>
        <w:spacing w:after="240" w:line="312" w:lineRule="auto"/>
      </w:pPr>
      <w:r w:rsidRPr="007E40C1">
        <w:t xml:space="preserve">Tumours with an increased TMB or hyper-mutated tumours can have either MSI-H or microsatellite stable phenotypes. Cancers mutated in the exonuclease (proofreading) domain of the catalytic subunits of the DNA polymerase delta and epsilon (POLD1 and POLE) have hyper-mutated but microsatellite stable cancer phenotypes, with large numbers of CD8+ tumour infiltrating lymphocytes </w:t>
      </w:r>
      <w:r w:rsidR="00F77139">
        <w:fldChar w:fldCharType="begin">
          <w:fldData xml:space="preserve">PEVuZE5vdGU+PENpdGU+PEF1dGhvcj5CcmlnZ3M8L0F1dGhvcj48WWVhcj4yMDEzPC9ZZWFyPjxS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</w:fldData>
        </w:fldChar>
      </w:r>
      <w:r w:rsidR="00F77139">
        <w:instrText xml:space="preserve"> ADDIN EN.CITE </w:instrText>
      </w:r>
      <w:r w:rsidR="00F77139">
        <w:fldChar w:fldCharType="begin">
          <w:fldData xml:space="preserve">PEVuZE5vdGU+PENpdGU+PEF1dGhvcj5CcmlnZ3M8L0F1dGhvcj48WWVhcj4yMDEzPC9ZZWFyPjxS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</w:fldData>
        </w:fldChar>
      </w:r>
      <w:r w:rsidR="00F77139">
        <w:instrText xml:space="preserve"> ADDIN EN.CITE.DATA </w:instrText>
      </w:r>
      <w:r w:rsidR="00F77139">
        <w:fldChar w:fldCharType="end"/>
      </w:r>
      <w:r w:rsidR="00F77139">
        <w:fldChar w:fldCharType="separate"/>
      </w:r>
      <w:r w:rsidR="00F77139">
        <w:rPr>
          <w:noProof/>
        </w:rPr>
        <w:t>(Briggs &amp; Tomlinson 2013)</w:t>
      </w:r>
      <w:r w:rsidR="00F77139">
        <w:fldChar w:fldCharType="end"/>
      </w:r>
      <w:r w:rsidRPr="007E40C1">
        <w:t xml:space="preserve">. BRCA1/2 proteins participate in double-stranded DNA break repair via homologous recombination, and mutations in these genes, especially BRCA2, lead to hyper-mutated MSI-H cancers with significantly increased CD3+ and CD8+ tumour-infiltrating lymphocytes, as well as elevated expression of PD-1 and PD-L1 in tumour-associated immune cells </w:t>
      </w:r>
      <w:r w:rsidR="00F77139">
        <w:fldChar w:fldCharType="begin">
          <w:fldData xml:space="preserve">PEVuZE5vdGU+PENpdGU+PEF1dGhvcj5TdHJpY2tsYW5kPC9BdXRob3I+PFllYXI+MjAxNjwvWWVh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</w:fldData>
        </w:fldChar>
      </w:r>
      <w:r w:rsidR="00F77139">
        <w:instrText xml:space="preserve"> ADDIN EN.CITE </w:instrText>
      </w:r>
      <w:r w:rsidR="00F77139">
        <w:fldChar w:fldCharType="begin">
          <w:fldData xml:space="preserve">PEVuZE5vdGU+PENpdGU+PEF1dGhvcj5TdHJpY2tsYW5kPC9BdXRob3I+PFllYXI+MjAxNjwvWWVh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</w:fldData>
        </w:fldChar>
      </w:r>
      <w:r w:rsidR="00F77139">
        <w:instrText xml:space="preserve"> ADDIN EN.CITE.DATA </w:instrText>
      </w:r>
      <w:r w:rsidR="00F77139">
        <w:fldChar w:fldCharType="end"/>
      </w:r>
      <w:r w:rsidR="00F77139">
        <w:fldChar w:fldCharType="separate"/>
      </w:r>
      <w:r w:rsidR="00F77139">
        <w:rPr>
          <w:noProof/>
        </w:rPr>
        <w:t>(Strickland et al. 2016)</w:t>
      </w:r>
      <w:r w:rsidR="00F77139">
        <w:fldChar w:fldCharType="end"/>
      </w:r>
      <w:r w:rsidRPr="007E40C1">
        <w:t xml:space="preserve">. EGFR and NRTK mutations have also been strongly associated with the MSI-H phenotype in CRC </w:t>
      </w:r>
      <w:r w:rsidR="00F77139">
        <w:fldChar w:fldCharType="begin"/>
      </w:r>
      <w:r w:rsidR="00F77139">
        <w:instrText xml:space="preserve"> ADDIN EN.CITE &lt;EndNote&gt;&lt;Cite&gt;&lt;Author&gt;Gokare&lt;/Author&gt;&lt;Year&gt;2017&lt;/Year&gt;&lt;RecNum&gt;24&lt;/RecNum&gt;&lt;DisplayText&gt;(Gokare, Lulla &amp;amp; El-Deiry 2017)&lt;/DisplayText&gt;&lt;record&gt;&lt;rec-number&gt;24&lt;/rec-number&gt;&lt;foreign-keys&gt;&lt;key app="EN" db-id="20rafrsx2d50edew5w15fz0q0dvfzstzed55" timestamp="1515642935"&gt;24&lt;/key&gt;&lt;/foreign-keys&gt;&lt;ref-type name="Journal Article"&gt;17&lt;/ref-type&gt;&lt;contributors&gt;&lt;authors&gt;&lt;author&gt;Gokare, P.&lt;/author&gt;&lt;author&gt;Lulla, A. R.&lt;/author&gt;&lt;author&gt;El-Deiry, W. S.&lt;/author&gt;&lt;/authors&gt;&lt;/contributors&gt;&lt;auth-address&gt;Department of Hematology/Oncology and Molecular Therapeutics Program, Laboratory of Translational Oncology and Experimental Cancer Therapeutics, Fox Chase Cancer Center, Philadelphia, PA 19111, USA.&lt;/auth-address&gt;&lt;titles&gt;&lt;title&gt;MMR-deficiency and BRCA2/EGFR/NTRK mutations&lt;/title&gt;&lt;secondary-title&gt;Aging (Albany NY)&lt;/secondary-title&gt;&lt;/titles&gt;&lt;periodical&gt;&lt;full-title&gt;Aging (Albany NY)&lt;/full-title&gt;&lt;/periodical&gt;&lt;pages&gt;1849-1850&lt;/pages&gt;&lt;volume&gt;9&lt;/volume&gt;&lt;number&gt;8&lt;/number&gt;&lt;edition&gt;2017/08/08&lt;/edition&gt;&lt;keywords&gt;&lt;keyword&gt;Brca2&lt;/keyword&gt;&lt;keyword&gt;Crc&lt;/keyword&gt;&lt;keyword&gt;Egfr&lt;/keyword&gt;&lt;keyword&gt;Msi-h&lt;/keyword&gt;&lt;keyword&gt;Ntrk&lt;/keyword&gt;&lt;/keywords&gt;&lt;dates&gt;&lt;year&gt;2017&lt;/year&gt;&lt;pub-dates&gt;&lt;date&gt;Aug 3&lt;/date&gt;&lt;/pub-dates&gt;&lt;/dates&gt;&lt;isbn&gt;1945-4589 (Electronic)&amp;#xD;1945-4589 (Linking)&lt;/isbn&gt;&lt;accession-num&gt;28783711&lt;/accession-num&gt;&lt;urls&gt;&lt;related-urls&gt;&lt;url&gt;https://www.ncbi.nlm.nih.gov/pmc/articles/PMC5611973/pdf/aging-09-1849.pdf&lt;/url&gt;&lt;/related-urls&gt;&lt;/urls&gt;&lt;custom2&gt;PMC5611973&lt;/custom2&gt;&lt;electronic-resource-num&gt;10.18632/aging.101275&lt;/electronic-resource-num&gt;&lt;remote-database-provider&gt;NLM&lt;/remote-database-provider&gt;&lt;language&gt;eng&lt;/language&gt;&lt;/record&gt;&lt;/Cite&gt;&lt;/EndNote&gt;</w:instrText>
      </w:r>
      <w:r w:rsidR="00F77139">
        <w:fldChar w:fldCharType="separate"/>
      </w:r>
      <w:r w:rsidR="00F77139">
        <w:rPr>
          <w:noProof/>
        </w:rPr>
        <w:t>(Gokare, Lulla &amp; El-Deiry 2017)</w:t>
      </w:r>
      <w:r w:rsidR="00F77139">
        <w:fldChar w:fldCharType="end"/>
      </w:r>
      <w:r w:rsidRPr="007E40C1">
        <w:t xml:space="preserve">. Tumours expressing these hyper-mutated phenotypes are all likely to benefit from immune checkpoint inhibitors, but targeted therapies directed against the activating mutations are also available in some cases, such as EGFR. Should an EGFR mutation-positive MSI-H CRC tumour initially receive targeted treatment for the EGFR mutation or the MSI-H phenotype, or both? Additionally, does the same association occur in other cancer types? For example, in the study by Rizvi et al. </w:t>
      </w:r>
      <w:r w:rsidR="00F77139">
        <w:fldChar w:fldCharType="begin">
          <w:fldData xml:space="preserve">PEVuZE5vdGU+PENpdGUgRXhjbHVkZUF1dGg9IjEiPjxBdXRob3I+Uml6dmk8L0F1dGhvcj48WWVh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</w:fldData>
        </w:fldChar>
      </w:r>
      <w:r w:rsidR="00F77139">
        <w:instrText xml:space="preserve"> ADDIN EN.CITE </w:instrText>
      </w:r>
      <w:r w:rsidR="00F77139">
        <w:fldChar w:fldCharType="begin">
          <w:fldData xml:space="preserve">PEVuZE5vdGU+PENpdGUgRXhjbHVkZUF1dGg9IjEiPjxBdXRob3I+Uml6dmk8L0F1dGhvcj48WWVh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</w:fldData>
        </w:fldChar>
      </w:r>
      <w:r w:rsidR="00F77139">
        <w:instrText xml:space="preserve"> ADDIN EN.CITE.DATA </w:instrText>
      </w:r>
      <w:r w:rsidR="00F77139">
        <w:fldChar w:fldCharType="end"/>
      </w:r>
      <w:r w:rsidR="00F77139">
        <w:fldChar w:fldCharType="separate"/>
      </w:r>
      <w:r w:rsidR="00F77139">
        <w:rPr>
          <w:noProof/>
        </w:rPr>
        <w:t>(2018)</w:t>
      </w:r>
      <w:r w:rsidR="00F77139">
        <w:fldChar w:fldCharType="end"/>
      </w:r>
      <w:r w:rsidRPr="007E40C1">
        <w:t xml:space="preserve"> discussed above, NSCLC patients with an EGFR mutation rarely experienced a durable clinical benefit when treated with an immune checkpoint inhibitor; however, the authors did not comment on whether or not these patients also had a high TMB.</w:t>
      </w:r>
    </w:p>
    <w:p w14:paraId="77FD7AE8" w14:textId="438661B3" w:rsidR="007E40C1" w:rsidRDefault="007E40C1" w:rsidP="007E40C1">
      <w:pPr>
        <w:spacing w:after="240" w:line="312" w:lineRule="auto"/>
      </w:pPr>
      <w:r w:rsidRPr="007E40C1">
        <w:t xml:space="preserve">Thus, the identification of tumours likely to respond to immune checkpoint inhibitors and/or other targeted therapies will become much more complex, probably leading to complementary NGS and IHC screening panels to identify patients suitable for immune checkpoint inhibitors and/or other targeted therapies. Kim et al. </w:t>
      </w:r>
      <w:r w:rsidR="00F77139">
        <w:fldChar w:fldCharType="begin">
          <w:fldData xml:space="preserve">PEVuZE5vdGU+PENpdGUgRXhjbHVkZUF1dGg9IjEiPjxBdXRob3I+S2ltPC9BdXRob3I+PFllYXI+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</w:fldData>
        </w:fldChar>
      </w:r>
      <w:r w:rsidR="00F77139">
        <w:instrText xml:space="preserve"> ADDIN EN.CITE </w:instrText>
      </w:r>
      <w:r w:rsidR="00F77139">
        <w:fldChar w:fldCharType="begin">
          <w:fldData xml:space="preserve">PEVuZE5vdGU+PENpdGUgRXhjbHVkZUF1dGg9IjEiPjxBdXRob3I+S2ltPC9BdXRob3I+PFllYXI+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</w:fldData>
        </w:fldChar>
      </w:r>
      <w:r w:rsidR="00F77139">
        <w:instrText xml:space="preserve"> ADDIN EN.CITE.DATA </w:instrText>
      </w:r>
      <w:r w:rsidR="00F77139">
        <w:fldChar w:fldCharType="end"/>
      </w:r>
      <w:r w:rsidR="00F77139">
        <w:fldChar w:fldCharType="separate"/>
      </w:r>
      <w:r w:rsidR="00F77139">
        <w:rPr>
          <w:noProof/>
        </w:rPr>
        <w:t>(2017)</w:t>
      </w:r>
      <w:r w:rsidR="00F77139">
        <w:fldChar w:fldCharType="end"/>
      </w:r>
      <w:r w:rsidRPr="007E40C1">
        <w:t xml:space="preserve"> used NGS and IHC panels on 81 patients with advanced/metastatic gastric cancer and identified 19 patients who received targeted therapies. Two of these patients had dMMR tumours and received treatment with a PD-1 inhibitor. Although this type of approach is likely to be the focus of pan-tumour applications in the future, this discussion paper will focus on dMMR being the causative agent of the MSI-H phenotype.</w:t>
      </w:r>
    </w:p>
    <w:p w14:paraId="790F207F" w14:textId="7DD8954F" w:rsidR="003162ED" w:rsidRDefault="003162ED" w:rsidP="003162ED">
      <w:pPr>
        <w:spacing w:after="240" w:line="312" w:lineRule="auto"/>
      </w:pPr>
      <w:r>
        <w:t xml:space="preserve">The tests listed in Table 1 have been used to determine </w:t>
      </w:r>
      <w:r w:rsidR="00733487">
        <w:t xml:space="preserve">the </w:t>
      </w:r>
      <w:r>
        <w:t xml:space="preserve">status </w:t>
      </w:r>
      <w:r w:rsidR="00733487">
        <w:t>of biomarker</w:t>
      </w:r>
      <w:r w:rsidR="00684BA4">
        <w:t>s</w:t>
      </w:r>
      <w:r w:rsidR="00733487">
        <w:t xml:space="preserve"> </w:t>
      </w:r>
      <w:r w:rsidR="00684BA4">
        <w:t>whose presence or absence could affect the</w:t>
      </w:r>
      <w:r w:rsidR="00733487">
        <w:t xml:space="preserve"> outcomes of </w:t>
      </w:r>
      <w:r w:rsidR="00684BA4">
        <w:t>pembrolizumab</w:t>
      </w:r>
      <w:r w:rsidR="00733487">
        <w:t xml:space="preserve"> therap</w:t>
      </w:r>
      <w:r w:rsidR="00684BA4">
        <w:t>y</w:t>
      </w:r>
      <w:r w:rsidR="00733487">
        <w:t xml:space="preserve"> </w:t>
      </w:r>
      <w:r>
        <w:t>in patients with CRC and/or pan-tumours</w:t>
      </w:r>
      <w:r w:rsidR="00684BA4" w:rsidRPr="00684BA4">
        <w:t xml:space="preserve"> </w:t>
      </w:r>
      <w:r w:rsidR="00684BA4">
        <w:t xml:space="preserve">in </w:t>
      </w:r>
      <w:r w:rsidR="00684BA4" w:rsidRPr="00684BA4">
        <w:t>the trials listed in the MSAC applications for dMMR testing</w:t>
      </w:r>
      <w:r w:rsidR="00485BCA">
        <w:t xml:space="preserve"> in CRC and non-CRC populations</w:t>
      </w:r>
      <w:r>
        <w:t>.</w:t>
      </w:r>
    </w:p>
    <w:p w14:paraId="2960F370" w14:textId="2C6A919B" w:rsidR="003162ED" w:rsidRPr="00941922" w:rsidRDefault="003162ED" w:rsidP="004330AF">
      <w:pPr>
        <w:pStyle w:val="TableHeading"/>
        <w:keepLines/>
      </w:pPr>
      <w:bookmarkStart w:id="57" w:name="_Toc29557675"/>
      <w:r>
        <w:lastRenderedPageBreak/>
        <w:t xml:space="preserve">Table </w:t>
      </w:r>
      <w:r>
        <w:rPr>
          <w:noProof/>
        </w:rPr>
        <w:fldChar w:fldCharType="begin"/>
      </w:r>
      <w:r>
        <w:rPr>
          <w:noProof/>
        </w:rPr>
        <w:instrText xml:space="preserve"> SEQ Table \* ARABIC </w:instrText>
      </w:r>
      <w:r>
        <w:rPr>
          <w:noProof/>
        </w:rPr>
        <w:fldChar w:fldCharType="separate"/>
      </w:r>
      <w:r w:rsidR="0068658C">
        <w:rPr>
          <w:noProof/>
        </w:rPr>
        <w:t>1</w:t>
      </w:r>
      <w:r>
        <w:rPr>
          <w:noProof/>
        </w:rPr>
        <w:fldChar w:fldCharType="end"/>
      </w:r>
      <w:r w:rsidRPr="00941922">
        <w:tab/>
      </w:r>
      <w:r>
        <w:t>Biomarker t</w:t>
      </w:r>
      <w:r w:rsidRPr="003162ED">
        <w:t xml:space="preserve">ests </w:t>
      </w:r>
      <w:r>
        <w:t>that have been u</w:t>
      </w:r>
      <w:r w:rsidRPr="003162ED">
        <w:t xml:space="preserve">sed </w:t>
      </w:r>
      <w:r w:rsidR="00684BA4">
        <w:t xml:space="preserve">to evaluate response to pembrolizumab </w:t>
      </w:r>
      <w:r w:rsidRPr="003162ED">
        <w:t xml:space="preserve">in </w:t>
      </w:r>
      <w:r w:rsidR="00684BA4">
        <w:t>patients with</w:t>
      </w:r>
      <w:r>
        <w:t xml:space="preserve"> </w:t>
      </w:r>
      <w:r w:rsidRPr="003162ED">
        <w:t xml:space="preserve">CRC </w:t>
      </w:r>
      <w:r w:rsidR="00684BA4">
        <w:t>or</w:t>
      </w:r>
      <w:r w:rsidRPr="003162ED">
        <w:t xml:space="preserve"> pan-tumour</w:t>
      </w:r>
      <w:r w:rsidR="00684BA4">
        <w:t>s</w:t>
      </w:r>
      <w:r w:rsidRPr="003162ED">
        <w:t xml:space="preserve"> </w:t>
      </w:r>
      <w:r w:rsidR="00684BA4">
        <w:t>in clinical trials</w:t>
      </w:r>
      <w:bookmarkEnd w:id="57"/>
    </w:p>
    <w:tbl>
      <w:tblPr>
        <w:tblStyle w:val="TableGrid"/>
        <w:tblW w:w="0" w:type="auto"/>
        <w:tblLook w:val="04A0" w:firstRow="1" w:lastRow="0" w:firstColumn="1" w:lastColumn="0" w:noHBand="0" w:noVBand="1"/>
        <w:tblDescription w:val="Biomarker tests that have been used to evaluate response to pembrolizumab in patients with CRC or pan-tumours in clinical trials"/>
      </w:tblPr>
      <w:tblGrid>
        <w:gridCol w:w="1922"/>
        <w:gridCol w:w="1772"/>
        <w:gridCol w:w="1799"/>
        <w:gridCol w:w="1830"/>
        <w:gridCol w:w="1693"/>
      </w:tblGrid>
      <w:tr w:rsidR="003162ED" w:rsidRPr="00847CFB" w14:paraId="027C1809" w14:textId="77777777" w:rsidTr="00945A86">
        <w:trPr>
          <w:tblHeader/>
        </w:trPr>
        <w:tc>
          <w:tcPr>
            <w:tcW w:w="1922" w:type="dxa"/>
          </w:tcPr>
          <w:p w14:paraId="545E9588" w14:textId="77777777" w:rsidR="003162ED" w:rsidRPr="00847CFB" w:rsidRDefault="003162ED" w:rsidP="004330AF">
            <w:pPr>
              <w:keepNext/>
              <w:keepLines/>
              <w:spacing w:before="40" w:after="40"/>
              <w:ind w:left="0"/>
              <w:rPr>
                <w:rFonts w:ascii="Arial Narrow" w:hAnsi="Arial Narrow"/>
                <w:b/>
              </w:rPr>
            </w:pPr>
            <w:r w:rsidRPr="00847CFB">
              <w:rPr>
                <w:rFonts w:ascii="Arial Narrow" w:hAnsi="Arial Narrow"/>
                <w:b/>
              </w:rPr>
              <w:t>Trial</w:t>
            </w:r>
          </w:p>
        </w:tc>
        <w:tc>
          <w:tcPr>
            <w:tcW w:w="1772" w:type="dxa"/>
          </w:tcPr>
          <w:p w14:paraId="4B9B63BD" w14:textId="486FA254" w:rsidR="003162ED" w:rsidRPr="00847CFB" w:rsidRDefault="003162ED" w:rsidP="004330AF">
            <w:pPr>
              <w:keepNext/>
              <w:keepLines/>
              <w:spacing w:before="40" w:after="40"/>
              <w:ind w:left="0"/>
              <w:jc w:val="center"/>
              <w:rPr>
                <w:rFonts w:ascii="Arial Narrow" w:hAnsi="Arial Narrow"/>
                <w:b/>
              </w:rPr>
            </w:pPr>
            <w:r>
              <w:rPr>
                <w:rFonts w:ascii="Arial Narrow" w:hAnsi="Arial Narrow"/>
                <w:b/>
              </w:rPr>
              <w:t>PD-L1</w:t>
            </w:r>
            <w:r w:rsidR="00090897">
              <w:rPr>
                <w:rFonts w:ascii="Arial Narrow" w:hAnsi="Arial Narrow"/>
                <w:b/>
              </w:rPr>
              <w:t xml:space="preserve"> positive</w:t>
            </w:r>
          </w:p>
        </w:tc>
        <w:tc>
          <w:tcPr>
            <w:tcW w:w="1799" w:type="dxa"/>
          </w:tcPr>
          <w:p w14:paraId="234E21A1" w14:textId="554CB0E0" w:rsidR="003162ED" w:rsidRPr="00847CFB" w:rsidRDefault="00090897" w:rsidP="004330AF">
            <w:pPr>
              <w:keepNext/>
              <w:keepLines/>
              <w:spacing w:before="40" w:after="40"/>
              <w:ind w:left="0"/>
              <w:jc w:val="center"/>
              <w:rPr>
                <w:rFonts w:ascii="Arial Narrow" w:hAnsi="Arial Narrow"/>
                <w:b/>
              </w:rPr>
            </w:pPr>
            <w:r>
              <w:rPr>
                <w:rFonts w:ascii="Arial Narrow" w:hAnsi="Arial Narrow"/>
                <w:b/>
              </w:rPr>
              <w:t>d</w:t>
            </w:r>
            <w:r w:rsidR="003162ED">
              <w:rPr>
                <w:rFonts w:ascii="Arial Narrow" w:hAnsi="Arial Narrow"/>
                <w:b/>
              </w:rPr>
              <w:t>MMR</w:t>
            </w:r>
          </w:p>
        </w:tc>
        <w:tc>
          <w:tcPr>
            <w:tcW w:w="1830" w:type="dxa"/>
          </w:tcPr>
          <w:p w14:paraId="076CDA69" w14:textId="7A2A6B9F" w:rsidR="003162ED" w:rsidRPr="00847CFB" w:rsidRDefault="003162ED" w:rsidP="004330AF">
            <w:pPr>
              <w:keepNext/>
              <w:keepLines/>
              <w:spacing w:before="40" w:after="40"/>
              <w:ind w:left="0"/>
              <w:jc w:val="center"/>
              <w:rPr>
                <w:rFonts w:ascii="Arial Narrow" w:hAnsi="Arial Narrow"/>
                <w:b/>
              </w:rPr>
            </w:pPr>
            <w:r>
              <w:rPr>
                <w:rFonts w:ascii="Arial Narrow" w:hAnsi="Arial Narrow"/>
                <w:b/>
              </w:rPr>
              <w:t>MSI</w:t>
            </w:r>
            <w:r w:rsidR="00090897">
              <w:rPr>
                <w:rFonts w:ascii="Arial Narrow" w:hAnsi="Arial Narrow"/>
                <w:b/>
              </w:rPr>
              <w:t>-H</w:t>
            </w:r>
          </w:p>
        </w:tc>
        <w:tc>
          <w:tcPr>
            <w:tcW w:w="1693" w:type="dxa"/>
          </w:tcPr>
          <w:p w14:paraId="7603951B" w14:textId="2BDA8F4D" w:rsidR="003162ED" w:rsidRPr="00847CFB" w:rsidRDefault="00090897" w:rsidP="004330AF">
            <w:pPr>
              <w:keepNext/>
              <w:keepLines/>
              <w:spacing w:before="40" w:after="40"/>
              <w:ind w:left="0"/>
              <w:jc w:val="center"/>
              <w:rPr>
                <w:rFonts w:ascii="Arial Narrow" w:hAnsi="Arial Narrow"/>
                <w:b/>
              </w:rPr>
            </w:pPr>
            <w:r>
              <w:rPr>
                <w:rFonts w:ascii="Arial Narrow" w:hAnsi="Arial Narrow"/>
                <w:b/>
              </w:rPr>
              <w:t xml:space="preserve">High </w:t>
            </w:r>
            <w:r w:rsidR="003162ED">
              <w:rPr>
                <w:rFonts w:ascii="Arial Narrow" w:hAnsi="Arial Narrow"/>
                <w:b/>
              </w:rPr>
              <w:t>TMB</w:t>
            </w:r>
          </w:p>
        </w:tc>
      </w:tr>
      <w:tr w:rsidR="003162ED" w:rsidRPr="001866C1" w14:paraId="24E2BD6A" w14:textId="77777777" w:rsidTr="008E51C7">
        <w:tc>
          <w:tcPr>
            <w:tcW w:w="1922" w:type="dxa"/>
          </w:tcPr>
          <w:p w14:paraId="6DB2C20C" w14:textId="77777777" w:rsidR="003162ED" w:rsidRPr="00847CFB" w:rsidRDefault="003162ED" w:rsidP="004330AF">
            <w:pPr>
              <w:keepNext/>
              <w:keepLines/>
              <w:spacing w:before="40" w:after="40"/>
              <w:ind w:left="0"/>
              <w:rPr>
                <w:rFonts w:ascii="Arial Narrow" w:hAnsi="Arial Narrow"/>
              </w:rPr>
            </w:pPr>
            <w:r w:rsidRPr="00847CFB">
              <w:rPr>
                <w:rFonts w:ascii="Arial Narrow" w:hAnsi="Arial Narrow"/>
              </w:rPr>
              <w:t>KEYNOTE-158</w:t>
            </w:r>
          </w:p>
        </w:tc>
        <w:tc>
          <w:tcPr>
            <w:tcW w:w="1772" w:type="dxa"/>
          </w:tcPr>
          <w:p w14:paraId="7DCB29B7" w14:textId="77777777" w:rsidR="003162ED" w:rsidRPr="00847CFB" w:rsidRDefault="003162ED" w:rsidP="004330AF">
            <w:pPr>
              <w:keepNext/>
              <w:keepLines/>
              <w:spacing w:before="40" w:after="40"/>
              <w:ind w:left="0"/>
              <w:jc w:val="center"/>
              <w:rPr>
                <w:rFonts w:ascii="Arial Narrow" w:hAnsi="Arial Narrow"/>
              </w:rPr>
            </w:pPr>
            <w:r w:rsidRPr="00847CFB">
              <w:rPr>
                <w:rFonts w:ascii="Arial Narrow" w:hAnsi="Arial Narrow"/>
              </w:rPr>
              <w:t>IHC</w:t>
            </w:r>
          </w:p>
        </w:tc>
        <w:tc>
          <w:tcPr>
            <w:tcW w:w="1799" w:type="dxa"/>
          </w:tcPr>
          <w:p w14:paraId="760C3CDA" w14:textId="77777777" w:rsidR="003162ED" w:rsidRPr="00847CFB" w:rsidRDefault="003162ED" w:rsidP="004330AF">
            <w:pPr>
              <w:keepNext/>
              <w:keepLines/>
              <w:spacing w:before="40" w:after="40"/>
              <w:ind w:left="0"/>
              <w:jc w:val="center"/>
              <w:rPr>
                <w:rFonts w:ascii="Arial Narrow" w:hAnsi="Arial Narrow"/>
              </w:rPr>
            </w:pPr>
            <w:r w:rsidRPr="00847CFB">
              <w:rPr>
                <w:rFonts w:ascii="Arial Narrow" w:hAnsi="Arial Narrow"/>
              </w:rPr>
              <w:t>IHC</w:t>
            </w:r>
          </w:p>
        </w:tc>
        <w:tc>
          <w:tcPr>
            <w:tcW w:w="1830" w:type="dxa"/>
          </w:tcPr>
          <w:p w14:paraId="4E875C46" w14:textId="77777777" w:rsidR="003162ED" w:rsidRPr="00847CFB" w:rsidRDefault="003162ED" w:rsidP="004330AF">
            <w:pPr>
              <w:keepNext/>
              <w:keepLines/>
              <w:spacing w:before="40" w:after="40"/>
              <w:ind w:left="0"/>
              <w:jc w:val="center"/>
              <w:rPr>
                <w:rFonts w:ascii="Arial Narrow" w:hAnsi="Arial Narrow"/>
              </w:rPr>
            </w:pPr>
            <w:r w:rsidRPr="00847CFB">
              <w:rPr>
                <w:rFonts w:ascii="Arial Narrow" w:hAnsi="Arial Narrow"/>
              </w:rPr>
              <w:t>PCR-based</w:t>
            </w:r>
          </w:p>
        </w:tc>
        <w:tc>
          <w:tcPr>
            <w:tcW w:w="1693" w:type="dxa"/>
          </w:tcPr>
          <w:p w14:paraId="39EBC49E" w14:textId="77777777" w:rsidR="003162ED" w:rsidRPr="00847CFB" w:rsidRDefault="003162ED" w:rsidP="004330AF">
            <w:pPr>
              <w:keepNext/>
              <w:keepLines/>
              <w:spacing w:before="40" w:after="40"/>
              <w:ind w:left="0"/>
              <w:jc w:val="center"/>
              <w:rPr>
                <w:rFonts w:ascii="Arial Narrow" w:hAnsi="Arial Narrow"/>
              </w:rPr>
            </w:pPr>
            <w:r>
              <w:rPr>
                <w:rFonts w:ascii="Arial Narrow" w:hAnsi="Arial Narrow"/>
              </w:rPr>
              <w:t>-</w:t>
            </w:r>
          </w:p>
        </w:tc>
      </w:tr>
      <w:tr w:rsidR="003162ED" w:rsidRPr="001866C1" w14:paraId="5223A5C2" w14:textId="77777777" w:rsidTr="008E51C7">
        <w:tc>
          <w:tcPr>
            <w:tcW w:w="1922" w:type="dxa"/>
          </w:tcPr>
          <w:p w14:paraId="29894115" w14:textId="77777777" w:rsidR="003162ED" w:rsidRPr="00847CFB" w:rsidRDefault="003162ED" w:rsidP="004330AF">
            <w:pPr>
              <w:keepNext/>
              <w:keepLines/>
              <w:spacing w:before="40" w:after="40"/>
              <w:ind w:left="0"/>
              <w:rPr>
                <w:rFonts w:ascii="Arial Narrow" w:hAnsi="Arial Narrow"/>
              </w:rPr>
            </w:pPr>
            <w:r w:rsidRPr="00847CFB">
              <w:rPr>
                <w:rFonts w:ascii="Arial Narrow" w:hAnsi="Arial Narrow"/>
              </w:rPr>
              <w:t>KEYNOTE-012</w:t>
            </w:r>
          </w:p>
        </w:tc>
        <w:tc>
          <w:tcPr>
            <w:tcW w:w="1772" w:type="dxa"/>
          </w:tcPr>
          <w:p w14:paraId="1192979A" w14:textId="77777777" w:rsidR="003162ED" w:rsidRPr="00847CFB" w:rsidRDefault="003162ED" w:rsidP="004330AF">
            <w:pPr>
              <w:keepNext/>
              <w:keepLines/>
              <w:spacing w:before="40" w:after="40"/>
              <w:ind w:left="0"/>
              <w:jc w:val="center"/>
              <w:rPr>
                <w:rFonts w:ascii="Arial Narrow" w:hAnsi="Arial Narrow"/>
              </w:rPr>
            </w:pPr>
            <w:r w:rsidRPr="00847CFB">
              <w:rPr>
                <w:rFonts w:ascii="Arial Narrow" w:hAnsi="Arial Narrow"/>
              </w:rPr>
              <w:t>IHC</w:t>
            </w:r>
          </w:p>
        </w:tc>
        <w:tc>
          <w:tcPr>
            <w:tcW w:w="1799" w:type="dxa"/>
          </w:tcPr>
          <w:p w14:paraId="3FCEA1AC" w14:textId="77777777" w:rsidR="003162ED" w:rsidRPr="00847CFB" w:rsidRDefault="003162ED" w:rsidP="004330AF">
            <w:pPr>
              <w:keepNext/>
              <w:keepLines/>
              <w:spacing w:before="40" w:after="40"/>
              <w:ind w:left="0"/>
              <w:jc w:val="center"/>
              <w:rPr>
                <w:rFonts w:ascii="Arial Narrow" w:hAnsi="Arial Narrow"/>
              </w:rPr>
            </w:pPr>
            <w:r w:rsidRPr="00847CFB">
              <w:rPr>
                <w:rFonts w:ascii="Arial Narrow" w:hAnsi="Arial Narrow"/>
              </w:rPr>
              <w:t>-</w:t>
            </w:r>
          </w:p>
        </w:tc>
        <w:tc>
          <w:tcPr>
            <w:tcW w:w="1830" w:type="dxa"/>
          </w:tcPr>
          <w:p w14:paraId="751D1C32" w14:textId="77777777" w:rsidR="003162ED" w:rsidRPr="00847CFB" w:rsidRDefault="003162ED" w:rsidP="004330AF">
            <w:pPr>
              <w:keepNext/>
              <w:keepLines/>
              <w:spacing w:before="40" w:after="40"/>
              <w:ind w:left="0"/>
              <w:jc w:val="center"/>
              <w:rPr>
                <w:rFonts w:ascii="Arial Narrow" w:hAnsi="Arial Narrow"/>
              </w:rPr>
            </w:pPr>
            <w:r>
              <w:rPr>
                <w:rFonts w:ascii="Arial Narrow" w:hAnsi="Arial Narrow"/>
              </w:rPr>
              <w:t>PCR-based</w:t>
            </w:r>
            <w:r w:rsidRPr="00847CFB">
              <w:rPr>
                <w:rFonts w:ascii="Arial Narrow" w:hAnsi="Arial Narrow"/>
              </w:rPr>
              <w:t>-</w:t>
            </w:r>
          </w:p>
        </w:tc>
        <w:tc>
          <w:tcPr>
            <w:tcW w:w="1693" w:type="dxa"/>
          </w:tcPr>
          <w:p w14:paraId="78CFACC3" w14:textId="77777777" w:rsidR="003162ED" w:rsidRDefault="003162ED" w:rsidP="004330AF">
            <w:pPr>
              <w:keepNext/>
              <w:keepLines/>
              <w:spacing w:before="40" w:after="40"/>
              <w:ind w:left="0"/>
              <w:jc w:val="center"/>
              <w:rPr>
                <w:rFonts w:ascii="Arial Narrow" w:hAnsi="Arial Narrow"/>
              </w:rPr>
            </w:pPr>
            <w:r>
              <w:rPr>
                <w:rFonts w:ascii="Arial Narrow" w:hAnsi="Arial Narrow"/>
              </w:rPr>
              <w:t>-</w:t>
            </w:r>
          </w:p>
        </w:tc>
      </w:tr>
      <w:tr w:rsidR="003162ED" w:rsidRPr="001866C1" w14:paraId="3AFCC9CB" w14:textId="77777777" w:rsidTr="008E51C7">
        <w:tc>
          <w:tcPr>
            <w:tcW w:w="1922" w:type="dxa"/>
          </w:tcPr>
          <w:p w14:paraId="3C9AD320" w14:textId="77777777" w:rsidR="003162ED" w:rsidRPr="00847CFB" w:rsidRDefault="003162ED" w:rsidP="004330AF">
            <w:pPr>
              <w:keepNext/>
              <w:keepLines/>
              <w:spacing w:before="40" w:after="40"/>
              <w:ind w:left="0"/>
              <w:rPr>
                <w:rFonts w:ascii="Arial Narrow" w:hAnsi="Arial Narrow"/>
              </w:rPr>
            </w:pPr>
            <w:r w:rsidRPr="00847CFB">
              <w:rPr>
                <w:rFonts w:ascii="Arial Narrow" w:hAnsi="Arial Narrow"/>
              </w:rPr>
              <w:t>KEYNOTE-016</w:t>
            </w:r>
          </w:p>
        </w:tc>
        <w:tc>
          <w:tcPr>
            <w:tcW w:w="1772" w:type="dxa"/>
          </w:tcPr>
          <w:p w14:paraId="1AA24FB0" w14:textId="77777777" w:rsidR="003162ED" w:rsidRPr="00847CFB" w:rsidRDefault="003162ED" w:rsidP="004330AF">
            <w:pPr>
              <w:keepNext/>
              <w:keepLines/>
              <w:spacing w:before="40" w:after="40"/>
              <w:ind w:left="0"/>
              <w:jc w:val="center"/>
              <w:rPr>
                <w:rFonts w:ascii="Arial Narrow" w:hAnsi="Arial Narrow"/>
              </w:rPr>
            </w:pPr>
            <w:r>
              <w:rPr>
                <w:rFonts w:ascii="Arial Narrow" w:hAnsi="Arial Narrow"/>
              </w:rPr>
              <w:t>-</w:t>
            </w:r>
          </w:p>
        </w:tc>
        <w:tc>
          <w:tcPr>
            <w:tcW w:w="1799" w:type="dxa"/>
          </w:tcPr>
          <w:p w14:paraId="5FD7DD57" w14:textId="77777777" w:rsidR="003162ED" w:rsidRPr="00847CFB" w:rsidRDefault="003162ED" w:rsidP="004330AF">
            <w:pPr>
              <w:keepNext/>
              <w:keepLines/>
              <w:spacing w:before="40" w:after="40"/>
              <w:ind w:left="0"/>
              <w:jc w:val="center"/>
              <w:rPr>
                <w:rFonts w:ascii="Arial Narrow" w:hAnsi="Arial Narrow"/>
              </w:rPr>
            </w:pPr>
            <w:r>
              <w:rPr>
                <w:rFonts w:ascii="Arial Narrow" w:hAnsi="Arial Narrow"/>
              </w:rPr>
              <w:t>-</w:t>
            </w:r>
          </w:p>
        </w:tc>
        <w:tc>
          <w:tcPr>
            <w:tcW w:w="1830" w:type="dxa"/>
          </w:tcPr>
          <w:p w14:paraId="77533A9A" w14:textId="77777777" w:rsidR="003162ED" w:rsidRPr="00847CFB" w:rsidRDefault="003162ED" w:rsidP="004330AF">
            <w:pPr>
              <w:keepNext/>
              <w:keepLines/>
              <w:spacing w:before="40" w:after="40"/>
              <w:ind w:left="0"/>
              <w:jc w:val="center"/>
              <w:rPr>
                <w:rFonts w:ascii="Arial Narrow" w:hAnsi="Arial Narrow"/>
              </w:rPr>
            </w:pPr>
            <w:r w:rsidRPr="00847CFB">
              <w:rPr>
                <w:rFonts w:ascii="Arial Narrow" w:hAnsi="Arial Narrow"/>
              </w:rPr>
              <w:t>PCR-based</w:t>
            </w:r>
          </w:p>
        </w:tc>
        <w:tc>
          <w:tcPr>
            <w:tcW w:w="1693" w:type="dxa"/>
          </w:tcPr>
          <w:p w14:paraId="4EFC2AA5" w14:textId="77777777" w:rsidR="003162ED" w:rsidRPr="00847CFB" w:rsidRDefault="003162ED" w:rsidP="004330AF">
            <w:pPr>
              <w:keepNext/>
              <w:keepLines/>
              <w:spacing w:before="40" w:after="40"/>
              <w:ind w:left="0"/>
              <w:jc w:val="center"/>
              <w:rPr>
                <w:rFonts w:ascii="Arial Narrow" w:hAnsi="Arial Narrow"/>
              </w:rPr>
            </w:pPr>
            <w:r>
              <w:rPr>
                <w:rFonts w:ascii="Arial Narrow" w:hAnsi="Arial Narrow"/>
              </w:rPr>
              <w:t>-</w:t>
            </w:r>
          </w:p>
        </w:tc>
      </w:tr>
      <w:tr w:rsidR="003162ED" w:rsidRPr="001866C1" w14:paraId="60265010" w14:textId="77777777" w:rsidTr="008E51C7">
        <w:tc>
          <w:tcPr>
            <w:tcW w:w="1922" w:type="dxa"/>
          </w:tcPr>
          <w:p w14:paraId="0ED64006" w14:textId="77777777" w:rsidR="003162ED" w:rsidRPr="00847CFB" w:rsidRDefault="003162ED" w:rsidP="004330AF">
            <w:pPr>
              <w:keepNext/>
              <w:keepLines/>
              <w:spacing w:before="40" w:after="40"/>
              <w:ind w:left="0"/>
              <w:rPr>
                <w:rFonts w:ascii="Arial Narrow" w:hAnsi="Arial Narrow"/>
              </w:rPr>
            </w:pPr>
            <w:r w:rsidRPr="00847CFB">
              <w:rPr>
                <w:rFonts w:ascii="Arial Narrow" w:hAnsi="Arial Narrow"/>
              </w:rPr>
              <w:t>KEYNOTE-028</w:t>
            </w:r>
          </w:p>
        </w:tc>
        <w:tc>
          <w:tcPr>
            <w:tcW w:w="1772" w:type="dxa"/>
          </w:tcPr>
          <w:p w14:paraId="4C62E066" w14:textId="77777777" w:rsidR="003162ED" w:rsidRPr="00847CFB" w:rsidRDefault="003162ED" w:rsidP="004330AF">
            <w:pPr>
              <w:keepNext/>
              <w:keepLines/>
              <w:spacing w:before="40" w:after="40"/>
              <w:ind w:left="0"/>
              <w:jc w:val="center"/>
              <w:rPr>
                <w:rFonts w:ascii="Arial Narrow" w:hAnsi="Arial Narrow"/>
              </w:rPr>
            </w:pPr>
            <w:r>
              <w:rPr>
                <w:rFonts w:ascii="Arial Narrow" w:hAnsi="Arial Narrow"/>
              </w:rPr>
              <w:t>IHC</w:t>
            </w:r>
          </w:p>
        </w:tc>
        <w:tc>
          <w:tcPr>
            <w:tcW w:w="1799" w:type="dxa"/>
          </w:tcPr>
          <w:p w14:paraId="08478811" w14:textId="77777777" w:rsidR="003162ED" w:rsidRPr="00847CFB" w:rsidRDefault="003162ED" w:rsidP="004330AF">
            <w:pPr>
              <w:keepNext/>
              <w:keepLines/>
              <w:spacing w:before="40" w:after="40"/>
              <w:ind w:left="0"/>
              <w:jc w:val="center"/>
              <w:rPr>
                <w:rFonts w:ascii="Arial Narrow" w:hAnsi="Arial Narrow"/>
              </w:rPr>
            </w:pPr>
            <w:r>
              <w:rPr>
                <w:rFonts w:ascii="Arial Narrow" w:hAnsi="Arial Narrow"/>
              </w:rPr>
              <w:t>-</w:t>
            </w:r>
          </w:p>
        </w:tc>
        <w:tc>
          <w:tcPr>
            <w:tcW w:w="1830" w:type="dxa"/>
          </w:tcPr>
          <w:p w14:paraId="3B3BB3F1" w14:textId="77777777" w:rsidR="003162ED" w:rsidRPr="00847CFB" w:rsidRDefault="003162ED" w:rsidP="004330AF">
            <w:pPr>
              <w:keepNext/>
              <w:keepLines/>
              <w:spacing w:before="40" w:after="40"/>
              <w:ind w:left="0"/>
              <w:jc w:val="center"/>
              <w:rPr>
                <w:rFonts w:ascii="Arial Narrow" w:hAnsi="Arial Narrow"/>
              </w:rPr>
            </w:pPr>
            <w:r>
              <w:rPr>
                <w:rFonts w:ascii="Arial Narrow" w:hAnsi="Arial Narrow"/>
              </w:rPr>
              <w:t>-</w:t>
            </w:r>
          </w:p>
        </w:tc>
        <w:tc>
          <w:tcPr>
            <w:tcW w:w="1693" w:type="dxa"/>
          </w:tcPr>
          <w:p w14:paraId="7C72EE21" w14:textId="77777777" w:rsidR="003162ED" w:rsidRPr="00847CFB" w:rsidRDefault="003162ED" w:rsidP="004330AF">
            <w:pPr>
              <w:keepNext/>
              <w:keepLines/>
              <w:spacing w:before="40" w:after="40"/>
              <w:ind w:left="0"/>
              <w:jc w:val="center"/>
              <w:rPr>
                <w:rFonts w:ascii="Arial Narrow" w:hAnsi="Arial Narrow"/>
              </w:rPr>
            </w:pPr>
            <w:r>
              <w:rPr>
                <w:rFonts w:ascii="Arial Narrow" w:hAnsi="Arial Narrow"/>
              </w:rPr>
              <w:t>NGS</w:t>
            </w:r>
          </w:p>
        </w:tc>
      </w:tr>
      <w:tr w:rsidR="003162ED" w:rsidRPr="001866C1" w14:paraId="69FC9646" w14:textId="77777777" w:rsidTr="008E51C7">
        <w:tc>
          <w:tcPr>
            <w:tcW w:w="1922" w:type="dxa"/>
          </w:tcPr>
          <w:p w14:paraId="38DA5B31" w14:textId="77777777" w:rsidR="003162ED" w:rsidRPr="00847CFB" w:rsidRDefault="003162ED" w:rsidP="004330AF">
            <w:pPr>
              <w:keepNext/>
              <w:keepLines/>
              <w:spacing w:before="40" w:after="40"/>
              <w:ind w:left="0"/>
              <w:rPr>
                <w:rFonts w:ascii="Arial Narrow" w:hAnsi="Arial Narrow"/>
              </w:rPr>
            </w:pPr>
            <w:r w:rsidRPr="00847CFB">
              <w:rPr>
                <w:rFonts w:ascii="Arial Narrow" w:hAnsi="Arial Narrow"/>
              </w:rPr>
              <w:t>KEYNOTE-164</w:t>
            </w:r>
          </w:p>
        </w:tc>
        <w:tc>
          <w:tcPr>
            <w:tcW w:w="1772" w:type="dxa"/>
          </w:tcPr>
          <w:p w14:paraId="2BE9376D" w14:textId="77777777" w:rsidR="003162ED" w:rsidRPr="00847CFB" w:rsidRDefault="003162ED" w:rsidP="004330AF">
            <w:pPr>
              <w:keepNext/>
              <w:keepLines/>
              <w:spacing w:before="40" w:after="40"/>
              <w:ind w:left="0"/>
              <w:jc w:val="center"/>
              <w:rPr>
                <w:rFonts w:ascii="Arial Narrow" w:hAnsi="Arial Narrow"/>
              </w:rPr>
            </w:pPr>
            <w:r>
              <w:rPr>
                <w:rFonts w:ascii="Arial Narrow" w:hAnsi="Arial Narrow"/>
              </w:rPr>
              <w:t>-</w:t>
            </w:r>
          </w:p>
        </w:tc>
        <w:tc>
          <w:tcPr>
            <w:tcW w:w="1799" w:type="dxa"/>
          </w:tcPr>
          <w:p w14:paraId="2D001529" w14:textId="77777777" w:rsidR="003162ED" w:rsidRPr="00847CFB" w:rsidRDefault="003162ED" w:rsidP="004330AF">
            <w:pPr>
              <w:keepNext/>
              <w:keepLines/>
              <w:spacing w:before="40" w:after="40"/>
              <w:ind w:left="0"/>
              <w:jc w:val="center"/>
              <w:rPr>
                <w:rFonts w:ascii="Arial Narrow" w:hAnsi="Arial Narrow"/>
              </w:rPr>
            </w:pPr>
            <w:r>
              <w:rPr>
                <w:rFonts w:ascii="Arial Narrow" w:hAnsi="Arial Narrow"/>
              </w:rPr>
              <w:t>IHC</w:t>
            </w:r>
          </w:p>
        </w:tc>
        <w:tc>
          <w:tcPr>
            <w:tcW w:w="1830" w:type="dxa"/>
          </w:tcPr>
          <w:p w14:paraId="77388116" w14:textId="77777777" w:rsidR="003162ED" w:rsidRPr="00847CFB" w:rsidRDefault="003162ED" w:rsidP="004330AF">
            <w:pPr>
              <w:keepNext/>
              <w:keepLines/>
              <w:spacing w:before="40" w:after="40"/>
              <w:ind w:left="0"/>
              <w:jc w:val="center"/>
              <w:rPr>
                <w:rFonts w:ascii="Arial Narrow" w:hAnsi="Arial Narrow"/>
              </w:rPr>
            </w:pPr>
            <w:r w:rsidRPr="00847CFB">
              <w:rPr>
                <w:rFonts w:ascii="Arial Narrow" w:hAnsi="Arial Narrow"/>
              </w:rPr>
              <w:t>PCR-based</w:t>
            </w:r>
          </w:p>
        </w:tc>
        <w:tc>
          <w:tcPr>
            <w:tcW w:w="1693" w:type="dxa"/>
          </w:tcPr>
          <w:p w14:paraId="4DBD15DD" w14:textId="77777777" w:rsidR="003162ED" w:rsidRPr="00847CFB" w:rsidRDefault="003162ED" w:rsidP="004330AF">
            <w:pPr>
              <w:keepNext/>
              <w:keepLines/>
              <w:spacing w:before="40" w:after="40"/>
              <w:ind w:left="0"/>
              <w:jc w:val="center"/>
              <w:rPr>
                <w:rFonts w:ascii="Arial Narrow" w:hAnsi="Arial Narrow"/>
              </w:rPr>
            </w:pPr>
            <w:r>
              <w:rPr>
                <w:rFonts w:ascii="Arial Narrow" w:hAnsi="Arial Narrow"/>
              </w:rPr>
              <w:t>-</w:t>
            </w:r>
          </w:p>
        </w:tc>
      </w:tr>
      <w:tr w:rsidR="003162ED" w:rsidRPr="001866C1" w14:paraId="3A76F185" w14:textId="77777777" w:rsidTr="008E51C7">
        <w:tc>
          <w:tcPr>
            <w:tcW w:w="1922" w:type="dxa"/>
          </w:tcPr>
          <w:p w14:paraId="1A1DF737" w14:textId="77777777" w:rsidR="003162ED" w:rsidRPr="00847CFB" w:rsidRDefault="003162ED" w:rsidP="004330AF">
            <w:pPr>
              <w:keepNext/>
              <w:keepLines/>
              <w:spacing w:before="40" w:after="40"/>
              <w:ind w:left="0"/>
              <w:rPr>
                <w:rFonts w:ascii="Arial Narrow" w:hAnsi="Arial Narrow"/>
              </w:rPr>
            </w:pPr>
            <w:r w:rsidRPr="00847CFB">
              <w:rPr>
                <w:rFonts w:ascii="Arial Narrow" w:hAnsi="Arial Narrow"/>
              </w:rPr>
              <w:t>KEYNOTE-177</w:t>
            </w:r>
          </w:p>
        </w:tc>
        <w:tc>
          <w:tcPr>
            <w:tcW w:w="1772" w:type="dxa"/>
          </w:tcPr>
          <w:p w14:paraId="0AA1AF28" w14:textId="77777777" w:rsidR="003162ED" w:rsidRPr="00847CFB" w:rsidRDefault="003162ED" w:rsidP="004330AF">
            <w:pPr>
              <w:keepNext/>
              <w:keepLines/>
              <w:spacing w:before="40" w:after="40"/>
              <w:ind w:left="0"/>
              <w:jc w:val="center"/>
              <w:rPr>
                <w:rFonts w:ascii="Arial Narrow" w:hAnsi="Arial Narrow"/>
              </w:rPr>
            </w:pPr>
            <w:r>
              <w:rPr>
                <w:rFonts w:ascii="Arial Narrow" w:hAnsi="Arial Narrow"/>
              </w:rPr>
              <w:t>-</w:t>
            </w:r>
          </w:p>
        </w:tc>
        <w:tc>
          <w:tcPr>
            <w:tcW w:w="1799" w:type="dxa"/>
          </w:tcPr>
          <w:p w14:paraId="77C95184" w14:textId="77777777" w:rsidR="003162ED" w:rsidRDefault="003162ED" w:rsidP="004330AF">
            <w:pPr>
              <w:keepNext/>
              <w:keepLines/>
              <w:spacing w:before="40" w:after="40"/>
              <w:ind w:left="0"/>
              <w:jc w:val="center"/>
              <w:rPr>
                <w:rFonts w:ascii="Arial Narrow" w:hAnsi="Arial Narrow"/>
              </w:rPr>
            </w:pPr>
            <w:r>
              <w:rPr>
                <w:rFonts w:ascii="Arial Narrow" w:hAnsi="Arial Narrow"/>
              </w:rPr>
              <w:t>Locally confirmed</w:t>
            </w:r>
          </w:p>
          <w:p w14:paraId="014939CE" w14:textId="77777777" w:rsidR="003162ED" w:rsidRPr="00847CFB" w:rsidRDefault="003162ED" w:rsidP="004330AF">
            <w:pPr>
              <w:keepNext/>
              <w:keepLines/>
              <w:spacing w:before="40" w:after="40"/>
              <w:ind w:left="0"/>
              <w:jc w:val="center"/>
              <w:rPr>
                <w:rFonts w:ascii="Arial Narrow" w:hAnsi="Arial Narrow"/>
              </w:rPr>
            </w:pPr>
            <w:r>
              <w:rPr>
                <w:rFonts w:ascii="Arial Narrow" w:hAnsi="Arial Narrow"/>
              </w:rPr>
              <w:t>Test not specified</w:t>
            </w:r>
          </w:p>
        </w:tc>
        <w:tc>
          <w:tcPr>
            <w:tcW w:w="1830" w:type="dxa"/>
          </w:tcPr>
          <w:p w14:paraId="713B4942" w14:textId="77777777" w:rsidR="003162ED" w:rsidRDefault="003162ED" w:rsidP="004330AF">
            <w:pPr>
              <w:keepNext/>
              <w:keepLines/>
              <w:spacing w:before="40" w:after="40"/>
              <w:ind w:left="0"/>
              <w:jc w:val="center"/>
              <w:rPr>
                <w:rFonts w:ascii="Arial Narrow" w:hAnsi="Arial Narrow"/>
              </w:rPr>
            </w:pPr>
            <w:r w:rsidRPr="00847CFB">
              <w:rPr>
                <w:rFonts w:ascii="Arial Narrow" w:hAnsi="Arial Narrow"/>
              </w:rPr>
              <w:t>Locally confirmed</w:t>
            </w:r>
          </w:p>
          <w:p w14:paraId="0A765660" w14:textId="1E07A330" w:rsidR="003162ED" w:rsidRPr="00847CFB" w:rsidRDefault="003162ED" w:rsidP="004330AF">
            <w:pPr>
              <w:keepNext/>
              <w:keepLines/>
              <w:spacing w:before="40" w:after="40"/>
              <w:ind w:left="0"/>
              <w:jc w:val="center"/>
              <w:rPr>
                <w:rFonts w:ascii="Arial Narrow" w:hAnsi="Arial Narrow"/>
              </w:rPr>
            </w:pPr>
            <w:r>
              <w:rPr>
                <w:rFonts w:ascii="Arial Narrow" w:hAnsi="Arial Narrow"/>
              </w:rPr>
              <w:t>Te</w:t>
            </w:r>
            <w:r w:rsidR="00684BA4">
              <w:rPr>
                <w:rFonts w:ascii="Arial Narrow" w:hAnsi="Arial Narrow"/>
              </w:rPr>
              <w:t>s</w:t>
            </w:r>
            <w:r>
              <w:rPr>
                <w:rFonts w:ascii="Arial Narrow" w:hAnsi="Arial Narrow"/>
              </w:rPr>
              <w:t>t not specified</w:t>
            </w:r>
          </w:p>
        </w:tc>
        <w:tc>
          <w:tcPr>
            <w:tcW w:w="1693" w:type="dxa"/>
          </w:tcPr>
          <w:p w14:paraId="78DC6761" w14:textId="77777777" w:rsidR="003162ED" w:rsidRPr="00847CFB" w:rsidRDefault="003162ED" w:rsidP="004330AF">
            <w:pPr>
              <w:keepNext/>
              <w:keepLines/>
              <w:spacing w:before="40" w:after="40"/>
              <w:ind w:left="0"/>
              <w:jc w:val="center"/>
              <w:rPr>
                <w:rFonts w:ascii="Arial Narrow" w:hAnsi="Arial Narrow"/>
              </w:rPr>
            </w:pPr>
            <w:r>
              <w:rPr>
                <w:rFonts w:ascii="Arial Narrow" w:hAnsi="Arial Narrow"/>
              </w:rPr>
              <w:t>-</w:t>
            </w:r>
          </w:p>
        </w:tc>
      </w:tr>
    </w:tbl>
    <w:p w14:paraId="001C49C5" w14:textId="789EBA09" w:rsidR="003162ED" w:rsidRDefault="00090897" w:rsidP="003162ED">
      <w:pPr>
        <w:pStyle w:val="Tablenotes0"/>
      </w:pPr>
      <w:r>
        <w:t xml:space="preserve">dMMR = mismatch repair deficiency; </w:t>
      </w:r>
      <w:r w:rsidR="00FE7CEC">
        <w:t xml:space="preserve">IHC = immunohistochemistry; MSI-H = microsatellite instability – high; PCR = polymerase chain reaction; </w:t>
      </w:r>
      <w:r>
        <w:t xml:space="preserve">PD-L1 = programmed cell death ligand 1; </w:t>
      </w:r>
      <w:r w:rsidR="00FE7CEC">
        <w:t>TMB = tumour mutation burden</w:t>
      </w:r>
    </w:p>
    <w:p w14:paraId="60102E63" w14:textId="77777777" w:rsidR="003024D6" w:rsidRPr="00452DF6" w:rsidRDefault="003024D6" w:rsidP="00AA13B3">
      <w:pPr>
        <w:pStyle w:val="Heading2"/>
        <w:spacing w:line="312" w:lineRule="auto"/>
      </w:pPr>
      <w:bookmarkStart w:id="58" w:name="_Toc29557661"/>
      <w:r w:rsidRPr="00452DF6">
        <w:t>Prevalence of the biomarker in the population to be tested</w:t>
      </w:r>
      <w:bookmarkEnd w:id="58"/>
    </w:p>
    <w:p w14:paraId="0A8DB247" w14:textId="42039387" w:rsidR="00D90E04" w:rsidRDefault="003024D6" w:rsidP="00AA13B3">
      <w:pPr>
        <w:spacing w:after="240" w:line="312" w:lineRule="auto"/>
        <w:rPr>
          <w:bCs/>
        </w:rPr>
      </w:pPr>
      <w:r>
        <w:rPr>
          <w:bCs/>
        </w:rPr>
        <w:t xml:space="preserve">The prevalence of the biomarker in the testing population, relevant to the Australian setting, should always be included in Section A4 </w:t>
      </w:r>
      <w:r w:rsidR="00890C37">
        <w:rPr>
          <w:bCs/>
        </w:rPr>
        <w:t>of the assessment</w:t>
      </w:r>
      <w:r w:rsidR="006C6F55">
        <w:rPr>
          <w:bCs/>
        </w:rPr>
        <w:t>, as outlined in the MSAC Technical Guidelines</w:t>
      </w:r>
      <w:r w:rsidR="00F3677F">
        <w:rPr>
          <w:bCs/>
        </w:rPr>
        <w:t xml:space="preserve"> for </w:t>
      </w:r>
      <w:r w:rsidR="00DA115B">
        <w:rPr>
          <w:bCs/>
        </w:rPr>
        <w:t>Investigative S</w:t>
      </w:r>
      <w:r w:rsidR="00F3677F">
        <w:rPr>
          <w:bCs/>
        </w:rPr>
        <w:t>ervices</w:t>
      </w:r>
      <w:r w:rsidR="000E6E28">
        <w:rPr>
          <w:bCs/>
        </w:rPr>
        <w:t xml:space="preserve"> </w:t>
      </w:r>
      <w:r w:rsidR="00F77139">
        <w:rPr>
          <w:bCs/>
        </w:rPr>
        <w:fldChar w:fldCharType="begin"/>
      </w:r>
      <w:r w:rsidR="00F77139">
        <w:rPr>
          <w:bCs/>
        </w:rPr>
        <w:instrText xml:space="preserve"> ADDIN EN.CITE &lt;EndNote&gt;&lt;Cite&gt;&lt;Author&gt;MSAC&lt;/Author&gt;&lt;Year&gt;2017&lt;/Year&gt;&lt;RecNum&gt;2&lt;/RecNum&gt;&lt;DisplayText&gt;(MSAC 2017)&lt;/DisplayText&gt;&lt;record&gt;&lt;rec-number&gt;2&lt;/rec-number&gt;&lt;foreign-keys&gt;&lt;key app="EN" db-id="20rafrsx2d50edew5w15fz0q0dvfzstzed55" timestamp="1508463126"&gt;2&lt;/key&gt;&lt;/foreign-keys&gt;&lt;ref-type name="Government Document"&gt;46&lt;/ref-type&gt;&lt;contributors&gt;&lt;authors&gt;&lt;author&gt;MSAC &lt;/author&gt;&lt;/authors&gt;&lt;secondary-authors&gt;&lt;author&gt;Department of Health&lt;/author&gt;&lt;/secondary-authors&gt;&lt;/contributors&gt;&lt;titles&gt;&lt;title&gt;Technical Guidelines for preparing assessment reports for the Medical Services Advisory Committee – Service Type: Investigative&lt;/title&gt;&lt;/titles&gt;&lt;dates&gt;&lt;year&gt;2017&lt;/year&gt;&lt;/dates&gt;&lt;pub-location&gt;Canberra&lt;/pub-location&gt;&lt;publisher&gt;Australian Government&lt;/publisher&gt;&lt;urls&gt;&lt;related-urls&gt;&lt;url&gt;http://www.msac.gov.au/internet/msac/publishing.nsf/Content/applicants&lt;/url&gt;&lt;/related-urls&gt;&lt;/urls&gt;&lt;/record&gt;&lt;/Cite&gt;&lt;/EndNote&gt;</w:instrText>
      </w:r>
      <w:r w:rsidR="00F77139">
        <w:rPr>
          <w:bCs/>
        </w:rPr>
        <w:fldChar w:fldCharType="separate"/>
      </w:r>
      <w:r w:rsidR="00F77139">
        <w:rPr>
          <w:bCs/>
          <w:noProof/>
        </w:rPr>
        <w:t>(MSAC 2017)</w:t>
      </w:r>
      <w:r w:rsidR="00F77139">
        <w:rPr>
          <w:bCs/>
        </w:rPr>
        <w:fldChar w:fldCharType="end"/>
      </w:r>
      <w:r>
        <w:rPr>
          <w:bCs/>
        </w:rPr>
        <w:t>.</w:t>
      </w:r>
      <w:r w:rsidR="000C3510">
        <w:rPr>
          <w:bCs/>
        </w:rPr>
        <w:t xml:space="preserve"> F</w:t>
      </w:r>
      <w:r>
        <w:rPr>
          <w:bCs/>
        </w:rPr>
        <w:t xml:space="preserve">or a pan-tumour </w:t>
      </w:r>
      <w:r w:rsidR="000C3510">
        <w:rPr>
          <w:bCs/>
        </w:rPr>
        <w:t xml:space="preserve">application, </w:t>
      </w:r>
      <w:r w:rsidR="00F8186C">
        <w:rPr>
          <w:bCs/>
        </w:rPr>
        <w:t>the prevalence estimate</w:t>
      </w:r>
      <w:r w:rsidR="000C3510">
        <w:rPr>
          <w:bCs/>
        </w:rPr>
        <w:t xml:space="preserve"> should include the biomarker prevalence </w:t>
      </w:r>
      <w:r w:rsidR="00F8186C">
        <w:rPr>
          <w:bCs/>
        </w:rPr>
        <w:t xml:space="preserve">in </w:t>
      </w:r>
      <w:r w:rsidR="000C3510">
        <w:rPr>
          <w:bCs/>
        </w:rPr>
        <w:t>the</w:t>
      </w:r>
      <w:r>
        <w:rPr>
          <w:bCs/>
        </w:rPr>
        <w:t xml:space="preserve"> </w:t>
      </w:r>
      <w:r w:rsidR="00B909A6">
        <w:rPr>
          <w:bCs/>
        </w:rPr>
        <w:t>overall</w:t>
      </w:r>
      <w:r>
        <w:rPr>
          <w:bCs/>
        </w:rPr>
        <w:t xml:space="preserve"> </w:t>
      </w:r>
      <w:r w:rsidR="00A9672E">
        <w:rPr>
          <w:bCs/>
        </w:rPr>
        <w:t>population</w:t>
      </w:r>
      <w:r>
        <w:rPr>
          <w:bCs/>
        </w:rPr>
        <w:t xml:space="preserve"> </w:t>
      </w:r>
      <w:r w:rsidR="00D90E04">
        <w:rPr>
          <w:bCs/>
        </w:rPr>
        <w:t xml:space="preserve">and </w:t>
      </w:r>
      <w:r w:rsidR="000C3510">
        <w:rPr>
          <w:bCs/>
        </w:rPr>
        <w:t xml:space="preserve">the prevalence </w:t>
      </w:r>
      <w:r>
        <w:rPr>
          <w:bCs/>
        </w:rPr>
        <w:t xml:space="preserve">for </w:t>
      </w:r>
      <w:r w:rsidR="00F8186C">
        <w:rPr>
          <w:bCs/>
        </w:rPr>
        <w:t xml:space="preserve">each of the </w:t>
      </w:r>
      <w:r w:rsidR="006C6F55">
        <w:rPr>
          <w:bCs/>
        </w:rPr>
        <w:t>many</w:t>
      </w:r>
      <w:r>
        <w:rPr>
          <w:bCs/>
        </w:rPr>
        <w:t xml:space="preserve"> specific tumour type</w:t>
      </w:r>
      <w:r w:rsidR="006C6F55">
        <w:rPr>
          <w:bCs/>
        </w:rPr>
        <w:t>s</w:t>
      </w:r>
      <w:r w:rsidR="00A9672E">
        <w:rPr>
          <w:bCs/>
        </w:rPr>
        <w:t>,</w:t>
      </w:r>
      <w:r w:rsidR="006C6F55">
        <w:rPr>
          <w:bCs/>
        </w:rPr>
        <w:t xml:space="preserve"> </w:t>
      </w:r>
      <w:r w:rsidR="00A9672E">
        <w:rPr>
          <w:bCs/>
        </w:rPr>
        <w:t>if</w:t>
      </w:r>
      <w:r w:rsidR="006C6F55">
        <w:rPr>
          <w:bCs/>
        </w:rPr>
        <w:t xml:space="preserve"> possible</w:t>
      </w:r>
      <w:r w:rsidR="005E2F0F">
        <w:rPr>
          <w:bCs/>
        </w:rPr>
        <w:t>.</w:t>
      </w:r>
      <w:r w:rsidR="00B4407F">
        <w:rPr>
          <w:bCs/>
        </w:rPr>
        <w:t xml:space="preserve"> </w:t>
      </w:r>
      <w:r w:rsidR="00F8186C" w:rsidRPr="00237849">
        <w:rPr>
          <w:b/>
          <w:bCs/>
        </w:rPr>
        <w:t xml:space="preserve">(Recommendation </w:t>
      </w:r>
      <w:r w:rsidR="00FE7CEC" w:rsidRPr="00237849">
        <w:rPr>
          <w:b/>
          <w:bCs/>
        </w:rPr>
        <w:t>3</w:t>
      </w:r>
      <w:r w:rsidR="00F8186C" w:rsidRPr="00237849">
        <w:rPr>
          <w:b/>
          <w:bCs/>
        </w:rPr>
        <w:t>)</w:t>
      </w:r>
      <w:r w:rsidR="00F8186C">
        <w:rPr>
          <w:bCs/>
        </w:rPr>
        <w:t xml:space="preserve"> </w:t>
      </w:r>
      <w:r w:rsidR="00B4407F">
        <w:rPr>
          <w:bCs/>
        </w:rPr>
        <w:t>Th</w:t>
      </w:r>
      <w:r w:rsidR="00D90E04" w:rsidRPr="00D90E04">
        <w:rPr>
          <w:bCs/>
        </w:rPr>
        <w:t xml:space="preserve">e biomarker prevalence may change during the course of disease, especially if the biomarker </w:t>
      </w:r>
      <w:r w:rsidR="00B909A6">
        <w:rPr>
          <w:bCs/>
        </w:rPr>
        <w:t>is unstable,</w:t>
      </w:r>
      <w:r w:rsidR="00B909A6" w:rsidRPr="00D90E04">
        <w:rPr>
          <w:bCs/>
        </w:rPr>
        <w:t xml:space="preserve"> </w:t>
      </w:r>
      <w:r w:rsidR="00B909A6">
        <w:rPr>
          <w:bCs/>
        </w:rPr>
        <w:t xml:space="preserve">or </w:t>
      </w:r>
      <w:r w:rsidR="00D90E04" w:rsidRPr="00D90E04">
        <w:rPr>
          <w:bCs/>
        </w:rPr>
        <w:t>has a prognostic effect</w:t>
      </w:r>
      <w:r w:rsidR="00B4407F">
        <w:rPr>
          <w:bCs/>
        </w:rPr>
        <w:t xml:space="preserve"> </w:t>
      </w:r>
      <w:r w:rsidR="00F8186C">
        <w:rPr>
          <w:bCs/>
        </w:rPr>
        <w:t>(</w:t>
      </w:r>
      <w:r w:rsidR="00B4407F">
        <w:rPr>
          <w:bCs/>
        </w:rPr>
        <w:t>as for dMMR in CRC</w:t>
      </w:r>
      <w:r w:rsidR="00F8186C">
        <w:rPr>
          <w:bCs/>
        </w:rPr>
        <w:t>)</w:t>
      </w:r>
      <w:r w:rsidR="00B4407F">
        <w:rPr>
          <w:bCs/>
        </w:rPr>
        <w:t xml:space="preserve">. The prevalence of dMMR in the total </w:t>
      </w:r>
      <w:r w:rsidR="00FE7CEC">
        <w:rPr>
          <w:bCs/>
        </w:rPr>
        <w:t xml:space="preserve">CRC </w:t>
      </w:r>
      <w:r w:rsidR="00B4407F">
        <w:rPr>
          <w:bCs/>
        </w:rPr>
        <w:t>population is around 15%, but in stage IV CRC it is only 4%</w:t>
      </w:r>
      <w:r w:rsidR="00F8186C">
        <w:rPr>
          <w:bCs/>
        </w:rPr>
        <w:t>. The lower prevalence in Stage IV CRC</w:t>
      </w:r>
      <w:r w:rsidR="00B4407F">
        <w:rPr>
          <w:bCs/>
        </w:rPr>
        <w:t xml:space="preserve"> is most likely due to dMMR CRC having a favourable prognosis compared to MMR sufficient CRC. Thus, the p</w:t>
      </w:r>
      <w:r w:rsidR="00D90E04" w:rsidRPr="00D90E04">
        <w:rPr>
          <w:bCs/>
        </w:rPr>
        <w:t xml:space="preserve">revalence </w:t>
      </w:r>
      <w:r w:rsidR="00B4407F">
        <w:rPr>
          <w:bCs/>
        </w:rPr>
        <w:t xml:space="preserve">rate of the biomarker </w:t>
      </w:r>
      <w:r w:rsidR="00D90E04" w:rsidRPr="00D90E04">
        <w:rPr>
          <w:bCs/>
        </w:rPr>
        <w:t>should be considered in the specific stage</w:t>
      </w:r>
      <w:r w:rsidR="00B4407F">
        <w:rPr>
          <w:bCs/>
        </w:rPr>
        <w:t>(s)</w:t>
      </w:r>
      <w:r w:rsidR="00D90E04" w:rsidRPr="00D90E04">
        <w:rPr>
          <w:bCs/>
        </w:rPr>
        <w:t xml:space="preserve"> of disease being targeted for te</w:t>
      </w:r>
      <w:r w:rsidR="00B4407F">
        <w:rPr>
          <w:bCs/>
        </w:rPr>
        <w:t>sting and treatment.</w:t>
      </w:r>
      <w:r w:rsidR="00F8186C">
        <w:rPr>
          <w:bCs/>
        </w:rPr>
        <w:t xml:space="preserve"> </w:t>
      </w:r>
      <w:r w:rsidR="00F8186C" w:rsidRPr="00237849">
        <w:rPr>
          <w:b/>
          <w:bCs/>
        </w:rPr>
        <w:t>(Recommendation 4)</w:t>
      </w:r>
    </w:p>
    <w:p w14:paraId="67D082CD" w14:textId="4750715D" w:rsidR="003024D6" w:rsidRDefault="005E2F0F" w:rsidP="00AA13B3">
      <w:pPr>
        <w:spacing w:after="240" w:line="312" w:lineRule="auto"/>
        <w:rPr>
          <w:bCs/>
        </w:rPr>
      </w:pPr>
      <w:r>
        <w:rPr>
          <w:bCs/>
        </w:rPr>
        <w:t xml:space="preserve">For </w:t>
      </w:r>
      <w:r w:rsidR="00F3677F">
        <w:rPr>
          <w:bCs/>
        </w:rPr>
        <w:t>example</w:t>
      </w:r>
      <w:r>
        <w:rPr>
          <w:bCs/>
        </w:rPr>
        <w:t>,</w:t>
      </w:r>
      <w:r w:rsidR="00F3677F">
        <w:rPr>
          <w:bCs/>
        </w:rPr>
        <w:t xml:space="preserve"> </w:t>
      </w:r>
      <w:r w:rsidR="00941922">
        <w:rPr>
          <w:bCs/>
        </w:rPr>
        <w:t xml:space="preserve">Table </w:t>
      </w:r>
      <w:r w:rsidR="00400662">
        <w:rPr>
          <w:bCs/>
        </w:rPr>
        <w:t>2</w:t>
      </w:r>
      <w:r>
        <w:rPr>
          <w:bCs/>
        </w:rPr>
        <w:t xml:space="preserve"> shows the </w:t>
      </w:r>
      <w:r w:rsidR="00C5668A">
        <w:rPr>
          <w:bCs/>
        </w:rPr>
        <w:t xml:space="preserve">estimated </w:t>
      </w:r>
      <w:r>
        <w:rPr>
          <w:bCs/>
        </w:rPr>
        <w:t>prevalence rates of dMMR for various tumours</w:t>
      </w:r>
      <w:r w:rsidR="00FE7CEC" w:rsidRPr="00FE7CEC">
        <w:rPr>
          <w:bCs/>
        </w:rPr>
        <w:t>, however, the stage of disease was not always specified. For the purpose of this discussion paper, the rates are assumed appropriate for stage IV disease. It should be noted that</w:t>
      </w:r>
      <w:r w:rsidR="00FE7CEC" w:rsidRPr="00FE7CEC" w:rsidDel="00FE7CEC">
        <w:rPr>
          <w:bCs/>
        </w:rPr>
        <w:t xml:space="preserve"> </w:t>
      </w:r>
      <w:r>
        <w:rPr>
          <w:bCs/>
        </w:rPr>
        <w:t xml:space="preserve">patients with melanoma </w:t>
      </w:r>
      <w:r w:rsidR="00963ED3">
        <w:rPr>
          <w:bCs/>
        </w:rPr>
        <w:t xml:space="preserve">currently </w:t>
      </w:r>
      <w:r>
        <w:rPr>
          <w:bCs/>
        </w:rPr>
        <w:t>have access to pembrolizumab with</w:t>
      </w:r>
      <w:r w:rsidR="002F5F3F">
        <w:rPr>
          <w:bCs/>
        </w:rPr>
        <w:t>out</w:t>
      </w:r>
      <w:r>
        <w:rPr>
          <w:bCs/>
        </w:rPr>
        <w:t xml:space="preserve"> requiring testing for ei</w:t>
      </w:r>
      <w:r w:rsidR="00C401D0">
        <w:rPr>
          <w:bCs/>
        </w:rPr>
        <w:t>ther PD-L1 or dMMR</w:t>
      </w:r>
      <w:r w:rsidR="006962F5">
        <w:rPr>
          <w:bCs/>
        </w:rPr>
        <w:t xml:space="preserve">, </w:t>
      </w:r>
      <w:r w:rsidR="00C401D0">
        <w:rPr>
          <w:bCs/>
        </w:rPr>
        <w:t xml:space="preserve">and </w:t>
      </w:r>
      <w:r w:rsidR="006962F5">
        <w:rPr>
          <w:bCs/>
        </w:rPr>
        <w:t>dMMR testing of CRC patients for access to pembrolizumab is covered by a separate MSAC application (</w:t>
      </w:r>
      <w:r w:rsidR="002F5F3F">
        <w:rPr>
          <w:bCs/>
        </w:rPr>
        <w:t xml:space="preserve">1452) to the pan-tumour application (1508). </w:t>
      </w:r>
      <w:r w:rsidR="00DA2A3A">
        <w:rPr>
          <w:bCs/>
        </w:rPr>
        <w:t xml:space="preserve">The importance of </w:t>
      </w:r>
      <w:r w:rsidR="00FE7CEC" w:rsidRPr="00FE7CEC">
        <w:rPr>
          <w:bCs/>
        </w:rPr>
        <w:t>the prevalence of dMMR (based on MSI-H prevalence) for</w:t>
      </w:r>
      <w:r>
        <w:rPr>
          <w:bCs/>
        </w:rPr>
        <w:t xml:space="preserve"> the remaining </w:t>
      </w:r>
      <w:r w:rsidR="00963ED3">
        <w:rPr>
          <w:bCs/>
        </w:rPr>
        <w:t>pan-</w:t>
      </w:r>
      <w:r>
        <w:rPr>
          <w:bCs/>
        </w:rPr>
        <w:t xml:space="preserve">tumour types </w:t>
      </w:r>
      <w:r w:rsidR="00DA2A3A">
        <w:rPr>
          <w:bCs/>
        </w:rPr>
        <w:t>is discussed further in the ‘Clinical validity’ section.</w:t>
      </w:r>
    </w:p>
    <w:p w14:paraId="4536CF75" w14:textId="39919D4F" w:rsidR="00941922" w:rsidRPr="00941922" w:rsidRDefault="000F6AD0" w:rsidP="004330AF">
      <w:pPr>
        <w:pStyle w:val="TableHeading"/>
        <w:keepLines/>
      </w:pPr>
      <w:bookmarkStart w:id="59" w:name="_Ref499551009"/>
      <w:bookmarkStart w:id="60" w:name="_Toc29557676"/>
      <w:r>
        <w:lastRenderedPageBreak/>
        <w:t xml:space="preserve">Table </w:t>
      </w:r>
      <w:r w:rsidR="0054411D">
        <w:rPr>
          <w:noProof/>
        </w:rPr>
        <w:fldChar w:fldCharType="begin"/>
      </w:r>
      <w:r w:rsidR="0054411D">
        <w:rPr>
          <w:noProof/>
        </w:rPr>
        <w:instrText xml:space="preserve"> SEQ Table \* ARABIC </w:instrText>
      </w:r>
      <w:r w:rsidR="0054411D">
        <w:rPr>
          <w:noProof/>
        </w:rPr>
        <w:fldChar w:fldCharType="separate"/>
      </w:r>
      <w:r w:rsidR="0068658C">
        <w:rPr>
          <w:noProof/>
        </w:rPr>
        <w:t>2</w:t>
      </w:r>
      <w:r w:rsidR="0054411D">
        <w:rPr>
          <w:noProof/>
        </w:rPr>
        <w:fldChar w:fldCharType="end"/>
      </w:r>
      <w:bookmarkEnd w:id="59"/>
      <w:r w:rsidR="00941922" w:rsidRPr="00941922">
        <w:tab/>
        <w:t xml:space="preserve">Prevalence </w:t>
      </w:r>
      <w:r w:rsidR="00F36CBE" w:rsidRPr="00F36CBE">
        <w:t xml:space="preserve">of the most common sporadic </w:t>
      </w:r>
      <w:r w:rsidR="002F5F3F">
        <w:t>solid tumours</w:t>
      </w:r>
      <w:r w:rsidR="00F36CBE" w:rsidRPr="00F36CBE">
        <w:t xml:space="preserve"> cases in Australia, proportion that are Stage IV, and MSI-H prevalence per tumour type</w:t>
      </w:r>
      <w:bookmarkEnd w:id="60"/>
    </w:p>
    <w:tbl>
      <w:tblPr>
        <w:tblStyle w:val="TableGrid4"/>
        <w:tblW w:w="0" w:type="auto"/>
        <w:tblLook w:val="04A0" w:firstRow="1" w:lastRow="0" w:firstColumn="1" w:lastColumn="0" w:noHBand="0" w:noVBand="1"/>
        <w:tblCaption w:val="Prevalence in sporadic solid tumour cases"/>
        <w:tblDescription w:val="reports the prevalence of microsatellite instability in various solid tumours"/>
      </w:tblPr>
      <w:tblGrid>
        <w:gridCol w:w="3114"/>
        <w:gridCol w:w="1967"/>
        <w:gridCol w:w="1967"/>
        <w:gridCol w:w="1968"/>
      </w:tblGrid>
      <w:tr w:rsidR="00F36CBE" w:rsidRPr="00F36CBE" w14:paraId="3E48D523" w14:textId="77777777" w:rsidTr="002F5F3F">
        <w:trPr>
          <w:tblHeader/>
        </w:trPr>
        <w:tc>
          <w:tcPr>
            <w:tcW w:w="3114" w:type="dxa"/>
            <w:tcBorders>
              <w:bottom w:val="single" w:sz="4" w:space="0" w:color="auto"/>
            </w:tcBorders>
          </w:tcPr>
          <w:p w14:paraId="62C1A54D" w14:textId="70CE5691" w:rsidR="00F36CBE" w:rsidRPr="00F36CBE" w:rsidRDefault="00974065" w:rsidP="004330AF">
            <w:pPr>
              <w:keepNext/>
              <w:keepLines/>
              <w:spacing w:before="40" w:after="40"/>
              <w:rPr>
                <w:rFonts w:ascii="Arial Narrow" w:eastAsia="Calibri" w:hAnsi="Arial Narrow" w:cs="Times New Roman"/>
                <w:b/>
                <w:sz w:val="20"/>
                <w:lang w:eastAsia="en-US"/>
              </w:rPr>
            </w:pPr>
            <w:r>
              <w:rPr>
                <w:rFonts w:ascii="Arial Narrow" w:eastAsia="Calibri" w:hAnsi="Arial Narrow" w:cs="Times New Roman"/>
                <w:b/>
                <w:sz w:val="20"/>
                <w:lang w:eastAsia="en-US"/>
              </w:rPr>
              <w:t>Carcinoma</w:t>
            </w:r>
          </w:p>
        </w:tc>
        <w:tc>
          <w:tcPr>
            <w:tcW w:w="1967" w:type="dxa"/>
            <w:tcBorders>
              <w:bottom w:val="single" w:sz="4" w:space="0" w:color="auto"/>
            </w:tcBorders>
          </w:tcPr>
          <w:p w14:paraId="39EF6718" w14:textId="77777777" w:rsidR="00F36CBE" w:rsidRPr="00F36CBE" w:rsidRDefault="00F36CBE" w:rsidP="004330AF">
            <w:pPr>
              <w:keepNext/>
              <w:keepLines/>
              <w:spacing w:before="40" w:after="40"/>
              <w:jc w:val="center"/>
              <w:rPr>
                <w:rFonts w:ascii="Arial Narrow" w:eastAsia="Calibri" w:hAnsi="Arial Narrow" w:cs="Times New Roman"/>
                <w:b/>
                <w:sz w:val="20"/>
                <w:lang w:eastAsia="en-US"/>
              </w:rPr>
            </w:pPr>
            <w:r w:rsidRPr="00F36CBE">
              <w:rPr>
                <w:rFonts w:ascii="Arial Narrow" w:eastAsia="Calibri" w:hAnsi="Arial Narrow" w:cs="Times New Roman"/>
                <w:b/>
                <w:sz w:val="20"/>
                <w:lang w:eastAsia="en-US"/>
              </w:rPr>
              <w:t>Proportion of all cancers</w:t>
            </w:r>
          </w:p>
        </w:tc>
        <w:tc>
          <w:tcPr>
            <w:tcW w:w="1967" w:type="dxa"/>
            <w:tcBorders>
              <w:bottom w:val="single" w:sz="4" w:space="0" w:color="auto"/>
            </w:tcBorders>
          </w:tcPr>
          <w:p w14:paraId="3052E1AE" w14:textId="77777777" w:rsidR="00F36CBE" w:rsidRPr="00F36CBE" w:rsidRDefault="00F36CBE" w:rsidP="004330AF">
            <w:pPr>
              <w:keepNext/>
              <w:keepLines/>
              <w:spacing w:before="40" w:after="40"/>
              <w:jc w:val="center"/>
              <w:rPr>
                <w:rFonts w:ascii="Arial Narrow" w:eastAsia="Calibri" w:hAnsi="Arial Narrow" w:cs="Times New Roman"/>
                <w:b/>
                <w:sz w:val="20"/>
                <w:lang w:eastAsia="en-US"/>
              </w:rPr>
            </w:pPr>
            <w:r w:rsidRPr="00F36CBE">
              <w:rPr>
                <w:rFonts w:ascii="Arial Narrow" w:eastAsia="Calibri" w:hAnsi="Arial Narrow" w:cs="Times New Roman"/>
                <w:b/>
                <w:sz w:val="20"/>
                <w:lang w:eastAsia="en-US"/>
              </w:rPr>
              <w:t>Number of patients that are Stage IV</w:t>
            </w:r>
          </w:p>
        </w:tc>
        <w:tc>
          <w:tcPr>
            <w:tcW w:w="1968" w:type="dxa"/>
            <w:tcBorders>
              <w:bottom w:val="single" w:sz="4" w:space="0" w:color="auto"/>
            </w:tcBorders>
          </w:tcPr>
          <w:p w14:paraId="76A8A181" w14:textId="77777777" w:rsidR="00F36CBE" w:rsidRPr="00F36CBE" w:rsidRDefault="00F36CBE" w:rsidP="004330AF">
            <w:pPr>
              <w:keepNext/>
              <w:keepLines/>
              <w:spacing w:before="40" w:after="40"/>
              <w:jc w:val="center"/>
              <w:rPr>
                <w:rFonts w:ascii="Arial Narrow" w:eastAsia="Calibri" w:hAnsi="Arial Narrow" w:cs="Times New Roman"/>
                <w:b/>
                <w:sz w:val="20"/>
                <w:lang w:eastAsia="en-US"/>
              </w:rPr>
            </w:pPr>
            <w:r w:rsidRPr="00F36CBE">
              <w:rPr>
                <w:rFonts w:ascii="Arial Narrow" w:eastAsia="Calibri" w:hAnsi="Arial Narrow" w:cs="Times New Roman"/>
                <w:b/>
                <w:sz w:val="20"/>
                <w:lang w:eastAsia="en-US"/>
              </w:rPr>
              <w:t>Proportion of cancers that are MSI-H</w:t>
            </w:r>
          </w:p>
        </w:tc>
      </w:tr>
      <w:tr w:rsidR="002F5F3F" w:rsidRPr="00F36CBE" w14:paraId="4AC84702" w14:textId="77777777" w:rsidTr="002F5F3F">
        <w:tc>
          <w:tcPr>
            <w:tcW w:w="3114" w:type="dxa"/>
          </w:tcPr>
          <w:p w14:paraId="0E8A2BB1" w14:textId="77777777" w:rsidR="002F5F3F" w:rsidRPr="00F36CBE" w:rsidRDefault="002F5F3F" w:rsidP="004330AF">
            <w:pPr>
              <w:keepNext/>
              <w:keepLines/>
              <w:spacing w:before="40" w:after="40"/>
              <w:rPr>
                <w:rFonts w:ascii="Arial Narrow" w:eastAsia="Calibri" w:hAnsi="Arial Narrow" w:cs="Times New Roman"/>
                <w:sz w:val="20"/>
                <w:lang w:eastAsia="en-US"/>
              </w:rPr>
            </w:pPr>
            <w:r w:rsidRPr="00F36CBE">
              <w:rPr>
                <w:rFonts w:ascii="Arial Narrow" w:eastAsia="Calibri" w:hAnsi="Arial Narrow" w:cs="Times New Roman"/>
                <w:sz w:val="20"/>
                <w:lang w:eastAsia="en-US"/>
              </w:rPr>
              <w:t>Breast cancer</w:t>
            </w:r>
          </w:p>
        </w:tc>
        <w:tc>
          <w:tcPr>
            <w:tcW w:w="1967" w:type="dxa"/>
          </w:tcPr>
          <w:p w14:paraId="65BAE177" w14:textId="77777777" w:rsidR="002F5F3F" w:rsidRPr="00F36CBE" w:rsidRDefault="002F5F3F" w:rsidP="004330AF">
            <w:pPr>
              <w:keepNext/>
              <w:keepLines/>
              <w:tabs>
                <w:tab w:val="left" w:pos="743"/>
              </w:tabs>
              <w:spacing w:before="40" w:after="40"/>
              <w:jc w:val="center"/>
              <w:rPr>
                <w:rFonts w:ascii="Arial Narrow" w:eastAsia="Calibri" w:hAnsi="Arial Narrow" w:cs="Times New Roman"/>
                <w:sz w:val="20"/>
                <w:lang w:eastAsia="en-US"/>
              </w:rPr>
            </w:pPr>
            <w:r w:rsidRPr="00F36CBE">
              <w:rPr>
                <w:rFonts w:ascii="Arial Narrow" w:eastAsia="Calibri" w:hAnsi="Arial Narrow" w:cs="Times New Roman"/>
                <w:sz w:val="20"/>
                <w:lang w:eastAsia="en-US"/>
              </w:rPr>
              <w:t>26.5%</w:t>
            </w:r>
          </w:p>
        </w:tc>
        <w:tc>
          <w:tcPr>
            <w:tcW w:w="1967" w:type="dxa"/>
          </w:tcPr>
          <w:p w14:paraId="4D688CF6" w14:textId="77777777" w:rsidR="002F5F3F" w:rsidRPr="00F36CBE" w:rsidRDefault="002F5F3F" w:rsidP="004330AF">
            <w:pPr>
              <w:keepNext/>
              <w:keepLines/>
              <w:spacing w:before="40" w:after="40"/>
              <w:jc w:val="center"/>
              <w:rPr>
                <w:rFonts w:ascii="Arial Narrow" w:eastAsia="Calibri" w:hAnsi="Arial Narrow" w:cs="Times New Roman"/>
                <w:sz w:val="20"/>
                <w:lang w:eastAsia="en-US"/>
              </w:rPr>
            </w:pPr>
            <w:r w:rsidRPr="00F36CBE">
              <w:rPr>
                <w:rFonts w:ascii="Arial Narrow" w:eastAsia="Calibri" w:hAnsi="Arial Narrow" w:cs="Times New Roman"/>
                <w:sz w:val="20"/>
                <w:lang w:eastAsia="en-US"/>
              </w:rPr>
              <w:t>2,521</w:t>
            </w:r>
          </w:p>
        </w:tc>
        <w:tc>
          <w:tcPr>
            <w:tcW w:w="1968" w:type="dxa"/>
          </w:tcPr>
          <w:p w14:paraId="3EF4A770" w14:textId="77777777" w:rsidR="002F5F3F" w:rsidRPr="00F36CBE" w:rsidRDefault="002F5F3F" w:rsidP="004330AF">
            <w:pPr>
              <w:keepNext/>
              <w:keepLines/>
              <w:tabs>
                <w:tab w:val="left" w:pos="742"/>
              </w:tabs>
              <w:spacing w:before="40" w:after="40"/>
              <w:jc w:val="center"/>
              <w:rPr>
                <w:rFonts w:ascii="Arial Narrow" w:eastAsia="Calibri" w:hAnsi="Arial Narrow" w:cs="Times New Roman"/>
                <w:sz w:val="20"/>
                <w:lang w:eastAsia="en-US"/>
              </w:rPr>
            </w:pPr>
            <w:r w:rsidRPr="00F36CBE">
              <w:rPr>
                <w:rFonts w:ascii="Arial Narrow" w:eastAsia="Calibri" w:hAnsi="Arial Narrow" w:cs="Times New Roman"/>
                <w:sz w:val="20"/>
                <w:lang w:eastAsia="en-US"/>
              </w:rPr>
              <w:t>1%</w:t>
            </w:r>
          </w:p>
        </w:tc>
      </w:tr>
      <w:tr w:rsidR="002F5F3F" w:rsidRPr="00F36CBE" w14:paraId="11E6E92B" w14:textId="77777777" w:rsidTr="002F5F3F">
        <w:tc>
          <w:tcPr>
            <w:tcW w:w="3114" w:type="dxa"/>
          </w:tcPr>
          <w:p w14:paraId="0058F0F8" w14:textId="77777777" w:rsidR="002F5F3F" w:rsidRPr="00F36CBE" w:rsidRDefault="002F5F3F" w:rsidP="004330AF">
            <w:pPr>
              <w:keepNext/>
              <w:keepLines/>
              <w:spacing w:before="40" w:after="40"/>
              <w:rPr>
                <w:rFonts w:ascii="Arial Narrow" w:eastAsia="Calibri" w:hAnsi="Arial Narrow" w:cs="Times New Roman"/>
                <w:sz w:val="20"/>
                <w:lang w:eastAsia="en-US"/>
              </w:rPr>
            </w:pPr>
            <w:r w:rsidRPr="00F36CBE">
              <w:rPr>
                <w:rFonts w:ascii="Arial Narrow" w:eastAsia="Calibri" w:hAnsi="Arial Narrow" w:cs="Times New Roman"/>
                <w:sz w:val="20"/>
                <w:lang w:eastAsia="en-US"/>
              </w:rPr>
              <w:t>Prostate cancer</w:t>
            </w:r>
          </w:p>
        </w:tc>
        <w:tc>
          <w:tcPr>
            <w:tcW w:w="1967" w:type="dxa"/>
          </w:tcPr>
          <w:p w14:paraId="6F211A61" w14:textId="77777777" w:rsidR="002F5F3F" w:rsidRPr="00F36CBE" w:rsidRDefault="002F5F3F" w:rsidP="004330AF">
            <w:pPr>
              <w:keepNext/>
              <w:keepLines/>
              <w:tabs>
                <w:tab w:val="left" w:pos="743"/>
              </w:tabs>
              <w:spacing w:before="40" w:after="40"/>
              <w:jc w:val="center"/>
              <w:rPr>
                <w:rFonts w:ascii="Arial Narrow" w:eastAsia="Calibri" w:hAnsi="Arial Narrow" w:cs="Times New Roman"/>
                <w:sz w:val="20"/>
                <w:lang w:eastAsia="en-US"/>
              </w:rPr>
            </w:pPr>
            <w:r w:rsidRPr="00F36CBE">
              <w:rPr>
                <w:rFonts w:ascii="Arial Narrow" w:eastAsia="Calibri" w:hAnsi="Arial Narrow" w:cs="Times New Roman"/>
                <w:sz w:val="20"/>
                <w:lang w:eastAsia="en-US"/>
              </w:rPr>
              <w:t>24.5%</w:t>
            </w:r>
          </w:p>
        </w:tc>
        <w:tc>
          <w:tcPr>
            <w:tcW w:w="1967" w:type="dxa"/>
          </w:tcPr>
          <w:p w14:paraId="63FDF599" w14:textId="77777777" w:rsidR="002F5F3F" w:rsidRPr="00F36CBE" w:rsidRDefault="002F5F3F" w:rsidP="004330AF">
            <w:pPr>
              <w:keepNext/>
              <w:keepLines/>
              <w:spacing w:before="40" w:after="40"/>
              <w:jc w:val="center"/>
              <w:rPr>
                <w:rFonts w:ascii="Arial Narrow" w:eastAsia="Calibri" w:hAnsi="Arial Narrow" w:cs="Times New Roman"/>
                <w:sz w:val="20"/>
                <w:lang w:eastAsia="en-US"/>
              </w:rPr>
            </w:pPr>
            <w:r w:rsidRPr="00F36CBE">
              <w:rPr>
                <w:rFonts w:ascii="Arial Narrow" w:eastAsia="Calibri" w:hAnsi="Arial Narrow" w:cs="Times New Roman"/>
                <w:sz w:val="20"/>
                <w:lang w:eastAsia="en-US"/>
              </w:rPr>
              <w:t>2,678</w:t>
            </w:r>
          </w:p>
        </w:tc>
        <w:tc>
          <w:tcPr>
            <w:tcW w:w="1968" w:type="dxa"/>
          </w:tcPr>
          <w:p w14:paraId="20C3C846" w14:textId="77777777" w:rsidR="002F5F3F" w:rsidRPr="00F36CBE" w:rsidRDefault="002F5F3F" w:rsidP="004330AF">
            <w:pPr>
              <w:keepNext/>
              <w:keepLines/>
              <w:tabs>
                <w:tab w:val="left" w:pos="742"/>
              </w:tabs>
              <w:spacing w:before="40" w:after="40"/>
              <w:jc w:val="center"/>
              <w:rPr>
                <w:rFonts w:ascii="Arial Narrow" w:eastAsia="Calibri" w:hAnsi="Arial Narrow" w:cs="Times New Roman"/>
                <w:sz w:val="20"/>
                <w:lang w:eastAsia="en-US"/>
              </w:rPr>
            </w:pPr>
            <w:r w:rsidRPr="00F36CBE">
              <w:rPr>
                <w:rFonts w:ascii="Arial Narrow" w:eastAsia="Calibri" w:hAnsi="Arial Narrow" w:cs="Times New Roman"/>
                <w:sz w:val="20"/>
                <w:lang w:eastAsia="en-US"/>
              </w:rPr>
              <w:t>4</w:t>
            </w:r>
            <w:r>
              <w:rPr>
                <w:rFonts w:ascii="Arial Narrow" w:eastAsia="Calibri" w:hAnsi="Arial Narrow" w:cs="Times New Roman"/>
                <w:sz w:val="20"/>
                <w:lang w:eastAsia="en-US"/>
              </w:rPr>
              <w:t>–12</w:t>
            </w:r>
            <w:r w:rsidRPr="00F36CBE">
              <w:rPr>
                <w:rFonts w:ascii="Arial Narrow" w:eastAsia="Calibri" w:hAnsi="Arial Narrow" w:cs="Times New Roman"/>
                <w:sz w:val="20"/>
                <w:lang w:eastAsia="en-US"/>
              </w:rPr>
              <w:t>%</w:t>
            </w:r>
          </w:p>
        </w:tc>
      </w:tr>
      <w:tr w:rsidR="00C401D0" w:rsidRPr="00F36CBE" w14:paraId="0621A7BA" w14:textId="77777777" w:rsidTr="00C401D0">
        <w:tc>
          <w:tcPr>
            <w:tcW w:w="3114" w:type="dxa"/>
          </w:tcPr>
          <w:p w14:paraId="4DAA56FB" w14:textId="77777777" w:rsidR="00C401D0" w:rsidRPr="002F5F3F" w:rsidRDefault="00C401D0" w:rsidP="004330AF">
            <w:pPr>
              <w:keepNext/>
              <w:keepLines/>
              <w:spacing w:before="40" w:after="40"/>
              <w:rPr>
                <w:rFonts w:ascii="Arial Narrow" w:eastAsia="Calibri" w:hAnsi="Arial Narrow" w:cs="Times New Roman"/>
                <w:sz w:val="20"/>
                <w:lang w:eastAsia="en-US"/>
              </w:rPr>
            </w:pPr>
            <w:r>
              <w:rPr>
                <w:rFonts w:ascii="Arial Narrow" w:eastAsia="Calibri" w:hAnsi="Arial Narrow" w:cs="Times New Roman"/>
                <w:sz w:val="20"/>
                <w:lang w:eastAsia="en-US"/>
              </w:rPr>
              <w:t>Lung cancer</w:t>
            </w:r>
          </w:p>
        </w:tc>
        <w:tc>
          <w:tcPr>
            <w:tcW w:w="1967" w:type="dxa"/>
          </w:tcPr>
          <w:p w14:paraId="1AD7AA4F" w14:textId="77777777" w:rsidR="00C401D0" w:rsidRPr="002F5F3F" w:rsidRDefault="00C401D0" w:rsidP="004330AF">
            <w:pPr>
              <w:keepNext/>
              <w:keepLines/>
              <w:tabs>
                <w:tab w:val="left" w:pos="743"/>
              </w:tabs>
              <w:spacing w:before="40" w:after="40"/>
              <w:jc w:val="center"/>
              <w:rPr>
                <w:rFonts w:ascii="Arial Narrow" w:eastAsia="Calibri" w:hAnsi="Arial Narrow" w:cs="Times New Roman"/>
                <w:sz w:val="20"/>
                <w:lang w:eastAsia="en-US"/>
              </w:rPr>
            </w:pPr>
            <w:r w:rsidRPr="002F5F3F">
              <w:rPr>
                <w:rFonts w:ascii="Arial Narrow" w:eastAsia="Calibri" w:hAnsi="Arial Narrow" w:cs="Times New Roman"/>
                <w:sz w:val="20"/>
                <w:lang w:eastAsia="en-US"/>
              </w:rPr>
              <w:t>9.0%</w:t>
            </w:r>
          </w:p>
        </w:tc>
        <w:tc>
          <w:tcPr>
            <w:tcW w:w="1967" w:type="dxa"/>
          </w:tcPr>
          <w:p w14:paraId="5EAD6B58" w14:textId="77777777" w:rsidR="00C401D0" w:rsidRPr="002F5F3F" w:rsidRDefault="00C401D0" w:rsidP="004330AF">
            <w:pPr>
              <w:keepNext/>
              <w:keepLines/>
              <w:spacing w:before="40" w:after="40"/>
              <w:jc w:val="center"/>
              <w:rPr>
                <w:rFonts w:ascii="Arial Narrow" w:eastAsia="Calibri" w:hAnsi="Arial Narrow" w:cs="Times New Roman"/>
                <w:sz w:val="20"/>
                <w:lang w:eastAsia="en-US"/>
              </w:rPr>
            </w:pPr>
            <w:r>
              <w:rPr>
                <w:rFonts w:ascii="Arial Narrow" w:eastAsia="Calibri" w:hAnsi="Arial Narrow" w:cs="Times New Roman"/>
                <w:sz w:val="20"/>
                <w:lang w:eastAsia="en-US"/>
              </w:rPr>
              <w:t>7</w:t>
            </w:r>
            <w:r w:rsidRPr="002F5F3F">
              <w:rPr>
                <w:rFonts w:ascii="Arial Narrow" w:eastAsia="Calibri" w:hAnsi="Arial Narrow" w:cs="Times New Roman"/>
                <w:sz w:val="20"/>
                <w:lang w:eastAsia="en-US"/>
              </w:rPr>
              <w:t>,</w:t>
            </w:r>
            <w:r>
              <w:rPr>
                <w:rFonts w:ascii="Arial Narrow" w:eastAsia="Calibri" w:hAnsi="Arial Narrow" w:cs="Times New Roman"/>
                <w:sz w:val="20"/>
                <w:lang w:eastAsia="en-US"/>
              </w:rPr>
              <w:t>4</w:t>
            </w:r>
            <w:r w:rsidRPr="002F5F3F">
              <w:rPr>
                <w:rFonts w:ascii="Arial Narrow" w:eastAsia="Calibri" w:hAnsi="Arial Narrow" w:cs="Times New Roman"/>
                <w:sz w:val="20"/>
                <w:lang w:eastAsia="en-US"/>
              </w:rPr>
              <w:t>9</w:t>
            </w:r>
            <w:r>
              <w:rPr>
                <w:rFonts w:ascii="Arial Narrow" w:eastAsia="Calibri" w:hAnsi="Arial Narrow" w:cs="Times New Roman"/>
                <w:sz w:val="20"/>
                <w:lang w:eastAsia="en-US"/>
              </w:rPr>
              <w:t>5</w:t>
            </w:r>
          </w:p>
        </w:tc>
        <w:tc>
          <w:tcPr>
            <w:tcW w:w="1968" w:type="dxa"/>
          </w:tcPr>
          <w:p w14:paraId="3DFBF638" w14:textId="77777777" w:rsidR="00C401D0" w:rsidRPr="002F5F3F" w:rsidRDefault="00C401D0" w:rsidP="004330AF">
            <w:pPr>
              <w:keepNext/>
              <w:keepLines/>
              <w:tabs>
                <w:tab w:val="left" w:pos="742"/>
              </w:tabs>
              <w:spacing w:before="40" w:after="40"/>
              <w:jc w:val="center"/>
              <w:rPr>
                <w:rFonts w:ascii="Arial Narrow" w:eastAsia="Calibri" w:hAnsi="Arial Narrow" w:cs="Times New Roman"/>
                <w:sz w:val="20"/>
                <w:lang w:eastAsia="en-US"/>
              </w:rPr>
            </w:pPr>
            <w:r w:rsidRPr="002F5F3F">
              <w:rPr>
                <w:rFonts w:ascii="Arial Narrow" w:eastAsia="Calibri" w:hAnsi="Arial Narrow" w:cs="Times New Roman"/>
                <w:sz w:val="20"/>
                <w:lang w:eastAsia="en-US"/>
              </w:rPr>
              <w:t>1%</w:t>
            </w:r>
          </w:p>
        </w:tc>
      </w:tr>
      <w:tr w:rsidR="002F5F3F" w:rsidRPr="00F36CBE" w14:paraId="60F5690A" w14:textId="77777777" w:rsidTr="002F5F3F">
        <w:tc>
          <w:tcPr>
            <w:tcW w:w="3114" w:type="dxa"/>
          </w:tcPr>
          <w:p w14:paraId="0CF107EA" w14:textId="77777777" w:rsidR="002F5F3F" w:rsidRPr="00F36CBE" w:rsidRDefault="002F5F3F" w:rsidP="004330AF">
            <w:pPr>
              <w:keepNext/>
              <w:keepLines/>
              <w:spacing w:before="40" w:after="40"/>
              <w:rPr>
                <w:rFonts w:ascii="Arial Narrow" w:eastAsia="Calibri" w:hAnsi="Arial Narrow" w:cs="Times New Roman"/>
                <w:sz w:val="20"/>
                <w:lang w:eastAsia="en-US"/>
              </w:rPr>
            </w:pPr>
            <w:r w:rsidRPr="00F36CBE">
              <w:rPr>
                <w:rFonts w:ascii="Arial Narrow" w:eastAsia="Calibri" w:hAnsi="Arial Narrow" w:cs="Times New Roman"/>
                <w:sz w:val="20"/>
                <w:lang w:eastAsia="en-US"/>
              </w:rPr>
              <w:t>Endometrial cancer</w:t>
            </w:r>
          </w:p>
        </w:tc>
        <w:tc>
          <w:tcPr>
            <w:tcW w:w="1967" w:type="dxa"/>
          </w:tcPr>
          <w:p w14:paraId="15C95568" w14:textId="77777777" w:rsidR="002F5F3F" w:rsidRPr="00F36CBE" w:rsidRDefault="002F5F3F" w:rsidP="004330AF">
            <w:pPr>
              <w:keepNext/>
              <w:keepLines/>
              <w:tabs>
                <w:tab w:val="left" w:pos="743"/>
              </w:tabs>
              <w:spacing w:before="40" w:after="40"/>
              <w:jc w:val="center"/>
              <w:rPr>
                <w:rFonts w:ascii="Arial Narrow" w:eastAsia="Calibri" w:hAnsi="Arial Narrow" w:cs="Times New Roman"/>
                <w:sz w:val="20"/>
                <w:lang w:eastAsia="en-US"/>
              </w:rPr>
            </w:pPr>
            <w:r w:rsidRPr="00F36CBE">
              <w:rPr>
                <w:rFonts w:ascii="Arial Narrow" w:eastAsia="Calibri" w:hAnsi="Arial Narrow" w:cs="Times New Roman"/>
                <w:sz w:val="20"/>
                <w:lang w:eastAsia="en-US"/>
              </w:rPr>
              <w:t>4.1%</w:t>
            </w:r>
          </w:p>
        </w:tc>
        <w:tc>
          <w:tcPr>
            <w:tcW w:w="1967" w:type="dxa"/>
          </w:tcPr>
          <w:p w14:paraId="67DE2F80" w14:textId="77777777" w:rsidR="002F5F3F" w:rsidRPr="00F36CBE" w:rsidRDefault="002F5F3F" w:rsidP="004330AF">
            <w:pPr>
              <w:keepNext/>
              <w:keepLines/>
              <w:spacing w:before="40" w:after="40"/>
              <w:jc w:val="center"/>
              <w:rPr>
                <w:rFonts w:ascii="Arial Narrow" w:eastAsia="Calibri" w:hAnsi="Arial Narrow" w:cs="Times New Roman"/>
                <w:sz w:val="20"/>
                <w:lang w:eastAsia="en-US"/>
              </w:rPr>
            </w:pPr>
            <w:r w:rsidRPr="00F36CBE">
              <w:rPr>
                <w:rFonts w:ascii="Arial Narrow" w:eastAsia="Calibri" w:hAnsi="Arial Narrow" w:cs="Times New Roman"/>
                <w:sz w:val="20"/>
                <w:lang w:eastAsia="en-US"/>
              </w:rPr>
              <w:t>295</w:t>
            </w:r>
          </w:p>
        </w:tc>
        <w:tc>
          <w:tcPr>
            <w:tcW w:w="1968" w:type="dxa"/>
          </w:tcPr>
          <w:p w14:paraId="51D12E98" w14:textId="77777777" w:rsidR="002F5F3F" w:rsidRPr="00F36CBE" w:rsidRDefault="002F5F3F" w:rsidP="004330AF">
            <w:pPr>
              <w:keepNext/>
              <w:keepLines/>
              <w:tabs>
                <w:tab w:val="left" w:pos="742"/>
              </w:tabs>
              <w:spacing w:before="40" w:after="40"/>
              <w:jc w:val="center"/>
              <w:rPr>
                <w:rFonts w:ascii="Arial Narrow" w:eastAsia="Calibri" w:hAnsi="Arial Narrow" w:cs="Times New Roman"/>
                <w:sz w:val="20"/>
                <w:lang w:eastAsia="en-US"/>
              </w:rPr>
            </w:pPr>
            <w:r w:rsidRPr="00F36CBE">
              <w:rPr>
                <w:rFonts w:ascii="Arial Narrow" w:eastAsia="Calibri" w:hAnsi="Arial Narrow" w:cs="Times New Roman"/>
                <w:sz w:val="20"/>
                <w:lang w:eastAsia="en-US"/>
              </w:rPr>
              <w:t>17</w:t>
            </w:r>
            <w:r>
              <w:rPr>
                <w:rFonts w:ascii="Arial Narrow" w:eastAsia="Calibri" w:hAnsi="Arial Narrow" w:cs="Times New Roman"/>
                <w:sz w:val="20"/>
                <w:lang w:eastAsia="en-US"/>
              </w:rPr>
              <w:t>–</w:t>
            </w:r>
            <w:r w:rsidRPr="00F36CBE">
              <w:rPr>
                <w:rFonts w:ascii="Arial Narrow" w:eastAsia="Calibri" w:hAnsi="Arial Narrow" w:cs="Times New Roman"/>
                <w:sz w:val="20"/>
                <w:lang w:eastAsia="en-US"/>
              </w:rPr>
              <w:t>33</w:t>
            </w:r>
            <w:r>
              <w:rPr>
                <w:rFonts w:ascii="Arial Narrow" w:eastAsia="Calibri" w:hAnsi="Arial Narrow" w:cs="Times New Roman"/>
                <w:sz w:val="20"/>
                <w:lang w:eastAsia="en-US"/>
              </w:rPr>
              <w:t>%</w:t>
            </w:r>
          </w:p>
        </w:tc>
      </w:tr>
      <w:tr w:rsidR="00C401D0" w:rsidRPr="00F36CBE" w14:paraId="7FC96D43" w14:textId="77777777" w:rsidTr="00C401D0">
        <w:tc>
          <w:tcPr>
            <w:tcW w:w="3114" w:type="dxa"/>
          </w:tcPr>
          <w:p w14:paraId="4A2EE2D9" w14:textId="77777777" w:rsidR="00C401D0" w:rsidRPr="002F5F3F" w:rsidRDefault="00C401D0" w:rsidP="004330AF">
            <w:pPr>
              <w:keepNext/>
              <w:keepLines/>
              <w:spacing w:before="40" w:after="40"/>
              <w:rPr>
                <w:rFonts w:ascii="Arial Narrow" w:eastAsia="Calibri" w:hAnsi="Arial Narrow" w:cs="Times New Roman"/>
                <w:sz w:val="20"/>
                <w:lang w:eastAsia="en-US"/>
              </w:rPr>
            </w:pPr>
            <w:r w:rsidRPr="002F5F3F">
              <w:rPr>
                <w:rFonts w:ascii="Arial Narrow" w:eastAsia="Calibri" w:hAnsi="Arial Narrow" w:cs="Times New Roman"/>
                <w:sz w:val="20"/>
                <w:lang w:eastAsia="en-US"/>
              </w:rPr>
              <w:t>Renal cell carcinoma</w:t>
            </w:r>
          </w:p>
        </w:tc>
        <w:tc>
          <w:tcPr>
            <w:tcW w:w="1967" w:type="dxa"/>
          </w:tcPr>
          <w:p w14:paraId="03C180EB" w14:textId="77777777" w:rsidR="00C401D0" w:rsidRPr="002F5F3F" w:rsidRDefault="00C401D0" w:rsidP="004330AF">
            <w:pPr>
              <w:keepNext/>
              <w:keepLines/>
              <w:tabs>
                <w:tab w:val="left" w:pos="743"/>
              </w:tabs>
              <w:spacing w:before="40" w:after="40"/>
              <w:jc w:val="center"/>
              <w:rPr>
                <w:rFonts w:ascii="Arial Narrow" w:eastAsia="Calibri" w:hAnsi="Arial Narrow" w:cs="Times New Roman"/>
                <w:sz w:val="20"/>
                <w:lang w:eastAsia="en-US"/>
              </w:rPr>
            </w:pPr>
            <w:r w:rsidRPr="002F5F3F">
              <w:rPr>
                <w:rFonts w:ascii="Arial Narrow" w:eastAsia="Calibri" w:hAnsi="Arial Narrow" w:cs="Times New Roman"/>
                <w:sz w:val="20"/>
                <w:lang w:eastAsia="en-US"/>
              </w:rPr>
              <w:t>2.6%</w:t>
            </w:r>
          </w:p>
        </w:tc>
        <w:tc>
          <w:tcPr>
            <w:tcW w:w="1967" w:type="dxa"/>
          </w:tcPr>
          <w:p w14:paraId="317B61EE" w14:textId="77777777" w:rsidR="00C401D0" w:rsidRPr="002F5F3F" w:rsidRDefault="00C401D0" w:rsidP="004330AF">
            <w:pPr>
              <w:keepNext/>
              <w:keepLines/>
              <w:spacing w:before="40" w:after="40"/>
              <w:jc w:val="center"/>
              <w:rPr>
                <w:rFonts w:ascii="Arial Narrow" w:eastAsia="Calibri" w:hAnsi="Arial Narrow" w:cs="Times New Roman"/>
                <w:sz w:val="20"/>
                <w:lang w:eastAsia="en-US"/>
              </w:rPr>
            </w:pPr>
            <w:r w:rsidRPr="002F5F3F">
              <w:rPr>
                <w:rFonts w:ascii="Arial Narrow" w:eastAsia="Calibri" w:hAnsi="Arial Narrow" w:cs="Times New Roman"/>
                <w:sz w:val="20"/>
                <w:lang w:eastAsia="en-US"/>
              </w:rPr>
              <w:t>835</w:t>
            </w:r>
          </w:p>
        </w:tc>
        <w:tc>
          <w:tcPr>
            <w:tcW w:w="1968" w:type="dxa"/>
          </w:tcPr>
          <w:p w14:paraId="6568C7E4" w14:textId="77777777" w:rsidR="00C401D0" w:rsidRPr="002F5F3F" w:rsidRDefault="00C401D0" w:rsidP="004330AF">
            <w:pPr>
              <w:keepNext/>
              <w:keepLines/>
              <w:tabs>
                <w:tab w:val="left" w:pos="742"/>
              </w:tabs>
              <w:spacing w:before="40" w:after="40"/>
              <w:ind w:right="-57"/>
              <w:jc w:val="center"/>
              <w:rPr>
                <w:rFonts w:ascii="Arial Narrow" w:eastAsia="Calibri" w:hAnsi="Arial Narrow" w:cs="Times New Roman"/>
                <w:sz w:val="20"/>
                <w:lang w:eastAsia="en-US"/>
              </w:rPr>
            </w:pPr>
            <w:r w:rsidRPr="002F5F3F">
              <w:rPr>
                <w:rFonts w:ascii="Arial Narrow" w:eastAsia="Calibri" w:hAnsi="Arial Narrow" w:cs="Times New Roman"/>
                <w:sz w:val="20"/>
                <w:lang w:eastAsia="en-US"/>
              </w:rPr>
              <w:t>1–4%</w:t>
            </w:r>
          </w:p>
        </w:tc>
      </w:tr>
      <w:tr w:rsidR="00F36CBE" w:rsidRPr="00F36CBE" w14:paraId="5BA591D8" w14:textId="77777777" w:rsidTr="002F5F3F">
        <w:tc>
          <w:tcPr>
            <w:tcW w:w="3114" w:type="dxa"/>
          </w:tcPr>
          <w:p w14:paraId="25426D8A" w14:textId="77777777" w:rsidR="00F36CBE" w:rsidRPr="00F36CBE" w:rsidRDefault="00F36CBE" w:rsidP="004330AF">
            <w:pPr>
              <w:keepNext/>
              <w:keepLines/>
              <w:spacing w:before="40" w:after="40"/>
              <w:rPr>
                <w:rFonts w:ascii="Arial Narrow" w:eastAsia="Calibri" w:hAnsi="Arial Narrow" w:cs="Times New Roman"/>
                <w:sz w:val="20"/>
                <w:lang w:eastAsia="en-US"/>
              </w:rPr>
            </w:pPr>
            <w:r w:rsidRPr="00F36CBE">
              <w:rPr>
                <w:rFonts w:ascii="Arial Narrow" w:eastAsia="Calibri" w:hAnsi="Arial Narrow" w:cs="Times New Roman"/>
                <w:sz w:val="20"/>
                <w:lang w:eastAsia="en-US"/>
              </w:rPr>
              <w:t>Thyroid cancer</w:t>
            </w:r>
          </w:p>
        </w:tc>
        <w:tc>
          <w:tcPr>
            <w:tcW w:w="1967" w:type="dxa"/>
          </w:tcPr>
          <w:p w14:paraId="007102A1" w14:textId="77777777" w:rsidR="00F36CBE" w:rsidRPr="00F36CBE" w:rsidRDefault="00F36CBE" w:rsidP="004330AF">
            <w:pPr>
              <w:keepNext/>
              <w:keepLines/>
              <w:tabs>
                <w:tab w:val="left" w:pos="743"/>
              </w:tabs>
              <w:spacing w:before="40" w:after="40"/>
              <w:jc w:val="center"/>
              <w:rPr>
                <w:rFonts w:ascii="Arial Narrow" w:eastAsia="Calibri" w:hAnsi="Arial Narrow" w:cs="Times New Roman"/>
                <w:sz w:val="20"/>
                <w:lang w:eastAsia="en-US"/>
              </w:rPr>
            </w:pPr>
            <w:r w:rsidRPr="00F36CBE">
              <w:rPr>
                <w:rFonts w:ascii="Arial Narrow" w:eastAsia="Calibri" w:hAnsi="Arial Narrow" w:cs="Times New Roman"/>
                <w:sz w:val="20"/>
                <w:lang w:eastAsia="en-US"/>
              </w:rPr>
              <w:t>2.6%</w:t>
            </w:r>
          </w:p>
        </w:tc>
        <w:tc>
          <w:tcPr>
            <w:tcW w:w="1967" w:type="dxa"/>
          </w:tcPr>
          <w:p w14:paraId="0A7E9682" w14:textId="77777777" w:rsidR="00F36CBE" w:rsidRPr="00F36CBE" w:rsidRDefault="00F36CBE" w:rsidP="004330AF">
            <w:pPr>
              <w:keepNext/>
              <w:keepLines/>
              <w:spacing w:before="40" w:after="40"/>
              <w:jc w:val="center"/>
              <w:rPr>
                <w:rFonts w:ascii="Arial Narrow" w:eastAsia="Calibri" w:hAnsi="Arial Narrow" w:cs="Times New Roman"/>
                <w:sz w:val="20"/>
                <w:lang w:eastAsia="en-US"/>
              </w:rPr>
            </w:pPr>
            <w:r w:rsidRPr="00F36CBE">
              <w:rPr>
                <w:rFonts w:ascii="Arial Narrow" w:eastAsia="Calibri" w:hAnsi="Arial Narrow" w:cs="Times New Roman"/>
                <w:sz w:val="20"/>
                <w:lang w:eastAsia="en-US"/>
              </w:rPr>
              <w:t>123</w:t>
            </w:r>
          </w:p>
        </w:tc>
        <w:tc>
          <w:tcPr>
            <w:tcW w:w="1968" w:type="dxa"/>
          </w:tcPr>
          <w:p w14:paraId="3560BFA9" w14:textId="77777777" w:rsidR="00F36CBE" w:rsidRPr="00F36CBE" w:rsidRDefault="00F36CBE" w:rsidP="004330AF">
            <w:pPr>
              <w:keepNext/>
              <w:keepLines/>
              <w:tabs>
                <w:tab w:val="left" w:pos="742"/>
              </w:tabs>
              <w:spacing w:before="40" w:after="40"/>
              <w:jc w:val="center"/>
              <w:rPr>
                <w:rFonts w:ascii="Arial Narrow" w:eastAsia="Calibri" w:hAnsi="Arial Narrow" w:cs="Times New Roman"/>
                <w:sz w:val="20"/>
                <w:lang w:eastAsia="en-US"/>
              </w:rPr>
            </w:pPr>
            <w:r w:rsidRPr="00F36CBE">
              <w:rPr>
                <w:rFonts w:ascii="Arial Narrow" w:eastAsia="Calibri" w:hAnsi="Arial Narrow" w:cs="Times New Roman"/>
                <w:sz w:val="20"/>
                <w:lang w:eastAsia="en-US"/>
              </w:rPr>
              <w:t>23%</w:t>
            </w:r>
          </w:p>
        </w:tc>
      </w:tr>
      <w:tr w:rsidR="00F36CBE" w:rsidRPr="00F36CBE" w14:paraId="3FD3D6B8" w14:textId="77777777" w:rsidTr="002F5F3F">
        <w:tc>
          <w:tcPr>
            <w:tcW w:w="3114" w:type="dxa"/>
          </w:tcPr>
          <w:p w14:paraId="79D8ECAF" w14:textId="77777777" w:rsidR="00F36CBE" w:rsidRPr="00F36CBE" w:rsidRDefault="00F36CBE" w:rsidP="004330AF">
            <w:pPr>
              <w:keepNext/>
              <w:keepLines/>
              <w:spacing w:before="40" w:after="40"/>
              <w:rPr>
                <w:rFonts w:ascii="Arial Narrow" w:eastAsia="Calibri" w:hAnsi="Arial Narrow" w:cs="Times New Roman"/>
                <w:sz w:val="20"/>
                <w:lang w:eastAsia="en-US"/>
              </w:rPr>
            </w:pPr>
            <w:r w:rsidRPr="00F36CBE">
              <w:rPr>
                <w:rFonts w:ascii="Arial Narrow" w:eastAsia="Calibri" w:hAnsi="Arial Narrow" w:cs="Times New Roman"/>
                <w:sz w:val="20"/>
                <w:lang w:eastAsia="en-US"/>
              </w:rPr>
              <w:t>Head and neck cancer</w:t>
            </w:r>
          </w:p>
        </w:tc>
        <w:tc>
          <w:tcPr>
            <w:tcW w:w="1967" w:type="dxa"/>
          </w:tcPr>
          <w:p w14:paraId="11FCFC99" w14:textId="77777777" w:rsidR="00F36CBE" w:rsidRPr="00F36CBE" w:rsidRDefault="00F36CBE" w:rsidP="004330AF">
            <w:pPr>
              <w:keepNext/>
              <w:keepLines/>
              <w:tabs>
                <w:tab w:val="left" w:pos="743"/>
              </w:tabs>
              <w:spacing w:before="40" w:after="40"/>
              <w:jc w:val="center"/>
              <w:rPr>
                <w:rFonts w:ascii="Arial Narrow" w:eastAsia="Calibri" w:hAnsi="Arial Narrow" w:cs="Times New Roman"/>
                <w:sz w:val="20"/>
                <w:lang w:eastAsia="en-US"/>
              </w:rPr>
            </w:pPr>
            <w:r w:rsidRPr="00F36CBE">
              <w:rPr>
                <w:rFonts w:ascii="Arial Narrow" w:eastAsia="Calibri" w:hAnsi="Arial Narrow" w:cs="Times New Roman"/>
                <w:sz w:val="20"/>
                <w:lang w:eastAsia="en-US"/>
              </w:rPr>
              <w:t>2.5%</w:t>
            </w:r>
          </w:p>
        </w:tc>
        <w:tc>
          <w:tcPr>
            <w:tcW w:w="1967" w:type="dxa"/>
          </w:tcPr>
          <w:p w14:paraId="31733959" w14:textId="77777777" w:rsidR="00F36CBE" w:rsidRPr="00F36CBE" w:rsidRDefault="00F36CBE" w:rsidP="004330AF">
            <w:pPr>
              <w:keepNext/>
              <w:keepLines/>
              <w:spacing w:before="40" w:after="40"/>
              <w:jc w:val="center"/>
              <w:rPr>
                <w:rFonts w:ascii="Arial Narrow" w:eastAsia="Calibri" w:hAnsi="Arial Narrow" w:cs="Times New Roman"/>
                <w:sz w:val="20"/>
                <w:lang w:eastAsia="en-US"/>
              </w:rPr>
            </w:pPr>
            <w:r w:rsidRPr="00F36CBE">
              <w:rPr>
                <w:rFonts w:ascii="Arial Narrow" w:eastAsia="Calibri" w:hAnsi="Arial Narrow" w:cs="Times New Roman"/>
                <w:sz w:val="20"/>
                <w:lang w:eastAsia="en-US"/>
              </w:rPr>
              <w:t>1,007</w:t>
            </w:r>
          </w:p>
        </w:tc>
        <w:tc>
          <w:tcPr>
            <w:tcW w:w="1968" w:type="dxa"/>
          </w:tcPr>
          <w:p w14:paraId="2C6BD4EA" w14:textId="77777777" w:rsidR="00F36CBE" w:rsidRPr="00F36CBE" w:rsidRDefault="00F36CBE" w:rsidP="004330AF">
            <w:pPr>
              <w:keepNext/>
              <w:keepLines/>
              <w:tabs>
                <w:tab w:val="left" w:pos="742"/>
              </w:tabs>
              <w:spacing w:before="40" w:after="40"/>
              <w:jc w:val="center"/>
              <w:rPr>
                <w:rFonts w:ascii="Arial Narrow" w:eastAsia="Calibri" w:hAnsi="Arial Narrow" w:cs="Times New Roman"/>
                <w:sz w:val="20"/>
                <w:lang w:eastAsia="en-US"/>
              </w:rPr>
            </w:pPr>
            <w:r w:rsidRPr="00F36CBE">
              <w:rPr>
                <w:rFonts w:ascii="Arial Narrow" w:eastAsia="Calibri" w:hAnsi="Arial Narrow" w:cs="Times New Roman"/>
                <w:sz w:val="20"/>
                <w:lang w:eastAsia="en-US"/>
              </w:rPr>
              <w:t>1–3%</w:t>
            </w:r>
          </w:p>
        </w:tc>
      </w:tr>
      <w:tr w:rsidR="00F36CBE" w:rsidRPr="00F36CBE" w14:paraId="77D54806" w14:textId="77777777" w:rsidTr="002F5F3F">
        <w:tc>
          <w:tcPr>
            <w:tcW w:w="3114" w:type="dxa"/>
          </w:tcPr>
          <w:p w14:paraId="3CE13626" w14:textId="77777777" w:rsidR="00F36CBE" w:rsidRPr="00F36CBE" w:rsidRDefault="00F36CBE" w:rsidP="004330AF">
            <w:pPr>
              <w:keepNext/>
              <w:keepLines/>
              <w:spacing w:before="40" w:after="40"/>
              <w:rPr>
                <w:rFonts w:ascii="Arial Narrow" w:eastAsia="Calibri" w:hAnsi="Arial Narrow" w:cs="Times New Roman"/>
                <w:sz w:val="20"/>
                <w:lang w:eastAsia="en-US"/>
              </w:rPr>
            </w:pPr>
            <w:r w:rsidRPr="00F36CBE">
              <w:rPr>
                <w:rFonts w:ascii="Arial Narrow" w:eastAsia="Calibri" w:hAnsi="Arial Narrow" w:cs="Times New Roman"/>
                <w:sz w:val="20"/>
                <w:lang w:eastAsia="en-US"/>
              </w:rPr>
              <w:t>Pancreatic cancer</w:t>
            </w:r>
          </w:p>
        </w:tc>
        <w:tc>
          <w:tcPr>
            <w:tcW w:w="1967" w:type="dxa"/>
          </w:tcPr>
          <w:p w14:paraId="26E71976" w14:textId="77777777" w:rsidR="00F36CBE" w:rsidRPr="00F36CBE" w:rsidRDefault="00F36CBE" w:rsidP="004330AF">
            <w:pPr>
              <w:keepNext/>
              <w:keepLines/>
              <w:tabs>
                <w:tab w:val="left" w:pos="743"/>
              </w:tabs>
              <w:spacing w:before="40" w:after="40"/>
              <w:jc w:val="center"/>
              <w:rPr>
                <w:rFonts w:ascii="Arial Narrow" w:eastAsia="Calibri" w:hAnsi="Arial Narrow" w:cs="Times New Roman"/>
                <w:sz w:val="20"/>
                <w:lang w:eastAsia="en-US"/>
              </w:rPr>
            </w:pPr>
            <w:r w:rsidRPr="00F36CBE">
              <w:rPr>
                <w:rFonts w:ascii="Arial Narrow" w:eastAsia="Calibri" w:hAnsi="Arial Narrow" w:cs="Times New Roman"/>
                <w:sz w:val="20"/>
                <w:lang w:eastAsia="en-US"/>
              </w:rPr>
              <w:t>2.4%</w:t>
            </w:r>
          </w:p>
        </w:tc>
        <w:tc>
          <w:tcPr>
            <w:tcW w:w="1967" w:type="dxa"/>
          </w:tcPr>
          <w:p w14:paraId="0AC88C8D" w14:textId="77777777" w:rsidR="00F36CBE" w:rsidRPr="00F36CBE" w:rsidRDefault="00F36CBE" w:rsidP="004330AF">
            <w:pPr>
              <w:keepNext/>
              <w:keepLines/>
              <w:spacing w:before="40" w:after="40"/>
              <w:jc w:val="center"/>
              <w:rPr>
                <w:rFonts w:ascii="Arial Narrow" w:eastAsia="Calibri" w:hAnsi="Arial Narrow" w:cs="Times New Roman"/>
                <w:sz w:val="20"/>
                <w:lang w:eastAsia="en-US"/>
              </w:rPr>
            </w:pPr>
            <w:r w:rsidRPr="00F36CBE">
              <w:rPr>
                <w:rFonts w:ascii="Arial Narrow" w:eastAsia="Calibri" w:hAnsi="Arial Narrow" w:cs="Times New Roman"/>
                <w:sz w:val="20"/>
                <w:lang w:eastAsia="en-US"/>
              </w:rPr>
              <w:t>2,408</w:t>
            </w:r>
          </w:p>
        </w:tc>
        <w:tc>
          <w:tcPr>
            <w:tcW w:w="1968" w:type="dxa"/>
          </w:tcPr>
          <w:p w14:paraId="4AC4B80B" w14:textId="77777777" w:rsidR="00F36CBE" w:rsidRPr="00F36CBE" w:rsidRDefault="00F36CBE" w:rsidP="004330AF">
            <w:pPr>
              <w:keepNext/>
              <w:keepLines/>
              <w:tabs>
                <w:tab w:val="left" w:pos="742"/>
              </w:tabs>
              <w:spacing w:before="40" w:after="40"/>
              <w:jc w:val="center"/>
              <w:rPr>
                <w:rFonts w:ascii="Arial Narrow" w:eastAsia="Calibri" w:hAnsi="Arial Narrow" w:cs="Times New Roman"/>
                <w:sz w:val="20"/>
                <w:lang w:eastAsia="en-US"/>
              </w:rPr>
            </w:pPr>
            <w:r w:rsidRPr="00F36CBE">
              <w:rPr>
                <w:rFonts w:ascii="Arial Narrow" w:eastAsia="Calibri" w:hAnsi="Arial Narrow" w:cs="Times New Roman"/>
                <w:sz w:val="20"/>
                <w:lang w:eastAsia="en-US"/>
              </w:rPr>
              <w:t>1–4%</w:t>
            </w:r>
          </w:p>
        </w:tc>
      </w:tr>
      <w:tr w:rsidR="00F36CBE" w:rsidRPr="00F36CBE" w14:paraId="5AD69910" w14:textId="77777777" w:rsidTr="002F5F3F">
        <w:tc>
          <w:tcPr>
            <w:tcW w:w="3114" w:type="dxa"/>
          </w:tcPr>
          <w:p w14:paraId="4C38F9B4" w14:textId="77777777" w:rsidR="00F36CBE" w:rsidRPr="00F36CBE" w:rsidRDefault="00F36CBE" w:rsidP="004330AF">
            <w:pPr>
              <w:keepNext/>
              <w:keepLines/>
              <w:spacing w:before="40" w:after="40"/>
              <w:rPr>
                <w:rFonts w:ascii="Arial Narrow" w:eastAsia="Calibri" w:hAnsi="Arial Narrow" w:cs="Times New Roman"/>
                <w:sz w:val="20"/>
                <w:lang w:eastAsia="en-US"/>
              </w:rPr>
            </w:pPr>
            <w:r w:rsidRPr="00F36CBE">
              <w:rPr>
                <w:rFonts w:ascii="Arial Narrow" w:eastAsia="Calibri" w:hAnsi="Arial Narrow" w:cs="Times New Roman"/>
                <w:sz w:val="20"/>
                <w:lang w:eastAsia="en-US"/>
              </w:rPr>
              <w:t>Ovarian cancer</w:t>
            </w:r>
          </w:p>
        </w:tc>
        <w:tc>
          <w:tcPr>
            <w:tcW w:w="1967" w:type="dxa"/>
          </w:tcPr>
          <w:p w14:paraId="40D03B0B" w14:textId="77777777" w:rsidR="00F36CBE" w:rsidRPr="00F36CBE" w:rsidRDefault="00F36CBE" w:rsidP="004330AF">
            <w:pPr>
              <w:keepNext/>
              <w:keepLines/>
              <w:tabs>
                <w:tab w:val="left" w:pos="743"/>
              </w:tabs>
              <w:spacing w:before="40" w:after="40"/>
              <w:jc w:val="center"/>
              <w:rPr>
                <w:rFonts w:ascii="Arial Narrow" w:eastAsia="Calibri" w:hAnsi="Arial Narrow" w:cs="Times New Roman"/>
                <w:sz w:val="20"/>
                <w:lang w:eastAsia="en-US"/>
              </w:rPr>
            </w:pPr>
            <w:r w:rsidRPr="00F36CBE">
              <w:rPr>
                <w:rFonts w:ascii="Arial Narrow" w:eastAsia="Calibri" w:hAnsi="Arial Narrow" w:cs="Times New Roman"/>
                <w:sz w:val="20"/>
                <w:lang w:eastAsia="en-US"/>
              </w:rPr>
              <w:t>2.3%</w:t>
            </w:r>
          </w:p>
        </w:tc>
        <w:tc>
          <w:tcPr>
            <w:tcW w:w="1967" w:type="dxa"/>
          </w:tcPr>
          <w:p w14:paraId="0F75E7DF" w14:textId="77777777" w:rsidR="00F36CBE" w:rsidRPr="00F36CBE" w:rsidRDefault="00F36CBE" w:rsidP="004330AF">
            <w:pPr>
              <w:keepNext/>
              <w:keepLines/>
              <w:spacing w:before="40" w:after="40"/>
              <w:jc w:val="center"/>
              <w:rPr>
                <w:rFonts w:ascii="Arial Narrow" w:eastAsia="Calibri" w:hAnsi="Arial Narrow" w:cs="Times New Roman"/>
                <w:sz w:val="20"/>
                <w:lang w:eastAsia="en-US"/>
              </w:rPr>
            </w:pPr>
            <w:r w:rsidRPr="00F36CBE">
              <w:rPr>
                <w:rFonts w:ascii="Arial Narrow" w:eastAsia="Calibri" w:hAnsi="Arial Narrow" w:cs="Times New Roman"/>
                <w:sz w:val="20"/>
                <w:lang w:eastAsia="en-US"/>
              </w:rPr>
              <w:t>811</w:t>
            </w:r>
          </w:p>
        </w:tc>
        <w:tc>
          <w:tcPr>
            <w:tcW w:w="1968" w:type="dxa"/>
          </w:tcPr>
          <w:p w14:paraId="394D0571" w14:textId="77777777" w:rsidR="00F36CBE" w:rsidRPr="00F36CBE" w:rsidRDefault="00F36CBE" w:rsidP="004330AF">
            <w:pPr>
              <w:keepNext/>
              <w:keepLines/>
              <w:tabs>
                <w:tab w:val="left" w:pos="742"/>
              </w:tabs>
              <w:spacing w:before="40" w:after="40"/>
              <w:jc w:val="center"/>
              <w:rPr>
                <w:rFonts w:ascii="Arial Narrow" w:eastAsia="Calibri" w:hAnsi="Arial Narrow" w:cs="Times New Roman"/>
                <w:sz w:val="20"/>
                <w:lang w:eastAsia="en-US"/>
              </w:rPr>
            </w:pPr>
            <w:r w:rsidRPr="00F36CBE">
              <w:rPr>
                <w:rFonts w:ascii="Arial Narrow" w:eastAsia="Calibri" w:hAnsi="Arial Narrow" w:cs="Times New Roman"/>
                <w:sz w:val="20"/>
                <w:lang w:eastAsia="en-US"/>
              </w:rPr>
              <w:t>10–11%</w:t>
            </w:r>
          </w:p>
        </w:tc>
      </w:tr>
      <w:tr w:rsidR="00F36CBE" w:rsidRPr="00F36CBE" w14:paraId="4C2BD0E5" w14:textId="77777777" w:rsidTr="002F5F3F">
        <w:tc>
          <w:tcPr>
            <w:tcW w:w="3114" w:type="dxa"/>
          </w:tcPr>
          <w:p w14:paraId="75BAF2EB" w14:textId="77777777" w:rsidR="00F36CBE" w:rsidRPr="00F36CBE" w:rsidRDefault="00F36CBE" w:rsidP="004330AF">
            <w:pPr>
              <w:keepNext/>
              <w:keepLines/>
              <w:spacing w:before="40" w:after="40"/>
              <w:rPr>
                <w:rFonts w:ascii="Arial Narrow" w:eastAsia="Calibri" w:hAnsi="Arial Narrow" w:cs="Times New Roman"/>
                <w:sz w:val="20"/>
                <w:lang w:eastAsia="en-US"/>
              </w:rPr>
            </w:pPr>
            <w:r w:rsidRPr="00F36CBE">
              <w:rPr>
                <w:rFonts w:ascii="Arial Narrow" w:eastAsia="Calibri" w:hAnsi="Arial Narrow" w:cs="Times New Roman"/>
                <w:sz w:val="20"/>
                <w:lang w:eastAsia="en-US"/>
              </w:rPr>
              <w:t>Gastric cancer</w:t>
            </w:r>
          </w:p>
        </w:tc>
        <w:tc>
          <w:tcPr>
            <w:tcW w:w="1967" w:type="dxa"/>
          </w:tcPr>
          <w:p w14:paraId="20062818" w14:textId="77777777" w:rsidR="00F36CBE" w:rsidRPr="00F36CBE" w:rsidRDefault="00F36CBE" w:rsidP="004330AF">
            <w:pPr>
              <w:keepNext/>
              <w:keepLines/>
              <w:tabs>
                <w:tab w:val="left" w:pos="743"/>
              </w:tabs>
              <w:spacing w:before="40" w:after="40"/>
              <w:jc w:val="center"/>
              <w:rPr>
                <w:rFonts w:ascii="Arial Narrow" w:eastAsia="Calibri" w:hAnsi="Arial Narrow" w:cs="Times New Roman"/>
                <w:sz w:val="20"/>
                <w:lang w:eastAsia="en-US"/>
              </w:rPr>
            </w:pPr>
            <w:r w:rsidRPr="00F36CBE">
              <w:rPr>
                <w:rFonts w:ascii="Arial Narrow" w:eastAsia="Calibri" w:hAnsi="Arial Narrow" w:cs="Times New Roman"/>
                <w:sz w:val="20"/>
                <w:lang w:eastAsia="en-US"/>
              </w:rPr>
              <w:t>1.7%</w:t>
            </w:r>
          </w:p>
        </w:tc>
        <w:tc>
          <w:tcPr>
            <w:tcW w:w="1967" w:type="dxa"/>
          </w:tcPr>
          <w:p w14:paraId="273CEAF9" w14:textId="77777777" w:rsidR="00F36CBE" w:rsidRPr="00F36CBE" w:rsidRDefault="00F36CBE" w:rsidP="004330AF">
            <w:pPr>
              <w:keepNext/>
              <w:keepLines/>
              <w:spacing w:before="40" w:after="40"/>
              <w:jc w:val="center"/>
              <w:rPr>
                <w:rFonts w:ascii="Arial Narrow" w:eastAsia="Calibri" w:hAnsi="Arial Narrow" w:cs="Times New Roman"/>
                <w:sz w:val="20"/>
                <w:lang w:eastAsia="en-US"/>
              </w:rPr>
            </w:pPr>
            <w:r w:rsidRPr="00F36CBE">
              <w:rPr>
                <w:rFonts w:ascii="Arial Narrow" w:eastAsia="Calibri" w:hAnsi="Arial Narrow" w:cs="Times New Roman"/>
                <w:sz w:val="20"/>
                <w:lang w:eastAsia="en-US"/>
              </w:rPr>
              <w:t>1,007</w:t>
            </w:r>
          </w:p>
        </w:tc>
        <w:tc>
          <w:tcPr>
            <w:tcW w:w="1968" w:type="dxa"/>
          </w:tcPr>
          <w:p w14:paraId="670F2C85" w14:textId="77777777" w:rsidR="00F36CBE" w:rsidRPr="00F36CBE" w:rsidRDefault="00F36CBE" w:rsidP="004330AF">
            <w:pPr>
              <w:keepNext/>
              <w:keepLines/>
              <w:tabs>
                <w:tab w:val="left" w:pos="742"/>
              </w:tabs>
              <w:spacing w:before="40" w:after="40"/>
              <w:jc w:val="center"/>
              <w:rPr>
                <w:rFonts w:ascii="Arial Narrow" w:eastAsia="Calibri" w:hAnsi="Arial Narrow" w:cs="Times New Roman"/>
                <w:sz w:val="20"/>
                <w:lang w:eastAsia="en-US"/>
              </w:rPr>
            </w:pPr>
            <w:r w:rsidRPr="00F36CBE">
              <w:rPr>
                <w:rFonts w:ascii="Arial Narrow" w:eastAsia="Calibri" w:hAnsi="Arial Narrow" w:cs="Times New Roman"/>
                <w:sz w:val="20"/>
                <w:lang w:eastAsia="en-US"/>
              </w:rPr>
              <w:t>7.5</w:t>
            </w:r>
            <w:r w:rsidR="008564B0">
              <w:rPr>
                <w:rFonts w:ascii="Arial Narrow" w:eastAsia="Calibri" w:hAnsi="Arial Narrow" w:cs="Times New Roman"/>
                <w:sz w:val="20"/>
                <w:lang w:eastAsia="en-US"/>
              </w:rPr>
              <w:t>–15</w:t>
            </w:r>
            <w:r w:rsidRPr="00F36CBE">
              <w:rPr>
                <w:rFonts w:ascii="Arial Narrow" w:eastAsia="Calibri" w:hAnsi="Arial Narrow" w:cs="Times New Roman"/>
                <w:sz w:val="20"/>
                <w:lang w:eastAsia="en-US"/>
              </w:rPr>
              <w:t>%</w:t>
            </w:r>
          </w:p>
        </w:tc>
      </w:tr>
      <w:tr w:rsidR="00F36CBE" w:rsidRPr="00F36CBE" w14:paraId="15065C22" w14:textId="77777777" w:rsidTr="002F5F3F">
        <w:tc>
          <w:tcPr>
            <w:tcW w:w="3114" w:type="dxa"/>
          </w:tcPr>
          <w:p w14:paraId="47F9AE38" w14:textId="77777777" w:rsidR="00F36CBE" w:rsidRPr="00F36CBE" w:rsidRDefault="00F36CBE" w:rsidP="004330AF">
            <w:pPr>
              <w:keepNext/>
              <w:keepLines/>
              <w:spacing w:before="40" w:after="40"/>
              <w:rPr>
                <w:rFonts w:ascii="Arial Narrow" w:eastAsia="Calibri" w:hAnsi="Arial Narrow" w:cs="Times New Roman"/>
                <w:sz w:val="20"/>
                <w:lang w:eastAsia="en-US"/>
              </w:rPr>
            </w:pPr>
            <w:r w:rsidRPr="00F36CBE">
              <w:rPr>
                <w:rFonts w:ascii="Arial Narrow" w:eastAsia="Calibri" w:hAnsi="Arial Narrow" w:cs="Times New Roman"/>
                <w:sz w:val="20"/>
                <w:lang w:eastAsia="en-US"/>
              </w:rPr>
              <w:t>Cervical cancer</w:t>
            </w:r>
          </w:p>
        </w:tc>
        <w:tc>
          <w:tcPr>
            <w:tcW w:w="1967" w:type="dxa"/>
          </w:tcPr>
          <w:p w14:paraId="509D69B1" w14:textId="77777777" w:rsidR="00F36CBE" w:rsidRPr="00F36CBE" w:rsidRDefault="00F36CBE" w:rsidP="004330AF">
            <w:pPr>
              <w:keepNext/>
              <w:keepLines/>
              <w:tabs>
                <w:tab w:val="left" w:pos="743"/>
              </w:tabs>
              <w:spacing w:before="40" w:after="40"/>
              <w:jc w:val="center"/>
              <w:rPr>
                <w:rFonts w:ascii="Arial Narrow" w:eastAsia="Calibri" w:hAnsi="Arial Narrow" w:cs="Times New Roman"/>
                <w:sz w:val="20"/>
                <w:lang w:eastAsia="en-US"/>
              </w:rPr>
            </w:pPr>
            <w:r w:rsidRPr="00F36CBE">
              <w:rPr>
                <w:rFonts w:ascii="Arial Narrow" w:eastAsia="Calibri" w:hAnsi="Arial Narrow" w:cs="Times New Roman"/>
                <w:sz w:val="20"/>
                <w:lang w:eastAsia="en-US"/>
              </w:rPr>
              <w:t>1.5%</w:t>
            </w:r>
          </w:p>
        </w:tc>
        <w:tc>
          <w:tcPr>
            <w:tcW w:w="1967" w:type="dxa"/>
          </w:tcPr>
          <w:p w14:paraId="41EC92DA" w14:textId="77777777" w:rsidR="00F36CBE" w:rsidRPr="00F36CBE" w:rsidRDefault="00F36CBE" w:rsidP="004330AF">
            <w:pPr>
              <w:keepNext/>
              <w:keepLines/>
              <w:spacing w:before="40" w:after="40"/>
              <w:jc w:val="center"/>
              <w:rPr>
                <w:rFonts w:ascii="Arial Narrow" w:eastAsia="Calibri" w:hAnsi="Arial Narrow" w:cs="Times New Roman"/>
                <w:sz w:val="20"/>
                <w:lang w:eastAsia="en-US"/>
              </w:rPr>
            </w:pPr>
            <w:r w:rsidRPr="00F36CBE">
              <w:rPr>
                <w:rFonts w:ascii="Arial Narrow" w:eastAsia="Calibri" w:hAnsi="Arial Narrow" w:cs="Times New Roman"/>
                <w:sz w:val="20"/>
                <w:lang w:eastAsia="en-US"/>
              </w:rPr>
              <w:t>221</w:t>
            </w:r>
          </w:p>
        </w:tc>
        <w:tc>
          <w:tcPr>
            <w:tcW w:w="1968" w:type="dxa"/>
          </w:tcPr>
          <w:p w14:paraId="2BCA9016" w14:textId="77777777" w:rsidR="00F36CBE" w:rsidRPr="00F36CBE" w:rsidRDefault="00F36CBE" w:rsidP="004330AF">
            <w:pPr>
              <w:keepNext/>
              <w:keepLines/>
              <w:tabs>
                <w:tab w:val="left" w:pos="742"/>
              </w:tabs>
              <w:spacing w:before="40" w:after="40"/>
              <w:jc w:val="center"/>
              <w:rPr>
                <w:rFonts w:ascii="Arial Narrow" w:eastAsia="Calibri" w:hAnsi="Arial Narrow" w:cs="Times New Roman"/>
                <w:sz w:val="20"/>
                <w:lang w:eastAsia="en-US"/>
              </w:rPr>
            </w:pPr>
            <w:r w:rsidRPr="00F36CBE">
              <w:rPr>
                <w:rFonts w:ascii="Arial Narrow" w:eastAsia="Calibri" w:hAnsi="Arial Narrow" w:cs="Times New Roman"/>
                <w:sz w:val="20"/>
                <w:lang w:eastAsia="en-US"/>
              </w:rPr>
              <w:t>5–9%</w:t>
            </w:r>
          </w:p>
        </w:tc>
      </w:tr>
      <w:tr w:rsidR="00F36CBE" w:rsidRPr="00F36CBE" w14:paraId="3DA4B23C" w14:textId="77777777" w:rsidTr="002F5F3F">
        <w:tc>
          <w:tcPr>
            <w:tcW w:w="3114" w:type="dxa"/>
          </w:tcPr>
          <w:p w14:paraId="30094A69" w14:textId="77777777" w:rsidR="00F36CBE" w:rsidRPr="00F36CBE" w:rsidRDefault="00F36CBE" w:rsidP="004330AF">
            <w:pPr>
              <w:keepNext/>
              <w:keepLines/>
              <w:spacing w:before="40" w:after="40"/>
              <w:rPr>
                <w:rFonts w:ascii="Arial Narrow" w:eastAsia="Calibri" w:hAnsi="Arial Narrow" w:cs="Times New Roman"/>
                <w:sz w:val="20"/>
                <w:lang w:eastAsia="en-US"/>
              </w:rPr>
            </w:pPr>
            <w:r w:rsidRPr="00F36CBE">
              <w:rPr>
                <w:rFonts w:ascii="Arial Narrow" w:eastAsia="Calibri" w:hAnsi="Arial Narrow" w:cs="Times New Roman"/>
                <w:sz w:val="20"/>
                <w:lang w:eastAsia="en-US"/>
              </w:rPr>
              <w:t>Glioma</w:t>
            </w:r>
          </w:p>
        </w:tc>
        <w:tc>
          <w:tcPr>
            <w:tcW w:w="1967" w:type="dxa"/>
          </w:tcPr>
          <w:p w14:paraId="6F78719D" w14:textId="77777777" w:rsidR="00F36CBE" w:rsidRPr="00F36CBE" w:rsidRDefault="00F36CBE" w:rsidP="004330AF">
            <w:pPr>
              <w:keepNext/>
              <w:keepLines/>
              <w:tabs>
                <w:tab w:val="left" w:pos="743"/>
              </w:tabs>
              <w:spacing w:before="40" w:after="40"/>
              <w:jc w:val="center"/>
              <w:rPr>
                <w:rFonts w:ascii="Arial Narrow" w:eastAsia="Calibri" w:hAnsi="Arial Narrow" w:cs="Times New Roman"/>
                <w:sz w:val="20"/>
                <w:lang w:eastAsia="en-US"/>
              </w:rPr>
            </w:pPr>
            <w:r w:rsidRPr="00F36CBE">
              <w:rPr>
                <w:rFonts w:ascii="Arial Narrow" w:eastAsia="Calibri" w:hAnsi="Arial Narrow" w:cs="Times New Roman"/>
                <w:sz w:val="20"/>
                <w:lang w:eastAsia="en-US"/>
              </w:rPr>
              <w:t>1.5%</w:t>
            </w:r>
          </w:p>
        </w:tc>
        <w:tc>
          <w:tcPr>
            <w:tcW w:w="1967" w:type="dxa"/>
          </w:tcPr>
          <w:p w14:paraId="7AAB7B35" w14:textId="77777777" w:rsidR="00F36CBE" w:rsidRPr="00F36CBE" w:rsidRDefault="00F36CBE" w:rsidP="004330AF">
            <w:pPr>
              <w:keepNext/>
              <w:keepLines/>
              <w:spacing w:before="40" w:after="40"/>
              <w:jc w:val="center"/>
              <w:rPr>
                <w:rFonts w:ascii="Arial Narrow" w:eastAsia="Calibri" w:hAnsi="Arial Narrow" w:cs="Times New Roman"/>
                <w:sz w:val="20"/>
                <w:lang w:eastAsia="en-US"/>
              </w:rPr>
            </w:pPr>
            <w:r w:rsidRPr="00F36CBE">
              <w:rPr>
                <w:rFonts w:ascii="Arial Narrow" w:eastAsia="Calibri" w:hAnsi="Arial Narrow" w:cs="Times New Roman"/>
                <w:sz w:val="20"/>
                <w:lang w:eastAsia="en-US"/>
              </w:rPr>
              <w:t>1,278</w:t>
            </w:r>
          </w:p>
        </w:tc>
        <w:tc>
          <w:tcPr>
            <w:tcW w:w="1968" w:type="dxa"/>
          </w:tcPr>
          <w:p w14:paraId="1FA2A51B" w14:textId="77777777" w:rsidR="00F36CBE" w:rsidRPr="00F36CBE" w:rsidRDefault="00F36CBE" w:rsidP="004330AF">
            <w:pPr>
              <w:keepNext/>
              <w:keepLines/>
              <w:tabs>
                <w:tab w:val="left" w:pos="742"/>
              </w:tabs>
              <w:spacing w:before="40" w:after="40"/>
              <w:jc w:val="center"/>
              <w:rPr>
                <w:rFonts w:ascii="Arial Narrow" w:eastAsia="Calibri" w:hAnsi="Arial Narrow" w:cs="Times New Roman"/>
                <w:sz w:val="20"/>
                <w:lang w:eastAsia="en-US"/>
              </w:rPr>
            </w:pPr>
            <w:r w:rsidRPr="00F36CBE">
              <w:rPr>
                <w:rFonts w:ascii="Arial Narrow" w:eastAsia="Calibri" w:hAnsi="Arial Narrow" w:cs="Times New Roman"/>
                <w:sz w:val="20"/>
                <w:lang w:eastAsia="en-US"/>
              </w:rPr>
              <w:t>0–33%</w:t>
            </w:r>
          </w:p>
        </w:tc>
      </w:tr>
      <w:tr w:rsidR="00F36CBE" w:rsidRPr="00F36CBE" w14:paraId="0392D9EB" w14:textId="77777777" w:rsidTr="002F5F3F">
        <w:tc>
          <w:tcPr>
            <w:tcW w:w="3114" w:type="dxa"/>
            <w:tcBorders>
              <w:bottom w:val="single" w:sz="4" w:space="0" w:color="auto"/>
            </w:tcBorders>
          </w:tcPr>
          <w:p w14:paraId="72566ED3" w14:textId="77777777" w:rsidR="00F36CBE" w:rsidRPr="00F36CBE" w:rsidRDefault="00F36CBE" w:rsidP="004330AF">
            <w:pPr>
              <w:keepNext/>
              <w:keepLines/>
              <w:spacing w:before="40" w:after="40"/>
              <w:rPr>
                <w:rFonts w:ascii="Arial Narrow" w:eastAsia="Calibri" w:hAnsi="Arial Narrow" w:cs="Times New Roman"/>
                <w:sz w:val="20"/>
                <w:lang w:eastAsia="en-US"/>
              </w:rPr>
            </w:pPr>
            <w:r w:rsidRPr="00F36CBE">
              <w:rPr>
                <w:rFonts w:ascii="Arial Narrow" w:eastAsia="Calibri" w:hAnsi="Arial Narrow" w:cs="Times New Roman"/>
                <w:sz w:val="20"/>
                <w:lang w:eastAsia="en-US"/>
              </w:rPr>
              <w:t>Oesophageal cancer</w:t>
            </w:r>
          </w:p>
        </w:tc>
        <w:tc>
          <w:tcPr>
            <w:tcW w:w="1967" w:type="dxa"/>
            <w:tcBorders>
              <w:bottom w:val="single" w:sz="4" w:space="0" w:color="auto"/>
            </w:tcBorders>
          </w:tcPr>
          <w:p w14:paraId="78E69C58" w14:textId="77777777" w:rsidR="00F36CBE" w:rsidRPr="00F36CBE" w:rsidRDefault="00F36CBE" w:rsidP="004330AF">
            <w:pPr>
              <w:keepNext/>
              <w:keepLines/>
              <w:tabs>
                <w:tab w:val="left" w:pos="743"/>
              </w:tabs>
              <w:spacing w:before="40" w:after="40"/>
              <w:jc w:val="center"/>
              <w:rPr>
                <w:rFonts w:ascii="Arial Narrow" w:eastAsia="Calibri" w:hAnsi="Arial Narrow" w:cs="Times New Roman"/>
                <w:sz w:val="20"/>
                <w:lang w:eastAsia="en-US"/>
              </w:rPr>
            </w:pPr>
            <w:r w:rsidRPr="00F36CBE">
              <w:rPr>
                <w:rFonts w:ascii="Arial Narrow" w:eastAsia="Calibri" w:hAnsi="Arial Narrow" w:cs="Times New Roman"/>
                <w:sz w:val="20"/>
                <w:lang w:eastAsia="en-US"/>
              </w:rPr>
              <w:t>1.2%</w:t>
            </w:r>
          </w:p>
        </w:tc>
        <w:tc>
          <w:tcPr>
            <w:tcW w:w="1967" w:type="dxa"/>
            <w:tcBorders>
              <w:bottom w:val="single" w:sz="4" w:space="0" w:color="auto"/>
            </w:tcBorders>
          </w:tcPr>
          <w:p w14:paraId="4208DA5F" w14:textId="77777777" w:rsidR="00F36CBE" w:rsidRPr="00F36CBE" w:rsidRDefault="00F36CBE" w:rsidP="004330AF">
            <w:pPr>
              <w:keepNext/>
              <w:keepLines/>
              <w:spacing w:before="40" w:after="40"/>
              <w:jc w:val="center"/>
              <w:rPr>
                <w:rFonts w:ascii="Arial Narrow" w:eastAsia="Calibri" w:hAnsi="Arial Narrow" w:cs="Times New Roman"/>
                <w:sz w:val="20"/>
                <w:lang w:eastAsia="en-US"/>
              </w:rPr>
            </w:pPr>
            <w:r w:rsidRPr="00F36CBE">
              <w:rPr>
                <w:rFonts w:ascii="Arial Narrow" w:eastAsia="Calibri" w:hAnsi="Arial Narrow" w:cs="Times New Roman"/>
                <w:sz w:val="20"/>
                <w:lang w:eastAsia="en-US"/>
              </w:rPr>
              <w:t>1,179</w:t>
            </w:r>
          </w:p>
        </w:tc>
        <w:tc>
          <w:tcPr>
            <w:tcW w:w="1968" w:type="dxa"/>
            <w:tcBorders>
              <w:bottom w:val="single" w:sz="4" w:space="0" w:color="auto"/>
            </w:tcBorders>
          </w:tcPr>
          <w:p w14:paraId="68AE58D5" w14:textId="77777777" w:rsidR="00F36CBE" w:rsidRPr="00F36CBE" w:rsidRDefault="008564B0" w:rsidP="004330AF">
            <w:pPr>
              <w:keepNext/>
              <w:keepLines/>
              <w:tabs>
                <w:tab w:val="left" w:pos="742"/>
              </w:tabs>
              <w:spacing w:before="40" w:after="40"/>
              <w:jc w:val="center"/>
              <w:rPr>
                <w:rFonts w:ascii="Arial Narrow" w:eastAsia="Calibri" w:hAnsi="Arial Narrow" w:cs="Times New Roman"/>
                <w:sz w:val="20"/>
                <w:lang w:eastAsia="en-US"/>
              </w:rPr>
            </w:pPr>
            <w:r>
              <w:rPr>
                <w:rFonts w:ascii="Arial Narrow" w:eastAsia="Calibri" w:hAnsi="Arial Narrow" w:cs="Times New Roman"/>
                <w:sz w:val="20"/>
                <w:lang w:eastAsia="en-US"/>
              </w:rPr>
              <w:t>5–10%</w:t>
            </w:r>
          </w:p>
        </w:tc>
      </w:tr>
      <w:tr w:rsidR="002F5F3F" w:rsidRPr="00F36CBE" w14:paraId="12A6C0F2" w14:textId="77777777" w:rsidTr="002F5F3F">
        <w:tc>
          <w:tcPr>
            <w:tcW w:w="3114" w:type="dxa"/>
          </w:tcPr>
          <w:p w14:paraId="72AF2D78" w14:textId="77777777" w:rsidR="002F5F3F" w:rsidRPr="002F5F3F" w:rsidRDefault="002F5F3F" w:rsidP="004330AF">
            <w:pPr>
              <w:keepNext/>
              <w:keepLines/>
              <w:spacing w:before="40" w:after="40"/>
              <w:rPr>
                <w:rFonts w:ascii="Arial Narrow" w:eastAsia="Calibri" w:hAnsi="Arial Narrow" w:cs="Times New Roman"/>
                <w:sz w:val="20"/>
                <w:lang w:eastAsia="en-US"/>
              </w:rPr>
            </w:pPr>
            <w:r w:rsidRPr="002F5F3F">
              <w:rPr>
                <w:rFonts w:ascii="Arial Narrow" w:eastAsia="Calibri" w:hAnsi="Arial Narrow" w:cs="Times New Roman"/>
                <w:sz w:val="20"/>
                <w:lang w:eastAsia="en-US"/>
              </w:rPr>
              <w:t>Colorectal cancer</w:t>
            </w:r>
          </w:p>
        </w:tc>
        <w:tc>
          <w:tcPr>
            <w:tcW w:w="1967" w:type="dxa"/>
          </w:tcPr>
          <w:p w14:paraId="45705BFD" w14:textId="77777777" w:rsidR="002F5F3F" w:rsidRPr="002F5F3F" w:rsidRDefault="002F5F3F" w:rsidP="004330AF">
            <w:pPr>
              <w:keepNext/>
              <w:keepLines/>
              <w:tabs>
                <w:tab w:val="left" w:pos="743"/>
              </w:tabs>
              <w:spacing w:before="40" w:after="40"/>
              <w:jc w:val="center"/>
              <w:rPr>
                <w:rFonts w:ascii="Arial Narrow" w:eastAsia="Calibri" w:hAnsi="Arial Narrow" w:cs="Times New Roman"/>
                <w:sz w:val="20"/>
                <w:lang w:eastAsia="en-US"/>
              </w:rPr>
            </w:pPr>
            <w:r w:rsidRPr="002F5F3F">
              <w:rPr>
                <w:rFonts w:ascii="Arial Narrow" w:eastAsia="Calibri" w:hAnsi="Arial Narrow" w:cs="Times New Roman"/>
                <w:sz w:val="20"/>
                <w:lang w:eastAsia="en-US"/>
              </w:rPr>
              <w:t>12.3%</w:t>
            </w:r>
          </w:p>
        </w:tc>
        <w:tc>
          <w:tcPr>
            <w:tcW w:w="1967" w:type="dxa"/>
          </w:tcPr>
          <w:p w14:paraId="0285DB72" w14:textId="77777777" w:rsidR="002F5F3F" w:rsidRPr="002F5F3F" w:rsidRDefault="002F5F3F" w:rsidP="004330AF">
            <w:pPr>
              <w:keepNext/>
              <w:keepLines/>
              <w:spacing w:before="40" w:after="40"/>
              <w:jc w:val="center"/>
              <w:rPr>
                <w:rFonts w:ascii="Arial Narrow" w:eastAsia="Calibri" w:hAnsi="Arial Narrow" w:cs="Times New Roman"/>
                <w:sz w:val="20"/>
                <w:lang w:eastAsia="en-US"/>
              </w:rPr>
            </w:pPr>
            <w:r w:rsidRPr="002F5F3F">
              <w:rPr>
                <w:rFonts w:ascii="Arial Narrow" w:eastAsia="Calibri" w:hAnsi="Arial Narrow" w:cs="Times New Roman"/>
                <w:sz w:val="20"/>
                <w:lang w:eastAsia="en-US"/>
              </w:rPr>
              <w:t>3,784</w:t>
            </w:r>
          </w:p>
        </w:tc>
        <w:tc>
          <w:tcPr>
            <w:tcW w:w="1968" w:type="dxa"/>
          </w:tcPr>
          <w:p w14:paraId="6440526B" w14:textId="77777777" w:rsidR="002F5F3F" w:rsidRPr="002F5F3F" w:rsidRDefault="002F5F3F" w:rsidP="004330AF">
            <w:pPr>
              <w:keepNext/>
              <w:keepLines/>
              <w:tabs>
                <w:tab w:val="left" w:pos="742"/>
              </w:tabs>
              <w:spacing w:before="40" w:after="40"/>
              <w:jc w:val="center"/>
              <w:rPr>
                <w:rFonts w:ascii="Arial Narrow" w:eastAsia="Calibri" w:hAnsi="Arial Narrow" w:cs="Times New Roman"/>
                <w:sz w:val="20"/>
                <w:lang w:eastAsia="en-US"/>
              </w:rPr>
            </w:pPr>
            <w:r w:rsidRPr="002F5F3F">
              <w:rPr>
                <w:rFonts w:ascii="Arial Narrow" w:eastAsia="Calibri" w:hAnsi="Arial Narrow" w:cs="Times New Roman"/>
                <w:sz w:val="20"/>
                <w:lang w:eastAsia="en-US"/>
              </w:rPr>
              <w:t>4–15%</w:t>
            </w:r>
          </w:p>
        </w:tc>
      </w:tr>
      <w:tr w:rsidR="002F5F3F" w:rsidRPr="00F36CBE" w14:paraId="70F05884" w14:textId="77777777" w:rsidTr="002F5F3F">
        <w:tc>
          <w:tcPr>
            <w:tcW w:w="3114" w:type="dxa"/>
          </w:tcPr>
          <w:p w14:paraId="2244C7E0" w14:textId="77777777" w:rsidR="002F5F3F" w:rsidRPr="002F5F3F" w:rsidRDefault="002F5F3F" w:rsidP="004330AF">
            <w:pPr>
              <w:keepNext/>
              <w:keepLines/>
              <w:spacing w:before="40" w:after="40"/>
              <w:rPr>
                <w:rFonts w:ascii="Arial Narrow" w:eastAsia="Calibri" w:hAnsi="Arial Narrow" w:cs="Times New Roman"/>
                <w:sz w:val="20"/>
                <w:lang w:eastAsia="en-US"/>
              </w:rPr>
            </w:pPr>
            <w:r w:rsidRPr="002F5F3F">
              <w:rPr>
                <w:rFonts w:ascii="Arial Narrow" w:eastAsia="Calibri" w:hAnsi="Arial Narrow" w:cs="Times New Roman"/>
                <w:sz w:val="20"/>
                <w:lang w:eastAsia="en-US"/>
              </w:rPr>
              <w:t>Melanoma</w:t>
            </w:r>
          </w:p>
        </w:tc>
        <w:tc>
          <w:tcPr>
            <w:tcW w:w="1967" w:type="dxa"/>
          </w:tcPr>
          <w:p w14:paraId="43B4AC8C" w14:textId="77777777" w:rsidR="002F5F3F" w:rsidRPr="002F5F3F" w:rsidRDefault="002F5F3F" w:rsidP="004330AF">
            <w:pPr>
              <w:keepNext/>
              <w:keepLines/>
              <w:tabs>
                <w:tab w:val="left" w:pos="743"/>
              </w:tabs>
              <w:spacing w:before="40" w:after="40"/>
              <w:jc w:val="center"/>
              <w:rPr>
                <w:rFonts w:ascii="Arial Narrow" w:eastAsia="Calibri" w:hAnsi="Arial Narrow" w:cs="Times New Roman"/>
                <w:sz w:val="20"/>
                <w:lang w:eastAsia="en-US"/>
              </w:rPr>
            </w:pPr>
            <w:r w:rsidRPr="002F5F3F">
              <w:rPr>
                <w:rFonts w:ascii="Arial Narrow" w:eastAsia="Calibri" w:hAnsi="Arial Narrow" w:cs="Times New Roman"/>
                <w:sz w:val="20"/>
                <w:lang w:eastAsia="en-US"/>
              </w:rPr>
              <w:t>10.6%</w:t>
            </w:r>
          </w:p>
        </w:tc>
        <w:tc>
          <w:tcPr>
            <w:tcW w:w="1967" w:type="dxa"/>
          </w:tcPr>
          <w:p w14:paraId="054C5E57" w14:textId="77777777" w:rsidR="002F5F3F" w:rsidRPr="002F5F3F" w:rsidRDefault="002F5F3F" w:rsidP="004330AF">
            <w:pPr>
              <w:keepNext/>
              <w:keepLines/>
              <w:spacing w:before="40" w:after="40"/>
              <w:jc w:val="center"/>
              <w:rPr>
                <w:rFonts w:ascii="Arial Narrow" w:eastAsia="Calibri" w:hAnsi="Arial Narrow" w:cs="Times New Roman"/>
                <w:sz w:val="20"/>
                <w:lang w:eastAsia="en-US"/>
              </w:rPr>
            </w:pPr>
            <w:r w:rsidRPr="002F5F3F">
              <w:rPr>
                <w:rFonts w:ascii="Arial Narrow" w:eastAsia="Calibri" w:hAnsi="Arial Narrow" w:cs="Times New Roman"/>
                <w:sz w:val="20"/>
                <w:lang w:eastAsia="en-US"/>
              </w:rPr>
              <w:t>1,352</w:t>
            </w:r>
          </w:p>
        </w:tc>
        <w:tc>
          <w:tcPr>
            <w:tcW w:w="1968" w:type="dxa"/>
          </w:tcPr>
          <w:p w14:paraId="5DCBDD29" w14:textId="77777777" w:rsidR="002F5F3F" w:rsidRPr="002F5F3F" w:rsidRDefault="002F5F3F" w:rsidP="004330AF">
            <w:pPr>
              <w:keepNext/>
              <w:keepLines/>
              <w:tabs>
                <w:tab w:val="left" w:pos="742"/>
              </w:tabs>
              <w:spacing w:before="40" w:after="40"/>
              <w:jc w:val="center"/>
              <w:rPr>
                <w:rFonts w:ascii="Arial Narrow" w:eastAsia="Calibri" w:hAnsi="Arial Narrow" w:cs="Times New Roman"/>
                <w:sz w:val="20"/>
                <w:lang w:eastAsia="en-US"/>
              </w:rPr>
            </w:pPr>
            <w:r w:rsidRPr="002F5F3F">
              <w:rPr>
                <w:rFonts w:ascii="Arial Narrow" w:eastAsia="Calibri" w:hAnsi="Arial Narrow" w:cs="Times New Roman"/>
                <w:sz w:val="20"/>
                <w:lang w:eastAsia="en-US"/>
              </w:rPr>
              <w:t>11–77%</w:t>
            </w:r>
          </w:p>
        </w:tc>
      </w:tr>
    </w:tbl>
    <w:p w14:paraId="2F852C4C" w14:textId="77777777" w:rsidR="00FE7CEC" w:rsidRPr="00FE7CEC" w:rsidRDefault="00FE7CEC" w:rsidP="004330AF">
      <w:pPr>
        <w:keepNext/>
        <w:keepLines/>
        <w:spacing w:before="40" w:after="240" w:line="240" w:lineRule="auto"/>
        <w:contextualSpacing/>
        <w:rPr>
          <w:rFonts w:ascii="Arial Narrow" w:eastAsia="Calibri" w:hAnsi="Arial Narrow" w:cs="Times New Roman"/>
          <w:sz w:val="20"/>
          <w:lang w:eastAsia="en-US"/>
        </w:rPr>
      </w:pPr>
      <w:r w:rsidRPr="00FE7CEC">
        <w:rPr>
          <w:rFonts w:ascii="Arial Narrow" w:eastAsia="Calibri" w:hAnsi="Arial Narrow" w:cs="Times New Roman"/>
          <w:sz w:val="20"/>
          <w:lang w:eastAsia="en-US"/>
        </w:rPr>
        <w:t>* Assumed that all prevalence rates are for Stage IV disease for the purposes of this discussion paper</w:t>
      </w:r>
    </w:p>
    <w:p w14:paraId="6CFEF7A5" w14:textId="39B84F19" w:rsidR="00085B22" w:rsidRDefault="00A9672E" w:rsidP="00941922">
      <w:pPr>
        <w:spacing w:before="40" w:after="240" w:line="240" w:lineRule="auto"/>
        <w:contextualSpacing/>
        <w:rPr>
          <w:rFonts w:ascii="Arial Narrow" w:eastAsia="Calibri" w:hAnsi="Arial Narrow" w:cs="Times New Roman"/>
          <w:sz w:val="20"/>
          <w:lang w:eastAsia="en-US"/>
        </w:rPr>
      </w:pPr>
      <w:r>
        <w:rPr>
          <w:rFonts w:ascii="Arial Narrow" w:eastAsia="Calibri" w:hAnsi="Arial Narrow" w:cs="Times New Roman"/>
          <w:sz w:val="20"/>
          <w:lang w:eastAsia="en-US"/>
        </w:rPr>
        <w:t xml:space="preserve">dMMR = </w:t>
      </w:r>
      <w:r w:rsidR="006D1EF6">
        <w:rPr>
          <w:rFonts w:ascii="Arial Narrow" w:eastAsia="Calibri" w:hAnsi="Arial Narrow" w:cs="Times New Roman"/>
          <w:sz w:val="20"/>
          <w:lang w:eastAsia="en-US"/>
        </w:rPr>
        <w:t xml:space="preserve">mismatch repair deficient; </w:t>
      </w:r>
      <w:r w:rsidR="00085B22">
        <w:rPr>
          <w:rFonts w:ascii="Arial Narrow" w:eastAsia="Calibri" w:hAnsi="Arial Narrow" w:cs="Times New Roman"/>
          <w:sz w:val="20"/>
          <w:lang w:eastAsia="en-US"/>
        </w:rPr>
        <w:t xml:space="preserve">MSI-H = </w:t>
      </w:r>
      <w:r w:rsidR="006D1EF6">
        <w:rPr>
          <w:rFonts w:ascii="Arial Narrow" w:eastAsia="Calibri" w:hAnsi="Arial Narrow" w:cs="Times New Roman"/>
          <w:sz w:val="20"/>
          <w:lang w:eastAsia="en-US"/>
        </w:rPr>
        <w:t>microsatellite instability-high</w:t>
      </w:r>
    </w:p>
    <w:p w14:paraId="33BECD7C" w14:textId="6E15D744" w:rsidR="00941922" w:rsidRPr="00941922" w:rsidRDefault="00941922" w:rsidP="00941922">
      <w:pPr>
        <w:spacing w:before="40" w:after="240" w:line="240" w:lineRule="auto"/>
        <w:rPr>
          <w:rFonts w:ascii="Arial Narrow" w:eastAsia="Calibri" w:hAnsi="Arial Narrow" w:cs="Times New Roman"/>
          <w:sz w:val="20"/>
          <w:lang w:eastAsia="en-US"/>
        </w:rPr>
      </w:pPr>
      <w:r w:rsidRPr="00941922">
        <w:rPr>
          <w:rFonts w:ascii="Arial Narrow" w:eastAsia="Calibri" w:hAnsi="Arial Narrow" w:cs="Times New Roman"/>
          <w:sz w:val="20"/>
          <w:lang w:eastAsia="en-US"/>
        </w:rPr>
        <w:t>Source</w:t>
      </w:r>
      <w:r w:rsidR="008B74E1">
        <w:rPr>
          <w:rFonts w:ascii="Arial Narrow" w:eastAsia="Calibri" w:hAnsi="Arial Narrow" w:cs="Times New Roman"/>
          <w:sz w:val="20"/>
          <w:lang w:eastAsia="en-US"/>
        </w:rPr>
        <w:t>s</w:t>
      </w:r>
      <w:r w:rsidRPr="00941922">
        <w:rPr>
          <w:rFonts w:ascii="Arial Narrow" w:eastAsia="Calibri" w:hAnsi="Arial Narrow" w:cs="Times New Roman"/>
          <w:sz w:val="20"/>
          <w:lang w:eastAsia="en-US"/>
        </w:rPr>
        <w:t>: Scarpa, Cataldo &amp; Salvatore</w:t>
      </w:r>
      <w:r>
        <w:rPr>
          <w:rFonts w:ascii="Arial Narrow" w:eastAsia="Calibri" w:hAnsi="Arial Narrow" w:cs="Times New Roman"/>
          <w:sz w:val="20"/>
          <w:lang w:eastAsia="en-US"/>
        </w:rPr>
        <w:t xml:space="preserve"> </w:t>
      </w:r>
      <w:r w:rsidR="00F77139">
        <w:rPr>
          <w:rFonts w:ascii="Arial Narrow" w:eastAsia="Calibri" w:hAnsi="Arial Narrow" w:cs="Times New Roman"/>
          <w:sz w:val="20"/>
          <w:lang w:eastAsia="en-US"/>
        </w:rPr>
        <w:fldChar w:fldCharType="begin"/>
      </w:r>
      <w:r w:rsidR="00F77139">
        <w:rPr>
          <w:rFonts w:ascii="Arial Narrow" w:eastAsia="Calibri" w:hAnsi="Arial Narrow" w:cs="Times New Roman"/>
          <w:sz w:val="20"/>
          <w:lang w:eastAsia="en-US"/>
        </w:rPr>
        <w:instrText xml:space="preserve"> ADDIN EN.CITE &lt;EndNote&gt;&lt;Cite ExcludeAuth="1"&gt;&lt;Author&gt;Scarpa&lt;/Author&gt;&lt;Year&gt;2016&lt;/Year&gt;&lt;RecNum&gt;16&lt;/RecNum&gt;&lt;DisplayText&gt;(2016)&lt;/DisplayText&gt;&lt;record&gt;&lt;rec-number&gt;16&lt;/rec-number&gt;&lt;foreign-keys&gt;&lt;key app="EN" db-id="20rafrsx2d50edew5w15fz0q0dvfzstzed55" timestamp="1510200949"&gt;16&lt;/key&gt;&lt;/foreign-keys&gt;&lt;ref-type name="Electronic Article"&gt;43&lt;/ref-type&gt;&lt;contributors&gt;&lt;authors&gt;&lt;author&gt;Scarpa, Aldo&lt;/author&gt;&lt;author&gt;Cataldo, Ivana&lt;/author&gt;&lt;author&gt;Salvatore, Lisa&lt;/author&gt;&lt;/authors&gt;&lt;/contributors&gt;&lt;titles&gt;&lt;title&gt;Microsatellite Instability - Defective DNA Mismatch Repair&lt;/title&gt;&lt;secondary-title&gt;ESMO Biomarker Factsheet&lt;/secondary-title&gt;&lt;/titles&gt;&lt;periodical&gt;&lt;full-title&gt;ESMO Biomarker Factsheet&lt;/full-title&gt;&lt;/periodical&gt;&lt;dates&gt;&lt;year&gt;2016&lt;/year&gt;&lt;pub-dates&gt;&lt;date&gt;26 September 2017&lt;/date&gt;&lt;/pub-dates&gt;&lt;/dates&gt;&lt;publisher&gt;European Society for Medical Onclology&lt;/publisher&gt;&lt;urls&gt;&lt;related-urls&gt;&lt;url&gt;http://oncologypro.esmo.org/Education-Library/Factsheets-on-Biomarkers/Microsatellite-Instability-Defective-DNA-Mismatch-Repair#eztoc1701983_0_0_5_8&lt;/url&gt;&lt;/related-urls&gt;&lt;/urls&gt;&lt;/record&gt;&lt;/Cite&gt;&lt;/EndNote&gt;</w:instrText>
      </w:r>
      <w:r w:rsidR="00F77139">
        <w:rPr>
          <w:rFonts w:ascii="Arial Narrow" w:eastAsia="Calibri" w:hAnsi="Arial Narrow" w:cs="Times New Roman"/>
          <w:sz w:val="20"/>
          <w:lang w:eastAsia="en-US"/>
        </w:rPr>
        <w:fldChar w:fldCharType="separate"/>
      </w:r>
      <w:r w:rsidR="00F77139">
        <w:rPr>
          <w:rFonts w:ascii="Arial Narrow" w:eastAsia="Calibri" w:hAnsi="Arial Narrow" w:cs="Times New Roman"/>
          <w:noProof/>
          <w:sz w:val="20"/>
          <w:lang w:eastAsia="en-US"/>
        </w:rPr>
        <w:t>(2016)</w:t>
      </w:r>
      <w:r w:rsidR="00F77139">
        <w:rPr>
          <w:rFonts w:ascii="Arial Narrow" w:eastAsia="Calibri" w:hAnsi="Arial Narrow" w:cs="Times New Roman"/>
          <w:sz w:val="20"/>
          <w:lang w:eastAsia="en-US"/>
        </w:rPr>
        <w:fldChar w:fldCharType="end"/>
      </w:r>
      <w:r w:rsidRPr="00941922">
        <w:rPr>
          <w:rFonts w:ascii="Arial Narrow" w:eastAsia="Calibri" w:hAnsi="Arial Narrow" w:cs="Times New Roman"/>
          <w:sz w:val="20"/>
          <w:lang w:eastAsia="en-US"/>
        </w:rPr>
        <w:t xml:space="preserve">; Cancer in Australia 2017, </w:t>
      </w:r>
      <w:r w:rsidR="00F36CBE">
        <w:rPr>
          <w:rFonts w:ascii="Arial Narrow" w:eastAsia="Calibri" w:hAnsi="Arial Narrow" w:cs="Times New Roman"/>
          <w:sz w:val="20"/>
          <w:lang w:eastAsia="en-US"/>
        </w:rPr>
        <w:t xml:space="preserve">PICO confirmation for MSAC </w:t>
      </w:r>
      <w:r w:rsidR="005F59A7">
        <w:rPr>
          <w:rFonts w:ascii="Arial Narrow" w:eastAsia="Calibri" w:hAnsi="Arial Narrow" w:cs="Times New Roman"/>
          <w:sz w:val="20"/>
          <w:lang w:eastAsia="en-US"/>
        </w:rPr>
        <w:t>A</w:t>
      </w:r>
      <w:r w:rsidR="00F36CBE">
        <w:rPr>
          <w:rFonts w:ascii="Arial Narrow" w:eastAsia="Calibri" w:hAnsi="Arial Narrow" w:cs="Times New Roman"/>
          <w:sz w:val="20"/>
          <w:lang w:eastAsia="en-US"/>
        </w:rPr>
        <w:t xml:space="preserve">pplication 1508; </w:t>
      </w:r>
      <w:r w:rsidRPr="00941922">
        <w:rPr>
          <w:rFonts w:ascii="Arial Narrow" w:eastAsia="Calibri" w:hAnsi="Arial Narrow" w:cs="Times New Roman"/>
          <w:sz w:val="20"/>
          <w:lang w:eastAsia="en-US"/>
        </w:rPr>
        <w:t>Australian Institute of Health and Welfare. Available from URL &lt;</w:t>
      </w:r>
      <w:hyperlink r:id="rId20" w:tooltip="the AIHW 'Cancer in Australia 2017' webpage" w:history="1">
        <w:r w:rsidRPr="00941922">
          <w:rPr>
            <w:rFonts w:ascii="Arial Narrow" w:eastAsia="Calibri" w:hAnsi="Arial Narrow" w:cs="Times New Roman"/>
            <w:color w:val="0000FF"/>
            <w:sz w:val="20"/>
            <w:u w:val="single"/>
            <w:lang w:eastAsia="en-US"/>
          </w:rPr>
          <w:t>https://www.aihw.gov.au/reports/cancer/cancer-in-australia-2017/data</w:t>
        </w:r>
      </w:hyperlink>
      <w:r w:rsidRPr="00941922">
        <w:rPr>
          <w:rFonts w:ascii="Arial Narrow" w:eastAsia="Calibri" w:hAnsi="Arial Narrow" w:cs="Times New Roman"/>
          <w:sz w:val="20"/>
          <w:lang w:eastAsia="en-US"/>
        </w:rPr>
        <w:t xml:space="preserve">&gt;. Accessed 11 </w:t>
      </w:r>
      <w:r>
        <w:rPr>
          <w:rFonts w:ascii="Arial Narrow" w:eastAsia="Calibri" w:hAnsi="Arial Narrow" w:cs="Times New Roman"/>
          <w:sz w:val="20"/>
          <w:lang w:eastAsia="en-US"/>
        </w:rPr>
        <w:t>October</w:t>
      </w:r>
      <w:r w:rsidRPr="00941922">
        <w:rPr>
          <w:rFonts w:ascii="Arial Narrow" w:eastAsia="Calibri" w:hAnsi="Arial Narrow" w:cs="Times New Roman"/>
          <w:sz w:val="20"/>
          <w:lang w:eastAsia="en-US"/>
        </w:rPr>
        <w:t xml:space="preserve"> 2017</w:t>
      </w:r>
    </w:p>
    <w:p w14:paraId="39DDE1F8" w14:textId="77777777" w:rsidR="00ED65EE" w:rsidRPr="00452DF6" w:rsidRDefault="00ED65EE" w:rsidP="00AA13B3">
      <w:pPr>
        <w:pStyle w:val="Heading2"/>
        <w:spacing w:line="312" w:lineRule="auto"/>
      </w:pPr>
      <w:bookmarkStart w:id="61" w:name="_Toc29557662"/>
      <w:r w:rsidRPr="00452DF6">
        <w:t>Diagnostic performance</w:t>
      </w:r>
      <w:bookmarkEnd w:id="61"/>
    </w:p>
    <w:p w14:paraId="082BDB03" w14:textId="77777777" w:rsidR="00FE7CEC" w:rsidRPr="00FE7CEC" w:rsidRDefault="00FE7CEC" w:rsidP="00284782">
      <w:pPr>
        <w:pStyle w:val="Heading3"/>
      </w:pPr>
      <w:bookmarkStart w:id="62" w:name="_Toc504561304"/>
      <w:bookmarkStart w:id="63" w:name="_Toc29557663"/>
      <w:r w:rsidRPr="00FE7CEC">
        <w:t>The IHC dMMR test</w:t>
      </w:r>
      <w:bookmarkEnd w:id="62"/>
      <w:bookmarkEnd w:id="63"/>
    </w:p>
    <w:p w14:paraId="157DC860" w14:textId="522629DF" w:rsidR="00FE7CEC" w:rsidRPr="00FE7CEC" w:rsidRDefault="00FE7CEC" w:rsidP="00FE7CEC">
      <w:pPr>
        <w:spacing w:after="240" w:line="312" w:lineRule="auto"/>
      </w:pPr>
      <w:r w:rsidRPr="00FE7CEC">
        <w:t>IHC dMMR testing uses antibodies directed against each MMR protein (MLH1, MSH2, MSH6 and PMS2) and IHC staining to detect the expression of these proteins in the tumour cells to determine eligibility for treatment with pembrolizumab. The test uses four FFPE tumour tissue sections (one for each antibody) from either a surgical resection or a biopsy (if unresectable). The sample would be obtained as part of normal diagnostic work-up, and patients are unlikely to require a new biopsy for the specific purpose of IHC dMMR testing. Evidence of the stability of these proteins in FFPE tissue blocks should be provided if archival tissue is likely to be retrieved for testing.</w:t>
      </w:r>
    </w:p>
    <w:p w14:paraId="157CCCE4" w14:textId="77777777" w:rsidR="00FE7CEC" w:rsidRPr="00FE7CEC" w:rsidRDefault="00FE7CEC" w:rsidP="00FE7CEC">
      <w:pPr>
        <w:spacing w:after="240" w:line="312" w:lineRule="auto"/>
      </w:pPr>
      <w:r w:rsidRPr="00FE7CEC">
        <w:t xml:space="preserve">The results for the four individual antibodies are combined to provide an overall positive or negative test result. However, due to the nature of these proteins, the four individual “tests” can also act as internal controls for each other. This is because the proteins form heterodimers (MLH1/PMS2 and MSH2/MSH6), and as the loss of one protein usually affects the expression of its partner; most dMMR tumours usually show loss of expression of both proteins in the affected heterodimer. Loss of protein expression should be complete, with the absence of nuclear staining of all cancer cells and unequivocal positive staining of the nuclei of surrounding non-cancer cells and infiltrating lymphocytes. The loss of expression of MSH2/MSH6 is highly suggestive of a MSH2 germline mutation, and loss of expression </w:t>
      </w:r>
      <w:r w:rsidRPr="00FE7CEC">
        <w:lastRenderedPageBreak/>
        <w:t>of MLH1/PMS2 may result either from a MLH1 germline mutation or from acquired somatic hyper-methylation of the MLH1 gene promoter. Patients whose tumours show a lack of expression of any one of these proteins would be classed as dMMR and would be eligible for treatment with pembrolizumab at diagnosis of or progression to Stage IV disease.</w:t>
      </w:r>
    </w:p>
    <w:p w14:paraId="6FCCFB46" w14:textId="3758671D" w:rsidR="00FE7CEC" w:rsidRPr="00FE7CEC" w:rsidRDefault="00FE7CEC" w:rsidP="00FE7CEC">
      <w:pPr>
        <w:spacing w:after="240" w:line="312" w:lineRule="auto"/>
      </w:pPr>
      <w:r w:rsidRPr="00FE7CEC">
        <w:t xml:space="preserve">It should be noted that in rare cases, dMMR cannot be detected by IHC. Apparent intact expression of all four proteins by IHC cannot entirely exclude dMMR and Lynch syndrome as missense mutations can lead to a non-functional protein with retained antigenicity </w:t>
      </w:r>
      <w:r w:rsidR="00F77139">
        <w:fldChar w:fldCharType="begin"/>
      </w:r>
      <w:r w:rsidR="00F77139">
        <w:instrText xml:space="preserve"> ADDIN EN.CITE &lt;EndNote&gt;&lt;Cite&gt;&lt;Author&gt;Buecher&lt;/Author&gt;&lt;Year&gt;2013&lt;/Year&gt;&lt;RecNum&gt;12&lt;/RecNum&gt;&lt;DisplayText&gt;(Buecher et al. 2013)&lt;/DisplayText&gt;&lt;record&gt;&lt;rec-number&gt;12&lt;/rec-number&gt;&lt;foreign-keys&gt;&lt;key app="EN" db-id="20rafrsx2d50edew5w15fz0q0dvfzstzed55" timestamp="1509495427"&gt;12&lt;/key&gt;&lt;/foreign-keys&gt;&lt;ref-type name="Journal Article"&gt;17&lt;/ref-type&gt;&lt;contributors&gt;&lt;authors&gt;&lt;author&gt;Buecher, B.&lt;/author&gt;&lt;author&gt;Cacheux, W.&lt;/author&gt;&lt;author&gt;Rouleau, E.&lt;/author&gt;&lt;author&gt;Dieumegard, B.&lt;/author&gt;&lt;author&gt;Mitry, E.&lt;/author&gt;&lt;author&gt;Lievre, A.&lt;/author&gt;&lt;/authors&gt;&lt;/contributors&gt;&lt;auth-address&gt;Department of Medical Oncology, Groupe Hospitalier, Institut Curie, 26, rue d&amp;apos;Ulm, 75248 Paris Cedex 5, France.&lt;/auth-address&gt;&lt;titles&gt;&lt;title&gt;Role of microsatellite instability in the management of colorectal cancers&lt;/title&gt;&lt;secondary-title&gt;Dig Liver Dis&lt;/secondary-title&gt;&lt;/titles&gt;&lt;periodical&gt;&lt;full-title&gt;Dig Liver Dis&lt;/full-title&gt;&lt;/periodical&gt;&lt;pages&gt;441-9&lt;/pages&gt;&lt;volume&gt;45&lt;/volume&gt;&lt;number&gt;6&lt;/number&gt;&lt;edition&gt;2012/12/01&lt;/edition&gt;&lt;keywords&gt;&lt;keyword&gt;Antineoplastic Combined Chemotherapy Protocols/therapeutic use&lt;/keyword&gt;&lt;keyword&gt;Chemotherapy, Adjuvant&lt;/keyword&gt;&lt;keyword&gt;Colorectal Neoplasms/diagnosis/ drug therapy/ genetics&lt;/keyword&gt;&lt;keyword&gt;Colorectal Neoplasms, Hereditary Nonpolyposis/diagnosis/drug therapy/genetics&lt;/keyword&gt;&lt;keyword&gt;Fluorouracil/therapeutic use&lt;/keyword&gt;&lt;keyword&gt;Humans&lt;/keyword&gt;&lt;keyword&gt;Leucovorin/therapeutic use&lt;/keyword&gt;&lt;keyword&gt;Microsatellite Instability&lt;/keyword&gt;&lt;keyword&gt;Organoplatinum Compounds/therapeutic use&lt;/keyword&gt;&lt;keyword&gt;Prognosis&lt;/keyword&gt;&lt;keyword&gt;Treatment Outcome&lt;/keyword&gt;&lt;/keywords&gt;&lt;dates&gt;&lt;year&gt;2013&lt;/year&gt;&lt;pub-dates&gt;&lt;date&gt;Jun&lt;/date&gt;&lt;/pub-dates&gt;&lt;/dates&gt;&lt;isbn&gt;1878-3562 (Electronic)&amp;#xD;1590-8658 (Linking)&lt;/isbn&gt;&lt;accession-num&gt;23195666&lt;/accession-num&gt;&lt;urls&gt;&lt;/urls&gt;&lt;electronic-resource-num&gt;10.1016/j.dld.2012.10.006&lt;/electronic-resource-num&gt;&lt;remote-database-provider&gt;NLM&lt;/remote-database-provider&gt;&lt;language&gt;eng&lt;/language&gt;&lt;/record&gt;&lt;/Cite&gt;&lt;/EndNote&gt;</w:instrText>
      </w:r>
      <w:r w:rsidR="00F77139">
        <w:fldChar w:fldCharType="separate"/>
      </w:r>
      <w:r w:rsidR="00F77139">
        <w:rPr>
          <w:noProof/>
        </w:rPr>
        <w:t>(Buecher et al. 2013)</w:t>
      </w:r>
      <w:r w:rsidR="00F77139">
        <w:fldChar w:fldCharType="end"/>
      </w:r>
      <w:r w:rsidRPr="00FE7CEC">
        <w:t xml:space="preserve">. Additionally, the occurrence of a tumour in a patient with Lynch syndrome does not guarantee that the cancer was caused by dMMR. Lotsari et al. </w:t>
      </w:r>
      <w:r w:rsidR="00F77139">
        <w:fldChar w:fldCharType="begin">
          <w:fldData xml:space="preserve">PEVuZE5vdGU+PENpdGUgRXhjbHVkZUF1dGg9IjEiPjxBdXRob3I+TG90c2FyaTwvQXV0aG9yPjxZ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</w:fldData>
        </w:fldChar>
      </w:r>
      <w:r w:rsidR="00F77139">
        <w:instrText xml:space="preserve"> ADDIN EN.CITE </w:instrText>
      </w:r>
      <w:r w:rsidR="00F77139">
        <w:fldChar w:fldCharType="begin">
          <w:fldData xml:space="preserve">PEVuZE5vdGU+PENpdGUgRXhjbHVkZUF1dGg9IjEiPjxBdXRob3I+TG90c2FyaTwvQXV0aG9yPjxZ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</w:fldData>
        </w:fldChar>
      </w:r>
      <w:r w:rsidR="00F77139">
        <w:instrText xml:space="preserve"> ADDIN EN.CITE.DATA </w:instrText>
      </w:r>
      <w:r w:rsidR="00F77139">
        <w:fldChar w:fldCharType="end"/>
      </w:r>
      <w:r w:rsidR="00F77139">
        <w:fldChar w:fldCharType="separate"/>
      </w:r>
      <w:r w:rsidR="00F77139">
        <w:rPr>
          <w:noProof/>
        </w:rPr>
        <w:t>(2012)</w:t>
      </w:r>
      <w:r w:rsidR="00F77139">
        <w:fldChar w:fldCharType="end"/>
      </w:r>
      <w:r w:rsidRPr="00FE7CEC">
        <w:t xml:space="preserve"> reported that only 13/20 (65%) of breast cancers from Lynch syndrome patients were dMMR and/or MSI-H. Thus, new tumour types occurring in patients known to have Lynch syndrome should be tested for suitability for treatment with pembrolizumab.</w:t>
      </w:r>
    </w:p>
    <w:p w14:paraId="1032AB5B" w14:textId="529C4FED" w:rsidR="00B467CE" w:rsidRPr="00452DF6" w:rsidRDefault="00B467CE" w:rsidP="00AA13B3">
      <w:pPr>
        <w:pStyle w:val="Heading3"/>
        <w:spacing w:line="312" w:lineRule="auto"/>
      </w:pPr>
      <w:bookmarkStart w:id="64" w:name="_Toc29557664"/>
      <w:r w:rsidRPr="00452DF6">
        <w:t xml:space="preserve">Reference </w:t>
      </w:r>
      <w:r w:rsidR="00085B22">
        <w:t xml:space="preserve">or evidentiary </w:t>
      </w:r>
      <w:r w:rsidRPr="00452DF6">
        <w:t>standard</w:t>
      </w:r>
      <w:bookmarkEnd w:id="64"/>
    </w:p>
    <w:p w14:paraId="02E487BF" w14:textId="5809C4E6" w:rsidR="00B467CE" w:rsidRPr="00452DF6" w:rsidRDefault="00B467CE" w:rsidP="00AA13B3">
      <w:pPr>
        <w:spacing w:after="240" w:line="312" w:lineRule="auto"/>
      </w:pPr>
      <w:r w:rsidRPr="00452DF6">
        <w:t>Determine if there is a reference standard</w:t>
      </w:r>
      <w:r w:rsidR="00AA13B3">
        <w:t xml:space="preserve"> </w:t>
      </w:r>
      <w:r w:rsidR="00237849">
        <w:t xml:space="preserve">test </w:t>
      </w:r>
      <w:r w:rsidR="006C774E">
        <w:t>(as outlined in Section B3.1)</w:t>
      </w:r>
      <w:r w:rsidR="00984B14">
        <w:t xml:space="preserve"> and</w:t>
      </w:r>
      <w:r w:rsidR="00AA13B3">
        <w:t xml:space="preserve"> evidentiary standard </w:t>
      </w:r>
      <w:r w:rsidR="00237849">
        <w:t xml:space="preserve">test </w:t>
      </w:r>
      <w:r w:rsidR="006C774E">
        <w:t>(</w:t>
      </w:r>
      <w:r w:rsidR="00AA13B3">
        <w:t xml:space="preserve">as outlined in </w:t>
      </w:r>
      <w:r w:rsidR="006C774E">
        <w:t>Item 5 in Appendix 7</w:t>
      </w:r>
      <w:r w:rsidR="00890C37">
        <w:t xml:space="preserve"> of the </w:t>
      </w:r>
      <w:r w:rsidR="00AA13B3">
        <w:t>MSAC Technical Guidelines</w:t>
      </w:r>
      <w:r w:rsidR="000E6E28">
        <w:t xml:space="preserve"> </w:t>
      </w:r>
      <w:r w:rsidR="00DA115B">
        <w:t>for Investigative Services</w:t>
      </w:r>
      <w:r w:rsidR="00EA7464">
        <w:t>,</w:t>
      </w:r>
      <w:r w:rsidR="00DA115B">
        <w:t xml:space="preserve"> </w:t>
      </w:r>
      <w:r w:rsidR="00F77139">
        <w:fldChar w:fldCharType="begin"/>
      </w:r>
      <w:r w:rsidR="00F77139">
        <w:instrText xml:space="preserve"> ADDIN EN.CITE &lt;EndNote&gt;&lt;Cite&gt;&lt;Author&gt;MSAC&lt;/Author&gt;&lt;Year&gt;2017&lt;/Year&gt;&lt;RecNum&gt;2&lt;/RecNum&gt;&lt;DisplayText&gt;(MSAC 2017)&lt;/DisplayText&gt;&lt;record&gt;&lt;rec-number&gt;2&lt;/rec-number&gt;&lt;foreign-keys&gt;&lt;key app="EN" db-id="20rafrsx2d50edew5w15fz0q0dvfzstzed55" timestamp="1508463126"&gt;2&lt;/key&gt;&lt;/foreign-keys&gt;&lt;ref-type name="Government Document"&gt;46&lt;/ref-type&gt;&lt;contributors&gt;&lt;authors&gt;&lt;author&gt;MSAC &lt;/author&gt;&lt;/authors&gt;&lt;secondary-authors&gt;&lt;author&gt;Department of Health&lt;/author&gt;&lt;/secondary-authors&gt;&lt;/contributors&gt;&lt;titles&gt;&lt;title&gt;Technical Guidelines for preparing assessment reports for the Medical Services Advisory Committee – Service Type: Investigative&lt;/title&gt;&lt;/titles&gt;&lt;dates&gt;&lt;year&gt;2017&lt;/year&gt;&lt;/dates&gt;&lt;pub-location&gt;Canberra&lt;/pub-location&gt;&lt;publisher&gt;Australian Government&lt;/publisher&gt;&lt;urls&gt;&lt;related-urls&gt;&lt;url&gt;http://www.msac.gov.au/internet/msac/publishing.nsf/Content/applicants&lt;/url&gt;&lt;/related-urls&gt;&lt;/urls&gt;&lt;/record&gt;&lt;/Cite&gt;&lt;/EndNote&gt;</w:instrText>
      </w:r>
      <w:r w:rsidR="00F77139">
        <w:fldChar w:fldCharType="separate"/>
      </w:r>
      <w:r w:rsidR="00F77139">
        <w:rPr>
          <w:noProof/>
        </w:rPr>
        <w:t>MSAC 2017)</w:t>
      </w:r>
      <w:r w:rsidR="00F77139">
        <w:fldChar w:fldCharType="end"/>
      </w:r>
      <w:r w:rsidR="00890C37">
        <w:t>.</w:t>
      </w:r>
      <w:r w:rsidR="00085B22">
        <w:t xml:space="preserve"> </w:t>
      </w:r>
      <w:r w:rsidR="00085B22" w:rsidRPr="00237849">
        <w:rPr>
          <w:b/>
        </w:rPr>
        <w:t xml:space="preserve">(Recommendation </w:t>
      </w:r>
      <w:r w:rsidR="00FE7CEC" w:rsidRPr="00237849">
        <w:rPr>
          <w:b/>
        </w:rPr>
        <w:t>5</w:t>
      </w:r>
      <w:r w:rsidR="00085B22" w:rsidRPr="00237849">
        <w:rPr>
          <w:b/>
        </w:rPr>
        <w:t>)</w:t>
      </w:r>
    </w:p>
    <w:p w14:paraId="51087DDF" w14:textId="5BD5DA53" w:rsidR="000C3510" w:rsidRDefault="00B467CE" w:rsidP="000F6AD0">
      <w:pPr>
        <w:spacing w:after="120" w:line="312" w:lineRule="auto"/>
      </w:pPr>
      <w:r w:rsidRPr="00452DF6">
        <w:t xml:space="preserve">In the case of </w:t>
      </w:r>
      <w:r w:rsidR="000C3510" w:rsidRPr="00AA13B3">
        <w:t>dMMR</w:t>
      </w:r>
      <w:r w:rsidR="007E3160">
        <w:t xml:space="preserve"> IHC</w:t>
      </w:r>
      <w:r w:rsidR="000C3510" w:rsidRPr="00AA13B3">
        <w:t xml:space="preserve"> testing for CRC</w:t>
      </w:r>
      <w:r w:rsidRPr="00452DF6">
        <w:t xml:space="preserve">, there are </w:t>
      </w:r>
      <w:r w:rsidR="003144D3" w:rsidRPr="00452DF6">
        <w:t>potentially three</w:t>
      </w:r>
      <w:r w:rsidRPr="00452DF6">
        <w:t xml:space="preserve"> reference </w:t>
      </w:r>
      <w:r w:rsidR="00DB2350">
        <w:t xml:space="preserve">or evidentiary </w:t>
      </w:r>
      <w:r w:rsidRPr="00452DF6">
        <w:t>standards</w:t>
      </w:r>
      <w:r w:rsidR="000F6AD0">
        <w:t xml:space="preserve">. </w:t>
      </w:r>
      <w:r w:rsidR="000C3510">
        <w:t xml:space="preserve">The PICO confirmation for this application identified </w:t>
      </w:r>
      <w:r w:rsidR="00C635B1">
        <w:t xml:space="preserve">two </w:t>
      </w:r>
      <w:r w:rsidR="00B970F1">
        <w:t xml:space="preserve">potential </w:t>
      </w:r>
      <w:r w:rsidR="00C635B1">
        <w:t>reference standards</w:t>
      </w:r>
      <w:r w:rsidR="000C3510">
        <w:t>:</w:t>
      </w:r>
    </w:p>
    <w:p w14:paraId="4DD1C78D" w14:textId="3B4EC759" w:rsidR="00AA13B3" w:rsidRDefault="00074876" w:rsidP="00074876">
      <w:pPr>
        <w:pStyle w:val="ListParagraph"/>
        <w:numPr>
          <w:ilvl w:val="0"/>
          <w:numId w:val="9"/>
        </w:numPr>
        <w:spacing w:after="240" w:line="312" w:lineRule="auto"/>
        <w:ind w:left="426"/>
        <w:contextualSpacing/>
      </w:pPr>
      <w:r>
        <w:t>Next generation</w:t>
      </w:r>
      <w:r w:rsidR="003144D3" w:rsidRPr="00452DF6">
        <w:t xml:space="preserve"> sequencing </w:t>
      </w:r>
      <w:r w:rsidR="009B21B9">
        <w:t xml:space="preserve">(NGS) </w:t>
      </w:r>
      <w:r w:rsidR="003144D3" w:rsidRPr="00452DF6">
        <w:t xml:space="preserve">of </w:t>
      </w:r>
      <w:r>
        <w:t xml:space="preserve">the </w:t>
      </w:r>
      <w:r w:rsidR="003144D3" w:rsidRPr="00074876">
        <w:rPr>
          <w:i/>
        </w:rPr>
        <w:t>MMR</w:t>
      </w:r>
      <w:r w:rsidR="003144D3" w:rsidRPr="00452DF6">
        <w:t xml:space="preserve"> genes </w:t>
      </w:r>
      <w:r w:rsidR="00B970F1" w:rsidRPr="00B970F1">
        <w:t xml:space="preserve">in a germline DNA sample (peripheral blood) for </w:t>
      </w:r>
      <w:r w:rsidR="00AA13B3">
        <w:t xml:space="preserve">the </w:t>
      </w:r>
      <w:r w:rsidR="000C3510" w:rsidRPr="00452DF6">
        <w:t>diagnosi</w:t>
      </w:r>
      <w:r w:rsidR="00AA13B3">
        <w:t>s of</w:t>
      </w:r>
      <w:r w:rsidR="000C3510" w:rsidRPr="00452DF6">
        <w:t xml:space="preserve"> Lynch syndrome</w:t>
      </w:r>
    </w:p>
    <w:p w14:paraId="03E14983" w14:textId="19334BE2" w:rsidR="003144D3" w:rsidRDefault="00B467CE" w:rsidP="00074876">
      <w:pPr>
        <w:pStyle w:val="ListParagraph"/>
        <w:numPr>
          <w:ilvl w:val="1"/>
          <w:numId w:val="9"/>
        </w:numPr>
        <w:spacing w:after="240" w:line="312" w:lineRule="auto"/>
        <w:ind w:left="851"/>
        <w:contextualSpacing/>
      </w:pPr>
      <w:r w:rsidRPr="00452DF6">
        <w:t>Lynch syndrome</w:t>
      </w:r>
      <w:r w:rsidR="003144D3" w:rsidRPr="00452DF6">
        <w:t xml:space="preserve"> is caused by </w:t>
      </w:r>
      <w:r w:rsidRPr="00452DF6">
        <w:t xml:space="preserve">a mutation in one of the </w:t>
      </w:r>
      <w:r w:rsidRPr="006F5EBD">
        <w:rPr>
          <w:i/>
        </w:rPr>
        <w:t>MMR</w:t>
      </w:r>
      <w:r w:rsidRPr="00452DF6">
        <w:t xml:space="preserve"> genes</w:t>
      </w:r>
      <w:r w:rsidR="00B970F1">
        <w:t xml:space="preserve"> </w:t>
      </w:r>
      <w:r w:rsidR="006F5EBD">
        <w:t xml:space="preserve">or </w:t>
      </w:r>
      <w:r w:rsidR="008E51C7">
        <w:t xml:space="preserve">the </w:t>
      </w:r>
      <w:r w:rsidR="006F5EBD" w:rsidRPr="006F5EBD">
        <w:rPr>
          <w:i/>
        </w:rPr>
        <w:t>EPCAM</w:t>
      </w:r>
      <w:r w:rsidR="006F5EBD">
        <w:t xml:space="preserve"> </w:t>
      </w:r>
      <w:r w:rsidR="008E51C7">
        <w:t xml:space="preserve">gene </w:t>
      </w:r>
      <w:r w:rsidR="00B970F1" w:rsidRPr="00B970F1">
        <w:t xml:space="preserve">(typically, </w:t>
      </w:r>
      <w:r w:rsidR="00B970F1" w:rsidRPr="006F5EBD">
        <w:rPr>
          <w:i/>
        </w:rPr>
        <w:t>MLH1</w:t>
      </w:r>
      <w:r w:rsidR="00B970F1" w:rsidRPr="00B970F1">
        <w:t xml:space="preserve">, </w:t>
      </w:r>
      <w:r w:rsidR="00B970F1" w:rsidRPr="006F5EBD">
        <w:rPr>
          <w:i/>
        </w:rPr>
        <w:t>MSH2</w:t>
      </w:r>
      <w:r w:rsidR="00B970F1" w:rsidRPr="00B970F1">
        <w:t xml:space="preserve">, </w:t>
      </w:r>
      <w:r w:rsidR="00B970F1" w:rsidRPr="006F5EBD">
        <w:rPr>
          <w:i/>
        </w:rPr>
        <w:t>MSH6</w:t>
      </w:r>
      <w:r w:rsidR="00B970F1" w:rsidRPr="00B970F1">
        <w:t xml:space="preserve">, </w:t>
      </w:r>
      <w:r w:rsidR="00B970F1" w:rsidRPr="006F5EBD">
        <w:rPr>
          <w:i/>
        </w:rPr>
        <w:t>PMS2</w:t>
      </w:r>
      <w:r w:rsidR="006F5EBD" w:rsidRPr="006F5EBD">
        <w:t xml:space="preserve">, </w:t>
      </w:r>
      <w:r w:rsidR="006F5EBD">
        <w:rPr>
          <w:i/>
        </w:rPr>
        <w:t>EPCAM</w:t>
      </w:r>
      <w:r w:rsidR="00B970F1" w:rsidRPr="00B970F1">
        <w:t xml:space="preserve"> are the key genes sequenced).</w:t>
      </w:r>
    </w:p>
    <w:p w14:paraId="4BD25164" w14:textId="21079C9A" w:rsidR="00DE4429" w:rsidRPr="00452DF6" w:rsidRDefault="008E51C7" w:rsidP="00074876">
      <w:pPr>
        <w:pStyle w:val="ListParagraph"/>
        <w:numPr>
          <w:ilvl w:val="1"/>
          <w:numId w:val="9"/>
        </w:numPr>
        <w:spacing w:after="240" w:line="312" w:lineRule="auto"/>
        <w:ind w:left="851"/>
        <w:contextualSpacing/>
      </w:pPr>
      <w:r>
        <w:t>O</w:t>
      </w:r>
      <w:r w:rsidR="00DE4429" w:rsidRPr="00DE4429">
        <w:t xml:space="preserve">ver 3,100 unique DNA variants </w:t>
      </w:r>
      <w:r w:rsidR="00B970F1" w:rsidRPr="00B970F1">
        <w:t xml:space="preserve">associated with Lynch syndrome </w:t>
      </w:r>
      <w:r w:rsidR="00DE4429" w:rsidRPr="00DE4429">
        <w:t xml:space="preserve">have been described with 57% classed as pathogenic </w:t>
      </w:r>
      <w:r w:rsidR="00791E9C">
        <w:t xml:space="preserve">(cancer-causing) </w:t>
      </w:r>
      <w:r w:rsidR="00DE4429" w:rsidRPr="00DE4429">
        <w:t xml:space="preserve">or likely pathogenic, 32% as uncertain, 4% as likely not pathogenic and 7% as not pathogenic </w:t>
      </w:r>
      <w:r w:rsidR="00F77139">
        <w:fldChar w:fldCharType="begin"/>
      </w:r>
      <w:r w:rsidR="00F77139">
        <w:instrText xml:space="preserve"> ADDIN EN.CITE &lt;EndNote&gt;&lt;Cite&gt;&lt;Author&gt;Da Silva&lt;/Author&gt;&lt;Year&gt;2016&lt;/Year&gt;&lt;RecNum&gt;9&lt;/RecNum&gt;&lt;DisplayText&gt;(Da Silva et al. 2016)&lt;/DisplayText&gt;&lt;record&gt;&lt;rec-number&gt;9&lt;/rec-number&gt;&lt;foreign-keys&gt;&lt;key app="EN" db-id="20rafrsx2d50edew5w15fz0q0dvfzstzed55" timestamp="1509494750"&gt;9&lt;/key&gt;&lt;/foreign-keys&gt;&lt;ref-type name="Journal Article"&gt;17&lt;/ref-type&gt;&lt;contributors&gt;&lt;authors&gt;&lt;author&gt;Da Silva, FC&lt;/author&gt;&lt;author&gt;Wernhoff, P.&lt;/author&gt;&lt;author&gt;Dominguez-Barrera, C.&lt;/author&gt;&lt;author&gt;Dominguez-Valentin, M.&lt;/author&gt;&lt;/authors&gt;&lt;/contributors&gt;&lt;auth-address&gt;Laboratory of Experimental Oncology, Federal University of Piaui, Teresina, Brazil.&amp;#xD;Department of Experimental Medical Science, Unit of Muscle Biology, Lund Transgenic Core Facility/Reproductive Immunology, Lund University, Lund, Sweden.&amp;#xD;Department of Preventive Medicine, Faculty of Medicine, National University of San Marcos, Lima, Peru.&amp;#xD;Deparment of Tumor Biology, Institute for Cancer Research, Oslo University Hospital, Oslo, Norway mev_dv@yahoo.com.&lt;/auth-address&gt;&lt;titles&gt;&lt;title&gt;Update on Hereditary Colorectal Cancer&lt;/title&gt;&lt;secondary-title&gt;Anticancer Res&lt;/secondary-title&gt;&lt;/titles&gt;&lt;periodical&gt;&lt;full-title&gt;Anticancer Res&lt;/full-title&gt;&lt;/periodical&gt;&lt;pages&gt;4399-405&lt;/pages&gt;&lt;volume&gt;36&lt;/volume&gt;&lt;number&gt;9&lt;/number&gt;&lt;edition&gt;2016/09/16&lt;/edition&gt;&lt;keywords&gt;&lt;keyword&gt;4ereditary non-polyposis colorectal cancer&lt;/keyword&gt;&lt;keyword&gt;Fcctx&lt;/keyword&gt;&lt;keyword&gt;Lynch syndrome&lt;/keyword&gt;&lt;keyword&gt;Lynch-like syndrome&lt;/keyword&gt;&lt;keyword&gt;mismatch repair&lt;/keyword&gt;&lt;keyword&gt;review&lt;/keyword&gt;&lt;/keywords&gt;&lt;dates&gt;&lt;year&gt;2016&lt;/year&gt;&lt;pub-dates&gt;&lt;date&gt;Sep&lt;/date&gt;&lt;/pub-dates&gt;&lt;/dates&gt;&lt;isbn&gt;1791-7530 (Electronic)&amp;#xD;0250-7005 (Linking)&lt;/isbn&gt;&lt;accession-num&gt;27630275&lt;/accession-num&gt;&lt;urls&gt;&lt;related-urls&gt;&lt;url&gt;http://ar.iiarjournals.org/content/36/9/4399.full.pdf&lt;/url&gt;&lt;/related-urls&gt;&lt;/urls&gt;&lt;remote-database-provider&gt;NLM&lt;/remote-database-provider&gt;&lt;language&gt;Eng&lt;/language&gt;&lt;/record&gt;&lt;/Cite&gt;&lt;/EndNote&gt;</w:instrText>
      </w:r>
      <w:r w:rsidR="00F77139">
        <w:fldChar w:fldCharType="separate"/>
      </w:r>
      <w:r w:rsidR="00F77139">
        <w:rPr>
          <w:noProof/>
        </w:rPr>
        <w:t>(Da Silva et al. 2016)</w:t>
      </w:r>
      <w:r w:rsidR="00F77139">
        <w:fldChar w:fldCharType="end"/>
      </w:r>
      <w:r w:rsidR="00DE4429" w:rsidRPr="00DE4429">
        <w:t>.</w:t>
      </w:r>
    </w:p>
    <w:p w14:paraId="74CDDF88" w14:textId="5ADE4964" w:rsidR="00AA13B3" w:rsidRDefault="00AA13B3" w:rsidP="0026448E">
      <w:pPr>
        <w:pStyle w:val="ListParagraph"/>
        <w:numPr>
          <w:ilvl w:val="0"/>
          <w:numId w:val="9"/>
        </w:numPr>
        <w:spacing w:after="240" w:line="312" w:lineRule="auto"/>
        <w:ind w:left="426"/>
        <w:contextualSpacing/>
      </w:pPr>
      <w:r>
        <w:t>M</w:t>
      </w:r>
      <w:r w:rsidRPr="00452DF6">
        <w:t xml:space="preserve">ethylation specific </w:t>
      </w:r>
      <w:r w:rsidR="000F6AD0" w:rsidRPr="000F6AD0">
        <w:t>multiple ligation-dependent probe amplification (MS-MLPA)</w:t>
      </w:r>
      <w:r w:rsidRPr="00452DF6">
        <w:t xml:space="preserve"> to detect hyper-methylation of the </w:t>
      </w:r>
      <w:r w:rsidRPr="00871ABF">
        <w:rPr>
          <w:i/>
        </w:rPr>
        <w:t>M</w:t>
      </w:r>
      <w:r w:rsidR="00DE4429" w:rsidRPr="00871ABF">
        <w:rPr>
          <w:i/>
        </w:rPr>
        <w:t>MR</w:t>
      </w:r>
      <w:r w:rsidRPr="00452DF6">
        <w:t xml:space="preserve"> gene promoter</w:t>
      </w:r>
      <w:r w:rsidR="00DE4429">
        <w:t>s</w:t>
      </w:r>
      <w:r w:rsidRPr="00452DF6">
        <w:t xml:space="preserve"> </w:t>
      </w:r>
      <w:r w:rsidR="00B467CE" w:rsidRPr="00452DF6">
        <w:t>for detection of sporadic cases of dMMR</w:t>
      </w:r>
      <w:r w:rsidR="006F5EBD">
        <w:t>.</w:t>
      </w:r>
    </w:p>
    <w:p w14:paraId="25AF3817" w14:textId="746A7176" w:rsidR="00DE4429" w:rsidRDefault="00DE4429" w:rsidP="0026448E">
      <w:pPr>
        <w:pStyle w:val="ListParagraph"/>
        <w:numPr>
          <w:ilvl w:val="1"/>
          <w:numId w:val="9"/>
        </w:numPr>
        <w:spacing w:after="240" w:line="312" w:lineRule="auto"/>
        <w:ind w:left="851"/>
        <w:contextualSpacing/>
      </w:pPr>
      <w:r w:rsidRPr="000F6AD0">
        <w:t xml:space="preserve">This test can be used to detect methylation in the promoter of several MMR genes, including </w:t>
      </w:r>
      <w:r w:rsidRPr="00AF57AB">
        <w:rPr>
          <w:i/>
        </w:rPr>
        <w:t>MLH1</w:t>
      </w:r>
      <w:r w:rsidRPr="000F6AD0">
        <w:t xml:space="preserve">, </w:t>
      </w:r>
      <w:r w:rsidRPr="00AF57AB">
        <w:rPr>
          <w:i/>
        </w:rPr>
        <w:t>MSH2</w:t>
      </w:r>
      <w:r w:rsidRPr="000F6AD0">
        <w:t xml:space="preserve">, </w:t>
      </w:r>
      <w:r w:rsidRPr="00AF57AB">
        <w:rPr>
          <w:i/>
        </w:rPr>
        <w:t>MLH3</w:t>
      </w:r>
      <w:r w:rsidRPr="000F6AD0">
        <w:t xml:space="preserve">, </w:t>
      </w:r>
      <w:r w:rsidRPr="00AF57AB">
        <w:rPr>
          <w:i/>
        </w:rPr>
        <w:t>PMS2</w:t>
      </w:r>
      <w:r w:rsidRPr="000F6AD0">
        <w:t xml:space="preserve">, </w:t>
      </w:r>
      <w:r w:rsidR="001B49F1" w:rsidRPr="000F6AD0">
        <w:t xml:space="preserve">and </w:t>
      </w:r>
      <w:r w:rsidRPr="00AF57AB">
        <w:rPr>
          <w:i/>
        </w:rPr>
        <w:t>MSH6</w:t>
      </w:r>
      <w:r w:rsidR="00AF57AB">
        <w:t>.</w:t>
      </w:r>
    </w:p>
    <w:p w14:paraId="19056669" w14:textId="661E3E98" w:rsidR="00B467CE" w:rsidRPr="00452DF6" w:rsidRDefault="00AA13B3" w:rsidP="0026448E">
      <w:pPr>
        <w:pStyle w:val="ListParagraph"/>
        <w:numPr>
          <w:ilvl w:val="1"/>
          <w:numId w:val="9"/>
        </w:numPr>
        <w:spacing w:after="240" w:line="312" w:lineRule="auto"/>
        <w:ind w:left="851"/>
        <w:contextualSpacing/>
      </w:pPr>
      <w:r>
        <w:t>E</w:t>
      </w:r>
      <w:r w:rsidR="003144D3" w:rsidRPr="00452DF6">
        <w:t xml:space="preserve">pigenetic inactivation </w:t>
      </w:r>
      <w:r w:rsidR="00AF57AB">
        <w:t xml:space="preserve">(methylation) </w:t>
      </w:r>
      <w:r w:rsidR="003144D3" w:rsidRPr="00452DF6">
        <w:t xml:space="preserve">of the </w:t>
      </w:r>
      <w:r w:rsidR="00AF57AB" w:rsidRPr="00AF57AB">
        <w:rPr>
          <w:i/>
        </w:rPr>
        <w:t>MLH1</w:t>
      </w:r>
      <w:r w:rsidR="00AF57AB">
        <w:t xml:space="preserve"> </w:t>
      </w:r>
      <w:r w:rsidR="003144D3" w:rsidRPr="00452DF6">
        <w:t>promot</w:t>
      </w:r>
      <w:r w:rsidR="00871ABF">
        <w:t>e</w:t>
      </w:r>
      <w:r w:rsidR="003144D3" w:rsidRPr="00452DF6">
        <w:t xml:space="preserve">r </w:t>
      </w:r>
      <w:r>
        <w:t xml:space="preserve">causes dMMR </w:t>
      </w:r>
      <w:r w:rsidR="003144D3" w:rsidRPr="00452DF6">
        <w:t>i</w:t>
      </w:r>
      <w:r w:rsidR="00B467CE" w:rsidRPr="00452DF6">
        <w:t>n</w:t>
      </w:r>
      <w:r w:rsidR="003144D3" w:rsidRPr="00452DF6">
        <w:t xml:space="preserve"> </w:t>
      </w:r>
      <w:r w:rsidR="00074876">
        <w:t>nearly all</w:t>
      </w:r>
      <w:r w:rsidR="003144D3" w:rsidRPr="00452DF6">
        <w:t xml:space="preserve"> sporadic cases</w:t>
      </w:r>
      <w:r w:rsidR="00B467CE" w:rsidRPr="00452DF6">
        <w:t>.</w:t>
      </w:r>
    </w:p>
    <w:p w14:paraId="0779FA22" w14:textId="329DC9EA" w:rsidR="00074876" w:rsidRDefault="00AA13B3" w:rsidP="00074876">
      <w:pPr>
        <w:spacing w:after="240" w:line="312" w:lineRule="auto"/>
      </w:pPr>
      <w:r>
        <w:t>However, t</w:t>
      </w:r>
      <w:r w:rsidR="00A44D91" w:rsidRPr="00452DF6">
        <w:t xml:space="preserve">he MSAC Executive agreed on 3 March 2017 that PCR-based microsatellite instability (MSI) testing would be an accepted reference standard for dMMR </w:t>
      </w:r>
      <w:r w:rsidR="007E3160" w:rsidRPr="00452DF6">
        <w:t xml:space="preserve">IHC </w:t>
      </w:r>
      <w:r w:rsidR="00A44D91" w:rsidRPr="00452DF6">
        <w:t>testing</w:t>
      </w:r>
      <w:r w:rsidR="00F879EB">
        <w:t>.</w:t>
      </w:r>
      <w:r w:rsidR="000F6AD0">
        <w:t xml:space="preserve"> </w:t>
      </w:r>
      <w:r w:rsidR="00243652">
        <w:t>MS</w:t>
      </w:r>
      <w:r w:rsidR="00074876">
        <w:t>A</w:t>
      </w:r>
      <w:r w:rsidR="00243652">
        <w:t xml:space="preserve">C </w:t>
      </w:r>
      <w:r w:rsidR="005F59A7">
        <w:t>A</w:t>
      </w:r>
      <w:r w:rsidR="00074876">
        <w:t xml:space="preserve">pplication 1452 originally included MSI testing </w:t>
      </w:r>
      <w:r w:rsidR="00243652">
        <w:t>as a comparator to</w:t>
      </w:r>
      <w:r w:rsidR="00074876">
        <w:t xml:space="preserve"> dMMR IHC testing, but the applicant withdrew it as it was no longer widely available nor routinely performed in Australia</w:t>
      </w:r>
      <w:r w:rsidR="00074876">
        <w:rPr>
          <w:rStyle w:val="CommentReference"/>
        </w:rPr>
        <w:t>.</w:t>
      </w:r>
      <w:r w:rsidR="00074876">
        <w:t xml:space="preserve"> Lab Tests Online</w:t>
      </w:r>
      <w:r w:rsidR="00243652">
        <w:rPr>
          <w:rStyle w:val="FootnoteReference"/>
        </w:rPr>
        <w:footnoteReference w:id="2"/>
      </w:r>
      <w:r w:rsidR="00074876">
        <w:t xml:space="preserve"> (a website </w:t>
      </w:r>
      <w:r w:rsidR="00074876">
        <w:lastRenderedPageBreak/>
        <w:t xml:space="preserve">that is part of the Quality Use of Pathology Program) states that MSI </w:t>
      </w:r>
      <w:r w:rsidR="00666A02">
        <w:t xml:space="preserve">testing </w:t>
      </w:r>
      <w:r w:rsidR="00074876">
        <w:t xml:space="preserve">for Lynch Syndrome has been </w:t>
      </w:r>
      <w:r w:rsidR="00666A02">
        <w:t>largely</w:t>
      </w:r>
      <w:r w:rsidR="00074876">
        <w:t xml:space="preserve"> replaced by IHC</w:t>
      </w:r>
      <w:r w:rsidR="00666A02">
        <w:t xml:space="preserve"> dMMR testing</w:t>
      </w:r>
      <w:r w:rsidR="00074876">
        <w:t>.</w:t>
      </w:r>
      <w:r w:rsidR="00666A02">
        <w:t xml:space="preserve"> </w:t>
      </w:r>
      <w:r w:rsidR="001B49F1">
        <w:t>Nevertheless</w:t>
      </w:r>
      <w:r w:rsidR="00666A02">
        <w:t>, t</w:t>
      </w:r>
      <w:r w:rsidR="00243652">
        <w:t>he RCPA reported that although MSI</w:t>
      </w:r>
      <w:r w:rsidR="00074876">
        <w:t xml:space="preserve"> </w:t>
      </w:r>
      <w:r w:rsidR="00243652">
        <w:t>testing “</w:t>
      </w:r>
      <w:r w:rsidR="00074876">
        <w:t>is used less commonly in the diagnostic pathology setting, it continues to have a role in problematic cases</w:t>
      </w:r>
      <w:r w:rsidR="00243652">
        <w:t>”</w:t>
      </w:r>
      <w:r w:rsidR="00074876">
        <w:t>.</w:t>
      </w:r>
    </w:p>
    <w:p w14:paraId="193155A0" w14:textId="31458B10" w:rsidR="000F6AD0" w:rsidRPr="00452DF6" w:rsidRDefault="000F6AD0" w:rsidP="00FD77A5">
      <w:pPr>
        <w:pStyle w:val="ListParagraph"/>
        <w:numPr>
          <w:ilvl w:val="0"/>
          <w:numId w:val="16"/>
        </w:numPr>
        <w:spacing w:after="240" w:line="312" w:lineRule="auto"/>
        <w:ind w:left="350"/>
      </w:pPr>
      <w:r>
        <w:t xml:space="preserve">The MSI test </w:t>
      </w:r>
      <w:r w:rsidR="00FD77A5" w:rsidRPr="00FD77A5">
        <w:t>detects both sporadic and Lynch syndrome dMMR cases.</w:t>
      </w:r>
      <w:r w:rsidRPr="000F6AD0">
        <w:t xml:space="preserve"> </w:t>
      </w:r>
      <w:r w:rsidR="00BB0C1E" w:rsidRPr="00BB0C1E">
        <w:t>Laboratories may implement one of several different biomarker panels for this purpose. Typically, a</w:t>
      </w:r>
      <w:r w:rsidRPr="000F6AD0">
        <w:t>n MSI phenotype is defined by the presence of at least two unstable markers</w:t>
      </w:r>
      <w:r>
        <w:t>,</w:t>
      </w:r>
      <w:r w:rsidRPr="000F6AD0">
        <w:t xml:space="preserve"> identified as having insertions or deletions among five</w:t>
      </w:r>
      <w:r>
        <w:t xml:space="preserve"> tested markers,</w:t>
      </w:r>
      <w:r w:rsidRPr="000F6AD0">
        <w:t xml:space="preserve"> or ≥30% of unstable markers if a larger panel is used.</w:t>
      </w:r>
      <w:r w:rsidR="00FD77A5" w:rsidRPr="00FD77A5">
        <w:t xml:space="preserve"> A clear definition of the panel and cut-off used for determining the MSI-H phenotype must be reported to enable appropriate comparisons of the IHC dMMR test with the “same” reference standard.</w:t>
      </w:r>
    </w:p>
    <w:p w14:paraId="6958849A" w14:textId="44906A2D" w:rsidR="00B467CE" w:rsidRDefault="00074876" w:rsidP="00AA13B3">
      <w:pPr>
        <w:spacing w:after="240" w:line="312" w:lineRule="auto"/>
      </w:pPr>
      <w:r>
        <w:t xml:space="preserve">Given the sporadic nature of most non-CRC tumours, </w:t>
      </w:r>
      <w:r w:rsidR="006D1EF6">
        <w:t xml:space="preserve">most will result from hyper-methylation of the </w:t>
      </w:r>
      <w:r w:rsidR="006D1EF6" w:rsidRPr="009B21B9">
        <w:rPr>
          <w:i/>
        </w:rPr>
        <w:t>MLH1</w:t>
      </w:r>
      <w:r w:rsidR="006D1EF6">
        <w:t xml:space="preserve"> promoter. Thus, </w:t>
      </w:r>
      <w:r w:rsidR="009B21B9">
        <w:t>NGS</w:t>
      </w:r>
      <w:r w:rsidRPr="00074876">
        <w:t xml:space="preserve"> of the </w:t>
      </w:r>
      <w:r w:rsidRPr="00074876">
        <w:rPr>
          <w:i/>
        </w:rPr>
        <w:t>MMR</w:t>
      </w:r>
      <w:r w:rsidRPr="00074876">
        <w:t xml:space="preserve"> genes</w:t>
      </w:r>
      <w:r w:rsidR="006D1EF6">
        <w:t>, which detects germline DNA mutations causing Lynch syndrome,</w:t>
      </w:r>
      <w:r>
        <w:t xml:space="preserve"> is unlikely to be </w:t>
      </w:r>
      <w:r w:rsidR="00666A02">
        <w:t xml:space="preserve">a </w:t>
      </w:r>
      <w:r>
        <w:t>relevant</w:t>
      </w:r>
      <w:r w:rsidR="00666A02">
        <w:t xml:space="preserve"> reference standard</w:t>
      </w:r>
      <w:r w:rsidR="00BB0C1E" w:rsidRPr="00BB0C1E">
        <w:t xml:space="preserve"> for </w:t>
      </w:r>
      <w:r w:rsidR="00085B22" w:rsidRPr="00BB0C1E">
        <w:t>pan-tumour</w:t>
      </w:r>
      <w:r w:rsidR="00085B22">
        <w:t xml:space="preserve"> </w:t>
      </w:r>
      <w:r w:rsidR="00BB0C1E" w:rsidRPr="00BB0C1E">
        <w:t>dMMR IHC testing</w:t>
      </w:r>
      <w:r w:rsidR="006D1EF6">
        <w:t>.</w:t>
      </w:r>
      <w:r w:rsidR="00085B22">
        <w:t xml:space="preserve"> </w:t>
      </w:r>
      <w:r w:rsidR="006D1EF6">
        <w:t>T</w:t>
      </w:r>
      <w:r w:rsidR="00BB0C1E">
        <w:t xml:space="preserve">he relevant reference standards for MSAC </w:t>
      </w:r>
      <w:r w:rsidR="005F59A7">
        <w:t>A</w:t>
      </w:r>
      <w:r w:rsidR="00BB0C1E">
        <w:t>pplication 1508 would be MS-MLPA testing</w:t>
      </w:r>
      <w:r w:rsidR="009B21B9">
        <w:t xml:space="preserve"> of the </w:t>
      </w:r>
      <w:r w:rsidR="009B21B9" w:rsidRPr="009B21B9">
        <w:rPr>
          <w:i/>
        </w:rPr>
        <w:t>MLH1</w:t>
      </w:r>
      <w:r w:rsidR="009B21B9">
        <w:t xml:space="preserve"> promoter </w:t>
      </w:r>
      <w:r w:rsidR="00BB0C1E">
        <w:t>and MSI testing.</w:t>
      </w:r>
    </w:p>
    <w:p w14:paraId="73115F44" w14:textId="77777777" w:rsidR="005F59A7" w:rsidRDefault="007B1F38" w:rsidP="005F59A7">
      <w:pPr>
        <w:spacing w:after="240" w:line="312" w:lineRule="auto"/>
        <w:rPr>
          <w:b/>
        </w:rPr>
      </w:pPr>
      <w:r>
        <w:t xml:space="preserve">If the proposed test is not the evidentiary standard test used in the supportive clinical trials assessing treatment efficacy, then bridging data should be provided to assess the comparability of the performance of the proposed test to the evidentiary standard test. Key differences that may affect or alter the eligibility/selection of patients for the proposed treatment should be identified, e.g., for pan-tumour use, this comparison would be dMMR as determined by IHC vs MSI-high as determined by </w:t>
      </w:r>
      <w:r w:rsidRPr="00ED73CC">
        <w:t xml:space="preserve">either </w:t>
      </w:r>
      <w:r>
        <w:t xml:space="preserve">the </w:t>
      </w:r>
      <w:r w:rsidRPr="00ED73CC">
        <w:t>PCR-based MSI test or</w:t>
      </w:r>
      <w:r>
        <w:t xml:space="preserve">, in the near future, </w:t>
      </w:r>
      <w:r w:rsidRPr="00ED73CC">
        <w:t>a</w:t>
      </w:r>
      <w:r w:rsidR="00BC4309">
        <w:t>n</w:t>
      </w:r>
      <w:r w:rsidRPr="00ED73CC">
        <w:t xml:space="preserve"> NGS MSI comput</w:t>
      </w:r>
      <w:r>
        <w:t>ational</w:t>
      </w:r>
      <w:r w:rsidRPr="00ED73CC">
        <w:t xml:space="preserve"> algorithm</w:t>
      </w:r>
      <w:r>
        <w:t xml:space="preserve">. </w:t>
      </w:r>
      <w:r w:rsidRPr="00237849">
        <w:rPr>
          <w:b/>
        </w:rPr>
        <w:t>(Recommendation 6)</w:t>
      </w:r>
    </w:p>
    <w:p w14:paraId="03E4018F" w14:textId="67B70395" w:rsidR="00A61C34" w:rsidRPr="00452DF6" w:rsidRDefault="006D37EF" w:rsidP="00AA13B3">
      <w:pPr>
        <w:pStyle w:val="Heading3"/>
        <w:spacing w:line="312" w:lineRule="auto"/>
      </w:pPr>
      <w:bookmarkStart w:id="65" w:name="_Toc29557665"/>
      <w:r w:rsidRPr="00452DF6">
        <w:t>Analytical validity</w:t>
      </w:r>
      <w:bookmarkEnd w:id="65"/>
    </w:p>
    <w:p w14:paraId="5D1C76DB" w14:textId="2E711F5F" w:rsidR="00603264" w:rsidRPr="00452DF6" w:rsidRDefault="00603264" w:rsidP="00AA13B3">
      <w:pPr>
        <w:spacing w:after="240" w:line="312" w:lineRule="auto"/>
      </w:pPr>
      <w:r w:rsidRPr="00452DF6">
        <w:t xml:space="preserve">Analytical validity </w:t>
      </w:r>
      <w:r w:rsidR="008879E9" w:rsidRPr="00452DF6">
        <w:t xml:space="preserve">(sensitivity and specificity) </w:t>
      </w:r>
      <w:r w:rsidR="00E03B9F">
        <w:t xml:space="preserve">refers to the </w:t>
      </w:r>
      <w:r w:rsidRPr="00452DF6">
        <w:t xml:space="preserve">assessment of </w:t>
      </w:r>
      <w:r w:rsidR="00BD3580" w:rsidRPr="00452DF6">
        <w:t>a test</w:t>
      </w:r>
      <w:r w:rsidRPr="00452DF6">
        <w:t xml:space="preserve"> against an accepted reference standard</w:t>
      </w:r>
      <w:r w:rsidR="00E03B9F">
        <w:t>. A true or ‘gold’ reference standard</w:t>
      </w:r>
      <w:r w:rsidR="00BD3580" w:rsidRPr="00452DF6">
        <w:t xml:space="preserve"> enables patients who have the target condition or clinical information of interest to be distinguished from those who do not.</w:t>
      </w:r>
      <w:r w:rsidR="00E03B9F">
        <w:t xml:space="preserve"> However, </w:t>
      </w:r>
      <w:r w:rsidR="00DF55B4">
        <w:t>for</w:t>
      </w:r>
      <w:r w:rsidR="00E03B9F">
        <w:t xml:space="preserve"> most </w:t>
      </w:r>
      <w:r w:rsidR="00085B22">
        <w:t xml:space="preserve">genetic companion tests, </w:t>
      </w:r>
      <w:r w:rsidR="00E03B9F">
        <w:t>the reference standard is either imperfect or an evidentiary standard is used as no true reference standard can be identified.</w:t>
      </w:r>
    </w:p>
    <w:p w14:paraId="3B5E84D4" w14:textId="2423D080" w:rsidR="00EB40D1" w:rsidRDefault="0038568D" w:rsidP="00B57C3C">
      <w:pPr>
        <w:spacing w:after="240" w:line="312" w:lineRule="auto"/>
      </w:pPr>
      <w:r w:rsidRPr="00452DF6">
        <w:t xml:space="preserve">In the case of </w:t>
      </w:r>
      <w:r w:rsidR="00C635B1">
        <w:t>dMMR</w:t>
      </w:r>
      <w:r w:rsidR="007E3160">
        <w:t xml:space="preserve"> IHC</w:t>
      </w:r>
      <w:r w:rsidR="00C635B1">
        <w:t xml:space="preserve"> testing </w:t>
      </w:r>
      <w:r w:rsidR="004436D3">
        <w:t>of</w:t>
      </w:r>
      <w:r w:rsidR="003024D6">
        <w:t xml:space="preserve"> </w:t>
      </w:r>
      <w:r w:rsidR="00C635B1">
        <w:t>CRC</w:t>
      </w:r>
      <w:r w:rsidRPr="00452DF6">
        <w:t xml:space="preserve">, </w:t>
      </w:r>
      <w:r w:rsidR="0058525D" w:rsidRPr="00452DF6">
        <w:t>r</w:t>
      </w:r>
      <w:r w:rsidR="00BD3580" w:rsidRPr="00452DF6">
        <w:t xml:space="preserve">easonable analytical validity in determining </w:t>
      </w:r>
      <w:r w:rsidR="001B49F1">
        <w:t xml:space="preserve">the </w:t>
      </w:r>
      <w:r w:rsidR="00BD3580" w:rsidRPr="00452DF6">
        <w:t xml:space="preserve">dMMR </w:t>
      </w:r>
      <w:r w:rsidR="001B49F1">
        <w:t xml:space="preserve">phenotype </w:t>
      </w:r>
      <w:r w:rsidR="00BD3580" w:rsidRPr="00452DF6">
        <w:t xml:space="preserve">and eligibility for pembrolizumab might be assumed, </w:t>
      </w:r>
      <w:r w:rsidR="0058525D" w:rsidRPr="00452DF6">
        <w:t>given the routine nature of the test for CRC</w:t>
      </w:r>
      <w:r w:rsidR="00C635B1">
        <w:t xml:space="preserve">, </w:t>
      </w:r>
      <w:r w:rsidR="004436D3">
        <w:t xml:space="preserve">even though </w:t>
      </w:r>
      <w:r w:rsidR="004436D3" w:rsidRPr="004436D3">
        <w:t xml:space="preserve">there has been no formal </w:t>
      </w:r>
      <w:r w:rsidR="004436D3">
        <w:t xml:space="preserve">MSAC </w:t>
      </w:r>
      <w:r w:rsidR="004436D3" w:rsidRPr="004436D3">
        <w:t>evaluation</w:t>
      </w:r>
      <w:r w:rsidR="00E03B9F">
        <w:t xml:space="preserve"> of this test</w:t>
      </w:r>
      <w:r w:rsidR="005B61BF">
        <w:t xml:space="preserve"> and it is not currently subjected to a QAP</w:t>
      </w:r>
      <w:r w:rsidR="004436D3">
        <w:t>.</w:t>
      </w:r>
      <w:r w:rsidR="004436D3" w:rsidRPr="004436D3">
        <w:t xml:space="preserve"> </w:t>
      </w:r>
      <w:r w:rsidR="005B61BF" w:rsidRPr="005B61BF">
        <w:t>The RCPA C</w:t>
      </w:r>
      <w:r w:rsidR="005B61BF">
        <w:t>R</w:t>
      </w:r>
      <w:r w:rsidR="005B61BF" w:rsidRPr="005B61BF">
        <w:t>C</w:t>
      </w:r>
      <w:r w:rsidR="005B61BF">
        <w:t xml:space="preserve"> structured reporting protocol </w:t>
      </w:r>
      <w:r w:rsidR="00F77139">
        <w:fldChar w:fldCharType="begin"/>
      </w:r>
      <w:r w:rsidR="00F77139">
        <w:instrText xml:space="preserve"> ADDIN EN.CITE &lt;EndNote&gt;&lt;Cite&gt;&lt;Author&gt;RCPA&lt;/Author&gt;&lt;Year&gt;2016&lt;/Year&gt;&lt;RecNum&gt;15&lt;/RecNum&gt;&lt;DisplayText&gt;(RCPA 2016)&lt;/DisplayText&gt;&lt;record&gt;&lt;rec-number&gt;15&lt;/rec-number&gt;&lt;foreign-keys&gt;&lt;key app="EN" db-id="20rafrsx2d50edew5w15fz0q0dvfzstzed55" timestamp="1510102743"&gt;15&lt;/key&gt;&lt;/foreign-keys&gt;&lt;ref-type name="Report"&gt;27&lt;/ref-type&gt;&lt;contributors&gt;&lt;authors&gt;&lt;author&gt;RCPA&lt;/author&gt;&lt;/authors&gt;&lt;/contributors&gt;&lt;titles&gt;&lt;title&gt;Colorectal Cancer Structured Reporting Protocol. 3rd Edition.&lt;/title&gt;&lt;/titles&gt;&lt;dates&gt;&lt;year&gt;2016&lt;/year&gt;&lt;/dates&gt;&lt;pub-location&gt;Surry Hills, NSW 2010, Australia&lt;/pub-location&gt;&lt;publisher&gt;The Royal College of Pathologists of Australasia&lt;/publisher&gt;&lt;urls&gt;&lt;/urls&gt;&lt;/record&gt;&lt;/Cite&gt;&lt;/EndNote&gt;</w:instrText>
      </w:r>
      <w:r w:rsidR="00F77139">
        <w:fldChar w:fldCharType="separate"/>
      </w:r>
      <w:r w:rsidR="00F77139">
        <w:rPr>
          <w:noProof/>
        </w:rPr>
        <w:t>(RCPA 2016)</w:t>
      </w:r>
      <w:r w:rsidR="00F77139">
        <w:fldChar w:fldCharType="end"/>
      </w:r>
      <w:r w:rsidR="005B61BF" w:rsidRPr="005B61BF">
        <w:t xml:space="preserve"> only includes </w:t>
      </w:r>
      <w:r w:rsidR="005B61BF" w:rsidRPr="00686BA8">
        <w:rPr>
          <w:i/>
        </w:rPr>
        <w:t>KRAS</w:t>
      </w:r>
      <w:r w:rsidR="005B61BF" w:rsidRPr="005B61BF">
        <w:t xml:space="preserve"> and </w:t>
      </w:r>
      <w:r w:rsidR="005B61BF" w:rsidRPr="00686BA8">
        <w:rPr>
          <w:i/>
        </w:rPr>
        <w:t>NRAS</w:t>
      </w:r>
      <w:r w:rsidR="005B61BF" w:rsidRPr="005B61BF">
        <w:t xml:space="preserve"> tests (consistent with current PBS restrictions for panitumumab and cetuximab). </w:t>
      </w:r>
      <w:r w:rsidR="00EB40D1">
        <w:t xml:space="preserve">Additionally, the </w:t>
      </w:r>
      <w:r w:rsidR="005B61BF" w:rsidRPr="005B61BF">
        <w:t xml:space="preserve">RCPA currently offers QAPs for IHC testing for specific indications </w:t>
      </w:r>
      <w:r w:rsidR="00EB40D1">
        <w:t>for</w:t>
      </w:r>
      <w:r w:rsidR="005B61BF" w:rsidRPr="005B61BF">
        <w:t xml:space="preserve"> breast </w:t>
      </w:r>
      <w:r w:rsidR="00EB40D1">
        <w:t xml:space="preserve">cancer </w:t>
      </w:r>
      <w:r w:rsidR="005B61BF" w:rsidRPr="005B61BF">
        <w:t>and lymphom</w:t>
      </w:r>
      <w:r w:rsidR="005B61BF">
        <w:t xml:space="preserve">a </w:t>
      </w:r>
      <w:r w:rsidR="005B61BF">
        <w:lastRenderedPageBreak/>
        <w:t>but not CRC</w:t>
      </w:r>
      <w:r w:rsidR="00EB40D1">
        <w:rPr>
          <w:rStyle w:val="FootnoteReference"/>
        </w:rPr>
        <w:footnoteReference w:id="3"/>
      </w:r>
      <w:r w:rsidR="005B61BF">
        <w:t>.</w:t>
      </w:r>
      <w:r w:rsidR="00EB40D1">
        <w:t xml:space="preserve"> It should also be noted that dMMR IHC testing is not used as a stand-alone test for the diagnosis of Lynch syndrome. </w:t>
      </w:r>
      <w:r w:rsidR="00EB40D1" w:rsidRPr="00EB40D1">
        <w:t xml:space="preserve">Confirmatory </w:t>
      </w:r>
      <w:r w:rsidR="00DF55B4">
        <w:t>DNA sequencing</w:t>
      </w:r>
      <w:r w:rsidR="00EB40D1" w:rsidRPr="00EB40D1">
        <w:t xml:space="preserve"> is usually undertaken to </w:t>
      </w:r>
      <w:r w:rsidR="00EB40D1">
        <w:t>identify a germline DNA mutation.</w:t>
      </w:r>
    </w:p>
    <w:p w14:paraId="550A0A59" w14:textId="5B4C8EFD" w:rsidR="00B57C3C" w:rsidRDefault="00B57C3C" w:rsidP="00B57C3C">
      <w:pPr>
        <w:spacing w:after="240" w:line="312" w:lineRule="auto"/>
      </w:pPr>
      <w:r>
        <w:t>Th</w:t>
      </w:r>
      <w:r w:rsidR="00EB40D1">
        <w:t>e</w:t>
      </w:r>
      <w:r>
        <w:t xml:space="preserve"> </w:t>
      </w:r>
      <w:r w:rsidR="00EB40D1">
        <w:t>importance of</w:t>
      </w:r>
      <w:r w:rsidRPr="00452DF6">
        <w:t xml:space="preserve"> a QAP</w:t>
      </w:r>
      <w:r w:rsidRPr="00B57C3C">
        <w:t xml:space="preserve"> </w:t>
      </w:r>
      <w:r>
        <w:t xml:space="preserve">with </w:t>
      </w:r>
      <w:r w:rsidRPr="00B57C3C">
        <w:t>detailed laboratory procedures</w:t>
      </w:r>
      <w:r>
        <w:t xml:space="preserve"> to </w:t>
      </w:r>
      <w:r w:rsidR="00EB40D1">
        <w:t xml:space="preserve">train and </w:t>
      </w:r>
      <w:r>
        <w:t>guide pathologists</w:t>
      </w:r>
      <w:r w:rsidR="00EB40D1">
        <w:t xml:space="preserve"> can be illustrated using</w:t>
      </w:r>
      <w:r w:rsidRPr="007E5614">
        <w:t xml:space="preserve"> dMMR IHC testing</w:t>
      </w:r>
      <w:r w:rsidR="00085B22">
        <w:t xml:space="preserve"> as an example</w:t>
      </w:r>
      <w:r>
        <w:t>.</w:t>
      </w:r>
      <w:r w:rsidRPr="007E5614">
        <w:t xml:space="preserve"> </w:t>
      </w:r>
      <w:r>
        <w:t xml:space="preserve">The dMMR phenotype is identified by </w:t>
      </w:r>
      <w:r w:rsidRPr="007E5614">
        <w:t xml:space="preserve">the absence of an MMR protein </w:t>
      </w:r>
      <w:r>
        <w:t>leading to faulty DNA repair. Thus</w:t>
      </w:r>
      <w:r w:rsidRPr="007E5614">
        <w:t xml:space="preserve">, </w:t>
      </w:r>
      <w:r>
        <w:t>negative staining</w:t>
      </w:r>
      <w:r w:rsidRPr="007E5614">
        <w:t xml:space="preserve"> represents a </w:t>
      </w:r>
      <w:r w:rsidRPr="00DF55B4">
        <w:rPr>
          <w:i/>
        </w:rPr>
        <w:t>positive</w:t>
      </w:r>
      <w:r w:rsidRPr="007E5614">
        <w:t xml:space="preserve"> </w:t>
      </w:r>
      <w:r>
        <w:t xml:space="preserve">dMMR </w:t>
      </w:r>
      <w:r w:rsidRPr="007E5614">
        <w:t xml:space="preserve">test result. Lack of adequate training and </w:t>
      </w:r>
      <w:r w:rsidR="00FD77A5" w:rsidRPr="00FD77A5">
        <w:t xml:space="preserve">reporting guidelines </w:t>
      </w:r>
      <w:r w:rsidRPr="007E5614">
        <w:t>could lead to negative staining being incorrectly reported as a negative test result</w:t>
      </w:r>
      <w:r>
        <w:t xml:space="preserve">. In fact, the feedback on MSAC </w:t>
      </w:r>
      <w:r w:rsidR="005F59A7">
        <w:t>A</w:t>
      </w:r>
      <w:r>
        <w:t xml:space="preserve">pplication 1508 received from </w:t>
      </w:r>
      <w:r w:rsidRPr="007E5614">
        <w:t>Lynch Syndrome Australia</w:t>
      </w:r>
      <w:r w:rsidR="00DF55B4">
        <w:rPr>
          <w:rStyle w:val="FootnoteReference"/>
        </w:rPr>
        <w:footnoteReference w:id="4"/>
      </w:r>
      <w:r w:rsidRPr="007E5614">
        <w:t xml:space="preserve"> </w:t>
      </w:r>
      <w:r>
        <w:t>indicated that</w:t>
      </w:r>
      <w:r w:rsidRPr="007E5614">
        <w:t xml:space="preserve"> in their experience, </w:t>
      </w:r>
      <w:r w:rsidR="00FD77A5" w:rsidRPr="00FD77A5">
        <w:t xml:space="preserve">pathologists and/or </w:t>
      </w:r>
      <w:r w:rsidRPr="007E5614">
        <w:t xml:space="preserve">clinicians </w:t>
      </w:r>
      <w:r>
        <w:t xml:space="preserve">do </w:t>
      </w:r>
      <w:r w:rsidRPr="007E5614">
        <w:t xml:space="preserve">misinterpret the ‘negative result’ of a </w:t>
      </w:r>
      <w:r w:rsidR="006345C9">
        <w:t>d</w:t>
      </w:r>
      <w:r w:rsidRPr="007E5614">
        <w:t>MMR test (i.e., indicating loss of staining in proteins</w:t>
      </w:r>
      <w:r w:rsidR="00FD77A5" w:rsidRPr="00FD77A5">
        <w:t xml:space="preserve"> and the dMMR phenotype</w:t>
      </w:r>
      <w:r w:rsidRPr="007E5614">
        <w:t xml:space="preserve">) as a </w:t>
      </w:r>
      <w:r w:rsidR="006345C9">
        <w:t>negative</w:t>
      </w:r>
      <w:r w:rsidRPr="007E5614">
        <w:t xml:space="preserve"> re</w:t>
      </w:r>
      <w:r>
        <w:t>sult requiring no further action</w:t>
      </w:r>
      <w:r w:rsidRPr="007E5614">
        <w:t xml:space="preserve">. </w:t>
      </w:r>
      <w:r>
        <w:t>This has serious implications for test accuracy and the proportion of patients who would receive false positive a</w:t>
      </w:r>
      <w:r w:rsidR="00686BA8">
        <w:t>nd false negative test results.</w:t>
      </w:r>
    </w:p>
    <w:p w14:paraId="7D3BC880" w14:textId="459A17FB" w:rsidR="00B57C3C" w:rsidRPr="00452DF6" w:rsidRDefault="00B57C3C" w:rsidP="00B57C3C">
      <w:pPr>
        <w:spacing w:after="240" w:line="312" w:lineRule="auto"/>
      </w:pPr>
      <w:r w:rsidRPr="007E5614">
        <w:t>Th</w:t>
      </w:r>
      <w:r>
        <w:t>erefore,</w:t>
      </w:r>
      <w:r w:rsidRPr="007E5614">
        <w:t xml:space="preserve"> </w:t>
      </w:r>
      <w:r w:rsidR="00FD77A5" w:rsidRPr="00FD77A5">
        <w:t xml:space="preserve">in addition to the implementation of a QAP, </w:t>
      </w:r>
      <w:r w:rsidRPr="007E5614">
        <w:t>appropriate training of pathologists</w:t>
      </w:r>
      <w:r w:rsidR="00FD77A5" w:rsidRPr="00FD77A5">
        <w:t xml:space="preserve"> and clear reporting guidelines should</w:t>
      </w:r>
      <w:r>
        <w:t xml:space="preserve"> be</w:t>
      </w:r>
      <w:r w:rsidRPr="007E5614">
        <w:t xml:space="preserve"> </w:t>
      </w:r>
      <w:r w:rsidR="00FD77A5">
        <w:t>mandated</w:t>
      </w:r>
      <w:r>
        <w:t xml:space="preserve"> before implementation of </w:t>
      </w:r>
      <w:r w:rsidR="00085B22">
        <w:t xml:space="preserve">pan-tumour </w:t>
      </w:r>
      <w:r>
        <w:t xml:space="preserve">dMMR IHC testing </w:t>
      </w:r>
      <w:r w:rsidR="00FD77A5">
        <w:t>to determine</w:t>
      </w:r>
      <w:r>
        <w:t xml:space="preserve"> access to pembrolizumab, even though the test is already widely used in current clinical practice</w:t>
      </w:r>
      <w:r w:rsidR="00085B22">
        <w:t xml:space="preserve"> for detecting Lynch Syndrome</w:t>
      </w:r>
      <w:r>
        <w:t>.</w:t>
      </w:r>
      <w:r w:rsidR="00FD77A5" w:rsidRPr="00FD77A5">
        <w:t xml:space="preserve"> The reporting guidelines should provide a uniform and unambiguous way of reporting dMMR results to the clinicians.</w:t>
      </w:r>
    </w:p>
    <w:p w14:paraId="28089A55" w14:textId="1DD572FA" w:rsidR="004436D3" w:rsidRDefault="006345C9" w:rsidP="00C635B1">
      <w:pPr>
        <w:spacing w:after="240" w:line="312" w:lineRule="auto"/>
      </w:pPr>
      <w:r>
        <w:t>Hence</w:t>
      </w:r>
      <w:r w:rsidR="00911AEF">
        <w:t xml:space="preserve">, </w:t>
      </w:r>
      <w:r w:rsidR="00BF7514">
        <w:t>any</w:t>
      </w:r>
      <w:r w:rsidR="00E5725C">
        <w:t xml:space="preserve"> studies that provide</w:t>
      </w:r>
      <w:r w:rsidR="00BF7514">
        <w:t xml:space="preserve"> data to assess the analytical validity of dMMR </w:t>
      </w:r>
      <w:r w:rsidR="007E3160">
        <w:t xml:space="preserve">IHC </w:t>
      </w:r>
      <w:r w:rsidR="00BF7514">
        <w:t xml:space="preserve">testing </w:t>
      </w:r>
      <w:r w:rsidR="00E5725C">
        <w:t xml:space="preserve">compared with the </w:t>
      </w:r>
      <w:r w:rsidR="00FD77A5">
        <w:t xml:space="preserve">two </w:t>
      </w:r>
      <w:r>
        <w:t>potential reference standards that have been identified</w:t>
      </w:r>
      <w:r w:rsidR="00E5725C">
        <w:t xml:space="preserve"> </w:t>
      </w:r>
      <w:r w:rsidR="00FD77A5" w:rsidRPr="00FD77A5">
        <w:t xml:space="preserve">for the pan-tumour application </w:t>
      </w:r>
      <w:r w:rsidR="00BF7514">
        <w:t xml:space="preserve">should be provided, as it will </w:t>
      </w:r>
      <w:r w:rsidR="00E5725C">
        <w:t>enable</w:t>
      </w:r>
      <w:r w:rsidR="00BF7514">
        <w:t xml:space="preserve"> </w:t>
      </w:r>
      <w:r w:rsidR="00E5725C">
        <w:t>an</w:t>
      </w:r>
      <w:r w:rsidR="00BF7514">
        <w:t xml:space="preserve"> assessment of </w:t>
      </w:r>
      <w:r w:rsidR="00085B22">
        <w:t xml:space="preserve">rates of </w:t>
      </w:r>
      <w:r w:rsidR="00BF7514">
        <w:t>f</w:t>
      </w:r>
      <w:r w:rsidR="00BF7514" w:rsidRPr="00BF7514">
        <w:t xml:space="preserve">alse positive and false negative </w:t>
      </w:r>
      <w:r w:rsidR="00085B22">
        <w:t>test results</w:t>
      </w:r>
      <w:r w:rsidR="00BF7514">
        <w:t>.</w:t>
      </w:r>
      <w:r w:rsidR="006150D6">
        <w:t xml:space="preserve"> These are important for determining any adverse health outcomes associated with the test when used to direct treatment with pembrolizumab.</w:t>
      </w:r>
    </w:p>
    <w:p w14:paraId="6D15827F" w14:textId="25F2C65B" w:rsidR="004436D3" w:rsidRDefault="00911AEF" w:rsidP="004436D3">
      <w:pPr>
        <w:spacing w:after="240" w:line="312" w:lineRule="auto"/>
      </w:pPr>
      <w:r>
        <w:t>It should be noted that</w:t>
      </w:r>
      <w:r w:rsidR="0058525D" w:rsidRPr="00452DF6">
        <w:t xml:space="preserve"> </w:t>
      </w:r>
      <w:r w:rsidR="008A2310">
        <w:t xml:space="preserve">even if MSAC considers dMMR </w:t>
      </w:r>
      <w:r w:rsidR="007E3160">
        <w:t xml:space="preserve">IHC </w:t>
      </w:r>
      <w:r w:rsidR="008A2310">
        <w:t>testing to have acceptable analytical validity</w:t>
      </w:r>
      <w:r w:rsidR="000430DA" w:rsidRPr="000430DA">
        <w:t xml:space="preserve"> </w:t>
      </w:r>
      <w:r w:rsidR="000430DA">
        <w:t>for CRC</w:t>
      </w:r>
      <w:r w:rsidR="008A2310">
        <w:t>,</w:t>
      </w:r>
      <w:r w:rsidR="008A2310" w:rsidRPr="00BF7514">
        <w:t xml:space="preserve"> </w:t>
      </w:r>
      <w:r w:rsidR="00BF7514" w:rsidRPr="00BF7514">
        <w:t xml:space="preserve">reasonable analytical validity </w:t>
      </w:r>
      <w:r w:rsidR="00BF7514">
        <w:t xml:space="preserve">cannot </w:t>
      </w:r>
      <w:r w:rsidR="00686BA8">
        <w:t xml:space="preserve">necessarily </w:t>
      </w:r>
      <w:r w:rsidR="00BF7514">
        <w:t xml:space="preserve">be assumed </w:t>
      </w:r>
      <w:r w:rsidR="00C635B1">
        <w:t xml:space="preserve">for </w:t>
      </w:r>
      <w:r>
        <w:t xml:space="preserve">the </w:t>
      </w:r>
      <w:r w:rsidR="00C635B1">
        <w:t>pan-tumour application</w:t>
      </w:r>
      <w:r w:rsidR="00686BA8">
        <w:t>, and it</w:t>
      </w:r>
      <w:r w:rsidR="00B70034">
        <w:t xml:space="preserve"> would be appropriate to assess whether</w:t>
      </w:r>
      <w:r w:rsidR="004436D3">
        <w:t xml:space="preserve"> the test could have altered sensitivity across different tumour types. I</w:t>
      </w:r>
      <w:r w:rsidR="004436D3" w:rsidRPr="00C635B1">
        <w:t>nherent differences in tumo</w:t>
      </w:r>
      <w:r w:rsidR="004436D3">
        <w:t>u</w:t>
      </w:r>
      <w:r w:rsidR="004436D3" w:rsidRPr="00C635B1">
        <w:t>r biology</w:t>
      </w:r>
      <w:r w:rsidR="004436D3">
        <w:t xml:space="preserve"> may result in altered expression levels of the biomarker, and/or expression of other proteins that interfere with detection of the biomarker.</w:t>
      </w:r>
      <w:r w:rsidR="00FD77A5" w:rsidRPr="00FD77A5">
        <w:t xml:space="preserve"> Tissue fixation and processing variables, especially with large surgical samples, may also result in differential IHC staining in different tumour types. This can affect any biomarker that is detected using an IHC test.</w:t>
      </w:r>
    </w:p>
    <w:p w14:paraId="3A20687E" w14:textId="32324103" w:rsidR="00C635B1" w:rsidRPr="00452DF6" w:rsidRDefault="008A2310" w:rsidP="00B57C3C">
      <w:pPr>
        <w:spacing w:after="240" w:line="312" w:lineRule="auto"/>
      </w:pPr>
      <w:r>
        <w:t>Thus, s</w:t>
      </w:r>
      <w:r w:rsidR="00BD3580" w:rsidRPr="00452DF6">
        <w:t xml:space="preserve">ome data on the accuracy of the test </w:t>
      </w:r>
      <w:r w:rsidR="00AF25B3">
        <w:t>across</w:t>
      </w:r>
      <w:r w:rsidR="00BD3580" w:rsidRPr="00452DF6">
        <w:t xml:space="preserve"> tumour types should be provided </w:t>
      </w:r>
      <w:r w:rsidR="00F66AF2">
        <w:t xml:space="preserve">in Section B3 </w:t>
      </w:r>
      <w:r w:rsidR="00CB3A61">
        <w:t xml:space="preserve">of the assessment </w:t>
      </w:r>
      <w:r w:rsidR="00BD3580" w:rsidRPr="00452DF6">
        <w:t xml:space="preserve">to demonstrate </w:t>
      </w:r>
      <w:r w:rsidR="00AF25B3">
        <w:t>that the test performance is consistent, or if not</w:t>
      </w:r>
      <w:r w:rsidR="00CF3D13">
        <w:t>,</w:t>
      </w:r>
      <w:r w:rsidR="00AF25B3">
        <w:t xml:space="preserve"> to identify when other testing measures are required</w:t>
      </w:r>
      <w:r w:rsidR="00DF55B4">
        <w:t>,</w:t>
      </w:r>
      <w:r w:rsidR="00AF25B3">
        <w:t xml:space="preserve"> e</w:t>
      </w:r>
      <w:r w:rsidR="00DF55B4">
        <w:t>.</w:t>
      </w:r>
      <w:r w:rsidR="00AF25B3">
        <w:t>g</w:t>
      </w:r>
      <w:r w:rsidR="00DF55B4">
        <w:t>.</w:t>
      </w:r>
      <w:r w:rsidR="00AF25B3">
        <w:t xml:space="preserve"> diagnostic thresholds, at-risk patient populations</w:t>
      </w:r>
      <w:r w:rsidR="005811F6">
        <w:t>,</w:t>
      </w:r>
      <w:r w:rsidR="00AF25B3">
        <w:t xml:space="preserve"> etc.</w:t>
      </w:r>
      <w:r w:rsidR="00356791">
        <w:t xml:space="preserve"> </w:t>
      </w:r>
      <w:r w:rsidR="00085B22" w:rsidRPr="00237849">
        <w:rPr>
          <w:b/>
        </w:rPr>
        <w:lastRenderedPageBreak/>
        <w:t xml:space="preserve">(Recommendation </w:t>
      </w:r>
      <w:r w:rsidR="009570CA" w:rsidRPr="00237849">
        <w:rPr>
          <w:b/>
        </w:rPr>
        <w:t>7</w:t>
      </w:r>
      <w:r w:rsidR="00085B22" w:rsidRPr="00237849">
        <w:rPr>
          <w:b/>
        </w:rPr>
        <w:t>)</w:t>
      </w:r>
      <w:r w:rsidR="00085B22">
        <w:t xml:space="preserve"> </w:t>
      </w:r>
      <w:r w:rsidR="00C635B1" w:rsidRPr="00452DF6">
        <w:t xml:space="preserve">To support the analytical validity of dMMR </w:t>
      </w:r>
      <w:r w:rsidR="007E3160" w:rsidRPr="00452DF6">
        <w:t xml:space="preserve">IHC </w:t>
      </w:r>
      <w:r w:rsidR="00C635B1" w:rsidRPr="00452DF6">
        <w:t>testing</w:t>
      </w:r>
      <w:r w:rsidR="00C635B1">
        <w:t xml:space="preserve"> for both CRC and </w:t>
      </w:r>
      <w:r w:rsidR="00356791">
        <w:t xml:space="preserve">other </w:t>
      </w:r>
      <w:r w:rsidR="00C635B1">
        <w:t>tumour</w:t>
      </w:r>
      <w:r>
        <w:t>s</w:t>
      </w:r>
      <w:r w:rsidR="00C635B1" w:rsidRPr="00452DF6">
        <w:t xml:space="preserve">, the </w:t>
      </w:r>
      <w:r>
        <w:t>assessments</w:t>
      </w:r>
      <w:r w:rsidRPr="00452DF6">
        <w:t xml:space="preserve"> </w:t>
      </w:r>
      <w:r w:rsidR="00C635B1" w:rsidRPr="00452DF6">
        <w:t>would need to include:</w:t>
      </w:r>
    </w:p>
    <w:p w14:paraId="08558650" w14:textId="23E22CA7" w:rsidR="00C635B1" w:rsidRDefault="00C635B1" w:rsidP="0026448E">
      <w:pPr>
        <w:numPr>
          <w:ilvl w:val="0"/>
          <w:numId w:val="8"/>
        </w:numPr>
        <w:spacing w:after="240" w:line="312" w:lineRule="auto"/>
        <w:ind w:left="431" w:hanging="352"/>
        <w:contextualSpacing/>
      </w:pPr>
      <w:r w:rsidRPr="00452DF6">
        <w:t>False positive and false negative rates</w:t>
      </w:r>
      <w:r w:rsidR="00DB2350">
        <w:t xml:space="preserve"> against all reference </w:t>
      </w:r>
      <w:r w:rsidR="00914BA3">
        <w:t>and</w:t>
      </w:r>
      <w:r w:rsidR="00DB2350">
        <w:t xml:space="preserve"> evidentiary standards</w:t>
      </w:r>
    </w:p>
    <w:p w14:paraId="540E6B0D" w14:textId="66EF5806" w:rsidR="00C635B1" w:rsidRPr="00452DF6" w:rsidRDefault="00C635B1" w:rsidP="0026448E">
      <w:pPr>
        <w:numPr>
          <w:ilvl w:val="0"/>
          <w:numId w:val="8"/>
        </w:numPr>
        <w:spacing w:after="240" w:line="312" w:lineRule="auto"/>
        <w:ind w:left="431" w:hanging="352"/>
        <w:contextualSpacing/>
      </w:pPr>
      <w:r w:rsidRPr="00452DF6">
        <w:t xml:space="preserve">Detailed laboratory procedures for dMMR </w:t>
      </w:r>
      <w:r w:rsidR="007E3160" w:rsidRPr="00452DF6">
        <w:t xml:space="preserve">IHC </w:t>
      </w:r>
      <w:r w:rsidRPr="00452DF6">
        <w:t>testing and associated QAP</w:t>
      </w:r>
      <w:r w:rsidR="00E5725C">
        <w:t>s</w:t>
      </w:r>
      <w:r w:rsidR="007E5614">
        <w:t xml:space="preserve"> to ensur</w:t>
      </w:r>
      <w:r w:rsidR="00302275">
        <w:t>e correct reporting of results</w:t>
      </w:r>
    </w:p>
    <w:p w14:paraId="482DB035" w14:textId="44151774" w:rsidR="00C635B1" w:rsidRDefault="00C635B1" w:rsidP="0026448E">
      <w:pPr>
        <w:numPr>
          <w:ilvl w:val="0"/>
          <w:numId w:val="8"/>
        </w:numPr>
        <w:spacing w:after="240" w:line="312" w:lineRule="auto"/>
        <w:ind w:left="431" w:hanging="352"/>
      </w:pPr>
      <w:r w:rsidRPr="00452DF6">
        <w:t xml:space="preserve">Number needed to test </w:t>
      </w:r>
      <w:r w:rsidR="00E16215">
        <w:t>in</w:t>
      </w:r>
      <w:r w:rsidRPr="00452DF6">
        <w:t xml:space="preserve"> the defined population</w:t>
      </w:r>
      <w:r w:rsidR="008A2310">
        <w:t>s</w:t>
      </w:r>
      <w:r w:rsidRPr="00452DF6">
        <w:t xml:space="preserve"> to detect one </w:t>
      </w:r>
      <w:r w:rsidR="00302275">
        <w:t xml:space="preserve">true positive </w:t>
      </w:r>
      <w:r w:rsidRPr="00452DF6">
        <w:t>case of dMMR CRC</w:t>
      </w:r>
      <w:r w:rsidR="008A2310">
        <w:t xml:space="preserve"> or dMMR </w:t>
      </w:r>
      <w:r w:rsidR="00085B22">
        <w:t xml:space="preserve">in other </w:t>
      </w:r>
      <w:r w:rsidR="008A2310">
        <w:t>tumour</w:t>
      </w:r>
      <w:r w:rsidR="00085B22">
        <w:t>s</w:t>
      </w:r>
      <w:r w:rsidRPr="00452DF6">
        <w:t>.</w:t>
      </w:r>
    </w:p>
    <w:p w14:paraId="1BCDBCF8" w14:textId="77777777" w:rsidR="00ED65EE" w:rsidRPr="00452DF6" w:rsidRDefault="00ED65EE" w:rsidP="00AA13B3">
      <w:pPr>
        <w:pStyle w:val="Heading3"/>
        <w:spacing w:line="312" w:lineRule="auto"/>
      </w:pPr>
      <w:bookmarkStart w:id="66" w:name="_Toc29557666"/>
      <w:r w:rsidRPr="00452DF6">
        <w:t>Extended assessment of reliability evidence</w:t>
      </w:r>
      <w:bookmarkEnd w:id="66"/>
    </w:p>
    <w:p w14:paraId="3ED73628" w14:textId="2E6761BE" w:rsidR="00C635B1" w:rsidRPr="00C635B1" w:rsidRDefault="00C635B1" w:rsidP="00AA13B3">
      <w:pPr>
        <w:spacing w:after="240" w:line="312" w:lineRule="auto"/>
        <w:rPr>
          <w:szCs w:val="24"/>
        </w:rPr>
      </w:pPr>
      <w:r>
        <w:rPr>
          <w:szCs w:val="24"/>
        </w:rPr>
        <w:t xml:space="preserve">Evidence of the reliability of the test should be supplied as described in Section B3.7 of the </w:t>
      </w:r>
      <w:r w:rsidR="00085B22">
        <w:rPr>
          <w:szCs w:val="24"/>
        </w:rPr>
        <w:t xml:space="preserve">MSAC </w:t>
      </w:r>
      <w:r w:rsidR="00CB3A61">
        <w:t>Technical Guidelines for Investigative Services</w:t>
      </w:r>
      <w:r>
        <w:rPr>
          <w:szCs w:val="24"/>
        </w:rPr>
        <w:t xml:space="preserve">. </w:t>
      </w:r>
      <w:r w:rsidRPr="00C635B1">
        <w:rPr>
          <w:szCs w:val="24"/>
        </w:rPr>
        <w:t xml:space="preserve">Evidence on test </w:t>
      </w:r>
      <w:r>
        <w:rPr>
          <w:szCs w:val="24"/>
        </w:rPr>
        <w:t>inter-rater reproducibility may also be available from a reliable QAP.</w:t>
      </w:r>
      <w:r w:rsidRPr="00C635B1">
        <w:rPr>
          <w:szCs w:val="24"/>
        </w:rPr>
        <w:t xml:space="preserve"> </w:t>
      </w:r>
      <w:r>
        <w:rPr>
          <w:szCs w:val="24"/>
        </w:rPr>
        <w:t>Test reproducibility</w:t>
      </w:r>
      <w:r w:rsidRPr="00452DF6">
        <w:rPr>
          <w:szCs w:val="24"/>
        </w:rPr>
        <w:t xml:space="preserve"> </w:t>
      </w:r>
      <w:r w:rsidR="008A2310">
        <w:rPr>
          <w:szCs w:val="24"/>
        </w:rPr>
        <w:t>is</w:t>
      </w:r>
      <w:r w:rsidRPr="00452DF6">
        <w:rPr>
          <w:szCs w:val="24"/>
        </w:rPr>
        <w:t xml:space="preserve"> particularly important for pan-tumour </w:t>
      </w:r>
      <w:r>
        <w:rPr>
          <w:szCs w:val="24"/>
        </w:rPr>
        <w:t>assessments</w:t>
      </w:r>
      <w:r w:rsidRPr="00452DF6">
        <w:rPr>
          <w:szCs w:val="24"/>
        </w:rPr>
        <w:t xml:space="preserve"> to demonstrate testing equivalence across different tumour types</w:t>
      </w:r>
      <w:r w:rsidR="00911AEF">
        <w:rPr>
          <w:szCs w:val="24"/>
        </w:rPr>
        <w:t xml:space="preserve"> and for different diagnostic laboratories</w:t>
      </w:r>
      <w:r w:rsidRPr="00452DF6">
        <w:rPr>
          <w:szCs w:val="24"/>
        </w:rPr>
        <w:t>.</w:t>
      </w:r>
      <w:r w:rsidR="00CF3D13" w:rsidRPr="00CF3D13">
        <w:rPr>
          <w:szCs w:val="24"/>
        </w:rPr>
        <w:t xml:space="preserve"> </w:t>
      </w:r>
      <w:r w:rsidR="00CF3D13" w:rsidRPr="00237849">
        <w:rPr>
          <w:b/>
          <w:szCs w:val="24"/>
        </w:rPr>
        <w:t xml:space="preserve">(Recommendation </w:t>
      </w:r>
      <w:r w:rsidR="009570CA" w:rsidRPr="00237849">
        <w:rPr>
          <w:b/>
          <w:szCs w:val="24"/>
        </w:rPr>
        <w:t>8</w:t>
      </w:r>
      <w:r w:rsidR="00CF3D13" w:rsidRPr="00237849">
        <w:rPr>
          <w:b/>
          <w:szCs w:val="24"/>
        </w:rPr>
        <w:t>)</w:t>
      </w:r>
    </w:p>
    <w:p w14:paraId="614581FC" w14:textId="77777777" w:rsidR="00ED65EE" w:rsidRPr="00452DF6" w:rsidRDefault="00ED65EE" w:rsidP="00AA13B3">
      <w:pPr>
        <w:pStyle w:val="Heading3"/>
        <w:spacing w:line="312" w:lineRule="auto"/>
      </w:pPr>
      <w:bookmarkStart w:id="67" w:name="_Toc29557667"/>
      <w:r w:rsidRPr="00452DF6">
        <w:t>Concordance analysis</w:t>
      </w:r>
      <w:bookmarkEnd w:id="67"/>
    </w:p>
    <w:p w14:paraId="42987823" w14:textId="221FC11A" w:rsidR="00ED65EE" w:rsidRPr="00452DF6" w:rsidRDefault="00ED65EE" w:rsidP="00AA13B3">
      <w:pPr>
        <w:spacing w:after="240" w:line="312" w:lineRule="auto"/>
      </w:pPr>
      <w:r w:rsidRPr="00452DF6">
        <w:t xml:space="preserve">In the absence of a </w:t>
      </w:r>
      <w:r w:rsidR="0070543F">
        <w:t xml:space="preserve">suitable </w:t>
      </w:r>
      <w:r w:rsidRPr="00452DF6">
        <w:t>reference standard, measures of agreement</w:t>
      </w:r>
      <w:r w:rsidR="00C03B3E" w:rsidRPr="00452DF6">
        <w:t>,</w:t>
      </w:r>
      <w:r w:rsidRPr="00452DF6">
        <w:t xml:space="preserve"> </w:t>
      </w:r>
      <w:r w:rsidR="00D12833">
        <w:t xml:space="preserve">such as </w:t>
      </w:r>
      <w:r w:rsidRPr="00452DF6">
        <w:t>positive percent agreement and negative percent agreement</w:t>
      </w:r>
      <w:r w:rsidR="00C635B1">
        <w:t>,</w:t>
      </w:r>
      <w:r w:rsidR="00C03B3E" w:rsidRPr="00452DF6">
        <w:t xml:space="preserve"> </w:t>
      </w:r>
      <w:r w:rsidR="0070543F">
        <w:t>and/</w:t>
      </w:r>
      <w:r w:rsidR="00C03B3E" w:rsidRPr="00452DF6">
        <w:t>or kappa coefficient</w:t>
      </w:r>
      <w:r w:rsidR="00D12833">
        <w:t>s</w:t>
      </w:r>
      <w:r w:rsidRPr="00452DF6">
        <w:t>, comparing the proposed investigative medical ser</w:t>
      </w:r>
      <w:r w:rsidR="00C03B3E" w:rsidRPr="00452DF6">
        <w:t xml:space="preserve">vice and </w:t>
      </w:r>
      <w:r w:rsidR="00C635B1">
        <w:t>a</w:t>
      </w:r>
      <w:r w:rsidR="00C03B3E" w:rsidRPr="00452DF6">
        <w:t xml:space="preserve"> comparative method</w:t>
      </w:r>
      <w:r w:rsidR="00C635B1">
        <w:t xml:space="preserve"> should be provided</w:t>
      </w:r>
      <w:r w:rsidR="00C635B1" w:rsidRPr="00C635B1">
        <w:t xml:space="preserve"> </w:t>
      </w:r>
      <w:r w:rsidR="00C635B1">
        <w:t xml:space="preserve">in Section B3.8 of the assessment. This is especially important if more than one </w:t>
      </w:r>
      <w:r w:rsidR="00911AEF">
        <w:t xml:space="preserve">type of </w:t>
      </w:r>
      <w:r w:rsidR="00C635B1">
        <w:t xml:space="preserve">test could be used in the Australian clinical setting </w:t>
      </w:r>
      <w:r w:rsidR="00FD77A5">
        <w:t xml:space="preserve">to identify a specific biomarker </w:t>
      </w:r>
      <w:r w:rsidR="00C635B1">
        <w:t xml:space="preserve">(i.e. either two different commercially available tests, or two different testing methods such as </w:t>
      </w:r>
      <w:r w:rsidR="00FD77A5">
        <w:t>NGS</w:t>
      </w:r>
      <w:r w:rsidR="00C635B1">
        <w:t xml:space="preserve"> and a PCR-based assay)</w:t>
      </w:r>
      <w:r w:rsidR="00722F89">
        <w:t>.</w:t>
      </w:r>
    </w:p>
    <w:p w14:paraId="6E45BD84" w14:textId="49BE5E47" w:rsidR="00ED65EE" w:rsidRPr="00452DF6" w:rsidRDefault="00ED65EE" w:rsidP="00F05453">
      <w:pPr>
        <w:pStyle w:val="Heading3"/>
      </w:pPr>
      <w:bookmarkStart w:id="68" w:name="_Toc29557668"/>
      <w:r w:rsidRPr="00452DF6">
        <w:t xml:space="preserve">Clinical </w:t>
      </w:r>
      <w:r w:rsidR="00FD77A5">
        <w:t>v</w:t>
      </w:r>
      <w:r w:rsidR="00FD77A5" w:rsidRPr="00452DF6">
        <w:t>alidity</w:t>
      </w:r>
      <w:bookmarkEnd w:id="68"/>
    </w:p>
    <w:p w14:paraId="048452E3" w14:textId="5A00AA7F" w:rsidR="00E16215" w:rsidRDefault="00E16215" w:rsidP="00AA13B3">
      <w:pPr>
        <w:spacing w:after="240" w:line="312" w:lineRule="auto"/>
        <w:rPr>
          <w:bCs/>
        </w:rPr>
      </w:pPr>
      <w:r>
        <w:rPr>
          <w:bCs/>
        </w:rPr>
        <w:t>E</w:t>
      </w:r>
      <w:r w:rsidRPr="00E16215">
        <w:rPr>
          <w:bCs/>
        </w:rPr>
        <w:t xml:space="preserve">ven if the analytic validity </w:t>
      </w:r>
      <w:r>
        <w:rPr>
          <w:bCs/>
        </w:rPr>
        <w:t xml:space="preserve">of the dMMR test when used for diagnosis of </w:t>
      </w:r>
      <w:r w:rsidR="00085B22">
        <w:rPr>
          <w:bCs/>
        </w:rPr>
        <w:t xml:space="preserve">other </w:t>
      </w:r>
      <w:r>
        <w:rPr>
          <w:bCs/>
        </w:rPr>
        <w:t>tumour</w:t>
      </w:r>
      <w:r w:rsidR="00085B22">
        <w:rPr>
          <w:bCs/>
        </w:rPr>
        <w:t xml:space="preserve"> type</w:t>
      </w:r>
      <w:r>
        <w:rPr>
          <w:bCs/>
        </w:rPr>
        <w:t>s is assumed</w:t>
      </w:r>
      <w:r w:rsidRPr="00E16215">
        <w:rPr>
          <w:bCs/>
        </w:rPr>
        <w:t xml:space="preserve"> to be </w:t>
      </w:r>
      <w:r>
        <w:rPr>
          <w:bCs/>
        </w:rPr>
        <w:t>equivalent to that determined for CRC</w:t>
      </w:r>
      <w:r w:rsidRPr="00E16215">
        <w:rPr>
          <w:bCs/>
        </w:rPr>
        <w:t xml:space="preserve">, the clinical validity </w:t>
      </w:r>
      <w:r w:rsidR="00F36CBE">
        <w:rPr>
          <w:bCs/>
        </w:rPr>
        <w:t xml:space="preserve">is unlikely to be </w:t>
      </w:r>
      <w:r w:rsidR="00085B22">
        <w:rPr>
          <w:bCs/>
        </w:rPr>
        <w:t xml:space="preserve">the same </w:t>
      </w:r>
      <w:r w:rsidR="00F36CBE">
        <w:rPr>
          <w:bCs/>
        </w:rPr>
        <w:t xml:space="preserve">as this </w:t>
      </w:r>
      <w:r w:rsidR="00F36CBE" w:rsidRPr="00452DF6">
        <w:rPr>
          <w:bCs/>
        </w:rPr>
        <w:t xml:space="preserve">depends on the prevalence (or pre-test probability) of </w:t>
      </w:r>
      <w:r w:rsidR="00F36CBE">
        <w:rPr>
          <w:bCs/>
        </w:rPr>
        <w:t xml:space="preserve">having </w:t>
      </w:r>
      <w:r w:rsidR="00F36CBE" w:rsidRPr="00452DF6">
        <w:rPr>
          <w:bCs/>
        </w:rPr>
        <w:t>the target condition or outcome of interest.</w:t>
      </w:r>
      <w:r w:rsidR="00F36CBE" w:rsidRPr="00F36CBE">
        <w:t xml:space="preserve"> </w:t>
      </w:r>
      <w:r w:rsidR="00F36CBE">
        <w:t xml:space="preserve">The prevalence of dMMR among the different tumour types is variable (Table </w:t>
      </w:r>
      <w:r w:rsidR="00A0100A">
        <w:t>2</w:t>
      </w:r>
      <w:r w:rsidR="00F36CBE">
        <w:t>). T</w:t>
      </w:r>
      <w:r w:rsidR="00F36CBE" w:rsidRPr="00F36CBE">
        <w:rPr>
          <w:bCs/>
        </w:rPr>
        <w:t xml:space="preserve">his </w:t>
      </w:r>
      <w:r w:rsidR="00085B22">
        <w:rPr>
          <w:bCs/>
        </w:rPr>
        <w:t>has</w:t>
      </w:r>
      <w:r w:rsidR="00F36CBE" w:rsidRPr="00F36CBE">
        <w:rPr>
          <w:bCs/>
        </w:rPr>
        <w:t xml:space="preserve"> implications </w:t>
      </w:r>
      <w:r w:rsidR="00085B22">
        <w:rPr>
          <w:bCs/>
        </w:rPr>
        <w:t>for the clinical</w:t>
      </w:r>
      <w:r w:rsidR="00616E22">
        <w:rPr>
          <w:bCs/>
        </w:rPr>
        <w:t xml:space="preserve"> effectiveness</w:t>
      </w:r>
      <w:r w:rsidR="00085B22">
        <w:rPr>
          <w:bCs/>
        </w:rPr>
        <w:t xml:space="preserve"> of testing</w:t>
      </w:r>
      <w:r w:rsidR="00616E22">
        <w:rPr>
          <w:bCs/>
        </w:rPr>
        <w:t>.</w:t>
      </w:r>
      <w:r w:rsidR="00F36CBE">
        <w:rPr>
          <w:bCs/>
        </w:rPr>
        <w:t xml:space="preserve"> </w:t>
      </w:r>
      <w:r w:rsidR="00616E22">
        <w:rPr>
          <w:bCs/>
        </w:rPr>
        <w:t xml:space="preserve">For </w:t>
      </w:r>
      <w:r w:rsidR="00F36CBE">
        <w:rPr>
          <w:bCs/>
        </w:rPr>
        <w:t xml:space="preserve">tumour types with very low prevalence rates, </w:t>
      </w:r>
      <w:r w:rsidR="0070543F">
        <w:rPr>
          <w:bCs/>
        </w:rPr>
        <w:t xml:space="preserve">there may be </w:t>
      </w:r>
      <w:r w:rsidR="00F36CBE">
        <w:rPr>
          <w:bCs/>
        </w:rPr>
        <w:t xml:space="preserve">more </w:t>
      </w:r>
      <w:r w:rsidR="0070543F" w:rsidRPr="00F36CBE">
        <w:rPr>
          <w:bCs/>
        </w:rPr>
        <w:t>patients</w:t>
      </w:r>
      <w:r w:rsidR="0070543F">
        <w:rPr>
          <w:bCs/>
        </w:rPr>
        <w:t xml:space="preserve"> with </w:t>
      </w:r>
      <w:r w:rsidR="00F36CBE" w:rsidRPr="00F36CBE">
        <w:rPr>
          <w:bCs/>
        </w:rPr>
        <w:t xml:space="preserve">false-positive </w:t>
      </w:r>
      <w:r w:rsidR="0070543F">
        <w:rPr>
          <w:bCs/>
        </w:rPr>
        <w:t>results than true positive</w:t>
      </w:r>
      <w:r w:rsidR="00085B22">
        <w:rPr>
          <w:bCs/>
        </w:rPr>
        <w:t xml:space="preserve"> results that would be</w:t>
      </w:r>
      <w:r w:rsidR="0070543F">
        <w:rPr>
          <w:bCs/>
        </w:rPr>
        <w:t xml:space="preserve"> </w:t>
      </w:r>
      <w:r w:rsidR="00F36CBE">
        <w:rPr>
          <w:bCs/>
        </w:rPr>
        <w:t>treated with pembrolizumab</w:t>
      </w:r>
      <w:r w:rsidR="00616E22">
        <w:rPr>
          <w:bCs/>
        </w:rPr>
        <w:t xml:space="preserve">, potentially resulting in </w:t>
      </w:r>
      <w:r w:rsidR="00085B22">
        <w:rPr>
          <w:bCs/>
        </w:rPr>
        <w:t>a net effect of poorer health outcomes for the patient</w:t>
      </w:r>
      <w:r w:rsidR="005811F6">
        <w:rPr>
          <w:bCs/>
        </w:rPr>
        <w:t>,</w:t>
      </w:r>
      <w:r w:rsidR="00085B22">
        <w:rPr>
          <w:bCs/>
        </w:rPr>
        <w:t xml:space="preserve"> i</w:t>
      </w:r>
      <w:r w:rsidR="005811F6">
        <w:rPr>
          <w:bCs/>
        </w:rPr>
        <w:t>.</w:t>
      </w:r>
      <w:r w:rsidR="00085B22">
        <w:rPr>
          <w:bCs/>
        </w:rPr>
        <w:t>e</w:t>
      </w:r>
      <w:r w:rsidR="005811F6">
        <w:rPr>
          <w:bCs/>
        </w:rPr>
        <w:t>.</w:t>
      </w:r>
      <w:r w:rsidR="00085B22">
        <w:rPr>
          <w:bCs/>
        </w:rPr>
        <w:t xml:space="preserve"> the toxicity of the treatment outweighing the survival gains as there is no biomarker available to target</w:t>
      </w:r>
      <w:r w:rsidR="00616E22">
        <w:rPr>
          <w:bCs/>
        </w:rPr>
        <w:t>.</w:t>
      </w:r>
    </w:p>
    <w:p w14:paraId="636C9186" w14:textId="09783F28" w:rsidR="003F4D2F" w:rsidRPr="00452DF6" w:rsidRDefault="00ED65EE" w:rsidP="00AA13B3">
      <w:pPr>
        <w:spacing w:after="240" w:line="312" w:lineRule="auto"/>
        <w:rPr>
          <w:bCs/>
        </w:rPr>
      </w:pPr>
      <w:r w:rsidRPr="00452DF6">
        <w:rPr>
          <w:bCs/>
        </w:rPr>
        <w:t xml:space="preserve">The key measures used </w:t>
      </w:r>
      <w:r w:rsidR="00616E22">
        <w:rPr>
          <w:bCs/>
        </w:rPr>
        <w:t xml:space="preserve">to determine clinical validity </w:t>
      </w:r>
      <w:r w:rsidRPr="00452DF6">
        <w:rPr>
          <w:bCs/>
        </w:rPr>
        <w:t>are the positive and negative predictive values</w:t>
      </w:r>
      <w:r w:rsidR="003F4D2F" w:rsidRPr="00452DF6">
        <w:rPr>
          <w:bCs/>
        </w:rPr>
        <w:t xml:space="preserve"> (PPV and NPV)</w:t>
      </w:r>
      <w:r w:rsidRPr="00452DF6">
        <w:rPr>
          <w:bCs/>
        </w:rPr>
        <w:t xml:space="preserve">. </w:t>
      </w:r>
      <w:r w:rsidR="0058525D" w:rsidRPr="00452DF6">
        <w:rPr>
          <w:bCs/>
        </w:rPr>
        <w:t xml:space="preserve">The PPV </w:t>
      </w:r>
      <w:r w:rsidR="003F4D2F" w:rsidRPr="00452DF6">
        <w:rPr>
          <w:bCs/>
        </w:rPr>
        <w:t xml:space="preserve">is the percentage of patients with a positive test who actually have the </w:t>
      </w:r>
      <w:r w:rsidR="008A2A89">
        <w:rPr>
          <w:bCs/>
        </w:rPr>
        <w:t>condition (in this case, the biomarker)</w:t>
      </w:r>
      <w:r w:rsidR="003F4D2F" w:rsidRPr="00452DF6">
        <w:rPr>
          <w:bCs/>
        </w:rPr>
        <w:t xml:space="preserve">, </w:t>
      </w:r>
      <w:r w:rsidR="0058525D" w:rsidRPr="00452DF6">
        <w:rPr>
          <w:bCs/>
        </w:rPr>
        <w:t xml:space="preserve">and </w:t>
      </w:r>
      <w:r w:rsidR="00C17EA0">
        <w:rPr>
          <w:bCs/>
        </w:rPr>
        <w:t xml:space="preserve">is equivalent to the post-test probability of </w:t>
      </w:r>
      <w:r w:rsidR="000430DA">
        <w:rPr>
          <w:bCs/>
        </w:rPr>
        <w:t>having the biomarker if</w:t>
      </w:r>
      <w:r w:rsidR="00C17EA0">
        <w:rPr>
          <w:bCs/>
        </w:rPr>
        <w:t xml:space="preserve"> test positive</w:t>
      </w:r>
      <w:r w:rsidR="00FD77A5">
        <w:rPr>
          <w:bCs/>
        </w:rPr>
        <w:t xml:space="preserve"> (or true positive)</w:t>
      </w:r>
      <w:r w:rsidR="00C17EA0">
        <w:rPr>
          <w:bCs/>
        </w:rPr>
        <w:t>. T</w:t>
      </w:r>
      <w:r w:rsidR="003F4D2F" w:rsidRPr="00452DF6">
        <w:rPr>
          <w:bCs/>
        </w:rPr>
        <w:t xml:space="preserve">he </w:t>
      </w:r>
      <w:r w:rsidR="0058525D" w:rsidRPr="00452DF6">
        <w:rPr>
          <w:bCs/>
        </w:rPr>
        <w:t xml:space="preserve">NPV </w:t>
      </w:r>
      <w:r w:rsidR="003F4D2F" w:rsidRPr="00452DF6">
        <w:rPr>
          <w:bCs/>
        </w:rPr>
        <w:t xml:space="preserve">is the percentage of patients with a negative test </w:t>
      </w:r>
      <w:r w:rsidR="003F4D2F" w:rsidRPr="00452DF6">
        <w:rPr>
          <w:bCs/>
        </w:rPr>
        <w:lastRenderedPageBreak/>
        <w:t xml:space="preserve">who do not have the </w:t>
      </w:r>
      <w:r w:rsidR="008A2A89">
        <w:rPr>
          <w:bCs/>
        </w:rPr>
        <w:t>biomarker</w:t>
      </w:r>
      <w:r w:rsidR="00E16215">
        <w:rPr>
          <w:bCs/>
        </w:rPr>
        <w:t>; therefore</w:t>
      </w:r>
      <w:r w:rsidR="008A2A89">
        <w:rPr>
          <w:bCs/>
        </w:rPr>
        <w:t xml:space="preserve">, </w:t>
      </w:r>
      <w:r w:rsidR="00C17EA0">
        <w:rPr>
          <w:bCs/>
        </w:rPr>
        <w:t xml:space="preserve">1-NPV </w:t>
      </w:r>
      <w:r w:rsidR="008A2A89">
        <w:rPr>
          <w:bCs/>
        </w:rPr>
        <w:t>is equiv</w:t>
      </w:r>
      <w:r w:rsidR="00C17EA0">
        <w:rPr>
          <w:bCs/>
        </w:rPr>
        <w:t>a</w:t>
      </w:r>
      <w:r w:rsidR="008A2A89">
        <w:rPr>
          <w:bCs/>
        </w:rPr>
        <w:t xml:space="preserve">lent to the post-test probability of </w:t>
      </w:r>
      <w:r w:rsidR="00E16215">
        <w:rPr>
          <w:bCs/>
        </w:rPr>
        <w:t>having the biomarker despite being</w:t>
      </w:r>
      <w:r w:rsidR="008A2A89">
        <w:rPr>
          <w:bCs/>
        </w:rPr>
        <w:t xml:space="preserve"> test</w:t>
      </w:r>
      <w:r w:rsidR="00E16215">
        <w:rPr>
          <w:bCs/>
        </w:rPr>
        <w:t>-</w:t>
      </w:r>
      <w:r w:rsidR="008A2A89">
        <w:rPr>
          <w:bCs/>
        </w:rPr>
        <w:t>negative</w:t>
      </w:r>
      <w:r w:rsidR="00E16215">
        <w:rPr>
          <w:bCs/>
        </w:rPr>
        <w:t>, or the post-test probability of being false negative</w:t>
      </w:r>
      <w:r w:rsidR="008A2A89">
        <w:rPr>
          <w:bCs/>
        </w:rPr>
        <w:t>.</w:t>
      </w:r>
    </w:p>
    <w:p w14:paraId="5717B152" w14:textId="035F0374" w:rsidR="00452DF6" w:rsidRDefault="00452DF6" w:rsidP="00AA13B3">
      <w:pPr>
        <w:spacing w:after="240" w:line="312" w:lineRule="auto"/>
        <w:rPr>
          <w:bCs/>
        </w:rPr>
      </w:pPr>
      <w:r w:rsidRPr="00452DF6">
        <w:rPr>
          <w:bCs/>
        </w:rPr>
        <w:t xml:space="preserve">Generally, for a given sensitivity and specificity, the PPV increases as the prevalence increases </w:t>
      </w:r>
      <w:r w:rsidR="00B302BD">
        <w:rPr>
          <w:bCs/>
        </w:rPr>
        <w:t>while</w:t>
      </w:r>
      <w:r w:rsidRPr="00452DF6">
        <w:rPr>
          <w:bCs/>
        </w:rPr>
        <w:t xml:space="preserve"> the NPV decreases. The </w:t>
      </w:r>
      <w:r w:rsidR="008A2A89">
        <w:rPr>
          <w:bCs/>
        </w:rPr>
        <w:t>rate of</w:t>
      </w:r>
      <w:r w:rsidRPr="00452DF6">
        <w:rPr>
          <w:bCs/>
        </w:rPr>
        <w:t xml:space="preserve"> the increase or decrease </w:t>
      </w:r>
      <w:r w:rsidR="00B50040">
        <w:rPr>
          <w:bCs/>
        </w:rPr>
        <w:t>with increasing</w:t>
      </w:r>
      <w:r w:rsidRPr="00452DF6">
        <w:rPr>
          <w:bCs/>
        </w:rPr>
        <w:t xml:space="preserve"> prevalence depends on the sensitivity and specificity of the test. </w:t>
      </w:r>
      <w:r w:rsidR="00262E87">
        <w:rPr>
          <w:bCs/>
        </w:rPr>
        <w:fldChar w:fldCharType="begin"/>
      </w:r>
      <w:r w:rsidR="00262E87">
        <w:rPr>
          <w:bCs/>
        </w:rPr>
        <w:instrText xml:space="preserve"> REF _Ref497300851 \h </w:instrText>
      </w:r>
      <w:r w:rsidR="00262E87">
        <w:rPr>
          <w:bCs/>
        </w:rPr>
      </w:r>
      <w:r w:rsidR="00262E87">
        <w:rPr>
          <w:bCs/>
        </w:rPr>
        <w:fldChar w:fldCharType="separate"/>
      </w:r>
      <w:r w:rsidR="0068658C">
        <w:t xml:space="preserve">Figure </w:t>
      </w:r>
      <w:r w:rsidR="0068658C">
        <w:rPr>
          <w:noProof/>
        </w:rPr>
        <w:t>1</w:t>
      </w:r>
      <w:r w:rsidR="00262E87">
        <w:rPr>
          <w:bCs/>
        </w:rPr>
        <w:fldChar w:fldCharType="end"/>
      </w:r>
      <w:r w:rsidR="007E5928">
        <w:rPr>
          <w:bCs/>
        </w:rPr>
        <w:t xml:space="preserve"> shows the relationship between PPV and 1-NPV, with respect to the post-test probability </w:t>
      </w:r>
      <w:r w:rsidR="00302275">
        <w:rPr>
          <w:bCs/>
        </w:rPr>
        <w:t xml:space="preserve">(y-axis) </w:t>
      </w:r>
      <w:r w:rsidR="007E5928">
        <w:rPr>
          <w:bCs/>
        </w:rPr>
        <w:t xml:space="preserve">of having the biomarker </w:t>
      </w:r>
      <w:r w:rsidR="00302275">
        <w:rPr>
          <w:bCs/>
        </w:rPr>
        <w:t xml:space="preserve">for prevalence rates 0–100% (x-axis) </w:t>
      </w:r>
      <w:r w:rsidR="007E5928">
        <w:rPr>
          <w:bCs/>
        </w:rPr>
        <w:t xml:space="preserve">after testing </w:t>
      </w:r>
      <w:r w:rsidR="00302275">
        <w:rPr>
          <w:bCs/>
        </w:rPr>
        <w:t>with</w:t>
      </w:r>
      <w:r w:rsidR="00210308">
        <w:rPr>
          <w:bCs/>
        </w:rPr>
        <w:t xml:space="preserve"> a hypothetical test </w:t>
      </w:r>
      <w:r w:rsidR="00302275">
        <w:rPr>
          <w:bCs/>
        </w:rPr>
        <w:t>having</w:t>
      </w:r>
      <w:r w:rsidR="007E5928">
        <w:rPr>
          <w:bCs/>
        </w:rPr>
        <w:t xml:space="preserve"> </w:t>
      </w:r>
      <w:r w:rsidR="00302275">
        <w:rPr>
          <w:bCs/>
        </w:rPr>
        <w:t>95%</w:t>
      </w:r>
      <w:r w:rsidR="007E5928">
        <w:rPr>
          <w:bCs/>
        </w:rPr>
        <w:t xml:space="preserve"> sensitivity and specificity </w:t>
      </w:r>
      <w:r w:rsidR="00210308">
        <w:rPr>
          <w:bCs/>
        </w:rPr>
        <w:t>(red and blue solid lines)</w:t>
      </w:r>
      <w:r w:rsidR="007E5928">
        <w:rPr>
          <w:bCs/>
        </w:rPr>
        <w:t xml:space="preserve">. </w:t>
      </w:r>
      <w:r w:rsidR="00586EE1">
        <w:rPr>
          <w:bCs/>
        </w:rPr>
        <w:t>I</w:t>
      </w:r>
      <w:r w:rsidR="00586EE1" w:rsidRPr="00586EE1">
        <w:rPr>
          <w:bCs/>
        </w:rPr>
        <w:t>n this scenario</w:t>
      </w:r>
      <w:r w:rsidR="00586EE1">
        <w:rPr>
          <w:bCs/>
        </w:rPr>
        <w:t>,</w:t>
      </w:r>
      <w:r w:rsidR="00586EE1" w:rsidRPr="00586EE1">
        <w:rPr>
          <w:bCs/>
        </w:rPr>
        <w:t xml:space="preserve"> </w:t>
      </w:r>
      <w:r w:rsidR="00586EE1">
        <w:rPr>
          <w:bCs/>
        </w:rPr>
        <w:t>a positive test result can reliably predict the presence of the biomarker in at least 90% of patients if the prevalence rate is at least 30%, and conversely, t</w:t>
      </w:r>
      <w:r w:rsidR="00586EE1" w:rsidRPr="00586EE1">
        <w:rPr>
          <w:bCs/>
        </w:rPr>
        <w:t xml:space="preserve">he number of patients who are biomarker positive despite having a negative test result only increases </w:t>
      </w:r>
      <w:r w:rsidR="00302275">
        <w:rPr>
          <w:bCs/>
        </w:rPr>
        <w:t>markedly</w:t>
      </w:r>
      <w:r w:rsidR="00586EE1" w:rsidRPr="00586EE1">
        <w:rPr>
          <w:bCs/>
        </w:rPr>
        <w:t xml:space="preserve"> at ve</w:t>
      </w:r>
      <w:r w:rsidR="00586EE1">
        <w:rPr>
          <w:bCs/>
        </w:rPr>
        <w:t>ry high prevalence rates (≥70%)</w:t>
      </w:r>
      <w:r w:rsidR="00586EE1" w:rsidRPr="00586EE1">
        <w:rPr>
          <w:bCs/>
        </w:rPr>
        <w:t>.</w:t>
      </w:r>
    </w:p>
    <w:p w14:paraId="4965F3FB" w14:textId="78E4F773" w:rsidR="008E7315" w:rsidRDefault="008E7315" w:rsidP="008E7315">
      <w:pPr>
        <w:spacing w:after="240" w:line="312" w:lineRule="auto"/>
        <w:rPr>
          <w:bCs/>
        </w:rPr>
      </w:pPr>
      <w:r w:rsidRPr="00311DEB">
        <w:rPr>
          <w:bCs/>
        </w:rPr>
        <w:t>The</w:t>
      </w:r>
      <w:r>
        <w:rPr>
          <w:bCs/>
        </w:rPr>
        <w:t>refore, if the prevalence of the biomarker</w:t>
      </w:r>
      <w:r w:rsidRPr="00311DEB">
        <w:rPr>
          <w:bCs/>
        </w:rPr>
        <w:t xml:space="preserve"> </w:t>
      </w:r>
      <w:r>
        <w:rPr>
          <w:bCs/>
        </w:rPr>
        <w:t xml:space="preserve">was </w:t>
      </w:r>
      <w:r w:rsidRPr="00311DEB">
        <w:rPr>
          <w:bCs/>
        </w:rPr>
        <w:t>around 15%</w:t>
      </w:r>
      <w:r>
        <w:rPr>
          <w:bCs/>
        </w:rPr>
        <w:t xml:space="preserve">, as </w:t>
      </w:r>
      <w:r w:rsidR="00FD77A5" w:rsidRPr="00FD77A5">
        <w:rPr>
          <w:bCs/>
        </w:rPr>
        <w:t xml:space="preserve">is the case </w:t>
      </w:r>
      <w:r>
        <w:rPr>
          <w:bCs/>
        </w:rPr>
        <w:t>for dMMR prevalence in CRC</w:t>
      </w:r>
      <w:r w:rsidR="00FD77A5" w:rsidRPr="00FD77A5">
        <w:t xml:space="preserve"> </w:t>
      </w:r>
      <w:r w:rsidR="00FD77A5" w:rsidRPr="00FD77A5">
        <w:rPr>
          <w:bCs/>
        </w:rPr>
        <w:t>at any stage (as per current testing)</w:t>
      </w:r>
      <w:r>
        <w:rPr>
          <w:bCs/>
        </w:rPr>
        <w:t xml:space="preserve">, the </w:t>
      </w:r>
      <w:r w:rsidRPr="00311DEB">
        <w:rPr>
          <w:bCs/>
        </w:rPr>
        <w:t xml:space="preserve">post-test probability of having the biomarker with a positive test result (PPV) </w:t>
      </w:r>
      <w:r>
        <w:rPr>
          <w:bCs/>
        </w:rPr>
        <w:t>is 77%</w:t>
      </w:r>
      <w:r w:rsidRPr="00311DEB">
        <w:rPr>
          <w:bCs/>
        </w:rPr>
        <w:t xml:space="preserve">. This indicates that about </w:t>
      </w:r>
      <w:r>
        <w:rPr>
          <w:bCs/>
        </w:rPr>
        <w:t xml:space="preserve">three quarters </w:t>
      </w:r>
      <w:r w:rsidRPr="00311DEB">
        <w:rPr>
          <w:bCs/>
        </w:rPr>
        <w:t xml:space="preserve">of patients with a positive test result </w:t>
      </w:r>
      <w:r>
        <w:rPr>
          <w:bCs/>
        </w:rPr>
        <w:t xml:space="preserve">would </w:t>
      </w:r>
      <w:r w:rsidRPr="00311DEB">
        <w:rPr>
          <w:bCs/>
        </w:rPr>
        <w:t xml:space="preserve">truly have </w:t>
      </w:r>
      <w:r>
        <w:rPr>
          <w:bCs/>
        </w:rPr>
        <w:t>the biomarker</w:t>
      </w:r>
      <w:r w:rsidRPr="00311DEB">
        <w:rPr>
          <w:bCs/>
        </w:rPr>
        <w:t xml:space="preserve"> and </w:t>
      </w:r>
      <w:r>
        <w:rPr>
          <w:bCs/>
        </w:rPr>
        <w:t>one quarter</w:t>
      </w:r>
      <w:r w:rsidRPr="00311DEB">
        <w:rPr>
          <w:bCs/>
        </w:rPr>
        <w:t xml:space="preserve"> would be false positive</w:t>
      </w:r>
      <w:r>
        <w:rPr>
          <w:bCs/>
        </w:rPr>
        <w:t>s</w:t>
      </w:r>
      <w:r w:rsidRPr="00311DEB">
        <w:rPr>
          <w:bCs/>
        </w:rPr>
        <w:t xml:space="preserve">. </w:t>
      </w:r>
      <w:r>
        <w:rPr>
          <w:bCs/>
        </w:rPr>
        <w:t>For endometrial cancer, with a dMMR prevalence of up to 33%, nine out of ten patients with a positive test result would be true positives. However, i</w:t>
      </w:r>
      <w:r w:rsidRPr="00311DEB">
        <w:rPr>
          <w:bCs/>
        </w:rPr>
        <w:t xml:space="preserve">f the prevalence of </w:t>
      </w:r>
      <w:r>
        <w:rPr>
          <w:bCs/>
        </w:rPr>
        <w:t xml:space="preserve">the biomarker </w:t>
      </w:r>
      <w:r w:rsidRPr="00311DEB">
        <w:rPr>
          <w:bCs/>
        </w:rPr>
        <w:t xml:space="preserve">was 1%, as </w:t>
      </w:r>
      <w:r>
        <w:rPr>
          <w:bCs/>
        </w:rPr>
        <w:t>for dMMR in</w:t>
      </w:r>
      <w:r w:rsidRPr="00311DEB">
        <w:rPr>
          <w:bCs/>
        </w:rPr>
        <w:t xml:space="preserve"> breast cancer, the post-test probability of having the biomarker with a positive test result would be </w:t>
      </w:r>
      <w:r>
        <w:rPr>
          <w:bCs/>
        </w:rPr>
        <w:t>1</w:t>
      </w:r>
      <w:r w:rsidRPr="00311DEB">
        <w:rPr>
          <w:bCs/>
        </w:rPr>
        <w:t xml:space="preserve">6%. This indicates that the number of false positives </w:t>
      </w:r>
      <w:r w:rsidR="00B302BD">
        <w:rPr>
          <w:bCs/>
        </w:rPr>
        <w:t xml:space="preserve">would </w:t>
      </w:r>
      <w:r>
        <w:rPr>
          <w:bCs/>
        </w:rPr>
        <w:t xml:space="preserve">far </w:t>
      </w:r>
      <w:r w:rsidRPr="00311DEB">
        <w:rPr>
          <w:bCs/>
        </w:rPr>
        <w:t>outweigh the number of true positives</w:t>
      </w:r>
      <w:r>
        <w:rPr>
          <w:bCs/>
        </w:rPr>
        <w:t xml:space="preserve"> (5:1)</w:t>
      </w:r>
      <w:r w:rsidRPr="00311DEB">
        <w:rPr>
          <w:bCs/>
        </w:rPr>
        <w:t>. This will greatly impact</w:t>
      </w:r>
      <w:r>
        <w:rPr>
          <w:bCs/>
        </w:rPr>
        <w:t xml:space="preserve"> </w:t>
      </w:r>
      <w:r w:rsidRPr="00311DEB">
        <w:rPr>
          <w:bCs/>
        </w:rPr>
        <w:t xml:space="preserve">both the treatment effectiveness </w:t>
      </w:r>
      <w:r>
        <w:rPr>
          <w:bCs/>
        </w:rPr>
        <w:t xml:space="preserve">(taking into account the large number of false-positive patients </w:t>
      </w:r>
      <w:r w:rsidR="0077006C">
        <w:rPr>
          <w:bCs/>
        </w:rPr>
        <w:t>who</w:t>
      </w:r>
      <w:r w:rsidR="00B302BD">
        <w:rPr>
          <w:bCs/>
        </w:rPr>
        <w:t xml:space="preserve"> </w:t>
      </w:r>
      <w:r>
        <w:rPr>
          <w:bCs/>
        </w:rPr>
        <w:t xml:space="preserve">would be treated with pembrolizumab) </w:t>
      </w:r>
      <w:r w:rsidRPr="00311DEB">
        <w:rPr>
          <w:bCs/>
        </w:rPr>
        <w:t xml:space="preserve">and the </w:t>
      </w:r>
      <w:r>
        <w:rPr>
          <w:bCs/>
        </w:rPr>
        <w:t>cost-effectiveness of the test.</w:t>
      </w:r>
    </w:p>
    <w:p w14:paraId="0AA8DD80" w14:textId="51771722" w:rsidR="00793C86" w:rsidRDefault="00CD31A6" w:rsidP="004330AF">
      <w:pPr>
        <w:keepNext/>
        <w:keepLines/>
        <w:spacing w:after="240" w:line="312" w:lineRule="auto"/>
        <w:rPr>
          <w:bCs/>
        </w:rPr>
      </w:pPr>
      <w:r>
        <w:rPr>
          <w:bCs/>
          <w:noProof/>
        </w:rPr>
        <w:lastRenderedPageBreak/>
        <w:drawing>
          <wp:inline distT="0" distB="0" distL="0" distR="0" wp14:anchorId="1149FC6D" wp14:editId="643EA824">
            <wp:extent cx="5698541" cy="2872068"/>
            <wp:effectExtent l="0" t="0" r="0" b="5080"/>
            <wp:docPr id="7" name="Picture 7" descr="the graph shows the PPV and 1-NPV plotted against the prevalence of dMMR to give the post-test probability of having a positive test result. As the prevalence increases, the PPV ncreases and the 1-NPV decreases." title="The post-test probability of having the biomarker (dMMR) after receiving a positive test result (PPV) and after receiving a negative test result (1-NPV) for prevalence rates from 0–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42108" cy="2894026"/>
                    </a:xfrm>
                    <a:prstGeom prst="rect">
                      <a:avLst/>
                    </a:prstGeom>
                    <a:noFill/>
                  </pic:spPr>
                </pic:pic>
              </a:graphicData>
            </a:graphic>
          </wp:inline>
        </w:drawing>
      </w:r>
    </w:p>
    <w:p w14:paraId="0B462309" w14:textId="1C0A46C9" w:rsidR="00793C86" w:rsidRDefault="00793C86" w:rsidP="004330AF">
      <w:pPr>
        <w:pStyle w:val="TableHeading"/>
        <w:keepLines/>
      </w:pPr>
      <w:bookmarkStart w:id="69" w:name="_Ref497300851"/>
      <w:bookmarkStart w:id="70" w:name="_Toc29557683"/>
      <w:r>
        <w:t xml:space="preserve">Figure </w:t>
      </w:r>
      <w:r w:rsidR="0054411D">
        <w:rPr>
          <w:noProof/>
        </w:rPr>
        <w:fldChar w:fldCharType="begin"/>
      </w:r>
      <w:r w:rsidR="0054411D">
        <w:rPr>
          <w:noProof/>
        </w:rPr>
        <w:instrText xml:space="preserve"> SEQ Figure \* ARABIC </w:instrText>
      </w:r>
      <w:r w:rsidR="0054411D">
        <w:rPr>
          <w:noProof/>
        </w:rPr>
        <w:fldChar w:fldCharType="separate"/>
      </w:r>
      <w:r w:rsidR="0068658C">
        <w:rPr>
          <w:noProof/>
        </w:rPr>
        <w:t>1</w:t>
      </w:r>
      <w:r w:rsidR="0054411D">
        <w:rPr>
          <w:noProof/>
        </w:rPr>
        <w:fldChar w:fldCharType="end"/>
      </w:r>
      <w:bookmarkEnd w:id="69"/>
      <w:r>
        <w:tab/>
        <w:t>The post-test probability of having the biomarker</w:t>
      </w:r>
      <w:r w:rsidR="00CD31A6">
        <w:t xml:space="preserve"> (dMMR)</w:t>
      </w:r>
      <w:r>
        <w:t xml:space="preserve"> after receiving a positive test result (PPV) and after receiving a negative test result (1-NPV) for prevalence rates from 0–100%</w:t>
      </w:r>
      <w:bookmarkEnd w:id="70"/>
    </w:p>
    <w:p w14:paraId="1CBAD834" w14:textId="2DB6EDE4" w:rsidR="00793C86" w:rsidRDefault="00793C86" w:rsidP="004330AF">
      <w:pPr>
        <w:pStyle w:val="Tablenotes0"/>
        <w:keepNext/>
        <w:keepLines/>
      </w:pPr>
      <w:r>
        <w:t xml:space="preserve">The solid lines relate to the post-test probability of having the biomarker using a hypothetical test with 95% sensitivity and specificity. The dashed lines relate to the </w:t>
      </w:r>
      <w:r w:rsidRPr="00DF307B">
        <w:t xml:space="preserve">post-test probability of having </w:t>
      </w:r>
      <w:r>
        <w:t>a dMMR tumour</w:t>
      </w:r>
      <w:r w:rsidRPr="00DF307B">
        <w:t xml:space="preserve"> using</w:t>
      </w:r>
      <w:r>
        <w:t xml:space="preserve"> the dMMR IHC test</w:t>
      </w:r>
      <w:r w:rsidR="00CD31A6">
        <w:t xml:space="preserve"> compared with the reference standards MS-MPLA </w:t>
      </w:r>
      <w:r w:rsidR="00871ABF">
        <w:t xml:space="preserve">of the </w:t>
      </w:r>
      <w:r w:rsidR="00871ABF" w:rsidRPr="00871ABF">
        <w:rPr>
          <w:i/>
        </w:rPr>
        <w:t>MLH1</w:t>
      </w:r>
      <w:r w:rsidR="00871ABF">
        <w:t xml:space="preserve"> promoter </w:t>
      </w:r>
      <w:r w:rsidR="00CD31A6">
        <w:t>and</w:t>
      </w:r>
      <w:r w:rsidR="00CD31A6" w:rsidRPr="00CD31A6">
        <w:t xml:space="preserve"> </w:t>
      </w:r>
      <w:r w:rsidR="00871ABF">
        <w:t xml:space="preserve">NGS of the </w:t>
      </w:r>
      <w:r w:rsidR="00871ABF" w:rsidRPr="00871ABF">
        <w:rPr>
          <w:i/>
        </w:rPr>
        <w:t>MMR</w:t>
      </w:r>
      <w:r w:rsidR="00871ABF">
        <w:t xml:space="preserve"> genes</w:t>
      </w:r>
      <w:r>
        <w:t>, with sensitivit</w:t>
      </w:r>
      <w:r w:rsidR="00CD31A6">
        <w:t>ies</w:t>
      </w:r>
      <w:r>
        <w:t xml:space="preserve"> </w:t>
      </w:r>
      <w:r w:rsidR="00CD31A6">
        <w:t xml:space="preserve">of 90% and 91%, </w:t>
      </w:r>
      <w:r>
        <w:t>and specificit</w:t>
      </w:r>
      <w:r w:rsidR="00CD31A6">
        <w:t>ies</w:t>
      </w:r>
      <w:r>
        <w:t xml:space="preserve"> </w:t>
      </w:r>
      <w:r w:rsidR="00CD31A6">
        <w:t xml:space="preserve">of </w:t>
      </w:r>
      <w:r>
        <w:t>81%</w:t>
      </w:r>
      <w:r w:rsidR="00CD31A6">
        <w:t xml:space="preserve"> and 92%</w:t>
      </w:r>
      <w:r>
        <w:t>, respectively.</w:t>
      </w:r>
    </w:p>
    <w:p w14:paraId="470504C1" w14:textId="28DB30FD" w:rsidR="00793C86" w:rsidRDefault="00793C86" w:rsidP="00793C86">
      <w:pPr>
        <w:pStyle w:val="Tablenotes0"/>
      </w:pPr>
      <w:r>
        <w:t xml:space="preserve">dMMR = mismatch repair deficient; </w:t>
      </w:r>
      <w:r w:rsidR="009B21B9">
        <w:t xml:space="preserve">NGS = next generation sequencing; </w:t>
      </w:r>
      <w:r>
        <w:t xml:space="preserve">NPV = negative predictive value; </w:t>
      </w:r>
      <w:r w:rsidR="009B21B9">
        <w:t>MS-MLPA = m</w:t>
      </w:r>
      <w:r w:rsidR="009B21B9" w:rsidRPr="009B21B9">
        <w:t>ethylation specific multiple ligation-dependent probe amplification</w:t>
      </w:r>
      <w:r w:rsidR="009B21B9">
        <w:t>;</w:t>
      </w:r>
      <w:r w:rsidR="009B21B9" w:rsidRPr="009B21B9">
        <w:t xml:space="preserve"> </w:t>
      </w:r>
      <w:r>
        <w:t>PPV = positive predictive value</w:t>
      </w:r>
    </w:p>
    <w:p w14:paraId="3D1F897F" w14:textId="4F8F8B0B" w:rsidR="004710BA" w:rsidRDefault="00311DEB" w:rsidP="008E7315">
      <w:pPr>
        <w:spacing w:after="240" w:line="312" w:lineRule="auto"/>
        <w:rPr>
          <w:bCs/>
        </w:rPr>
      </w:pPr>
      <w:r>
        <w:rPr>
          <w:bCs/>
        </w:rPr>
        <w:t xml:space="preserve">Conversely, for biomarker prevalence rates of 1% and 20%, the post-test probability of having the biomarker with a negative test result </w:t>
      </w:r>
      <w:r w:rsidR="00D74A32">
        <w:rPr>
          <w:bCs/>
        </w:rPr>
        <w:t xml:space="preserve">(1-NPV) </w:t>
      </w:r>
      <w:r>
        <w:rPr>
          <w:bCs/>
        </w:rPr>
        <w:t xml:space="preserve">would be 0% and </w:t>
      </w:r>
      <w:r w:rsidR="00616E22">
        <w:rPr>
          <w:bCs/>
        </w:rPr>
        <w:t>8</w:t>
      </w:r>
      <w:r>
        <w:rPr>
          <w:bCs/>
        </w:rPr>
        <w:t>%</w:t>
      </w:r>
      <w:r w:rsidR="00D74A32">
        <w:rPr>
          <w:bCs/>
        </w:rPr>
        <w:t xml:space="preserve">, respectively. This indicates that no more than one in </w:t>
      </w:r>
      <w:r w:rsidR="00616E22">
        <w:rPr>
          <w:bCs/>
        </w:rPr>
        <w:t>eight</w:t>
      </w:r>
      <w:r w:rsidR="00D74A32">
        <w:rPr>
          <w:bCs/>
        </w:rPr>
        <w:t xml:space="preserve"> patients with a negative test would be false negative, making the test very useful in </w:t>
      </w:r>
      <w:r w:rsidR="00D74A32" w:rsidRPr="0077006C">
        <w:rPr>
          <w:bCs/>
          <w:i/>
        </w:rPr>
        <w:t>ruling out</w:t>
      </w:r>
      <w:r w:rsidR="00D74A32">
        <w:rPr>
          <w:bCs/>
        </w:rPr>
        <w:t xml:space="preserve"> the presence of the biomarker.</w:t>
      </w:r>
      <w:r w:rsidR="002B609F">
        <w:rPr>
          <w:bCs/>
        </w:rPr>
        <w:t xml:space="preserve"> </w:t>
      </w:r>
      <w:r w:rsidR="00B302BD">
        <w:rPr>
          <w:bCs/>
        </w:rPr>
        <w:t>In cases where a targeted treatment relies on the absence of a biomarker</w:t>
      </w:r>
      <w:r w:rsidR="00C5668A">
        <w:rPr>
          <w:bCs/>
        </w:rPr>
        <w:t>,</w:t>
      </w:r>
      <w:r w:rsidR="00B302BD">
        <w:rPr>
          <w:bCs/>
        </w:rPr>
        <w:t xml:space="preserve"> the NPV would be very helpful in instances where the mutation rate is low.</w:t>
      </w:r>
    </w:p>
    <w:p w14:paraId="1AC2378B" w14:textId="49D3423A" w:rsidR="004710BA" w:rsidRDefault="004710BA" w:rsidP="008E7315">
      <w:pPr>
        <w:spacing w:after="240" w:line="312" w:lineRule="auto"/>
        <w:rPr>
          <w:bCs/>
        </w:rPr>
      </w:pPr>
      <w:r>
        <w:rPr>
          <w:bCs/>
        </w:rPr>
        <w:t>The sensitivity and</w:t>
      </w:r>
      <w:r w:rsidR="000430DA">
        <w:rPr>
          <w:bCs/>
        </w:rPr>
        <w:t xml:space="preserve"> specificity of dMMR IHC testing</w:t>
      </w:r>
      <w:r>
        <w:rPr>
          <w:bCs/>
        </w:rPr>
        <w:t xml:space="preserve"> varied</w:t>
      </w:r>
      <w:r w:rsidR="00B73BC0">
        <w:rPr>
          <w:bCs/>
        </w:rPr>
        <w:t xml:space="preserve"> in the literature</w:t>
      </w:r>
      <w:r>
        <w:rPr>
          <w:bCs/>
        </w:rPr>
        <w:t>, depending on the reference standard used. For example, t</w:t>
      </w:r>
      <w:r w:rsidRPr="00F5292F">
        <w:rPr>
          <w:bCs/>
        </w:rPr>
        <w:t xml:space="preserve">he sensitivity and specificity </w:t>
      </w:r>
      <w:r>
        <w:rPr>
          <w:bCs/>
        </w:rPr>
        <w:t xml:space="preserve">of dMMR IHC testing compared with </w:t>
      </w:r>
      <w:r>
        <w:t>MSI</w:t>
      </w:r>
      <w:r w:rsidR="00FD77A5">
        <w:t>-H</w:t>
      </w:r>
      <w:r>
        <w:t xml:space="preserve"> testing </w:t>
      </w:r>
      <w:r w:rsidR="00FD77A5" w:rsidRPr="00FD77A5">
        <w:t xml:space="preserve">was reported to be </w:t>
      </w:r>
      <w:r>
        <w:t xml:space="preserve">92.3% and 100%, respectively </w:t>
      </w:r>
      <w:r w:rsidR="00F77139">
        <w:t xml:space="preserve">by Lindor et al. </w:t>
      </w:r>
      <w:r w:rsidR="00F77139">
        <w:fldChar w:fldCharType="begin">
          <w:fldData xml:space="preserve">PEVuZE5vdGU+PENpdGUgRXhjbHVkZUF1dGg9IjEiPjxBdXRob3I+TGluZG9yPC9BdXRob3I+PFll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</w:fldData>
        </w:fldChar>
      </w:r>
      <w:r w:rsidR="00F77139">
        <w:instrText xml:space="preserve"> ADDIN EN.CITE </w:instrText>
      </w:r>
      <w:r w:rsidR="00F77139">
        <w:fldChar w:fldCharType="begin">
          <w:fldData xml:space="preserve">PEVuZE5vdGU+PENpdGUgRXhjbHVkZUF1dGg9IjEiPjxBdXRob3I+TGluZG9yPC9BdXRob3I+PFll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</w:fldData>
        </w:fldChar>
      </w:r>
      <w:r w:rsidR="00F77139">
        <w:instrText xml:space="preserve"> ADDIN EN.CITE.DATA </w:instrText>
      </w:r>
      <w:r w:rsidR="00F77139">
        <w:fldChar w:fldCharType="end"/>
      </w:r>
      <w:r w:rsidR="00F77139">
        <w:fldChar w:fldCharType="separate"/>
      </w:r>
      <w:r w:rsidR="00F77139">
        <w:rPr>
          <w:noProof/>
        </w:rPr>
        <w:t>(2002)</w:t>
      </w:r>
      <w:r w:rsidR="00F77139">
        <w:fldChar w:fldCharType="end"/>
      </w:r>
      <w:r>
        <w:t xml:space="preserve">. </w:t>
      </w:r>
      <w:r w:rsidR="00F77139">
        <w:t>In this case</w:t>
      </w:r>
      <w:r>
        <w:t xml:space="preserve">, there would be no false positives and the low prevalence rate would be of no concern, except for the number of tests that would </w:t>
      </w:r>
      <w:r w:rsidR="00B302BD">
        <w:t xml:space="preserve">be </w:t>
      </w:r>
      <w:r>
        <w:t>need</w:t>
      </w:r>
      <w:r w:rsidR="00B302BD">
        <w:t>ed</w:t>
      </w:r>
      <w:r>
        <w:t xml:space="preserve"> to identify one test-positive dMMR patient. W</w:t>
      </w:r>
      <w:r w:rsidRPr="00616E22">
        <w:t xml:space="preserve">hen compared against </w:t>
      </w:r>
      <w:r>
        <w:t>MS-MLPA</w:t>
      </w:r>
      <w:r w:rsidRPr="00F5292F">
        <w:t xml:space="preserve"> testing</w:t>
      </w:r>
      <w:r>
        <w:t xml:space="preserve"> of the </w:t>
      </w:r>
      <w:r w:rsidRPr="00D12833">
        <w:rPr>
          <w:i/>
        </w:rPr>
        <w:t>MLH1</w:t>
      </w:r>
      <w:r>
        <w:t xml:space="preserve"> </w:t>
      </w:r>
      <w:r w:rsidRPr="00F5292F">
        <w:t>promoter</w:t>
      </w:r>
      <w:r>
        <w:t xml:space="preserve">, the sensitivity and specificity </w:t>
      </w:r>
      <w:r w:rsidR="00F77139" w:rsidRPr="00F77139">
        <w:t xml:space="preserve">for detecting sporadic disease </w:t>
      </w:r>
      <w:r>
        <w:t xml:space="preserve">were 91% and 92%, respectively </w:t>
      </w:r>
      <w:r w:rsidR="00F77139">
        <w:fldChar w:fldCharType="begin">
          <w:fldData xml:space="preserve">PEVuZE5vdGU+PENpdGU+PEF1dGhvcj5Qb3ludGVyPC9BdXRob3I+PFllYXI+MjAwODwvWWVhcj48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==
</w:fldData>
        </w:fldChar>
      </w:r>
      <w:r w:rsidR="00F77139">
        <w:instrText xml:space="preserve"> ADDIN EN.CITE </w:instrText>
      </w:r>
      <w:r w:rsidR="00F77139">
        <w:fldChar w:fldCharType="begin">
          <w:fldData xml:space="preserve">PEVuZE5vdGU+PENpdGU+PEF1dGhvcj5Qb3ludGVyPC9BdXRob3I+PFllYXI+MjAwODwvWWVhcj48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==
</w:fldData>
        </w:fldChar>
      </w:r>
      <w:r w:rsidR="00F77139">
        <w:instrText xml:space="preserve"> ADDIN EN.CITE.DATA </w:instrText>
      </w:r>
      <w:r w:rsidR="00F77139">
        <w:fldChar w:fldCharType="end"/>
      </w:r>
      <w:r w:rsidR="00F77139">
        <w:fldChar w:fldCharType="separate"/>
      </w:r>
      <w:r w:rsidR="00F77139">
        <w:rPr>
          <w:noProof/>
        </w:rPr>
        <w:t>(Poynter et al. 2008)</w:t>
      </w:r>
      <w:r w:rsidR="00F77139">
        <w:fldChar w:fldCharType="end"/>
      </w:r>
      <w:r>
        <w:t>. When using</w:t>
      </w:r>
      <w:r>
        <w:rPr>
          <w:bCs/>
        </w:rPr>
        <w:t xml:space="preserve"> NGS of the </w:t>
      </w:r>
      <w:r w:rsidRPr="009B21B9">
        <w:rPr>
          <w:bCs/>
          <w:i/>
        </w:rPr>
        <w:t>MMR</w:t>
      </w:r>
      <w:r>
        <w:rPr>
          <w:bCs/>
        </w:rPr>
        <w:t xml:space="preserve"> genes as the reference standard, </w:t>
      </w:r>
      <w:r>
        <w:t xml:space="preserve">the </w:t>
      </w:r>
      <w:r w:rsidRPr="00F5292F">
        <w:rPr>
          <w:bCs/>
        </w:rPr>
        <w:t>sensitivity</w:t>
      </w:r>
      <w:r>
        <w:rPr>
          <w:bCs/>
        </w:rPr>
        <w:t xml:space="preserve"> </w:t>
      </w:r>
      <w:r w:rsidR="00F77139" w:rsidRPr="00F77139">
        <w:rPr>
          <w:bCs/>
        </w:rPr>
        <w:t xml:space="preserve">for detection of Lynch syndrome </w:t>
      </w:r>
      <w:r>
        <w:rPr>
          <w:bCs/>
        </w:rPr>
        <w:t>was similar</w:t>
      </w:r>
      <w:r w:rsidRPr="00F5292F">
        <w:rPr>
          <w:bCs/>
        </w:rPr>
        <w:t xml:space="preserve"> </w:t>
      </w:r>
      <w:r>
        <w:rPr>
          <w:bCs/>
        </w:rPr>
        <w:t xml:space="preserve">(90%), but </w:t>
      </w:r>
      <w:r w:rsidR="000430DA">
        <w:t>there wa</w:t>
      </w:r>
      <w:r>
        <w:t xml:space="preserve">s a reduction in </w:t>
      </w:r>
      <w:r>
        <w:rPr>
          <w:bCs/>
        </w:rPr>
        <w:t>the</w:t>
      </w:r>
      <w:r w:rsidRPr="00F5292F">
        <w:rPr>
          <w:bCs/>
        </w:rPr>
        <w:t xml:space="preserve"> specificity </w:t>
      </w:r>
      <w:r>
        <w:rPr>
          <w:bCs/>
        </w:rPr>
        <w:t xml:space="preserve">(85%) of dMMR IHC testing </w:t>
      </w:r>
      <w:r w:rsidR="00F77139">
        <w:rPr>
          <w:bCs/>
        </w:rPr>
        <w:fldChar w:fldCharType="begin"/>
      </w:r>
      <w:r w:rsidR="00F77139">
        <w:rPr>
          <w:bCs/>
        </w:rPr>
        <w:instrText xml:space="preserve"> ADDIN EN.CITE &lt;EndNote&gt;&lt;Cite&gt;&lt;Author&gt;CADTH&lt;/Author&gt;&lt;Year&gt;2016&lt;/Year&gt;&lt;RecNum&gt;1&lt;/RecNum&gt;&lt;DisplayText&gt;(CADTH 2016)&lt;/DisplayText&gt;&lt;record&gt;&lt;rec-number&gt;1&lt;/rec-number&gt;&lt;foreign-keys&gt;&lt;key app="EN" db-id="20rafrsx2d50edew5w15fz0q0dvfzstzed55" timestamp="1508462758"&gt;1&lt;/key&gt;&lt;/foreign-keys&gt;&lt;ref-type name="Report"&gt;27&lt;/ref-type&gt;&lt;contributors&gt;&lt;authors&gt;&lt;author&gt;CADTH&lt;/author&gt;&lt;/authors&gt;&lt;tertiary-authors&gt;&lt;author&gt;CADTH&lt;/author&gt;&lt;/tertiary-authors&gt;&lt;/contributors&gt;&lt;titles&gt;&lt;title&gt;DNA mismatch repair deficiency tumour testing for patients with colorectal cancer: a health technology assessment&lt;/title&gt;&lt;secondary-title&gt;CADTH optimal use report&lt;/secondary-title&gt;&lt;/titles&gt;&lt;volume&gt;5&lt;/volume&gt;&lt;num-vols&gt;3b&lt;/num-vols&gt;&lt;dates&gt;&lt;year&gt;2016&lt;/year&gt;&lt;pub-dates&gt;&lt;date&gt;Aug 2016&lt;/date&gt;&lt;/pub-dates&gt;&lt;/dates&gt;&lt;pub-location&gt;Ottawa&lt;/pub-location&gt;&lt;urls&gt;&lt;/urls&gt;&lt;/record&gt;&lt;/Cite&gt;&lt;/EndNote&gt;</w:instrText>
      </w:r>
      <w:r w:rsidR="00F77139">
        <w:rPr>
          <w:bCs/>
        </w:rPr>
        <w:fldChar w:fldCharType="separate"/>
      </w:r>
      <w:r w:rsidR="00F77139">
        <w:rPr>
          <w:bCs/>
          <w:noProof/>
        </w:rPr>
        <w:t>(CADTH 2016)</w:t>
      </w:r>
      <w:r w:rsidR="00F77139">
        <w:rPr>
          <w:bCs/>
        </w:rPr>
        <w:fldChar w:fldCharType="end"/>
      </w:r>
      <w:r>
        <w:rPr>
          <w:bCs/>
        </w:rPr>
        <w:t xml:space="preserve">. </w:t>
      </w:r>
      <w:r>
        <w:t>Thus, the post-test probability of having a dMMR tumour would be reduced compared with the hypothetical case discussed above. How t</w:t>
      </w:r>
      <w:r w:rsidRPr="00210308">
        <w:rPr>
          <w:bCs/>
        </w:rPr>
        <w:t>h</w:t>
      </w:r>
      <w:r>
        <w:rPr>
          <w:bCs/>
        </w:rPr>
        <w:t>is reduction alters th</w:t>
      </w:r>
      <w:r w:rsidRPr="00210308">
        <w:rPr>
          <w:bCs/>
        </w:rPr>
        <w:t xml:space="preserve">e post-test probability of having </w:t>
      </w:r>
      <w:r>
        <w:rPr>
          <w:bCs/>
        </w:rPr>
        <w:t xml:space="preserve">dMMR is shown in </w:t>
      </w:r>
      <w:r>
        <w:rPr>
          <w:bCs/>
        </w:rPr>
        <w:fldChar w:fldCharType="begin"/>
      </w:r>
      <w:r>
        <w:rPr>
          <w:bCs/>
        </w:rPr>
        <w:instrText xml:space="preserve"> REF _Ref497300851 \h </w:instrText>
      </w:r>
      <w:r>
        <w:rPr>
          <w:bCs/>
        </w:rPr>
      </w:r>
      <w:r>
        <w:rPr>
          <w:bCs/>
        </w:rPr>
        <w:fldChar w:fldCharType="separate"/>
      </w:r>
      <w:r w:rsidR="0068658C">
        <w:t xml:space="preserve">Figure </w:t>
      </w:r>
      <w:r w:rsidR="0068658C">
        <w:rPr>
          <w:noProof/>
        </w:rPr>
        <w:t>1</w:t>
      </w:r>
      <w:r>
        <w:rPr>
          <w:bCs/>
        </w:rPr>
        <w:fldChar w:fldCharType="end"/>
      </w:r>
      <w:r>
        <w:rPr>
          <w:bCs/>
        </w:rPr>
        <w:t xml:space="preserve"> (das</w:t>
      </w:r>
      <w:r w:rsidR="00722F89">
        <w:rPr>
          <w:bCs/>
        </w:rPr>
        <w:t>hed lines).</w:t>
      </w:r>
    </w:p>
    <w:p w14:paraId="4A738E6E" w14:textId="10557AEB" w:rsidR="004710BA" w:rsidRDefault="004710BA" w:rsidP="00AA13B3">
      <w:pPr>
        <w:spacing w:after="240" w:line="312" w:lineRule="auto"/>
        <w:rPr>
          <w:bCs/>
        </w:rPr>
      </w:pPr>
      <w:r>
        <w:rPr>
          <w:bCs/>
        </w:rPr>
        <w:t>I</w:t>
      </w:r>
      <w:r w:rsidR="002B609F">
        <w:rPr>
          <w:bCs/>
        </w:rPr>
        <w:t xml:space="preserve">t is important </w:t>
      </w:r>
      <w:r>
        <w:rPr>
          <w:bCs/>
        </w:rPr>
        <w:t>that</w:t>
      </w:r>
      <w:r w:rsidR="002B609F">
        <w:rPr>
          <w:bCs/>
        </w:rPr>
        <w:t xml:space="preserve"> th</w:t>
      </w:r>
      <w:r w:rsidR="002B609F" w:rsidRPr="008924B1">
        <w:rPr>
          <w:bCs/>
        </w:rPr>
        <w:t xml:space="preserve">e PPV and NPV for a test versus </w:t>
      </w:r>
      <w:r w:rsidR="00984B14">
        <w:rPr>
          <w:bCs/>
        </w:rPr>
        <w:t xml:space="preserve">its </w:t>
      </w:r>
      <w:r w:rsidR="002B609F" w:rsidRPr="008924B1">
        <w:rPr>
          <w:bCs/>
        </w:rPr>
        <w:t xml:space="preserve">reference standard </w:t>
      </w:r>
      <w:r w:rsidR="00984B14">
        <w:rPr>
          <w:bCs/>
        </w:rPr>
        <w:t>is</w:t>
      </w:r>
      <w:r w:rsidR="00984B14" w:rsidRPr="008924B1">
        <w:rPr>
          <w:bCs/>
        </w:rPr>
        <w:t xml:space="preserve"> provided </w:t>
      </w:r>
      <w:r w:rsidR="002B609F" w:rsidRPr="008924B1">
        <w:rPr>
          <w:bCs/>
        </w:rPr>
        <w:t xml:space="preserve">over the relevant </w:t>
      </w:r>
      <w:r w:rsidR="00984B14">
        <w:rPr>
          <w:bCs/>
        </w:rPr>
        <w:t xml:space="preserve">biomarker </w:t>
      </w:r>
      <w:r w:rsidR="002B609F" w:rsidRPr="008924B1">
        <w:rPr>
          <w:bCs/>
        </w:rPr>
        <w:t xml:space="preserve">prevalence range for </w:t>
      </w:r>
      <w:r w:rsidR="00356791">
        <w:rPr>
          <w:bCs/>
        </w:rPr>
        <w:t xml:space="preserve">the </w:t>
      </w:r>
      <w:r w:rsidR="002B609F" w:rsidRPr="008924B1">
        <w:rPr>
          <w:bCs/>
        </w:rPr>
        <w:t>tumour</w:t>
      </w:r>
      <w:r w:rsidR="00356791">
        <w:rPr>
          <w:bCs/>
        </w:rPr>
        <w:t>s being targeted in a pan-tumour</w:t>
      </w:r>
      <w:r w:rsidR="002B609F" w:rsidRPr="008924B1">
        <w:rPr>
          <w:bCs/>
        </w:rPr>
        <w:t xml:space="preserve"> application to </w:t>
      </w:r>
      <w:r w:rsidR="002B609F">
        <w:rPr>
          <w:bCs/>
        </w:rPr>
        <w:lastRenderedPageBreak/>
        <w:t xml:space="preserve">enable an assessment of the </w:t>
      </w:r>
      <w:r w:rsidR="00356791">
        <w:rPr>
          <w:bCs/>
        </w:rPr>
        <w:t>likely proportion of</w:t>
      </w:r>
      <w:r w:rsidR="002B609F" w:rsidRPr="008924B1">
        <w:rPr>
          <w:bCs/>
        </w:rPr>
        <w:t xml:space="preserve"> false-positive and false-negative</w:t>
      </w:r>
      <w:r w:rsidR="00356791">
        <w:rPr>
          <w:bCs/>
        </w:rPr>
        <w:t xml:space="preserve"> test</w:t>
      </w:r>
      <w:r w:rsidR="002B609F" w:rsidRPr="008924B1">
        <w:rPr>
          <w:bCs/>
        </w:rPr>
        <w:t>s</w:t>
      </w:r>
      <w:r w:rsidR="002B609F">
        <w:rPr>
          <w:bCs/>
        </w:rPr>
        <w:t>.</w:t>
      </w:r>
      <w:r w:rsidR="002B609F" w:rsidRPr="008924B1">
        <w:rPr>
          <w:bCs/>
        </w:rPr>
        <w:t xml:space="preserve"> </w:t>
      </w:r>
      <w:r w:rsidR="00B302BD" w:rsidRPr="00237849">
        <w:rPr>
          <w:b/>
          <w:bCs/>
        </w:rPr>
        <w:t xml:space="preserve">(Recommendation </w:t>
      </w:r>
      <w:r w:rsidR="009570CA" w:rsidRPr="00237849">
        <w:rPr>
          <w:b/>
          <w:bCs/>
        </w:rPr>
        <w:t>9</w:t>
      </w:r>
      <w:r w:rsidR="00B302BD" w:rsidRPr="00237849">
        <w:rPr>
          <w:b/>
          <w:bCs/>
        </w:rPr>
        <w:t>)</w:t>
      </w:r>
      <w:r w:rsidR="00B302BD">
        <w:rPr>
          <w:bCs/>
        </w:rPr>
        <w:t xml:space="preserve"> A</w:t>
      </w:r>
      <w:r w:rsidR="00632136">
        <w:rPr>
          <w:bCs/>
        </w:rPr>
        <w:t xml:space="preserve">n example of the number of </w:t>
      </w:r>
      <w:r w:rsidR="00467C46">
        <w:rPr>
          <w:bCs/>
        </w:rPr>
        <w:t>true positive</w:t>
      </w:r>
      <w:r w:rsidR="00632136">
        <w:rPr>
          <w:bCs/>
        </w:rPr>
        <w:t xml:space="preserve"> and false-positive patients with </w:t>
      </w:r>
      <w:r w:rsidR="00B302BD">
        <w:rPr>
          <w:bCs/>
        </w:rPr>
        <w:t xml:space="preserve">pan-tumour </w:t>
      </w:r>
      <w:r w:rsidR="00632136">
        <w:rPr>
          <w:bCs/>
        </w:rPr>
        <w:t xml:space="preserve">dMMR </w:t>
      </w:r>
      <w:r w:rsidR="00B302BD">
        <w:rPr>
          <w:bCs/>
        </w:rPr>
        <w:t>testing,</w:t>
      </w:r>
      <w:r w:rsidR="00632136">
        <w:rPr>
          <w:bCs/>
        </w:rPr>
        <w:t xml:space="preserve"> who would be eligible for treatment with pembrolizumab, </w:t>
      </w:r>
      <w:r w:rsidR="00B302BD">
        <w:rPr>
          <w:bCs/>
        </w:rPr>
        <w:t xml:space="preserve">is given in </w:t>
      </w:r>
      <w:r w:rsidR="00632136" w:rsidRPr="008924B1">
        <w:rPr>
          <w:bCs/>
        </w:rPr>
        <w:fldChar w:fldCharType="begin"/>
      </w:r>
      <w:r w:rsidR="00632136" w:rsidRPr="008924B1">
        <w:rPr>
          <w:bCs/>
        </w:rPr>
        <w:instrText xml:space="preserve"> REF _Ref497468482 \h  \* MERGEFORMAT </w:instrText>
      </w:r>
      <w:r w:rsidR="00632136" w:rsidRPr="008924B1">
        <w:rPr>
          <w:bCs/>
        </w:rPr>
      </w:r>
      <w:r w:rsidR="00632136" w:rsidRPr="008924B1">
        <w:rPr>
          <w:bCs/>
        </w:rPr>
        <w:fldChar w:fldCharType="separate"/>
      </w:r>
      <w:r w:rsidR="0068658C">
        <w:t xml:space="preserve">Table </w:t>
      </w:r>
      <w:r w:rsidR="0068658C">
        <w:rPr>
          <w:noProof/>
        </w:rPr>
        <w:t>3</w:t>
      </w:r>
      <w:r w:rsidR="00632136" w:rsidRPr="008924B1">
        <w:rPr>
          <w:bCs/>
        </w:rPr>
        <w:fldChar w:fldCharType="end"/>
      </w:r>
      <w:r w:rsidR="00632136">
        <w:t>.</w:t>
      </w:r>
    </w:p>
    <w:p w14:paraId="44B031D5" w14:textId="5E7C31AF" w:rsidR="00FB38E9" w:rsidRDefault="004710BA" w:rsidP="00FB38E9">
      <w:pPr>
        <w:spacing w:after="240" w:line="312" w:lineRule="auto"/>
        <w:rPr>
          <w:bCs/>
        </w:rPr>
      </w:pPr>
      <w:r>
        <w:rPr>
          <w:bCs/>
        </w:rPr>
        <w:t xml:space="preserve">Firstly, the most appropriate reference standard was determined. </w:t>
      </w:r>
      <w:r w:rsidR="009B21B9">
        <w:rPr>
          <w:bCs/>
        </w:rPr>
        <w:t xml:space="preserve">Using NGS of the </w:t>
      </w:r>
      <w:r w:rsidR="009B21B9" w:rsidRPr="009B21B9">
        <w:rPr>
          <w:bCs/>
          <w:i/>
        </w:rPr>
        <w:t>MMR</w:t>
      </w:r>
      <w:r w:rsidR="009B21B9">
        <w:rPr>
          <w:bCs/>
        </w:rPr>
        <w:t xml:space="preserve"> genes as the reference standard</w:t>
      </w:r>
      <w:r w:rsidR="00D12833">
        <w:rPr>
          <w:bCs/>
        </w:rPr>
        <w:t xml:space="preserve"> is not relevant for the pan-tumour application</w:t>
      </w:r>
      <w:r w:rsidR="008924B1">
        <w:rPr>
          <w:bCs/>
        </w:rPr>
        <w:t xml:space="preserve"> because </w:t>
      </w:r>
      <w:r w:rsidR="009B21B9">
        <w:rPr>
          <w:bCs/>
        </w:rPr>
        <w:t>of the very low likelihood of</w:t>
      </w:r>
      <w:r w:rsidR="002B609F">
        <w:rPr>
          <w:bCs/>
        </w:rPr>
        <w:t xml:space="preserve"> the patients having</w:t>
      </w:r>
      <w:r w:rsidR="008924B1">
        <w:rPr>
          <w:bCs/>
        </w:rPr>
        <w:t xml:space="preserve"> Lynch syndrome</w:t>
      </w:r>
      <w:r w:rsidR="002B609F">
        <w:rPr>
          <w:bCs/>
        </w:rPr>
        <w:t>.</w:t>
      </w:r>
      <w:r w:rsidR="00FD72DD">
        <w:rPr>
          <w:bCs/>
        </w:rPr>
        <w:t xml:space="preserve"> </w:t>
      </w:r>
      <w:r w:rsidR="002B609F">
        <w:rPr>
          <w:bCs/>
        </w:rPr>
        <w:t xml:space="preserve">Therefore, </w:t>
      </w:r>
      <w:r w:rsidR="00FD72DD">
        <w:rPr>
          <w:bCs/>
        </w:rPr>
        <w:t xml:space="preserve">the most relevant </w:t>
      </w:r>
      <w:r w:rsidR="00FD72DD" w:rsidRPr="00F77139">
        <w:rPr>
          <w:bCs/>
          <w:u w:val="single"/>
        </w:rPr>
        <w:t>reference</w:t>
      </w:r>
      <w:r w:rsidR="00FD72DD">
        <w:rPr>
          <w:bCs/>
        </w:rPr>
        <w:t xml:space="preserve"> standard </w:t>
      </w:r>
      <w:r w:rsidR="008924B1">
        <w:rPr>
          <w:bCs/>
        </w:rPr>
        <w:t xml:space="preserve">for </w:t>
      </w:r>
      <w:r w:rsidR="00E927C7">
        <w:rPr>
          <w:bCs/>
        </w:rPr>
        <w:t xml:space="preserve">determining the diagnostic accuracy of dMMR IHC testing </w:t>
      </w:r>
      <w:r w:rsidR="002B609F">
        <w:rPr>
          <w:bCs/>
        </w:rPr>
        <w:t>may</w:t>
      </w:r>
      <w:r w:rsidR="008924B1">
        <w:rPr>
          <w:bCs/>
        </w:rPr>
        <w:t xml:space="preserve"> be MS-</w:t>
      </w:r>
      <w:r w:rsidR="00FD72DD">
        <w:rPr>
          <w:bCs/>
        </w:rPr>
        <w:t>MPLA testing</w:t>
      </w:r>
      <w:r w:rsidR="002B609F">
        <w:rPr>
          <w:bCs/>
        </w:rPr>
        <w:t xml:space="preserve"> of the </w:t>
      </w:r>
      <w:r w:rsidR="002B609F" w:rsidRPr="002B609F">
        <w:rPr>
          <w:bCs/>
          <w:i/>
        </w:rPr>
        <w:t>MLH1</w:t>
      </w:r>
      <w:r w:rsidR="002B609F">
        <w:rPr>
          <w:bCs/>
        </w:rPr>
        <w:t xml:space="preserve"> promoter</w:t>
      </w:r>
      <w:r w:rsidR="00400662">
        <w:rPr>
          <w:bCs/>
        </w:rPr>
        <w:t xml:space="preserve">. However, as this test was not used in any of the pivotal trials, using the PCR-based MSI test as the </w:t>
      </w:r>
      <w:r w:rsidR="00400662" w:rsidRPr="00400662">
        <w:rPr>
          <w:bCs/>
          <w:u w:val="single"/>
        </w:rPr>
        <w:t>evidentiary</w:t>
      </w:r>
      <w:r w:rsidR="00400662">
        <w:rPr>
          <w:bCs/>
        </w:rPr>
        <w:t xml:space="preserve"> standard may provide the most accurate link between diagnostic and clinical outcomes.</w:t>
      </w:r>
    </w:p>
    <w:p w14:paraId="773FF865" w14:textId="72BDCF94" w:rsidR="00642C1E" w:rsidRDefault="00400662" w:rsidP="00AA13B3">
      <w:pPr>
        <w:spacing w:after="240" w:line="312" w:lineRule="auto"/>
      </w:pPr>
      <w:r>
        <w:rPr>
          <w:bCs/>
        </w:rPr>
        <w:t>For the purposes of this discussion</w:t>
      </w:r>
      <w:r w:rsidR="002B609F">
        <w:rPr>
          <w:bCs/>
        </w:rPr>
        <w:t>, t</w:t>
      </w:r>
      <w:r w:rsidR="002B609F">
        <w:t xml:space="preserve">he sensitivity (91%) and specificity (92%) </w:t>
      </w:r>
      <w:r w:rsidR="00B302BD">
        <w:t xml:space="preserve">of </w:t>
      </w:r>
      <w:r w:rsidR="002B609F">
        <w:t>dMMR IHC testing compared with MS-MLPA</w:t>
      </w:r>
      <w:r w:rsidR="002B609F" w:rsidRPr="00F5292F">
        <w:t xml:space="preserve"> testing</w:t>
      </w:r>
      <w:r w:rsidR="002B609F">
        <w:t xml:space="preserve"> of the </w:t>
      </w:r>
      <w:r w:rsidR="002B609F" w:rsidRPr="002B609F">
        <w:rPr>
          <w:i/>
        </w:rPr>
        <w:t>MLH1</w:t>
      </w:r>
      <w:r w:rsidR="002B609F">
        <w:t xml:space="preserve"> </w:t>
      </w:r>
      <w:r w:rsidR="002B609F" w:rsidRPr="00F5292F">
        <w:t>promoter</w:t>
      </w:r>
      <w:r w:rsidR="002B609F" w:rsidRPr="0043722D">
        <w:t xml:space="preserve"> </w:t>
      </w:r>
      <w:r w:rsidR="002B609F">
        <w:t>was used to calculate the PPV</w:t>
      </w:r>
      <w:r w:rsidR="00E3459F">
        <w:t xml:space="preserve"> for various tumour types included in the pan-tumour application (</w:t>
      </w:r>
      <w:r w:rsidR="00E3459F" w:rsidRPr="008924B1">
        <w:rPr>
          <w:bCs/>
        </w:rPr>
        <w:fldChar w:fldCharType="begin"/>
      </w:r>
      <w:r w:rsidR="00E3459F" w:rsidRPr="008924B1">
        <w:rPr>
          <w:bCs/>
        </w:rPr>
        <w:instrText xml:space="preserve"> REF _Ref497468482 \h  \* MERGEFORMAT </w:instrText>
      </w:r>
      <w:r w:rsidR="00E3459F" w:rsidRPr="008924B1">
        <w:rPr>
          <w:bCs/>
        </w:rPr>
      </w:r>
      <w:r w:rsidR="00E3459F" w:rsidRPr="008924B1">
        <w:rPr>
          <w:bCs/>
        </w:rPr>
        <w:fldChar w:fldCharType="separate"/>
      </w:r>
      <w:r w:rsidR="0068658C">
        <w:t xml:space="preserve">Table </w:t>
      </w:r>
      <w:r w:rsidR="0068658C">
        <w:rPr>
          <w:noProof/>
        </w:rPr>
        <w:t>3</w:t>
      </w:r>
      <w:r w:rsidR="00E3459F" w:rsidRPr="008924B1">
        <w:rPr>
          <w:bCs/>
        </w:rPr>
        <w:fldChar w:fldCharType="end"/>
      </w:r>
      <w:r w:rsidR="00E3459F">
        <w:rPr>
          <w:bCs/>
        </w:rPr>
        <w:t>)</w:t>
      </w:r>
      <w:r w:rsidR="00E3459F">
        <w:t xml:space="preserve">. </w:t>
      </w:r>
      <w:r w:rsidR="00632136">
        <w:t xml:space="preserve">The </w:t>
      </w:r>
      <w:r w:rsidR="004B53A4">
        <w:t xml:space="preserve">MSI-H </w:t>
      </w:r>
      <w:r w:rsidR="00632136">
        <w:t>prevalence rate</w:t>
      </w:r>
      <w:r w:rsidR="00CA705F">
        <w:t xml:space="preserve"> as </w:t>
      </w:r>
      <w:r w:rsidR="00C5668A">
        <w:t>estimated</w:t>
      </w:r>
      <w:r w:rsidR="00CA705F">
        <w:t xml:space="preserve"> in </w:t>
      </w:r>
      <w:r w:rsidR="00CA705F">
        <w:fldChar w:fldCharType="begin"/>
      </w:r>
      <w:r w:rsidR="00CA705F">
        <w:instrText xml:space="preserve"> REF _Ref499551009 \h </w:instrText>
      </w:r>
      <w:r w:rsidR="00CA705F">
        <w:fldChar w:fldCharType="separate"/>
      </w:r>
      <w:r w:rsidR="0068658C">
        <w:t xml:space="preserve">Table </w:t>
      </w:r>
      <w:r w:rsidR="0068658C">
        <w:rPr>
          <w:noProof/>
        </w:rPr>
        <w:t>2</w:t>
      </w:r>
      <w:r w:rsidR="00CA705F">
        <w:fldChar w:fldCharType="end"/>
      </w:r>
      <w:r w:rsidR="004B53A4" w:rsidRPr="004B53A4">
        <w:t xml:space="preserve"> was used as a surrogate measure for dMMR prevalence, given the high level of agreement between dMMR and MSI-H reported above. The dMMR prevalence rate</w:t>
      </w:r>
      <w:r w:rsidR="00632136">
        <w:t xml:space="preserve"> was used to determine the total number of true positives in the testing population, and according to the sensitivity of the test, 91% of true-positive patients would have a positive test result. </w:t>
      </w:r>
      <w:r w:rsidR="00E3459F">
        <w:t>T</w:t>
      </w:r>
      <w:r w:rsidR="002B609F">
        <w:rPr>
          <w:bCs/>
        </w:rPr>
        <w:t xml:space="preserve">he </w:t>
      </w:r>
      <w:r w:rsidR="0043722D" w:rsidRPr="008924B1">
        <w:t>number of patients with positive test results who would be true</w:t>
      </w:r>
      <w:r w:rsidR="0043722D">
        <w:t xml:space="preserve"> positive or false positive</w:t>
      </w:r>
      <w:r w:rsidR="001D72DC">
        <w:t xml:space="preserve"> </w:t>
      </w:r>
      <w:r w:rsidR="0043722D">
        <w:t>were calculated</w:t>
      </w:r>
      <w:r w:rsidR="00E3459F">
        <w:t xml:space="preserve"> </w:t>
      </w:r>
      <w:r w:rsidR="00632136">
        <w:t xml:space="preserve">using both the dMMR prevalence rate and </w:t>
      </w:r>
      <w:r w:rsidR="0035783D">
        <w:t xml:space="preserve">the inverse of the </w:t>
      </w:r>
      <w:r w:rsidR="004B53A4">
        <w:t>specificity</w:t>
      </w:r>
      <w:r w:rsidR="0035783D">
        <w:t>.</w:t>
      </w:r>
      <w:r w:rsidR="00FB35A3">
        <w:t xml:space="preserve"> The number of true positive patients who had a negative test result was also determined</w:t>
      </w:r>
      <w:r w:rsidR="00632136">
        <w:t xml:space="preserve"> from </w:t>
      </w:r>
      <w:r w:rsidR="004710BA">
        <w:t xml:space="preserve">dMMR prevalence rate and </w:t>
      </w:r>
      <w:r w:rsidR="00632136">
        <w:t xml:space="preserve">the </w:t>
      </w:r>
      <w:r w:rsidR="004710BA">
        <w:t xml:space="preserve">test </w:t>
      </w:r>
      <w:r w:rsidR="00632136">
        <w:t>sensitivity (</w:t>
      </w:r>
      <w:r w:rsidR="00B302BD">
        <w:t>9</w:t>
      </w:r>
      <w:r w:rsidR="00632136">
        <w:t>% of true positives)</w:t>
      </w:r>
      <w:r w:rsidR="00E3459F">
        <w:t>.</w:t>
      </w:r>
    </w:p>
    <w:p w14:paraId="128AD445" w14:textId="5B56A09E" w:rsidR="006C1A57" w:rsidRDefault="006C1A57" w:rsidP="006C1A57">
      <w:pPr>
        <w:spacing w:after="120" w:line="312" w:lineRule="auto"/>
        <w:rPr>
          <w:bCs/>
        </w:rPr>
      </w:pPr>
      <w:r w:rsidRPr="00884E49">
        <w:rPr>
          <w:bCs/>
        </w:rPr>
        <w:t xml:space="preserve">The next step is to consider </w:t>
      </w:r>
      <w:r>
        <w:rPr>
          <w:bCs/>
        </w:rPr>
        <w:t xml:space="preserve">the clinical impact for both false-positive and false-negative </w:t>
      </w:r>
      <w:r w:rsidRPr="00884E49">
        <w:rPr>
          <w:bCs/>
        </w:rPr>
        <w:t xml:space="preserve">patients (as well </w:t>
      </w:r>
      <w:r>
        <w:rPr>
          <w:bCs/>
        </w:rPr>
        <w:t xml:space="preserve">as </w:t>
      </w:r>
      <w:r w:rsidRPr="00884E49">
        <w:rPr>
          <w:bCs/>
        </w:rPr>
        <w:t>true-positive</w:t>
      </w:r>
      <w:r>
        <w:rPr>
          <w:bCs/>
        </w:rPr>
        <w:t>s</w:t>
      </w:r>
      <w:r w:rsidRPr="00884E49">
        <w:rPr>
          <w:bCs/>
        </w:rPr>
        <w:t xml:space="preserve"> and true-negatives). </w:t>
      </w:r>
      <w:r>
        <w:rPr>
          <w:bCs/>
        </w:rPr>
        <w:t>If there are more false-positive patients than true-</w:t>
      </w:r>
      <w:r w:rsidRPr="00F55989">
        <w:rPr>
          <w:bCs/>
        </w:rPr>
        <w:t>positive patients receiving targeted treatment</w:t>
      </w:r>
      <w:r w:rsidRPr="00F70E9C">
        <w:rPr>
          <w:bCs/>
        </w:rPr>
        <w:t xml:space="preserve"> </w:t>
      </w:r>
      <w:r>
        <w:rPr>
          <w:bCs/>
        </w:rPr>
        <w:t xml:space="preserve">for some tumour types, as illustrated in </w:t>
      </w:r>
      <w:r>
        <w:rPr>
          <w:bCs/>
        </w:rPr>
        <w:fldChar w:fldCharType="begin"/>
      </w:r>
      <w:r>
        <w:rPr>
          <w:bCs/>
        </w:rPr>
        <w:instrText xml:space="preserve"> REF _Ref497468482 \h </w:instrText>
      </w:r>
      <w:r>
        <w:rPr>
          <w:bCs/>
        </w:rPr>
      </w:r>
      <w:r>
        <w:rPr>
          <w:bCs/>
        </w:rPr>
        <w:fldChar w:fldCharType="separate"/>
      </w:r>
      <w:r w:rsidR="0068658C">
        <w:t xml:space="preserve">Table </w:t>
      </w:r>
      <w:r w:rsidR="0068658C">
        <w:rPr>
          <w:noProof/>
        </w:rPr>
        <w:t>3</w:t>
      </w:r>
      <w:r>
        <w:rPr>
          <w:bCs/>
        </w:rPr>
        <w:fldChar w:fldCharType="end"/>
      </w:r>
      <w:r>
        <w:rPr>
          <w:bCs/>
        </w:rPr>
        <w:t xml:space="preserve">, health outcomes may be inferior for most of the treated patients. </w:t>
      </w:r>
      <w:r w:rsidRPr="00884E49">
        <w:rPr>
          <w:bCs/>
        </w:rPr>
        <w:t>Treatment with the target</w:t>
      </w:r>
      <w:r>
        <w:rPr>
          <w:bCs/>
        </w:rPr>
        <w:t>ed</w:t>
      </w:r>
      <w:r w:rsidRPr="00884E49">
        <w:rPr>
          <w:bCs/>
        </w:rPr>
        <w:t xml:space="preserve"> </w:t>
      </w:r>
      <w:r w:rsidR="00064683">
        <w:rPr>
          <w:bCs/>
        </w:rPr>
        <w:t>medicine</w:t>
      </w:r>
      <w:r w:rsidRPr="00884E49">
        <w:rPr>
          <w:bCs/>
        </w:rPr>
        <w:t xml:space="preserve"> due to an incorrect test result </w:t>
      </w:r>
      <w:r>
        <w:rPr>
          <w:bCs/>
        </w:rPr>
        <w:t xml:space="preserve">may be acceptable if these patients have no other treatment options, </w:t>
      </w:r>
      <w:r w:rsidRPr="00884E49">
        <w:rPr>
          <w:bCs/>
        </w:rPr>
        <w:t xml:space="preserve">and the side effects are not significant. However, </w:t>
      </w:r>
      <w:r>
        <w:rPr>
          <w:bCs/>
        </w:rPr>
        <w:t xml:space="preserve">if they are forgoing viable alternate </w:t>
      </w:r>
      <w:r w:rsidRPr="00884E49">
        <w:rPr>
          <w:bCs/>
        </w:rPr>
        <w:t xml:space="preserve">treatments due to the incorrect test result, this is likely </w:t>
      </w:r>
      <w:r>
        <w:rPr>
          <w:bCs/>
        </w:rPr>
        <w:t>to</w:t>
      </w:r>
      <w:r w:rsidRPr="00884E49">
        <w:rPr>
          <w:bCs/>
        </w:rPr>
        <w:t xml:space="preserve"> detrimentally impact </w:t>
      </w:r>
      <w:r>
        <w:rPr>
          <w:bCs/>
        </w:rPr>
        <w:t xml:space="preserve">on </w:t>
      </w:r>
      <w:r w:rsidRPr="00884E49">
        <w:rPr>
          <w:bCs/>
        </w:rPr>
        <w:t xml:space="preserve">their </w:t>
      </w:r>
      <w:r>
        <w:rPr>
          <w:bCs/>
        </w:rPr>
        <w:t xml:space="preserve">health and their </w:t>
      </w:r>
      <w:r w:rsidRPr="00884E49">
        <w:rPr>
          <w:bCs/>
        </w:rPr>
        <w:t>survival</w:t>
      </w:r>
      <w:r>
        <w:rPr>
          <w:bCs/>
        </w:rPr>
        <w:t>.</w:t>
      </w:r>
    </w:p>
    <w:p w14:paraId="062C2733" w14:textId="77777777" w:rsidR="004B53A4" w:rsidRDefault="004B53A4" w:rsidP="004B53A4">
      <w:pPr>
        <w:spacing w:after="120" w:line="312" w:lineRule="auto"/>
        <w:rPr>
          <w:bCs/>
        </w:rPr>
      </w:pPr>
      <w:r>
        <w:rPr>
          <w:bCs/>
        </w:rPr>
        <w:t xml:space="preserve">Patients eligible for pan-tumour medication could </w:t>
      </w:r>
      <w:r w:rsidRPr="004B53A4">
        <w:rPr>
          <w:bCs/>
        </w:rPr>
        <w:t>also be eligible for several</w:t>
      </w:r>
      <w:r>
        <w:rPr>
          <w:bCs/>
        </w:rPr>
        <w:t xml:space="preserve"> different standard of care treatment options depending on several factors. Different tumour types, such as endometrial cancer and pancreatic cancer, will have different treatments available. Additionally, different subgroups of the same cancer type, such as endocrine</w:t>
      </w:r>
      <w:r w:rsidRPr="005F7D45">
        <w:rPr>
          <w:bCs/>
        </w:rPr>
        <w:t xml:space="preserve"> receptor-positive breast cancer </w:t>
      </w:r>
      <w:r>
        <w:rPr>
          <w:bCs/>
        </w:rPr>
        <w:t>and</w:t>
      </w:r>
      <w:r w:rsidRPr="005F7D45">
        <w:rPr>
          <w:bCs/>
        </w:rPr>
        <w:t xml:space="preserve"> triple-negative breast cancer</w:t>
      </w:r>
      <w:r>
        <w:rPr>
          <w:bCs/>
        </w:rPr>
        <w:t xml:space="preserve">, will also have different treatment options. </w:t>
      </w:r>
      <w:r w:rsidRPr="00CE31BA">
        <w:rPr>
          <w:bCs/>
        </w:rPr>
        <w:t>Furthermore</w:t>
      </w:r>
      <w:r>
        <w:rPr>
          <w:bCs/>
        </w:rPr>
        <w:t>, the patient’s overall health will determine eligibility for the types of treatment available. As more treatment options fail, the patient’s performance status will decrease, and they may become ineligible for some treatment options.</w:t>
      </w:r>
    </w:p>
    <w:p w14:paraId="66E87F8E" w14:textId="77777777" w:rsidR="004B53A4" w:rsidRDefault="004B53A4" w:rsidP="004B53A4">
      <w:pPr>
        <w:spacing w:after="120" w:line="312" w:lineRule="auto"/>
        <w:rPr>
          <w:bCs/>
        </w:rPr>
      </w:pPr>
      <w:r>
        <w:rPr>
          <w:bCs/>
        </w:rPr>
        <w:t>This has implications for patients</w:t>
      </w:r>
      <w:r w:rsidRPr="00620F71">
        <w:rPr>
          <w:bCs/>
        </w:rPr>
        <w:t xml:space="preserve"> </w:t>
      </w:r>
      <w:r>
        <w:rPr>
          <w:bCs/>
        </w:rPr>
        <w:t xml:space="preserve">with false-positive test results. These patients will forgo a potentially beneficial standard of care treatment to receive a treatment that is unlikely to be effective. Their </w:t>
      </w:r>
      <w:r>
        <w:rPr>
          <w:bCs/>
        </w:rPr>
        <w:lastRenderedPageBreak/>
        <w:t>health status may decline, making them ineligible to receive subsequent potentially beneficial treatments, thus shortening their survival.</w:t>
      </w:r>
    </w:p>
    <w:p w14:paraId="0191CB48" w14:textId="4AE06F91" w:rsidR="00642C1E" w:rsidRPr="00941922" w:rsidRDefault="00642C1E" w:rsidP="00684BA4">
      <w:pPr>
        <w:pStyle w:val="TableHeading"/>
      </w:pPr>
      <w:bookmarkStart w:id="71" w:name="_Ref497468482"/>
      <w:bookmarkStart w:id="72" w:name="_Toc29557677"/>
      <w:r>
        <w:t xml:space="preserve">Table </w:t>
      </w:r>
      <w:r w:rsidR="0054411D">
        <w:rPr>
          <w:noProof/>
        </w:rPr>
        <w:fldChar w:fldCharType="begin"/>
      </w:r>
      <w:r w:rsidR="0054411D">
        <w:rPr>
          <w:noProof/>
        </w:rPr>
        <w:instrText xml:space="preserve"> SEQ Table \* ARABIC </w:instrText>
      </w:r>
      <w:r w:rsidR="0054411D">
        <w:rPr>
          <w:noProof/>
        </w:rPr>
        <w:fldChar w:fldCharType="separate"/>
      </w:r>
      <w:r w:rsidR="0068658C">
        <w:rPr>
          <w:noProof/>
        </w:rPr>
        <w:t>3</w:t>
      </w:r>
      <w:r w:rsidR="0054411D">
        <w:rPr>
          <w:noProof/>
        </w:rPr>
        <w:fldChar w:fldCharType="end"/>
      </w:r>
      <w:bookmarkEnd w:id="71"/>
      <w:r w:rsidRPr="00941922">
        <w:tab/>
      </w:r>
      <w:r w:rsidR="00BB0897">
        <w:t xml:space="preserve">Number of </w:t>
      </w:r>
      <w:r w:rsidR="00DA582F">
        <w:t xml:space="preserve">patients with </w:t>
      </w:r>
      <w:r w:rsidR="00BB0897">
        <w:t xml:space="preserve">dMMR </w:t>
      </w:r>
      <w:r w:rsidR="00DA582F">
        <w:t>IHC positive test results</w:t>
      </w:r>
      <w:r w:rsidR="00BB0897">
        <w:t xml:space="preserve"> </w:t>
      </w:r>
      <w:r w:rsidRPr="00F36CBE">
        <w:t>f</w:t>
      </w:r>
      <w:r w:rsidR="00BB0897">
        <w:t>or</w:t>
      </w:r>
      <w:r w:rsidRPr="00F36CBE">
        <w:t xml:space="preserve"> </w:t>
      </w:r>
      <w:r w:rsidR="00DA582F">
        <w:t xml:space="preserve">various </w:t>
      </w:r>
      <w:r w:rsidR="00BB0897">
        <w:t xml:space="preserve">non-CRC </w:t>
      </w:r>
      <w:r>
        <w:t>solid tumours</w:t>
      </w:r>
      <w:r w:rsidRPr="00F36CBE">
        <w:t xml:space="preserve"> </w:t>
      </w:r>
      <w:r w:rsidR="00DA582F">
        <w:t>types</w:t>
      </w:r>
      <w:r w:rsidR="00BB0897">
        <w:t xml:space="preserve"> </w:t>
      </w:r>
      <w:r w:rsidR="00F82709">
        <w:t>who would be eligible for</w:t>
      </w:r>
      <w:r w:rsidR="00BB0897">
        <w:t xml:space="preserve"> pembrolizumab</w:t>
      </w:r>
      <w:bookmarkEnd w:id="72"/>
    </w:p>
    <w:tbl>
      <w:tblPr>
        <w:tblStyle w:val="TableGrid4"/>
        <w:tblW w:w="8954" w:type="dxa"/>
        <w:tblLook w:val="04A0" w:firstRow="1" w:lastRow="0" w:firstColumn="1" w:lastColumn="0" w:noHBand="0" w:noVBand="1"/>
        <w:tblCaption w:val="Number of patients with dMMR IHC positive test results for various non-CRC solid tumours types who would be eligible for pembrolizumab"/>
        <w:tblDescription w:val="reports the total number of true positive patients with a positive test result and the number of false positive patients who wouls be eligible for treatment with pembrolizumab for various tumour types."/>
      </w:tblPr>
      <w:tblGrid>
        <w:gridCol w:w="1913"/>
        <w:gridCol w:w="1129"/>
        <w:gridCol w:w="1499"/>
        <w:gridCol w:w="1408"/>
        <w:gridCol w:w="1559"/>
        <w:gridCol w:w="1446"/>
      </w:tblGrid>
      <w:tr w:rsidR="00FB35A3" w:rsidRPr="00F36CBE" w14:paraId="699706CD" w14:textId="77777777" w:rsidTr="00920354">
        <w:trPr>
          <w:tblHeader/>
        </w:trPr>
        <w:tc>
          <w:tcPr>
            <w:tcW w:w="1913" w:type="dxa"/>
            <w:tcBorders>
              <w:bottom w:val="single" w:sz="4" w:space="0" w:color="auto"/>
            </w:tcBorders>
          </w:tcPr>
          <w:p w14:paraId="51302F12" w14:textId="77777777" w:rsidR="00FB35A3" w:rsidRPr="00F36CBE" w:rsidRDefault="00FB35A3" w:rsidP="006C1A57">
            <w:pPr>
              <w:keepNext/>
              <w:spacing w:before="40" w:after="40"/>
              <w:rPr>
                <w:rFonts w:ascii="Arial Narrow" w:eastAsia="Calibri" w:hAnsi="Arial Narrow" w:cs="Times New Roman"/>
                <w:b/>
                <w:sz w:val="20"/>
                <w:lang w:eastAsia="en-US"/>
              </w:rPr>
            </w:pPr>
            <w:r w:rsidRPr="00F36CBE">
              <w:rPr>
                <w:rFonts w:ascii="Arial Narrow" w:eastAsia="Calibri" w:hAnsi="Arial Narrow" w:cs="Times New Roman"/>
                <w:b/>
                <w:sz w:val="20"/>
                <w:lang w:eastAsia="en-US"/>
              </w:rPr>
              <w:t xml:space="preserve">Carcinoma </w:t>
            </w:r>
          </w:p>
        </w:tc>
        <w:tc>
          <w:tcPr>
            <w:tcW w:w="1129" w:type="dxa"/>
            <w:tcBorders>
              <w:bottom w:val="single" w:sz="4" w:space="0" w:color="auto"/>
            </w:tcBorders>
          </w:tcPr>
          <w:p w14:paraId="5942FBF6" w14:textId="78F82737" w:rsidR="00FB35A3" w:rsidRPr="00F36CBE" w:rsidRDefault="004B53A4" w:rsidP="006C1A57">
            <w:pPr>
              <w:keepNext/>
              <w:spacing w:before="40" w:after="40"/>
              <w:jc w:val="center"/>
              <w:rPr>
                <w:rFonts w:ascii="Arial Narrow" w:eastAsia="Calibri" w:hAnsi="Arial Narrow" w:cs="Times New Roman"/>
                <w:b/>
                <w:sz w:val="20"/>
                <w:lang w:eastAsia="en-US"/>
              </w:rPr>
            </w:pPr>
            <w:r>
              <w:rPr>
                <w:rFonts w:ascii="Arial Narrow" w:eastAsia="Calibri" w:hAnsi="Arial Narrow" w:cs="Times New Roman"/>
                <w:b/>
                <w:sz w:val="20"/>
                <w:lang w:eastAsia="en-US"/>
              </w:rPr>
              <w:t xml:space="preserve">MSI-H </w:t>
            </w:r>
            <w:r w:rsidR="00FB35A3">
              <w:rPr>
                <w:rFonts w:ascii="Arial Narrow" w:eastAsia="Calibri" w:hAnsi="Arial Narrow" w:cs="Times New Roman"/>
                <w:b/>
                <w:sz w:val="20"/>
                <w:lang w:eastAsia="en-US"/>
              </w:rPr>
              <w:t>prevalence</w:t>
            </w:r>
          </w:p>
        </w:tc>
        <w:tc>
          <w:tcPr>
            <w:tcW w:w="1499" w:type="dxa"/>
            <w:tcBorders>
              <w:bottom w:val="single" w:sz="4" w:space="0" w:color="auto"/>
            </w:tcBorders>
          </w:tcPr>
          <w:p w14:paraId="5E45D582" w14:textId="7964C042" w:rsidR="00FB35A3" w:rsidRPr="00F36CBE" w:rsidRDefault="00FB35A3" w:rsidP="006C1A57">
            <w:pPr>
              <w:keepNext/>
              <w:spacing w:before="40" w:after="40"/>
              <w:jc w:val="center"/>
              <w:rPr>
                <w:rFonts w:ascii="Arial Narrow" w:eastAsia="Calibri" w:hAnsi="Arial Narrow" w:cs="Times New Roman"/>
                <w:b/>
                <w:sz w:val="20"/>
                <w:lang w:eastAsia="en-US"/>
              </w:rPr>
            </w:pPr>
            <w:r w:rsidRPr="00F36CBE">
              <w:rPr>
                <w:rFonts w:ascii="Arial Narrow" w:eastAsia="Calibri" w:hAnsi="Arial Narrow" w:cs="Times New Roman"/>
                <w:b/>
                <w:sz w:val="20"/>
                <w:lang w:eastAsia="en-US"/>
              </w:rPr>
              <w:t xml:space="preserve">Number of </w:t>
            </w:r>
            <w:r w:rsidR="00400E31">
              <w:rPr>
                <w:rFonts w:ascii="Arial Narrow" w:eastAsia="Calibri" w:hAnsi="Arial Narrow" w:cs="Times New Roman"/>
                <w:b/>
                <w:sz w:val="20"/>
                <w:lang w:eastAsia="en-US"/>
              </w:rPr>
              <w:t xml:space="preserve">Stage IV </w:t>
            </w:r>
            <w:r w:rsidRPr="00F36CBE">
              <w:rPr>
                <w:rFonts w:ascii="Arial Narrow" w:eastAsia="Calibri" w:hAnsi="Arial Narrow" w:cs="Times New Roman"/>
                <w:b/>
                <w:sz w:val="20"/>
                <w:lang w:eastAsia="en-US"/>
              </w:rPr>
              <w:t>patients</w:t>
            </w:r>
            <w:r>
              <w:rPr>
                <w:rFonts w:ascii="Arial Narrow" w:eastAsia="Calibri" w:hAnsi="Arial Narrow" w:cs="Times New Roman"/>
                <w:b/>
                <w:sz w:val="20"/>
                <w:lang w:eastAsia="en-US"/>
              </w:rPr>
              <w:t xml:space="preserve"> (TPs)</w:t>
            </w:r>
          </w:p>
        </w:tc>
        <w:tc>
          <w:tcPr>
            <w:tcW w:w="1408" w:type="dxa"/>
            <w:tcBorders>
              <w:bottom w:val="single" w:sz="4" w:space="0" w:color="auto"/>
            </w:tcBorders>
          </w:tcPr>
          <w:p w14:paraId="041808DA" w14:textId="5DF64159" w:rsidR="00FB35A3" w:rsidRPr="00F36CBE" w:rsidRDefault="00FB35A3" w:rsidP="006C1A57">
            <w:pPr>
              <w:keepNext/>
              <w:spacing w:before="40" w:after="40"/>
              <w:jc w:val="center"/>
              <w:rPr>
                <w:rFonts w:ascii="Arial Narrow" w:eastAsia="Calibri" w:hAnsi="Arial Narrow" w:cs="Times New Roman"/>
                <w:b/>
                <w:sz w:val="20"/>
                <w:lang w:eastAsia="en-US"/>
              </w:rPr>
            </w:pPr>
            <w:r>
              <w:rPr>
                <w:rFonts w:ascii="Arial Narrow" w:eastAsia="Calibri" w:hAnsi="Arial Narrow" w:cs="Times New Roman"/>
                <w:b/>
                <w:sz w:val="20"/>
                <w:lang w:eastAsia="en-US"/>
              </w:rPr>
              <w:t>Post-test probability of being TP (PPV)</w:t>
            </w:r>
          </w:p>
        </w:tc>
        <w:tc>
          <w:tcPr>
            <w:tcW w:w="1559" w:type="dxa"/>
            <w:tcBorders>
              <w:bottom w:val="single" w:sz="4" w:space="0" w:color="auto"/>
            </w:tcBorders>
          </w:tcPr>
          <w:p w14:paraId="6323FFB2" w14:textId="49233C96" w:rsidR="00FB35A3" w:rsidRDefault="00FB35A3" w:rsidP="006C1A57">
            <w:pPr>
              <w:keepNext/>
              <w:spacing w:before="40" w:after="40"/>
              <w:jc w:val="center"/>
              <w:rPr>
                <w:rFonts w:ascii="Arial Narrow" w:eastAsia="Calibri" w:hAnsi="Arial Narrow" w:cs="Times New Roman"/>
                <w:b/>
                <w:sz w:val="20"/>
                <w:lang w:eastAsia="en-US"/>
              </w:rPr>
            </w:pPr>
            <w:r>
              <w:rPr>
                <w:rFonts w:ascii="Arial Narrow" w:eastAsia="Calibri" w:hAnsi="Arial Narrow" w:cs="Times New Roman"/>
                <w:b/>
                <w:sz w:val="20"/>
                <w:lang w:eastAsia="en-US"/>
              </w:rPr>
              <w:t>Total number of TP:FP eligible for treatment</w:t>
            </w:r>
          </w:p>
        </w:tc>
        <w:tc>
          <w:tcPr>
            <w:tcW w:w="1446" w:type="dxa"/>
            <w:tcBorders>
              <w:bottom w:val="single" w:sz="4" w:space="0" w:color="auto"/>
            </w:tcBorders>
          </w:tcPr>
          <w:p w14:paraId="65533FE7" w14:textId="7115901A" w:rsidR="00FB35A3" w:rsidRDefault="00FB35A3" w:rsidP="006C1A57">
            <w:pPr>
              <w:keepNext/>
              <w:spacing w:before="40" w:after="40"/>
              <w:jc w:val="center"/>
              <w:rPr>
                <w:rFonts w:ascii="Arial Narrow" w:eastAsia="Calibri" w:hAnsi="Arial Narrow" w:cs="Times New Roman"/>
                <w:b/>
                <w:sz w:val="20"/>
                <w:lang w:eastAsia="en-US"/>
              </w:rPr>
            </w:pPr>
            <w:r>
              <w:rPr>
                <w:rFonts w:ascii="Arial Narrow" w:eastAsia="Calibri" w:hAnsi="Arial Narrow" w:cs="Times New Roman"/>
                <w:b/>
                <w:sz w:val="20"/>
                <w:lang w:eastAsia="en-US"/>
              </w:rPr>
              <w:t>Number of TP</w:t>
            </w:r>
            <w:r w:rsidR="00920354">
              <w:rPr>
                <w:rFonts w:ascii="Arial Narrow" w:eastAsia="Calibri" w:hAnsi="Arial Narrow" w:cs="Times New Roman"/>
                <w:b/>
                <w:sz w:val="20"/>
                <w:lang w:eastAsia="en-US"/>
              </w:rPr>
              <w:t>s</w:t>
            </w:r>
            <w:r>
              <w:rPr>
                <w:rFonts w:ascii="Arial Narrow" w:eastAsia="Calibri" w:hAnsi="Arial Narrow" w:cs="Times New Roman"/>
                <w:b/>
                <w:sz w:val="20"/>
                <w:lang w:eastAsia="en-US"/>
              </w:rPr>
              <w:t xml:space="preserve"> with negative test result</w:t>
            </w:r>
          </w:p>
        </w:tc>
      </w:tr>
      <w:tr w:rsidR="00FB35A3" w:rsidRPr="00F36CBE" w14:paraId="58580800" w14:textId="77777777" w:rsidTr="00920354">
        <w:tc>
          <w:tcPr>
            <w:tcW w:w="1913" w:type="dxa"/>
          </w:tcPr>
          <w:p w14:paraId="67543E04" w14:textId="77777777" w:rsidR="00FB35A3" w:rsidRPr="00F36CBE" w:rsidRDefault="00FB35A3" w:rsidP="006C1A57">
            <w:pPr>
              <w:keepNext/>
              <w:spacing w:before="40" w:after="40"/>
              <w:rPr>
                <w:rFonts w:ascii="Arial Narrow" w:eastAsia="Calibri" w:hAnsi="Arial Narrow" w:cs="Times New Roman"/>
                <w:sz w:val="20"/>
                <w:lang w:eastAsia="en-US"/>
              </w:rPr>
            </w:pPr>
            <w:r w:rsidRPr="00F36CBE">
              <w:rPr>
                <w:rFonts w:ascii="Arial Narrow" w:eastAsia="Calibri" w:hAnsi="Arial Narrow" w:cs="Times New Roman"/>
                <w:sz w:val="20"/>
                <w:lang w:eastAsia="en-US"/>
              </w:rPr>
              <w:t>Breast cancer</w:t>
            </w:r>
          </w:p>
        </w:tc>
        <w:tc>
          <w:tcPr>
            <w:tcW w:w="1129" w:type="dxa"/>
          </w:tcPr>
          <w:p w14:paraId="2E7BAB2A" w14:textId="19C1C659" w:rsidR="00FB35A3" w:rsidRPr="00F36CBE" w:rsidRDefault="00FB35A3" w:rsidP="006C1A57">
            <w:pPr>
              <w:keepNext/>
              <w:tabs>
                <w:tab w:val="left" w:pos="743"/>
              </w:tabs>
              <w:spacing w:before="40" w:after="40"/>
              <w:jc w:val="center"/>
              <w:rPr>
                <w:rFonts w:ascii="Arial Narrow" w:eastAsia="Calibri" w:hAnsi="Arial Narrow" w:cs="Times New Roman"/>
                <w:sz w:val="20"/>
                <w:lang w:eastAsia="en-US"/>
              </w:rPr>
            </w:pPr>
            <w:r w:rsidRPr="00F36CBE">
              <w:rPr>
                <w:rFonts w:ascii="Arial Narrow" w:eastAsia="Calibri" w:hAnsi="Arial Narrow" w:cs="Times New Roman"/>
                <w:sz w:val="20"/>
                <w:lang w:eastAsia="en-US"/>
              </w:rPr>
              <w:t>1%</w:t>
            </w:r>
          </w:p>
        </w:tc>
        <w:tc>
          <w:tcPr>
            <w:tcW w:w="1499" w:type="dxa"/>
          </w:tcPr>
          <w:p w14:paraId="647D5C79" w14:textId="1320597B" w:rsidR="00FB35A3" w:rsidRPr="00F36CBE" w:rsidRDefault="00FB35A3" w:rsidP="006C1A57">
            <w:pPr>
              <w:keepNext/>
              <w:tabs>
                <w:tab w:val="left" w:pos="743"/>
              </w:tabs>
              <w:spacing w:before="40" w:after="40"/>
              <w:jc w:val="center"/>
              <w:rPr>
                <w:rFonts w:ascii="Arial Narrow" w:eastAsia="Calibri" w:hAnsi="Arial Narrow" w:cs="Times New Roman"/>
                <w:sz w:val="20"/>
                <w:lang w:eastAsia="en-US"/>
              </w:rPr>
            </w:pPr>
            <w:r w:rsidRPr="00F36CBE">
              <w:rPr>
                <w:rFonts w:ascii="Arial Narrow" w:eastAsia="Calibri" w:hAnsi="Arial Narrow" w:cs="Times New Roman"/>
                <w:sz w:val="20"/>
                <w:lang w:eastAsia="en-US"/>
              </w:rPr>
              <w:t>2,521</w:t>
            </w:r>
            <w:r>
              <w:rPr>
                <w:rFonts w:ascii="Arial Narrow" w:eastAsia="Calibri" w:hAnsi="Arial Narrow" w:cs="Times New Roman"/>
                <w:sz w:val="20"/>
                <w:lang w:eastAsia="en-US"/>
              </w:rPr>
              <w:t xml:space="preserve"> (25)</w:t>
            </w:r>
          </w:p>
        </w:tc>
        <w:tc>
          <w:tcPr>
            <w:tcW w:w="1408" w:type="dxa"/>
          </w:tcPr>
          <w:p w14:paraId="10F44F95" w14:textId="7AE50EB9" w:rsidR="00FB35A3" w:rsidRPr="00F36CBE" w:rsidRDefault="00FB35A3" w:rsidP="006C1A57">
            <w:pPr>
              <w:keepNext/>
              <w:tabs>
                <w:tab w:val="left" w:pos="743"/>
              </w:tabs>
              <w:spacing w:before="40" w:after="40"/>
              <w:jc w:val="center"/>
              <w:rPr>
                <w:rFonts w:ascii="Arial Narrow" w:eastAsia="Calibri" w:hAnsi="Arial Narrow" w:cs="Times New Roman"/>
                <w:sz w:val="20"/>
                <w:lang w:eastAsia="en-US"/>
              </w:rPr>
            </w:pPr>
            <w:r>
              <w:rPr>
                <w:rFonts w:ascii="Arial Narrow" w:eastAsia="Calibri" w:hAnsi="Arial Narrow" w:cs="Times New Roman"/>
                <w:sz w:val="20"/>
                <w:lang w:eastAsia="en-US"/>
              </w:rPr>
              <w:t>10.3%</w:t>
            </w:r>
          </w:p>
        </w:tc>
        <w:tc>
          <w:tcPr>
            <w:tcW w:w="1559" w:type="dxa"/>
          </w:tcPr>
          <w:p w14:paraId="04AC0B98" w14:textId="67D8341C" w:rsidR="00FB35A3" w:rsidRDefault="00FB35A3" w:rsidP="006C1A57">
            <w:pPr>
              <w:keepNext/>
              <w:tabs>
                <w:tab w:val="left" w:pos="743"/>
              </w:tabs>
              <w:spacing w:before="40" w:after="40"/>
              <w:jc w:val="center"/>
              <w:rPr>
                <w:rFonts w:ascii="Arial Narrow" w:eastAsia="Calibri" w:hAnsi="Arial Narrow" w:cs="Times New Roman"/>
                <w:sz w:val="20"/>
                <w:lang w:eastAsia="en-US"/>
              </w:rPr>
            </w:pPr>
            <w:r>
              <w:rPr>
                <w:rFonts w:ascii="Arial Narrow" w:eastAsia="Calibri" w:hAnsi="Arial Narrow" w:cs="Times New Roman"/>
                <w:sz w:val="20"/>
                <w:lang w:eastAsia="en-US"/>
              </w:rPr>
              <w:t>23:200</w:t>
            </w:r>
          </w:p>
        </w:tc>
        <w:tc>
          <w:tcPr>
            <w:tcW w:w="1446" w:type="dxa"/>
          </w:tcPr>
          <w:p w14:paraId="0E97F7A1" w14:textId="3C12CB51" w:rsidR="00FB35A3" w:rsidRDefault="00FB35A3" w:rsidP="006C1A57">
            <w:pPr>
              <w:keepNext/>
              <w:tabs>
                <w:tab w:val="left" w:pos="743"/>
              </w:tabs>
              <w:spacing w:before="40" w:after="40"/>
              <w:jc w:val="center"/>
              <w:rPr>
                <w:rFonts w:ascii="Arial Narrow" w:eastAsia="Calibri" w:hAnsi="Arial Narrow" w:cs="Times New Roman"/>
                <w:sz w:val="20"/>
                <w:lang w:eastAsia="en-US"/>
              </w:rPr>
            </w:pPr>
            <w:r>
              <w:rPr>
                <w:rFonts w:ascii="Arial Narrow" w:eastAsia="Calibri" w:hAnsi="Arial Narrow" w:cs="Times New Roman"/>
                <w:sz w:val="20"/>
                <w:lang w:eastAsia="en-US"/>
              </w:rPr>
              <w:t>2</w:t>
            </w:r>
          </w:p>
        </w:tc>
      </w:tr>
      <w:tr w:rsidR="00FB35A3" w:rsidRPr="00F36CBE" w14:paraId="5CD7C910" w14:textId="77777777" w:rsidTr="00920354">
        <w:tc>
          <w:tcPr>
            <w:tcW w:w="1913" w:type="dxa"/>
          </w:tcPr>
          <w:p w14:paraId="4437CA15" w14:textId="77777777" w:rsidR="00FB35A3" w:rsidRPr="00F36CBE" w:rsidRDefault="00FB35A3" w:rsidP="006C1A57">
            <w:pPr>
              <w:keepNext/>
              <w:spacing w:before="40" w:after="40"/>
              <w:rPr>
                <w:rFonts w:ascii="Arial Narrow" w:eastAsia="Calibri" w:hAnsi="Arial Narrow" w:cs="Times New Roman"/>
                <w:sz w:val="20"/>
                <w:lang w:eastAsia="en-US"/>
              </w:rPr>
            </w:pPr>
            <w:r w:rsidRPr="00F36CBE">
              <w:rPr>
                <w:rFonts w:ascii="Arial Narrow" w:eastAsia="Calibri" w:hAnsi="Arial Narrow" w:cs="Times New Roman"/>
                <w:sz w:val="20"/>
                <w:lang w:eastAsia="en-US"/>
              </w:rPr>
              <w:t>Prostate cancer</w:t>
            </w:r>
          </w:p>
        </w:tc>
        <w:tc>
          <w:tcPr>
            <w:tcW w:w="1129" w:type="dxa"/>
          </w:tcPr>
          <w:p w14:paraId="27B35D96" w14:textId="39E2F423" w:rsidR="00FB35A3" w:rsidRPr="00F36CBE" w:rsidRDefault="00FB35A3" w:rsidP="006C1A57">
            <w:pPr>
              <w:keepNext/>
              <w:tabs>
                <w:tab w:val="left" w:pos="743"/>
              </w:tabs>
              <w:spacing w:before="40" w:after="40"/>
              <w:jc w:val="center"/>
              <w:rPr>
                <w:rFonts w:ascii="Arial Narrow" w:eastAsia="Calibri" w:hAnsi="Arial Narrow" w:cs="Times New Roman"/>
                <w:sz w:val="20"/>
                <w:lang w:eastAsia="en-US"/>
              </w:rPr>
            </w:pPr>
            <w:r>
              <w:rPr>
                <w:rFonts w:ascii="Arial Narrow" w:eastAsia="Calibri" w:hAnsi="Arial Narrow" w:cs="Times New Roman"/>
                <w:sz w:val="20"/>
                <w:lang w:eastAsia="en-US"/>
              </w:rPr>
              <w:t>12</w:t>
            </w:r>
            <w:r w:rsidRPr="00F36CBE">
              <w:rPr>
                <w:rFonts w:ascii="Arial Narrow" w:eastAsia="Calibri" w:hAnsi="Arial Narrow" w:cs="Times New Roman"/>
                <w:sz w:val="20"/>
                <w:lang w:eastAsia="en-US"/>
              </w:rPr>
              <w:t>%</w:t>
            </w:r>
          </w:p>
        </w:tc>
        <w:tc>
          <w:tcPr>
            <w:tcW w:w="1499" w:type="dxa"/>
          </w:tcPr>
          <w:p w14:paraId="2AF895E1" w14:textId="16B00B93" w:rsidR="00FB35A3" w:rsidRPr="00F36CBE" w:rsidRDefault="00FB35A3" w:rsidP="006C1A57">
            <w:pPr>
              <w:keepNext/>
              <w:tabs>
                <w:tab w:val="left" w:pos="743"/>
              </w:tabs>
              <w:spacing w:before="40" w:after="40"/>
              <w:jc w:val="center"/>
              <w:rPr>
                <w:rFonts w:ascii="Arial Narrow" w:eastAsia="Calibri" w:hAnsi="Arial Narrow" w:cs="Times New Roman"/>
                <w:sz w:val="20"/>
                <w:lang w:eastAsia="en-US"/>
              </w:rPr>
            </w:pPr>
            <w:r w:rsidRPr="00F36CBE">
              <w:rPr>
                <w:rFonts w:ascii="Arial Narrow" w:eastAsia="Calibri" w:hAnsi="Arial Narrow" w:cs="Times New Roman"/>
                <w:sz w:val="20"/>
                <w:lang w:eastAsia="en-US"/>
              </w:rPr>
              <w:t>2,678</w:t>
            </w:r>
            <w:r>
              <w:rPr>
                <w:rFonts w:ascii="Arial Narrow" w:eastAsia="Calibri" w:hAnsi="Arial Narrow" w:cs="Times New Roman"/>
                <w:sz w:val="20"/>
                <w:lang w:eastAsia="en-US"/>
              </w:rPr>
              <w:t xml:space="preserve"> (321)</w:t>
            </w:r>
          </w:p>
        </w:tc>
        <w:tc>
          <w:tcPr>
            <w:tcW w:w="1408" w:type="dxa"/>
          </w:tcPr>
          <w:p w14:paraId="4746726A" w14:textId="4E80B39B" w:rsidR="00FB35A3" w:rsidRPr="00F36CBE" w:rsidRDefault="00FB35A3" w:rsidP="006C1A57">
            <w:pPr>
              <w:keepNext/>
              <w:tabs>
                <w:tab w:val="left" w:pos="743"/>
              </w:tabs>
              <w:spacing w:before="40" w:after="40"/>
              <w:jc w:val="center"/>
              <w:rPr>
                <w:rFonts w:ascii="Arial Narrow" w:eastAsia="Calibri" w:hAnsi="Arial Narrow" w:cs="Times New Roman"/>
                <w:sz w:val="20"/>
                <w:lang w:eastAsia="en-US"/>
              </w:rPr>
            </w:pPr>
            <w:r>
              <w:rPr>
                <w:rFonts w:ascii="Arial Narrow" w:eastAsia="Calibri" w:hAnsi="Arial Narrow" w:cs="Times New Roman"/>
                <w:sz w:val="20"/>
                <w:lang w:eastAsia="en-US"/>
              </w:rPr>
              <w:t>60.8%</w:t>
            </w:r>
          </w:p>
        </w:tc>
        <w:tc>
          <w:tcPr>
            <w:tcW w:w="1559" w:type="dxa"/>
          </w:tcPr>
          <w:p w14:paraId="21FB1513" w14:textId="6C540C68" w:rsidR="00FB35A3" w:rsidRDefault="00FB35A3" w:rsidP="006C1A57">
            <w:pPr>
              <w:keepNext/>
              <w:tabs>
                <w:tab w:val="left" w:pos="743"/>
              </w:tabs>
              <w:spacing w:before="40" w:after="40"/>
              <w:jc w:val="center"/>
              <w:rPr>
                <w:rFonts w:ascii="Arial Narrow" w:eastAsia="Calibri" w:hAnsi="Arial Narrow" w:cs="Times New Roman"/>
                <w:sz w:val="20"/>
                <w:lang w:eastAsia="en-US"/>
              </w:rPr>
            </w:pPr>
            <w:r>
              <w:rPr>
                <w:rFonts w:ascii="Arial Narrow" w:eastAsia="Calibri" w:hAnsi="Arial Narrow" w:cs="Times New Roman"/>
                <w:sz w:val="20"/>
                <w:lang w:eastAsia="en-US"/>
              </w:rPr>
              <w:t>292:188</w:t>
            </w:r>
          </w:p>
        </w:tc>
        <w:tc>
          <w:tcPr>
            <w:tcW w:w="1446" w:type="dxa"/>
          </w:tcPr>
          <w:p w14:paraId="6239813E" w14:textId="3EE534BC" w:rsidR="00FB35A3" w:rsidRDefault="00FB35A3" w:rsidP="006C1A57">
            <w:pPr>
              <w:keepNext/>
              <w:tabs>
                <w:tab w:val="left" w:pos="743"/>
              </w:tabs>
              <w:spacing w:before="40" w:after="40"/>
              <w:jc w:val="center"/>
              <w:rPr>
                <w:rFonts w:ascii="Arial Narrow" w:eastAsia="Calibri" w:hAnsi="Arial Narrow" w:cs="Times New Roman"/>
                <w:sz w:val="20"/>
                <w:lang w:eastAsia="en-US"/>
              </w:rPr>
            </w:pPr>
            <w:r>
              <w:rPr>
                <w:rFonts w:ascii="Arial Narrow" w:eastAsia="Calibri" w:hAnsi="Arial Narrow" w:cs="Times New Roman"/>
                <w:sz w:val="20"/>
                <w:lang w:eastAsia="en-US"/>
              </w:rPr>
              <w:t>29</w:t>
            </w:r>
          </w:p>
        </w:tc>
      </w:tr>
      <w:tr w:rsidR="00FB35A3" w:rsidRPr="00F36CBE" w14:paraId="4CC612E2" w14:textId="77777777" w:rsidTr="00920354">
        <w:tc>
          <w:tcPr>
            <w:tcW w:w="1913" w:type="dxa"/>
          </w:tcPr>
          <w:p w14:paraId="5D495309" w14:textId="77777777" w:rsidR="00FB35A3" w:rsidRPr="002F5F3F" w:rsidRDefault="00FB35A3" w:rsidP="006C1A57">
            <w:pPr>
              <w:keepNext/>
              <w:spacing w:before="40" w:after="40"/>
              <w:rPr>
                <w:rFonts w:ascii="Arial Narrow" w:eastAsia="Calibri" w:hAnsi="Arial Narrow" w:cs="Times New Roman"/>
                <w:sz w:val="20"/>
                <w:lang w:eastAsia="en-US"/>
              </w:rPr>
            </w:pPr>
            <w:r>
              <w:rPr>
                <w:rFonts w:ascii="Arial Narrow" w:eastAsia="Calibri" w:hAnsi="Arial Narrow" w:cs="Times New Roman"/>
                <w:sz w:val="20"/>
                <w:lang w:eastAsia="en-US"/>
              </w:rPr>
              <w:t>Lung cancer</w:t>
            </w:r>
          </w:p>
        </w:tc>
        <w:tc>
          <w:tcPr>
            <w:tcW w:w="1129" w:type="dxa"/>
          </w:tcPr>
          <w:p w14:paraId="2DAAF129" w14:textId="52BCB835" w:rsidR="00FB35A3" w:rsidRDefault="00FB35A3" w:rsidP="006C1A57">
            <w:pPr>
              <w:keepNext/>
              <w:tabs>
                <w:tab w:val="left" w:pos="743"/>
              </w:tabs>
              <w:spacing w:before="40" w:after="40"/>
              <w:jc w:val="center"/>
              <w:rPr>
                <w:rFonts w:ascii="Arial Narrow" w:eastAsia="Calibri" w:hAnsi="Arial Narrow" w:cs="Times New Roman"/>
                <w:sz w:val="20"/>
                <w:lang w:eastAsia="en-US"/>
              </w:rPr>
            </w:pPr>
            <w:r w:rsidRPr="002F5F3F">
              <w:rPr>
                <w:rFonts w:ascii="Arial Narrow" w:eastAsia="Calibri" w:hAnsi="Arial Narrow" w:cs="Times New Roman"/>
                <w:sz w:val="20"/>
                <w:lang w:eastAsia="en-US"/>
              </w:rPr>
              <w:t>1%</w:t>
            </w:r>
          </w:p>
        </w:tc>
        <w:tc>
          <w:tcPr>
            <w:tcW w:w="1499" w:type="dxa"/>
          </w:tcPr>
          <w:p w14:paraId="51297BCD" w14:textId="7C88F4E2" w:rsidR="00FB35A3" w:rsidRPr="002F5F3F" w:rsidRDefault="00FB35A3" w:rsidP="006C1A57">
            <w:pPr>
              <w:keepNext/>
              <w:tabs>
                <w:tab w:val="left" w:pos="743"/>
              </w:tabs>
              <w:spacing w:before="40" w:after="40"/>
              <w:jc w:val="center"/>
              <w:rPr>
                <w:rFonts w:ascii="Arial Narrow" w:eastAsia="Calibri" w:hAnsi="Arial Narrow" w:cs="Times New Roman"/>
                <w:sz w:val="20"/>
                <w:lang w:eastAsia="en-US"/>
              </w:rPr>
            </w:pPr>
            <w:r>
              <w:rPr>
                <w:rFonts w:ascii="Arial Narrow" w:eastAsia="Calibri" w:hAnsi="Arial Narrow" w:cs="Times New Roman"/>
                <w:sz w:val="20"/>
                <w:lang w:eastAsia="en-US"/>
              </w:rPr>
              <w:t>7</w:t>
            </w:r>
            <w:r w:rsidRPr="002F5F3F">
              <w:rPr>
                <w:rFonts w:ascii="Arial Narrow" w:eastAsia="Calibri" w:hAnsi="Arial Narrow" w:cs="Times New Roman"/>
                <w:sz w:val="20"/>
                <w:lang w:eastAsia="en-US"/>
              </w:rPr>
              <w:t>,</w:t>
            </w:r>
            <w:r>
              <w:rPr>
                <w:rFonts w:ascii="Arial Narrow" w:eastAsia="Calibri" w:hAnsi="Arial Narrow" w:cs="Times New Roman"/>
                <w:sz w:val="20"/>
                <w:lang w:eastAsia="en-US"/>
              </w:rPr>
              <w:t>4</w:t>
            </w:r>
            <w:r w:rsidRPr="002F5F3F">
              <w:rPr>
                <w:rFonts w:ascii="Arial Narrow" w:eastAsia="Calibri" w:hAnsi="Arial Narrow" w:cs="Times New Roman"/>
                <w:sz w:val="20"/>
                <w:lang w:eastAsia="en-US"/>
              </w:rPr>
              <w:t>9</w:t>
            </w:r>
            <w:r>
              <w:rPr>
                <w:rFonts w:ascii="Arial Narrow" w:eastAsia="Calibri" w:hAnsi="Arial Narrow" w:cs="Times New Roman"/>
                <w:sz w:val="20"/>
                <w:lang w:eastAsia="en-US"/>
              </w:rPr>
              <w:t>5 (75)</w:t>
            </w:r>
          </w:p>
        </w:tc>
        <w:tc>
          <w:tcPr>
            <w:tcW w:w="1408" w:type="dxa"/>
          </w:tcPr>
          <w:p w14:paraId="3EB27897" w14:textId="5B3CF831" w:rsidR="00FB35A3" w:rsidRPr="002F5F3F" w:rsidRDefault="00FB35A3" w:rsidP="006C1A57">
            <w:pPr>
              <w:keepNext/>
              <w:tabs>
                <w:tab w:val="left" w:pos="743"/>
              </w:tabs>
              <w:spacing w:before="40" w:after="40"/>
              <w:jc w:val="center"/>
              <w:rPr>
                <w:rFonts w:ascii="Arial Narrow" w:eastAsia="Calibri" w:hAnsi="Arial Narrow" w:cs="Times New Roman"/>
                <w:sz w:val="20"/>
                <w:lang w:eastAsia="en-US"/>
              </w:rPr>
            </w:pPr>
            <w:r>
              <w:rPr>
                <w:rFonts w:ascii="Arial Narrow" w:eastAsia="Calibri" w:hAnsi="Arial Narrow" w:cs="Times New Roman"/>
                <w:sz w:val="20"/>
                <w:lang w:eastAsia="en-US"/>
              </w:rPr>
              <w:t>10.3%</w:t>
            </w:r>
          </w:p>
        </w:tc>
        <w:tc>
          <w:tcPr>
            <w:tcW w:w="1559" w:type="dxa"/>
          </w:tcPr>
          <w:p w14:paraId="7B12FB85" w14:textId="6F6CE3BF" w:rsidR="00FB35A3" w:rsidRDefault="00FB35A3" w:rsidP="006C1A57">
            <w:pPr>
              <w:keepNext/>
              <w:tabs>
                <w:tab w:val="left" w:pos="743"/>
              </w:tabs>
              <w:spacing w:before="40" w:after="40"/>
              <w:jc w:val="center"/>
              <w:rPr>
                <w:rFonts w:ascii="Arial Narrow" w:eastAsia="Calibri" w:hAnsi="Arial Narrow" w:cs="Times New Roman"/>
                <w:sz w:val="20"/>
                <w:lang w:eastAsia="en-US"/>
              </w:rPr>
            </w:pPr>
            <w:r>
              <w:rPr>
                <w:rFonts w:ascii="Arial Narrow" w:eastAsia="Calibri" w:hAnsi="Arial Narrow" w:cs="Times New Roman"/>
                <w:sz w:val="20"/>
                <w:lang w:eastAsia="en-US"/>
              </w:rPr>
              <w:t>68:592</w:t>
            </w:r>
          </w:p>
        </w:tc>
        <w:tc>
          <w:tcPr>
            <w:tcW w:w="1446" w:type="dxa"/>
          </w:tcPr>
          <w:p w14:paraId="0DB32088" w14:textId="44C956E7" w:rsidR="00FB35A3" w:rsidRDefault="00FB35A3" w:rsidP="006C1A57">
            <w:pPr>
              <w:keepNext/>
              <w:tabs>
                <w:tab w:val="left" w:pos="743"/>
              </w:tabs>
              <w:spacing w:before="40" w:after="40"/>
              <w:jc w:val="center"/>
              <w:rPr>
                <w:rFonts w:ascii="Arial Narrow" w:eastAsia="Calibri" w:hAnsi="Arial Narrow" w:cs="Times New Roman"/>
                <w:sz w:val="20"/>
                <w:lang w:eastAsia="en-US"/>
              </w:rPr>
            </w:pPr>
            <w:r>
              <w:rPr>
                <w:rFonts w:ascii="Arial Narrow" w:eastAsia="Calibri" w:hAnsi="Arial Narrow" w:cs="Times New Roman"/>
                <w:sz w:val="20"/>
                <w:lang w:eastAsia="en-US"/>
              </w:rPr>
              <w:t>7</w:t>
            </w:r>
          </w:p>
        </w:tc>
      </w:tr>
      <w:tr w:rsidR="00FB35A3" w:rsidRPr="00F36CBE" w14:paraId="3FEE5D93" w14:textId="77777777" w:rsidTr="00920354">
        <w:tc>
          <w:tcPr>
            <w:tcW w:w="1913" w:type="dxa"/>
          </w:tcPr>
          <w:p w14:paraId="65CF55A5" w14:textId="77777777" w:rsidR="00FB35A3" w:rsidRPr="00F36CBE" w:rsidRDefault="00FB35A3" w:rsidP="00FB35A3">
            <w:pPr>
              <w:spacing w:before="40" w:after="40"/>
              <w:rPr>
                <w:rFonts w:ascii="Arial Narrow" w:eastAsia="Calibri" w:hAnsi="Arial Narrow" w:cs="Times New Roman"/>
                <w:sz w:val="20"/>
                <w:lang w:eastAsia="en-US"/>
              </w:rPr>
            </w:pPr>
            <w:r w:rsidRPr="00F36CBE">
              <w:rPr>
                <w:rFonts w:ascii="Arial Narrow" w:eastAsia="Calibri" w:hAnsi="Arial Narrow" w:cs="Times New Roman"/>
                <w:sz w:val="20"/>
                <w:lang w:eastAsia="en-US"/>
              </w:rPr>
              <w:t>Endometrial cancer</w:t>
            </w:r>
          </w:p>
        </w:tc>
        <w:tc>
          <w:tcPr>
            <w:tcW w:w="1129" w:type="dxa"/>
          </w:tcPr>
          <w:p w14:paraId="1CA32E1D" w14:textId="2CF3ACC3" w:rsidR="00FB35A3" w:rsidRPr="00F36CBE" w:rsidRDefault="00FB35A3" w:rsidP="00FB35A3">
            <w:pPr>
              <w:tabs>
                <w:tab w:val="left" w:pos="743"/>
              </w:tabs>
              <w:spacing w:before="40" w:after="40"/>
              <w:jc w:val="center"/>
              <w:rPr>
                <w:rFonts w:ascii="Arial Narrow" w:eastAsia="Calibri" w:hAnsi="Arial Narrow" w:cs="Times New Roman"/>
                <w:sz w:val="20"/>
                <w:lang w:eastAsia="en-US"/>
              </w:rPr>
            </w:pPr>
            <w:r w:rsidRPr="00F36CBE">
              <w:rPr>
                <w:rFonts w:ascii="Arial Narrow" w:eastAsia="Calibri" w:hAnsi="Arial Narrow" w:cs="Times New Roman"/>
                <w:sz w:val="20"/>
                <w:lang w:eastAsia="en-US"/>
              </w:rPr>
              <w:t>33</w:t>
            </w:r>
            <w:r>
              <w:rPr>
                <w:rFonts w:ascii="Arial Narrow" w:eastAsia="Calibri" w:hAnsi="Arial Narrow" w:cs="Times New Roman"/>
                <w:sz w:val="20"/>
                <w:lang w:eastAsia="en-US"/>
              </w:rPr>
              <w:t>%</w:t>
            </w:r>
          </w:p>
        </w:tc>
        <w:tc>
          <w:tcPr>
            <w:tcW w:w="1499" w:type="dxa"/>
          </w:tcPr>
          <w:p w14:paraId="115DDBB3" w14:textId="143DF789" w:rsidR="00FB35A3" w:rsidRPr="00F36CBE" w:rsidRDefault="00FB35A3" w:rsidP="00FB35A3">
            <w:pPr>
              <w:tabs>
                <w:tab w:val="left" w:pos="743"/>
              </w:tabs>
              <w:spacing w:before="40" w:after="40"/>
              <w:jc w:val="center"/>
              <w:rPr>
                <w:rFonts w:ascii="Arial Narrow" w:eastAsia="Calibri" w:hAnsi="Arial Narrow" w:cs="Times New Roman"/>
                <w:sz w:val="20"/>
                <w:lang w:eastAsia="en-US"/>
              </w:rPr>
            </w:pPr>
            <w:r w:rsidRPr="00F36CBE">
              <w:rPr>
                <w:rFonts w:ascii="Arial Narrow" w:eastAsia="Calibri" w:hAnsi="Arial Narrow" w:cs="Times New Roman"/>
                <w:sz w:val="20"/>
                <w:lang w:eastAsia="en-US"/>
              </w:rPr>
              <w:t>295</w:t>
            </w:r>
            <w:r>
              <w:rPr>
                <w:rFonts w:ascii="Arial Narrow" w:eastAsia="Calibri" w:hAnsi="Arial Narrow" w:cs="Times New Roman"/>
                <w:sz w:val="20"/>
                <w:lang w:eastAsia="en-US"/>
              </w:rPr>
              <w:t xml:space="preserve"> (97)</w:t>
            </w:r>
          </w:p>
        </w:tc>
        <w:tc>
          <w:tcPr>
            <w:tcW w:w="1408" w:type="dxa"/>
          </w:tcPr>
          <w:p w14:paraId="40ADFF06" w14:textId="054A2A7C" w:rsidR="00FB35A3" w:rsidRPr="00F36CBE" w:rsidRDefault="00FB35A3" w:rsidP="00FB35A3">
            <w:pPr>
              <w:tabs>
                <w:tab w:val="left" w:pos="743"/>
              </w:tabs>
              <w:spacing w:before="40" w:after="40"/>
              <w:jc w:val="center"/>
              <w:rPr>
                <w:rFonts w:ascii="Arial Narrow" w:eastAsia="Calibri" w:hAnsi="Arial Narrow" w:cs="Times New Roman"/>
                <w:sz w:val="20"/>
                <w:lang w:eastAsia="en-US"/>
              </w:rPr>
            </w:pPr>
            <w:r>
              <w:rPr>
                <w:rFonts w:ascii="Arial Narrow" w:eastAsia="Calibri" w:hAnsi="Arial Narrow" w:cs="Times New Roman"/>
                <w:sz w:val="20"/>
                <w:lang w:eastAsia="en-US"/>
              </w:rPr>
              <w:t>84.9%</w:t>
            </w:r>
          </w:p>
        </w:tc>
        <w:tc>
          <w:tcPr>
            <w:tcW w:w="1559" w:type="dxa"/>
          </w:tcPr>
          <w:p w14:paraId="44817EFA" w14:textId="3F69FADE" w:rsidR="00FB35A3" w:rsidRDefault="00FB35A3" w:rsidP="00FB35A3">
            <w:pPr>
              <w:tabs>
                <w:tab w:val="left" w:pos="743"/>
              </w:tabs>
              <w:spacing w:before="40" w:after="40"/>
              <w:jc w:val="center"/>
              <w:rPr>
                <w:rFonts w:ascii="Arial Narrow" w:eastAsia="Calibri" w:hAnsi="Arial Narrow" w:cs="Times New Roman"/>
                <w:sz w:val="20"/>
                <w:lang w:eastAsia="en-US"/>
              </w:rPr>
            </w:pPr>
            <w:r>
              <w:rPr>
                <w:rFonts w:ascii="Arial Narrow" w:eastAsia="Calibri" w:hAnsi="Arial Narrow" w:cs="Times New Roman"/>
                <w:sz w:val="20"/>
                <w:lang w:eastAsia="en-US"/>
              </w:rPr>
              <w:t>88:16</w:t>
            </w:r>
          </w:p>
        </w:tc>
        <w:tc>
          <w:tcPr>
            <w:tcW w:w="1446" w:type="dxa"/>
          </w:tcPr>
          <w:p w14:paraId="3DBFE72C" w14:textId="1877425D" w:rsidR="00FB35A3" w:rsidRDefault="00FB35A3" w:rsidP="00FB35A3">
            <w:pPr>
              <w:tabs>
                <w:tab w:val="left" w:pos="743"/>
              </w:tabs>
              <w:spacing w:before="40" w:after="40"/>
              <w:jc w:val="center"/>
              <w:rPr>
                <w:rFonts w:ascii="Arial Narrow" w:eastAsia="Calibri" w:hAnsi="Arial Narrow" w:cs="Times New Roman"/>
                <w:sz w:val="20"/>
                <w:lang w:eastAsia="en-US"/>
              </w:rPr>
            </w:pPr>
            <w:r>
              <w:rPr>
                <w:rFonts w:ascii="Arial Narrow" w:eastAsia="Calibri" w:hAnsi="Arial Narrow" w:cs="Times New Roman"/>
                <w:sz w:val="20"/>
                <w:lang w:eastAsia="en-US"/>
              </w:rPr>
              <w:t>9</w:t>
            </w:r>
          </w:p>
        </w:tc>
      </w:tr>
      <w:tr w:rsidR="00FB35A3" w:rsidRPr="00F36CBE" w14:paraId="05C8F34B" w14:textId="77777777" w:rsidTr="00920354">
        <w:tc>
          <w:tcPr>
            <w:tcW w:w="1913" w:type="dxa"/>
          </w:tcPr>
          <w:p w14:paraId="36889962" w14:textId="77777777" w:rsidR="00FB35A3" w:rsidRPr="002F5F3F" w:rsidRDefault="00FB35A3" w:rsidP="00FB35A3">
            <w:pPr>
              <w:spacing w:before="40" w:after="40"/>
              <w:rPr>
                <w:rFonts w:ascii="Arial Narrow" w:eastAsia="Calibri" w:hAnsi="Arial Narrow" w:cs="Times New Roman"/>
                <w:sz w:val="20"/>
                <w:lang w:eastAsia="en-US"/>
              </w:rPr>
            </w:pPr>
            <w:r w:rsidRPr="002F5F3F">
              <w:rPr>
                <w:rFonts w:ascii="Arial Narrow" w:eastAsia="Calibri" w:hAnsi="Arial Narrow" w:cs="Times New Roman"/>
                <w:sz w:val="20"/>
                <w:lang w:eastAsia="en-US"/>
              </w:rPr>
              <w:t>Renal cell carcinoma</w:t>
            </w:r>
          </w:p>
        </w:tc>
        <w:tc>
          <w:tcPr>
            <w:tcW w:w="1129" w:type="dxa"/>
          </w:tcPr>
          <w:p w14:paraId="43C1C939" w14:textId="1B3770B6" w:rsidR="00FB35A3" w:rsidRPr="002F5F3F" w:rsidRDefault="00FB35A3" w:rsidP="00FB35A3">
            <w:pPr>
              <w:tabs>
                <w:tab w:val="left" w:pos="743"/>
              </w:tabs>
              <w:spacing w:before="40" w:after="40"/>
              <w:jc w:val="center"/>
              <w:rPr>
                <w:rFonts w:ascii="Arial Narrow" w:eastAsia="Calibri" w:hAnsi="Arial Narrow" w:cs="Times New Roman"/>
                <w:sz w:val="20"/>
                <w:lang w:eastAsia="en-US"/>
              </w:rPr>
            </w:pPr>
            <w:r w:rsidRPr="002F5F3F">
              <w:rPr>
                <w:rFonts w:ascii="Arial Narrow" w:eastAsia="Calibri" w:hAnsi="Arial Narrow" w:cs="Times New Roman"/>
                <w:sz w:val="20"/>
                <w:lang w:eastAsia="en-US"/>
              </w:rPr>
              <w:t>4%</w:t>
            </w:r>
          </w:p>
        </w:tc>
        <w:tc>
          <w:tcPr>
            <w:tcW w:w="1499" w:type="dxa"/>
          </w:tcPr>
          <w:p w14:paraId="2C96DB4F" w14:textId="5F4128F6" w:rsidR="00FB35A3" w:rsidRPr="002F5F3F" w:rsidRDefault="00FB35A3" w:rsidP="00FB35A3">
            <w:pPr>
              <w:tabs>
                <w:tab w:val="left" w:pos="743"/>
              </w:tabs>
              <w:spacing w:before="40" w:after="40"/>
              <w:jc w:val="center"/>
              <w:rPr>
                <w:rFonts w:ascii="Arial Narrow" w:eastAsia="Calibri" w:hAnsi="Arial Narrow" w:cs="Times New Roman"/>
                <w:sz w:val="20"/>
                <w:lang w:eastAsia="en-US"/>
              </w:rPr>
            </w:pPr>
            <w:r w:rsidRPr="002F5F3F">
              <w:rPr>
                <w:rFonts w:ascii="Arial Narrow" w:eastAsia="Calibri" w:hAnsi="Arial Narrow" w:cs="Times New Roman"/>
                <w:sz w:val="20"/>
                <w:lang w:eastAsia="en-US"/>
              </w:rPr>
              <w:t>835</w:t>
            </w:r>
            <w:r>
              <w:rPr>
                <w:rFonts w:ascii="Arial Narrow" w:eastAsia="Calibri" w:hAnsi="Arial Narrow" w:cs="Times New Roman"/>
                <w:sz w:val="20"/>
                <w:lang w:eastAsia="en-US"/>
              </w:rPr>
              <w:t xml:space="preserve"> (33)</w:t>
            </w:r>
          </w:p>
        </w:tc>
        <w:tc>
          <w:tcPr>
            <w:tcW w:w="1408" w:type="dxa"/>
          </w:tcPr>
          <w:p w14:paraId="79E237AC" w14:textId="10EC9ADB" w:rsidR="00FB35A3" w:rsidRPr="002F5F3F" w:rsidRDefault="00FB35A3" w:rsidP="00FB35A3">
            <w:pPr>
              <w:tabs>
                <w:tab w:val="left" w:pos="743"/>
              </w:tabs>
              <w:spacing w:before="40" w:after="40"/>
              <w:jc w:val="center"/>
              <w:rPr>
                <w:rFonts w:ascii="Arial Narrow" w:eastAsia="Calibri" w:hAnsi="Arial Narrow" w:cs="Times New Roman"/>
                <w:sz w:val="20"/>
                <w:lang w:eastAsia="en-US"/>
              </w:rPr>
            </w:pPr>
            <w:r>
              <w:rPr>
                <w:rFonts w:ascii="Arial Narrow" w:eastAsia="Calibri" w:hAnsi="Arial Narrow" w:cs="Times New Roman"/>
                <w:sz w:val="20"/>
                <w:lang w:eastAsia="en-US"/>
              </w:rPr>
              <w:t>32.2%</w:t>
            </w:r>
          </w:p>
        </w:tc>
        <w:tc>
          <w:tcPr>
            <w:tcW w:w="1559" w:type="dxa"/>
          </w:tcPr>
          <w:p w14:paraId="58CB90E7" w14:textId="5FC9E074" w:rsidR="00FB35A3" w:rsidRDefault="00FB35A3" w:rsidP="00FB35A3">
            <w:pPr>
              <w:tabs>
                <w:tab w:val="left" w:pos="743"/>
              </w:tabs>
              <w:spacing w:before="40" w:after="40"/>
              <w:jc w:val="center"/>
              <w:rPr>
                <w:rFonts w:ascii="Arial Narrow" w:eastAsia="Calibri" w:hAnsi="Arial Narrow" w:cs="Times New Roman"/>
                <w:sz w:val="20"/>
                <w:lang w:eastAsia="en-US"/>
              </w:rPr>
            </w:pPr>
            <w:r>
              <w:rPr>
                <w:rFonts w:ascii="Arial Narrow" w:eastAsia="Calibri" w:hAnsi="Arial Narrow" w:cs="Times New Roman"/>
                <w:sz w:val="20"/>
                <w:lang w:eastAsia="en-US"/>
              </w:rPr>
              <w:t>30:63</w:t>
            </w:r>
          </w:p>
        </w:tc>
        <w:tc>
          <w:tcPr>
            <w:tcW w:w="1446" w:type="dxa"/>
          </w:tcPr>
          <w:p w14:paraId="56CF5599" w14:textId="09026C7C" w:rsidR="00FB35A3" w:rsidRDefault="00FB35A3" w:rsidP="00FB35A3">
            <w:pPr>
              <w:tabs>
                <w:tab w:val="left" w:pos="743"/>
              </w:tabs>
              <w:spacing w:before="40" w:after="40"/>
              <w:jc w:val="center"/>
              <w:rPr>
                <w:rFonts w:ascii="Arial Narrow" w:eastAsia="Calibri" w:hAnsi="Arial Narrow" w:cs="Times New Roman"/>
                <w:sz w:val="20"/>
                <w:lang w:eastAsia="en-US"/>
              </w:rPr>
            </w:pPr>
            <w:r>
              <w:rPr>
                <w:rFonts w:ascii="Arial Narrow" w:eastAsia="Calibri" w:hAnsi="Arial Narrow" w:cs="Times New Roman"/>
                <w:sz w:val="20"/>
                <w:lang w:eastAsia="en-US"/>
              </w:rPr>
              <w:t>3</w:t>
            </w:r>
          </w:p>
        </w:tc>
      </w:tr>
      <w:tr w:rsidR="00FB35A3" w:rsidRPr="00F36CBE" w14:paraId="4A2B3CB8" w14:textId="77777777" w:rsidTr="00920354">
        <w:tc>
          <w:tcPr>
            <w:tcW w:w="1913" w:type="dxa"/>
          </w:tcPr>
          <w:p w14:paraId="092A4A9C" w14:textId="77777777" w:rsidR="00FB35A3" w:rsidRPr="00F36CBE" w:rsidRDefault="00FB35A3" w:rsidP="00FB35A3">
            <w:pPr>
              <w:spacing w:before="40" w:after="40"/>
              <w:rPr>
                <w:rFonts w:ascii="Arial Narrow" w:eastAsia="Calibri" w:hAnsi="Arial Narrow" w:cs="Times New Roman"/>
                <w:sz w:val="20"/>
                <w:lang w:eastAsia="en-US"/>
              </w:rPr>
            </w:pPr>
            <w:r w:rsidRPr="00F36CBE">
              <w:rPr>
                <w:rFonts w:ascii="Arial Narrow" w:eastAsia="Calibri" w:hAnsi="Arial Narrow" w:cs="Times New Roman"/>
                <w:sz w:val="20"/>
                <w:lang w:eastAsia="en-US"/>
              </w:rPr>
              <w:t>Thyroid cancer</w:t>
            </w:r>
          </w:p>
        </w:tc>
        <w:tc>
          <w:tcPr>
            <w:tcW w:w="1129" w:type="dxa"/>
          </w:tcPr>
          <w:p w14:paraId="5782119A" w14:textId="38EBAE9D" w:rsidR="00FB35A3" w:rsidRPr="00F36CBE" w:rsidRDefault="00FB35A3" w:rsidP="00FB35A3">
            <w:pPr>
              <w:tabs>
                <w:tab w:val="left" w:pos="743"/>
              </w:tabs>
              <w:spacing w:before="40" w:after="40"/>
              <w:jc w:val="center"/>
              <w:rPr>
                <w:rFonts w:ascii="Arial Narrow" w:eastAsia="Calibri" w:hAnsi="Arial Narrow" w:cs="Times New Roman"/>
                <w:sz w:val="20"/>
                <w:lang w:eastAsia="en-US"/>
              </w:rPr>
            </w:pPr>
            <w:r w:rsidRPr="00F36CBE">
              <w:rPr>
                <w:rFonts w:ascii="Arial Narrow" w:eastAsia="Calibri" w:hAnsi="Arial Narrow" w:cs="Times New Roman"/>
                <w:sz w:val="20"/>
                <w:lang w:eastAsia="en-US"/>
              </w:rPr>
              <w:t>23%</w:t>
            </w:r>
          </w:p>
        </w:tc>
        <w:tc>
          <w:tcPr>
            <w:tcW w:w="1499" w:type="dxa"/>
          </w:tcPr>
          <w:p w14:paraId="600A9477" w14:textId="0E3DF4D5" w:rsidR="00FB35A3" w:rsidRPr="00F36CBE" w:rsidRDefault="00FB35A3" w:rsidP="00FB35A3">
            <w:pPr>
              <w:tabs>
                <w:tab w:val="left" w:pos="743"/>
              </w:tabs>
              <w:spacing w:before="40" w:after="40"/>
              <w:jc w:val="center"/>
              <w:rPr>
                <w:rFonts w:ascii="Arial Narrow" w:eastAsia="Calibri" w:hAnsi="Arial Narrow" w:cs="Times New Roman"/>
                <w:sz w:val="20"/>
                <w:lang w:eastAsia="en-US"/>
              </w:rPr>
            </w:pPr>
            <w:r w:rsidRPr="00F36CBE">
              <w:rPr>
                <w:rFonts w:ascii="Arial Narrow" w:eastAsia="Calibri" w:hAnsi="Arial Narrow" w:cs="Times New Roman"/>
                <w:sz w:val="20"/>
                <w:lang w:eastAsia="en-US"/>
              </w:rPr>
              <w:t>123</w:t>
            </w:r>
            <w:r>
              <w:rPr>
                <w:rFonts w:ascii="Arial Narrow" w:eastAsia="Calibri" w:hAnsi="Arial Narrow" w:cs="Times New Roman"/>
                <w:sz w:val="20"/>
                <w:lang w:eastAsia="en-US"/>
              </w:rPr>
              <w:t xml:space="preserve"> (28)</w:t>
            </w:r>
          </w:p>
        </w:tc>
        <w:tc>
          <w:tcPr>
            <w:tcW w:w="1408" w:type="dxa"/>
          </w:tcPr>
          <w:p w14:paraId="77FBCD21" w14:textId="2CA71259" w:rsidR="00FB35A3" w:rsidRPr="00F36CBE" w:rsidRDefault="00FB35A3" w:rsidP="00FB35A3">
            <w:pPr>
              <w:tabs>
                <w:tab w:val="left" w:pos="743"/>
              </w:tabs>
              <w:spacing w:before="40" w:after="40"/>
              <w:jc w:val="center"/>
              <w:rPr>
                <w:rFonts w:ascii="Arial Narrow" w:eastAsia="Calibri" w:hAnsi="Arial Narrow" w:cs="Times New Roman"/>
                <w:sz w:val="20"/>
                <w:lang w:eastAsia="en-US"/>
              </w:rPr>
            </w:pPr>
            <w:r>
              <w:rPr>
                <w:rFonts w:ascii="Arial Narrow" w:eastAsia="Calibri" w:hAnsi="Arial Narrow" w:cs="Times New Roman"/>
                <w:sz w:val="20"/>
                <w:lang w:eastAsia="en-US"/>
              </w:rPr>
              <w:t>77.3%</w:t>
            </w:r>
          </w:p>
        </w:tc>
        <w:tc>
          <w:tcPr>
            <w:tcW w:w="1559" w:type="dxa"/>
          </w:tcPr>
          <w:p w14:paraId="7AFC2F34" w14:textId="5EB498C2" w:rsidR="00FB35A3" w:rsidRDefault="00FB35A3" w:rsidP="00FB35A3">
            <w:pPr>
              <w:tabs>
                <w:tab w:val="left" w:pos="743"/>
              </w:tabs>
              <w:spacing w:before="40" w:after="40"/>
              <w:jc w:val="center"/>
              <w:rPr>
                <w:rFonts w:ascii="Arial Narrow" w:eastAsia="Calibri" w:hAnsi="Arial Narrow" w:cs="Times New Roman"/>
                <w:sz w:val="20"/>
                <w:lang w:eastAsia="en-US"/>
              </w:rPr>
            </w:pPr>
            <w:r>
              <w:rPr>
                <w:rFonts w:ascii="Arial Narrow" w:eastAsia="Calibri" w:hAnsi="Arial Narrow" w:cs="Times New Roman"/>
                <w:sz w:val="20"/>
                <w:lang w:eastAsia="en-US"/>
              </w:rPr>
              <w:t>25:7</w:t>
            </w:r>
          </w:p>
        </w:tc>
        <w:tc>
          <w:tcPr>
            <w:tcW w:w="1446" w:type="dxa"/>
          </w:tcPr>
          <w:p w14:paraId="6E812E43" w14:textId="412602D2" w:rsidR="00FB35A3" w:rsidRDefault="00FB35A3" w:rsidP="00FB35A3">
            <w:pPr>
              <w:tabs>
                <w:tab w:val="left" w:pos="743"/>
              </w:tabs>
              <w:spacing w:before="40" w:after="40"/>
              <w:jc w:val="center"/>
              <w:rPr>
                <w:rFonts w:ascii="Arial Narrow" w:eastAsia="Calibri" w:hAnsi="Arial Narrow" w:cs="Times New Roman"/>
                <w:sz w:val="20"/>
                <w:lang w:eastAsia="en-US"/>
              </w:rPr>
            </w:pPr>
            <w:r>
              <w:rPr>
                <w:rFonts w:ascii="Arial Narrow" w:eastAsia="Calibri" w:hAnsi="Arial Narrow" w:cs="Times New Roman"/>
                <w:sz w:val="20"/>
                <w:lang w:eastAsia="en-US"/>
              </w:rPr>
              <w:t>3</w:t>
            </w:r>
          </w:p>
        </w:tc>
      </w:tr>
      <w:tr w:rsidR="00FB35A3" w:rsidRPr="00F36CBE" w14:paraId="542813B4" w14:textId="77777777" w:rsidTr="00920354">
        <w:tc>
          <w:tcPr>
            <w:tcW w:w="1913" w:type="dxa"/>
          </w:tcPr>
          <w:p w14:paraId="77C543B2" w14:textId="77777777" w:rsidR="00FB35A3" w:rsidRPr="00F36CBE" w:rsidRDefault="00FB35A3" w:rsidP="00FB35A3">
            <w:pPr>
              <w:spacing w:before="40" w:after="40"/>
              <w:rPr>
                <w:rFonts w:ascii="Arial Narrow" w:eastAsia="Calibri" w:hAnsi="Arial Narrow" w:cs="Times New Roman"/>
                <w:sz w:val="20"/>
                <w:lang w:eastAsia="en-US"/>
              </w:rPr>
            </w:pPr>
            <w:r w:rsidRPr="00F36CBE">
              <w:rPr>
                <w:rFonts w:ascii="Arial Narrow" w:eastAsia="Calibri" w:hAnsi="Arial Narrow" w:cs="Times New Roman"/>
                <w:sz w:val="20"/>
                <w:lang w:eastAsia="en-US"/>
              </w:rPr>
              <w:t>Head and neck cancer</w:t>
            </w:r>
          </w:p>
        </w:tc>
        <w:tc>
          <w:tcPr>
            <w:tcW w:w="1129" w:type="dxa"/>
          </w:tcPr>
          <w:p w14:paraId="3AB5B8CA" w14:textId="4496953A" w:rsidR="00FB35A3" w:rsidRPr="00F36CBE" w:rsidRDefault="00FB35A3" w:rsidP="00FB35A3">
            <w:pPr>
              <w:tabs>
                <w:tab w:val="left" w:pos="743"/>
              </w:tabs>
              <w:spacing w:before="40" w:after="40"/>
              <w:jc w:val="center"/>
              <w:rPr>
                <w:rFonts w:ascii="Arial Narrow" w:eastAsia="Calibri" w:hAnsi="Arial Narrow" w:cs="Times New Roman"/>
                <w:sz w:val="20"/>
                <w:lang w:eastAsia="en-US"/>
              </w:rPr>
            </w:pPr>
            <w:r w:rsidRPr="00F36CBE">
              <w:rPr>
                <w:rFonts w:ascii="Arial Narrow" w:eastAsia="Calibri" w:hAnsi="Arial Narrow" w:cs="Times New Roman"/>
                <w:sz w:val="20"/>
                <w:lang w:eastAsia="en-US"/>
              </w:rPr>
              <w:t>3%</w:t>
            </w:r>
          </w:p>
        </w:tc>
        <w:tc>
          <w:tcPr>
            <w:tcW w:w="1499" w:type="dxa"/>
          </w:tcPr>
          <w:p w14:paraId="281FFB6F" w14:textId="4913698E" w:rsidR="00FB35A3" w:rsidRPr="00F36CBE" w:rsidRDefault="00FB35A3" w:rsidP="00FB35A3">
            <w:pPr>
              <w:tabs>
                <w:tab w:val="left" w:pos="743"/>
              </w:tabs>
              <w:spacing w:before="40" w:after="40"/>
              <w:jc w:val="center"/>
              <w:rPr>
                <w:rFonts w:ascii="Arial Narrow" w:eastAsia="Calibri" w:hAnsi="Arial Narrow" w:cs="Times New Roman"/>
                <w:sz w:val="20"/>
                <w:lang w:eastAsia="en-US"/>
              </w:rPr>
            </w:pPr>
            <w:r w:rsidRPr="00F36CBE">
              <w:rPr>
                <w:rFonts w:ascii="Arial Narrow" w:eastAsia="Calibri" w:hAnsi="Arial Narrow" w:cs="Times New Roman"/>
                <w:sz w:val="20"/>
                <w:lang w:eastAsia="en-US"/>
              </w:rPr>
              <w:t>1,007</w:t>
            </w:r>
            <w:r>
              <w:rPr>
                <w:rFonts w:ascii="Arial Narrow" w:eastAsia="Calibri" w:hAnsi="Arial Narrow" w:cs="Times New Roman"/>
                <w:sz w:val="20"/>
                <w:lang w:eastAsia="en-US"/>
              </w:rPr>
              <w:t xml:space="preserve"> (30)</w:t>
            </w:r>
          </w:p>
        </w:tc>
        <w:tc>
          <w:tcPr>
            <w:tcW w:w="1408" w:type="dxa"/>
          </w:tcPr>
          <w:p w14:paraId="27E5904F" w14:textId="030CEB7D" w:rsidR="00FB35A3" w:rsidRPr="00F36CBE" w:rsidRDefault="00FB35A3" w:rsidP="00FB35A3">
            <w:pPr>
              <w:tabs>
                <w:tab w:val="left" w:pos="743"/>
              </w:tabs>
              <w:spacing w:before="40" w:after="40"/>
              <w:jc w:val="center"/>
              <w:rPr>
                <w:rFonts w:ascii="Arial Narrow" w:eastAsia="Calibri" w:hAnsi="Arial Narrow" w:cs="Times New Roman"/>
                <w:sz w:val="20"/>
                <w:lang w:eastAsia="en-US"/>
              </w:rPr>
            </w:pPr>
            <w:r>
              <w:rPr>
                <w:rFonts w:ascii="Arial Narrow" w:eastAsia="Calibri" w:hAnsi="Arial Narrow" w:cs="Times New Roman"/>
                <w:sz w:val="20"/>
                <w:lang w:eastAsia="en-US"/>
              </w:rPr>
              <w:t>26.0%</w:t>
            </w:r>
          </w:p>
        </w:tc>
        <w:tc>
          <w:tcPr>
            <w:tcW w:w="1559" w:type="dxa"/>
          </w:tcPr>
          <w:p w14:paraId="54521479" w14:textId="5155236A" w:rsidR="00FB35A3" w:rsidRDefault="00FB35A3" w:rsidP="00FB35A3">
            <w:pPr>
              <w:tabs>
                <w:tab w:val="left" w:pos="743"/>
              </w:tabs>
              <w:spacing w:before="40" w:after="40"/>
              <w:jc w:val="center"/>
              <w:rPr>
                <w:rFonts w:ascii="Arial Narrow" w:eastAsia="Calibri" w:hAnsi="Arial Narrow" w:cs="Times New Roman"/>
                <w:sz w:val="20"/>
                <w:lang w:eastAsia="en-US"/>
              </w:rPr>
            </w:pPr>
            <w:r>
              <w:rPr>
                <w:rFonts w:ascii="Arial Narrow" w:eastAsia="Calibri" w:hAnsi="Arial Narrow" w:cs="Times New Roman"/>
                <w:sz w:val="20"/>
                <w:lang w:eastAsia="en-US"/>
              </w:rPr>
              <w:t>27:77</w:t>
            </w:r>
          </w:p>
        </w:tc>
        <w:tc>
          <w:tcPr>
            <w:tcW w:w="1446" w:type="dxa"/>
          </w:tcPr>
          <w:p w14:paraId="51906F8E" w14:textId="008FF2BE" w:rsidR="00FB35A3" w:rsidRDefault="00FB35A3" w:rsidP="00FB35A3">
            <w:pPr>
              <w:tabs>
                <w:tab w:val="left" w:pos="743"/>
              </w:tabs>
              <w:spacing w:before="40" w:after="40"/>
              <w:jc w:val="center"/>
              <w:rPr>
                <w:rFonts w:ascii="Arial Narrow" w:eastAsia="Calibri" w:hAnsi="Arial Narrow" w:cs="Times New Roman"/>
                <w:sz w:val="20"/>
                <w:lang w:eastAsia="en-US"/>
              </w:rPr>
            </w:pPr>
            <w:r>
              <w:rPr>
                <w:rFonts w:ascii="Arial Narrow" w:eastAsia="Calibri" w:hAnsi="Arial Narrow" w:cs="Times New Roman"/>
                <w:sz w:val="20"/>
                <w:lang w:eastAsia="en-US"/>
              </w:rPr>
              <w:t>3</w:t>
            </w:r>
          </w:p>
        </w:tc>
      </w:tr>
      <w:tr w:rsidR="00FB35A3" w:rsidRPr="00F36CBE" w14:paraId="02004738" w14:textId="77777777" w:rsidTr="00920354">
        <w:tc>
          <w:tcPr>
            <w:tcW w:w="1913" w:type="dxa"/>
          </w:tcPr>
          <w:p w14:paraId="2088C579" w14:textId="77777777" w:rsidR="00FB35A3" w:rsidRPr="00F36CBE" w:rsidRDefault="00FB35A3" w:rsidP="00FB35A3">
            <w:pPr>
              <w:spacing w:before="40" w:after="40"/>
              <w:rPr>
                <w:rFonts w:ascii="Arial Narrow" w:eastAsia="Calibri" w:hAnsi="Arial Narrow" w:cs="Times New Roman"/>
                <w:sz w:val="20"/>
                <w:lang w:eastAsia="en-US"/>
              </w:rPr>
            </w:pPr>
            <w:r w:rsidRPr="00F36CBE">
              <w:rPr>
                <w:rFonts w:ascii="Arial Narrow" w:eastAsia="Calibri" w:hAnsi="Arial Narrow" w:cs="Times New Roman"/>
                <w:sz w:val="20"/>
                <w:lang w:eastAsia="en-US"/>
              </w:rPr>
              <w:t>Pancreatic cancer</w:t>
            </w:r>
          </w:p>
        </w:tc>
        <w:tc>
          <w:tcPr>
            <w:tcW w:w="1129" w:type="dxa"/>
          </w:tcPr>
          <w:p w14:paraId="6AED4B38" w14:textId="5FE7A3E4" w:rsidR="00FB35A3" w:rsidRPr="00F36CBE" w:rsidRDefault="00FB35A3" w:rsidP="00FB35A3">
            <w:pPr>
              <w:tabs>
                <w:tab w:val="left" w:pos="743"/>
              </w:tabs>
              <w:spacing w:before="40" w:after="40"/>
              <w:jc w:val="center"/>
              <w:rPr>
                <w:rFonts w:ascii="Arial Narrow" w:eastAsia="Calibri" w:hAnsi="Arial Narrow" w:cs="Times New Roman"/>
                <w:sz w:val="20"/>
                <w:lang w:eastAsia="en-US"/>
              </w:rPr>
            </w:pPr>
            <w:r w:rsidRPr="00F36CBE">
              <w:rPr>
                <w:rFonts w:ascii="Arial Narrow" w:eastAsia="Calibri" w:hAnsi="Arial Narrow" w:cs="Times New Roman"/>
                <w:sz w:val="20"/>
                <w:lang w:eastAsia="en-US"/>
              </w:rPr>
              <w:t>4%</w:t>
            </w:r>
          </w:p>
        </w:tc>
        <w:tc>
          <w:tcPr>
            <w:tcW w:w="1499" w:type="dxa"/>
          </w:tcPr>
          <w:p w14:paraId="36EFC3B1" w14:textId="4099AC46" w:rsidR="00FB35A3" w:rsidRPr="00F36CBE" w:rsidRDefault="00FB35A3" w:rsidP="00FB35A3">
            <w:pPr>
              <w:tabs>
                <w:tab w:val="left" w:pos="743"/>
              </w:tabs>
              <w:spacing w:before="40" w:after="40"/>
              <w:jc w:val="center"/>
              <w:rPr>
                <w:rFonts w:ascii="Arial Narrow" w:eastAsia="Calibri" w:hAnsi="Arial Narrow" w:cs="Times New Roman"/>
                <w:sz w:val="20"/>
                <w:lang w:eastAsia="en-US"/>
              </w:rPr>
            </w:pPr>
            <w:r w:rsidRPr="00F36CBE">
              <w:rPr>
                <w:rFonts w:ascii="Arial Narrow" w:eastAsia="Calibri" w:hAnsi="Arial Narrow" w:cs="Times New Roman"/>
                <w:sz w:val="20"/>
                <w:lang w:eastAsia="en-US"/>
              </w:rPr>
              <w:t>2,408</w:t>
            </w:r>
            <w:r>
              <w:rPr>
                <w:rFonts w:ascii="Arial Narrow" w:eastAsia="Calibri" w:hAnsi="Arial Narrow" w:cs="Times New Roman"/>
                <w:sz w:val="20"/>
                <w:lang w:eastAsia="en-US"/>
              </w:rPr>
              <w:t xml:space="preserve"> (96)</w:t>
            </w:r>
          </w:p>
        </w:tc>
        <w:tc>
          <w:tcPr>
            <w:tcW w:w="1408" w:type="dxa"/>
          </w:tcPr>
          <w:p w14:paraId="59913948" w14:textId="72075477" w:rsidR="00FB35A3" w:rsidRPr="00F36CBE" w:rsidRDefault="00FB35A3" w:rsidP="00FB35A3">
            <w:pPr>
              <w:tabs>
                <w:tab w:val="left" w:pos="743"/>
              </w:tabs>
              <w:spacing w:before="40" w:after="40"/>
              <w:jc w:val="center"/>
              <w:rPr>
                <w:rFonts w:ascii="Arial Narrow" w:eastAsia="Calibri" w:hAnsi="Arial Narrow" w:cs="Times New Roman"/>
                <w:sz w:val="20"/>
                <w:lang w:eastAsia="en-US"/>
              </w:rPr>
            </w:pPr>
            <w:r>
              <w:rPr>
                <w:rFonts w:ascii="Arial Narrow" w:eastAsia="Calibri" w:hAnsi="Arial Narrow" w:cs="Times New Roman"/>
                <w:sz w:val="20"/>
                <w:lang w:eastAsia="en-US"/>
              </w:rPr>
              <w:t>32.2%</w:t>
            </w:r>
          </w:p>
        </w:tc>
        <w:tc>
          <w:tcPr>
            <w:tcW w:w="1559" w:type="dxa"/>
          </w:tcPr>
          <w:p w14:paraId="47A7E97F" w14:textId="4A3C8AA6" w:rsidR="00FB35A3" w:rsidRDefault="00FB35A3" w:rsidP="00FB35A3">
            <w:pPr>
              <w:tabs>
                <w:tab w:val="left" w:pos="743"/>
              </w:tabs>
              <w:spacing w:before="40" w:after="40"/>
              <w:jc w:val="center"/>
              <w:rPr>
                <w:rFonts w:ascii="Arial Narrow" w:eastAsia="Calibri" w:hAnsi="Arial Narrow" w:cs="Times New Roman"/>
                <w:sz w:val="20"/>
                <w:lang w:eastAsia="en-US"/>
              </w:rPr>
            </w:pPr>
            <w:r>
              <w:rPr>
                <w:rFonts w:ascii="Arial Narrow" w:eastAsia="Calibri" w:hAnsi="Arial Narrow" w:cs="Times New Roman"/>
                <w:sz w:val="20"/>
                <w:lang w:eastAsia="en-US"/>
              </w:rPr>
              <w:t>87:183</w:t>
            </w:r>
          </w:p>
        </w:tc>
        <w:tc>
          <w:tcPr>
            <w:tcW w:w="1446" w:type="dxa"/>
          </w:tcPr>
          <w:p w14:paraId="0439517B" w14:textId="2D68E3C9" w:rsidR="00FB35A3" w:rsidRDefault="00FB35A3" w:rsidP="00FB35A3">
            <w:pPr>
              <w:tabs>
                <w:tab w:val="left" w:pos="743"/>
              </w:tabs>
              <w:spacing w:before="40" w:after="40"/>
              <w:jc w:val="center"/>
              <w:rPr>
                <w:rFonts w:ascii="Arial Narrow" w:eastAsia="Calibri" w:hAnsi="Arial Narrow" w:cs="Times New Roman"/>
                <w:sz w:val="20"/>
                <w:lang w:eastAsia="en-US"/>
              </w:rPr>
            </w:pPr>
            <w:r>
              <w:rPr>
                <w:rFonts w:ascii="Arial Narrow" w:eastAsia="Calibri" w:hAnsi="Arial Narrow" w:cs="Times New Roman"/>
                <w:sz w:val="20"/>
                <w:lang w:eastAsia="en-US"/>
              </w:rPr>
              <w:t>9</w:t>
            </w:r>
          </w:p>
        </w:tc>
      </w:tr>
      <w:tr w:rsidR="00FB35A3" w:rsidRPr="00F36CBE" w14:paraId="5718EE99" w14:textId="77777777" w:rsidTr="00920354">
        <w:tc>
          <w:tcPr>
            <w:tcW w:w="1913" w:type="dxa"/>
          </w:tcPr>
          <w:p w14:paraId="5FB8E5AA" w14:textId="77777777" w:rsidR="00FB35A3" w:rsidRPr="00F36CBE" w:rsidRDefault="00FB35A3" w:rsidP="00FB35A3">
            <w:pPr>
              <w:spacing w:before="40" w:after="40"/>
              <w:rPr>
                <w:rFonts w:ascii="Arial Narrow" w:eastAsia="Calibri" w:hAnsi="Arial Narrow" w:cs="Times New Roman"/>
                <w:sz w:val="20"/>
                <w:lang w:eastAsia="en-US"/>
              </w:rPr>
            </w:pPr>
            <w:r w:rsidRPr="00F36CBE">
              <w:rPr>
                <w:rFonts w:ascii="Arial Narrow" w:eastAsia="Calibri" w:hAnsi="Arial Narrow" w:cs="Times New Roman"/>
                <w:sz w:val="20"/>
                <w:lang w:eastAsia="en-US"/>
              </w:rPr>
              <w:t>Ovarian cancer</w:t>
            </w:r>
          </w:p>
        </w:tc>
        <w:tc>
          <w:tcPr>
            <w:tcW w:w="1129" w:type="dxa"/>
          </w:tcPr>
          <w:p w14:paraId="37CD0AD9" w14:textId="54874927" w:rsidR="00FB35A3" w:rsidRPr="00F36CBE" w:rsidRDefault="00FB35A3" w:rsidP="00FB35A3">
            <w:pPr>
              <w:tabs>
                <w:tab w:val="left" w:pos="743"/>
              </w:tabs>
              <w:spacing w:before="40" w:after="40"/>
              <w:jc w:val="center"/>
              <w:rPr>
                <w:rFonts w:ascii="Arial Narrow" w:eastAsia="Calibri" w:hAnsi="Arial Narrow" w:cs="Times New Roman"/>
                <w:sz w:val="20"/>
                <w:lang w:eastAsia="en-US"/>
              </w:rPr>
            </w:pPr>
            <w:r w:rsidRPr="00F36CBE">
              <w:rPr>
                <w:rFonts w:ascii="Arial Narrow" w:eastAsia="Calibri" w:hAnsi="Arial Narrow" w:cs="Times New Roman"/>
                <w:sz w:val="20"/>
                <w:lang w:eastAsia="en-US"/>
              </w:rPr>
              <w:t>11%</w:t>
            </w:r>
          </w:p>
        </w:tc>
        <w:tc>
          <w:tcPr>
            <w:tcW w:w="1499" w:type="dxa"/>
          </w:tcPr>
          <w:p w14:paraId="6F9B56FE" w14:textId="7F2B06C2" w:rsidR="00FB35A3" w:rsidRPr="00F36CBE" w:rsidRDefault="00FB35A3" w:rsidP="00FB35A3">
            <w:pPr>
              <w:tabs>
                <w:tab w:val="left" w:pos="743"/>
              </w:tabs>
              <w:spacing w:before="40" w:after="40"/>
              <w:jc w:val="center"/>
              <w:rPr>
                <w:rFonts w:ascii="Arial Narrow" w:eastAsia="Calibri" w:hAnsi="Arial Narrow" w:cs="Times New Roman"/>
                <w:sz w:val="20"/>
                <w:lang w:eastAsia="en-US"/>
              </w:rPr>
            </w:pPr>
            <w:r w:rsidRPr="00F36CBE">
              <w:rPr>
                <w:rFonts w:ascii="Arial Narrow" w:eastAsia="Calibri" w:hAnsi="Arial Narrow" w:cs="Times New Roman"/>
                <w:sz w:val="20"/>
                <w:lang w:eastAsia="en-US"/>
              </w:rPr>
              <w:t>811</w:t>
            </w:r>
            <w:r>
              <w:rPr>
                <w:rFonts w:ascii="Arial Narrow" w:eastAsia="Calibri" w:hAnsi="Arial Narrow" w:cs="Times New Roman"/>
                <w:sz w:val="20"/>
                <w:lang w:eastAsia="en-US"/>
              </w:rPr>
              <w:t xml:space="preserve"> (89)</w:t>
            </w:r>
          </w:p>
        </w:tc>
        <w:tc>
          <w:tcPr>
            <w:tcW w:w="1408" w:type="dxa"/>
          </w:tcPr>
          <w:p w14:paraId="06F3565B" w14:textId="1B2977D6" w:rsidR="00FB35A3" w:rsidRPr="00F36CBE" w:rsidRDefault="00FB35A3" w:rsidP="00FB35A3">
            <w:pPr>
              <w:tabs>
                <w:tab w:val="left" w:pos="743"/>
              </w:tabs>
              <w:spacing w:before="40" w:after="40"/>
              <w:jc w:val="center"/>
              <w:rPr>
                <w:rFonts w:ascii="Arial Narrow" w:eastAsia="Calibri" w:hAnsi="Arial Narrow" w:cs="Times New Roman"/>
                <w:sz w:val="20"/>
                <w:lang w:eastAsia="en-US"/>
              </w:rPr>
            </w:pPr>
            <w:r>
              <w:rPr>
                <w:rFonts w:ascii="Arial Narrow" w:eastAsia="Calibri" w:hAnsi="Arial Narrow" w:cs="Times New Roman"/>
                <w:sz w:val="20"/>
                <w:lang w:eastAsia="en-US"/>
              </w:rPr>
              <w:t>58.4%</w:t>
            </w:r>
          </w:p>
        </w:tc>
        <w:tc>
          <w:tcPr>
            <w:tcW w:w="1559" w:type="dxa"/>
          </w:tcPr>
          <w:p w14:paraId="43722632" w14:textId="0F9FE6C9" w:rsidR="00FB35A3" w:rsidRDefault="00FB35A3" w:rsidP="00FB35A3">
            <w:pPr>
              <w:tabs>
                <w:tab w:val="left" w:pos="743"/>
              </w:tabs>
              <w:spacing w:before="40" w:after="40"/>
              <w:jc w:val="center"/>
              <w:rPr>
                <w:rFonts w:ascii="Arial Narrow" w:eastAsia="Calibri" w:hAnsi="Arial Narrow" w:cs="Times New Roman"/>
                <w:sz w:val="20"/>
                <w:lang w:eastAsia="en-US"/>
              </w:rPr>
            </w:pPr>
            <w:r>
              <w:rPr>
                <w:rFonts w:ascii="Arial Narrow" w:eastAsia="Calibri" w:hAnsi="Arial Narrow" w:cs="Times New Roman"/>
                <w:sz w:val="20"/>
                <w:lang w:eastAsia="en-US"/>
              </w:rPr>
              <w:t>81:58</w:t>
            </w:r>
          </w:p>
        </w:tc>
        <w:tc>
          <w:tcPr>
            <w:tcW w:w="1446" w:type="dxa"/>
          </w:tcPr>
          <w:p w14:paraId="2610A000" w14:textId="25CE126A" w:rsidR="00FB35A3" w:rsidRDefault="00FB35A3" w:rsidP="00FB35A3">
            <w:pPr>
              <w:tabs>
                <w:tab w:val="left" w:pos="743"/>
              </w:tabs>
              <w:spacing w:before="40" w:after="40"/>
              <w:jc w:val="center"/>
              <w:rPr>
                <w:rFonts w:ascii="Arial Narrow" w:eastAsia="Calibri" w:hAnsi="Arial Narrow" w:cs="Times New Roman"/>
                <w:sz w:val="20"/>
                <w:lang w:eastAsia="en-US"/>
              </w:rPr>
            </w:pPr>
            <w:r>
              <w:rPr>
                <w:rFonts w:ascii="Arial Narrow" w:eastAsia="Calibri" w:hAnsi="Arial Narrow" w:cs="Times New Roman"/>
                <w:sz w:val="20"/>
                <w:lang w:eastAsia="en-US"/>
              </w:rPr>
              <w:t>8</w:t>
            </w:r>
          </w:p>
        </w:tc>
      </w:tr>
      <w:tr w:rsidR="00FB35A3" w:rsidRPr="00F36CBE" w14:paraId="03915275" w14:textId="77777777" w:rsidTr="00920354">
        <w:tc>
          <w:tcPr>
            <w:tcW w:w="1913" w:type="dxa"/>
          </w:tcPr>
          <w:p w14:paraId="7286461C" w14:textId="77777777" w:rsidR="00FB35A3" w:rsidRPr="00F36CBE" w:rsidRDefault="00FB35A3" w:rsidP="00FB35A3">
            <w:pPr>
              <w:spacing w:before="40" w:after="40"/>
              <w:rPr>
                <w:rFonts w:ascii="Arial Narrow" w:eastAsia="Calibri" w:hAnsi="Arial Narrow" w:cs="Times New Roman"/>
                <w:sz w:val="20"/>
                <w:lang w:eastAsia="en-US"/>
              </w:rPr>
            </w:pPr>
            <w:r w:rsidRPr="00F36CBE">
              <w:rPr>
                <w:rFonts w:ascii="Arial Narrow" w:eastAsia="Calibri" w:hAnsi="Arial Narrow" w:cs="Times New Roman"/>
                <w:sz w:val="20"/>
                <w:lang w:eastAsia="en-US"/>
              </w:rPr>
              <w:t>Gastric cancer</w:t>
            </w:r>
          </w:p>
        </w:tc>
        <w:tc>
          <w:tcPr>
            <w:tcW w:w="1129" w:type="dxa"/>
          </w:tcPr>
          <w:p w14:paraId="5E05ABDE" w14:textId="650E4983" w:rsidR="00FB35A3" w:rsidRPr="00F36CBE" w:rsidRDefault="00FB35A3" w:rsidP="00FB35A3">
            <w:pPr>
              <w:tabs>
                <w:tab w:val="left" w:pos="743"/>
              </w:tabs>
              <w:spacing w:before="40" w:after="40"/>
              <w:jc w:val="center"/>
              <w:rPr>
                <w:rFonts w:ascii="Arial Narrow" w:eastAsia="Calibri" w:hAnsi="Arial Narrow" w:cs="Times New Roman"/>
                <w:sz w:val="20"/>
                <w:lang w:eastAsia="en-US"/>
              </w:rPr>
            </w:pPr>
            <w:r>
              <w:rPr>
                <w:rFonts w:ascii="Arial Narrow" w:eastAsia="Calibri" w:hAnsi="Arial Narrow" w:cs="Times New Roman"/>
                <w:sz w:val="20"/>
                <w:lang w:eastAsia="en-US"/>
              </w:rPr>
              <w:t>15</w:t>
            </w:r>
            <w:r w:rsidRPr="00F36CBE">
              <w:rPr>
                <w:rFonts w:ascii="Arial Narrow" w:eastAsia="Calibri" w:hAnsi="Arial Narrow" w:cs="Times New Roman"/>
                <w:sz w:val="20"/>
                <w:lang w:eastAsia="en-US"/>
              </w:rPr>
              <w:t>%</w:t>
            </w:r>
          </w:p>
        </w:tc>
        <w:tc>
          <w:tcPr>
            <w:tcW w:w="1499" w:type="dxa"/>
          </w:tcPr>
          <w:p w14:paraId="0A1334FC" w14:textId="2C977C7C" w:rsidR="00FB35A3" w:rsidRPr="00F36CBE" w:rsidRDefault="00FB35A3" w:rsidP="00FB35A3">
            <w:pPr>
              <w:tabs>
                <w:tab w:val="left" w:pos="743"/>
              </w:tabs>
              <w:spacing w:before="40" w:after="40"/>
              <w:jc w:val="center"/>
              <w:rPr>
                <w:rFonts w:ascii="Arial Narrow" w:eastAsia="Calibri" w:hAnsi="Arial Narrow" w:cs="Times New Roman"/>
                <w:sz w:val="20"/>
                <w:lang w:eastAsia="en-US"/>
              </w:rPr>
            </w:pPr>
            <w:r w:rsidRPr="00F36CBE">
              <w:rPr>
                <w:rFonts w:ascii="Arial Narrow" w:eastAsia="Calibri" w:hAnsi="Arial Narrow" w:cs="Times New Roman"/>
                <w:sz w:val="20"/>
                <w:lang w:eastAsia="en-US"/>
              </w:rPr>
              <w:t>1,007</w:t>
            </w:r>
            <w:r>
              <w:rPr>
                <w:rFonts w:ascii="Arial Narrow" w:eastAsia="Calibri" w:hAnsi="Arial Narrow" w:cs="Times New Roman"/>
                <w:sz w:val="20"/>
                <w:lang w:eastAsia="en-US"/>
              </w:rPr>
              <w:t xml:space="preserve"> (151)</w:t>
            </w:r>
          </w:p>
        </w:tc>
        <w:tc>
          <w:tcPr>
            <w:tcW w:w="1408" w:type="dxa"/>
          </w:tcPr>
          <w:p w14:paraId="20625032" w14:textId="1A4D7EB0" w:rsidR="00FB35A3" w:rsidRPr="00F36CBE" w:rsidRDefault="00FB35A3" w:rsidP="00FB35A3">
            <w:pPr>
              <w:tabs>
                <w:tab w:val="left" w:pos="743"/>
              </w:tabs>
              <w:spacing w:before="40" w:after="40"/>
              <w:jc w:val="center"/>
              <w:rPr>
                <w:rFonts w:ascii="Arial Narrow" w:eastAsia="Calibri" w:hAnsi="Arial Narrow" w:cs="Times New Roman"/>
                <w:sz w:val="20"/>
                <w:lang w:eastAsia="en-US"/>
              </w:rPr>
            </w:pPr>
            <w:r>
              <w:rPr>
                <w:rFonts w:ascii="Arial Narrow" w:eastAsia="Calibri" w:hAnsi="Arial Narrow" w:cs="Times New Roman"/>
                <w:sz w:val="20"/>
                <w:lang w:eastAsia="en-US"/>
              </w:rPr>
              <w:t>66.8%</w:t>
            </w:r>
          </w:p>
        </w:tc>
        <w:tc>
          <w:tcPr>
            <w:tcW w:w="1559" w:type="dxa"/>
          </w:tcPr>
          <w:p w14:paraId="0DC9A809" w14:textId="046576C1" w:rsidR="00FB35A3" w:rsidRDefault="00FB35A3" w:rsidP="00FB35A3">
            <w:pPr>
              <w:tabs>
                <w:tab w:val="left" w:pos="743"/>
              </w:tabs>
              <w:spacing w:before="40" w:after="40"/>
              <w:jc w:val="center"/>
              <w:rPr>
                <w:rFonts w:ascii="Arial Narrow" w:eastAsia="Calibri" w:hAnsi="Arial Narrow" w:cs="Times New Roman"/>
                <w:sz w:val="20"/>
                <w:lang w:eastAsia="en-US"/>
              </w:rPr>
            </w:pPr>
            <w:r>
              <w:rPr>
                <w:rFonts w:ascii="Arial Narrow" w:eastAsia="Calibri" w:hAnsi="Arial Narrow" w:cs="Times New Roman"/>
                <w:sz w:val="20"/>
                <w:lang w:eastAsia="en-US"/>
              </w:rPr>
              <w:t>137:68</w:t>
            </w:r>
          </w:p>
        </w:tc>
        <w:tc>
          <w:tcPr>
            <w:tcW w:w="1446" w:type="dxa"/>
          </w:tcPr>
          <w:p w14:paraId="5AB53E68" w14:textId="12C044DC" w:rsidR="00FB35A3" w:rsidRDefault="00FB35A3" w:rsidP="00FB35A3">
            <w:pPr>
              <w:tabs>
                <w:tab w:val="left" w:pos="743"/>
              </w:tabs>
              <w:spacing w:before="40" w:after="40"/>
              <w:jc w:val="center"/>
              <w:rPr>
                <w:rFonts w:ascii="Arial Narrow" w:eastAsia="Calibri" w:hAnsi="Arial Narrow" w:cs="Times New Roman"/>
                <w:sz w:val="20"/>
                <w:lang w:eastAsia="en-US"/>
              </w:rPr>
            </w:pPr>
            <w:r>
              <w:rPr>
                <w:rFonts w:ascii="Arial Narrow" w:eastAsia="Calibri" w:hAnsi="Arial Narrow" w:cs="Times New Roman"/>
                <w:sz w:val="20"/>
                <w:lang w:eastAsia="en-US"/>
              </w:rPr>
              <w:t>14</w:t>
            </w:r>
          </w:p>
        </w:tc>
      </w:tr>
      <w:tr w:rsidR="00FB35A3" w:rsidRPr="00F36CBE" w14:paraId="52C4DD4B" w14:textId="77777777" w:rsidTr="00920354">
        <w:tc>
          <w:tcPr>
            <w:tcW w:w="1913" w:type="dxa"/>
          </w:tcPr>
          <w:p w14:paraId="7915138A" w14:textId="77777777" w:rsidR="00FB35A3" w:rsidRPr="00F36CBE" w:rsidRDefault="00FB35A3" w:rsidP="00FB35A3">
            <w:pPr>
              <w:spacing w:before="40" w:after="40"/>
              <w:rPr>
                <w:rFonts w:ascii="Arial Narrow" w:eastAsia="Calibri" w:hAnsi="Arial Narrow" w:cs="Times New Roman"/>
                <w:sz w:val="20"/>
                <w:lang w:eastAsia="en-US"/>
              </w:rPr>
            </w:pPr>
            <w:r w:rsidRPr="00F36CBE">
              <w:rPr>
                <w:rFonts w:ascii="Arial Narrow" w:eastAsia="Calibri" w:hAnsi="Arial Narrow" w:cs="Times New Roman"/>
                <w:sz w:val="20"/>
                <w:lang w:eastAsia="en-US"/>
              </w:rPr>
              <w:t>Cervical cancer</w:t>
            </w:r>
          </w:p>
        </w:tc>
        <w:tc>
          <w:tcPr>
            <w:tcW w:w="1129" w:type="dxa"/>
          </w:tcPr>
          <w:p w14:paraId="6E876238" w14:textId="70271974" w:rsidR="00FB35A3" w:rsidRPr="00F36CBE" w:rsidRDefault="00FB35A3" w:rsidP="00FB35A3">
            <w:pPr>
              <w:tabs>
                <w:tab w:val="left" w:pos="743"/>
              </w:tabs>
              <w:spacing w:before="40" w:after="40"/>
              <w:jc w:val="center"/>
              <w:rPr>
                <w:rFonts w:ascii="Arial Narrow" w:eastAsia="Calibri" w:hAnsi="Arial Narrow" w:cs="Times New Roman"/>
                <w:sz w:val="20"/>
                <w:lang w:eastAsia="en-US"/>
              </w:rPr>
            </w:pPr>
            <w:r w:rsidRPr="00F36CBE">
              <w:rPr>
                <w:rFonts w:ascii="Arial Narrow" w:eastAsia="Calibri" w:hAnsi="Arial Narrow" w:cs="Times New Roman"/>
                <w:sz w:val="20"/>
                <w:lang w:eastAsia="en-US"/>
              </w:rPr>
              <w:t>9%</w:t>
            </w:r>
          </w:p>
        </w:tc>
        <w:tc>
          <w:tcPr>
            <w:tcW w:w="1499" w:type="dxa"/>
          </w:tcPr>
          <w:p w14:paraId="5DF7962B" w14:textId="01BD021D" w:rsidR="00FB35A3" w:rsidRPr="00F36CBE" w:rsidRDefault="00FB35A3" w:rsidP="00FB35A3">
            <w:pPr>
              <w:tabs>
                <w:tab w:val="left" w:pos="743"/>
              </w:tabs>
              <w:spacing w:before="40" w:after="40"/>
              <w:jc w:val="center"/>
              <w:rPr>
                <w:rFonts w:ascii="Arial Narrow" w:eastAsia="Calibri" w:hAnsi="Arial Narrow" w:cs="Times New Roman"/>
                <w:sz w:val="20"/>
                <w:lang w:eastAsia="en-US"/>
              </w:rPr>
            </w:pPr>
            <w:r w:rsidRPr="00F36CBE">
              <w:rPr>
                <w:rFonts w:ascii="Arial Narrow" w:eastAsia="Calibri" w:hAnsi="Arial Narrow" w:cs="Times New Roman"/>
                <w:sz w:val="20"/>
                <w:lang w:eastAsia="en-US"/>
              </w:rPr>
              <w:t>221</w:t>
            </w:r>
            <w:r>
              <w:rPr>
                <w:rFonts w:ascii="Arial Narrow" w:eastAsia="Calibri" w:hAnsi="Arial Narrow" w:cs="Times New Roman"/>
                <w:sz w:val="20"/>
                <w:lang w:eastAsia="en-US"/>
              </w:rPr>
              <w:t xml:space="preserve"> (20)</w:t>
            </w:r>
          </w:p>
        </w:tc>
        <w:tc>
          <w:tcPr>
            <w:tcW w:w="1408" w:type="dxa"/>
          </w:tcPr>
          <w:p w14:paraId="2640BCE0" w14:textId="0E52106F" w:rsidR="00FB35A3" w:rsidRPr="00F36CBE" w:rsidRDefault="00FB35A3" w:rsidP="00FB35A3">
            <w:pPr>
              <w:tabs>
                <w:tab w:val="left" w:pos="743"/>
              </w:tabs>
              <w:spacing w:before="40" w:after="40"/>
              <w:jc w:val="center"/>
              <w:rPr>
                <w:rFonts w:ascii="Arial Narrow" w:eastAsia="Calibri" w:hAnsi="Arial Narrow" w:cs="Times New Roman"/>
                <w:sz w:val="20"/>
                <w:lang w:eastAsia="en-US"/>
              </w:rPr>
            </w:pPr>
            <w:r>
              <w:rPr>
                <w:rFonts w:ascii="Arial Narrow" w:eastAsia="Calibri" w:hAnsi="Arial Narrow" w:cs="Times New Roman"/>
                <w:sz w:val="20"/>
                <w:lang w:eastAsia="en-US"/>
              </w:rPr>
              <w:t>52.9%</w:t>
            </w:r>
          </w:p>
        </w:tc>
        <w:tc>
          <w:tcPr>
            <w:tcW w:w="1559" w:type="dxa"/>
          </w:tcPr>
          <w:p w14:paraId="11CA70AA" w14:textId="43897366" w:rsidR="00FB35A3" w:rsidRDefault="00FB35A3" w:rsidP="00FB35A3">
            <w:pPr>
              <w:tabs>
                <w:tab w:val="left" w:pos="743"/>
              </w:tabs>
              <w:spacing w:before="40" w:after="40"/>
              <w:jc w:val="center"/>
              <w:rPr>
                <w:rFonts w:ascii="Arial Narrow" w:eastAsia="Calibri" w:hAnsi="Arial Narrow" w:cs="Times New Roman"/>
                <w:sz w:val="20"/>
                <w:lang w:eastAsia="en-US"/>
              </w:rPr>
            </w:pPr>
            <w:r>
              <w:rPr>
                <w:rFonts w:ascii="Arial Narrow" w:eastAsia="Calibri" w:hAnsi="Arial Narrow" w:cs="Times New Roman"/>
                <w:sz w:val="20"/>
                <w:lang w:eastAsia="en-US"/>
              </w:rPr>
              <w:t>18:16</w:t>
            </w:r>
          </w:p>
        </w:tc>
        <w:tc>
          <w:tcPr>
            <w:tcW w:w="1446" w:type="dxa"/>
          </w:tcPr>
          <w:p w14:paraId="751AF109" w14:textId="3A3DAD16" w:rsidR="00FB35A3" w:rsidRDefault="00FB35A3" w:rsidP="00FB35A3">
            <w:pPr>
              <w:tabs>
                <w:tab w:val="left" w:pos="743"/>
              </w:tabs>
              <w:spacing w:before="40" w:after="40"/>
              <w:jc w:val="center"/>
              <w:rPr>
                <w:rFonts w:ascii="Arial Narrow" w:eastAsia="Calibri" w:hAnsi="Arial Narrow" w:cs="Times New Roman"/>
                <w:sz w:val="20"/>
                <w:lang w:eastAsia="en-US"/>
              </w:rPr>
            </w:pPr>
            <w:r>
              <w:rPr>
                <w:rFonts w:ascii="Arial Narrow" w:eastAsia="Calibri" w:hAnsi="Arial Narrow" w:cs="Times New Roman"/>
                <w:sz w:val="20"/>
                <w:lang w:eastAsia="en-US"/>
              </w:rPr>
              <w:t>2</w:t>
            </w:r>
          </w:p>
        </w:tc>
      </w:tr>
      <w:tr w:rsidR="00FB35A3" w:rsidRPr="00F36CBE" w14:paraId="0F6F8736" w14:textId="77777777" w:rsidTr="00920354">
        <w:tc>
          <w:tcPr>
            <w:tcW w:w="1913" w:type="dxa"/>
          </w:tcPr>
          <w:p w14:paraId="656A70A4" w14:textId="77777777" w:rsidR="00FB35A3" w:rsidRPr="00F36CBE" w:rsidRDefault="00FB35A3" w:rsidP="00FB35A3">
            <w:pPr>
              <w:spacing w:before="40" w:after="40"/>
              <w:rPr>
                <w:rFonts w:ascii="Arial Narrow" w:eastAsia="Calibri" w:hAnsi="Arial Narrow" w:cs="Times New Roman"/>
                <w:sz w:val="20"/>
                <w:lang w:eastAsia="en-US"/>
              </w:rPr>
            </w:pPr>
            <w:r w:rsidRPr="00F36CBE">
              <w:rPr>
                <w:rFonts w:ascii="Arial Narrow" w:eastAsia="Calibri" w:hAnsi="Arial Narrow" w:cs="Times New Roman"/>
                <w:sz w:val="20"/>
                <w:lang w:eastAsia="en-US"/>
              </w:rPr>
              <w:t>Glioma</w:t>
            </w:r>
          </w:p>
        </w:tc>
        <w:tc>
          <w:tcPr>
            <w:tcW w:w="1129" w:type="dxa"/>
          </w:tcPr>
          <w:p w14:paraId="77E3B87F" w14:textId="27086271" w:rsidR="00FB35A3" w:rsidRPr="00F36CBE" w:rsidRDefault="00FB35A3" w:rsidP="00FB35A3">
            <w:pPr>
              <w:tabs>
                <w:tab w:val="left" w:pos="743"/>
              </w:tabs>
              <w:spacing w:before="40" w:after="40"/>
              <w:jc w:val="center"/>
              <w:rPr>
                <w:rFonts w:ascii="Arial Narrow" w:eastAsia="Calibri" w:hAnsi="Arial Narrow" w:cs="Times New Roman"/>
                <w:sz w:val="20"/>
                <w:lang w:eastAsia="en-US"/>
              </w:rPr>
            </w:pPr>
            <w:r w:rsidRPr="00F36CBE">
              <w:rPr>
                <w:rFonts w:ascii="Arial Narrow" w:eastAsia="Calibri" w:hAnsi="Arial Narrow" w:cs="Times New Roman"/>
                <w:sz w:val="20"/>
                <w:lang w:eastAsia="en-US"/>
              </w:rPr>
              <w:t>33%</w:t>
            </w:r>
          </w:p>
        </w:tc>
        <w:tc>
          <w:tcPr>
            <w:tcW w:w="1499" w:type="dxa"/>
          </w:tcPr>
          <w:p w14:paraId="4A261CE0" w14:textId="62AFB634" w:rsidR="00FB35A3" w:rsidRPr="00F36CBE" w:rsidRDefault="00FB35A3" w:rsidP="00FB35A3">
            <w:pPr>
              <w:tabs>
                <w:tab w:val="left" w:pos="743"/>
              </w:tabs>
              <w:spacing w:before="40" w:after="40"/>
              <w:jc w:val="center"/>
              <w:rPr>
                <w:rFonts w:ascii="Arial Narrow" w:eastAsia="Calibri" w:hAnsi="Arial Narrow" w:cs="Times New Roman"/>
                <w:sz w:val="20"/>
                <w:lang w:eastAsia="en-US"/>
              </w:rPr>
            </w:pPr>
            <w:r w:rsidRPr="00F36CBE">
              <w:rPr>
                <w:rFonts w:ascii="Arial Narrow" w:eastAsia="Calibri" w:hAnsi="Arial Narrow" w:cs="Times New Roman"/>
                <w:sz w:val="20"/>
                <w:lang w:eastAsia="en-US"/>
              </w:rPr>
              <w:t>1,278</w:t>
            </w:r>
            <w:r>
              <w:rPr>
                <w:rFonts w:ascii="Arial Narrow" w:eastAsia="Calibri" w:hAnsi="Arial Narrow" w:cs="Times New Roman"/>
                <w:sz w:val="20"/>
                <w:lang w:eastAsia="en-US"/>
              </w:rPr>
              <w:t xml:space="preserve"> (422)</w:t>
            </w:r>
          </w:p>
        </w:tc>
        <w:tc>
          <w:tcPr>
            <w:tcW w:w="1408" w:type="dxa"/>
          </w:tcPr>
          <w:p w14:paraId="76230E45" w14:textId="6A43B724" w:rsidR="00FB35A3" w:rsidRPr="00F36CBE" w:rsidRDefault="00FB35A3" w:rsidP="00FB35A3">
            <w:pPr>
              <w:tabs>
                <w:tab w:val="left" w:pos="743"/>
              </w:tabs>
              <w:spacing w:before="40" w:after="40"/>
              <w:jc w:val="center"/>
              <w:rPr>
                <w:rFonts w:ascii="Arial Narrow" w:eastAsia="Calibri" w:hAnsi="Arial Narrow" w:cs="Times New Roman"/>
                <w:sz w:val="20"/>
                <w:lang w:eastAsia="en-US"/>
              </w:rPr>
            </w:pPr>
            <w:r>
              <w:rPr>
                <w:rFonts w:ascii="Arial Narrow" w:eastAsia="Calibri" w:hAnsi="Arial Narrow" w:cs="Times New Roman"/>
                <w:sz w:val="20"/>
                <w:lang w:eastAsia="en-US"/>
              </w:rPr>
              <w:t>84.9%</w:t>
            </w:r>
          </w:p>
        </w:tc>
        <w:tc>
          <w:tcPr>
            <w:tcW w:w="1559" w:type="dxa"/>
          </w:tcPr>
          <w:p w14:paraId="2132823A" w14:textId="0B1CED1F" w:rsidR="00FB35A3" w:rsidRDefault="00FB35A3" w:rsidP="00FB35A3">
            <w:pPr>
              <w:tabs>
                <w:tab w:val="left" w:pos="634"/>
                <w:tab w:val="left" w:pos="743"/>
                <w:tab w:val="center" w:pos="813"/>
              </w:tabs>
              <w:spacing w:before="40" w:after="40"/>
              <w:jc w:val="center"/>
              <w:rPr>
                <w:rFonts w:ascii="Arial Narrow" w:eastAsia="Calibri" w:hAnsi="Arial Narrow" w:cs="Times New Roman"/>
                <w:sz w:val="20"/>
                <w:lang w:eastAsia="en-US"/>
              </w:rPr>
            </w:pPr>
            <w:r>
              <w:rPr>
                <w:rFonts w:ascii="Arial Narrow" w:eastAsia="Calibri" w:hAnsi="Arial Narrow" w:cs="Times New Roman"/>
                <w:sz w:val="20"/>
                <w:lang w:eastAsia="en-US"/>
              </w:rPr>
              <w:t>384:68</w:t>
            </w:r>
          </w:p>
        </w:tc>
        <w:tc>
          <w:tcPr>
            <w:tcW w:w="1446" w:type="dxa"/>
          </w:tcPr>
          <w:p w14:paraId="34748F28" w14:textId="7ACCA0D4" w:rsidR="00FB35A3" w:rsidRDefault="00FB35A3" w:rsidP="00FB35A3">
            <w:pPr>
              <w:tabs>
                <w:tab w:val="left" w:pos="634"/>
                <w:tab w:val="left" w:pos="743"/>
                <w:tab w:val="center" w:pos="813"/>
              </w:tabs>
              <w:spacing w:before="40" w:after="40"/>
              <w:jc w:val="center"/>
              <w:rPr>
                <w:rFonts w:ascii="Arial Narrow" w:eastAsia="Calibri" w:hAnsi="Arial Narrow" w:cs="Times New Roman"/>
                <w:sz w:val="20"/>
                <w:lang w:eastAsia="en-US"/>
              </w:rPr>
            </w:pPr>
            <w:r>
              <w:rPr>
                <w:rFonts w:ascii="Arial Narrow" w:eastAsia="Calibri" w:hAnsi="Arial Narrow" w:cs="Times New Roman"/>
                <w:sz w:val="20"/>
                <w:lang w:eastAsia="en-US"/>
              </w:rPr>
              <w:t>38</w:t>
            </w:r>
          </w:p>
        </w:tc>
      </w:tr>
      <w:tr w:rsidR="00FB35A3" w:rsidRPr="00F36CBE" w14:paraId="684DD47B" w14:textId="77777777" w:rsidTr="00920354">
        <w:tc>
          <w:tcPr>
            <w:tcW w:w="1913" w:type="dxa"/>
            <w:tcBorders>
              <w:bottom w:val="single" w:sz="4" w:space="0" w:color="auto"/>
            </w:tcBorders>
          </w:tcPr>
          <w:p w14:paraId="44A2D3B2" w14:textId="77777777" w:rsidR="00FB35A3" w:rsidRPr="00F36CBE" w:rsidRDefault="00FB35A3" w:rsidP="00FB35A3">
            <w:pPr>
              <w:spacing w:before="40" w:after="40"/>
              <w:rPr>
                <w:rFonts w:ascii="Arial Narrow" w:eastAsia="Calibri" w:hAnsi="Arial Narrow" w:cs="Times New Roman"/>
                <w:sz w:val="20"/>
                <w:lang w:eastAsia="en-US"/>
              </w:rPr>
            </w:pPr>
            <w:r w:rsidRPr="00F36CBE">
              <w:rPr>
                <w:rFonts w:ascii="Arial Narrow" w:eastAsia="Calibri" w:hAnsi="Arial Narrow" w:cs="Times New Roman"/>
                <w:sz w:val="20"/>
                <w:lang w:eastAsia="en-US"/>
              </w:rPr>
              <w:t>Oesophageal cancer</w:t>
            </w:r>
          </w:p>
        </w:tc>
        <w:tc>
          <w:tcPr>
            <w:tcW w:w="1129" w:type="dxa"/>
            <w:tcBorders>
              <w:bottom w:val="single" w:sz="4" w:space="0" w:color="auto"/>
            </w:tcBorders>
          </w:tcPr>
          <w:p w14:paraId="40A14F24" w14:textId="07B540BA" w:rsidR="00FB35A3" w:rsidRPr="00F36CBE" w:rsidRDefault="00FB35A3" w:rsidP="00FB35A3">
            <w:pPr>
              <w:tabs>
                <w:tab w:val="left" w:pos="743"/>
              </w:tabs>
              <w:spacing w:before="40" w:after="40"/>
              <w:jc w:val="center"/>
              <w:rPr>
                <w:rFonts w:ascii="Arial Narrow" w:eastAsia="Calibri" w:hAnsi="Arial Narrow" w:cs="Times New Roman"/>
                <w:sz w:val="20"/>
                <w:lang w:eastAsia="en-US"/>
              </w:rPr>
            </w:pPr>
            <w:r>
              <w:rPr>
                <w:rFonts w:ascii="Arial Narrow" w:eastAsia="Calibri" w:hAnsi="Arial Narrow" w:cs="Times New Roman"/>
                <w:sz w:val="20"/>
                <w:lang w:eastAsia="en-US"/>
              </w:rPr>
              <w:t>10%</w:t>
            </w:r>
          </w:p>
        </w:tc>
        <w:tc>
          <w:tcPr>
            <w:tcW w:w="1499" w:type="dxa"/>
            <w:tcBorders>
              <w:bottom w:val="single" w:sz="4" w:space="0" w:color="auto"/>
            </w:tcBorders>
          </w:tcPr>
          <w:p w14:paraId="1C3B385D" w14:textId="09EDE43A" w:rsidR="00FB35A3" w:rsidRPr="00F36CBE" w:rsidRDefault="00FB35A3" w:rsidP="00FB35A3">
            <w:pPr>
              <w:tabs>
                <w:tab w:val="left" w:pos="743"/>
              </w:tabs>
              <w:spacing w:before="40" w:after="40"/>
              <w:jc w:val="center"/>
              <w:rPr>
                <w:rFonts w:ascii="Arial Narrow" w:eastAsia="Calibri" w:hAnsi="Arial Narrow" w:cs="Times New Roman"/>
                <w:sz w:val="20"/>
                <w:lang w:eastAsia="en-US"/>
              </w:rPr>
            </w:pPr>
            <w:r w:rsidRPr="00F36CBE">
              <w:rPr>
                <w:rFonts w:ascii="Arial Narrow" w:eastAsia="Calibri" w:hAnsi="Arial Narrow" w:cs="Times New Roman"/>
                <w:sz w:val="20"/>
                <w:lang w:eastAsia="en-US"/>
              </w:rPr>
              <w:t>1,179</w:t>
            </w:r>
            <w:r>
              <w:rPr>
                <w:rFonts w:ascii="Arial Narrow" w:eastAsia="Calibri" w:hAnsi="Arial Narrow" w:cs="Times New Roman"/>
                <w:sz w:val="20"/>
                <w:lang w:eastAsia="en-US"/>
              </w:rPr>
              <w:t xml:space="preserve"> (118)</w:t>
            </w:r>
          </w:p>
        </w:tc>
        <w:tc>
          <w:tcPr>
            <w:tcW w:w="1408" w:type="dxa"/>
            <w:tcBorders>
              <w:bottom w:val="single" w:sz="4" w:space="0" w:color="auto"/>
            </w:tcBorders>
          </w:tcPr>
          <w:p w14:paraId="7E520211" w14:textId="586D7611" w:rsidR="00FB35A3" w:rsidRPr="00F36CBE" w:rsidRDefault="00FB35A3" w:rsidP="00FB35A3">
            <w:pPr>
              <w:tabs>
                <w:tab w:val="left" w:pos="743"/>
              </w:tabs>
              <w:spacing w:before="40" w:after="40"/>
              <w:jc w:val="center"/>
              <w:rPr>
                <w:rFonts w:ascii="Arial Narrow" w:eastAsia="Calibri" w:hAnsi="Arial Narrow" w:cs="Times New Roman"/>
                <w:sz w:val="20"/>
                <w:lang w:eastAsia="en-US"/>
              </w:rPr>
            </w:pPr>
            <w:r>
              <w:rPr>
                <w:rFonts w:ascii="Arial Narrow" w:eastAsia="Calibri" w:hAnsi="Arial Narrow" w:cs="Times New Roman"/>
                <w:sz w:val="20"/>
                <w:lang w:eastAsia="en-US"/>
              </w:rPr>
              <w:t>55.8%</w:t>
            </w:r>
          </w:p>
        </w:tc>
        <w:tc>
          <w:tcPr>
            <w:tcW w:w="1559" w:type="dxa"/>
            <w:tcBorders>
              <w:bottom w:val="single" w:sz="4" w:space="0" w:color="auto"/>
            </w:tcBorders>
          </w:tcPr>
          <w:p w14:paraId="7A5250A5" w14:textId="6FC1624D" w:rsidR="00FB35A3" w:rsidRDefault="00FB35A3" w:rsidP="00FB35A3">
            <w:pPr>
              <w:tabs>
                <w:tab w:val="left" w:pos="743"/>
              </w:tabs>
              <w:spacing w:before="40" w:after="40"/>
              <w:jc w:val="center"/>
              <w:rPr>
                <w:rFonts w:ascii="Arial Narrow" w:eastAsia="Calibri" w:hAnsi="Arial Narrow" w:cs="Times New Roman"/>
                <w:sz w:val="20"/>
                <w:lang w:eastAsia="en-US"/>
              </w:rPr>
            </w:pPr>
            <w:r>
              <w:rPr>
                <w:rFonts w:ascii="Arial Narrow" w:eastAsia="Calibri" w:hAnsi="Arial Narrow" w:cs="Times New Roman"/>
                <w:sz w:val="20"/>
                <w:lang w:eastAsia="en-US"/>
              </w:rPr>
              <w:t>107:85</w:t>
            </w:r>
          </w:p>
        </w:tc>
        <w:tc>
          <w:tcPr>
            <w:tcW w:w="1446" w:type="dxa"/>
            <w:tcBorders>
              <w:bottom w:val="single" w:sz="4" w:space="0" w:color="auto"/>
            </w:tcBorders>
          </w:tcPr>
          <w:p w14:paraId="275218C5" w14:textId="1742E48C" w:rsidR="00FB35A3" w:rsidRDefault="00FB35A3" w:rsidP="00FB35A3">
            <w:pPr>
              <w:tabs>
                <w:tab w:val="left" w:pos="743"/>
              </w:tabs>
              <w:spacing w:before="40" w:after="40"/>
              <w:jc w:val="center"/>
              <w:rPr>
                <w:rFonts w:ascii="Arial Narrow" w:eastAsia="Calibri" w:hAnsi="Arial Narrow" w:cs="Times New Roman"/>
                <w:sz w:val="20"/>
                <w:lang w:eastAsia="en-US"/>
              </w:rPr>
            </w:pPr>
            <w:r>
              <w:rPr>
                <w:rFonts w:ascii="Arial Narrow" w:eastAsia="Calibri" w:hAnsi="Arial Narrow" w:cs="Times New Roman"/>
                <w:sz w:val="20"/>
                <w:lang w:eastAsia="en-US"/>
              </w:rPr>
              <w:t>11</w:t>
            </w:r>
          </w:p>
        </w:tc>
      </w:tr>
    </w:tbl>
    <w:p w14:paraId="31798219" w14:textId="357CC68C" w:rsidR="00642C1E" w:rsidRDefault="00642C1E" w:rsidP="00642C1E">
      <w:pPr>
        <w:spacing w:before="40" w:after="240" w:line="240" w:lineRule="auto"/>
        <w:contextualSpacing/>
        <w:rPr>
          <w:rFonts w:ascii="Arial Narrow" w:eastAsia="Calibri" w:hAnsi="Arial Narrow" w:cs="Times New Roman"/>
          <w:sz w:val="20"/>
          <w:lang w:eastAsia="en-US"/>
        </w:rPr>
      </w:pPr>
      <w:r w:rsidRPr="00941922">
        <w:rPr>
          <w:rFonts w:ascii="Arial Narrow" w:eastAsia="Calibri" w:hAnsi="Arial Narrow" w:cs="Times New Roman"/>
          <w:sz w:val="20"/>
          <w:lang w:eastAsia="en-US"/>
        </w:rPr>
        <w:t xml:space="preserve">Source: </w:t>
      </w:r>
      <w:r>
        <w:rPr>
          <w:rFonts w:ascii="Arial Narrow" w:eastAsia="Calibri" w:hAnsi="Arial Narrow" w:cs="Times New Roman"/>
          <w:sz w:val="20"/>
          <w:lang w:eastAsia="en-US"/>
        </w:rPr>
        <w:t xml:space="preserve">Table </w:t>
      </w:r>
      <w:r w:rsidR="00400662">
        <w:rPr>
          <w:rFonts w:ascii="Arial Narrow" w:eastAsia="Calibri" w:hAnsi="Arial Narrow" w:cs="Times New Roman"/>
          <w:sz w:val="20"/>
          <w:lang w:eastAsia="en-US"/>
        </w:rPr>
        <w:t xml:space="preserve">2 </w:t>
      </w:r>
      <w:r>
        <w:rPr>
          <w:rFonts w:ascii="Arial Narrow" w:eastAsia="Calibri" w:hAnsi="Arial Narrow" w:cs="Times New Roman"/>
          <w:sz w:val="20"/>
          <w:lang w:eastAsia="en-US"/>
        </w:rPr>
        <w:t xml:space="preserve">using the highest estimate of the </w:t>
      </w:r>
      <w:r w:rsidR="004B53A4">
        <w:rPr>
          <w:rFonts w:ascii="Arial Narrow" w:eastAsia="Calibri" w:hAnsi="Arial Narrow" w:cs="Times New Roman"/>
          <w:sz w:val="20"/>
          <w:lang w:eastAsia="en-US"/>
        </w:rPr>
        <w:t xml:space="preserve">MSI-H </w:t>
      </w:r>
      <w:r>
        <w:rPr>
          <w:rFonts w:ascii="Arial Narrow" w:eastAsia="Calibri" w:hAnsi="Arial Narrow" w:cs="Times New Roman"/>
          <w:sz w:val="20"/>
          <w:lang w:eastAsia="en-US"/>
        </w:rPr>
        <w:t xml:space="preserve">prevalence rate </w:t>
      </w:r>
      <w:r w:rsidR="00DA582F">
        <w:rPr>
          <w:rFonts w:ascii="Arial Narrow" w:eastAsia="Calibri" w:hAnsi="Arial Narrow" w:cs="Times New Roman"/>
          <w:sz w:val="20"/>
          <w:lang w:eastAsia="en-US"/>
        </w:rPr>
        <w:t xml:space="preserve">(best-case scenario) </w:t>
      </w:r>
      <w:r>
        <w:rPr>
          <w:rFonts w:ascii="Arial Narrow" w:eastAsia="Calibri" w:hAnsi="Arial Narrow" w:cs="Times New Roman"/>
          <w:sz w:val="20"/>
          <w:lang w:eastAsia="en-US"/>
        </w:rPr>
        <w:t>for each tumour type</w:t>
      </w:r>
    </w:p>
    <w:p w14:paraId="55E90BFF" w14:textId="37DF3393" w:rsidR="00DA582F" w:rsidRDefault="00DA582F" w:rsidP="00642C1E">
      <w:pPr>
        <w:spacing w:before="40" w:after="240" w:line="240" w:lineRule="auto"/>
        <w:contextualSpacing/>
        <w:rPr>
          <w:rFonts w:ascii="Arial Narrow" w:eastAsia="Calibri" w:hAnsi="Arial Narrow" w:cs="Times New Roman"/>
          <w:sz w:val="20"/>
          <w:lang w:eastAsia="en-US"/>
        </w:rPr>
      </w:pPr>
      <w:r w:rsidRPr="00DA582F">
        <w:rPr>
          <w:rFonts w:ascii="Arial Narrow" w:eastAsia="Calibri" w:hAnsi="Arial Narrow" w:cs="Times New Roman"/>
          <w:sz w:val="20"/>
          <w:lang w:eastAsia="en-US"/>
        </w:rPr>
        <w:t xml:space="preserve">The PPV </w:t>
      </w:r>
      <w:r>
        <w:rPr>
          <w:rFonts w:ascii="Arial Narrow" w:eastAsia="Calibri" w:hAnsi="Arial Narrow" w:cs="Times New Roman"/>
          <w:sz w:val="20"/>
          <w:lang w:eastAsia="en-US"/>
        </w:rPr>
        <w:t xml:space="preserve">was calculated using the </w:t>
      </w:r>
      <w:r w:rsidRPr="00DA582F">
        <w:rPr>
          <w:rFonts w:ascii="Arial Narrow" w:eastAsia="Calibri" w:hAnsi="Arial Narrow" w:cs="Times New Roman"/>
          <w:sz w:val="20"/>
          <w:lang w:eastAsia="en-US"/>
        </w:rPr>
        <w:t>sensitivity and specificity for dMMR IHC testing</w:t>
      </w:r>
      <w:r w:rsidR="00D10F4C">
        <w:rPr>
          <w:rFonts w:ascii="Arial Narrow" w:eastAsia="Calibri" w:hAnsi="Arial Narrow" w:cs="Times New Roman"/>
          <w:sz w:val="20"/>
          <w:lang w:eastAsia="en-US"/>
        </w:rPr>
        <w:t>,</w:t>
      </w:r>
      <w:r w:rsidRPr="00DA582F">
        <w:rPr>
          <w:rFonts w:ascii="Arial Narrow" w:eastAsia="Calibri" w:hAnsi="Arial Narrow" w:cs="Times New Roman"/>
          <w:sz w:val="20"/>
          <w:lang w:eastAsia="en-US"/>
        </w:rPr>
        <w:t xml:space="preserve"> compared with </w:t>
      </w:r>
      <w:r w:rsidR="008B74E1">
        <w:rPr>
          <w:rFonts w:ascii="Arial Narrow" w:eastAsia="Calibri" w:hAnsi="Arial Narrow" w:cs="Times New Roman"/>
          <w:sz w:val="20"/>
          <w:lang w:eastAsia="en-US"/>
        </w:rPr>
        <w:t>MS-MLPA</w:t>
      </w:r>
      <w:r w:rsidRPr="00DA582F">
        <w:rPr>
          <w:rFonts w:ascii="Arial Narrow" w:eastAsia="Calibri" w:hAnsi="Arial Narrow" w:cs="Times New Roman"/>
          <w:sz w:val="20"/>
          <w:lang w:eastAsia="en-US"/>
        </w:rPr>
        <w:t xml:space="preserve"> testing of the </w:t>
      </w:r>
      <w:r w:rsidRPr="00452BDF">
        <w:rPr>
          <w:rFonts w:ascii="Arial Narrow" w:eastAsia="Calibri" w:hAnsi="Arial Narrow" w:cs="Times New Roman"/>
          <w:i/>
          <w:sz w:val="20"/>
          <w:lang w:eastAsia="en-US"/>
        </w:rPr>
        <w:t>MLH1</w:t>
      </w:r>
      <w:r w:rsidRPr="00DA582F">
        <w:rPr>
          <w:rFonts w:ascii="Arial Narrow" w:eastAsia="Calibri" w:hAnsi="Arial Narrow" w:cs="Times New Roman"/>
          <w:sz w:val="20"/>
          <w:lang w:eastAsia="en-US"/>
        </w:rPr>
        <w:t xml:space="preserve"> promoter as the reference standard (91%</w:t>
      </w:r>
      <w:r>
        <w:rPr>
          <w:rFonts w:ascii="Arial Narrow" w:eastAsia="Calibri" w:hAnsi="Arial Narrow" w:cs="Times New Roman"/>
          <w:sz w:val="20"/>
          <w:lang w:eastAsia="en-US"/>
        </w:rPr>
        <w:t xml:space="preserve"> and</w:t>
      </w:r>
      <w:r w:rsidRPr="00DA582F">
        <w:rPr>
          <w:rFonts w:ascii="Arial Narrow" w:eastAsia="Calibri" w:hAnsi="Arial Narrow" w:cs="Times New Roman"/>
          <w:sz w:val="20"/>
          <w:lang w:eastAsia="en-US"/>
        </w:rPr>
        <w:t xml:space="preserve"> 92%</w:t>
      </w:r>
      <w:r>
        <w:rPr>
          <w:rFonts w:ascii="Arial Narrow" w:eastAsia="Calibri" w:hAnsi="Arial Narrow" w:cs="Times New Roman"/>
          <w:sz w:val="20"/>
          <w:lang w:eastAsia="en-US"/>
        </w:rPr>
        <w:t>, respectively</w:t>
      </w:r>
      <w:r w:rsidRPr="00DA582F">
        <w:rPr>
          <w:rFonts w:ascii="Arial Narrow" w:eastAsia="Calibri" w:hAnsi="Arial Narrow" w:cs="Times New Roman"/>
          <w:sz w:val="20"/>
          <w:lang w:eastAsia="en-US"/>
        </w:rPr>
        <w:t>)</w:t>
      </w:r>
      <w:r>
        <w:rPr>
          <w:rFonts w:ascii="Arial Narrow" w:eastAsia="Calibri" w:hAnsi="Arial Narrow" w:cs="Times New Roman"/>
          <w:sz w:val="20"/>
          <w:lang w:eastAsia="en-US"/>
        </w:rPr>
        <w:t>.</w:t>
      </w:r>
    </w:p>
    <w:p w14:paraId="6EEB4447" w14:textId="1A4AEFE7" w:rsidR="00BB0897" w:rsidRPr="00941922" w:rsidRDefault="00BB0897" w:rsidP="00642C1E">
      <w:pPr>
        <w:spacing w:before="40" w:after="240" w:line="240" w:lineRule="auto"/>
        <w:rPr>
          <w:rFonts w:ascii="Arial Narrow" w:eastAsia="Calibri" w:hAnsi="Arial Narrow" w:cs="Times New Roman"/>
          <w:sz w:val="20"/>
          <w:lang w:eastAsia="en-US"/>
        </w:rPr>
      </w:pPr>
      <w:r>
        <w:rPr>
          <w:rFonts w:ascii="Arial Narrow" w:eastAsia="Calibri" w:hAnsi="Arial Narrow" w:cs="Times New Roman"/>
          <w:sz w:val="20"/>
          <w:lang w:eastAsia="en-US"/>
        </w:rPr>
        <w:t xml:space="preserve">dMMR = mismatch repair deficient; FP = false positive; </w:t>
      </w:r>
      <w:r w:rsidR="00DA582F">
        <w:rPr>
          <w:rFonts w:ascii="Arial Narrow" w:eastAsia="Calibri" w:hAnsi="Arial Narrow" w:cs="Times New Roman"/>
          <w:sz w:val="20"/>
          <w:lang w:eastAsia="en-US"/>
        </w:rPr>
        <w:t xml:space="preserve">PPV = positive predictive value; </w:t>
      </w:r>
      <w:r>
        <w:rPr>
          <w:rFonts w:ascii="Arial Narrow" w:eastAsia="Calibri" w:hAnsi="Arial Narrow" w:cs="Times New Roman"/>
          <w:sz w:val="20"/>
          <w:lang w:eastAsia="en-US"/>
        </w:rPr>
        <w:t>TP = true positive</w:t>
      </w:r>
    </w:p>
    <w:p w14:paraId="0D7B9F8E" w14:textId="6F5264CA" w:rsidR="00A145ED" w:rsidRDefault="00A145ED" w:rsidP="00A145ED">
      <w:pPr>
        <w:spacing w:after="120" w:line="312" w:lineRule="auto"/>
        <w:rPr>
          <w:bCs/>
        </w:rPr>
      </w:pPr>
      <w:r w:rsidRPr="00A145ED">
        <w:rPr>
          <w:bCs/>
        </w:rPr>
        <w:t xml:space="preserve">MSAC/PBAC may consider it prudent to ensure that </w:t>
      </w:r>
      <w:r w:rsidR="007B1F38" w:rsidRPr="007B1F38">
        <w:rPr>
          <w:bCs/>
        </w:rPr>
        <w:t xml:space="preserve">testing for access to a pan-tumour medication is not undertaken before </w:t>
      </w:r>
      <w:r w:rsidRPr="00A145ED">
        <w:rPr>
          <w:bCs/>
        </w:rPr>
        <w:t xml:space="preserve">other viable treatment options </w:t>
      </w:r>
      <w:r w:rsidR="007B1F38">
        <w:rPr>
          <w:bCs/>
        </w:rPr>
        <w:t>are considered</w:t>
      </w:r>
      <w:r w:rsidRPr="00A145ED">
        <w:rPr>
          <w:bCs/>
        </w:rPr>
        <w:t xml:space="preserve">. Alternatively, </w:t>
      </w:r>
      <w:r>
        <w:rPr>
          <w:bCs/>
        </w:rPr>
        <w:t xml:space="preserve">each </w:t>
      </w:r>
      <w:r w:rsidRPr="00A145ED">
        <w:rPr>
          <w:bCs/>
        </w:rPr>
        <w:t>patient could be individually triaged for either standard of care or the pan-tumour medicine according to their tumour type and the prevalence of the biomarker</w:t>
      </w:r>
      <w:r w:rsidRPr="00A145ED">
        <w:t xml:space="preserve"> </w:t>
      </w:r>
      <w:r w:rsidRPr="00A145ED">
        <w:rPr>
          <w:bCs/>
        </w:rPr>
        <w:t>in that tumour type and</w:t>
      </w:r>
      <w:r w:rsidR="007B1F38">
        <w:rPr>
          <w:bCs/>
        </w:rPr>
        <w:t>/or the</w:t>
      </w:r>
      <w:r w:rsidRPr="00A145ED">
        <w:rPr>
          <w:bCs/>
        </w:rPr>
        <w:t xml:space="preserve"> population level evidence supporting a potential treatment effect</w:t>
      </w:r>
      <w:r w:rsidR="00BC4309">
        <w:rPr>
          <w:bCs/>
        </w:rPr>
        <w:t xml:space="preserve"> of the therapy in that patient</w:t>
      </w:r>
      <w:r>
        <w:rPr>
          <w:bCs/>
        </w:rPr>
        <w:t>,</w:t>
      </w:r>
      <w:r w:rsidRPr="00A145ED">
        <w:t xml:space="preserve"> </w:t>
      </w:r>
      <w:r w:rsidRPr="00A145ED">
        <w:rPr>
          <w:bCs/>
        </w:rPr>
        <w:t>in a fashion similar to the algorithm shown in Figure 2</w:t>
      </w:r>
      <w:r w:rsidR="00237849">
        <w:rPr>
          <w:bCs/>
        </w:rPr>
        <w:t>.</w:t>
      </w:r>
      <w:r w:rsidRPr="00A145ED">
        <w:rPr>
          <w:bCs/>
        </w:rPr>
        <w:t xml:space="preserve"> </w:t>
      </w:r>
      <w:r w:rsidRPr="00237849">
        <w:rPr>
          <w:b/>
          <w:bCs/>
        </w:rPr>
        <w:t xml:space="preserve">(Recommendation </w:t>
      </w:r>
      <w:r w:rsidR="005D7117" w:rsidRPr="00237849">
        <w:rPr>
          <w:b/>
          <w:bCs/>
        </w:rPr>
        <w:t>1</w:t>
      </w:r>
      <w:r w:rsidR="00BC4309" w:rsidRPr="00237849">
        <w:rPr>
          <w:b/>
          <w:bCs/>
        </w:rPr>
        <w:t>0</w:t>
      </w:r>
      <w:r w:rsidRPr="00237849">
        <w:rPr>
          <w:b/>
          <w:bCs/>
        </w:rPr>
        <w:t>)</w:t>
      </w:r>
      <w:r w:rsidRPr="00A145ED">
        <w:rPr>
          <w:bCs/>
        </w:rPr>
        <w:t xml:space="preserve"> The prevalence rate used to triage patient eligibility would be pre-determined by MSAC/PBAC, and would depend on the sensitivity and specificity of the test, such that the post-test probability of being truly positive is acceptable with respect to any potential harms arising from inappropriate treatment of false-positive and false-negative patients.</w:t>
      </w:r>
    </w:p>
    <w:p w14:paraId="680F1589" w14:textId="4EA5A7B2" w:rsidR="00A44DA8" w:rsidRDefault="00A44DA8" w:rsidP="008054A0">
      <w:pPr>
        <w:spacing w:after="120" w:line="240" w:lineRule="auto"/>
        <w:jc w:val="center"/>
        <w:rPr>
          <w:bCs/>
        </w:rPr>
      </w:pPr>
      <w:r>
        <w:rPr>
          <w:bCs/>
          <w:noProof/>
        </w:rPr>
        <w:lastRenderedPageBreak/>
        <w:drawing>
          <wp:inline distT="0" distB="0" distL="0" distR="0" wp14:anchorId="441F413D" wp14:editId="6D3AAA72">
            <wp:extent cx="5731510" cy="5470525"/>
            <wp:effectExtent l="0" t="0" r="2540" b="0"/>
            <wp:docPr id="4" name="Picture 4" descr="Patients with a tumour type that has a biomarker prevalence rate deemed acceptable by MSAC/PBAC, when considering the sensitivity and specificity of the test with respect to any potential harms arising from inappropriate treatment, would be tested for the biomarker after failure of first-line treatment for stage IV disease. Patients who are biomarker positive would receive the targeted treatment prior to receiving any other viable treatment options. Those who are biomarker negative would receive any other available treatment options according to standard of care.&#10;Patients with a tumour type that has a biomarker prevalence rate below the pre-determined threshold eligible for the targeted treatment would include more patients with false-positive test results than truly positive patients, resulting in increased harm for these patients. Hence, they would receive any available alternative active treatment options for their tumour type prior to testing for the biomarker. Patients who are biomarker positive would receive the targeted treatment as a last-line option, reducing the impact of any harms to the false-positive patients, and those who are negative would receive palliative care.&#10;" title="An algorithm to guide testing and targeted treatment for a pan-tumour population to minimise harm in the event of false-positive test 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lgorithm2.png"/>
                    <pic:cNvPicPr/>
                  </pic:nvPicPr>
                  <pic:blipFill>
                    <a:blip r:embed="rId22">
                      <a:extLst>
                        <a:ext uri="{28A0092B-C50C-407E-A947-70E740481C1C}">
                          <a14:useLocalDpi xmlns:a14="http://schemas.microsoft.com/office/drawing/2010/main" val="0"/>
                        </a:ext>
                      </a:extLst>
                    </a:blip>
                    <a:stretch>
                      <a:fillRect/>
                    </a:stretch>
                  </pic:blipFill>
                  <pic:spPr>
                    <a:xfrm>
                      <a:off x="0" y="0"/>
                      <a:ext cx="5731510" cy="5470525"/>
                    </a:xfrm>
                    <a:prstGeom prst="rect">
                      <a:avLst/>
                    </a:prstGeom>
                  </pic:spPr>
                </pic:pic>
              </a:graphicData>
            </a:graphic>
          </wp:inline>
        </w:drawing>
      </w:r>
    </w:p>
    <w:p w14:paraId="2A4BDF3B" w14:textId="6AEC2B46" w:rsidR="00DF61D6" w:rsidRDefault="000F6AD0" w:rsidP="00684BA4">
      <w:pPr>
        <w:pStyle w:val="TableHeading"/>
      </w:pPr>
      <w:bookmarkStart w:id="73" w:name="_Ref497300820"/>
      <w:bookmarkStart w:id="74" w:name="_Toc29557684"/>
      <w:r>
        <w:t xml:space="preserve">Figure </w:t>
      </w:r>
      <w:r w:rsidR="0054411D">
        <w:rPr>
          <w:noProof/>
        </w:rPr>
        <w:fldChar w:fldCharType="begin"/>
      </w:r>
      <w:r w:rsidR="0054411D">
        <w:rPr>
          <w:noProof/>
        </w:rPr>
        <w:instrText xml:space="preserve"> SEQ Figure \* ARABIC </w:instrText>
      </w:r>
      <w:r w:rsidR="0054411D">
        <w:rPr>
          <w:noProof/>
        </w:rPr>
        <w:fldChar w:fldCharType="separate"/>
      </w:r>
      <w:r w:rsidR="0068658C">
        <w:rPr>
          <w:noProof/>
        </w:rPr>
        <w:t>2</w:t>
      </w:r>
      <w:r w:rsidR="0054411D">
        <w:rPr>
          <w:noProof/>
        </w:rPr>
        <w:fldChar w:fldCharType="end"/>
      </w:r>
      <w:bookmarkEnd w:id="73"/>
      <w:r w:rsidR="00CE184B">
        <w:tab/>
        <w:t>An algorithm to guide testing and treatment for a pan-tumour population</w:t>
      </w:r>
      <w:r w:rsidR="00262E87">
        <w:t xml:space="preserve"> to minimise harm </w:t>
      </w:r>
      <w:r w:rsidR="00620F71">
        <w:t xml:space="preserve">in the event of </w:t>
      </w:r>
      <w:r w:rsidR="00262E87">
        <w:t xml:space="preserve">false-positive </w:t>
      </w:r>
      <w:r w:rsidR="00620F71">
        <w:t>test results</w:t>
      </w:r>
      <w:bookmarkEnd w:id="74"/>
    </w:p>
    <w:p w14:paraId="3BBFB060" w14:textId="77777777" w:rsidR="00DF61D6" w:rsidRDefault="00CE184B" w:rsidP="00CE184B">
      <w:pPr>
        <w:pStyle w:val="Tablenotes0"/>
      </w:pPr>
      <w:r w:rsidRPr="00CE184B">
        <w:t xml:space="preserve">The prevalence rate used to triage patients would </w:t>
      </w:r>
      <w:r>
        <w:t xml:space="preserve">be pre-determined by MSAC/PBAC </w:t>
      </w:r>
      <w:r w:rsidRPr="00CE184B">
        <w:t>depend</w:t>
      </w:r>
      <w:r>
        <w:t>ing</w:t>
      </w:r>
      <w:r w:rsidRPr="00CE184B">
        <w:t xml:space="preserve"> on the sensitivity and specificity of the test, </w:t>
      </w:r>
      <w:r>
        <w:t>and</w:t>
      </w:r>
      <w:r w:rsidRPr="00CE184B">
        <w:t xml:space="preserve"> with respect to any potential harms arising from inappropriate treatment.</w:t>
      </w:r>
    </w:p>
    <w:p w14:paraId="14E27753" w14:textId="77777777" w:rsidR="00A622F0" w:rsidRDefault="00CE184B" w:rsidP="00CE184B">
      <w:pPr>
        <w:pStyle w:val="Tablenotes0"/>
      </w:pPr>
      <w:r>
        <w:t xml:space="preserve">Alternative treatment options will depend on the tumour type (e.g. endometrial cancer versus </w:t>
      </w:r>
      <w:r w:rsidR="005F7D45">
        <w:t xml:space="preserve">pancreatic cancer), tumour subtype (e.g. </w:t>
      </w:r>
      <w:r w:rsidR="0020389C">
        <w:t>endocrine</w:t>
      </w:r>
      <w:r w:rsidR="005F7D45">
        <w:t xml:space="preserve"> receptor-positive breast cancer versus triple-negative breast cancer), and the patients performance status (overall health).</w:t>
      </w:r>
    </w:p>
    <w:p w14:paraId="43DE39D4" w14:textId="0F2BB7C7" w:rsidR="00CE184B" w:rsidRDefault="00A622F0" w:rsidP="00CE184B">
      <w:pPr>
        <w:pStyle w:val="Tablenotes0"/>
      </w:pPr>
      <w:r w:rsidRPr="00A622F0">
        <w:t>Confirmatory testing of IHC dMMR positive test results could also be implemented in one or both arms of the algorithm to reduce the number of false-positive patients treated inappropriately (green boxes). This would be especially useful for tumour types with low dMMR prevalence (left arm of the algorithm), although the additional confirmatory test will have cost implications.</w:t>
      </w:r>
    </w:p>
    <w:p w14:paraId="7A861048" w14:textId="2674BF45" w:rsidR="00485BCA" w:rsidRDefault="00485BCA" w:rsidP="00485BCA">
      <w:pPr>
        <w:spacing w:after="120" w:line="312" w:lineRule="auto"/>
        <w:rPr>
          <w:bCs/>
        </w:rPr>
      </w:pPr>
      <w:r w:rsidRPr="007B1F38">
        <w:rPr>
          <w:bCs/>
        </w:rPr>
        <w:t>For tumour types with very low prevalence rates, MSAC</w:t>
      </w:r>
      <w:r w:rsidRPr="00A145ED">
        <w:rPr>
          <w:bCs/>
        </w:rPr>
        <w:t xml:space="preserve"> could also consider the use of </w:t>
      </w:r>
      <w:r w:rsidR="00DE1AC5">
        <w:rPr>
          <w:bCs/>
        </w:rPr>
        <w:t>a different</w:t>
      </w:r>
      <w:r w:rsidR="00DE1AC5" w:rsidRPr="00A145ED">
        <w:rPr>
          <w:bCs/>
        </w:rPr>
        <w:t xml:space="preserve"> </w:t>
      </w:r>
      <w:r w:rsidRPr="00A145ED">
        <w:rPr>
          <w:bCs/>
        </w:rPr>
        <w:t xml:space="preserve">test to triage patients for eligibility to pembrolizumab. For example, one study found that IHC PD-L1 testing was of greater clinical relevance than IHC dMMR testing in breast cancer </w:t>
      </w:r>
      <w:r w:rsidRPr="00A145ED">
        <w:rPr>
          <w:bCs/>
        </w:rPr>
        <w:fldChar w:fldCharType="begin"/>
      </w:r>
      <w:r w:rsidRPr="00A145ED">
        <w:rPr>
          <w:bCs/>
        </w:rPr>
        <w:instrText xml:space="preserve"> ADDIN EN.CITE &lt;EndNote&gt;&lt;Cite&gt;&lt;Author&gt;Mills&lt;/Author&gt;&lt;Year&gt;2017&lt;/Year&gt;&lt;RecNum&gt;19&lt;/RecNum&gt;&lt;DisplayText&gt;(Mills et al. 2017)&lt;/DisplayText&gt;&lt;record&gt;&lt;rec-number&gt;19&lt;/rec-number&gt;&lt;foreign-keys&gt;&lt;key app="EN" db-id="20rafrsx2d50edew5w15fz0q0dvfzstzed55" timestamp="1515554957"&gt;19&lt;/key&gt;&lt;/foreign-keys&gt;&lt;ref-type name="Journal Article"&gt;17&lt;/ref-type&gt;&lt;contributors&gt;&lt;authors&gt;&lt;author&gt;Mills, A. M.&lt;/author&gt;&lt;author&gt;Dill, E. A.&lt;/author&gt;&lt;author&gt;Moskaluk, C. A.&lt;/author&gt;&lt;author&gt;Dziegielewski, J.&lt;/author&gt;&lt;author&gt;Bullock, T. N.&lt;/author&gt;&lt;author&gt;Dillon, P. M.&lt;/author&gt;&lt;/authors&gt;&lt;/contributors&gt;&lt;auth-address&gt;Departments of *Pathology daggerRadiation Oncology double daggerMedicine, Hematology/Oncology, University of Virginia, Charlottesville, VA.&lt;/auth-address&gt;&lt;titles&gt;&lt;title&gt;The Relationship Between Mismatch Repair Deficiency and PD-L1 Expression in Breast Carcinoma&lt;/title&gt;&lt;secondary-title&gt;Am J Surg Pathol&lt;/secondary-title&gt;&lt;/titles&gt;&lt;periodical&gt;&lt;full-title&gt;Am J Surg Pathol&lt;/full-title&gt;&lt;/periodical&gt;&lt;edition&gt;2017/09/16&lt;/edition&gt;&lt;dates&gt;&lt;year&gt;2017&lt;/year&gt;&lt;pub-dates&gt;&lt;date&gt;Sep 13&lt;/date&gt;&lt;/pub-dates&gt;&lt;/dates&gt;&lt;isbn&gt;1532-0979 (Electronic)&amp;#xD;0147-5185 (Linking)&lt;/isbn&gt;&lt;accession-num&gt;28914717&lt;/accession-num&gt;&lt;urls&gt;&lt;related-urls&gt;&lt;url&gt;https://insights.ovid.com/crossref?an=00000478-900000000-97985&lt;/url&gt;&lt;url&gt;https://insights.ovid.com/crossref?an=00000478-201802000-00006&lt;/url&gt;&lt;/related-urls&gt;&lt;/urls&gt;&lt;electronic-resource-num&gt;10.1097/pas.0000000000000949&lt;/electronic-resource-num&gt;&lt;remote-database-provider&gt;NLM&lt;/remote-database-provider&gt;&lt;language&gt;eng&lt;/language&gt;&lt;/record&gt;&lt;/Cite&gt;&lt;/EndNote&gt;</w:instrText>
      </w:r>
      <w:r w:rsidRPr="00A145ED">
        <w:rPr>
          <w:bCs/>
        </w:rPr>
        <w:fldChar w:fldCharType="separate"/>
      </w:r>
      <w:r w:rsidRPr="00A145ED">
        <w:rPr>
          <w:bCs/>
        </w:rPr>
        <w:t>(Mills et al. 2017)</w:t>
      </w:r>
      <w:r w:rsidRPr="00A145ED">
        <w:rPr>
          <w:bCs/>
        </w:rPr>
        <w:fldChar w:fldCharType="end"/>
      </w:r>
      <w:r w:rsidRPr="00A145ED">
        <w:rPr>
          <w:bCs/>
        </w:rPr>
        <w:t xml:space="preserve">. In addition to identifying patients who had dMMR tumours, the IHC PD-L1 test identified additional patients whose tumours expressed PD-L1 and would </w:t>
      </w:r>
      <w:r w:rsidR="00DE1AC5">
        <w:rPr>
          <w:bCs/>
        </w:rPr>
        <w:t xml:space="preserve">also </w:t>
      </w:r>
      <w:r w:rsidRPr="00A145ED">
        <w:rPr>
          <w:bCs/>
        </w:rPr>
        <w:t xml:space="preserve">likely benefit from pembrolizumab treatment. Alternatively, </w:t>
      </w:r>
      <w:r w:rsidR="00DE1AC5">
        <w:rPr>
          <w:bCs/>
        </w:rPr>
        <w:t xml:space="preserve">a number of </w:t>
      </w:r>
      <w:r w:rsidRPr="00A145ED">
        <w:rPr>
          <w:bCs/>
        </w:rPr>
        <w:t xml:space="preserve">tests </w:t>
      </w:r>
      <w:r w:rsidR="00DE1AC5">
        <w:rPr>
          <w:bCs/>
        </w:rPr>
        <w:t xml:space="preserve">could be conducted sequentially </w:t>
      </w:r>
      <w:r w:rsidRPr="00A145ED">
        <w:rPr>
          <w:bCs/>
        </w:rPr>
        <w:t>to confirm a positive IHC dMMR test result.</w:t>
      </w:r>
      <w:r w:rsidR="00BC4309" w:rsidRPr="00A145ED">
        <w:rPr>
          <w:bCs/>
        </w:rPr>
        <w:t xml:space="preserve"> </w:t>
      </w:r>
      <w:r w:rsidR="00BC4309" w:rsidRPr="00237849">
        <w:rPr>
          <w:b/>
          <w:bCs/>
        </w:rPr>
        <w:t>(Recommendation 11)</w:t>
      </w:r>
      <w:r w:rsidRPr="00A145ED">
        <w:rPr>
          <w:bCs/>
        </w:rPr>
        <w:t xml:space="preserve"> In the case of sporadic dMMR, the most relevant confirmatory tests would be MSI-H and/or </w:t>
      </w:r>
      <w:r w:rsidRPr="00485BCA">
        <w:rPr>
          <w:bCs/>
        </w:rPr>
        <w:t>MS-MLPA.</w:t>
      </w:r>
      <w:r w:rsidRPr="00A145ED">
        <w:rPr>
          <w:bCs/>
        </w:rPr>
        <w:t xml:space="preserve"> </w:t>
      </w:r>
    </w:p>
    <w:p w14:paraId="042B9CFC" w14:textId="7BE5B013" w:rsidR="00485BCA" w:rsidRPr="00485BCA" w:rsidRDefault="00485BCA" w:rsidP="00485BCA">
      <w:pPr>
        <w:spacing w:after="120" w:line="312" w:lineRule="auto"/>
        <w:rPr>
          <w:bCs/>
        </w:rPr>
      </w:pPr>
      <w:r w:rsidRPr="00485BCA">
        <w:rPr>
          <w:bCs/>
        </w:rPr>
        <w:lastRenderedPageBreak/>
        <w:t>It should be noted that in the future, these tests will be superseded by NGS panels that can detect any tumours that would benefit from immune checkpoint inhibitors.</w:t>
      </w:r>
    </w:p>
    <w:p w14:paraId="3F5D4385" w14:textId="77777777" w:rsidR="00D74E4F" w:rsidRDefault="00D74E4F" w:rsidP="00D74E4F">
      <w:pPr>
        <w:pStyle w:val="Heading4"/>
      </w:pPr>
      <w:r>
        <w:t>The timing of the test</w:t>
      </w:r>
    </w:p>
    <w:p w14:paraId="77F4266C" w14:textId="430E949A" w:rsidR="00D935F5" w:rsidRDefault="00D935F5" w:rsidP="00AA13B3">
      <w:pPr>
        <w:spacing w:after="240" w:line="312" w:lineRule="auto"/>
        <w:rPr>
          <w:bCs/>
        </w:rPr>
      </w:pPr>
      <w:r>
        <w:rPr>
          <w:bCs/>
        </w:rPr>
        <w:t xml:space="preserve">The timing of testing </w:t>
      </w:r>
      <w:r w:rsidR="00620F71">
        <w:rPr>
          <w:bCs/>
        </w:rPr>
        <w:t xml:space="preserve">is </w:t>
      </w:r>
      <w:r>
        <w:rPr>
          <w:bCs/>
        </w:rPr>
        <w:t>also important</w:t>
      </w:r>
      <w:r w:rsidR="00F30C7B">
        <w:rPr>
          <w:bCs/>
        </w:rPr>
        <w:t>.</w:t>
      </w:r>
      <w:r>
        <w:rPr>
          <w:bCs/>
        </w:rPr>
        <w:t xml:space="preserve"> </w:t>
      </w:r>
      <w:r w:rsidR="00F30C7B">
        <w:rPr>
          <w:bCs/>
        </w:rPr>
        <w:t>T</w:t>
      </w:r>
      <w:r>
        <w:rPr>
          <w:bCs/>
        </w:rPr>
        <w:t xml:space="preserve">he number of patients tested will be lower if tested </w:t>
      </w:r>
      <w:r w:rsidR="00F30C7B">
        <w:rPr>
          <w:bCs/>
        </w:rPr>
        <w:t>when the patient would become eligible for the treatment (</w:t>
      </w:r>
      <w:r w:rsidR="0020556F">
        <w:rPr>
          <w:bCs/>
        </w:rPr>
        <w:t>after failure of first-line treatment for</w:t>
      </w:r>
      <w:r>
        <w:rPr>
          <w:bCs/>
        </w:rPr>
        <w:t xml:space="preserve"> </w:t>
      </w:r>
      <w:r w:rsidR="0032375D">
        <w:rPr>
          <w:bCs/>
        </w:rPr>
        <w:t>S</w:t>
      </w:r>
      <w:r>
        <w:rPr>
          <w:bCs/>
        </w:rPr>
        <w:t>tage IV disease</w:t>
      </w:r>
      <w:r w:rsidR="00F30C7B">
        <w:rPr>
          <w:bCs/>
        </w:rPr>
        <w:t>)</w:t>
      </w:r>
      <w:r>
        <w:rPr>
          <w:bCs/>
        </w:rPr>
        <w:t>,</w:t>
      </w:r>
      <w:r w:rsidR="00F30C7B">
        <w:rPr>
          <w:bCs/>
        </w:rPr>
        <w:t xml:space="preserve"> </w:t>
      </w:r>
      <w:r>
        <w:rPr>
          <w:bCs/>
        </w:rPr>
        <w:t xml:space="preserve">compared with testing of the entire population at </w:t>
      </w:r>
      <w:r w:rsidR="0032375D">
        <w:rPr>
          <w:bCs/>
        </w:rPr>
        <w:t xml:space="preserve">initial </w:t>
      </w:r>
      <w:r>
        <w:rPr>
          <w:bCs/>
        </w:rPr>
        <w:t>diagnosis</w:t>
      </w:r>
      <w:r w:rsidR="0032375D">
        <w:rPr>
          <w:bCs/>
        </w:rPr>
        <w:t xml:space="preserve"> of </w:t>
      </w:r>
      <w:r w:rsidR="00F30C7B">
        <w:rPr>
          <w:bCs/>
        </w:rPr>
        <w:t>the tumour</w:t>
      </w:r>
      <w:r>
        <w:rPr>
          <w:bCs/>
        </w:rPr>
        <w:t>.</w:t>
      </w:r>
      <w:r w:rsidR="00F30C7B">
        <w:rPr>
          <w:bCs/>
        </w:rPr>
        <w:t xml:space="preserve"> </w:t>
      </w:r>
      <w:r w:rsidR="002B2430">
        <w:rPr>
          <w:bCs/>
        </w:rPr>
        <w:t>In most cases, t</w:t>
      </w:r>
      <w:r w:rsidR="002B2430" w:rsidRPr="002B2430">
        <w:rPr>
          <w:bCs/>
        </w:rPr>
        <w:t xml:space="preserve">esting for </w:t>
      </w:r>
      <w:r w:rsidR="00064683">
        <w:rPr>
          <w:bCs/>
        </w:rPr>
        <w:t xml:space="preserve">access to </w:t>
      </w:r>
      <w:r w:rsidR="002B2430" w:rsidRPr="002B2430">
        <w:rPr>
          <w:bCs/>
        </w:rPr>
        <w:t xml:space="preserve">PBS </w:t>
      </w:r>
      <w:r w:rsidR="00064683">
        <w:rPr>
          <w:bCs/>
        </w:rPr>
        <w:t xml:space="preserve">subsidy for a medicine </w:t>
      </w:r>
      <w:r w:rsidR="002B2430" w:rsidRPr="002B2430">
        <w:rPr>
          <w:bCs/>
        </w:rPr>
        <w:t xml:space="preserve">is only funded on the MBS for the stage of disease relevant to treatment. </w:t>
      </w:r>
      <w:r w:rsidR="00F30C7B">
        <w:rPr>
          <w:bCs/>
        </w:rPr>
        <w:t>In the case of CRC, dMMR IHC testing is currently done at initial diagnosis, due to its prognostic value</w:t>
      </w:r>
      <w:r w:rsidR="007233B8">
        <w:rPr>
          <w:bCs/>
        </w:rPr>
        <w:t>. If dMMR testing for access to pembrolizumab is listed, testing will still occur early</w:t>
      </w:r>
      <w:r w:rsidR="00F30C7B">
        <w:rPr>
          <w:bCs/>
        </w:rPr>
        <w:t xml:space="preserve"> even though the patient will not be eligible for treatment with pembrolizumab until progression to Stage IV disease. </w:t>
      </w:r>
      <w:r w:rsidR="002B2430">
        <w:rPr>
          <w:bCs/>
        </w:rPr>
        <w:t>However, i</w:t>
      </w:r>
      <w:r w:rsidR="00F30C7B">
        <w:rPr>
          <w:bCs/>
        </w:rPr>
        <w:t xml:space="preserve">n the case of </w:t>
      </w:r>
      <w:r w:rsidR="00620F71">
        <w:rPr>
          <w:bCs/>
        </w:rPr>
        <w:t xml:space="preserve">pan-tumour </w:t>
      </w:r>
      <w:r w:rsidR="00F30C7B">
        <w:rPr>
          <w:bCs/>
        </w:rPr>
        <w:t xml:space="preserve">dMMR </w:t>
      </w:r>
      <w:r w:rsidR="007233B8">
        <w:rPr>
          <w:bCs/>
        </w:rPr>
        <w:t xml:space="preserve">IHC </w:t>
      </w:r>
      <w:r w:rsidR="00F30C7B">
        <w:rPr>
          <w:bCs/>
        </w:rPr>
        <w:t>testing (except endometrial cancer</w:t>
      </w:r>
      <w:r w:rsidR="007233B8">
        <w:rPr>
          <w:bCs/>
        </w:rPr>
        <w:t xml:space="preserve"> and maybe ovarian cancer</w:t>
      </w:r>
      <w:r w:rsidR="00F30C7B">
        <w:rPr>
          <w:bCs/>
        </w:rPr>
        <w:t>)</w:t>
      </w:r>
      <w:r w:rsidR="007233B8">
        <w:rPr>
          <w:bCs/>
        </w:rPr>
        <w:t>,</w:t>
      </w:r>
      <w:r w:rsidR="00F30C7B">
        <w:rPr>
          <w:bCs/>
        </w:rPr>
        <w:t xml:space="preserve"> the prognostic value </w:t>
      </w:r>
      <w:r w:rsidR="004838ED">
        <w:rPr>
          <w:bCs/>
        </w:rPr>
        <w:t>is less important</w:t>
      </w:r>
      <w:r w:rsidR="00F30C7B">
        <w:rPr>
          <w:bCs/>
        </w:rPr>
        <w:t xml:space="preserve"> and dMMR IHC testing </w:t>
      </w:r>
      <w:r w:rsidR="002B2430">
        <w:rPr>
          <w:bCs/>
        </w:rPr>
        <w:t>is likely to occur at diagnosis of,</w:t>
      </w:r>
      <w:r w:rsidR="00F30C7B">
        <w:rPr>
          <w:bCs/>
        </w:rPr>
        <w:t xml:space="preserve"> or progression to, Stage IV disease to reduce the number of test</w:t>
      </w:r>
      <w:r w:rsidR="00B5393E">
        <w:rPr>
          <w:bCs/>
        </w:rPr>
        <w:t>s required</w:t>
      </w:r>
      <w:r w:rsidR="00546469">
        <w:rPr>
          <w:bCs/>
        </w:rPr>
        <w:t xml:space="preserve"> and the costs involved</w:t>
      </w:r>
      <w:r w:rsidR="00B5393E">
        <w:rPr>
          <w:bCs/>
        </w:rPr>
        <w:t>.</w:t>
      </w:r>
    </w:p>
    <w:p w14:paraId="77EC123A" w14:textId="0FC70FAC" w:rsidR="003D6005" w:rsidRDefault="003D6005" w:rsidP="00AA13B3">
      <w:pPr>
        <w:spacing w:after="240" w:line="312" w:lineRule="auto"/>
        <w:rPr>
          <w:bCs/>
        </w:rPr>
      </w:pPr>
      <w:r>
        <w:rPr>
          <w:bCs/>
        </w:rPr>
        <w:t xml:space="preserve">As the dMMR phenotype is stable during the course of disease, </w:t>
      </w:r>
      <w:r w:rsidRPr="003D6005">
        <w:rPr>
          <w:bCs/>
        </w:rPr>
        <w:t xml:space="preserve">dMMR </w:t>
      </w:r>
      <w:r>
        <w:rPr>
          <w:bCs/>
        </w:rPr>
        <w:t xml:space="preserve">IHC testing on progression to Stage IV </w:t>
      </w:r>
      <w:r w:rsidRPr="003D6005">
        <w:rPr>
          <w:bCs/>
        </w:rPr>
        <w:t xml:space="preserve">can be </w:t>
      </w:r>
      <w:r>
        <w:rPr>
          <w:bCs/>
        </w:rPr>
        <w:t>performed</w:t>
      </w:r>
      <w:r w:rsidRPr="003D6005">
        <w:rPr>
          <w:bCs/>
        </w:rPr>
        <w:t xml:space="preserve"> </w:t>
      </w:r>
      <w:r>
        <w:rPr>
          <w:bCs/>
        </w:rPr>
        <w:t>us</w:t>
      </w:r>
      <w:r w:rsidRPr="003D6005">
        <w:rPr>
          <w:bCs/>
        </w:rPr>
        <w:t>in</w:t>
      </w:r>
      <w:r>
        <w:rPr>
          <w:bCs/>
        </w:rPr>
        <w:t>g</w:t>
      </w:r>
      <w:r w:rsidRPr="003D6005">
        <w:rPr>
          <w:bCs/>
        </w:rPr>
        <w:t xml:space="preserve"> archived </w:t>
      </w:r>
      <w:r>
        <w:rPr>
          <w:bCs/>
        </w:rPr>
        <w:t>formalin-fixed paraffin-embedded</w:t>
      </w:r>
      <w:r w:rsidRPr="003D6005">
        <w:rPr>
          <w:bCs/>
        </w:rPr>
        <w:t xml:space="preserve"> tissue blocks </w:t>
      </w:r>
      <w:r>
        <w:rPr>
          <w:bCs/>
        </w:rPr>
        <w:t xml:space="preserve">from biopsies </w:t>
      </w:r>
      <w:r w:rsidRPr="003D6005">
        <w:rPr>
          <w:bCs/>
        </w:rPr>
        <w:t>obtained at diagnosis</w:t>
      </w:r>
      <w:r>
        <w:rPr>
          <w:bCs/>
        </w:rPr>
        <w:t>. However, this is not the case for all biomarkers</w:t>
      </w:r>
      <w:r w:rsidR="00356791">
        <w:rPr>
          <w:bCs/>
        </w:rPr>
        <w:t>. S</w:t>
      </w:r>
      <w:r w:rsidRPr="003D6005">
        <w:rPr>
          <w:bCs/>
        </w:rPr>
        <w:t xml:space="preserve">hould the </w:t>
      </w:r>
      <w:r>
        <w:rPr>
          <w:bCs/>
        </w:rPr>
        <w:t xml:space="preserve">prevalence of the </w:t>
      </w:r>
      <w:r w:rsidRPr="003D6005">
        <w:rPr>
          <w:bCs/>
        </w:rPr>
        <w:t xml:space="preserve">biomarker </w:t>
      </w:r>
      <w:r>
        <w:rPr>
          <w:bCs/>
        </w:rPr>
        <w:t xml:space="preserve">change </w:t>
      </w:r>
      <w:r w:rsidRPr="003D6005">
        <w:rPr>
          <w:bCs/>
        </w:rPr>
        <w:t xml:space="preserve">during the course of disease </w:t>
      </w:r>
      <w:r w:rsidR="00A622F0">
        <w:rPr>
          <w:bCs/>
        </w:rPr>
        <w:t>or</w:t>
      </w:r>
      <w:r w:rsidR="00A622F0" w:rsidRPr="003D6005">
        <w:rPr>
          <w:bCs/>
        </w:rPr>
        <w:t xml:space="preserve"> </w:t>
      </w:r>
      <w:r w:rsidRPr="003D6005">
        <w:rPr>
          <w:bCs/>
        </w:rPr>
        <w:t>in response to treatments such as chemotherapy or radiotherapy</w:t>
      </w:r>
      <w:r>
        <w:rPr>
          <w:bCs/>
        </w:rPr>
        <w:t>,</w:t>
      </w:r>
      <w:r w:rsidRPr="003D6005">
        <w:rPr>
          <w:bCs/>
        </w:rPr>
        <w:t xml:space="preserve"> a re-biopsy may be necessary which will have implications for p</w:t>
      </w:r>
      <w:r>
        <w:rPr>
          <w:bCs/>
        </w:rPr>
        <w:t>atient safety</w:t>
      </w:r>
      <w:r w:rsidR="00356791">
        <w:rPr>
          <w:bCs/>
        </w:rPr>
        <w:t>,</w:t>
      </w:r>
      <w:r>
        <w:rPr>
          <w:bCs/>
        </w:rPr>
        <w:t xml:space="preserve"> test uptake</w:t>
      </w:r>
      <w:r w:rsidR="00356791">
        <w:rPr>
          <w:bCs/>
        </w:rPr>
        <w:t xml:space="preserve"> and costs</w:t>
      </w:r>
      <w:r>
        <w:rPr>
          <w:bCs/>
        </w:rPr>
        <w:t>.</w:t>
      </w:r>
      <w:r w:rsidR="00FD6522">
        <w:rPr>
          <w:bCs/>
        </w:rPr>
        <w:t xml:space="preserve"> </w:t>
      </w:r>
      <w:r w:rsidR="00FD6522" w:rsidRPr="00CB3A61">
        <w:rPr>
          <w:b/>
          <w:bCs/>
        </w:rPr>
        <w:t xml:space="preserve">(Recommendation </w:t>
      </w:r>
      <w:r w:rsidR="00764E7A" w:rsidRPr="00CB3A61">
        <w:rPr>
          <w:b/>
          <w:bCs/>
        </w:rPr>
        <w:t>12</w:t>
      </w:r>
      <w:r w:rsidR="00FD6522" w:rsidRPr="00CB3A61">
        <w:rPr>
          <w:b/>
          <w:bCs/>
        </w:rPr>
        <w:t>)</w:t>
      </w:r>
    </w:p>
    <w:p w14:paraId="6C72E6A8" w14:textId="77777777" w:rsidR="00F05453" w:rsidRDefault="00F05453" w:rsidP="00F05453">
      <w:pPr>
        <w:pStyle w:val="Heading2"/>
      </w:pPr>
      <w:bookmarkStart w:id="75" w:name="_Toc29557669"/>
      <w:r>
        <w:t>Clinical evaluation</w:t>
      </w:r>
      <w:bookmarkEnd w:id="75"/>
    </w:p>
    <w:p w14:paraId="0F07AAC1" w14:textId="77777777" w:rsidR="00ED65EE" w:rsidRPr="00452DF6" w:rsidRDefault="00ED65EE" w:rsidP="00AA13B3">
      <w:pPr>
        <w:pStyle w:val="Heading3"/>
        <w:spacing w:line="312" w:lineRule="auto"/>
      </w:pPr>
      <w:bookmarkStart w:id="76" w:name="_Toc29557670"/>
      <w:r w:rsidRPr="00452DF6">
        <w:t>Prognosis or predisposition</w:t>
      </w:r>
      <w:bookmarkEnd w:id="76"/>
    </w:p>
    <w:p w14:paraId="342E5AFF" w14:textId="1FEBE749" w:rsidR="00794933" w:rsidRDefault="0032375D" w:rsidP="00AA13B3">
      <w:pPr>
        <w:spacing w:after="240" w:line="312" w:lineRule="auto"/>
      </w:pPr>
      <w:r>
        <w:t>All assessments, for both specific tumour (e.g. CRC) and pan-tumour applications, should r</w:t>
      </w:r>
      <w:r w:rsidR="00C635B1">
        <w:t>eport</w:t>
      </w:r>
      <w:r>
        <w:t xml:space="preserve"> on</w:t>
      </w:r>
      <w:r w:rsidR="00C635B1">
        <w:t xml:space="preserve"> whether or not the diagnostic test has </w:t>
      </w:r>
      <w:r w:rsidR="00C635B1" w:rsidRPr="00C635B1">
        <w:t>prognostic value or generates information about predisposition</w:t>
      </w:r>
      <w:r w:rsidR="00C635B1">
        <w:t xml:space="preserve"> in the targeted population, as per instruction</w:t>
      </w:r>
      <w:r w:rsidR="00333E1A">
        <w:t>s</w:t>
      </w:r>
      <w:r w:rsidR="00C635B1">
        <w:t xml:space="preserve"> i</w:t>
      </w:r>
      <w:r w:rsidR="00333E1A">
        <w:t>n</w:t>
      </w:r>
      <w:r w:rsidR="00C635B1">
        <w:t xml:space="preserve"> </w:t>
      </w:r>
      <w:r w:rsidR="004F30D9">
        <w:t>S</w:t>
      </w:r>
      <w:r w:rsidR="00C635B1">
        <w:t xml:space="preserve">ection B4.2 of the </w:t>
      </w:r>
      <w:r w:rsidR="004F30D9">
        <w:t>MSAC Technical Guidelines for Investigative Services</w:t>
      </w:r>
      <w:r w:rsidR="00C635B1">
        <w:t>.</w:t>
      </w:r>
      <w:r w:rsidR="00F65F9F">
        <w:t xml:space="preserve"> This information may impact on the interpretation of the size of effect in the ‘T</w:t>
      </w:r>
      <w:r w:rsidR="00F65F9F" w:rsidRPr="00F65F9F">
        <w:t>herapeutic effectiveness</w:t>
      </w:r>
      <w:r w:rsidR="00F65F9F">
        <w:t>’ section.</w:t>
      </w:r>
    </w:p>
    <w:p w14:paraId="7165BAE8" w14:textId="77777777" w:rsidR="00ED65EE" w:rsidRDefault="00ED65EE" w:rsidP="00F05453">
      <w:pPr>
        <w:pStyle w:val="Heading3"/>
      </w:pPr>
      <w:bookmarkStart w:id="77" w:name="_Toc29557671"/>
      <w:r w:rsidRPr="00452DF6">
        <w:t>Clinical utility</w:t>
      </w:r>
      <w:bookmarkEnd w:id="77"/>
    </w:p>
    <w:p w14:paraId="788C89C7" w14:textId="0CB0E200" w:rsidR="000E5FD8" w:rsidRDefault="00C635B1" w:rsidP="00A10264">
      <w:pPr>
        <w:spacing w:after="240" w:line="312" w:lineRule="auto"/>
      </w:pPr>
      <w:r w:rsidRPr="00452DF6">
        <w:t>Clinical utility refers to how likely the test is to significantly impact on patient management and health outcomes.</w:t>
      </w:r>
      <w:r w:rsidR="00D0645D">
        <w:t xml:space="preserve"> </w:t>
      </w:r>
      <w:r w:rsidR="000E5FD8">
        <w:t>In this section, i</w:t>
      </w:r>
      <w:r w:rsidR="00D0645D">
        <w:t>t is important to identify t</w:t>
      </w:r>
      <w:r w:rsidRPr="00C635B1">
        <w:t>he relative clinical impact of false negatives and false positives arising from the test</w:t>
      </w:r>
      <w:r w:rsidR="00F05453">
        <w:t xml:space="preserve">. </w:t>
      </w:r>
      <w:r w:rsidR="00D0645D">
        <w:t xml:space="preserve">Any major health concerns for patients </w:t>
      </w:r>
      <w:r w:rsidR="00FD6522">
        <w:t xml:space="preserve">receiving </w:t>
      </w:r>
      <w:r w:rsidR="00D0645D">
        <w:t>incorrect test result</w:t>
      </w:r>
      <w:r w:rsidR="00FD6522">
        <w:t>s</w:t>
      </w:r>
      <w:r w:rsidR="00D0645D">
        <w:t xml:space="preserve"> should be discussed.</w:t>
      </w:r>
      <w:r w:rsidR="000E5FD8">
        <w:t xml:space="preserve"> It should also be noted</w:t>
      </w:r>
      <w:r w:rsidR="000E5FD8" w:rsidRPr="00C635B1">
        <w:t xml:space="preserve"> if </w:t>
      </w:r>
      <w:r w:rsidR="000E5FD8">
        <w:t xml:space="preserve">the clinical outcomes of </w:t>
      </w:r>
      <w:r w:rsidR="00FD6522">
        <w:t xml:space="preserve">patients treated on the basis of </w:t>
      </w:r>
      <w:r w:rsidR="000E5FD8">
        <w:t>false positive or false negative</w:t>
      </w:r>
      <w:r w:rsidR="00FD6522">
        <w:t xml:space="preserve"> test result</w:t>
      </w:r>
      <w:r w:rsidR="000E5FD8">
        <w:t>s or both are accounted for in the health outcomes from the clinical trials</w:t>
      </w:r>
      <w:r w:rsidR="00FD6522">
        <w:t xml:space="preserve"> included in the evidence base that has been presented</w:t>
      </w:r>
      <w:r w:rsidR="000E5FD8" w:rsidRPr="00C635B1">
        <w:t>.</w:t>
      </w:r>
    </w:p>
    <w:p w14:paraId="4E546154" w14:textId="1D5ED1B3" w:rsidR="00525342" w:rsidRPr="00452DF6" w:rsidRDefault="000E5FD8" w:rsidP="00546469">
      <w:pPr>
        <w:spacing w:after="240" w:line="312" w:lineRule="auto"/>
      </w:pPr>
      <w:r>
        <w:lastRenderedPageBreak/>
        <w:t xml:space="preserve">Any adverse effects </w:t>
      </w:r>
      <w:r w:rsidR="00B5393E">
        <w:t xml:space="preserve">from the treatment compared with standard of care </w:t>
      </w:r>
      <w:r>
        <w:t xml:space="preserve">are likely to be the same for both CRC and pan-tumour dMMR populations. However, the </w:t>
      </w:r>
      <w:r w:rsidR="00B5393E">
        <w:t>balance between harms and benefits may shift</w:t>
      </w:r>
      <w:r>
        <w:t xml:space="preserve"> due to the increased proportion of false positive </w:t>
      </w:r>
      <w:r w:rsidR="00B5393E">
        <w:t xml:space="preserve">compared to true positive </w:t>
      </w:r>
      <w:r>
        <w:t xml:space="preserve">patients in </w:t>
      </w:r>
      <w:r w:rsidR="00B5393E">
        <w:t xml:space="preserve">very low dMMR prevalence </w:t>
      </w:r>
      <w:r>
        <w:t xml:space="preserve">pan-tumour </w:t>
      </w:r>
      <w:r w:rsidR="00B5393E">
        <w:t>sub</w:t>
      </w:r>
      <w:r>
        <w:t>population</w:t>
      </w:r>
      <w:r w:rsidR="00B5393E">
        <w:t>s</w:t>
      </w:r>
      <w:r>
        <w:t>.</w:t>
      </w:r>
    </w:p>
    <w:p w14:paraId="428E9360" w14:textId="38E6C4BA" w:rsidR="00D0645D" w:rsidRDefault="00FC084C" w:rsidP="00525342">
      <w:pPr>
        <w:spacing w:after="240" w:line="312" w:lineRule="auto"/>
      </w:pPr>
      <w:r w:rsidRPr="00FC084C">
        <w:t>The degree of harm experienced by false-positive patients will depend on the effectiveness of the treatment compared with other standard of care treatments the patient would have been eligible to receive.</w:t>
      </w:r>
    </w:p>
    <w:p w14:paraId="72B89BEB" w14:textId="77777777" w:rsidR="00ED65EE" w:rsidRPr="00452DF6" w:rsidRDefault="00ED65EE" w:rsidP="00F05453">
      <w:pPr>
        <w:pStyle w:val="Heading3"/>
      </w:pPr>
      <w:bookmarkStart w:id="78" w:name="_Toc29557672"/>
      <w:r w:rsidRPr="00452DF6">
        <w:t>Therapeutic effectiveness (including impact of effect modification)</w:t>
      </w:r>
      <w:bookmarkEnd w:id="78"/>
    </w:p>
    <w:p w14:paraId="2F42829B" w14:textId="49537F29" w:rsidR="00A81DFF" w:rsidRPr="00452DF6" w:rsidRDefault="003E29CF" w:rsidP="00A10264">
      <w:pPr>
        <w:spacing w:after="240" w:line="312" w:lineRule="auto"/>
      </w:pPr>
      <w:r>
        <w:rPr>
          <w:bCs/>
        </w:rPr>
        <w:t xml:space="preserve">Health outcomes from clinical studies of patients based on their biomarker status should be reported in this section. </w:t>
      </w:r>
      <w:r w:rsidR="00AE48EB">
        <w:rPr>
          <w:bCs/>
        </w:rPr>
        <w:t xml:space="preserve">The evidence required to assess the effectiveness of treatments </w:t>
      </w:r>
      <w:r w:rsidR="0026448E">
        <w:rPr>
          <w:bCs/>
        </w:rPr>
        <w:t xml:space="preserve">is provided in detail in the </w:t>
      </w:r>
      <w:r w:rsidR="006E6625" w:rsidRPr="007D09EF">
        <w:rPr>
          <w:bCs/>
        </w:rPr>
        <w:t xml:space="preserve">PBAC </w:t>
      </w:r>
      <w:r w:rsidR="007D09EF">
        <w:rPr>
          <w:bCs/>
        </w:rPr>
        <w:t>G</w:t>
      </w:r>
      <w:r w:rsidR="006E6625" w:rsidRPr="007D09EF">
        <w:rPr>
          <w:bCs/>
        </w:rPr>
        <w:t>uidelines</w:t>
      </w:r>
      <w:r w:rsidR="007D09EF">
        <w:rPr>
          <w:bCs/>
        </w:rPr>
        <w:t xml:space="preserve"> </w:t>
      </w:r>
      <w:r w:rsidR="00F77139">
        <w:rPr>
          <w:bCs/>
        </w:rPr>
        <w:fldChar w:fldCharType="begin"/>
      </w:r>
      <w:r w:rsidR="00F77139">
        <w:rPr>
          <w:bCs/>
        </w:rPr>
        <w:instrText xml:space="preserve"> ADDIN EN.CITE &lt;EndNote&gt;&lt;Cite&gt;&lt;Author&gt;PBAC&lt;/Author&gt;&lt;Year&gt;2016&lt;/Year&gt;&lt;RecNum&gt;3&lt;/RecNum&gt;&lt;DisplayText&gt;(PBAC 2016)&lt;/DisplayText&gt;&lt;record&gt;&lt;rec-number&gt;3&lt;/rec-number&gt;&lt;foreign-keys&gt;&lt;key app="EN" db-id="20rafrsx2d50edew5w15fz0q0dvfzstzed55" timestamp="1508463420"&gt;3&lt;/key&gt;&lt;/foreign-keys&gt;&lt;ref-type name="Government Document"&gt;46&lt;/ref-type&gt;&lt;contributors&gt;&lt;authors&gt;&lt;author&gt;PBAC&lt;/author&gt;&lt;/authors&gt;&lt;secondary-authors&gt;&lt;author&gt;Department of Health&lt;/author&gt;&lt;/secondary-authors&gt;&lt;/contributors&gt;&lt;titles&gt;&lt;title&gt;Guidelines for preparing a submission to the Pharmaceutical Benefits Advisory Committee (Version 5.0)&lt;/title&gt;&lt;/titles&gt;&lt;dates&gt;&lt;year&gt;2016&lt;/year&gt;&lt;/dates&gt;&lt;pub-location&gt;Canberra&lt;/pub-location&gt;&lt;publisher&gt;Australian Government&lt;/publisher&gt;&lt;urls&gt;&lt;/urls&gt;&lt;/record&gt;&lt;/Cite&gt;&lt;/EndNote&gt;</w:instrText>
      </w:r>
      <w:r w:rsidR="00F77139">
        <w:rPr>
          <w:bCs/>
        </w:rPr>
        <w:fldChar w:fldCharType="separate"/>
      </w:r>
      <w:r w:rsidR="00F77139">
        <w:rPr>
          <w:bCs/>
          <w:noProof/>
        </w:rPr>
        <w:t>(PBAC 2016)</w:t>
      </w:r>
      <w:r w:rsidR="00F77139">
        <w:rPr>
          <w:bCs/>
        </w:rPr>
        <w:fldChar w:fldCharType="end"/>
      </w:r>
      <w:r w:rsidR="00A81DFF">
        <w:t>.</w:t>
      </w:r>
    </w:p>
    <w:p w14:paraId="3885ED82" w14:textId="23A4500D" w:rsidR="00BF18CD" w:rsidRPr="00A10264" w:rsidRDefault="0062509C" w:rsidP="007D09EF">
      <w:pPr>
        <w:spacing w:after="120" w:line="312" w:lineRule="auto"/>
        <w:rPr>
          <w:bCs/>
        </w:rPr>
      </w:pPr>
      <w:r>
        <w:rPr>
          <w:bCs/>
        </w:rPr>
        <w:t>For applications involving</w:t>
      </w:r>
      <w:r w:rsidR="00BF18CD">
        <w:rPr>
          <w:bCs/>
        </w:rPr>
        <w:t xml:space="preserve"> pan</w:t>
      </w:r>
      <w:r w:rsidR="007D09EF">
        <w:rPr>
          <w:bCs/>
        </w:rPr>
        <w:t>-</w:t>
      </w:r>
      <w:r w:rsidR="00BF18CD">
        <w:rPr>
          <w:bCs/>
        </w:rPr>
        <w:t>tumour populations</w:t>
      </w:r>
      <w:r>
        <w:rPr>
          <w:bCs/>
        </w:rPr>
        <w:t>,</w:t>
      </w:r>
      <w:r w:rsidR="007230C8">
        <w:rPr>
          <w:bCs/>
        </w:rPr>
        <w:t xml:space="preserve"> </w:t>
      </w:r>
      <w:r>
        <w:rPr>
          <w:bCs/>
        </w:rPr>
        <w:t>the evidence is likely to consist of single</w:t>
      </w:r>
      <w:r w:rsidR="00CA4D7D">
        <w:rPr>
          <w:bCs/>
        </w:rPr>
        <w:t>-</w:t>
      </w:r>
      <w:r>
        <w:rPr>
          <w:bCs/>
        </w:rPr>
        <w:t xml:space="preserve">arm phase II trials. Thus, </w:t>
      </w:r>
      <w:r w:rsidR="007D09EF">
        <w:rPr>
          <w:bCs/>
        </w:rPr>
        <w:t>demonstrating a</w:t>
      </w:r>
      <w:r>
        <w:rPr>
          <w:bCs/>
        </w:rPr>
        <w:t xml:space="preserve"> therapeutic </w:t>
      </w:r>
      <w:r w:rsidR="007D09EF">
        <w:rPr>
          <w:bCs/>
        </w:rPr>
        <w:t>benefit</w:t>
      </w:r>
      <w:r>
        <w:rPr>
          <w:bCs/>
        </w:rPr>
        <w:t xml:space="preserve"> will rely on </w:t>
      </w:r>
      <w:r w:rsidR="00356791">
        <w:rPr>
          <w:bCs/>
        </w:rPr>
        <w:t>the use of a reference case</w:t>
      </w:r>
      <w:r w:rsidR="00785742">
        <w:rPr>
          <w:bCs/>
        </w:rPr>
        <w:t xml:space="preserve"> (</w:t>
      </w:r>
      <w:r w:rsidR="00A622F0">
        <w:rPr>
          <w:bCs/>
        </w:rPr>
        <w:t xml:space="preserve">the </w:t>
      </w:r>
      <w:r w:rsidR="00785742">
        <w:rPr>
          <w:bCs/>
        </w:rPr>
        <w:t>most common cancer)</w:t>
      </w:r>
      <w:r>
        <w:rPr>
          <w:bCs/>
        </w:rPr>
        <w:t xml:space="preserve"> of</w:t>
      </w:r>
      <w:r w:rsidRPr="0062509C">
        <w:rPr>
          <w:bCs/>
        </w:rPr>
        <w:t xml:space="preserve"> </w:t>
      </w:r>
      <w:r>
        <w:rPr>
          <w:bCs/>
        </w:rPr>
        <w:t xml:space="preserve">the effect size </w:t>
      </w:r>
      <w:r w:rsidR="00A10264">
        <w:rPr>
          <w:bCs/>
        </w:rPr>
        <w:t xml:space="preserve">of </w:t>
      </w:r>
      <w:r w:rsidR="00A10264" w:rsidRPr="00BF18CD">
        <w:rPr>
          <w:bCs/>
        </w:rPr>
        <w:t>the treatment</w:t>
      </w:r>
      <w:r w:rsidR="00A10264">
        <w:rPr>
          <w:bCs/>
        </w:rPr>
        <w:t xml:space="preserve"> </w:t>
      </w:r>
      <w:r w:rsidR="00356791">
        <w:rPr>
          <w:bCs/>
        </w:rPr>
        <w:t>in</w:t>
      </w:r>
      <w:r w:rsidR="007D09EF">
        <w:rPr>
          <w:bCs/>
        </w:rPr>
        <w:t xml:space="preserve"> </w:t>
      </w:r>
      <w:r w:rsidRPr="00A10264">
        <w:rPr>
          <w:bCs/>
        </w:rPr>
        <w:t>biomarker-positive patients</w:t>
      </w:r>
      <w:r w:rsidR="007D09EF">
        <w:rPr>
          <w:bCs/>
        </w:rPr>
        <w:t xml:space="preserve"> </w:t>
      </w:r>
      <w:r w:rsidR="007230C8" w:rsidRPr="00A10264">
        <w:rPr>
          <w:bCs/>
        </w:rPr>
        <w:t>o</w:t>
      </w:r>
      <w:r w:rsidR="00BE5DCA">
        <w:rPr>
          <w:bCs/>
        </w:rPr>
        <w:t>ver</w:t>
      </w:r>
      <w:r w:rsidR="007230C8" w:rsidRPr="00A10264">
        <w:rPr>
          <w:bCs/>
        </w:rPr>
        <w:t xml:space="preserve"> </w:t>
      </w:r>
      <w:r w:rsidR="005D7117">
        <w:rPr>
          <w:bCs/>
        </w:rPr>
        <w:t xml:space="preserve">the current </w:t>
      </w:r>
      <w:r w:rsidR="007230C8" w:rsidRPr="00A10264">
        <w:rPr>
          <w:bCs/>
        </w:rPr>
        <w:t>standard of care</w:t>
      </w:r>
      <w:r w:rsidR="005D7117">
        <w:rPr>
          <w:bCs/>
        </w:rPr>
        <w:t>.</w:t>
      </w:r>
      <w:r w:rsidR="009570CA">
        <w:rPr>
          <w:bCs/>
        </w:rPr>
        <w:t xml:space="preserve"> </w:t>
      </w:r>
      <w:r w:rsidR="005D7117" w:rsidRPr="005D7117">
        <w:rPr>
          <w:bCs/>
        </w:rPr>
        <w:t>In the absence of randomised controlled trials</w:t>
      </w:r>
      <w:r w:rsidR="00984B14">
        <w:rPr>
          <w:bCs/>
        </w:rPr>
        <w:t>,</w:t>
      </w:r>
      <w:r w:rsidR="005D7117" w:rsidRPr="005D7117">
        <w:rPr>
          <w:bCs/>
        </w:rPr>
        <w:t xml:space="preserve"> the comparison could be made </w:t>
      </w:r>
      <w:r w:rsidR="009570CA">
        <w:rPr>
          <w:bCs/>
        </w:rPr>
        <w:t>using prognostic data from a historical data set with subgroup cohorts defined by having different test results (e.g. dMMR and proficient MMR)</w:t>
      </w:r>
      <w:r w:rsidR="00356791">
        <w:rPr>
          <w:bCs/>
        </w:rPr>
        <w:t>, against which the results of single</w:t>
      </w:r>
      <w:r w:rsidR="00CA4D7D">
        <w:rPr>
          <w:bCs/>
        </w:rPr>
        <w:t>-</w:t>
      </w:r>
      <w:r w:rsidR="00356791">
        <w:rPr>
          <w:bCs/>
        </w:rPr>
        <w:t xml:space="preserve">arm trials across a </w:t>
      </w:r>
      <w:r w:rsidR="00074A25">
        <w:rPr>
          <w:bCs/>
        </w:rPr>
        <w:t>pan-tumour population can be benchmarked</w:t>
      </w:r>
      <w:r w:rsidR="007230C8" w:rsidRPr="00A10264">
        <w:rPr>
          <w:bCs/>
        </w:rPr>
        <w:t>.</w:t>
      </w:r>
      <w:r w:rsidR="00FD6522">
        <w:rPr>
          <w:bCs/>
        </w:rPr>
        <w:t xml:space="preserve"> </w:t>
      </w:r>
      <w:r w:rsidR="00FD6522" w:rsidRPr="00CB3A61">
        <w:rPr>
          <w:b/>
          <w:bCs/>
        </w:rPr>
        <w:t>(Recommendation 1</w:t>
      </w:r>
      <w:r w:rsidR="00764E7A" w:rsidRPr="00CB3A61">
        <w:rPr>
          <w:b/>
          <w:bCs/>
        </w:rPr>
        <w:t>3</w:t>
      </w:r>
      <w:r w:rsidR="00FD6522" w:rsidRPr="00CB3A61">
        <w:rPr>
          <w:b/>
          <w:bCs/>
        </w:rPr>
        <w:t>)</w:t>
      </w:r>
    </w:p>
    <w:p w14:paraId="04F55B90" w14:textId="1DD9F3A9" w:rsidR="00FA4998" w:rsidRDefault="006E6625" w:rsidP="004C581F">
      <w:pPr>
        <w:spacing w:after="120" w:line="312" w:lineRule="auto"/>
        <w:rPr>
          <w:bCs/>
        </w:rPr>
      </w:pPr>
      <w:r>
        <w:rPr>
          <w:bCs/>
        </w:rPr>
        <w:t xml:space="preserve">In the case of </w:t>
      </w:r>
      <w:r w:rsidR="00FD16C4">
        <w:rPr>
          <w:bCs/>
        </w:rPr>
        <w:t xml:space="preserve">dMMR </w:t>
      </w:r>
      <w:r w:rsidR="007E3160">
        <w:rPr>
          <w:bCs/>
        </w:rPr>
        <w:t xml:space="preserve">IHC </w:t>
      </w:r>
      <w:r w:rsidR="00FD16C4">
        <w:rPr>
          <w:bCs/>
        </w:rPr>
        <w:t xml:space="preserve">testing </w:t>
      </w:r>
      <w:r w:rsidR="00F03970">
        <w:rPr>
          <w:bCs/>
        </w:rPr>
        <w:t xml:space="preserve">to determine </w:t>
      </w:r>
      <w:r w:rsidR="00AE48EB">
        <w:rPr>
          <w:bCs/>
        </w:rPr>
        <w:t xml:space="preserve">eligibility </w:t>
      </w:r>
      <w:r w:rsidR="00F03970">
        <w:rPr>
          <w:bCs/>
        </w:rPr>
        <w:t>for</w:t>
      </w:r>
      <w:r w:rsidR="00AE48EB">
        <w:rPr>
          <w:bCs/>
        </w:rPr>
        <w:t xml:space="preserve"> pembrolizumab in treatment naïve Stage IV </w:t>
      </w:r>
      <w:r w:rsidR="00FD16C4">
        <w:rPr>
          <w:bCs/>
        </w:rPr>
        <w:t>CRC</w:t>
      </w:r>
      <w:r w:rsidR="00AE48EB">
        <w:rPr>
          <w:bCs/>
        </w:rPr>
        <w:t xml:space="preserve"> patients</w:t>
      </w:r>
      <w:r w:rsidR="00FD16C4">
        <w:rPr>
          <w:bCs/>
        </w:rPr>
        <w:t xml:space="preserve">, </w:t>
      </w:r>
      <w:r>
        <w:rPr>
          <w:bCs/>
        </w:rPr>
        <w:t xml:space="preserve">the evidence base </w:t>
      </w:r>
      <w:r w:rsidR="00074A25">
        <w:rPr>
          <w:bCs/>
        </w:rPr>
        <w:t xml:space="preserve">(reference case) </w:t>
      </w:r>
      <w:r>
        <w:rPr>
          <w:bCs/>
        </w:rPr>
        <w:t>will</w:t>
      </w:r>
      <w:r w:rsidR="00FD16C4">
        <w:rPr>
          <w:bCs/>
        </w:rPr>
        <w:t xml:space="preserve"> include</w:t>
      </w:r>
      <w:r w:rsidR="00FA4998">
        <w:rPr>
          <w:bCs/>
        </w:rPr>
        <w:t>:</w:t>
      </w:r>
    </w:p>
    <w:p w14:paraId="53C65F41" w14:textId="1AC1CEBD" w:rsidR="00FA4998" w:rsidRDefault="00FD16C4" w:rsidP="00A10264">
      <w:pPr>
        <w:pStyle w:val="ListParagraph"/>
        <w:numPr>
          <w:ilvl w:val="0"/>
          <w:numId w:val="10"/>
        </w:numPr>
        <w:spacing w:after="240" w:line="312" w:lineRule="auto"/>
        <w:ind w:left="426" w:hanging="357"/>
        <w:contextualSpacing/>
        <w:rPr>
          <w:bCs/>
        </w:rPr>
      </w:pPr>
      <w:r w:rsidRPr="00FA4998">
        <w:rPr>
          <w:bCs/>
        </w:rPr>
        <w:t xml:space="preserve">one RCT in which patients who have stage IV MSI-H or dMMR CRC (tested by IHC </w:t>
      </w:r>
      <w:r w:rsidR="0051745C" w:rsidRPr="00FA4998">
        <w:rPr>
          <w:bCs/>
        </w:rPr>
        <w:t xml:space="preserve">for dMMR or </w:t>
      </w:r>
      <w:r w:rsidRPr="00FA4998">
        <w:rPr>
          <w:bCs/>
        </w:rPr>
        <w:t>PCR</w:t>
      </w:r>
      <w:r w:rsidR="0051745C" w:rsidRPr="00FA4998">
        <w:rPr>
          <w:bCs/>
        </w:rPr>
        <w:t xml:space="preserve"> for MSI-H) </w:t>
      </w:r>
      <w:r w:rsidR="00D14BCA">
        <w:rPr>
          <w:bCs/>
        </w:rPr>
        <w:t xml:space="preserve">and have </w:t>
      </w:r>
      <w:r w:rsidR="00AE2013">
        <w:rPr>
          <w:bCs/>
        </w:rPr>
        <w:t>not received</w:t>
      </w:r>
      <w:r w:rsidR="00D14BCA">
        <w:rPr>
          <w:bCs/>
        </w:rPr>
        <w:t xml:space="preserve"> </w:t>
      </w:r>
      <w:r w:rsidR="00AE2013">
        <w:rPr>
          <w:bCs/>
        </w:rPr>
        <w:t>prior</w:t>
      </w:r>
      <w:r w:rsidR="00D14BCA">
        <w:rPr>
          <w:bCs/>
        </w:rPr>
        <w:t xml:space="preserve"> systemic treatment </w:t>
      </w:r>
      <w:r w:rsidR="00FD6522">
        <w:rPr>
          <w:bCs/>
        </w:rPr>
        <w:t xml:space="preserve">are </w:t>
      </w:r>
      <w:r w:rsidR="0051745C" w:rsidRPr="00FA4998">
        <w:rPr>
          <w:bCs/>
        </w:rPr>
        <w:t>randomised to either pembrolizumab monotherapy or standard of care chemotherapy</w:t>
      </w:r>
    </w:p>
    <w:p w14:paraId="7C412670" w14:textId="4E5B8FAE" w:rsidR="004C581F" w:rsidRPr="004C581F" w:rsidRDefault="00CC6AB6" w:rsidP="00E04922">
      <w:pPr>
        <w:pStyle w:val="ListParagraph"/>
        <w:numPr>
          <w:ilvl w:val="0"/>
          <w:numId w:val="10"/>
        </w:numPr>
        <w:ind w:left="426"/>
        <w:rPr>
          <w:bCs/>
        </w:rPr>
      </w:pPr>
      <w:r w:rsidRPr="004C581F">
        <w:rPr>
          <w:bCs/>
        </w:rPr>
        <w:t>single</w:t>
      </w:r>
      <w:r w:rsidR="00CA4D7D">
        <w:rPr>
          <w:bCs/>
        </w:rPr>
        <w:t>-</w:t>
      </w:r>
      <w:r w:rsidRPr="004C581F">
        <w:rPr>
          <w:bCs/>
        </w:rPr>
        <w:t xml:space="preserve">arm phase II trials that enrolled </w:t>
      </w:r>
      <w:r w:rsidRPr="00E04922">
        <w:rPr>
          <w:bCs/>
        </w:rPr>
        <w:t xml:space="preserve">MSI-H or </w:t>
      </w:r>
      <w:r>
        <w:rPr>
          <w:bCs/>
        </w:rPr>
        <w:t xml:space="preserve">microsatellite stable </w:t>
      </w:r>
      <w:r w:rsidRPr="004C581F">
        <w:rPr>
          <w:bCs/>
        </w:rPr>
        <w:t>CRC patients</w:t>
      </w:r>
      <w:r>
        <w:rPr>
          <w:bCs/>
        </w:rPr>
        <w:t xml:space="preserve"> to receive</w:t>
      </w:r>
      <w:r w:rsidRPr="004C581F">
        <w:rPr>
          <w:bCs/>
        </w:rPr>
        <w:t xml:space="preserve"> treatment with pembrolizumab</w:t>
      </w:r>
      <w:r>
        <w:rPr>
          <w:bCs/>
        </w:rPr>
        <w:t>.</w:t>
      </w:r>
    </w:p>
    <w:p w14:paraId="6A6C911E" w14:textId="545C2D35" w:rsidR="00AE48EB" w:rsidRDefault="00DB54B3" w:rsidP="00FD16C4">
      <w:pPr>
        <w:spacing w:after="240" w:line="312" w:lineRule="auto"/>
        <w:rPr>
          <w:bCs/>
        </w:rPr>
      </w:pPr>
      <w:r w:rsidRPr="005D7117">
        <w:rPr>
          <w:bCs/>
        </w:rPr>
        <w:t>Th</w:t>
      </w:r>
      <w:r w:rsidR="00D71905" w:rsidRPr="005D7117">
        <w:rPr>
          <w:bCs/>
        </w:rPr>
        <w:t>e</w:t>
      </w:r>
      <w:r w:rsidRPr="005D7117">
        <w:rPr>
          <w:bCs/>
        </w:rPr>
        <w:t xml:space="preserve"> outcomes of th</w:t>
      </w:r>
      <w:r w:rsidR="003A34B0" w:rsidRPr="005D7117">
        <w:rPr>
          <w:bCs/>
        </w:rPr>
        <w:t>e</w:t>
      </w:r>
      <w:r w:rsidRPr="005D7117">
        <w:rPr>
          <w:bCs/>
        </w:rPr>
        <w:t xml:space="preserve"> </w:t>
      </w:r>
      <w:r w:rsidR="003A34B0" w:rsidRPr="005D7117">
        <w:rPr>
          <w:bCs/>
        </w:rPr>
        <w:t>RCT</w:t>
      </w:r>
      <w:r w:rsidRPr="005D7117">
        <w:rPr>
          <w:bCs/>
        </w:rPr>
        <w:t xml:space="preserve"> will </w:t>
      </w:r>
      <w:r w:rsidR="00D71905" w:rsidRPr="005D7117">
        <w:rPr>
          <w:bCs/>
        </w:rPr>
        <w:t>provide a direct comparison of health outcomes for p</w:t>
      </w:r>
      <w:r w:rsidRPr="005D7117">
        <w:rPr>
          <w:bCs/>
        </w:rPr>
        <w:t xml:space="preserve">atients whose tumours </w:t>
      </w:r>
      <w:r w:rsidR="00606340" w:rsidRPr="005D7117">
        <w:rPr>
          <w:bCs/>
        </w:rPr>
        <w:t>had</w:t>
      </w:r>
      <w:r w:rsidRPr="005D7117">
        <w:rPr>
          <w:bCs/>
        </w:rPr>
        <w:t xml:space="preserve"> dMMR treated with pembrolizumab and those treated with standard of care chemotherapy</w:t>
      </w:r>
      <w:r w:rsidR="00BE5DCA" w:rsidRPr="005D7117">
        <w:rPr>
          <w:bCs/>
        </w:rPr>
        <w:t xml:space="preserve"> in the first-line setting</w:t>
      </w:r>
      <w:r w:rsidRPr="005D7117">
        <w:rPr>
          <w:bCs/>
        </w:rPr>
        <w:t>.</w:t>
      </w:r>
      <w:r w:rsidR="00D71905" w:rsidRPr="005D7117">
        <w:rPr>
          <w:bCs/>
        </w:rPr>
        <w:t xml:space="preserve"> However, </w:t>
      </w:r>
      <w:r w:rsidR="00FD6522" w:rsidRPr="005D7117">
        <w:rPr>
          <w:bCs/>
        </w:rPr>
        <w:t xml:space="preserve">this trial </w:t>
      </w:r>
      <w:r w:rsidRPr="005D7117">
        <w:rPr>
          <w:bCs/>
        </w:rPr>
        <w:t>provides no evidence for the effectiveness of pembrolizumab in patients whose tumours</w:t>
      </w:r>
      <w:r>
        <w:rPr>
          <w:bCs/>
        </w:rPr>
        <w:t xml:space="preserve"> were MMR sufficient</w:t>
      </w:r>
      <w:r w:rsidR="0020556F">
        <w:rPr>
          <w:bCs/>
        </w:rPr>
        <w:t xml:space="preserve"> (to determine the need for testing)</w:t>
      </w:r>
      <w:r w:rsidR="00BE5DCA">
        <w:rPr>
          <w:bCs/>
        </w:rPr>
        <w:t>, or for those being treated in later-line settings</w:t>
      </w:r>
      <w:r w:rsidR="003B6267">
        <w:rPr>
          <w:bCs/>
        </w:rPr>
        <w:t>. If earlier signal-finding studies addressed this in the seamless oncology trial approach, whereby patients for whom no signal is observed are not subsequently enrolled into clinical studies, then these studies should be provided as the best available evidence.</w:t>
      </w:r>
    </w:p>
    <w:p w14:paraId="6208249B" w14:textId="5C5F61B4" w:rsidR="00DF1029" w:rsidRDefault="006E6625" w:rsidP="00DF1029">
      <w:pPr>
        <w:spacing w:after="120" w:line="312" w:lineRule="auto"/>
        <w:rPr>
          <w:bCs/>
        </w:rPr>
      </w:pPr>
      <w:r>
        <w:rPr>
          <w:bCs/>
        </w:rPr>
        <w:t xml:space="preserve">In the case of dMMR </w:t>
      </w:r>
      <w:r w:rsidR="007E3160">
        <w:rPr>
          <w:bCs/>
        </w:rPr>
        <w:t xml:space="preserve">IHC </w:t>
      </w:r>
      <w:r>
        <w:rPr>
          <w:bCs/>
        </w:rPr>
        <w:t xml:space="preserve">testing </w:t>
      </w:r>
      <w:r w:rsidR="00FD6522">
        <w:rPr>
          <w:bCs/>
        </w:rPr>
        <w:t xml:space="preserve">across many </w:t>
      </w:r>
      <w:r>
        <w:rPr>
          <w:bCs/>
        </w:rPr>
        <w:t>tumours,</w:t>
      </w:r>
      <w:r w:rsidR="00DF1029">
        <w:rPr>
          <w:bCs/>
        </w:rPr>
        <w:t xml:space="preserve"> </w:t>
      </w:r>
      <w:r>
        <w:rPr>
          <w:bCs/>
        </w:rPr>
        <w:t>the available evidence is</w:t>
      </w:r>
      <w:r w:rsidR="00DF1029">
        <w:rPr>
          <w:bCs/>
        </w:rPr>
        <w:t xml:space="preserve"> more limited</w:t>
      </w:r>
      <w:r>
        <w:rPr>
          <w:bCs/>
        </w:rPr>
        <w:t xml:space="preserve">, and </w:t>
      </w:r>
      <w:r w:rsidR="0062509C">
        <w:rPr>
          <w:bCs/>
        </w:rPr>
        <w:t>in</w:t>
      </w:r>
      <w:r>
        <w:rPr>
          <w:bCs/>
        </w:rPr>
        <w:t xml:space="preserve">sufficient to determine </w:t>
      </w:r>
      <w:r w:rsidR="00FD6522">
        <w:rPr>
          <w:bCs/>
        </w:rPr>
        <w:t xml:space="preserve">pembrolizumab </w:t>
      </w:r>
      <w:r>
        <w:rPr>
          <w:bCs/>
        </w:rPr>
        <w:t>effectiveness in each tumour type</w:t>
      </w:r>
      <w:r w:rsidR="00DF1029">
        <w:rPr>
          <w:bCs/>
        </w:rPr>
        <w:t xml:space="preserve">. </w:t>
      </w:r>
      <w:r>
        <w:rPr>
          <w:bCs/>
        </w:rPr>
        <w:t>T</w:t>
      </w:r>
      <w:r w:rsidR="00DF1029">
        <w:rPr>
          <w:bCs/>
        </w:rPr>
        <w:t>he expected evidence base will include:</w:t>
      </w:r>
    </w:p>
    <w:p w14:paraId="6D71400C" w14:textId="22B2972E" w:rsidR="00DF1029" w:rsidRPr="00FA4998" w:rsidRDefault="00DF1029" w:rsidP="0026448E">
      <w:pPr>
        <w:pStyle w:val="ListParagraph"/>
        <w:numPr>
          <w:ilvl w:val="0"/>
          <w:numId w:val="10"/>
        </w:numPr>
        <w:tabs>
          <w:tab w:val="left" w:pos="2268"/>
        </w:tabs>
        <w:spacing w:after="240" w:line="312" w:lineRule="auto"/>
        <w:ind w:left="426" w:hanging="357"/>
        <w:contextualSpacing/>
        <w:rPr>
          <w:bCs/>
        </w:rPr>
      </w:pPr>
      <w:r>
        <w:rPr>
          <w:bCs/>
        </w:rPr>
        <w:lastRenderedPageBreak/>
        <w:t xml:space="preserve">two </w:t>
      </w:r>
      <w:r w:rsidRPr="00FA4998">
        <w:rPr>
          <w:bCs/>
        </w:rPr>
        <w:t>single</w:t>
      </w:r>
      <w:r w:rsidR="00CA4D7D">
        <w:rPr>
          <w:bCs/>
        </w:rPr>
        <w:t>-</w:t>
      </w:r>
      <w:r w:rsidRPr="00FA4998">
        <w:rPr>
          <w:bCs/>
        </w:rPr>
        <w:t>arm</w:t>
      </w:r>
      <w:r>
        <w:rPr>
          <w:bCs/>
        </w:rPr>
        <w:t xml:space="preserve"> phase II trials that enrolled both CRC and non-CRC patients whose tumours were dMMR </w:t>
      </w:r>
      <w:r w:rsidR="00FD6522">
        <w:rPr>
          <w:bCs/>
        </w:rPr>
        <w:t xml:space="preserve">and </w:t>
      </w:r>
      <w:r>
        <w:rPr>
          <w:bCs/>
        </w:rPr>
        <w:t>treat</w:t>
      </w:r>
      <w:r w:rsidR="00FD6522">
        <w:rPr>
          <w:bCs/>
        </w:rPr>
        <w:t>ed</w:t>
      </w:r>
      <w:r>
        <w:rPr>
          <w:bCs/>
        </w:rPr>
        <w:t xml:space="preserve"> with pembrolizumab</w:t>
      </w:r>
    </w:p>
    <w:p w14:paraId="2CB30239" w14:textId="1AD1C5F9" w:rsidR="008174F7" w:rsidRPr="00FA4998" w:rsidRDefault="008174F7" w:rsidP="008174F7">
      <w:pPr>
        <w:pStyle w:val="ListParagraph"/>
        <w:numPr>
          <w:ilvl w:val="0"/>
          <w:numId w:val="10"/>
        </w:numPr>
        <w:tabs>
          <w:tab w:val="left" w:pos="2268"/>
        </w:tabs>
        <w:spacing w:after="120" w:line="312" w:lineRule="auto"/>
        <w:ind w:left="425" w:hanging="357"/>
        <w:contextualSpacing/>
        <w:rPr>
          <w:bCs/>
        </w:rPr>
      </w:pPr>
      <w:r>
        <w:rPr>
          <w:bCs/>
        </w:rPr>
        <w:t>two single</w:t>
      </w:r>
      <w:r w:rsidR="00CA4D7D">
        <w:rPr>
          <w:bCs/>
        </w:rPr>
        <w:t>-</w:t>
      </w:r>
      <w:r>
        <w:rPr>
          <w:bCs/>
        </w:rPr>
        <w:t xml:space="preserve">arm phase II trials of patients with </w:t>
      </w:r>
      <w:r w:rsidRPr="003A34B0">
        <w:rPr>
          <w:bCs/>
        </w:rPr>
        <w:t xml:space="preserve">any advanced </w:t>
      </w:r>
      <w:r>
        <w:rPr>
          <w:bCs/>
        </w:rPr>
        <w:t xml:space="preserve">non-CRC </w:t>
      </w:r>
      <w:r w:rsidRPr="003A34B0">
        <w:rPr>
          <w:bCs/>
        </w:rPr>
        <w:t>solid tumour</w:t>
      </w:r>
      <w:r>
        <w:rPr>
          <w:bCs/>
        </w:rPr>
        <w:t xml:space="preserve"> that is MSI-H</w:t>
      </w:r>
      <w:r w:rsidRPr="003A34B0">
        <w:rPr>
          <w:bCs/>
        </w:rPr>
        <w:t xml:space="preserve"> </w:t>
      </w:r>
      <w:r>
        <w:rPr>
          <w:bCs/>
        </w:rPr>
        <w:t>and</w:t>
      </w:r>
      <w:r w:rsidRPr="003A34B0">
        <w:rPr>
          <w:bCs/>
        </w:rPr>
        <w:t xml:space="preserve"> have received at least one prior therapy</w:t>
      </w:r>
    </w:p>
    <w:p w14:paraId="6A6913E7" w14:textId="541D0206" w:rsidR="00DF1029" w:rsidRDefault="00DF1029" w:rsidP="0026448E">
      <w:pPr>
        <w:pStyle w:val="ListParagraph"/>
        <w:numPr>
          <w:ilvl w:val="0"/>
          <w:numId w:val="10"/>
        </w:numPr>
        <w:tabs>
          <w:tab w:val="left" w:pos="2268"/>
        </w:tabs>
        <w:spacing w:after="120" w:line="312" w:lineRule="auto"/>
        <w:ind w:left="426"/>
        <w:contextualSpacing/>
        <w:rPr>
          <w:bCs/>
        </w:rPr>
      </w:pPr>
      <w:r>
        <w:rPr>
          <w:bCs/>
        </w:rPr>
        <w:t>two single</w:t>
      </w:r>
      <w:r w:rsidR="00CA4D7D">
        <w:rPr>
          <w:bCs/>
        </w:rPr>
        <w:t>-</w:t>
      </w:r>
      <w:r>
        <w:rPr>
          <w:bCs/>
        </w:rPr>
        <w:t xml:space="preserve">arm </w:t>
      </w:r>
      <w:r w:rsidR="003A34B0">
        <w:rPr>
          <w:bCs/>
        </w:rPr>
        <w:t xml:space="preserve">phase II </w:t>
      </w:r>
      <w:r>
        <w:rPr>
          <w:bCs/>
        </w:rPr>
        <w:t>trials of patients with advanced solid tumours expressing PD-L1</w:t>
      </w:r>
      <w:r w:rsidR="00FD6522">
        <w:rPr>
          <w:bCs/>
        </w:rPr>
        <w:t xml:space="preserve"> and</w:t>
      </w:r>
      <w:r>
        <w:rPr>
          <w:bCs/>
        </w:rPr>
        <w:t xml:space="preserve"> treated with pembrolizumab</w:t>
      </w:r>
      <w:r w:rsidR="00FD6522">
        <w:rPr>
          <w:bCs/>
        </w:rPr>
        <w:t>,</w:t>
      </w:r>
      <w:r>
        <w:rPr>
          <w:bCs/>
        </w:rPr>
        <w:t xml:space="preserve"> who were retrospectively </w:t>
      </w:r>
      <w:r w:rsidR="003A34B0">
        <w:rPr>
          <w:bCs/>
        </w:rPr>
        <w:t>tested for MSI-H status</w:t>
      </w:r>
      <w:r w:rsidR="003B6267">
        <w:rPr>
          <w:bCs/>
        </w:rPr>
        <w:t>.</w:t>
      </w:r>
    </w:p>
    <w:p w14:paraId="7D1312E5" w14:textId="05465BFF" w:rsidR="00FD6522" w:rsidRDefault="006A04AC" w:rsidP="007B6A15">
      <w:pPr>
        <w:tabs>
          <w:tab w:val="left" w:pos="2268"/>
        </w:tabs>
        <w:spacing w:after="240" w:line="312" w:lineRule="auto"/>
        <w:rPr>
          <w:bCs/>
        </w:rPr>
      </w:pPr>
      <w:r w:rsidRPr="006A04AC">
        <w:rPr>
          <w:bCs/>
        </w:rPr>
        <w:t xml:space="preserve">Assuming pembrolizumab was found to have superior effectiveness to standard of care </w:t>
      </w:r>
      <w:r w:rsidR="00100C84">
        <w:rPr>
          <w:bCs/>
        </w:rPr>
        <w:t>for</w:t>
      </w:r>
      <w:r w:rsidRPr="006A04AC">
        <w:rPr>
          <w:bCs/>
        </w:rPr>
        <w:t xml:space="preserve"> dMMR </w:t>
      </w:r>
      <w:r w:rsidR="00B5393E">
        <w:rPr>
          <w:bCs/>
        </w:rPr>
        <w:t xml:space="preserve">metastatic </w:t>
      </w:r>
      <w:r w:rsidRPr="006A04AC">
        <w:rPr>
          <w:bCs/>
        </w:rPr>
        <w:t>CRC</w:t>
      </w:r>
      <w:r w:rsidR="00B5393E">
        <w:rPr>
          <w:bCs/>
        </w:rPr>
        <w:t xml:space="preserve"> (mCRC)</w:t>
      </w:r>
      <w:r w:rsidR="00100C84">
        <w:rPr>
          <w:bCs/>
        </w:rPr>
        <w:t xml:space="preserve"> in the first-line setting</w:t>
      </w:r>
      <w:r w:rsidRPr="006A04AC">
        <w:rPr>
          <w:bCs/>
        </w:rPr>
        <w:t xml:space="preserve">, </w:t>
      </w:r>
      <w:r w:rsidR="00100C84">
        <w:rPr>
          <w:bCs/>
        </w:rPr>
        <w:t xml:space="preserve">the </w:t>
      </w:r>
      <w:r w:rsidR="005C2F3A">
        <w:rPr>
          <w:bCs/>
        </w:rPr>
        <w:t xml:space="preserve">reported </w:t>
      </w:r>
      <w:r w:rsidR="00100C84">
        <w:rPr>
          <w:bCs/>
        </w:rPr>
        <w:t xml:space="preserve">treatment effect size for patients treated with pembrolizumab can be </w:t>
      </w:r>
      <w:r w:rsidR="00FD6522">
        <w:rPr>
          <w:bCs/>
        </w:rPr>
        <w:t xml:space="preserve">naively </w:t>
      </w:r>
      <w:r w:rsidR="00100C84">
        <w:rPr>
          <w:bCs/>
        </w:rPr>
        <w:t xml:space="preserve">compared to </w:t>
      </w:r>
      <w:r w:rsidR="00874F07">
        <w:rPr>
          <w:bCs/>
        </w:rPr>
        <w:t xml:space="preserve">that of </w:t>
      </w:r>
      <w:r w:rsidR="00FD6522">
        <w:rPr>
          <w:bCs/>
        </w:rPr>
        <w:t xml:space="preserve">other </w:t>
      </w:r>
      <w:r w:rsidR="00100C84">
        <w:rPr>
          <w:bCs/>
        </w:rPr>
        <w:t xml:space="preserve">tumours treated with pembrolizumab, </w:t>
      </w:r>
      <w:r w:rsidR="00470586">
        <w:rPr>
          <w:bCs/>
        </w:rPr>
        <w:t xml:space="preserve">as shown in </w:t>
      </w:r>
      <w:r w:rsidR="000F6AD0">
        <w:rPr>
          <w:bCs/>
        </w:rPr>
        <w:fldChar w:fldCharType="begin"/>
      </w:r>
      <w:r w:rsidR="000F6AD0">
        <w:rPr>
          <w:bCs/>
        </w:rPr>
        <w:instrText xml:space="preserve"> REF _Ref497294217 \h </w:instrText>
      </w:r>
      <w:r w:rsidR="000F6AD0">
        <w:rPr>
          <w:bCs/>
        </w:rPr>
      </w:r>
      <w:r w:rsidR="000F6AD0">
        <w:rPr>
          <w:bCs/>
        </w:rPr>
        <w:fldChar w:fldCharType="separate"/>
      </w:r>
      <w:r w:rsidR="0068658C">
        <w:t xml:space="preserve">Figure </w:t>
      </w:r>
      <w:r w:rsidR="0068658C">
        <w:rPr>
          <w:noProof/>
        </w:rPr>
        <w:t>3</w:t>
      </w:r>
      <w:r w:rsidR="000F6AD0">
        <w:rPr>
          <w:bCs/>
        </w:rPr>
        <w:fldChar w:fldCharType="end"/>
      </w:r>
      <w:r w:rsidR="001D2347">
        <w:rPr>
          <w:bCs/>
        </w:rPr>
        <w:t>A</w:t>
      </w:r>
      <w:r w:rsidR="008174F7">
        <w:rPr>
          <w:bCs/>
        </w:rPr>
        <w:t>.</w:t>
      </w:r>
      <w:r>
        <w:rPr>
          <w:bCs/>
        </w:rPr>
        <w:t xml:space="preserve"> </w:t>
      </w:r>
      <w:r w:rsidR="008570E4">
        <w:rPr>
          <w:bCs/>
        </w:rPr>
        <w:t>It</w:t>
      </w:r>
      <w:r w:rsidR="0032375D">
        <w:rPr>
          <w:bCs/>
        </w:rPr>
        <w:t xml:space="preserve"> is important </w:t>
      </w:r>
      <w:r w:rsidR="008570E4">
        <w:rPr>
          <w:bCs/>
        </w:rPr>
        <w:t>to note</w:t>
      </w:r>
      <w:r w:rsidR="005C2F3A">
        <w:rPr>
          <w:bCs/>
        </w:rPr>
        <w:t>, however,</w:t>
      </w:r>
      <w:r w:rsidR="008570E4">
        <w:rPr>
          <w:bCs/>
        </w:rPr>
        <w:t xml:space="preserve"> </w:t>
      </w:r>
      <w:r w:rsidR="00100C84">
        <w:rPr>
          <w:bCs/>
        </w:rPr>
        <w:t xml:space="preserve">that the pan-tumour application is for second-line treatment. </w:t>
      </w:r>
      <w:r w:rsidR="00100C84" w:rsidRPr="005D7117">
        <w:rPr>
          <w:bCs/>
        </w:rPr>
        <w:t xml:space="preserve">This complicates the interpretation of the relevance of any difference in the size of the clinical effect between </w:t>
      </w:r>
      <w:r w:rsidR="00DD1E5F" w:rsidRPr="005D7117">
        <w:rPr>
          <w:bCs/>
        </w:rPr>
        <w:t>CRC and</w:t>
      </w:r>
      <w:r w:rsidR="00100C84" w:rsidRPr="005D7117">
        <w:rPr>
          <w:bCs/>
        </w:rPr>
        <w:t xml:space="preserve"> pan-tumour</w:t>
      </w:r>
      <w:r w:rsidR="00DD1E5F" w:rsidRPr="005D7117">
        <w:rPr>
          <w:bCs/>
        </w:rPr>
        <w:t xml:space="preserve"> studies</w:t>
      </w:r>
      <w:r w:rsidR="00874F07">
        <w:rPr>
          <w:bCs/>
        </w:rPr>
        <w:t>. T</w:t>
      </w:r>
      <w:r w:rsidR="00FD6522">
        <w:rPr>
          <w:bCs/>
        </w:rPr>
        <w:t xml:space="preserve">he </w:t>
      </w:r>
      <w:r w:rsidR="005D7117">
        <w:rPr>
          <w:bCs/>
        </w:rPr>
        <w:t xml:space="preserve">likely </w:t>
      </w:r>
      <w:r w:rsidR="00FD6522">
        <w:rPr>
          <w:bCs/>
        </w:rPr>
        <w:t xml:space="preserve">incremental gain over the </w:t>
      </w:r>
      <w:r w:rsidR="005C2F3A">
        <w:rPr>
          <w:bCs/>
        </w:rPr>
        <w:t xml:space="preserve">relevant </w:t>
      </w:r>
      <w:r w:rsidR="00FD6522">
        <w:rPr>
          <w:bCs/>
        </w:rPr>
        <w:t xml:space="preserve">comparator therapies </w:t>
      </w:r>
      <w:r w:rsidR="001D2347">
        <w:rPr>
          <w:bCs/>
        </w:rPr>
        <w:t>can</w:t>
      </w:r>
      <w:r w:rsidR="005C2F3A">
        <w:rPr>
          <w:bCs/>
        </w:rPr>
        <w:t xml:space="preserve"> then</w:t>
      </w:r>
      <w:r w:rsidR="001D2347">
        <w:rPr>
          <w:bCs/>
        </w:rPr>
        <w:t xml:space="preserve"> also be </w:t>
      </w:r>
      <w:r w:rsidR="005D7117">
        <w:rPr>
          <w:bCs/>
        </w:rPr>
        <w:t>informed</w:t>
      </w:r>
      <w:r w:rsidR="001D2347">
        <w:rPr>
          <w:bCs/>
        </w:rPr>
        <w:t xml:space="preserve"> by </w:t>
      </w:r>
      <w:r w:rsidR="005C2F3A">
        <w:rPr>
          <w:bCs/>
        </w:rPr>
        <w:t xml:space="preserve">naïve comparison with the reported results of their </w:t>
      </w:r>
      <w:r w:rsidR="001D2347">
        <w:rPr>
          <w:bCs/>
        </w:rPr>
        <w:t>trials</w:t>
      </w:r>
      <w:r w:rsidR="005C2F3A">
        <w:rPr>
          <w:bCs/>
        </w:rPr>
        <w:t xml:space="preserve"> (Figure 3B). It is important to note that </w:t>
      </w:r>
      <w:r w:rsidR="0036526F">
        <w:rPr>
          <w:bCs/>
        </w:rPr>
        <w:t xml:space="preserve">these trials </w:t>
      </w:r>
      <w:r w:rsidR="005C2F3A">
        <w:rPr>
          <w:bCs/>
        </w:rPr>
        <w:t xml:space="preserve">would </w:t>
      </w:r>
      <w:r w:rsidR="0036526F">
        <w:rPr>
          <w:bCs/>
        </w:rPr>
        <w:t>involve</w:t>
      </w:r>
      <w:r w:rsidR="001D2347">
        <w:rPr>
          <w:bCs/>
        </w:rPr>
        <w:t xml:space="preserve"> biomarker unselected populations</w:t>
      </w:r>
      <w:r w:rsidR="005D7117">
        <w:rPr>
          <w:bCs/>
        </w:rPr>
        <w:t>,</w:t>
      </w:r>
      <w:r w:rsidR="005D7117" w:rsidRPr="005D7117">
        <w:t xml:space="preserve"> </w:t>
      </w:r>
      <w:r w:rsidR="005C2F3A">
        <w:t xml:space="preserve">so </w:t>
      </w:r>
      <w:r w:rsidR="005D7117" w:rsidRPr="005D7117">
        <w:rPr>
          <w:bCs/>
        </w:rPr>
        <w:t xml:space="preserve">the prevalence </w:t>
      </w:r>
      <w:r w:rsidR="005C2F3A">
        <w:rPr>
          <w:bCs/>
        </w:rPr>
        <w:t xml:space="preserve">and the prognostic value </w:t>
      </w:r>
      <w:r w:rsidR="005D7117" w:rsidRPr="005D7117">
        <w:rPr>
          <w:bCs/>
        </w:rPr>
        <w:t xml:space="preserve">of the biomarker is likely to be </w:t>
      </w:r>
      <w:r w:rsidR="005C2F3A">
        <w:rPr>
          <w:bCs/>
        </w:rPr>
        <w:t>influential to this comparison</w:t>
      </w:r>
      <w:r w:rsidR="001D2347">
        <w:rPr>
          <w:bCs/>
        </w:rPr>
        <w:t xml:space="preserve">. This </w:t>
      </w:r>
      <w:r w:rsidR="00FD6522">
        <w:rPr>
          <w:bCs/>
        </w:rPr>
        <w:t xml:space="preserve">will likely differ </w:t>
      </w:r>
      <w:r w:rsidR="001D2347">
        <w:rPr>
          <w:bCs/>
        </w:rPr>
        <w:t>for</w:t>
      </w:r>
      <w:r w:rsidR="00FD6522">
        <w:rPr>
          <w:bCs/>
        </w:rPr>
        <w:t xml:space="preserve"> </w:t>
      </w:r>
      <w:r w:rsidR="006A07F8">
        <w:rPr>
          <w:bCs/>
        </w:rPr>
        <w:t xml:space="preserve">the </w:t>
      </w:r>
      <w:r w:rsidR="00FD6522">
        <w:rPr>
          <w:bCs/>
        </w:rPr>
        <w:t>different treatment options available across different cancers</w:t>
      </w:r>
      <w:r w:rsidR="00874F07">
        <w:rPr>
          <w:bCs/>
        </w:rPr>
        <w:t xml:space="preserve"> (comparators)</w:t>
      </w:r>
      <w:r w:rsidR="00FD6522">
        <w:rPr>
          <w:bCs/>
        </w:rPr>
        <w:t xml:space="preserve">, as well as the differing life expectancies across different cancers. Data would be required </w:t>
      </w:r>
      <w:r w:rsidR="00874F07">
        <w:rPr>
          <w:bCs/>
        </w:rPr>
        <w:t>to estimate</w:t>
      </w:r>
      <w:r w:rsidR="00FD6522">
        <w:rPr>
          <w:bCs/>
        </w:rPr>
        <w:t xml:space="preserve"> the clinical benefits gained from the standard of care for the other non-CRC tumour types </w:t>
      </w:r>
      <w:r w:rsidR="00874F07">
        <w:rPr>
          <w:bCs/>
        </w:rPr>
        <w:t>which could then be</w:t>
      </w:r>
      <w:r w:rsidR="00FD6522">
        <w:rPr>
          <w:bCs/>
        </w:rPr>
        <w:t xml:space="preserve"> indirectly compared (assuming the populations are transitive) to the single</w:t>
      </w:r>
      <w:r w:rsidR="00CA4D7D">
        <w:rPr>
          <w:bCs/>
        </w:rPr>
        <w:t>-</w:t>
      </w:r>
      <w:r w:rsidR="00FD6522">
        <w:rPr>
          <w:bCs/>
        </w:rPr>
        <w:t xml:space="preserve">arm pembrolizumab studies to determine the incremental </w:t>
      </w:r>
      <w:r w:rsidR="00874F07">
        <w:rPr>
          <w:bCs/>
        </w:rPr>
        <w:t xml:space="preserve">gain in treatment </w:t>
      </w:r>
      <w:r w:rsidR="00FD6522">
        <w:rPr>
          <w:bCs/>
        </w:rPr>
        <w:t>effect</w:t>
      </w:r>
      <w:r w:rsidR="008570E4">
        <w:rPr>
          <w:bCs/>
        </w:rPr>
        <w:t>.</w:t>
      </w:r>
      <w:r w:rsidR="0032375D">
        <w:rPr>
          <w:bCs/>
        </w:rPr>
        <w:t xml:space="preserve"> </w:t>
      </w:r>
      <w:r w:rsidR="00874F07">
        <w:rPr>
          <w:bCs/>
        </w:rPr>
        <w:t>T</w:t>
      </w:r>
      <w:r w:rsidR="00874F07" w:rsidRPr="002F2418">
        <w:rPr>
          <w:bCs/>
        </w:rPr>
        <w:t>here w</w:t>
      </w:r>
      <w:r w:rsidR="00874F07">
        <w:rPr>
          <w:bCs/>
        </w:rPr>
        <w:t>ould</w:t>
      </w:r>
      <w:r w:rsidR="00874F07" w:rsidRPr="002F2418">
        <w:rPr>
          <w:bCs/>
        </w:rPr>
        <w:t xml:space="preserve"> be a </w:t>
      </w:r>
      <w:r w:rsidR="00874F07">
        <w:rPr>
          <w:bCs/>
        </w:rPr>
        <w:t>number</w:t>
      </w:r>
      <w:r w:rsidR="00874F07" w:rsidRPr="002F2418">
        <w:rPr>
          <w:bCs/>
        </w:rPr>
        <w:t xml:space="preserve"> of comparators with different efficacies</w:t>
      </w:r>
      <w:r w:rsidR="00874F07">
        <w:rPr>
          <w:bCs/>
        </w:rPr>
        <w:t>, making it difficult to</w:t>
      </w:r>
      <w:r w:rsidR="00874F07" w:rsidRPr="002F2418">
        <w:rPr>
          <w:bCs/>
        </w:rPr>
        <w:t xml:space="preserve"> </w:t>
      </w:r>
      <w:r w:rsidR="00874F07" w:rsidRPr="006B68C9">
        <w:rPr>
          <w:bCs/>
        </w:rPr>
        <w:t>determ</w:t>
      </w:r>
      <w:r w:rsidR="00874F07">
        <w:rPr>
          <w:bCs/>
        </w:rPr>
        <w:t>ine</w:t>
      </w:r>
      <w:r w:rsidR="00874F07" w:rsidRPr="006B68C9">
        <w:rPr>
          <w:bCs/>
        </w:rPr>
        <w:t xml:space="preserve"> </w:t>
      </w:r>
      <w:r w:rsidR="00874F07">
        <w:rPr>
          <w:bCs/>
        </w:rPr>
        <w:t>the</w:t>
      </w:r>
      <w:r w:rsidR="00874F07" w:rsidRPr="006B68C9">
        <w:rPr>
          <w:bCs/>
        </w:rPr>
        <w:t xml:space="preserve"> incremental gain of pembrolizumab against all other treatments</w:t>
      </w:r>
      <w:r w:rsidR="00874F07">
        <w:rPr>
          <w:bCs/>
        </w:rPr>
        <w:t>.</w:t>
      </w:r>
    </w:p>
    <w:p w14:paraId="303D79E7" w14:textId="4FADECBD" w:rsidR="00AF2F92" w:rsidRDefault="006A07F8" w:rsidP="00AF2F92">
      <w:pPr>
        <w:tabs>
          <w:tab w:val="left" w:pos="2268"/>
        </w:tabs>
        <w:spacing w:after="40" w:line="240" w:lineRule="auto"/>
        <w:jc w:val="center"/>
        <w:rPr>
          <w:bCs/>
        </w:rPr>
      </w:pPr>
      <w:r>
        <w:rPr>
          <w:bCs/>
          <w:noProof/>
        </w:rPr>
        <w:drawing>
          <wp:inline distT="0" distB="0" distL="0" distR="0" wp14:anchorId="5064013F" wp14:editId="2FE98E04">
            <wp:extent cx="5766812" cy="2480500"/>
            <wp:effectExtent l="0" t="0" r="0" b="0"/>
            <wp:docPr id="2" name="Picture 2" descr="Indirect comparison of the effectiveness of pembrolizumab versus standard of care in dMMR CRC compared with dMMR pan-tumours (A) and standard of care treatment options in biomarker unselected popu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06333" cy="2497499"/>
                    </a:xfrm>
                    <a:prstGeom prst="rect">
                      <a:avLst/>
                    </a:prstGeom>
                    <a:noFill/>
                  </pic:spPr>
                </pic:pic>
              </a:graphicData>
            </a:graphic>
          </wp:inline>
        </w:drawing>
      </w:r>
    </w:p>
    <w:p w14:paraId="55B91C99" w14:textId="78463100" w:rsidR="006B68C9" w:rsidRPr="00DC3735" w:rsidRDefault="000F6AD0" w:rsidP="00684BA4">
      <w:pPr>
        <w:pStyle w:val="TableHeading"/>
      </w:pPr>
      <w:bookmarkStart w:id="79" w:name="_Ref497294217"/>
      <w:bookmarkStart w:id="80" w:name="_Toc29557685"/>
      <w:r>
        <w:t xml:space="preserve">Figure </w:t>
      </w:r>
      <w:r w:rsidR="0054411D">
        <w:rPr>
          <w:noProof/>
        </w:rPr>
        <w:fldChar w:fldCharType="begin"/>
      </w:r>
      <w:r w:rsidR="0054411D">
        <w:rPr>
          <w:noProof/>
        </w:rPr>
        <w:instrText xml:space="preserve"> SEQ Figure \* ARABIC </w:instrText>
      </w:r>
      <w:r w:rsidR="0054411D">
        <w:rPr>
          <w:noProof/>
        </w:rPr>
        <w:fldChar w:fldCharType="separate"/>
      </w:r>
      <w:r w:rsidR="0068658C">
        <w:rPr>
          <w:noProof/>
        </w:rPr>
        <w:t>3</w:t>
      </w:r>
      <w:r w:rsidR="0054411D">
        <w:rPr>
          <w:noProof/>
        </w:rPr>
        <w:fldChar w:fldCharType="end"/>
      </w:r>
      <w:bookmarkEnd w:id="79"/>
      <w:r w:rsidR="006B68C9" w:rsidRPr="00DC3735">
        <w:tab/>
        <w:t xml:space="preserve">Indirect comparison of the effectiveness of </w:t>
      </w:r>
      <w:r w:rsidR="006B68C9" w:rsidRPr="008570E4">
        <w:t>pembrolizumab</w:t>
      </w:r>
      <w:r w:rsidR="006B68C9" w:rsidRPr="00DC3735">
        <w:t xml:space="preserve"> </w:t>
      </w:r>
      <w:r w:rsidR="006A07F8">
        <w:t xml:space="preserve">versus standard of care </w:t>
      </w:r>
      <w:r w:rsidR="006B68C9" w:rsidRPr="00DC3735">
        <w:t>in dMMR CRC compared with dMMR pan-tumours</w:t>
      </w:r>
      <w:r w:rsidR="006A07F8">
        <w:t xml:space="preserve"> (A) and standard of care treatment options in biomarker unselected populations</w:t>
      </w:r>
      <w:bookmarkEnd w:id="80"/>
    </w:p>
    <w:p w14:paraId="080AF321" w14:textId="73E01AAC" w:rsidR="00262E87" w:rsidRDefault="00DA1289" w:rsidP="008570E4">
      <w:pPr>
        <w:pStyle w:val="Tablenotes0"/>
      </w:pPr>
      <w:r>
        <w:t xml:space="preserve">CI = confidence interval; CRC = colorectal cancer; dMMR = </w:t>
      </w:r>
      <w:r w:rsidRPr="008570E4">
        <w:t>mismatch</w:t>
      </w:r>
      <w:r>
        <w:t xml:space="preserve"> repair deficiency; MSI-H = high microsatellite instability; OS = overall survival; RCT = randomised controlled trial</w:t>
      </w:r>
    </w:p>
    <w:p w14:paraId="65998BC6" w14:textId="6D38F575" w:rsidR="00FC7E02" w:rsidRDefault="00FC7E02" w:rsidP="00FC7E02">
      <w:pPr>
        <w:tabs>
          <w:tab w:val="left" w:pos="2268"/>
        </w:tabs>
        <w:spacing w:after="240" w:line="312" w:lineRule="auto"/>
        <w:rPr>
          <w:bCs/>
        </w:rPr>
      </w:pPr>
      <w:r>
        <w:rPr>
          <w:bCs/>
        </w:rPr>
        <w:lastRenderedPageBreak/>
        <w:t>However, i</w:t>
      </w:r>
      <w:r w:rsidRPr="006A04AC">
        <w:rPr>
          <w:bCs/>
        </w:rPr>
        <w:t xml:space="preserve">f </w:t>
      </w:r>
      <w:r>
        <w:rPr>
          <w:bCs/>
        </w:rPr>
        <w:t>pembrolizumab is</w:t>
      </w:r>
      <w:r w:rsidRPr="006A04AC">
        <w:rPr>
          <w:bCs/>
        </w:rPr>
        <w:t xml:space="preserve"> to be </w:t>
      </w:r>
      <w:r>
        <w:rPr>
          <w:bCs/>
        </w:rPr>
        <w:t xml:space="preserve">offered as </w:t>
      </w:r>
      <w:r w:rsidRPr="006A04AC">
        <w:rPr>
          <w:bCs/>
        </w:rPr>
        <w:t>last-line</w:t>
      </w:r>
      <w:r>
        <w:rPr>
          <w:bCs/>
        </w:rPr>
        <w:t xml:space="preserve"> therapy</w:t>
      </w:r>
      <w:r w:rsidR="008B342A">
        <w:rPr>
          <w:bCs/>
        </w:rPr>
        <w:t xml:space="preserve"> rather than second-line therapy</w:t>
      </w:r>
      <w:r>
        <w:rPr>
          <w:bCs/>
        </w:rPr>
        <w:t xml:space="preserve">, </w:t>
      </w:r>
      <w:r w:rsidR="008B342A">
        <w:rPr>
          <w:bCs/>
        </w:rPr>
        <w:t xml:space="preserve">then </w:t>
      </w:r>
      <w:r w:rsidRPr="006A04AC">
        <w:rPr>
          <w:bCs/>
        </w:rPr>
        <w:t xml:space="preserve">this </w:t>
      </w:r>
      <w:r>
        <w:rPr>
          <w:bCs/>
        </w:rPr>
        <w:t xml:space="preserve">unadjusted indirect </w:t>
      </w:r>
      <w:r w:rsidRPr="006A04AC">
        <w:rPr>
          <w:bCs/>
        </w:rPr>
        <w:t xml:space="preserve">comparison </w:t>
      </w:r>
      <w:r>
        <w:rPr>
          <w:bCs/>
        </w:rPr>
        <w:t>may</w:t>
      </w:r>
      <w:r w:rsidRPr="006A04AC">
        <w:rPr>
          <w:bCs/>
        </w:rPr>
        <w:t xml:space="preserve"> be sufficient</w:t>
      </w:r>
      <w:r>
        <w:rPr>
          <w:bCs/>
        </w:rPr>
        <w:t>, as all cancers would be terminal and the comparator would be the same (palliative care) across all pan-tumour patients. The comparison would essentially be adjusted for a common reference (comparator), standardising the incremental benefit across tumour types</w:t>
      </w:r>
      <w:r w:rsidRPr="006A04AC">
        <w:rPr>
          <w:bCs/>
        </w:rPr>
        <w:t>.</w:t>
      </w:r>
    </w:p>
    <w:p w14:paraId="3F6A80E8" w14:textId="6731BAAE" w:rsidR="00262E87" w:rsidRDefault="004A6B42" w:rsidP="00262E87">
      <w:pPr>
        <w:tabs>
          <w:tab w:val="left" w:pos="2268"/>
        </w:tabs>
        <w:spacing w:after="240" w:line="312" w:lineRule="auto"/>
        <w:rPr>
          <w:bCs/>
        </w:rPr>
      </w:pPr>
      <w:r>
        <w:rPr>
          <w:bCs/>
        </w:rPr>
        <w:t xml:space="preserve">It is also likely that determining </w:t>
      </w:r>
      <w:r w:rsidR="00FC084C">
        <w:rPr>
          <w:bCs/>
        </w:rPr>
        <w:t>the incremental harm of forgoing potentially beneficial treatment in false-positive patients</w:t>
      </w:r>
      <w:r>
        <w:rPr>
          <w:bCs/>
        </w:rPr>
        <w:t xml:space="preserve"> will be equally as difficult</w:t>
      </w:r>
      <w:r w:rsidR="00262E87">
        <w:rPr>
          <w:bCs/>
        </w:rPr>
        <w:t>.</w:t>
      </w:r>
      <w:r>
        <w:rPr>
          <w:bCs/>
        </w:rPr>
        <w:t xml:space="preserve"> Whereas information on the effectiveness of the various standard of care treatment options </w:t>
      </w:r>
      <w:r w:rsidR="00CC6AB6">
        <w:rPr>
          <w:bCs/>
        </w:rPr>
        <w:t>is</w:t>
      </w:r>
      <w:r>
        <w:rPr>
          <w:bCs/>
        </w:rPr>
        <w:t xml:space="preserve"> likely to be available in a biomarker-unselected population, there may be no information about the effectiveness of pembrolizumab in biomarker-negative patients.</w:t>
      </w:r>
    </w:p>
    <w:p w14:paraId="580653C5" w14:textId="77777777" w:rsidR="008B5E06" w:rsidRPr="00452DF6" w:rsidRDefault="008B5E06" w:rsidP="008B5E06">
      <w:pPr>
        <w:pStyle w:val="Heading2"/>
        <w:spacing w:line="312" w:lineRule="auto"/>
      </w:pPr>
      <w:bookmarkStart w:id="81" w:name="_Toc29557673"/>
      <w:r w:rsidRPr="00452DF6">
        <w:t>Comparative costs</w:t>
      </w:r>
      <w:bookmarkEnd w:id="81"/>
    </w:p>
    <w:p w14:paraId="528C2128" w14:textId="487AA0C5" w:rsidR="008262D2" w:rsidRDefault="008F6DB1" w:rsidP="008B5E06">
      <w:pPr>
        <w:spacing w:after="240" w:line="312" w:lineRule="auto"/>
      </w:pPr>
      <w:r>
        <w:t xml:space="preserve">Although it is estimated that only 4% of Stage IV CRC patients will have dMMR tumours, </w:t>
      </w:r>
      <w:r w:rsidR="0085597C">
        <w:t xml:space="preserve">the cost of </w:t>
      </w:r>
      <w:r w:rsidRPr="00452DF6">
        <w:t>testing in this population</w:t>
      </w:r>
      <w:r w:rsidR="0085597C">
        <w:t xml:space="preserve"> will not increase greatly</w:t>
      </w:r>
      <w:r>
        <w:t xml:space="preserve"> because many patients are already tested for both diagnostic (Lynch syndrome) and prognostic (sensitivity </w:t>
      </w:r>
      <w:r w:rsidR="008262D2">
        <w:t xml:space="preserve">of Stage II CRC </w:t>
      </w:r>
      <w:r>
        <w:t>to</w:t>
      </w:r>
      <w:r w:rsidR="008262D2" w:rsidRPr="008262D2">
        <w:t xml:space="preserve"> fluorouracil-based chemotherapy</w:t>
      </w:r>
      <w:r w:rsidR="008262D2">
        <w:t xml:space="preserve">) purposes. </w:t>
      </w:r>
      <w:r w:rsidR="0085597C">
        <w:t>F</w:t>
      </w:r>
      <w:r w:rsidR="008262D2">
        <w:t xml:space="preserve">or patients with </w:t>
      </w:r>
      <w:r w:rsidR="008B5E06" w:rsidRPr="00452DF6">
        <w:t xml:space="preserve">other </w:t>
      </w:r>
      <w:r w:rsidR="008262D2">
        <w:t>solid tumour</w:t>
      </w:r>
      <w:r w:rsidR="008B5E06" w:rsidRPr="00452DF6">
        <w:t xml:space="preserve"> types</w:t>
      </w:r>
      <w:r w:rsidR="008262D2">
        <w:t>,</w:t>
      </w:r>
      <w:r w:rsidR="008B5E06" w:rsidRPr="00452DF6">
        <w:t xml:space="preserve"> </w:t>
      </w:r>
      <w:r w:rsidR="009B333C">
        <w:t xml:space="preserve">who are currently not tested, </w:t>
      </w:r>
      <w:r w:rsidR="008262D2">
        <w:t xml:space="preserve">a </w:t>
      </w:r>
      <w:r w:rsidR="008B5E06" w:rsidRPr="00452DF6">
        <w:t xml:space="preserve">large number of patients will need to be tested </w:t>
      </w:r>
      <w:r w:rsidR="008B5E06">
        <w:t>to identify</w:t>
      </w:r>
      <w:r w:rsidR="008B5E06" w:rsidRPr="00452DF6">
        <w:t xml:space="preserve"> the small proportion of patients </w:t>
      </w:r>
      <w:r w:rsidR="009B333C">
        <w:t>with</w:t>
      </w:r>
      <w:r w:rsidR="008B5E06">
        <w:t xml:space="preserve"> </w:t>
      </w:r>
      <w:r w:rsidR="009B333C">
        <w:t>d</w:t>
      </w:r>
      <w:r w:rsidR="009B333C" w:rsidRPr="00452DF6">
        <w:t>MMR</w:t>
      </w:r>
      <w:r w:rsidR="009B333C">
        <w:t xml:space="preserve"> </w:t>
      </w:r>
      <w:r w:rsidR="008B5E06">
        <w:t>tumours</w:t>
      </w:r>
      <w:r w:rsidR="00FD755E">
        <w:t xml:space="preserve"> who would be</w:t>
      </w:r>
      <w:r w:rsidR="008B5E06">
        <w:t xml:space="preserve"> </w:t>
      </w:r>
      <w:r w:rsidR="008B5E06" w:rsidRPr="00452DF6">
        <w:t>eligible for pembrolizumab</w:t>
      </w:r>
      <w:r w:rsidR="008262D2">
        <w:t>. Thus, the</w:t>
      </w:r>
      <w:r w:rsidR="0085597C">
        <w:t xml:space="preserve"> costs </w:t>
      </w:r>
      <w:r w:rsidR="005C2F3A">
        <w:t xml:space="preserve">of testing </w:t>
      </w:r>
      <w:r w:rsidR="0085597C">
        <w:t>will</w:t>
      </w:r>
      <w:r w:rsidR="008B5E06" w:rsidRPr="00452DF6">
        <w:t xml:space="preserve"> greatly</w:t>
      </w:r>
      <w:r w:rsidR="008262D2">
        <w:t xml:space="preserve"> </w:t>
      </w:r>
      <w:r w:rsidR="0085597C">
        <w:t xml:space="preserve">increase </w:t>
      </w:r>
      <w:r w:rsidR="008262D2">
        <w:t xml:space="preserve">for </w:t>
      </w:r>
      <w:r w:rsidR="0085597C">
        <w:t xml:space="preserve">the </w:t>
      </w:r>
      <w:r w:rsidR="008262D2">
        <w:t>pan-tumour application</w:t>
      </w:r>
      <w:r w:rsidR="008B5E06" w:rsidRPr="00452DF6">
        <w:t>.</w:t>
      </w:r>
    </w:p>
    <w:p w14:paraId="7AA9846F" w14:textId="77777777" w:rsidR="00733487" w:rsidRDefault="009B333C" w:rsidP="002E4DD3">
      <w:pPr>
        <w:tabs>
          <w:tab w:val="left" w:pos="2268"/>
        </w:tabs>
        <w:spacing w:after="240" w:line="312" w:lineRule="auto"/>
      </w:pPr>
      <w:r>
        <w:t>To determine the total cost of the test per positive result, t</w:t>
      </w:r>
      <w:r w:rsidR="002E4DD3">
        <w:t xml:space="preserve">he number needed to </w:t>
      </w:r>
      <w:r w:rsidR="003E2E6E">
        <w:t>screen (</w:t>
      </w:r>
      <w:r w:rsidR="002E4DD3">
        <w:t>test</w:t>
      </w:r>
      <w:r w:rsidR="003E2E6E">
        <w:t>)</w:t>
      </w:r>
      <w:r w:rsidR="002E4DD3">
        <w:t xml:space="preserve"> to detect one biomarker-positive patient </w:t>
      </w:r>
      <w:r>
        <w:t>can be calculated. This i</w:t>
      </w:r>
      <w:r w:rsidR="002E4DD3">
        <w:t xml:space="preserve">s defined as the total number of patients tested divided by the number of patients who tested positive. This was estimated for the tumour types listed in </w:t>
      </w:r>
      <w:r w:rsidR="002E4DD3">
        <w:fldChar w:fldCharType="begin"/>
      </w:r>
      <w:r w:rsidR="002E4DD3">
        <w:instrText xml:space="preserve"> REF _Ref497999343 \h </w:instrText>
      </w:r>
      <w:r w:rsidR="002E4DD3">
        <w:fldChar w:fldCharType="separate"/>
      </w:r>
      <w:r w:rsidR="0068658C">
        <w:t xml:space="preserve">Table </w:t>
      </w:r>
      <w:r w:rsidR="0068658C">
        <w:rPr>
          <w:noProof/>
        </w:rPr>
        <w:t>4</w:t>
      </w:r>
      <w:r w:rsidR="002E4DD3">
        <w:fldChar w:fldCharType="end"/>
      </w:r>
      <w:r w:rsidR="003E2E6E">
        <w:t xml:space="preserve">, using the data presented in </w:t>
      </w:r>
      <w:r w:rsidR="003E2E6E">
        <w:fldChar w:fldCharType="begin"/>
      </w:r>
      <w:r w:rsidR="003E2E6E">
        <w:instrText xml:space="preserve"> REF _Ref497468482 \h </w:instrText>
      </w:r>
      <w:r w:rsidR="003E2E6E">
        <w:fldChar w:fldCharType="separate"/>
      </w:r>
      <w:r w:rsidR="0068658C">
        <w:t xml:space="preserve">Table </w:t>
      </w:r>
      <w:r w:rsidR="0068658C">
        <w:rPr>
          <w:noProof/>
        </w:rPr>
        <w:t>3</w:t>
      </w:r>
      <w:r w:rsidR="003E2E6E">
        <w:fldChar w:fldCharType="end"/>
      </w:r>
      <w:r w:rsidR="002E4DD3">
        <w:t>. The number</w:t>
      </w:r>
      <w:r w:rsidR="00F25B72">
        <w:t>s</w:t>
      </w:r>
      <w:r w:rsidR="002E4DD3">
        <w:t xml:space="preserve"> of patients to be tested were divided by the total number of true positives and false positives eligible for treatment with pembrolizumab (i.e. tested positive). The number needed to screen</w:t>
      </w:r>
      <w:r w:rsidR="002E4DD3" w:rsidRPr="002E4DD3">
        <w:t xml:space="preserve"> to detect one </w:t>
      </w:r>
      <w:r w:rsidR="002E4DD3">
        <w:t>dMMR</w:t>
      </w:r>
      <w:r w:rsidR="002E4DD3" w:rsidRPr="002E4DD3">
        <w:t>-positive patient</w:t>
      </w:r>
      <w:r w:rsidR="004746CA">
        <w:t xml:space="preserve"> ranged from </w:t>
      </w:r>
      <w:r w:rsidR="003E2E6E">
        <w:t>three</w:t>
      </w:r>
      <w:r w:rsidR="004746CA">
        <w:t xml:space="preserve"> to 11 for the different tumour types. This appears to be a reasonable ratio, but it is misleading with respect to the potential effectiveness of the treatment received by these patients. The number needed to screen includes patients with false positive results, who may have experienced harm from receiving an incorrect treatment. </w:t>
      </w:r>
    </w:p>
    <w:p w14:paraId="4BAD8930" w14:textId="544AA151" w:rsidR="002E4DD3" w:rsidRDefault="004746CA" w:rsidP="002E4DD3">
      <w:pPr>
        <w:tabs>
          <w:tab w:val="left" w:pos="2268"/>
        </w:tabs>
        <w:spacing w:after="240" w:line="312" w:lineRule="auto"/>
      </w:pPr>
      <w:r>
        <w:t>In th</w:t>
      </w:r>
      <w:r w:rsidR="003E2E6E">
        <w:t>e</w:t>
      </w:r>
      <w:r>
        <w:t xml:space="preserve"> case</w:t>
      </w:r>
      <w:r w:rsidR="003E2E6E">
        <w:t xml:space="preserve"> of pan-tumour applications with low prevalence rates</w:t>
      </w:r>
      <w:r>
        <w:t xml:space="preserve">, the number needed to screen to identify one true positive patient </w:t>
      </w:r>
      <w:r w:rsidR="003E2E6E">
        <w:t xml:space="preserve">who would benefit from targeted treatment </w:t>
      </w:r>
      <w:r>
        <w:t xml:space="preserve">may be </w:t>
      </w:r>
      <w:r w:rsidR="00874F07">
        <w:t xml:space="preserve">a </w:t>
      </w:r>
      <w:r>
        <w:t>more appropriate</w:t>
      </w:r>
      <w:r w:rsidR="003E2E6E">
        <w:t xml:space="preserve"> </w:t>
      </w:r>
      <w:r w:rsidR="00874F07">
        <w:t xml:space="preserve">measure by which </w:t>
      </w:r>
      <w:r w:rsidR="003E2E6E">
        <w:t>to balance testing and treatment outcomes</w:t>
      </w:r>
      <w:r>
        <w:t xml:space="preserve">. As shown in </w:t>
      </w:r>
      <w:r>
        <w:fldChar w:fldCharType="begin"/>
      </w:r>
      <w:r>
        <w:instrText xml:space="preserve"> REF _Ref497999343 \h </w:instrText>
      </w:r>
      <w:r>
        <w:fldChar w:fldCharType="separate"/>
      </w:r>
      <w:r w:rsidR="0068658C">
        <w:t xml:space="preserve">Table </w:t>
      </w:r>
      <w:r w:rsidR="0068658C">
        <w:rPr>
          <w:noProof/>
        </w:rPr>
        <w:t>4</w:t>
      </w:r>
      <w:r>
        <w:fldChar w:fldCharType="end"/>
      </w:r>
      <w:r>
        <w:t xml:space="preserve">, this number ranged from </w:t>
      </w:r>
      <w:r w:rsidR="003E2E6E">
        <w:t>three</w:t>
      </w:r>
      <w:r>
        <w:t xml:space="preserve"> to 37 for </w:t>
      </w:r>
      <w:r w:rsidR="003E2E6E">
        <w:t>all</w:t>
      </w:r>
      <w:r>
        <w:t xml:space="preserve"> tumour types </w:t>
      </w:r>
      <w:r w:rsidR="003E2E6E">
        <w:t xml:space="preserve">listed, </w:t>
      </w:r>
      <w:r>
        <w:t>except breast cancer and lung cancer, which w</w:t>
      </w:r>
      <w:r w:rsidR="00874F07">
        <w:t>ere</w:t>
      </w:r>
      <w:r>
        <w:t xml:space="preserve"> </w:t>
      </w:r>
      <w:r w:rsidR="003E2E6E">
        <w:t xml:space="preserve">much higher at </w:t>
      </w:r>
      <w:r>
        <w:t xml:space="preserve">110. Thus, </w:t>
      </w:r>
      <w:r w:rsidR="003E2E6E">
        <w:t>although one out of every 11 patients with breast or lung cancer who were tested w</w:t>
      </w:r>
      <w:r w:rsidR="00F25B72">
        <w:t>ould be</w:t>
      </w:r>
      <w:r w:rsidR="003E2E6E">
        <w:t xml:space="preserve"> dMMR-positive and treated with pembrolizumab, </w:t>
      </w:r>
      <w:r>
        <w:t xml:space="preserve">only one out of every 110 </w:t>
      </w:r>
      <w:r w:rsidR="003E2E6E">
        <w:t xml:space="preserve">patients </w:t>
      </w:r>
      <w:r>
        <w:t xml:space="preserve">who were tested </w:t>
      </w:r>
      <w:r w:rsidR="00F25B72">
        <w:t xml:space="preserve">would </w:t>
      </w:r>
      <w:r>
        <w:t>truly ha</w:t>
      </w:r>
      <w:r w:rsidR="00F25B72">
        <w:t>ve</w:t>
      </w:r>
      <w:r>
        <w:t xml:space="preserve"> the dMMR biomarker</w:t>
      </w:r>
      <w:r w:rsidR="00874F07">
        <w:t xml:space="preserve"> and would expect to benefit </w:t>
      </w:r>
      <w:r w:rsidR="00874F07">
        <w:lastRenderedPageBreak/>
        <w:t>from treatment</w:t>
      </w:r>
      <w:r>
        <w:t>.</w:t>
      </w:r>
      <w:r w:rsidR="003E2E6E">
        <w:t xml:space="preserve"> This may have serious consequences for the cost-effectiveness of the treatment as well as for the test.</w:t>
      </w:r>
    </w:p>
    <w:p w14:paraId="638880E4" w14:textId="77777777" w:rsidR="00733487" w:rsidRPr="00733487" w:rsidRDefault="00733487" w:rsidP="00733487">
      <w:pPr>
        <w:tabs>
          <w:tab w:val="left" w:pos="2268"/>
        </w:tabs>
        <w:spacing w:after="240" w:line="312" w:lineRule="auto"/>
      </w:pPr>
      <w:r w:rsidRPr="00733487">
        <w:t>It may be possible to minimise the cost of IHC dMMR testing in tumours with low dMMR prevalence rates by implementing a triage plan that takes into account the histopathology (eg. high numbers of tumour infiltrating lymphocytes, triple-negative breast cancer) and the genetic profile of the tumour (eg. BRAF, EGFR, BRCA1/2, ALK, RAS mutational status) and the availability of other targeted and non-targeted treatment options. Although the use of confirmatory MSI-H or MS-MLPA testing of IHC dMMR-positive tumours will increase costs, the benefit to the patients not receiving inappropriate treatment may outweigh this additional cost.</w:t>
      </w:r>
    </w:p>
    <w:p w14:paraId="170636F2" w14:textId="7FC34233" w:rsidR="008E7315" w:rsidRPr="003E2E6E" w:rsidRDefault="008E7315" w:rsidP="008E7315">
      <w:pPr>
        <w:rPr>
          <w:rFonts w:eastAsia="Calibri"/>
          <w:lang w:eastAsia="en-US"/>
        </w:rPr>
      </w:pPr>
      <w:r w:rsidRPr="008E7315">
        <w:rPr>
          <w:rFonts w:eastAsia="Calibri"/>
          <w:lang w:eastAsia="en-US"/>
        </w:rPr>
        <w:t>The costs due to potential re-biopsy and any complications arising have not been considered here as dMMR testing in CRC is perfor</w:t>
      </w:r>
      <w:r>
        <w:rPr>
          <w:rFonts w:eastAsia="Calibri"/>
          <w:lang w:eastAsia="en-US"/>
        </w:rPr>
        <w:t xml:space="preserve">med at diagnosis/presentation. </w:t>
      </w:r>
      <w:r w:rsidRPr="008E7315">
        <w:rPr>
          <w:rFonts w:eastAsia="Calibri"/>
          <w:lang w:eastAsia="en-US"/>
        </w:rPr>
        <w:t>However, this would potentially be an additional cost f</w:t>
      </w:r>
      <w:r>
        <w:rPr>
          <w:rFonts w:eastAsia="Calibri"/>
          <w:lang w:eastAsia="en-US"/>
        </w:rPr>
        <w:t>or testing in non-CRC tumours</w:t>
      </w:r>
      <w:r w:rsidR="00D372D9">
        <w:rPr>
          <w:rFonts w:eastAsia="Calibri"/>
          <w:lang w:eastAsia="en-US"/>
        </w:rPr>
        <w:t xml:space="preserve"> where dMMR testing may not have been performed at diagnosis/presentation</w:t>
      </w:r>
      <w:r>
        <w:rPr>
          <w:rFonts w:eastAsia="Calibri"/>
          <w:lang w:eastAsia="en-US"/>
        </w:rPr>
        <w:t>.</w:t>
      </w:r>
    </w:p>
    <w:p w14:paraId="44CFC609" w14:textId="4D9329CB" w:rsidR="00005647" w:rsidRPr="00941922" w:rsidRDefault="00005647" w:rsidP="00684BA4">
      <w:pPr>
        <w:pStyle w:val="TableHeading"/>
      </w:pPr>
      <w:bookmarkStart w:id="82" w:name="_Ref497999343"/>
      <w:bookmarkStart w:id="83" w:name="_Toc29557678"/>
      <w:r>
        <w:t xml:space="preserve">Table </w:t>
      </w:r>
      <w:r w:rsidR="0054411D">
        <w:rPr>
          <w:noProof/>
        </w:rPr>
        <w:fldChar w:fldCharType="begin"/>
      </w:r>
      <w:r w:rsidR="0054411D">
        <w:rPr>
          <w:noProof/>
        </w:rPr>
        <w:instrText xml:space="preserve"> SEQ Table \* ARABIC </w:instrText>
      </w:r>
      <w:r w:rsidR="0054411D">
        <w:rPr>
          <w:noProof/>
        </w:rPr>
        <w:fldChar w:fldCharType="separate"/>
      </w:r>
      <w:r w:rsidR="0068658C">
        <w:rPr>
          <w:noProof/>
        </w:rPr>
        <w:t>4</w:t>
      </w:r>
      <w:r w:rsidR="0054411D">
        <w:rPr>
          <w:noProof/>
        </w:rPr>
        <w:fldChar w:fldCharType="end"/>
      </w:r>
      <w:bookmarkEnd w:id="82"/>
      <w:r w:rsidRPr="00941922">
        <w:tab/>
      </w:r>
      <w:r>
        <w:t xml:space="preserve">Number </w:t>
      </w:r>
      <w:r w:rsidRPr="00005647">
        <w:t xml:space="preserve">needed to </w:t>
      </w:r>
      <w:r w:rsidR="003714F9">
        <w:t>screen</w:t>
      </w:r>
      <w:r w:rsidRPr="00005647">
        <w:t xml:space="preserve"> to detect one patient </w:t>
      </w:r>
      <w:r>
        <w:t xml:space="preserve">with a dMMR IHC positive test result </w:t>
      </w:r>
      <w:r w:rsidRPr="00F36CBE">
        <w:t>f</w:t>
      </w:r>
      <w:r>
        <w:t>or</w:t>
      </w:r>
      <w:r w:rsidRPr="00F36CBE">
        <w:t xml:space="preserve"> </w:t>
      </w:r>
      <w:r>
        <w:t>various non-CRC solid tumours</w:t>
      </w:r>
      <w:bookmarkEnd w:id="83"/>
    </w:p>
    <w:tbl>
      <w:tblPr>
        <w:tblStyle w:val="TableGrid4"/>
        <w:tblW w:w="8803" w:type="dxa"/>
        <w:tblLook w:val="04A0" w:firstRow="1" w:lastRow="0" w:firstColumn="1" w:lastColumn="0" w:noHBand="0" w:noVBand="1"/>
        <w:tblCaption w:val="Number needed to screen to detect one patient with a dMMR IHC positive test results for various non-CRC solid tumours"/>
        <w:tblDescription w:val="reports the number needed to screen to detect one patient with a dMMR IHC positive test result, and to detect one truly dMMR positive patient for various non-CRC solid tumours"/>
      </w:tblPr>
      <w:tblGrid>
        <w:gridCol w:w="1913"/>
        <w:gridCol w:w="1129"/>
        <w:gridCol w:w="1348"/>
        <w:gridCol w:w="1559"/>
        <w:gridCol w:w="1559"/>
        <w:gridCol w:w="1295"/>
      </w:tblGrid>
      <w:tr w:rsidR="003714F9" w:rsidRPr="00F36CBE" w14:paraId="044483AD" w14:textId="77777777" w:rsidTr="003714F9">
        <w:trPr>
          <w:tblHeader/>
        </w:trPr>
        <w:tc>
          <w:tcPr>
            <w:tcW w:w="1913" w:type="dxa"/>
            <w:tcBorders>
              <w:bottom w:val="single" w:sz="4" w:space="0" w:color="auto"/>
            </w:tcBorders>
          </w:tcPr>
          <w:p w14:paraId="71ED20F5" w14:textId="77777777" w:rsidR="003714F9" w:rsidRPr="00F36CBE" w:rsidRDefault="003714F9" w:rsidP="0085597C">
            <w:pPr>
              <w:keepNext/>
              <w:spacing w:before="40" w:after="40"/>
              <w:rPr>
                <w:rFonts w:ascii="Arial Narrow" w:eastAsia="Calibri" w:hAnsi="Arial Narrow" w:cs="Times New Roman"/>
                <w:b/>
                <w:sz w:val="20"/>
                <w:lang w:eastAsia="en-US"/>
              </w:rPr>
            </w:pPr>
            <w:r w:rsidRPr="00F36CBE">
              <w:rPr>
                <w:rFonts w:ascii="Arial Narrow" w:eastAsia="Calibri" w:hAnsi="Arial Narrow" w:cs="Times New Roman"/>
                <w:b/>
                <w:sz w:val="20"/>
                <w:lang w:eastAsia="en-US"/>
              </w:rPr>
              <w:t xml:space="preserve">Carcinoma </w:t>
            </w:r>
          </w:p>
        </w:tc>
        <w:tc>
          <w:tcPr>
            <w:tcW w:w="1129" w:type="dxa"/>
            <w:tcBorders>
              <w:bottom w:val="single" w:sz="4" w:space="0" w:color="auto"/>
            </w:tcBorders>
          </w:tcPr>
          <w:p w14:paraId="3116411B" w14:textId="77777777" w:rsidR="003714F9" w:rsidRPr="00F36CBE" w:rsidRDefault="003714F9" w:rsidP="0085597C">
            <w:pPr>
              <w:keepNext/>
              <w:spacing w:before="40" w:after="40"/>
              <w:jc w:val="center"/>
              <w:rPr>
                <w:rFonts w:ascii="Arial Narrow" w:eastAsia="Calibri" w:hAnsi="Arial Narrow" w:cs="Times New Roman"/>
                <w:b/>
                <w:sz w:val="20"/>
                <w:lang w:eastAsia="en-US"/>
              </w:rPr>
            </w:pPr>
            <w:r>
              <w:rPr>
                <w:rFonts w:ascii="Arial Narrow" w:eastAsia="Calibri" w:hAnsi="Arial Narrow" w:cs="Times New Roman"/>
                <w:b/>
                <w:sz w:val="20"/>
                <w:lang w:eastAsia="en-US"/>
              </w:rPr>
              <w:t>dMMR prevalence</w:t>
            </w:r>
          </w:p>
        </w:tc>
        <w:tc>
          <w:tcPr>
            <w:tcW w:w="1348" w:type="dxa"/>
            <w:tcBorders>
              <w:bottom w:val="single" w:sz="4" w:space="0" w:color="auto"/>
            </w:tcBorders>
          </w:tcPr>
          <w:p w14:paraId="3DCC6414" w14:textId="07133034" w:rsidR="003714F9" w:rsidRPr="00F36CBE" w:rsidRDefault="003714F9" w:rsidP="0085597C">
            <w:pPr>
              <w:keepNext/>
              <w:spacing w:before="40" w:after="40"/>
              <w:jc w:val="center"/>
              <w:rPr>
                <w:rFonts w:ascii="Arial Narrow" w:eastAsia="Calibri" w:hAnsi="Arial Narrow" w:cs="Times New Roman"/>
                <w:b/>
                <w:sz w:val="20"/>
                <w:lang w:eastAsia="en-US"/>
              </w:rPr>
            </w:pPr>
            <w:r w:rsidRPr="00F36CBE">
              <w:rPr>
                <w:rFonts w:ascii="Arial Narrow" w:eastAsia="Calibri" w:hAnsi="Arial Narrow" w:cs="Times New Roman"/>
                <w:b/>
                <w:sz w:val="20"/>
                <w:lang w:eastAsia="en-US"/>
              </w:rPr>
              <w:t xml:space="preserve">Number of </w:t>
            </w:r>
            <w:r w:rsidR="00400E31">
              <w:rPr>
                <w:rFonts w:ascii="Arial Narrow" w:eastAsia="Calibri" w:hAnsi="Arial Narrow" w:cs="Times New Roman"/>
                <w:b/>
                <w:sz w:val="20"/>
                <w:lang w:eastAsia="en-US"/>
              </w:rPr>
              <w:t xml:space="preserve">Stage IV </w:t>
            </w:r>
            <w:r w:rsidRPr="00F36CBE">
              <w:rPr>
                <w:rFonts w:ascii="Arial Narrow" w:eastAsia="Calibri" w:hAnsi="Arial Narrow" w:cs="Times New Roman"/>
                <w:b/>
                <w:sz w:val="20"/>
                <w:lang w:eastAsia="en-US"/>
              </w:rPr>
              <w:t>patients</w:t>
            </w:r>
            <w:r w:rsidR="00400E31">
              <w:rPr>
                <w:rFonts w:ascii="Arial Narrow" w:eastAsia="Calibri" w:hAnsi="Arial Narrow" w:cs="Times New Roman"/>
                <w:b/>
                <w:sz w:val="20"/>
                <w:lang w:eastAsia="en-US"/>
              </w:rPr>
              <w:t xml:space="preserve"> </w:t>
            </w:r>
            <w:r>
              <w:rPr>
                <w:rFonts w:ascii="Arial Narrow" w:eastAsia="Calibri" w:hAnsi="Arial Narrow" w:cs="Times New Roman"/>
                <w:b/>
                <w:sz w:val="20"/>
                <w:lang w:eastAsia="en-US"/>
              </w:rPr>
              <w:t>(TPs)</w:t>
            </w:r>
          </w:p>
        </w:tc>
        <w:tc>
          <w:tcPr>
            <w:tcW w:w="1559" w:type="dxa"/>
            <w:tcBorders>
              <w:bottom w:val="single" w:sz="4" w:space="0" w:color="auto"/>
            </w:tcBorders>
          </w:tcPr>
          <w:p w14:paraId="610346EF" w14:textId="1DF9CFD3" w:rsidR="003714F9" w:rsidRPr="00F36CBE" w:rsidRDefault="003714F9" w:rsidP="0085597C">
            <w:pPr>
              <w:keepNext/>
              <w:spacing w:before="40" w:after="40"/>
              <w:jc w:val="center"/>
              <w:rPr>
                <w:rFonts w:ascii="Arial Narrow" w:eastAsia="Calibri" w:hAnsi="Arial Narrow" w:cs="Times New Roman"/>
                <w:b/>
                <w:sz w:val="20"/>
                <w:lang w:eastAsia="en-US"/>
              </w:rPr>
            </w:pPr>
            <w:r>
              <w:rPr>
                <w:rFonts w:ascii="Arial Narrow" w:eastAsia="Calibri" w:hAnsi="Arial Narrow" w:cs="Times New Roman"/>
                <w:b/>
                <w:sz w:val="20"/>
                <w:lang w:eastAsia="en-US"/>
              </w:rPr>
              <w:t>Total number of TP:FP eligible for treatment</w:t>
            </w:r>
          </w:p>
        </w:tc>
        <w:tc>
          <w:tcPr>
            <w:tcW w:w="1559" w:type="dxa"/>
            <w:tcBorders>
              <w:bottom w:val="single" w:sz="4" w:space="0" w:color="auto"/>
            </w:tcBorders>
          </w:tcPr>
          <w:p w14:paraId="652820BD" w14:textId="1BED3B29" w:rsidR="003714F9" w:rsidRPr="00F36CBE" w:rsidRDefault="003714F9" w:rsidP="0085597C">
            <w:pPr>
              <w:keepNext/>
              <w:spacing w:before="40" w:after="40"/>
              <w:jc w:val="center"/>
              <w:rPr>
                <w:rFonts w:ascii="Arial Narrow" w:eastAsia="Calibri" w:hAnsi="Arial Narrow" w:cs="Times New Roman"/>
                <w:b/>
                <w:sz w:val="20"/>
                <w:lang w:eastAsia="en-US"/>
              </w:rPr>
            </w:pPr>
            <w:r>
              <w:rPr>
                <w:rFonts w:ascii="Arial Narrow" w:eastAsia="Calibri" w:hAnsi="Arial Narrow" w:cs="Times New Roman"/>
                <w:b/>
                <w:sz w:val="20"/>
                <w:lang w:eastAsia="en-US"/>
              </w:rPr>
              <w:t>NNS to detect one test-positive patients</w:t>
            </w:r>
          </w:p>
        </w:tc>
        <w:tc>
          <w:tcPr>
            <w:tcW w:w="1295" w:type="dxa"/>
            <w:tcBorders>
              <w:bottom w:val="single" w:sz="4" w:space="0" w:color="auto"/>
            </w:tcBorders>
          </w:tcPr>
          <w:p w14:paraId="066FA61E" w14:textId="12FDC308" w:rsidR="003714F9" w:rsidRDefault="003714F9" w:rsidP="0085597C">
            <w:pPr>
              <w:keepNext/>
              <w:spacing w:before="40" w:after="40"/>
              <w:jc w:val="center"/>
              <w:rPr>
                <w:rFonts w:ascii="Arial Narrow" w:eastAsia="Calibri" w:hAnsi="Arial Narrow" w:cs="Times New Roman"/>
                <w:b/>
                <w:sz w:val="20"/>
                <w:lang w:eastAsia="en-US"/>
              </w:rPr>
            </w:pPr>
            <w:r>
              <w:rPr>
                <w:rFonts w:ascii="Arial Narrow" w:eastAsia="Calibri" w:hAnsi="Arial Narrow" w:cs="Times New Roman"/>
                <w:b/>
                <w:sz w:val="20"/>
                <w:lang w:eastAsia="en-US"/>
              </w:rPr>
              <w:t>NNS to detect one TP patient</w:t>
            </w:r>
          </w:p>
        </w:tc>
      </w:tr>
      <w:tr w:rsidR="003714F9" w:rsidRPr="00F36CBE" w14:paraId="4DDE0DE6" w14:textId="77777777" w:rsidTr="003714F9">
        <w:tc>
          <w:tcPr>
            <w:tcW w:w="1913" w:type="dxa"/>
          </w:tcPr>
          <w:p w14:paraId="537C2EDB" w14:textId="77777777" w:rsidR="003714F9" w:rsidRPr="00F36CBE" w:rsidRDefault="003714F9" w:rsidP="0085597C">
            <w:pPr>
              <w:keepNext/>
              <w:spacing w:before="40" w:after="40"/>
              <w:rPr>
                <w:rFonts w:ascii="Arial Narrow" w:eastAsia="Calibri" w:hAnsi="Arial Narrow" w:cs="Times New Roman"/>
                <w:sz w:val="20"/>
                <w:lang w:eastAsia="en-US"/>
              </w:rPr>
            </w:pPr>
            <w:r w:rsidRPr="00F36CBE">
              <w:rPr>
                <w:rFonts w:ascii="Arial Narrow" w:eastAsia="Calibri" w:hAnsi="Arial Narrow" w:cs="Times New Roman"/>
                <w:sz w:val="20"/>
                <w:lang w:eastAsia="en-US"/>
              </w:rPr>
              <w:t>Breast cancer</w:t>
            </w:r>
          </w:p>
        </w:tc>
        <w:tc>
          <w:tcPr>
            <w:tcW w:w="1129" w:type="dxa"/>
          </w:tcPr>
          <w:p w14:paraId="5E1E6B70" w14:textId="77777777" w:rsidR="003714F9" w:rsidRPr="00F36CBE" w:rsidRDefault="003714F9" w:rsidP="0085597C">
            <w:pPr>
              <w:keepNext/>
              <w:tabs>
                <w:tab w:val="left" w:pos="743"/>
              </w:tabs>
              <w:spacing w:before="40" w:after="40"/>
              <w:jc w:val="center"/>
              <w:rPr>
                <w:rFonts w:ascii="Arial Narrow" w:eastAsia="Calibri" w:hAnsi="Arial Narrow" w:cs="Times New Roman"/>
                <w:sz w:val="20"/>
                <w:lang w:eastAsia="en-US"/>
              </w:rPr>
            </w:pPr>
            <w:r w:rsidRPr="00F36CBE">
              <w:rPr>
                <w:rFonts w:ascii="Arial Narrow" w:eastAsia="Calibri" w:hAnsi="Arial Narrow" w:cs="Times New Roman"/>
                <w:sz w:val="20"/>
                <w:lang w:eastAsia="en-US"/>
              </w:rPr>
              <w:t>1%</w:t>
            </w:r>
          </w:p>
        </w:tc>
        <w:tc>
          <w:tcPr>
            <w:tcW w:w="1348" w:type="dxa"/>
          </w:tcPr>
          <w:p w14:paraId="500C8665" w14:textId="77777777" w:rsidR="003714F9" w:rsidRPr="00F36CBE" w:rsidRDefault="003714F9" w:rsidP="0085597C">
            <w:pPr>
              <w:keepNext/>
              <w:tabs>
                <w:tab w:val="left" w:pos="743"/>
              </w:tabs>
              <w:spacing w:before="40" w:after="40"/>
              <w:jc w:val="center"/>
              <w:rPr>
                <w:rFonts w:ascii="Arial Narrow" w:eastAsia="Calibri" w:hAnsi="Arial Narrow" w:cs="Times New Roman"/>
                <w:sz w:val="20"/>
                <w:lang w:eastAsia="en-US"/>
              </w:rPr>
            </w:pPr>
            <w:r w:rsidRPr="00F36CBE">
              <w:rPr>
                <w:rFonts w:ascii="Arial Narrow" w:eastAsia="Calibri" w:hAnsi="Arial Narrow" w:cs="Times New Roman"/>
                <w:sz w:val="20"/>
                <w:lang w:eastAsia="en-US"/>
              </w:rPr>
              <w:t>2,521</w:t>
            </w:r>
            <w:r>
              <w:rPr>
                <w:rFonts w:ascii="Arial Narrow" w:eastAsia="Calibri" w:hAnsi="Arial Narrow" w:cs="Times New Roman"/>
                <w:sz w:val="20"/>
                <w:lang w:eastAsia="en-US"/>
              </w:rPr>
              <w:t xml:space="preserve"> (25)</w:t>
            </w:r>
          </w:p>
        </w:tc>
        <w:tc>
          <w:tcPr>
            <w:tcW w:w="1559" w:type="dxa"/>
          </w:tcPr>
          <w:p w14:paraId="0940F60A" w14:textId="13A68608" w:rsidR="003714F9" w:rsidRPr="00F36CBE" w:rsidRDefault="003714F9" w:rsidP="0085597C">
            <w:pPr>
              <w:keepNext/>
              <w:tabs>
                <w:tab w:val="left" w:pos="743"/>
              </w:tabs>
              <w:spacing w:before="40" w:after="40"/>
              <w:jc w:val="center"/>
              <w:rPr>
                <w:rFonts w:ascii="Arial Narrow" w:eastAsia="Calibri" w:hAnsi="Arial Narrow" w:cs="Times New Roman"/>
                <w:sz w:val="20"/>
                <w:lang w:eastAsia="en-US"/>
              </w:rPr>
            </w:pPr>
            <w:r>
              <w:rPr>
                <w:rFonts w:ascii="Arial Narrow" w:eastAsia="Calibri" w:hAnsi="Arial Narrow" w:cs="Times New Roman"/>
                <w:sz w:val="20"/>
                <w:lang w:eastAsia="en-US"/>
              </w:rPr>
              <w:t>23:200</w:t>
            </w:r>
          </w:p>
        </w:tc>
        <w:tc>
          <w:tcPr>
            <w:tcW w:w="1559" w:type="dxa"/>
          </w:tcPr>
          <w:p w14:paraId="0B8CC150" w14:textId="45D4A737" w:rsidR="003714F9" w:rsidRPr="00F36CBE" w:rsidRDefault="003714F9" w:rsidP="0085597C">
            <w:pPr>
              <w:keepNext/>
              <w:tabs>
                <w:tab w:val="left" w:pos="743"/>
              </w:tabs>
              <w:spacing w:before="40" w:after="40"/>
              <w:jc w:val="center"/>
              <w:rPr>
                <w:rFonts w:ascii="Arial Narrow" w:eastAsia="Calibri" w:hAnsi="Arial Narrow" w:cs="Times New Roman"/>
                <w:sz w:val="20"/>
                <w:lang w:eastAsia="en-US"/>
              </w:rPr>
            </w:pPr>
            <w:r>
              <w:rPr>
                <w:rFonts w:ascii="Arial Narrow" w:eastAsia="Calibri" w:hAnsi="Arial Narrow" w:cs="Times New Roman"/>
                <w:sz w:val="20"/>
                <w:lang w:eastAsia="en-US"/>
              </w:rPr>
              <w:t>11</w:t>
            </w:r>
          </w:p>
        </w:tc>
        <w:tc>
          <w:tcPr>
            <w:tcW w:w="1295" w:type="dxa"/>
          </w:tcPr>
          <w:p w14:paraId="1842986B" w14:textId="2B4F3A2C" w:rsidR="003714F9" w:rsidRDefault="003714F9" w:rsidP="0085597C">
            <w:pPr>
              <w:keepNext/>
              <w:tabs>
                <w:tab w:val="left" w:pos="743"/>
              </w:tabs>
              <w:spacing w:before="40" w:after="40"/>
              <w:jc w:val="center"/>
              <w:rPr>
                <w:rFonts w:ascii="Arial Narrow" w:eastAsia="Calibri" w:hAnsi="Arial Narrow" w:cs="Times New Roman"/>
                <w:sz w:val="20"/>
                <w:lang w:eastAsia="en-US"/>
              </w:rPr>
            </w:pPr>
            <w:r>
              <w:rPr>
                <w:rFonts w:ascii="Arial Narrow" w:eastAsia="Calibri" w:hAnsi="Arial Narrow" w:cs="Times New Roman"/>
                <w:sz w:val="20"/>
                <w:lang w:eastAsia="en-US"/>
              </w:rPr>
              <w:t>110</w:t>
            </w:r>
          </w:p>
        </w:tc>
      </w:tr>
      <w:tr w:rsidR="003714F9" w:rsidRPr="00F36CBE" w14:paraId="24EE067D" w14:textId="77777777" w:rsidTr="003714F9">
        <w:tc>
          <w:tcPr>
            <w:tcW w:w="1913" w:type="dxa"/>
          </w:tcPr>
          <w:p w14:paraId="5AC7FFE7" w14:textId="77777777" w:rsidR="003714F9" w:rsidRPr="00F36CBE" w:rsidRDefault="003714F9" w:rsidP="0085597C">
            <w:pPr>
              <w:keepNext/>
              <w:spacing w:before="40" w:after="40"/>
              <w:rPr>
                <w:rFonts w:ascii="Arial Narrow" w:eastAsia="Calibri" w:hAnsi="Arial Narrow" w:cs="Times New Roman"/>
                <w:sz w:val="20"/>
                <w:lang w:eastAsia="en-US"/>
              </w:rPr>
            </w:pPr>
            <w:r w:rsidRPr="00F36CBE">
              <w:rPr>
                <w:rFonts w:ascii="Arial Narrow" w:eastAsia="Calibri" w:hAnsi="Arial Narrow" w:cs="Times New Roman"/>
                <w:sz w:val="20"/>
                <w:lang w:eastAsia="en-US"/>
              </w:rPr>
              <w:t>Prostate cancer</w:t>
            </w:r>
          </w:p>
        </w:tc>
        <w:tc>
          <w:tcPr>
            <w:tcW w:w="1129" w:type="dxa"/>
          </w:tcPr>
          <w:p w14:paraId="45B12878" w14:textId="77777777" w:rsidR="003714F9" w:rsidRPr="00F36CBE" w:rsidRDefault="003714F9" w:rsidP="0085597C">
            <w:pPr>
              <w:keepNext/>
              <w:tabs>
                <w:tab w:val="left" w:pos="743"/>
              </w:tabs>
              <w:spacing w:before="40" w:after="40"/>
              <w:jc w:val="center"/>
              <w:rPr>
                <w:rFonts w:ascii="Arial Narrow" w:eastAsia="Calibri" w:hAnsi="Arial Narrow" w:cs="Times New Roman"/>
                <w:sz w:val="20"/>
                <w:lang w:eastAsia="en-US"/>
              </w:rPr>
            </w:pPr>
            <w:r>
              <w:rPr>
                <w:rFonts w:ascii="Arial Narrow" w:eastAsia="Calibri" w:hAnsi="Arial Narrow" w:cs="Times New Roman"/>
                <w:sz w:val="20"/>
                <w:lang w:eastAsia="en-US"/>
              </w:rPr>
              <w:t>12</w:t>
            </w:r>
            <w:r w:rsidRPr="00F36CBE">
              <w:rPr>
                <w:rFonts w:ascii="Arial Narrow" w:eastAsia="Calibri" w:hAnsi="Arial Narrow" w:cs="Times New Roman"/>
                <w:sz w:val="20"/>
                <w:lang w:eastAsia="en-US"/>
              </w:rPr>
              <w:t>%</w:t>
            </w:r>
          </w:p>
        </w:tc>
        <w:tc>
          <w:tcPr>
            <w:tcW w:w="1348" w:type="dxa"/>
          </w:tcPr>
          <w:p w14:paraId="386A5E7C" w14:textId="77777777" w:rsidR="003714F9" w:rsidRPr="00F36CBE" w:rsidRDefault="003714F9" w:rsidP="0085597C">
            <w:pPr>
              <w:keepNext/>
              <w:tabs>
                <w:tab w:val="left" w:pos="743"/>
              </w:tabs>
              <w:spacing w:before="40" w:after="40"/>
              <w:jc w:val="center"/>
              <w:rPr>
                <w:rFonts w:ascii="Arial Narrow" w:eastAsia="Calibri" w:hAnsi="Arial Narrow" w:cs="Times New Roman"/>
                <w:sz w:val="20"/>
                <w:lang w:eastAsia="en-US"/>
              </w:rPr>
            </w:pPr>
            <w:r w:rsidRPr="00F36CBE">
              <w:rPr>
                <w:rFonts w:ascii="Arial Narrow" w:eastAsia="Calibri" w:hAnsi="Arial Narrow" w:cs="Times New Roman"/>
                <w:sz w:val="20"/>
                <w:lang w:eastAsia="en-US"/>
              </w:rPr>
              <w:t>2,678</w:t>
            </w:r>
            <w:r>
              <w:rPr>
                <w:rFonts w:ascii="Arial Narrow" w:eastAsia="Calibri" w:hAnsi="Arial Narrow" w:cs="Times New Roman"/>
                <w:sz w:val="20"/>
                <w:lang w:eastAsia="en-US"/>
              </w:rPr>
              <w:t xml:space="preserve"> (321)</w:t>
            </w:r>
          </w:p>
        </w:tc>
        <w:tc>
          <w:tcPr>
            <w:tcW w:w="1559" w:type="dxa"/>
          </w:tcPr>
          <w:p w14:paraId="500B7E17" w14:textId="7670931B" w:rsidR="003714F9" w:rsidRPr="00F36CBE" w:rsidRDefault="003714F9" w:rsidP="0085597C">
            <w:pPr>
              <w:keepNext/>
              <w:tabs>
                <w:tab w:val="left" w:pos="743"/>
              </w:tabs>
              <w:spacing w:before="40" w:after="40"/>
              <w:jc w:val="center"/>
              <w:rPr>
                <w:rFonts w:ascii="Arial Narrow" w:eastAsia="Calibri" w:hAnsi="Arial Narrow" w:cs="Times New Roman"/>
                <w:sz w:val="20"/>
                <w:lang w:eastAsia="en-US"/>
              </w:rPr>
            </w:pPr>
            <w:r>
              <w:rPr>
                <w:rFonts w:ascii="Arial Narrow" w:eastAsia="Calibri" w:hAnsi="Arial Narrow" w:cs="Times New Roman"/>
                <w:sz w:val="20"/>
                <w:lang w:eastAsia="en-US"/>
              </w:rPr>
              <w:t>292:188</w:t>
            </w:r>
          </w:p>
        </w:tc>
        <w:tc>
          <w:tcPr>
            <w:tcW w:w="1559" w:type="dxa"/>
          </w:tcPr>
          <w:p w14:paraId="63B77B2F" w14:textId="247F3335" w:rsidR="003714F9" w:rsidRPr="00F36CBE" w:rsidRDefault="003714F9" w:rsidP="0085597C">
            <w:pPr>
              <w:keepNext/>
              <w:tabs>
                <w:tab w:val="left" w:pos="743"/>
              </w:tabs>
              <w:spacing w:before="40" w:after="40"/>
              <w:jc w:val="center"/>
              <w:rPr>
                <w:rFonts w:ascii="Arial Narrow" w:eastAsia="Calibri" w:hAnsi="Arial Narrow" w:cs="Times New Roman"/>
                <w:sz w:val="20"/>
                <w:lang w:eastAsia="en-US"/>
              </w:rPr>
            </w:pPr>
            <w:r>
              <w:rPr>
                <w:rFonts w:ascii="Arial Narrow" w:eastAsia="Calibri" w:hAnsi="Arial Narrow" w:cs="Times New Roman"/>
                <w:sz w:val="20"/>
                <w:lang w:eastAsia="en-US"/>
              </w:rPr>
              <w:t>6</w:t>
            </w:r>
          </w:p>
        </w:tc>
        <w:tc>
          <w:tcPr>
            <w:tcW w:w="1295" w:type="dxa"/>
          </w:tcPr>
          <w:p w14:paraId="6DE9299B" w14:textId="18BA86D7" w:rsidR="003714F9" w:rsidRDefault="003714F9" w:rsidP="0085597C">
            <w:pPr>
              <w:keepNext/>
              <w:tabs>
                <w:tab w:val="left" w:pos="743"/>
              </w:tabs>
              <w:spacing w:before="40" w:after="40"/>
              <w:jc w:val="center"/>
              <w:rPr>
                <w:rFonts w:ascii="Arial Narrow" w:eastAsia="Calibri" w:hAnsi="Arial Narrow" w:cs="Times New Roman"/>
                <w:sz w:val="20"/>
                <w:lang w:eastAsia="en-US"/>
              </w:rPr>
            </w:pPr>
            <w:r>
              <w:rPr>
                <w:rFonts w:ascii="Arial Narrow" w:eastAsia="Calibri" w:hAnsi="Arial Narrow" w:cs="Times New Roman"/>
                <w:sz w:val="20"/>
                <w:lang w:eastAsia="en-US"/>
              </w:rPr>
              <w:t>9</w:t>
            </w:r>
          </w:p>
        </w:tc>
      </w:tr>
      <w:tr w:rsidR="003714F9" w:rsidRPr="00F36CBE" w14:paraId="265633DD" w14:textId="77777777" w:rsidTr="003714F9">
        <w:tc>
          <w:tcPr>
            <w:tcW w:w="1913" w:type="dxa"/>
          </w:tcPr>
          <w:p w14:paraId="5A7BA188" w14:textId="77777777" w:rsidR="003714F9" w:rsidRPr="002F5F3F" w:rsidRDefault="003714F9" w:rsidP="003714F9">
            <w:pPr>
              <w:spacing w:before="40" w:after="40"/>
              <w:rPr>
                <w:rFonts w:ascii="Arial Narrow" w:eastAsia="Calibri" w:hAnsi="Arial Narrow" w:cs="Times New Roman"/>
                <w:sz w:val="20"/>
                <w:lang w:eastAsia="en-US"/>
              </w:rPr>
            </w:pPr>
            <w:r>
              <w:rPr>
                <w:rFonts w:ascii="Arial Narrow" w:eastAsia="Calibri" w:hAnsi="Arial Narrow" w:cs="Times New Roman"/>
                <w:sz w:val="20"/>
                <w:lang w:eastAsia="en-US"/>
              </w:rPr>
              <w:t>Lung cancer</w:t>
            </w:r>
          </w:p>
        </w:tc>
        <w:tc>
          <w:tcPr>
            <w:tcW w:w="1129" w:type="dxa"/>
          </w:tcPr>
          <w:p w14:paraId="53F0BA1E" w14:textId="77777777" w:rsidR="003714F9" w:rsidRDefault="003714F9" w:rsidP="003714F9">
            <w:pPr>
              <w:tabs>
                <w:tab w:val="left" w:pos="743"/>
              </w:tabs>
              <w:spacing w:before="40" w:after="40"/>
              <w:jc w:val="center"/>
              <w:rPr>
                <w:rFonts w:ascii="Arial Narrow" w:eastAsia="Calibri" w:hAnsi="Arial Narrow" w:cs="Times New Roman"/>
                <w:sz w:val="20"/>
                <w:lang w:eastAsia="en-US"/>
              </w:rPr>
            </w:pPr>
            <w:r w:rsidRPr="002F5F3F">
              <w:rPr>
                <w:rFonts w:ascii="Arial Narrow" w:eastAsia="Calibri" w:hAnsi="Arial Narrow" w:cs="Times New Roman"/>
                <w:sz w:val="20"/>
                <w:lang w:eastAsia="en-US"/>
              </w:rPr>
              <w:t>1%</w:t>
            </w:r>
          </w:p>
        </w:tc>
        <w:tc>
          <w:tcPr>
            <w:tcW w:w="1348" w:type="dxa"/>
          </w:tcPr>
          <w:p w14:paraId="5520F753" w14:textId="77777777" w:rsidR="003714F9" w:rsidRPr="002F5F3F" w:rsidRDefault="003714F9" w:rsidP="003714F9">
            <w:pPr>
              <w:tabs>
                <w:tab w:val="left" w:pos="743"/>
              </w:tabs>
              <w:spacing w:before="40" w:after="40"/>
              <w:jc w:val="center"/>
              <w:rPr>
                <w:rFonts w:ascii="Arial Narrow" w:eastAsia="Calibri" w:hAnsi="Arial Narrow" w:cs="Times New Roman"/>
                <w:sz w:val="20"/>
                <w:lang w:eastAsia="en-US"/>
              </w:rPr>
            </w:pPr>
            <w:r>
              <w:rPr>
                <w:rFonts w:ascii="Arial Narrow" w:eastAsia="Calibri" w:hAnsi="Arial Narrow" w:cs="Times New Roman"/>
                <w:sz w:val="20"/>
                <w:lang w:eastAsia="en-US"/>
              </w:rPr>
              <w:t>7</w:t>
            </w:r>
            <w:r w:rsidRPr="002F5F3F">
              <w:rPr>
                <w:rFonts w:ascii="Arial Narrow" w:eastAsia="Calibri" w:hAnsi="Arial Narrow" w:cs="Times New Roman"/>
                <w:sz w:val="20"/>
                <w:lang w:eastAsia="en-US"/>
              </w:rPr>
              <w:t>,</w:t>
            </w:r>
            <w:r>
              <w:rPr>
                <w:rFonts w:ascii="Arial Narrow" w:eastAsia="Calibri" w:hAnsi="Arial Narrow" w:cs="Times New Roman"/>
                <w:sz w:val="20"/>
                <w:lang w:eastAsia="en-US"/>
              </w:rPr>
              <w:t>4</w:t>
            </w:r>
            <w:r w:rsidRPr="002F5F3F">
              <w:rPr>
                <w:rFonts w:ascii="Arial Narrow" w:eastAsia="Calibri" w:hAnsi="Arial Narrow" w:cs="Times New Roman"/>
                <w:sz w:val="20"/>
                <w:lang w:eastAsia="en-US"/>
              </w:rPr>
              <w:t>9</w:t>
            </w:r>
            <w:r>
              <w:rPr>
                <w:rFonts w:ascii="Arial Narrow" w:eastAsia="Calibri" w:hAnsi="Arial Narrow" w:cs="Times New Roman"/>
                <w:sz w:val="20"/>
                <w:lang w:eastAsia="en-US"/>
              </w:rPr>
              <w:t>5 (75)</w:t>
            </w:r>
          </w:p>
        </w:tc>
        <w:tc>
          <w:tcPr>
            <w:tcW w:w="1559" w:type="dxa"/>
          </w:tcPr>
          <w:p w14:paraId="34B25E8D" w14:textId="57C86779" w:rsidR="003714F9" w:rsidRPr="002F5F3F" w:rsidRDefault="003714F9" w:rsidP="003714F9">
            <w:pPr>
              <w:tabs>
                <w:tab w:val="left" w:pos="743"/>
              </w:tabs>
              <w:spacing w:before="40" w:after="40"/>
              <w:jc w:val="center"/>
              <w:rPr>
                <w:rFonts w:ascii="Arial Narrow" w:eastAsia="Calibri" w:hAnsi="Arial Narrow" w:cs="Times New Roman"/>
                <w:sz w:val="20"/>
                <w:lang w:eastAsia="en-US"/>
              </w:rPr>
            </w:pPr>
            <w:r>
              <w:rPr>
                <w:rFonts w:ascii="Arial Narrow" w:eastAsia="Calibri" w:hAnsi="Arial Narrow" w:cs="Times New Roman"/>
                <w:sz w:val="20"/>
                <w:lang w:eastAsia="en-US"/>
              </w:rPr>
              <w:t>68:592</w:t>
            </w:r>
          </w:p>
        </w:tc>
        <w:tc>
          <w:tcPr>
            <w:tcW w:w="1559" w:type="dxa"/>
          </w:tcPr>
          <w:p w14:paraId="6CBD109A" w14:textId="59472D1F" w:rsidR="003714F9" w:rsidRPr="002F5F3F" w:rsidRDefault="003714F9" w:rsidP="003714F9">
            <w:pPr>
              <w:tabs>
                <w:tab w:val="left" w:pos="743"/>
              </w:tabs>
              <w:spacing w:before="40" w:after="40"/>
              <w:jc w:val="center"/>
              <w:rPr>
                <w:rFonts w:ascii="Arial Narrow" w:eastAsia="Calibri" w:hAnsi="Arial Narrow" w:cs="Times New Roman"/>
                <w:sz w:val="20"/>
                <w:lang w:eastAsia="en-US"/>
              </w:rPr>
            </w:pPr>
            <w:r>
              <w:rPr>
                <w:rFonts w:ascii="Arial Narrow" w:eastAsia="Calibri" w:hAnsi="Arial Narrow" w:cs="Times New Roman"/>
                <w:sz w:val="20"/>
                <w:lang w:eastAsia="en-US"/>
              </w:rPr>
              <w:t>11</w:t>
            </w:r>
          </w:p>
        </w:tc>
        <w:tc>
          <w:tcPr>
            <w:tcW w:w="1295" w:type="dxa"/>
          </w:tcPr>
          <w:p w14:paraId="37111B6F" w14:textId="71073C19" w:rsidR="003714F9" w:rsidRDefault="003714F9" w:rsidP="003714F9">
            <w:pPr>
              <w:tabs>
                <w:tab w:val="left" w:pos="743"/>
              </w:tabs>
              <w:spacing w:before="40" w:after="40"/>
              <w:jc w:val="center"/>
              <w:rPr>
                <w:rFonts w:ascii="Arial Narrow" w:eastAsia="Calibri" w:hAnsi="Arial Narrow" w:cs="Times New Roman"/>
                <w:sz w:val="20"/>
                <w:lang w:eastAsia="en-US"/>
              </w:rPr>
            </w:pPr>
            <w:r>
              <w:rPr>
                <w:rFonts w:ascii="Arial Narrow" w:eastAsia="Calibri" w:hAnsi="Arial Narrow" w:cs="Times New Roman"/>
                <w:sz w:val="20"/>
                <w:lang w:eastAsia="en-US"/>
              </w:rPr>
              <w:t>110</w:t>
            </w:r>
          </w:p>
        </w:tc>
      </w:tr>
      <w:tr w:rsidR="003714F9" w:rsidRPr="00F36CBE" w14:paraId="3F2B51C3" w14:textId="77777777" w:rsidTr="003714F9">
        <w:tc>
          <w:tcPr>
            <w:tcW w:w="1913" w:type="dxa"/>
          </w:tcPr>
          <w:p w14:paraId="54106426" w14:textId="77777777" w:rsidR="003714F9" w:rsidRPr="00F36CBE" w:rsidRDefault="003714F9" w:rsidP="003714F9">
            <w:pPr>
              <w:spacing w:before="40" w:after="40"/>
              <w:rPr>
                <w:rFonts w:ascii="Arial Narrow" w:eastAsia="Calibri" w:hAnsi="Arial Narrow" w:cs="Times New Roman"/>
                <w:sz w:val="20"/>
                <w:lang w:eastAsia="en-US"/>
              </w:rPr>
            </w:pPr>
            <w:r w:rsidRPr="00F36CBE">
              <w:rPr>
                <w:rFonts w:ascii="Arial Narrow" w:eastAsia="Calibri" w:hAnsi="Arial Narrow" w:cs="Times New Roman"/>
                <w:sz w:val="20"/>
                <w:lang w:eastAsia="en-US"/>
              </w:rPr>
              <w:t>Endometrial cancer</w:t>
            </w:r>
          </w:p>
        </w:tc>
        <w:tc>
          <w:tcPr>
            <w:tcW w:w="1129" w:type="dxa"/>
          </w:tcPr>
          <w:p w14:paraId="13DEEEDB" w14:textId="77777777" w:rsidR="003714F9" w:rsidRPr="00F36CBE" w:rsidRDefault="003714F9" w:rsidP="003714F9">
            <w:pPr>
              <w:tabs>
                <w:tab w:val="left" w:pos="743"/>
              </w:tabs>
              <w:spacing w:before="40" w:after="40"/>
              <w:jc w:val="center"/>
              <w:rPr>
                <w:rFonts w:ascii="Arial Narrow" w:eastAsia="Calibri" w:hAnsi="Arial Narrow" w:cs="Times New Roman"/>
                <w:sz w:val="20"/>
                <w:lang w:eastAsia="en-US"/>
              </w:rPr>
            </w:pPr>
            <w:r w:rsidRPr="00F36CBE">
              <w:rPr>
                <w:rFonts w:ascii="Arial Narrow" w:eastAsia="Calibri" w:hAnsi="Arial Narrow" w:cs="Times New Roman"/>
                <w:sz w:val="20"/>
                <w:lang w:eastAsia="en-US"/>
              </w:rPr>
              <w:t>33</w:t>
            </w:r>
            <w:r>
              <w:rPr>
                <w:rFonts w:ascii="Arial Narrow" w:eastAsia="Calibri" w:hAnsi="Arial Narrow" w:cs="Times New Roman"/>
                <w:sz w:val="20"/>
                <w:lang w:eastAsia="en-US"/>
              </w:rPr>
              <w:t>%</w:t>
            </w:r>
          </w:p>
        </w:tc>
        <w:tc>
          <w:tcPr>
            <w:tcW w:w="1348" w:type="dxa"/>
          </w:tcPr>
          <w:p w14:paraId="6A7E145C" w14:textId="77777777" w:rsidR="003714F9" w:rsidRPr="00F36CBE" w:rsidRDefault="003714F9" w:rsidP="003714F9">
            <w:pPr>
              <w:tabs>
                <w:tab w:val="left" w:pos="743"/>
              </w:tabs>
              <w:spacing w:before="40" w:after="40"/>
              <w:jc w:val="center"/>
              <w:rPr>
                <w:rFonts w:ascii="Arial Narrow" w:eastAsia="Calibri" w:hAnsi="Arial Narrow" w:cs="Times New Roman"/>
                <w:sz w:val="20"/>
                <w:lang w:eastAsia="en-US"/>
              </w:rPr>
            </w:pPr>
            <w:r w:rsidRPr="00F36CBE">
              <w:rPr>
                <w:rFonts w:ascii="Arial Narrow" w:eastAsia="Calibri" w:hAnsi="Arial Narrow" w:cs="Times New Roman"/>
                <w:sz w:val="20"/>
                <w:lang w:eastAsia="en-US"/>
              </w:rPr>
              <w:t>295</w:t>
            </w:r>
            <w:r>
              <w:rPr>
                <w:rFonts w:ascii="Arial Narrow" w:eastAsia="Calibri" w:hAnsi="Arial Narrow" w:cs="Times New Roman"/>
                <w:sz w:val="20"/>
                <w:lang w:eastAsia="en-US"/>
              </w:rPr>
              <w:t xml:space="preserve"> (97)</w:t>
            </w:r>
          </w:p>
        </w:tc>
        <w:tc>
          <w:tcPr>
            <w:tcW w:w="1559" w:type="dxa"/>
          </w:tcPr>
          <w:p w14:paraId="2F35C15D" w14:textId="3E365FC1" w:rsidR="003714F9" w:rsidRPr="00F36CBE" w:rsidRDefault="003714F9" w:rsidP="003714F9">
            <w:pPr>
              <w:tabs>
                <w:tab w:val="left" w:pos="743"/>
              </w:tabs>
              <w:spacing w:before="40" w:after="40"/>
              <w:jc w:val="center"/>
              <w:rPr>
                <w:rFonts w:ascii="Arial Narrow" w:eastAsia="Calibri" w:hAnsi="Arial Narrow" w:cs="Times New Roman"/>
                <w:sz w:val="20"/>
                <w:lang w:eastAsia="en-US"/>
              </w:rPr>
            </w:pPr>
            <w:r>
              <w:rPr>
                <w:rFonts w:ascii="Arial Narrow" w:eastAsia="Calibri" w:hAnsi="Arial Narrow" w:cs="Times New Roman"/>
                <w:sz w:val="20"/>
                <w:lang w:eastAsia="en-US"/>
              </w:rPr>
              <w:t>88:16</w:t>
            </w:r>
          </w:p>
        </w:tc>
        <w:tc>
          <w:tcPr>
            <w:tcW w:w="1559" w:type="dxa"/>
          </w:tcPr>
          <w:p w14:paraId="01DFEE3C" w14:textId="35289762" w:rsidR="003714F9" w:rsidRPr="00F36CBE" w:rsidRDefault="003714F9" w:rsidP="003714F9">
            <w:pPr>
              <w:tabs>
                <w:tab w:val="left" w:pos="743"/>
              </w:tabs>
              <w:spacing w:before="40" w:after="40"/>
              <w:jc w:val="center"/>
              <w:rPr>
                <w:rFonts w:ascii="Arial Narrow" w:eastAsia="Calibri" w:hAnsi="Arial Narrow" w:cs="Times New Roman"/>
                <w:sz w:val="20"/>
                <w:lang w:eastAsia="en-US"/>
              </w:rPr>
            </w:pPr>
            <w:r>
              <w:rPr>
                <w:rFonts w:ascii="Arial Narrow" w:eastAsia="Calibri" w:hAnsi="Arial Narrow" w:cs="Times New Roman"/>
                <w:sz w:val="20"/>
                <w:lang w:eastAsia="en-US"/>
              </w:rPr>
              <w:t>3</w:t>
            </w:r>
          </w:p>
        </w:tc>
        <w:tc>
          <w:tcPr>
            <w:tcW w:w="1295" w:type="dxa"/>
          </w:tcPr>
          <w:p w14:paraId="05EF0F51" w14:textId="7E47F78D" w:rsidR="003714F9" w:rsidRDefault="003714F9" w:rsidP="003714F9">
            <w:pPr>
              <w:tabs>
                <w:tab w:val="left" w:pos="743"/>
              </w:tabs>
              <w:spacing w:before="40" w:after="40"/>
              <w:jc w:val="center"/>
              <w:rPr>
                <w:rFonts w:ascii="Arial Narrow" w:eastAsia="Calibri" w:hAnsi="Arial Narrow" w:cs="Times New Roman"/>
                <w:sz w:val="20"/>
                <w:lang w:eastAsia="en-US"/>
              </w:rPr>
            </w:pPr>
            <w:r>
              <w:rPr>
                <w:rFonts w:ascii="Arial Narrow" w:eastAsia="Calibri" w:hAnsi="Arial Narrow" w:cs="Times New Roman"/>
                <w:sz w:val="20"/>
                <w:lang w:eastAsia="en-US"/>
              </w:rPr>
              <w:t>3</w:t>
            </w:r>
          </w:p>
        </w:tc>
      </w:tr>
      <w:tr w:rsidR="003714F9" w:rsidRPr="00F36CBE" w14:paraId="56851D66" w14:textId="77777777" w:rsidTr="003714F9">
        <w:tc>
          <w:tcPr>
            <w:tcW w:w="1913" w:type="dxa"/>
          </w:tcPr>
          <w:p w14:paraId="7BEC6B06" w14:textId="77777777" w:rsidR="003714F9" w:rsidRPr="002F5F3F" w:rsidRDefault="003714F9" w:rsidP="003714F9">
            <w:pPr>
              <w:spacing w:before="40" w:after="40"/>
              <w:rPr>
                <w:rFonts w:ascii="Arial Narrow" w:eastAsia="Calibri" w:hAnsi="Arial Narrow" w:cs="Times New Roman"/>
                <w:sz w:val="20"/>
                <w:lang w:eastAsia="en-US"/>
              </w:rPr>
            </w:pPr>
            <w:r w:rsidRPr="002F5F3F">
              <w:rPr>
                <w:rFonts w:ascii="Arial Narrow" w:eastAsia="Calibri" w:hAnsi="Arial Narrow" w:cs="Times New Roman"/>
                <w:sz w:val="20"/>
                <w:lang w:eastAsia="en-US"/>
              </w:rPr>
              <w:t>Renal cell carcinoma</w:t>
            </w:r>
          </w:p>
        </w:tc>
        <w:tc>
          <w:tcPr>
            <w:tcW w:w="1129" w:type="dxa"/>
          </w:tcPr>
          <w:p w14:paraId="37D2BF8A" w14:textId="77777777" w:rsidR="003714F9" w:rsidRPr="002F5F3F" w:rsidRDefault="003714F9" w:rsidP="003714F9">
            <w:pPr>
              <w:tabs>
                <w:tab w:val="left" w:pos="743"/>
              </w:tabs>
              <w:spacing w:before="40" w:after="40"/>
              <w:jc w:val="center"/>
              <w:rPr>
                <w:rFonts w:ascii="Arial Narrow" w:eastAsia="Calibri" w:hAnsi="Arial Narrow" w:cs="Times New Roman"/>
                <w:sz w:val="20"/>
                <w:lang w:eastAsia="en-US"/>
              </w:rPr>
            </w:pPr>
            <w:r w:rsidRPr="002F5F3F">
              <w:rPr>
                <w:rFonts w:ascii="Arial Narrow" w:eastAsia="Calibri" w:hAnsi="Arial Narrow" w:cs="Times New Roman"/>
                <w:sz w:val="20"/>
                <w:lang w:eastAsia="en-US"/>
              </w:rPr>
              <w:t>4%</w:t>
            </w:r>
          </w:p>
        </w:tc>
        <w:tc>
          <w:tcPr>
            <w:tcW w:w="1348" w:type="dxa"/>
          </w:tcPr>
          <w:p w14:paraId="2B0ADC70" w14:textId="77777777" w:rsidR="003714F9" w:rsidRPr="002F5F3F" w:rsidRDefault="003714F9" w:rsidP="003714F9">
            <w:pPr>
              <w:tabs>
                <w:tab w:val="left" w:pos="743"/>
              </w:tabs>
              <w:spacing w:before="40" w:after="40"/>
              <w:jc w:val="center"/>
              <w:rPr>
                <w:rFonts w:ascii="Arial Narrow" w:eastAsia="Calibri" w:hAnsi="Arial Narrow" w:cs="Times New Roman"/>
                <w:sz w:val="20"/>
                <w:lang w:eastAsia="en-US"/>
              </w:rPr>
            </w:pPr>
            <w:r w:rsidRPr="002F5F3F">
              <w:rPr>
                <w:rFonts w:ascii="Arial Narrow" w:eastAsia="Calibri" w:hAnsi="Arial Narrow" w:cs="Times New Roman"/>
                <w:sz w:val="20"/>
                <w:lang w:eastAsia="en-US"/>
              </w:rPr>
              <w:t>835</w:t>
            </w:r>
            <w:r>
              <w:rPr>
                <w:rFonts w:ascii="Arial Narrow" w:eastAsia="Calibri" w:hAnsi="Arial Narrow" w:cs="Times New Roman"/>
                <w:sz w:val="20"/>
                <w:lang w:eastAsia="en-US"/>
              </w:rPr>
              <w:t xml:space="preserve"> (33)</w:t>
            </w:r>
          </w:p>
        </w:tc>
        <w:tc>
          <w:tcPr>
            <w:tcW w:w="1559" w:type="dxa"/>
          </w:tcPr>
          <w:p w14:paraId="292BAA8E" w14:textId="47043DF0" w:rsidR="003714F9" w:rsidRPr="002F5F3F" w:rsidRDefault="003714F9" w:rsidP="003714F9">
            <w:pPr>
              <w:tabs>
                <w:tab w:val="left" w:pos="743"/>
              </w:tabs>
              <w:spacing w:before="40" w:after="40"/>
              <w:jc w:val="center"/>
              <w:rPr>
                <w:rFonts w:ascii="Arial Narrow" w:eastAsia="Calibri" w:hAnsi="Arial Narrow" w:cs="Times New Roman"/>
                <w:sz w:val="20"/>
                <w:lang w:eastAsia="en-US"/>
              </w:rPr>
            </w:pPr>
            <w:r>
              <w:rPr>
                <w:rFonts w:ascii="Arial Narrow" w:eastAsia="Calibri" w:hAnsi="Arial Narrow" w:cs="Times New Roman"/>
                <w:sz w:val="20"/>
                <w:lang w:eastAsia="en-US"/>
              </w:rPr>
              <w:t>30:63</w:t>
            </w:r>
          </w:p>
        </w:tc>
        <w:tc>
          <w:tcPr>
            <w:tcW w:w="1559" w:type="dxa"/>
          </w:tcPr>
          <w:p w14:paraId="5AB77D37" w14:textId="1C9E0416" w:rsidR="003714F9" w:rsidRPr="002F5F3F" w:rsidRDefault="003714F9" w:rsidP="003714F9">
            <w:pPr>
              <w:tabs>
                <w:tab w:val="left" w:pos="743"/>
              </w:tabs>
              <w:spacing w:before="40" w:after="40"/>
              <w:jc w:val="center"/>
              <w:rPr>
                <w:rFonts w:ascii="Arial Narrow" w:eastAsia="Calibri" w:hAnsi="Arial Narrow" w:cs="Times New Roman"/>
                <w:sz w:val="20"/>
                <w:lang w:eastAsia="en-US"/>
              </w:rPr>
            </w:pPr>
            <w:r>
              <w:rPr>
                <w:rFonts w:ascii="Arial Narrow" w:eastAsia="Calibri" w:hAnsi="Arial Narrow" w:cs="Times New Roman"/>
                <w:sz w:val="20"/>
                <w:lang w:eastAsia="en-US"/>
              </w:rPr>
              <w:t>9</w:t>
            </w:r>
          </w:p>
        </w:tc>
        <w:tc>
          <w:tcPr>
            <w:tcW w:w="1295" w:type="dxa"/>
          </w:tcPr>
          <w:p w14:paraId="0C5C9321" w14:textId="1640F564" w:rsidR="003714F9" w:rsidRDefault="003714F9" w:rsidP="003714F9">
            <w:pPr>
              <w:tabs>
                <w:tab w:val="left" w:pos="743"/>
              </w:tabs>
              <w:spacing w:before="40" w:after="40"/>
              <w:jc w:val="center"/>
              <w:rPr>
                <w:rFonts w:ascii="Arial Narrow" w:eastAsia="Calibri" w:hAnsi="Arial Narrow" w:cs="Times New Roman"/>
                <w:sz w:val="20"/>
                <w:lang w:eastAsia="en-US"/>
              </w:rPr>
            </w:pPr>
            <w:r>
              <w:rPr>
                <w:rFonts w:ascii="Arial Narrow" w:eastAsia="Calibri" w:hAnsi="Arial Narrow" w:cs="Times New Roman"/>
                <w:sz w:val="20"/>
                <w:lang w:eastAsia="en-US"/>
              </w:rPr>
              <w:t>28</w:t>
            </w:r>
          </w:p>
        </w:tc>
      </w:tr>
      <w:tr w:rsidR="003714F9" w:rsidRPr="00F36CBE" w14:paraId="16A23533" w14:textId="77777777" w:rsidTr="003714F9">
        <w:tc>
          <w:tcPr>
            <w:tcW w:w="1913" w:type="dxa"/>
          </w:tcPr>
          <w:p w14:paraId="4BC5A5AD" w14:textId="77777777" w:rsidR="003714F9" w:rsidRPr="00F36CBE" w:rsidRDefault="003714F9" w:rsidP="003714F9">
            <w:pPr>
              <w:spacing w:before="40" w:after="40"/>
              <w:rPr>
                <w:rFonts w:ascii="Arial Narrow" w:eastAsia="Calibri" w:hAnsi="Arial Narrow" w:cs="Times New Roman"/>
                <w:sz w:val="20"/>
                <w:lang w:eastAsia="en-US"/>
              </w:rPr>
            </w:pPr>
            <w:r w:rsidRPr="00F36CBE">
              <w:rPr>
                <w:rFonts w:ascii="Arial Narrow" w:eastAsia="Calibri" w:hAnsi="Arial Narrow" w:cs="Times New Roman"/>
                <w:sz w:val="20"/>
                <w:lang w:eastAsia="en-US"/>
              </w:rPr>
              <w:t>Thyroid cancer</w:t>
            </w:r>
          </w:p>
        </w:tc>
        <w:tc>
          <w:tcPr>
            <w:tcW w:w="1129" w:type="dxa"/>
          </w:tcPr>
          <w:p w14:paraId="7871AC98" w14:textId="77777777" w:rsidR="003714F9" w:rsidRPr="00F36CBE" w:rsidRDefault="003714F9" w:rsidP="003714F9">
            <w:pPr>
              <w:tabs>
                <w:tab w:val="left" w:pos="743"/>
              </w:tabs>
              <w:spacing w:before="40" w:after="40"/>
              <w:jc w:val="center"/>
              <w:rPr>
                <w:rFonts w:ascii="Arial Narrow" w:eastAsia="Calibri" w:hAnsi="Arial Narrow" w:cs="Times New Roman"/>
                <w:sz w:val="20"/>
                <w:lang w:eastAsia="en-US"/>
              </w:rPr>
            </w:pPr>
            <w:r w:rsidRPr="00F36CBE">
              <w:rPr>
                <w:rFonts w:ascii="Arial Narrow" w:eastAsia="Calibri" w:hAnsi="Arial Narrow" w:cs="Times New Roman"/>
                <w:sz w:val="20"/>
                <w:lang w:eastAsia="en-US"/>
              </w:rPr>
              <w:t>23%</w:t>
            </w:r>
          </w:p>
        </w:tc>
        <w:tc>
          <w:tcPr>
            <w:tcW w:w="1348" w:type="dxa"/>
          </w:tcPr>
          <w:p w14:paraId="3BF73FC0" w14:textId="77777777" w:rsidR="003714F9" w:rsidRPr="00F36CBE" w:rsidRDefault="003714F9" w:rsidP="003714F9">
            <w:pPr>
              <w:tabs>
                <w:tab w:val="left" w:pos="743"/>
              </w:tabs>
              <w:spacing w:before="40" w:after="40"/>
              <w:jc w:val="center"/>
              <w:rPr>
                <w:rFonts w:ascii="Arial Narrow" w:eastAsia="Calibri" w:hAnsi="Arial Narrow" w:cs="Times New Roman"/>
                <w:sz w:val="20"/>
                <w:lang w:eastAsia="en-US"/>
              </w:rPr>
            </w:pPr>
            <w:r w:rsidRPr="00F36CBE">
              <w:rPr>
                <w:rFonts w:ascii="Arial Narrow" w:eastAsia="Calibri" w:hAnsi="Arial Narrow" w:cs="Times New Roman"/>
                <w:sz w:val="20"/>
                <w:lang w:eastAsia="en-US"/>
              </w:rPr>
              <w:t>123</w:t>
            </w:r>
            <w:r>
              <w:rPr>
                <w:rFonts w:ascii="Arial Narrow" w:eastAsia="Calibri" w:hAnsi="Arial Narrow" w:cs="Times New Roman"/>
                <w:sz w:val="20"/>
                <w:lang w:eastAsia="en-US"/>
              </w:rPr>
              <w:t xml:space="preserve"> (28)</w:t>
            </w:r>
          </w:p>
        </w:tc>
        <w:tc>
          <w:tcPr>
            <w:tcW w:w="1559" w:type="dxa"/>
          </w:tcPr>
          <w:p w14:paraId="6A3FA048" w14:textId="08C8FD54" w:rsidR="003714F9" w:rsidRPr="00F36CBE" w:rsidRDefault="003714F9" w:rsidP="003714F9">
            <w:pPr>
              <w:tabs>
                <w:tab w:val="left" w:pos="743"/>
              </w:tabs>
              <w:spacing w:before="40" w:after="40"/>
              <w:jc w:val="center"/>
              <w:rPr>
                <w:rFonts w:ascii="Arial Narrow" w:eastAsia="Calibri" w:hAnsi="Arial Narrow" w:cs="Times New Roman"/>
                <w:sz w:val="20"/>
                <w:lang w:eastAsia="en-US"/>
              </w:rPr>
            </w:pPr>
            <w:r>
              <w:rPr>
                <w:rFonts w:ascii="Arial Narrow" w:eastAsia="Calibri" w:hAnsi="Arial Narrow" w:cs="Times New Roman"/>
                <w:sz w:val="20"/>
                <w:lang w:eastAsia="en-US"/>
              </w:rPr>
              <w:t>25:7</w:t>
            </w:r>
          </w:p>
        </w:tc>
        <w:tc>
          <w:tcPr>
            <w:tcW w:w="1559" w:type="dxa"/>
          </w:tcPr>
          <w:p w14:paraId="17557E65" w14:textId="6265D507" w:rsidR="003714F9" w:rsidRPr="00F36CBE" w:rsidRDefault="003714F9" w:rsidP="003714F9">
            <w:pPr>
              <w:tabs>
                <w:tab w:val="left" w:pos="743"/>
              </w:tabs>
              <w:spacing w:before="40" w:after="40"/>
              <w:jc w:val="center"/>
              <w:rPr>
                <w:rFonts w:ascii="Arial Narrow" w:eastAsia="Calibri" w:hAnsi="Arial Narrow" w:cs="Times New Roman"/>
                <w:sz w:val="20"/>
                <w:lang w:eastAsia="en-US"/>
              </w:rPr>
            </w:pPr>
            <w:r>
              <w:rPr>
                <w:rFonts w:ascii="Arial Narrow" w:eastAsia="Calibri" w:hAnsi="Arial Narrow" w:cs="Times New Roman"/>
                <w:sz w:val="20"/>
                <w:lang w:eastAsia="en-US"/>
              </w:rPr>
              <w:t>4</w:t>
            </w:r>
          </w:p>
        </w:tc>
        <w:tc>
          <w:tcPr>
            <w:tcW w:w="1295" w:type="dxa"/>
          </w:tcPr>
          <w:p w14:paraId="0BA3668F" w14:textId="2135F59E" w:rsidR="003714F9" w:rsidRDefault="003714F9" w:rsidP="003714F9">
            <w:pPr>
              <w:tabs>
                <w:tab w:val="left" w:pos="743"/>
              </w:tabs>
              <w:spacing w:before="40" w:after="40"/>
              <w:jc w:val="center"/>
              <w:rPr>
                <w:rFonts w:ascii="Arial Narrow" w:eastAsia="Calibri" w:hAnsi="Arial Narrow" w:cs="Times New Roman"/>
                <w:sz w:val="20"/>
                <w:lang w:eastAsia="en-US"/>
              </w:rPr>
            </w:pPr>
            <w:r>
              <w:rPr>
                <w:rFonts w:ascii="Arial Narrow" w:eastAsia="Calibri" w:hAnsi="Arial Narrow" w:cs="Times New Roman"/>
                <w:sz w:val="20"/>
                <w:lang w:eastAsia="en-US"/>
              </w:rPr>
              <w:t>5</w:t>
            </w:r>
          </w:p>
        </w:tc>
      </w:tr>
      <w:tr w:rsidR="003714F9" w:rsidRPr="00F36CBE" w14:paraId="0117B76E" w14:textId="77777777" w:rsidTr="003714F9">
        <w:tc>
          <w:tcPr>
            <w:tcW w:w="1913" w:type="dxa"/>
          </w:tcPr>
          <w:p w14:paraId="67DF904F" w14:textId="77777777" w:rsidR="003714F9" w:rsidRPr="00F36CBE" w:rsidRDefault="003714F9" w:rsidP="003714F9">
            <w:pPr>
              <w:spacing w:before="40" w:after="40"/>
              <w:rPr>
                <w:rFonts w:ascii="Arial Narrow" w:eastAsia="Calibri" w:hAnsi="Arial Narrow" w:cs="Times New Roman"/>
                <w:sz w:val="20"/>
                <w:lang w:eastAsia="en-US"/>
              </w:rPr>
            </w:pPr>
            <w:r w:rsidRPr="00F36CBE">
              <w:rPr>
                <w:rFonts w:ascii="Arial Narrow" w:eastAsia="Calibri" w:hAnsi="Arial Narrow" w:cs="Times New Roman"/>
                <w:sz w:val="20"/>
                <w:lang w:eastAsia="en-US"/>
              </w:rPr>
              <w:t>Head and neck cancer</w:t>
            </w:r>
          </w:p>
        </w:tc>
        <w:tc>
          <w:tcPr>
            <w:tcW w:w="1129" w:type="dxa"/>
          </w:tcPr>
          <w:p w14:paraId="06B01C0A" w14:textId="77777777" w:rsidR="003714F9" w:rsidRPr="00F36CBE" w:rsidRDefault="003714F9" w:rsidP="003714F9">
            <w:pPr>
              <w:tabs>
                <w:tab w:val="left" w:pos="743"/>
              </w:tabs>
              <w:spacing w:before="40" w:after="40"/>
              <w:jc w:val="center"/>
              <w:rPr>
                <w:rFonts w:ascii="Arial Narrow" w:eastAsia="Calibri" w:hAnsi="Arial Narrow" w:cs="Times New Roman"/>
                <w:sz w:val="20"/>
                <w:lang w:eastAsia="en-US"/>
              </w:rPr>
            </w:pPr>
            <w:r w:rsidRPr="00F36CBE">
              <w:rPr>
                <w:rFonts w:ascii="Arial Narrow" w:eastAsia="Calibri" w:hAnsi="Arial Narrow" w:cs="Times New Roman"/>
                <w:sz w:val="20"/>
                <w:lang w:eastAsia="en-US"/>
              </w:rPr>
              <w:t>3%</w:t>
            </w:r>
          </w:p>
        </w:tc>
        <w:tc>
          <w:tcPr>
            <w:tcW w:w="1348" w:type="dxa"/>
          </w:tcPr>
          <w:p w14:paraId="2D307058" w14:textId="77777777" w:rsidR="003714F9" w:rsidRPr="00F36CBE" w:rsidRDefault="003714F9" w:rsidP="003714F9">
            <w:pPr>
              <w:tabs>
                <w:tab w:val="left" w:pos="743"/>
              </w:tabs>
              <w:spacing w:before="40" w:after="40"/>
              <w:jc w:val="center"/>
              <w:rPr>
                <w:rFonts w:ascii="Arial Narrow" w:eastAsia="Calibri" w:hAnsi="Arial Narrow" w:cs="Times New Roman"/>
                <w:sz w:val="20"/>
                <w:lang w:eastAsia="en-US"/>
              </w:rPr>
            </w:pPr>
            <w:r w:rsidRPr="00F36CBE">
              <w:rPr>
                <w:rFonts w:ascii="Arial Narrow" w:eastAsia="Calibri" w:hAnsi="Arial Narrow" w:cs="Times New Roman"/>
                <w:sz w:val="20"/>
                <w:lang w:eastAsia="en-US"/>
              </w:rPr>
              <w:t>1,007</w:t>
            </w:r>
            <w:r>
              <w:rPr>
                <w:rFonts w:ascii="Arial Narrow" w:eastAsia="Calibri" w:hAnsi="Arial Narrow" w:cs="Times New Roman"/>
                <w:sz w:val="20"/>
                <w:lang w:eastAsia="en-US"/>
              </w:rPr>
              <w:t xml:space="preserve"> (30)</w:t>
            </w:r>
          </w:p>
        </w:tc>
        <w:tc>
          <w:tcPr>
            <w:tcW w:w="1559" w:type="dxa"/>
          </w:tcPr>
          <w:p w14:paraId="3B716F67" w14:textId="21AB2A87" w:rsidR="003714F9" w:rsidRPr="00F36CBE" w:rsidRDefault="003714F9" w:rsidP="003714F9">
            <w:pPr>
              <w:tabs>
                <w:tab w:val="left" w:pos="743"/>
              </w:tabs>
              <w:spacing w:before="40" w:after="40"/>
              <w:jc w:val="center"/>
              <w:rPr>
                <w:rFonts w:ascii="Arial Narrow" w:eastAsia="Calibri" w:hAnsi="Arial Narrow" w:cs="Times New Roman"/>
                <w:sz w:val="20"/>
                <w:lang w:eastAsia="en-US"/>
              </w:rPr>
            </w:pPr>
            <w:r>
              <w:rPr>
                <w:rFonts w:ascii="Arial Narrow" w:eastAsia="Calibri" w:hAnsi="Arial Narrow" w:cs="Times New Roman"/>
                <w:sz w:val="20"/>
                <w:lang w:eastAsia="en-US"/>
              </w:rPr>
              <w:t>27:77</w:t>
            </w:r>
          </w:p>
        </w:tc>
        <w:tc>
          <w:tcPr>
            <w:tcW w:w="1559" w:type="dxa"/>
          </w:tcPr>
          <w:p w14:paraId="3652A91A" w14:textId="2958CC90" w:rsidR="003714F9" w:rsidRPr="00F36CBE" w:rsidRDefault="003714F9" w:rsidP="003714F9">
            <w:pPr>
              <w:tabs>
                <w:tab w:val="left" w:pos="743"/>
              </w:tabs>
              <w:spacing w:before="40" w:after="40"/>
              <w:jc w:val="center"/>
              <w:rPr>
                <w:rFonts w:ascii="Arial Narrow" w:eastAsia="Calibri" w:hAnsi="Arial Narrow" w:cs="Times New Roman"/>
                <w:sz w:val="20"/>
                <w:lang w:eastAsia="en-US"/>
              </w:rPr>
            </w:pPr>
            <w:r>
              <w:rPr>
                <w:rFonts w:ascii="Arial Narrow" w:eastAsia="Calibri" w:hAnsi="Arial Narrow" w:cs="Times New Roman"/>
                <w:sz w:val="20"/>
                <w:lang w:eastAsia="en-US"/>
              </w:rPr>
              <w:t>10</w:t>
            </w:r>
          </w:p>
        </w:tc>
        <w:tc>
          <w:tcPr>
            <w:tcW w:w="1295" w:type="dxa"/>
          </w:tcPr>
          <w:p w14:paraId="2D1105C9" w14:textId="490EC512" w:rsidR="003714F9" w:rsidRDefault="003714F9" w:rsidP="003714F9">
            <w:pPr>
              <w:tabs>
                <w:tab w:val="left" w:pos="743"/>
              </w:tabs>
              <w:spacing w:before="40" w:after="40"/>
              <w:jc w:val="center"/>
              <w:rPr>
                <w:rFonts w:ascii="Arial Narrow" w:eastAsia="Calibri" w:hAnsi="Arial Narrow" w:cs="Times New Roman"/>
                <w:sz w:val="20"/>
                <w:lang w:eastAsia="en-US"/>
              </w:rPr>
            </w:pPr>
            <w:r>
              <w:rPr>
                <w:rFonts w:ascii="Arial Narrow" w:eastAsia="Calibri" w:hAnsi="Arial Narrow" w:cs="Times New Roman"/>
                <w:sz w:val="20"/>
                <w:lang w:eastAsia="en-US"/>
              </w:rPr>
              <w:t>37</w:t>
            </w:r>
          </w:p>
        </w:tc>
      </w:tr>
      <w:tr w:rsidR="003714F9" w:rsidRPr="00F36CBE" w14:paraId="06F0DADA" w14:textId="77777777" w:rsidTr="003714F9">
        <w:tc>
          <w:tcPr>
            <w:tcW w:w="1913" w:type="dxa"/>
          </w:tcPr>
          <w:p w14:paraId="05E4AE69" w14:textId="77777777" w:rsidR="003714F9" w:rsidRPr="00F36CBE" w:rsidRDefault="003714F9" w:rsidP="003714F9">
            <w:pPr>
              <w:spacing w:before="40" w:after="40"/>
              <w:rPr>
                <w:rFonts w:ascii="Arial Narrow" w:eastAsia="Calibri" w:hAnsi="Arial Narrow" w:cs="Times New Roman"/>
                <w:sz w:val="20"/>
                <w:lang w:eastAsia="en-US"/>
              </w:rPr>
            </w:pPr>
            <w:r w:rsidRPr="00F36CBE">
              <w:rPr>
                <w:rFonts w:ascii="Arial Narrow" w:eastAsia="Calibri" w:hAnsi="Arial Narrow" w:cs="Times New Roman"/>
                <w:sz w:val="20"/>
                <w:lang w:eastAsia="en-US"/>
              </w:rPr>
              <w:t>Pancreatic cancer</w:t>
            </w:r>
          </w:p>
        </w:tc>
        <w:tc>
          <w:tcPr>
            <w:tcW w:w="1129" w:type="dxa"/>
          </w:tcPr>
          <w:p w14:paraId="3103B582" w14:textId="77777777" w:rsidR="003714F9" w:rsidRPr="00F36CBE" w:rsidRDefault="003714F9" w:rsidP="003714F9">
            <w:pPr>
              <w:tabs>
                <w:tab w:val="left" w:pos="743"/>
              </w:tabs>
              <w:spacing w:before="40" w:after="40"/>
              <w:jc w:val="center"/>
              <w:rPr>
                <w:rFonts w:ascii="Arial Narrow" w:eastAsia="Calibri" w:hAnsi="Arial Narrow" w:cs="Times New Roman"/>
                <w:sz w:val="20"/>
                <w:lang w:eastAsia="en-US"/>
              </w:rPr>
            </w:pPr>
            <w:r w:rsidRPr="00F36CBE">
              <w:rPr>
                <w:rFonts w:ascii="Arial Narrow" w:eastAsia="Calibri" w:hAnsi="Arial Narrow" w:cs="Times New Roman"/>
                <w:sz w:val="20"/>
                <w:lang w:eastAsia="en-US"/>
              </w:rPr>
              <w:t>4%</w:t>
            </w:r>
          </w:p>
        </w:tc>
        <w:tc>
          <w:tcPr>
            <w:tcW w:w="1348" w:type="dxa"/>
          </w:tcPr>
          <w:p w14:paraId="76570683" w14:textId="77777777" w:rsidR="003714F9" w:rsidRPr="00F36CBE" w:rsidRDefault="003714F9" w:rsidP="003714F9">
            <w:pPr>
              <w:tabs>
                <w:tab w:val="left" w:pos="743"/>
              </w:tabs>
              <w:spacing w:before="40" w:after="40"/>
              <w:jc w:val="center"/>
              <w:rPr>
                <w:rFonts w:ascii="Arial Narrow" w:eastAsia="Calibri" w:hAnsi="Arial Narrow" w:cs="Times New Roman"/>
                <w:sz w:val="20"/>
                <w:lang w:eastAsia="en-US"/>
              </w:rPr>
            </w:pPr>
            <w:r w:rsidRPr="00F36CBE">
              <w:rPr>
                <w:rFonts w:ascii="Arial Narrow" w:eastAsia="Calibri" w:hAnsi="Arial Narrow" w:cs="Times New Roman"/>
                <w:sz w:val="20"/>
                <w:lang w:eastAsia="en-US"/>
              </w:rPr>
              <w:t>2,408</w:t>
            </w:r>
            <w:r>
              <w:rPr>
                <w:rFonts w:ascii="Arial Narrow" w:eastAsia="Calibri" w:hAnsi="Arial Narrow" w:cs="Times New Roman"/>
                <w:sz w:val="20"/>
                <w:lang w:eastAsia="en-US"/>
              </w:rPr>
              <w:t xml:space="preserve"> (96)</w:t>
            </w:r>
          </w:p>
        </w:tc>
        <w:tc>
          <w:tcPr>
            <w:tcW w:w="1559" w:type="dxa"/>
          </w:tcPr>
          <w:p w14:paraId="61EBD085" w14:textId="3E8B3A8F" w:rsidR="003714F9" w:rsidRPr="00F36CBE" w:rsidRDefault="003714F9" w:rsidP="003714F9">
            <w:pPr>
              <w:tabs>
                <w:tab w:val="left" w:pos="743"/>
              </w:tabs>
              <w:spacing w:before="40" w:after="40"/>
              <w:jc w:val="center"/>
              <w:rPr>
                <w:rFonts w:ascii="Arial Narrow" w:eastAsia="Calibri" w:hAnsi="Arial Narrow" w:cs="Times New Roman"/>
                <w:sz w:val="20"/>
                <w:lang w:eastAsia="en-US"/>
              </w:rPr>
            </w:pPr>
            <w:r>
              <w:rPr>
                <w:rFonts w:ascii="Arial Narrow" w:eastAsia="Calibri" w:hAnsi="Arial Narrow" w:cs="Times New Roman"/>
                <w:sz w:val="20"/>
                <w:lang w:eastAsia="en-US"/>
              </w:rPr>
              <w:t>87:183</w:t>
            </w:r>
          </w:p>
        </w:tc>
        <w:tc>
          <w:tcPr>
            <w:tcW w:w="1559" w:type="dxa"/>
          </w:tcPr>
          <w:p w14:paraId="03A1B8AE" w14:textId="6B94B68C" w:rsidR="003714F9" w:rsidRPr="00F36CBE" w:rsidRDefault="003714F9" w:rsidP="003714F9">
            <w:pPr>
              <w:tabs>
                <w:tab w:val="left" w:pos="743"/>
              </w:tabs>
              <w:spacing w:before="40" w:after="40"/>
              <w:jc w:val="center"/>
              <w:rPr>
                <w:rFonts w:ascii="Arial Narrow" w:eastAsia="Calibri" w:hAnsi="Arial Narrow" w:cs="Times New Roman"/>
                <w:sz w:val="20"/>
                <w:lang w:eastAsia="en-US"/>
              </w:rPr>
            </w:pPr>
            <w:r>
              <w:rPr>
                <w:rFonts w:ascii="Arial Narrow" w:eastAsia="Calibri" w:hAnsi="Arial Narrow" w:cs="Times New Roman"/>
                <w:sz w:val="20"/>
                <w:lang w:eastAsia="en-US"/>
              </w:rPr>
              <w:t>9</w:t>
            </w:r>
          </w:p>
        </w:tc>
        <w:tc>
          <w:tcPr>
            <w:tcW w:w="1295" w:type="dxa"/>
          </w:tcPr>
          <w:p w14:paraId="41E846CC" w14:textId="22DB20C4" w:rsidR="003714F9" w:rsidRDefault="003714F9" w:rsidP="003714F9">
            <w:pPr>
              <w:tabs>
                <w:tab w:val="left" w:pos="743"/>
              </w:tabs>
              <w:spacing w:before="40" w:after="40"/>
              <w:jc w:val="center"/>
              <w:rPr>
                <w:rFonts w:ascii="Arial Narrow" w:eastAsia="Calibri" w:hAnsi="Arial Narrow" w:cs="Times New Roman"/>
                <w:sz w:val="20"/>
                <w:lang w:eastAsia="en-US"/>
              </w:rPr>
            </w:pPr>
            <w:r>
              <w:rPr>
                <w:rFonts w:ascii="Arial Narrow" w:eastAsia="Calibri" w:hAnsi="Arial Narrow" w:cs="Times New Roman"/>
                <w:sz w:val="20"/>
                <w:lang w:eastAsia="en-US"/>
              </w:rPr>
              <w:t>28</w:t>
            </w:r>
          </w:p>
        </w:tc>
      </w:tr>
      <w:tr w:rsidR="003714F9" w:rsidRPr="00F36CBE" w14:paraId="28303D6C" w14:textId="77777777" w:rsidTr="003714F9">
        <w:tc>
          <w:tcPr>
            <w:tcW w:w="1913" w:type="dxa"/>
          </w:tcPr>
          <w:p w14:paraId="61088F65" w14:textId="77777777" w:rsidR="003714F9" w:rsidRPr="00F36CBE" w:rsidRDefault="003714F9" w:rsidP="003714F9">
            <w:pPr>
              <w:spacing w:before="40" w:after="40"/>
              <w:rPr>
                <w:rFonts w:ascii="Arial Narrow" w:eastAsia="Calibri" w:hAnsi="Arial Narrow" w:cs="Times New Roman"/>
                <w:sz w:val="20"/>
                <w:lang w:eastAsia="en-US"/>
              </w:rPr>
            </w:pPr>
            <w:r w:rsidRPr="00F36CBE">
              <w:rPr>
                <w:rFonts w:ascii="Arial Narrow" w:eastAsia="Calibri" w:hAnsi="Arial Narrow" w:cs="Times New Roman"/>
                <w:sz w:val="20"/>
                <w:lang w:eastAsia="en-US"/>
              </w:rPr>
              <w:t>Ovarian cancer</w:t>
            </w:r>
          </w:p>
        </w:tc>
        <w:tc>
          <w:tcPr>
            <w:tcW w:w="1129" w:type="dxa"/>
          </w:tcPr>
          <w:p w14:paraId="20720A5B" w14:textId="77777777" w:rsidR="003714F9" w:rsidRPr="00F36CBE" w:rsidRDefault="003714F9" w:rsidP="003714F9">
            <w:pPr>
              <w:tabs>
                <w:tab w:val="left" w:pos="743"/>
              </w:tabs>
              <w:spacing w:before="40" w:after="40"/>
              <w:jc w:val="center"/>
              <w:rPr>
                <w:rFonts w:ascii="Arial Narrow" w:eastAsia="Calibri" w:hAnsi="Arial Narrow" w:cs="Times New Roman"/>
                <w:sz w:val="20"/>
                <w:lang w:eastAsia="en-US"/>
              </w:rPr>
            </w:pPr>
            <w:r w:rsidRPr="00F36CBE">
              <w:rPr>
                <w:rFonts w:ascii="Arial Narrow" w:eastAsia="Calibri" w:hAnsi="Arial Narrow" w:cs="Times New Roman"/>
                <w:sz w:val="20"/>
                <w:lang w:eastAsia="en-US"/>
              </w:rPr>
              <w:t>11%</w:t>
            </w:r>
          </w:p>
        </w:tc>
        <w:tc>
          <w:tcPr>
            <w:tcW w:w="1348" w:type="dxa"/>
          </w:tcPr>
          <w:p w14:paraId="520417C7" w14:textId="77777777" w:rsidR="003714F9" w:rsidRPr="00F36CBE" w:rsidRDefault="003714F9" w:rsidP="003714F9">
            <w:pPr>
              <w:tabs>
                <w:tab w:val="left" w:pos="743"/>
              </w:tabs>
              <w:spacing w:before="40" w:after="40"/>
              <w:jc w:val="center"/>
              <w:rPr>
                <w:rFonts w:ascii="Arial Narrow" w:eastAsia="Calibri" w:hAnsi="Arial Narrow" w:cs="Times New Roman"/>
                <w:sz w:val="20"/>
                <w:lang w:eastAsia="en-US"/>
              </w:rPr>
            </w:pPr>
            <w:r w:rsidRPr="00F36CBE">
              <w:rPr>
                <w:rFonts w:ascii="Arial Narrow" w:eastAsia="Calibri" w:hAnsi="Arial Narrow" w:cs="Times New Roman"/>
                <w:sz w:val="20"/>
                <w:lang w:eastAsia="en-US"/>
              </w:rPr>
              <w:t>811</w:t>
            </w:r>
            <w:r>
              <w:rPr>
                <w:rFonts w:ascii="Arial Narrow" w:eastAsia="Calibri" w:hAnsi="Arial Narrow" w:cs="Times New Roman"/>
                <w:sz w:val="20"/>
                <w:lang w:eastAsia="en-US"/>
              </w:rPr>
              <w:t xml:space="preserve"> (89)</w:t>
            </w:r>
          </w:p>
        </w:tc>
        <w:tc>
          <w:tcPr>
            <w:tcW w:w="1559" w:type="dxa"/>
          </w:tcPr>
          <w:p w14:paraId="0058D193" w14:textId="7E525EA8" w:rsidR="003714F9" w:rsidRPr="00F36CBE" w:rsidRDefault="003714F9" w:rsidP="003714F9">
            <w:pPr>
              <w:tabs>
                <w:tab w:val="left" w:pos="743"/>
              </w:tabs>
              <w:spacing w:before="40" w:after="40"/>
              <w:jc w:val="center"/>
              <w:rPr>
                <w:rFonts w:ascii="Arial Narrow" w:eastAsia="Calibri" w:hAnsi="Arial Narrow" w:cs="Times New Roman"/>
                <w:sz w:val="20"/>
                <w:lang w:eastAsia="en-US"/>
              </w:rPr>
            </w:pPr>
            <w:r>
              <w:rPr>
                <w:rFonts w:ascii="Arial Narrow" w:eastAsia="Calibri" w:hAnsi="Arial Narrow" w:cs="Times New Roman"/>
                <w:sz w:val="20"/>
                <w:lang w:eastAsia="en-US"/>
              </w:rPr>
              <w:t>81:58</w:t>
            </w:r>
          </w:p>
        </w:tc>
        <w:tc>
          <w:tcPr>
            <w:tcW w:w="1559" w:type="dxa"/>
          </w:tcPr>
          <w:p w14:paraId="02111B84" w14:textId="0C034E29" w:rsidR="003714F9" w:rsidRPr="00F36CBE" w:rsidRDefault="00584239" w:rsidP="003714F9">
            <w:pPr>
              <w:tabs>
                <w:tab w:val="left" w:pos="743"/>
              </w:tabs>
              <w:spacing w:before="40" w:after="40"/>
              <w:jc w:val="center"/>
              <w:rPr>
                <w:rFonts w:ascii="Arial Narrow" w:eastAsia="Calibri" w:hAnsi="Arial Narrow" w:cs="Times New Roman"/>
                <w:sz w:val="20"/>
                <w:lang w:eastAsia="en-US"/>
              </w:rPr>
            </w:pPr>
            <w:r>
              <w:rPr>
                <w:rFonts w:ascii="Arial Narrow" w:eastAsia="Calibri" w:hAnsi="Arial Narrow" w:cs="Times New Roman"/>
                <w:sz w:val="20"/>
                <w:lang w:eastAsia="en-US"/>
              </w:rPr>
              <w:t>6</w:t>
            </w:r>
          </w:p>
        </w:tc>
        <w:tc>
          <w:tcPr>
            <w:tcW w:w="1295" w:type="dxa"/>
          </w:tcPr>
          <w:p w14:paraId="2EA5C2D5" w14:textId="7459D71B" w:rsidR="003714F9" w:rsidRDefault="00584239" w:rsidP="003714F9">
            <w:pPr>
              <w:tabs>
                <w:tab w:val="left" w:pos="743"/>
              </w:tabs>
              <w:spacing w:before="40" w:after="40"/>
              <w:jc w:val="center"/>
              <w:rPr>
                <w:rFonts w:ascii="Arial Narrow" w:eastAsia="Calibri" w:hAnsi="Arial Narrow" w:cs="Times New Roman"/>
                <w:sz w:val="20"/>
                <w:lang w:eastAsia="en-US"/>
              </w:rPr>
            </w:pPr>
            <w:r>
              <w:rPr>
                <w:rFonts w:ascii="Arial Narrow" w:eastAsia="Calibri" w:hAnsi="Arial Narrow" w:cs="Times New Roman"/>
                <w:sz w:val="20"/>
                <w:lang w:eastAsia="en-US"/>
              </w:rPr>
              <w:t>10</w:t>
            </w:r>
          </w:p>
        </w:tc>
      </w:tr>
      <w:tr w:rsidR="003714F9" w:rsidRPr="00F36CBE" w14:paraId="13F52E97" w14:textId="77777777" w:rsidTr="003714F9">
        <w:tc>
          <w:tcPr>
            <w:tcW w:w="1913" w:type="dxa"/>
          </w:tcPr>
          <w:p w14:paraId="5DB11C1E" w14:textId="77777777" w:rsidR="003714F9" w:rsidRPr="00F36CBE" w:rsidRDefault="003714F9" w:rsidP="003714F9">
            <w:pPr>
              <w:spacing w:before="40" w:after="40"/>
              <w:rPr>
                <w:rFonts w:ascii="Arial Narrow" w:eastAsia="Calibri" w:hAnsi="Arial Narrow" w:cs="Times New Roman"/>
                <w:sz w:val="20"/>
                <w:lang w:eastAsia="en-US"/>
              </w:rPr>
            </w:pPr>
            <w:r w:rsidRPr="00F36CBE">
              <w:rPr>
                <w:rFonts w:ascii="Arial Narrow" w:eastAsia="Calibri" w:hAnsi="Arial Narrow" w:cs="Times New Roman"/>
                <w:sz w:val="20"/>
                <w:lang w:eastAsia="en-US"/>
              </w:rPr>
              <w:t>Gastric cancer</w:t>
            </w:r>
          </w:p>
        </w:tc>
        <w:tc>
          <w:tcPr>
            <w:tcW w:w="1129" w:type="dxa"/>
          </w:tcPr>
          <w:p w14:paraId="6E909A77" w14:textId="77777777" w:rsidR="003714F9" w:rsidRPr="00F36CBE" w:rsidRDefault="003714F9" w:rsidP="003714F9">
            <w:pPr>
              <w:tabs>
                <w:tab w:val="left" w:pos="743"/>
              </w:tabs>
              <w:spacing w:before="40" w:after="40"/>
              <w:jc w:val="center"/>
              <w:rPr>
                <w:rFonts w:ascii="Arial Narrow" w:eastAsia="Calibri" w:hAnsi="Arial Narrow" w:cs="Times New Roman"/>
                <w:sz w:val="20"/>
                <w:lang w:eastAsia="en-US"/>
              </w:rPr>
            </w:pPr>
            <w:r>
              <w:rPr>
                <w:rFonts w:ascii="Arial Narrow" w:eastAsia="Calibri" w:hAnsi="Arial Narrow" w:cs="Times New Roman"/>
                <w:sz w:val="20"/>
                <w:lang w:eastAsia="en-US"/>
              </w:rPr>
              <w:t>15</w:t>
            </w:r>
            <w:r w:rsidRPr="00F36CBE">
              <w:rPr>
                <w:rFonts w:ascii="Arial Narrow" w:eastAsia="Calibri" w:hAnsi="Arial Narrow" w:cs="Times New Roman"/>
                <w:sz w:val="20"/>
                <w:lang w:eastAsia="en-US"/>
              </w:rPr>
              <w:t>%</w:t>
            </w:r>
          </w:p>
        </w:tc>
        <w:tc>
          <w:tcPr>
            <w:tcW w:w="1348" w:type="dxa"/>
          </w:tcPr>
          <w:p w14:paraId="3C82B2D4" w14:textId="77777777" w:rsidR="003714F9" w:rsidRPr="00F36CBE" w:rsidRDefault="003714F9" w:rsidP="003714F9">
            <w:pPr>
              <w:tabs>
                <w:tab w:val="left" w:pos="743"/>
              </w:tabs>
              <w:spacing w:before="40" w:after="40"/>
              <w:jc w:val="center"/>
              <w:rPr>
                <w:rFonts w:ascii="Arial Narrow" w:eastAsia="Calibri" w:hAnsi="Arial Narrow" w:cs="Times New Roman"/>
                <w:sz w:val="20"/>
                <w:lang w:eastAsia="en-US"/>
              </w:rPr>
            </w:pPr>
            <w:r w:rsidRPr="00F36CBE">
              <w:rPr>
                <w:rFonts w:ascii="Arial Narrow" w:eastAsia="Calibri" w:hAnsi="Arial Narrow" w:cs="Times New Roman"/>
                <w:sz w:val="20"/>
                <w:lang w:eastAsia="en-US"/>
              </w:rPr>
              <w:t>1,007</w:t>
            </w:r>
            <w:r>
              <w:rPr>
                <w:rFonts w:ascii="Arial Narrow" w:eastAsia="Calibri" w:hAnsi="Arial Narrow" w:cs="Times New Roman"/>
                <w:sz w:val="20"/>
                <w:lang w:eastAsia="en-US"/>
              </w:rPr>
              <w:t xml:space="preserve"> (151)</w:t>
            </w:r>
          </w:p>
        </w:tc>
        <w:tc>
          <w:tcPr>
            <w:tcW w:w="1559" w:type="dxa"/>
          </w:tcPr>
          <w:p w14:paraId="668807DD" w14:textId="390643A6" w:rsidR="003714F9" w:rsidRPr="00F36CBE" w:rsidRDefault="003714F9" w:rsidP="003714F9">
            <w:pPr>
              <w:tabs>
                <w:tab w:val="left" w:pos="743"/>
              </w:tabs>
              <w:spacing w:before="40" w:after="40"/>
              <w:jc w:val="center"/>
              <w:rPr>
                <w:rFonts w:ascii="Arial Narrow" w:eastAsia="Calibri" w:hAnsi="Arial Narrow" w:cs="Times New Roman"/>
                <w:sz w:val="20"/>
                <w:lang w:eastAsia="en-US"/>
              </w:rPr>
            </w:pPr>
            <w:r>
              <w:rPr>
                <w:rFonts w:ascii="Arial Narrow" w:eastAsia="Calibri" w:hAnsi="Arial Narrow" w:cs="Times New Roman"/>
                <w:sz w:val="20"/>
                <w:lang w:eastAsia="en-US"/>
              </w:rPr>
              <w:t>137:68</w:t>
            </w:r>
          </w:p>
        </w:tc>
        <w:tc>
          <w:tcPr>
            <w:tcW w:w="1559" w:type="dxa"/>
          </w:tcPr>
          <w:p w14:paraId="7D13428F" w14:textId="42D80E88" w:rsidR="003714F9" w:rsidRPr="00F36CBE" w:rsidRDefault="00584239" w:rsidP="003714F9">
            <w:pPr>
              <w:tabs>
                <w:tab w:val="left" w:pos="743"/>
              </w:tabs>
              <w:spacing w:before="40" w:after="40"/>
              <w:jc w:val="center"/>
              <w:rPr>
                <w:rFonts w:ascii="Arial Narrow" w:eastAsia="Calibri" w:hAnsi="Arial Narrow" w:cs="Times New Roman"/>
                <w:sz w:val="20"/>
                <w:lang w:eastAsia="en-US"/>
              </w:rPr>
            </w:pPr>
            <w:r>
              <w:rPr>
                <w:rFonts w:ascii="Arial Narrow" w:eastAsia="Calibri" w:hAnsi="Arial Narrow" w:cs="Times New Roman"/>
                <w:sz w:val="20"/>
                <w:lang w:eastAsia="en-US"/>
              </w:rPr>
              <w:t>5</w:t>
            </w:r>
          </w:p>
        </w:tc>
        <w:tc>
          <w:tcPr>
            <w:tcW w:w="1295" w:type="dxa"/>
          </w:tcPr>
          <w:p w14:paraId="3A0CB128" w14:textId="36D1CF53" w:rsidR="003714F9" w:rsidRDefault="00584239" w:rsidP="003714F9">
            <w:pPr>
              <w:tabs>
                <w:tab w:val="left" w:pos="743"/>
              </w:tabs>
              <w:spacing w:before="40" w:after="40"/>
              <w:jc w:val="center"/>
              <w:rPr>
                <w:rFonts w:ascii="Arial Narrow" w:eastAsia="Calibri" w:hAnsi="Arial Narrow" w:cs="Times New Roman"/>
                <w:sz w:val="20"/>
                <w:lang w:eastAsia="en-US"/>
              </w:rPr>
            </w:pPr>
            <w:r>
              <w:rPr>
                <w:rFonts w:ascii="Arial Narrow" w:eastAsia="Calibri" w:hAnsi="Arial Narrow" w:cs="Times New Roman"/>
                <w:sz w:val="20"/>
                <w:lang w:eastAsia="en-US"/>
              </w:rPr>
              <w:t>7</w:t>
            </w:r>
          </w:p>
        </w:tc>
      </w:tr>
      <w:tr w:rsidR="003714F9" w:rsidRPr="00F36CBE" w14:paraId="1A9CB321" w14:textId="77777777" w:rsidTr="003714F9">
        <w:tc>
          <w:tcPr>
            <w:tcW w:w="1913" w:type="dxa"/>
          </w:tcPr>
          <w:p w14:paraId="40090F47" w14:textId="77777777" w:rsidR="003714F9" w:rsidRPr="00F36CBE" w:rsidRDefault="003714F9" w:rsidP="003714F9">
            <w:pPr>
              <w:spacing w:before="40" w:after="40"/>
              <w:rPr>
                <w:rFonts w:ascii="Arial Narrow" w:eastAsia="Calibri" w:hAnsi="Arial Narrow" w:cs="Times New Roman"/>
                <w:sz w:val="20"/>
                <w:lang w:eastAsia="en-US"/>
              </w:rPr>
            </w:pPr>
            <w:r w:rsidRPr="00F36CBE">
              <w:rPr>
                <w:rFonts w:ascii="Arial Narrow" w:eastAsia="Calibri" w:hAnsi="Arial Narrow" w:cs="Times New Roman"/>
                <w:sz w:val="20"/>
                <w:lang w:eastAsia="en-US"/>
              </w:rPr>
              <w:t>Cervical cancer</w:t>
            </w:r>
          </w:p>
        </w:tc>
        <w:tc>
          <w:tcPr>
            <w:tcW w:w="1129" w:type="dxa"/>
          </w:tcPr>
          <w:p w14:paraId="369BE804" w14:textId="77777777" w:rsidR="003714F9" w:rsidRPr="00F36CBE" w:rsidRDefault="003714F9" w:rsidP="003714F9">
            <w:pPr>
              <w:tabs>
                <w:tab w:val="left" w:pos="743"/>
              </w:tabs>
              <w:spacing w:before="40" w:after="40"/>
              <w:jc w:val="center"/>
              <w:rPr>
                <w:rFonts w:ascii="Arial Narrow" w:eastAsia="Calibri" w:hAnsi="Arial Narrow" w:cs="Times New Roman"/>
                <w:sz w:val="20"/>
                <w:lang w:eastAsia="en-US"/>
              </w:rPr>
            </w:pPr>
            <w:r w:rsidRPr="00F36CBE">
              <w:rPr>
                <w:rFonts w:ascii="Arial Narrow" w:eastAsia="Calibri" w:hAnsi="Arial Narrow" w:cs="Times New Roman"/>
                <w:sz w:val="20"/>
                <w:lang w:eastAsia="en-US"/>
              </w:rPr>
              <w:t>9%</w:t>
            </w:r>
          </w:p>
        </w:tc>
        <w:tc>
          <w:tcPr>
            <w:tcW w:w="1348" w:type="dxa"/>
          </w:tcPr>
          <w:p w14:paraId="1620B766" w14:textId="77777777" w:rsidR="003714F9" w:rsidRPr="00F36CBE" w:rsidRDefault="003714F9" w:rsidP="003714F9">
            <w:pPr>
              <w:tabs>
                <w:tab w:val="left" w:pos="743"/>
              </w:tabs>
              <w:spacing w:before="40" w:after="40"/>
              <w:jc w:val="center"/>
              <w:rPr>
                <w:rFonts w:ascii="Arial Narrow" w:eastAsia="Calibri" w:hAnsi="Arial Narrow" w:cs="Times New Roman"/>
                <w:sz w:val="20"/>
                <w:lang w:eastAsia="en-US"/>
              </w:rPr>
            </w:pPr>
            <w:r w:rsidRPr="00F36CBE">
              <w:rPr>
                <w:rFonts w:ascii="Arial Narrow" w:eastAsia="Calibri" w:hAnsi="Arial Narrow" w:cs="Times New Roman"/>
                <w:sz w:val="20"/>
                <w:lang w:eastAsia="en-US"/>
              </w:rPr>
              <w:t>221</w:t>
            </w:r>
            <w:r>
              <w:rPr>
                <w:rFonts w:ascii="Arial Narrow" w:eastAsia="Calibri" w:hAnsi="Arial Narrow" w:cs="Times New Roman"/>
                <w:sz w:val="20"/>
                <w:lang w:eastAsia="en-US"/>
              </w:rPr>
              <w:t xml:space="preserve"> (20)</w:t>
            </w:r>
          </w:p>
        </w:tc>
        <w:tc>
          <w:tcPr>
            <w:tcW w:w="1559" w:type="dxa"/>
          </w:tcPr>
          <w:p w14:paraId="79F995D4" w14:textId="405E1172" w:rsidR="003714F9" w:rsidRPr="00F36CBE" w:rsidRDefault="003714F9" w:rsidP="003714F9">
            <w:pPr>
              <w:tabs>
                <w:tab w:val="left" w:pos="743"/>
              </w:tabs>
              <w:spacing w:before="40" w:after="40"/>
              <w:jc w:val="center"/>
              <w:rPr>
                <w:rFonts w:ascii="Arial Narrow" w:eastAsia="Calibri" w:hAnsi="Arial Narrow" w:cs="Times New Roman"/>
                <w:sz w:val="20"/>
                <w:lang w:eastAsia="en-US"/>
              </w:rPr>
            </w:pPr>
            <w:r>
              <w:rPr>
                <w:rFonts w:ascii="Arial Narrow" w:eastAsia="Calibri" w:hAnsi="Arial Narrow" w:cs="Times New Roman"/>
                <w:sz w:val="20"/>
                <w:lang w:eastAsia="en-US"/>
              </w:rPr>
              <w:t>18:16</w:t>
            </w:r>
          </w:p>
        </w:tc>
        <w:tc>
          <w:tcPr>
            <w:tcW w:w="1559" w:type="dxa"/>
          </w:tcPr>
          <w:p w14:paraId="002884A6" w14:textId="31057ACA" w:rsidR="003714F9" w:rsidRPr="00F36CBE" w:rsidRDefault="00584239" w:rsidP="003714F9">
            <w:pPr>
              <w:tabs>
                <w:tab w:val="left" w:pos="743"/>
              </w:tabs>
              <w:spacing w:before="40" w:after="40"/>
              <w:jc w:val="center"/>
              <w:rPr>
                <w:rFonts w:ascii="Arial Narrow" w:eastAsia="Calibri" w:hAnsi="Arial Narrow" w:cs="Times New Roman"/>
                <w:sz w:val="20"/>
                <w:lang w:eastAsia="en-US"/>
              </w:rPr>
            </w:pPr>
            <w:r>
              <w:rPr>
                <w:rFonts w:ascii="Arial Narrow" w:eastAsia="Calibri" w:hAnsi="Arial Narrow" w:cs="Times New Roman"/>
                <w:sz w:val="20"/>
                <w:lang w:eastAsia="en-US"/>
              </w:rPr>
              <w:t>7</w:t>
            </w:r>
          </w:p>
        </w:tc>
        <w:tc>
          <w:tcPr>
            <w:tcW w:w="1295" w:type="dxa"/>
          </w:tcPr>
          <w:p w14:paraId="0E743187" w14:textId="2721EC22" w:rsidR="003714F9" w:rsidRDefault="00584239" w:rsidP="003714F9">
            <w:pPr>
              <w:tabs>
                <w:tab w:val="left" w:pos="743"/>
              </w:tabs>
              <w:spacing w:before="40" w:after="40"/>
              <w:jc w:val="center"/>
              <w:rPr>
                <w:rFonts w:ascii="Arial Narrow" w:eastAsia="Calibri" w:hAnsi="Arial Narrow" w:cs="Times New Roman"/>
                <w:sz w:val="20"/>
                <w:lang w:eastAsia="en-US"/>
              </w:rPr>
            </w:pPr>
            <w:r>
              <w:rPr>
                <w:rFonts w:ascii="Arial Narrow" w:eastAsia="Calibri" w:hAnsi="Arial Narrow" w:cs="Times New Roman"/>
                <w:sz w:val="20"/>
                <w:lang w:eastAsia="en-US"/>
              </w:rPr>
              <w:t>12</w:t>
            </w:r>
          </w:p>
        </w:tc>
      </w:tr>
      <w:tr w:rsidR="003714F9" w:rsidRPr="00F36CBE" w14:paraId="1F4DF2EE" w14:textId="77777777" w:rsidTr="003714F9">
        <w:tc>
          <w:tcPr>
            <w:tcW w:w="1913" w:type="dxa"/>
          </w:tcPr>
          <w:p w14:paraId="0890BD7A" w14:textId="77777777" w:rsidR="003714F9" w:rsidRPr="00F36CBE" w:rsidRDefault="003714F9" w:rsidP="003714F9">
            <w:pPr>
              <w:spacing w:before="40" w:after="40"/>
              <w:rPr>
                <w:rFonts w:ascii="Arial Narrow" w:eastAsia="Calibri" w:hAnsi="Arial Narrow" w:cs="Times New Roman"/>
                <w:sz w:val="20"/>
                <w:lang w:eastAsia="en-US"/>
              </w:rPr>
            </w:pPr>
            <w:r w:rsidRPr="00F36CBE">
              <w:rPr>
                <w:rFonts w:ascii="Arial Narrow" w:eastAsia="Calibri" w:hAnsi="Arial Narrow" w:cs="Times New Roman"/>
                <w:sz w:val="20"/>
                <w:lang w:eastAsia="en-US"/>
              </w:rPr>
              <w:t>Glioma</w:t>
            </w:r>
          </w:p>
        </w:tc>
        <w:tc>
          <w:tcPr>
            <w:tcW w:w="1129" w:type="dxa"/>
          </w:tcPr>
          <w:p w14:paraId="33C1A58C" w14:textId="77777777" w:rsidR="003714F9" w:rsidRPr="00F36CBE" w:rsidRDefault="003714F9" w:rsidP="003714F9">
            <w:pPr>
              <w:tabs>
                <w:tab w:val="left" w:pos="743"/>
              </w:tabs>
              <w:spacing w:before="40" w:after="40"/>
              <w:jc w:val="center"/>
              <w:rPr>
                <w:rFonts w:ascii="Arial Narrow" w:eastAsia="Calibri" w:hAnsi="Arial Narrow" w:cs="Times New Roman"/>
                <w:sz w:val="20"/>
                <w:lang w:eastAsia="en-US"/>
              </w:rPr>
            </w:pPr>
            <w:r w:rsidRPr="00F36CBE">
              <w:rPr>
                <w:rFonts w:ascii="Arial Narrow" w:eastAsia="Calibri" w:hAnsi="Arial Narrow" w:cs="Times New Roman"/>
                <w:sz w:val="20"/>
                <w:lang w:eastAsia="en-US"/>
              </w:rPr>
              <w:t>33%</w:t>
            </w:r>
          </w:p>
        </w:tc>
        <w:tc>
          <w:tcPr>
            <w:tcW w:w="1348" w:type="dxa"/>
          </w:tcPr>
          <w:p w14:paraId="26F8B67D" w14:textId="77777777" w:rsidR="003714F9" w:rsidRPr="00F36CBE" w:rsidRDefault="003714F9" w:rsidP="003714F9">
            <w:pPr>
              <w:tabs>
                <w:tab w:val="left" w:pos="743"/>
              </w:tabs>
              <w:spacing w:before="40" w:after="40"/>
              <w:jc w:val="center"/>
              <w:rPr>
                <w:rFonts w:ascii="Arial Narrow" w:eastAsia="Calibri" w:hAnsi="Arial Narrow" w:cs="Times New Roman"/>
                <w:sz w:val="20"/>
                <w:lang w:eastAsia="en-US"/>
              </w:rPr>
            </w:pPr>
            <w:r w:rsidRPr="00F36CBE">
              <w:rPr>
                <w:rFonts w:ascii="Arial Narrow" w:eastAsia="Calibri" w:hAnsi="Arial Narrow" w:cs="Times New Roman"/>
                <w:sz w:val="20"/>
                <w:lang w:eastAsia="en-US"/>
              </w:rPr>
              <w:t>1,278</w:t>
            </w:r>
            <w:r>
              <w:rPr>
                <w:rFonts w:ascii="Arial Narrow" w:eastAsia="Calibri" w:hAnsi="Arial Narrow" w:cs="Times New Roman"/>
                <w:sz w:val="20"/>
                <w:lang w:eastAsia="en-US"/>
              </w:rPr>
              <w:t xml:space="preserve"> (422)</w:t>
            </w:r>
          </w:p>
        </w:tc>
        <w:tc>
          <w:tcPr>
            <w:tcW w:w="1559" w:type="dxa"/>
          </w:tcPr>
          <w:p w14:paraId="53261D29" w14:textId="73D00998" w:rsidR="003714F9" w:rsidRPr="00F36CBE" w:rsidRDefault="003714F9" w:rsidP="003714F9">
            <w:pPr>
              <w:tabs>
                <w:tab w:val="left" w:pos="743"/>
              </w:tabs>
              <w:spacing w:before="40" w:after="40"/>
              <w:jc w:val="center"/>
              <w:rPr>
                <w:rFonts w:ascii="Arial Narrow" w:eastAsia="Calibri" w:hAnsi="Arial Narrow" w:cs="Times New Roman"/>
                <w:sz w:val="20"/>
                <w:lang w:eastAsia="en-US"/>
              </w:rPr>
            </w:pPr>
            <w:r>
              <w:rPr>
                <w:rFonts w:ascii="Arial Narrow" w:eastAsia="Calibri" w:hAnsi="Arial Narrow" w:cs="Times New Roman"/>
                <w:sz w:val="20"/>
                <w:lang w:eastAsia="en-US"/>
              </w:rPr>
              <w:t>384:68</w:t>
            </w:r>
          </w:p>
        </w:tc>
        <w:tc>
          <w:tcPr>
            <w:tcW w:w="1559" w:type="dxa"/>
          </w:tcPr>
          <w:p w14:paraId="2E7DAFF4" w14:textId="47EB9356" w:rsidR="003714F9" w:rsidRPr="00F36CBE" w:rsidRDefault="00584239" w:rsidP="003714F9">
            <w:pPr>
              <w:tabs>
                <w:tab w:val="left" w:pos="743"/>
              </w:tabs>
              <w:spacing w:before="40" w:after="40"/>
              <w:jc w:val="center"/>
              <w:rPr>
                <w:rFonts w:ascii="Arial Narrow" w:eastAsia="Calibri" w:hAnsi="Arial Narrow" w:cs="Times New Roman"/>
                <w:sz w:val="20"/>
                <w:lang w:eastAsia="en-US"/>
              </w:rPr>
            </w:pPr>
            <w:r>
              <w:rPr>
                <w:rFonts w:ascii="Arial Narrow" w:eastAsia="Calibri" w:hAnsi="Arial Narrow" w:cs="Times New Roman"/>
                <w:sz w:val="20"/>
                <w:lang w:eastAsia="en-US"/>
              </w:rPr>
              <w:t>3</w:t>
            </w:r>
          </w:p>
        </w:tc>
        <w:tc>
          <w:tcPr>
            <w:tcW w:w="1295" w:type="dxa"/>
          </w:tcPr>
          <w:p w14:paraId="2C8256F0" w14:textId="6A0B41CB" w:rsidR="003714F9" w:rsidRDefault="00584239" w:rsidP="003714F9">
            <w:pPr>
              <w:tabs>
                <w:tab w:val="left" w:pos="634"/>
                <w:tab w:val="left" w:pos="743"/>
                <w:tab w:val="center" w:pos="813"/>
              </w:tabs>
              <w:spacing w:before="40" w:after="40"/>
              <w:jc w:val="center"/>
              <w:rPr>
                <w:rFonts w:ascii="Arial Narrow" w:eastAsia="Calibri" w:hAnsi="Arial Narrow" w:cs="Times New Roman"/>
                <w:sz w:val="20"/>
                <w:lang w:eastAsia="en-US"/>
              </w:rPr>
            </w:pPr>
            <w:r>
              <w:rPr>
                <w:rFonts w:ascii="Arial Narrow" w:eastAsia="Calibri" w:hAnsi="Arial Narrow" w:cs="Times New Roman"/>
                <w:sz w:val="20"/>
                <w:lang w:eastAsia="en-US"/>
              </w:rPr>
              <w:t>3</w:t>
            </w:r>
          </w:p>
        </w:tc>
      </w:tr>
      <w:tr w:rsidR="003714F9" w:rsidRPr="00F36CBE" w14:paraId="308723B0" w14:textId="77777777" w:rsidTr="003714F9">
        <w:tc>
          <w:tcPr>
            <w:tcW w:w="1913" w:type="dxa"/>
            <w:tcBorders>
              <w:bottom w:val="single" w:sz="4" w:space="0" w:color="auto"/>
            </w:tcBorders>
          </w:tcPr>
          <w:p w14:paraId="0C6D61B7" w14:textId="77777777" w:rsidR="003714F9" w:rsidRPr="00F36CBE" w:rsidRDefault="003714F9" w:rsidP="003714F9">
            <w:pPr>
              <w:spacing w:before="40" w:after="40"/>
              <w:rPr>
                <w:rFonts w:ascii="Arial Narrow" w:eastAsia="Calibri" w:hAnsi="Arial Narrow" w:cs="Times New Roman"/>
                <w:sz w:val="20"/>
                <w:lang w:eastAsia="en-US"/>
              </w:rPr>
            </w:pPr>
            <w:r w:rsidRPr="00F36CBE">
              <w:rPr>
                <w:rFonts w:ascii="Arial Narrow" w:eastAsia="Calibri" w:hAnsi="Arial Narrow" w:cs="Times New Roman"/>
                <w:sz w:val="20"/>
                <w:lang w:eastAsia="en-US"/>
              </w:rPr>
              <w:t>Oesophageal cancer</w:t>
            </w:r>
          </w:p>
        </w:tc>
        <w:tc>
          <w:tcPr>
            <w:tcW w:w="1129" w:type="dxa"/>
            <w:tcBorders>
              <w:bottom w:val="single" w:sz="4" w:space="0" w:color="auto"/>
            </w:tcBorders>
          </w:tcPr>
          <w:p w14:paraId="5B4A675F" w14:textId="77777777" w:rsidR="003714F9" w:rsidRPr="00F36CBE" w:rsidRDefault="003714F9" w:rsidP="003714F9">
            <w:pPr>
              <w:tabs>
                <w:tab w:val="left" w:pos="743"/>
              </w:tabs>
              <w:spacing w:before="40" w:after="40"/>
              <w:jc w:val="center"/>
              <w:rPr>
                <w:rFonts w:ascii="Arial Narrow" w:eastAsia="Calibri" w:hAnsi="Arial Narrow" w:cs="Times New Roman"/>
                <w:sz w:val="20"/>
                <w:lang w:eastAsia="en-US"/>
              </w:rPr>
            </w:pPr>
            <w:r>
              <w:rPr>
                <w:rFonts w:ascii="Arial Narrow" w:eastAsia="Calibri" w:hAnsi="Arial Narrow" w:cs="Times New Roman"/>
                <w:sz w:val="20"/>
                <w:lang w:eastAsia="en-US"/>
              </w:rPr>
              <w:t>10%</w:t>
            </w:r>
          </w:p>
        </w:tc>
        <w:tc>
          <w:tcPr>
            <w:tcW w:w="1348" w:type="dxa"/>
            <w:tcBorders>
              <w:bottom w:val="single" w:sz="4" w:space="0" w:color="auto"/>
            </w:tcBorders>
          </w:tcPr>
          <w:p w14:paraId="506C82B3" w14:textId="77777777" w:rsidR="003714F9" w:rsidRPr="00F36CBE" w:rsidRDefault="003714F9" w:rsidP="003714F9">
            <w:pPr>
              <w:tabs>
                <w:tab w:val="left" w:pos="743"/>
              </w:tabs>
              <w:spacing w:before="40" w:after="40"/>
              <w:jc w:val="center"/>
              <w:rPr>
                <w:rFonts w:ascii="Arial Narrow" w:eastAsia="Calibri" w:hAnsi="Arial Narrow" w:cs="Times New Roman"/>
                <w:sz w:val="20"/>
                <w:lang w:eastAsia="en-US"/>
              </w:rPr>
            </w:pPr>
            <w:r w:rsidRPr="00F36CBE">
              <w:rPr>
                <w:rFonts w:ascii="Arial Narrow" w:eastAsia="Calibri" w:hAnsi="Arial Narrow" w:cs="Times New Roman"/>
                <w:sz w:val="20"/>
                <w:lang w:eastAsia="en-US"/>
              </w:rPr>
              <w:t>1,179</w:t>
            </w:r>
            <w:r>
              <w:rPr>
                <w:rFonts w:ascii="Arial Narrow" w:eastAsia="Calibri" w:hAnsi="Arial Narrow" w:cs="Times New Roman"/>
                <w:sz w:val="20"/>
                <w:lang w:eastAsia="en-US"/>
              </w:rPr>
              <w:t xml:space="preserve"> (118)</w:t>
            </w:r>
          </w:p>
        </w:tc>
        <w:tc>
          <w:tcPr>
            <w:tcW w:w="1559" w:type="dxa"/>
            <w:tcBorders>
              <w:bottom w:val="single" w:sz="4" w:space="0" w:color="auto"/>
            </w:tcBorders>
          </w:tcPr>
          <w:p w14:paraId="53CDF54F" w14:textId="0F0CFB7E" w:rsidR="003714F9" w:rsidRPr="00F36CBE" w:rsidRDefault="003714F9" w:rsidP="003714F9">
            <w:pPr>
              <w:tabs>
                <w:tab w:val="left" w:pos="743"/>
              </w:tabs>
              <w:spacing w:before="40" w:after="40"/>
              <w:jc w:val="center"/>
              <w:rPr>
                <w:rFonts w:ascii="Arial Narrow" w:eastAsia="Calibri" w:hAnsi="Arial Narrow" w:cs="Times New Roman"/>
                <w:sz w:val="20"/>
                <w:lang w:eastAsia="en-US"/>
              </w:rPr>
            </w:pPr>
            <w:r>
              <w:rPr>
                <w:rFonts w:ascii="Arial Narrow" w:eastAsia="Calibri" w:hAnsi="Arial Narrow" w:cs="Times New Roman"/>
                <w:sz w:val="20"/>
                <w:lang w:eastAsia="en-US"/>
              </w:rPr>
              <w:t>107:85</w:t>
            </w:r>
          </w:p>
        </w:tc>
        <w:tc>
          <w:tcPr>
            <w:tcW w:w="1559" w:type="dxa"/>
            <w:tcBorders>
              <w:bottom w:val="single" w:sz="4" w:space="0" w:color="auto"/>
            </w:tcBorders>
          </w:tcPr>
          <w:p w14:paraId="6DDEE909" w14:textId="7CDD01BF" w:rsidR="003714F9" w:rsidRPr="00F36CBE" w:rsidRDefault="00584239" w:rsidP="003714F9">
            <w:pPr>
              <w:tabs>
                <w:tab w:val="left" w:pos="743"/>
              </w:tabs>
              <w:spacing w:before="40" w:after="40"/>
              <w:jc w:val="center"/>
              <w:rPr>
                <w:rFonts w:ascii="Arial Narrow" w:eastAsia="Calibri" w:hAnsi="Arial Narrow" w:cs="Times New Roman"/>
                <w:sz w:val="20"/>
                <w:lang w:eastAsia="en-US"/>
              </w:rPr>
            </w:pPr>
            <w:r>
              <w:rPr>
                <w:rFonts w:ascii="Arial Narrow" w:eastAsia="Calibri" w:hAnsi="Arial Narrow" w:cs="Times New Roman"/>
                <w:sz w:val="20"/>
                <w:lang w:eastAsia="en-US"/>
              </w:rPr>
              <w:t>6</w:t>
            </w:r>
          </w:p>
        </w:tc>
        <w:tc>
          <w:tcPr>
            <w:tcW w:w="1295" w:type="dxa"/>
            <w:tcBorders>
              <w:bottom w:val="single" w:sz="4" w:space="0" w:color="auto"/>
            </w:tcBorders>
          </w:tcPr>
          <w:p w14:paraId="3DE5B615" w14:textId="4CE80A39" w:rsidR="003714F9" w:rsidRDefault="00584239" w:rsidP="003714F9">
            <w:pPr>
              <w:tabs>
                <w:tab w:val="left" w:pos="743"/>
              </w:tabs>
              <w:spacing w:before="40" w:after="40"/>
              <w:jc w:val="center"/>
              <w:rPr>
                <w:rFonts w:ascii="Arial Narrow" w:eastAsia="Calibri" w:hAnsi="Arial Narrow" w:cs="Times New Roman"/>
                <w:sz w:val="20"/>
                <w:lang w:eastAsia="en-US"/>
              </w:rPr>
            </w:pPr>
            <w:r>
              <w:rPr>
                <w:rFonts w:ascii="Arial Narrow" w:eastAsia="Calibri" w:hAnsi="Arial Narrow" w:cs="Times New Roman"/>
                <w:sz w:val="20"/>
                <w:lang w:eastAsia="en-US"/>
              </w:rPr>
              <w:t>11</w:t>
            </w:r>
          </w:p>
        </w:tc>
      </w:tr>
    </w:tbl>
    <w:p w14:paraId="4B70EB88" w14:textId="3BA3ADE2" w:rsidR="00005647" w:rsidRDefault="00005647" w:rsidP="00005647">
      <w:pPr>
        <w:spacing w:before="40" w:after="240" w:line="240" w:lineRule="auto"/>
        <w:contextualSpacing/>
        <w:rPr>
          <w:rFonts w:ascii="Arial Narrow" w:eastAsia="Calibri" w:hAnsi="Arial Narrow" w:cs="Times New Roman"/>
          <w:sz w:val="20"/>
          <w:lang w:eastAsia="en-US"/>
        </w:rPr>
      </w:pPr>
      <w:r w:rsidRPr="00941922">
        <w:rPr>
          <w:rFonts w:ascii="Arial Narrow" w:eastAsia="Calibri" w:hAnsi="Arial Narrow" w:cs="Times New Roman"/>
          <w:sz w:val="20"/>
          <w:lang w:eastAsia="en-US"/>
        </w:rPr>
        <w:t xml:space="preserve">Source: </w:t>
      </w:r>
      <w:r>
        <w:rPr>
          <w:rFonts w:ascii="Arial Narrow" w:eastAsia="Calibri" w:hAnsi="Arial Narrow" w:cs="Times New Roman"/>
          <w:sz w:val="20"/>
          <w:lang w:eastAsia="en-US"/>
        </w:rPr>
        <w:t xml:space="preserve">Table </w:t>
      </w:r>
      <w:r w:rsidR="00733487">
        <w:rPr>
          <w:rFonts w:ascii="Arial Narrow" w:eastAsia="Calibri" w:hAnsi="Arial Narrow" w:cs="Times New Roman"/>
          <w:sz w:val="20"/>
          <w:lang w:eastAsia="en-US"/>
        </w:rPr>
        <w:t>3</w:t>
      </w:r>
    </w:p>
    <w:p w14:paraId="46089D04" w14:textId="072EA9B6" w:rsidR="00005647" w:rsidRDefault="00005647" w:rsidP="00005647">
      <w:pPr>
        <w:spacing w:before="40" w:after="240" w:line="240" w:lineRule="auto"/>
        <w:contextualSpacing/>
        <w:rPr>
          <w:rFonts w:ascii="Arial Narrow" w:eastAsia="Calibri" w:hAnsi="Arial Narrow" w:cs="Times New Roman"/>
          <w:sz w:val="20"/>
          <w:lang w:eastAsia="en-US"/>
        </w:rPr>
      </w:pPr>
      <w:r w:rsidRPr="00DA582F">
        <w:rPr>
          <w:rFonts w:ascii="Arial Narrow" w:eastAsia="Calibri" w:hAnsi="Arial Narrow" w:cs="Times New Roman"/>
          <w:sz w:val="20"/>
          <w:lang w:eastAsia="en-US"/>
        </w:rPr>
        <w:t xml:space="preserve">The </w:t>
      </w:r>
      <w:r>
        <w:rPr>
          <w:rFonts w:ascii="Arial Narrow" w:eastAsia="Calibri" w:hAnsi="Arial Narrow" w:cs="Times New Roman"/>
          <w:sz w:val="20"/>
          <w:lang w:eastAsia="en-US"/>
        </w:rPr>
        <w:t>calculat</w:t>
      </w:r>
      <w:r w:rsidR="008B74E1">
        <w:rPr>
          <w:rFonts w:ascii="Arial Narrow" w:eastAsia="Calibri" w:hAnsi="Arial Narrow" w:cs="Times New Roman"/>
          <w:sz w:val="20"/>
          <w:lang w:eastAsia="en-US"/>
        </w:rPr>
        <w:t>ions</w:t>
      </w:r>
      <w:r>
        <w:rPr>
          <w:rFonts w:ascii="Arial Narrow" w:eastAsia="Calibri" w:hAnsi="Arial Narrow" w:cs="Times New Roman"/>
          <w:sz w:val="20"/>
          <w:lang w:eastAsia="en-US"/>
        </w:rPr>
        <w:t xml:space="preserve"> </w:t>
      </w:r>
      <w:r w:rsidR="008B74E1">
        <w:rPr>
          <w:rFonts w:ascii="Arial Narrow" w:eastAsia="Calibri" w:hAnsi="Arial Narrow" w:cs="Times New Roman"/>
          <w:sz w:val="20"/>
          <w:lang w:eastAsia="en-US"/>
        </w:rPr>
        <w:t>are based on</w:t>
      </w:r>
      <w:r>
        <w:rPr>
          <w:rFonts w:ascii="Arial Narrow" w:eastAsia="Calibri" w:hAnsi="Arial Narrow" w:cs="Times New Roman"/>
          <w:sz w:val="20"/>
          <w:lang w:eastAsia="en-US"/>
        </w:rPr>
        <w:t xml:space="preserve"> the </w:t>
      </w:r>
      <w:r w:rsidRPr="00DA582F">
        <w:rPr>
          <w:rFonts w:ascii="Arial Narrow" w:eastAsia="Calibri" w:hAnsi="Arial Narrow" w:cs="Times New Roman"/>
          <w:sz w:val="20"/>
          <w:lang w:eastAsia="en-US"/>
        </w:rPr>
        <w:t>sensitivity and specificity for dMMR IHC testing</w:t>
      </w:r>
      <w:r>
        <w:rPr>
          <w:rFonts w:ascii="Arial Narrow" w:eastAsia="Calibri" w:hAnsi="Arial Narrow" w:cs="Times New Roman"/>
          <w:sz w:val="20"/>
          <w:lang w:eastAsia="en-US"/>
        </w:rPr>
        <w:t>,</w:t>
      </w:r>
      <w:r w:rsidRPr="00DA582F">
        <w:rPr>
          <w:rFonts w:ascii="Arial Narrow" w:eastAsia="Calibri" w:hAnsi="Arial Narrow" w:cs="Times New Roman"/>
          <w:sz w:val="20"/>
          <w:lang w:eastAsia="en-US"/>
        </w:rPr>
        <w:t xml:space="preserve"> compared with </w:t>
      </w:r>
      <w:r w:rsidR="008B74E1">
        <w:rPr>
          <w:rFonts w:ascii="Arial Narrow" w:eastAsia="Calibri" w:hAnsi="Arial Narrow" w:cs="Times New Roman"/>
          <w:sz w:val="20"/>
          <w:lang w:eastAsia="en-US"/>
        </w:rPr>
        <w:t>MS-MLPA</w:t>
      </w:r>
      <w:r w:rsidRPr="00DA582F">
        <w:rPr>
          <w:rFonts w:ascii="Arial Narrow" w:eastAsia="Calibri" w:hAnsi="Arial Narrow" w:cs="Times New Roman"/>
          <w:sz w:val="20"/>
          <w:lang w:eastAsia="en-US"/>
        </w:rPr>
        <w:t xml:space="preserve"> testing of the </w:t>
      </w:r>
      <w:r w:rsidRPr="00452BDF">
        <w:rPr>
          <w:rFonts w:ascii="Arial Narrow" w:eastAsia="Calibri" w:hAnsi="Arial Narrow" w:cs="Times New Roman"/>
          <w:i/>
          <w:sz w:val="20"/>
          <w:lang w:eastAsia="en-US"/>
        </w:rPr>
        <w:t>MLH1</w:t>
      </w:r>
      <w:r w:rsidRPr="00DA582F">
        <w:rPr>
          <w:rFonts w:ascii="Arial Narrow" w:eastAsia="Calibri" w:hAnsi="Arial Narrow" w:cs="Times New Roman"/>
          <w:sz w:val="20"/>
          <w:lang w:eastAsia="en-US"/>
        </w:rPr>
        <w:t xml:space="preserve"> promoter as the reference standard (91%</w:t>
      </w:r>
      <w:r>
        <w:rPr>
          <w:rFonts w:ascii="Arial Narrow" w:eastAsia="Calibri" w:hAnsi="Arial Narrow" w:cs="Times New Roman"/>
          <w:sz w:val="20"/>
          <w:lang w:eastAsia="en-US"/>
        </w:rPr>
        <w:t xml:space="preserve"> and</w:t>
      </w:r>
      <w:r w:rsidRPr="00DA582F">
        <w:rPr>
          <w:rFonts w:ascii="Arial Narrow" w:eastAsia="Calibri" w:hAnsi="Arial Narrow" w:cs="Times New Roman"/>
          <w:sz w:val="20"/>
          <w:lang w:eastAsia="en-US"/>
        </w:rPr>
        <w:t xml:space="preserve"> 92%</w:t>
      </w:r>
      <w:r>
        <w:rPr>
          <w:rFonts w:ascii="Arial Narrow" w:eastAsia="Calibri" w:hAnsi="Arial Narrow" w:cs="Times New Roman"/>
          <w:sz w:val="20"/>
          <w:lang w:eastAsia="en-US"/>
        </w:rPr>
        <w:t>, respectively</w:t>
      </w:r>
      <w:r w:rsidRPr="00DA582F">
        <w:rPr>
          <w:rFonts w:ascii="Arial Narrow" w:eastAsia="Calibri" w:hAnsi="Arial Narrow" w:cs="Times New Roman"/>
          <w:sz w:val="20"/>
          <w:lang w:eastAsia="en-US"/>
        </w:rPr>
        <w:t>)</w:t>
      </w:r>
      <w:r>
        <w:rPr>
          <w:rFonts w:ascii="Arial Narrow" w:eastAsia="Calibri" w:hAnsi="Arial Narrow" w:cs="Times New Roman"/>
          <w:sz w:val="20"/>
          <w:lang w:eastAsia="en-US"/>
        </w:rPr>
        <w:t>.</w:t>
      </w:r>
    </w:p>
    <w:p w14:paraId="161ECC4A" w14:textId="2EF58803" w:rsidR="00CC3146" w:rsidRDefault="00005647" w:rsidP="003E2E6E">
      <w:pPr>
        <w:spacing w:before="40" w:after="240" w:line="240" w:lineRule="auto"/>
        <w:rPr>
          <w:rFonts w:ascii="Arial Narrow" w:eastAsia="Calibri" w:hAnsi="Arial Narrow" w:cs="Times New Roman"/>
          <w:sz w:val="20"/>
          <w:lang w:eastAsia="en-US"/>
        </w:rPr>
      </w:pPr>
      <w:r>
        <w:rPr>
          <w:rFonts w:ascii="Arial Narrow" w:eastAsia="Calibri" w:hAnsi="Arial Narrow" w:cs="Times New Roman"/>
          <w:sz w:val="20"/>
          <w:lang w:eastAsia="en-US"/>
        </w:rPr>
        <w:t xml:space="preserve">dMMR = mismatch repair deficient; FP = false positive; </w:t>
      </w:r>
      <w:r w:rsidR="002E4DD3">
        <w:rPr>
          <w:rFonts w:ascii="Arial Narrow" w:eastAsia="Calibri" w:hAnsi="Arial Narrow" w:cs="Times New Roman"/>
          <w:sz w:val="20"/>
          <w:lang w:eastAsia="en-US"/>
        </w:rPr>
        <w:t>NNS</w:t>
      </w:r>
      <w:r>
        <w:rPr>
          <w:rFonts w:ascii="Arial Narrow" w:eastAsia="Calibri" w:hAnsi="Arial Narrow" w:cs="Times New Roman"/>
          <w:sz w:val="20"/>
          <w:lang w:eastAsia="en-US"/>
        </w:rPr>
        <w:t xml:space="preserve"> = </w:t>
      </w:r>
      <w:r w:rsidR="002E4DD3">
        <w:rPr>
          <w:rFonts w:ascii="Arial Narrow" w:eastAsia="Calibri" w:hAnsi="Arial Narrow" w:cs="Times New Roman"/>
          <w:sz w:val="20"/>
          <w:lang w:eastAsia="en-US"/>
        </w:rPr>
        <w:t>number needed to screen</w:t>
      </w:r>
      <w:r>
        <w:rPr>
          <w:rFonts w:ascii="Arial Narrow" w:eastAsia="Calibri" w:hAnsi="Arial Narrow" w:cs="Times New Roman"/>
          <w:sz w:val="20"/>
          <w:lang w:eastAsia="en-US"/>
        </w:rPr>
        <w:t>; TP = true positive</w:t>
      </w:r>
    </w:p>
    <w:p w14:paraId="3C0AEEDC" w14:textId="1E872664" w:rsidR="0093254B" w:rsidRDefault="00ED65EE" w:rsidP="00F2210A">
      <w:pPr>
        <w:pStyle w:val="Heading1"/>
        <w:spacing w:line="312" w:lineRule="auto"/>
        <w:jc w:val="both"/>
      </w:pPr>
      <w:bookmarkStart w:id="84" w:name="_Toc379118117"/>
      <w:bookmarkStart w:id="85" w:name="_Toc381796514"/>
      <w:bookmarkStart w:id="86" w:name="_Toc29557674"/>
      <w:r w:rsidRPr="00452DF6">
        <w:lastRenderedPageBreak/>
        <w:t>References</w:t>
      </w:r>
      <w:bookmarkEnd w:id="84"/>
      <w:bookmarkEnd w:id="85"/>
      <w:bookmarkEnd w:id="86"/>
    </w:p>
    <w:p w14:paraId="7C4D14DB" w14:textId="77777777" w:rsidR="00733487" w:rsidRDefault="00F77139" w:rsidP="00733487">
      <w:pPr>
        <w:pStyle w:val="EndNoteBibliography"/>
        <w:spacing w:after="120"/>
      </w:pPr>
      <w:r>
        <w:fldChar w:fldCharType="begin"/>
      </w:r>
      <w:r>
        <w:instrText xml:space="preserve"> ADDIN EN.REFLIST </w:instrText>
      </w:r>
      <w:r>
        <w:fldChar w:fldCharType="separate"/>
      </w:r>
      <w:r w:rsidR="00A145ED" w:rsidRPr="00A145ED">
        <w:t xml:space="preserve">Barrow, E, Robinson, L, Alduaij, W, Shenton, A, Clancy, T, Lalloo, F, Hill, J &amp; Evans, DG 2009, 'Cumulative lifetime incidence of extracolonic cancers in Lynch syndrome: a report of 121 families with proven mutations', </w:t>
      </w:r>
      <w:r w:rsidR="00A145ED" w:rsidRPr="00A145ED">
        <w:rPr>
          <w:i/>
        </w:rPr>
        <w:t>Clinical Genetics</w:t>
      </w:r>
      <w:r w:rsidR="00A145ED" w:rsidRPr="00A145ED">
        <w:t>, vol. 75, no. 2, pp. 141-149.</w:t>
      </w:r>
    </w:p>
    <w:p w14:paraId="34D5A350" w14:textId="77777777" w:rsidR="00733487" w:rsidRDefault="00A145ED" w:rsidP="00733487">
      <w:pPr>
        <w:pStyle w:val="EndNoteBibliography"/>
        <w:spacing w:after="120"/>
      </w:pPr>
      <w:r w:rsidRPr="00A145ED">
        <w:t xml:space="preserve">Briggs, S &amp; Tomlinson, I 2013, 'Germline and somatic polymerase epsilon and delta mutations define a new class of hypermutated colorectal and endometrial cancers', </w:t>
      </w:r>
      <w:r w:rsidRPr="00A145ED">
        <w:rPr>
          <w:i/>
        </w:rPr>
        <w:t>J Pathol</w:t>
      </w:r>
      <w:r w:rsidRPr="00A145ED">
        <w:t>, vol. 230, no. 2, Jun, pp. 148-153.</w:t>
      </w:r>
    </w:p>
    <w:p w14:paraId="70FF7746" w14:textId="77777777" w:rsidR="00733487" w:rsidRDefault="00A145ED" w:rsidP="00733487">
      <w:pPr>
        <w:pStyle w:val="EndNoteBibliography"/>
        <w:spacing w:after="120"/>
      </w:pPr>
      <w:r w:rsidRPr="00A145ED">
        <w:t xml:space="preserve">Buecher, B, Cacheux, W, Rouleau, E, Dieumegard, B, Mitry, E &amp; Lievre, A 2013, 'Role of microsatellite instability in the management of colorectal cancers', </w:t>
      </w:r>
      <w:r w:rsidRPr="00A145ED">
        <w:rPr>
          <w:i/>
        </w:rPr>
        <w:t>Dig Liver Dis</w:t>
      </w:r>
      <w:r w:rsidRPr="00A145ED">
        <w:t>, vol. 45, no. 6, Jun, pp. 441-449.</w:t>
      </w:r>
    </w:p>
    <w:p w14:paraId="0A54F6FF" w14:textId="74E672BC" w:rsidR="00733487" w:rsidRDefault="00A145ED" w:rsidP="00733487">
      <w:pPr>
        <w:pStyle w:val="EndNoteBibliography"/>
        <w:spacing w:after="120"/>
      </w:pPr>
      <w:r w:rsidRPr="00A145ED">
        <w:t xml:space="preserve">CADTH 2016, </w:t>
      </w:r>
      <w:r w:rsidRPr="00A145ED">
        <w:rPr>
          <w:i/>
        </w:rPr>
        <w:t>DNA mismatch repair deficiency tumour testing for patients with colorectal cancer: a health technology assessment</w:t>
      </w:r>
      <w:r w:rsidRPr="00A145ED">
        <w:t>, CADTH optimal use report, CADTH, Ottawa.</w:t>
      </w:r>
    </w:p>
    <w:p w14:paraId="69FE84F5" w14:textId="77777777" w:rsidR="00733487" w:rsidRDefault="00A145ED" w:rsidP="00733487">
      <w:pPr>
        <w:pStyle w:val="EndNoteBibliography"/>
        <w:spacing w:after="120"/>
      </w:pPr>
      <w:r w:rsidRPr="00A145ED">
        <w:t xml:space="preserve">Da Silva, F, Wernhoff, P, Dominguez-Barrera, C &amp; Dominguez-Valentin, M 2016, 'Update on Hereditary Colorectal Cancer', </w:t>
      </w:r>
      <w:r w:rsidRPr="00A145ED">
        <w:rPr>
          <w:i/>
        </w:rPr>
        <w:t>Anticancer Res</w:t>
      </w:r>
      <w:r w:rsidRPr="00A145ED">
        <w:t>, vol. 36, no. 9, Sep, pp. 4399-4405.</w:t>
      </w:r>
    </w:p>
    <w:p w14:paraId="7719BEA2" w14:textId="77777777" w:rsidR="00733487" w:rsidRDefault="00A145ED" w:rsidP="00733487">
      <w:pPr>
        <w:pStyle w:val="EndNoteBibliography"/>
        <w:spacing w:after="120"/>
      </w:pPr>
      <w:r w:rsidRPr="00A145ED">
        <w:t xml:space="preserve">Drescher, KM, Sharma, P &amp; Lynch, HT 2010, 'Current hypotheses on how microsatellite instability leads to enhanced survival of Lynch Syndrome patients', </w:t>
      </w:r>
      <w:r w:rsidRPr="00A145ED">
        <w:rPr>
          <w:i/>
        </w:rPr>
        <w:t>Clin Dev Immunol</w:t>
      </w:r>
      <w:r w:rsidRPr="00A145ED">
        <w:t>, vol. 2010, p. 170432.</w:t>
      </w:r>
    </w:p>
    <w:p w14:paraId="45AE6EB2" w14:textId="77777777" w:rsidR="00733487" w:rsidRDefault="00A145ED" w:rsidP="00733487">
      <w:pPr>
        <w:pStyle w:val="EndNoteBibliography"/>
        <w:spacing w:after="120"/>
      </w:pPr>
      <w:r w:rsidRPr="00A145ED">
        <w:t xml:space="preserve">Dudley, JC, Lin, MT, Le, DT &amp; Eshleman, JR 2016, 'Microsatellite Instability as a Biomarker for PD-1 Blockade', </w:t>
      </w:r>
      <w:r w:rsidRPr="00A145ED">
        <w:rPr>
          <w:i/>
        </w:rPr>
        <w:t>Clin Cancer Res</w:t>
      </w:r>
      <w:r w:rsidRPr="00A145ED">
        <w:t>, vol. 22, no. 4, Feb 15, pp. 813-820.</w:t>
      </w:r>
    </w:p>
    <w:p w14:paraId="66A6C5BB" w14:textId="77777777" w:rsidR="00733487" w:rsidRDefault="00A145ED" w:rsidP="00733487">
      <w:pPr>
        <w:pStyle w:val="EndNoteBibliography"/>
        <w:spacing w:after="120"/>
      </w:pPr>
      <w:r w:rsidRPr="00A145ED">
        <w:t xml:space="preserve">Gokare, P, Lulla, AR &amp; El-Deiry, WS 2017, 'MMR-deficiency and BRCA2/EGFR/NTRK mutations', </w:t>
      </w:r>
      <w:r w:rsidRPr="00A145ED">
        <w:rPr>
          <w:i/>
        </w:rPr>
        <w:t>Aging (Albany NY)</w:t>
      </w:r>
      <w:r w:rsidRPr="00A145ED">
        <w:t>, vol. 9, no. 8, Aug 3, pp. 1849-1850.</w:t>
      </w:r>
    </w:p>
    <w:p w14:paraId="3F877632" w14:textId="77777777" w:rsidR="00733487" w:rsidRDefault="00A145ED" w:rsidP="00733487">
      <w:pPr>
        <w:pStyle w:val="EndNoteBibliography"/>
        <w:spacing w:after="120"/>
      </w:pPr>
      <w:r w:rsidRPr="00A145ED">
        <w:t xml:space="preserve">Kautto, EA, Bonneville, R, Miya, J, Yu, L, Krook, MA, Reeser, JW &amp; Roychowdhury, S 2016, 'Performance evaluation for rapid detection of pan-cancer microsatellite instability with MANTIS', </w:t>
      </w:r>
      <w:r w:rsidRPr="00A145ED">
        <w:rPr>
          <w:i/>
        </w:rPr>
        <w:t>Oncotarget</w:t>
      </w:r>
      <w:r w:rsidRPr="00A145ED">
        <w:t>, vol. 8, no. 5, pp. 7452-7463.</w:t>
      </w:r>
    </w:p>
    <w:p w14:paraId="615CD42B" w14:textId="77777777" w:rsidR="00733487" w:rsidRDefault="00A145ED" w:rsidP="00733487">
      <w:pPr>
        <w:pStyle w:val="EndNoteBibliography"/>
        <w:spacing w:after="120"/>
      </w:pPr>
      <w:r w:rsidRPr="00A145ED">
        <w:t xml:space="preserve">Kim, HS, Lee, H, Shin, SJ, Beom, SH, Jung, M, Bae, S, Lee, EY, Park, KH, Choi, YY, Son, T, Kim, HI, Cheong, JH, Hyung, WJ, Park, JC, Shin, SK, Lee, SK, Lee, YC, Koom, WS, Lim, JS, Chung, HC, Noh, SH, Rha, SY, Kim, H &amp; Paik, S 2017, 'Complementary utility of targeted next-generation sequencing and immunohistochemistry panels as a screening platform to select targeted therapy for advanced gastric cancer', </w:t>
      </w:r>
      <w:r w:rsidRPr="00A145ED">
        <w:rPr>
          <w:i/>
        </w:rPr>
        <w:t>Oncotarget</w:t>
      </w:r>
      <w:r w:rsidRPr="00A145ED">
        <w:t>, vol. 8, no. 24, Jun 13, pp. 38389-38398.</w:t>
      </w:r>
    </w:p>
    <w:p w14:paraId="74C3125F" w14:textId="77777777" w:rsidR="00733487" w:rsidRDefault="00A145ED" w:rsidP="00733487">
      <w:pPr>
        <w:pStyle w:val="EndNoteBibliography"/>
        <w:spacing w:after="120"/>
      </w:pPr>
      <w:r w:rsidRPr="00A145ED">
        <w:t xml:space="preserve">Le, DT, Uram, JN, Wang, H, Bartlett, BR, Kemberling, H, Eyring, AD, Skora, AD, Luber, BS, Azad, NS, Laheru, D, Biedrzycki, B, Donehower, RC, Zaheer, A, Fisher, GA, Crocenzi, TS, Lee, JJ, Duffy, SM, Goldberg, RM, de la Chapelle, A, Koshiji, M, Bhaijee, F, Huebner, T, Hruban, RH, Wood, LD, Cuka, N, Pardoll, DM, Papadopoulos, N, Kinzler, KW, Zhou, S, Cornish, TC, Taube, JM, Anders, RA, Eshleman, JR, Vogelstein, B &amp; Diaz, LA, Jr. 2015, 'PD-1 Blockade in Tumors with Mismatch-Repair Deficiency', </w:t>
      </w:r>
      <w:r w:rsidRPr="00A145ED">
        <w:rPr>
          <w:i/>
        </w:rPr>
        <w:t>N Engl J Med</w:t>
      </w:r>
      <w:r w:rsidRPr="00A145ED">
        <w:t>, vol. 372, no. 26, Jun 25, pp. 2509-2520.</w:t>
      </w:r>
    </w:p>
    <w:p w14:paraId="1E87CAE2" w14:textId="77777777" w:rsidR="00733487" w:rsidRDefault="00A145ED" w:rsidP="00733487">
      <w:pPr>
        <w:pStyle w:val="EndNoteBibliography"/>
        <w:spacing w:after="120"/>
      </w:pPr>
      <w:r w:rsidRPr="00A145ED">
        <w:t xml:space="preserve">Lindor, NM, Burgart, LJ, Leontovich, O, Goldberg, RM, Cunningham, JM, Sargent, DJ, Walsh-Vockley, C, Petersen, GM, Walsh, MD, Leggett, BA, Young, JP, Barker, MA, Jass, JR, Hopper, J, Gallinger, S, Bapat, B, Redston, M &amp; Thibodeau, SN 2002, 'Immunohistochemistry versus microsatellite instability testing in phenotyping colorectal tumors', </w:t>
      </w:r>
      <w:r w:rsidRPr="00A145ED">
        <w:rPr>
          <w:i/>
        </w:rPr>
        <w:t>J Clin Oncol</w:t>
      </w:r>
      <w:r w:rsidRPr="00A145ED">
        <w:t>, vol. 20, no. 4, Feb 15, pp. 1043-1048.</w:t>
      </w:r>
    </w:p>
    <w:p w14:paraId="54503B0E" w14:textId="77777777" w:rsidR="00733487" w:rsidRDefault="00A145ED" w:rsidP="00733487">
      <w:pPr>
        <w:pStyle w:val="EndNoteBibliography"/>
        <w:spacing w:after="120"/>
      </w:pPr>
      <w:r w:rsidRPr="00A145ED">
        <w:t xml:space="preserve">Llosa, NJ, Cruise, M, Tam, A, Wicks, EC, Hechenbleikner, EM, Taube, JM, Blosser, RL, Fan, H, Wang, H, Luber, BS, Zhang, M, Papadopoulos, N, Kinzler, KW, Vogelstein, B, Sears, CL, Anders, RA, Pardoll, DM &amp; Housseau, F 2015, 'The Vigorous Immune Microenvironment of Microsatellite Instable Colon Cancer Is Balanced by Multiple Counter-Inhibitory Checkpoints', </w:t>
      </w:r>
      <w:r w:rsidRPr="00A145ED">
        <w:rPr>
          <w:i/>
        </w:rPr>
        <w:t>Cancer Discovery</w:t>
      </w:r>
      <w:r w:rsidRPr="00A145ED">
        <w:t>, vol. 5, no. 1, January 1, 2015, pp. 43-51.</w:t>
      </w:r>
    </w:p>
    <w:p w14:paraId="1E2B2F56" w14:textId="77777777" w:rsidR="00733487" w:rsidRDefault="00A145ED" w:rsidP="00733487">
      <w:pPr>
        <w:pStyle w:val="EndNoteBibliography"/>
        <w:spacing w:after="120"/>
      </w:pPr>
      <w:r w:rsidRPr="00A145ED">
        <w:lastRenderedPageBreak/>
        <w:t xml:space="preserve">Lotsari, JE, Gylling, A, Abdel-Rahman, WM, Nieminen, TT, Aittomaki, K, Friman, M, Pitkanen, R, Aarnio, M, Jarvinen, HJ, Mecklin, JP, Kuopio, T &amp; Peltomaki, P 2012, 'Breast carcinoma and Lynch syndrome: molecular analysis of tumors arising in mutation carriers, non-carriers, and sporadic cases', </w:t>
      </w:r>
      <w:r w:rsidRPr="00A145ED">
        <w:rPr>
          <w:i/>
        </w:rPr>
        <w:t>Breast Cancer Res</w:t>
      </w:r>
      <w:r w:rsidRPr="00A145ED">
        <w:t>, vol. 14, no. 3, Jun 12, p. R90.</w:t>
      </w:r>
    </w:p>
    <w:p w14:paraId="658324C9" w14:textId="77777777" w:rsidR="00733487" w:rsidRDefault="00A145ED" w:rsidP="00733487">
      <w:pPr>
        <w:pStyle w:val="EndNoteBibliography"/>
        <w:spacing w:after="120"/>
      </w:pPr>
      <w:r w:rsidRPr="00A145ED">
        <w:t xml:space="preserve">Mills, AM, Dill, EA, Moskaluk, CA, Dziegielewski, J, Bullock, TN &amp; Dillon, PM 2017, 'The Relationship Between Mismatch Repair Deficiency and PD-L1 Expression in Breast Carcinoma', </w:t>
      </w:r>
      <w:r w:rsidRPr="00A145ED">
        <w:rPr>
          <w:i/>
        </w:rPr>
        <w:t>Am J Surg Pathol</w:t>
      </w:r>
      <w:r w:rsidRPr="00A145ED">
        <w:t>, Sep 13.</w:t>
      </w:r>
    </w:p>
    <w:p w14:paraId="3EEE0585" w14:textId="6279BEA0" w:rsidR="00733487" w:rsidRDefault="00A145ED" w:rsidP="00733487">
      <w:pPr>
        <w:pStyle w:val="EndNoteBibliography"/>
        <w:spacing w:after="120"/>
      </w:pPr>
      <w:r w:rsidRPr="00A145ED">
        <w:t xml:space="preserve">MSAC 2017, </w:t>
      </w:r>
      <w:r w:rsidRPr="00A145ED">
        <w:rPr>
          <w:i/>
        </w:rPr>
        <w:t>Technical Guidelines for preparing assessment reports for the Medical Services Advisory Committee – Service Type: Investigative</w:t>
      </w:r>
      <w:r w:rsidRPr="00A145ED">
        <w:t>, Australian Government, Canberra, &lt;</w:t>
      </w:r>
      <w:hyperlink r:id="rId24" w:tooltip="Link to MSAC website page with the forms, templates and guidelines for applicants" w:history="1">
        <w:r w:rsidRPr="00A145ED">
          <w:rPr>
            <w:rStyle w:val="Hyperlink"/>
          </w:rPr>
          <w:t>http://www.msac.gov.au/internet/msac/publishing.nsf/Content/applicants</w:t>
        </w:r>
      </w:hyperlink>
      <w:r w:rsidRPr="00A145ED">
        <w:t>&gt;.</w:t>
      </w:r>
    </w:p>
    <w:p w14:paraId="3343CDED" w14:textId="77777777" w:rsidR="00733487" w:rsidRDefault="00A145ED" w:rsidP="00733487">
      <w:pPr>
        <w:pStyle w:val="EndNoteBibliography"/>
        <w:spacing w:after="120"/>
      </w:pPr>
      <w:r w:rsidRPr="00A145ED">
        <w:t xml:space="preserve">Niu, B, Ye, K, Zhang, Q, Lu, C, Xie, M, McLellan, MD, Wendl, MC &amp; Ding, L 2014, 'MSIsensor: microsatellite instability detection using paired tumor-normal sequence data', </w:t>
      </w:r>
      <w:r w:rsidRPr="00A145ED">
        <w:rPr>
          <w:i/>
        </w:rPr>
        <w:t>Bioinformatics (Oxford, England)</w:t>
      </w:r>
      <w:r w:rsidRPr="00A145ED">
        <w:t>, vol. 30, no. 7, pp. 1015-1016.</w:t>
      </w:r>
    </w:p>
    <w:p w14:paraId="6925DDE1" w14:textId="77777777" w:rsidR="00733487" w:rsidRDefault="00A145ED" w:rsidP="00733487">
      <w:pPr>
        <w:pStyle w:val="EndNoteBibliography"/>
        <w:spacing w:after="120"/>
      </w:pPr>
      <w:r w:rsidRPr="00A145ED">
        <w:t xml:space="preserve">PBAC 2016, </w:t>
      </w:r>
      <w:r w:rsidRPr="00A145ED">
        <w:rPr>
          <w:i/>
        </w:rPr>
        <w:t>Guidelines for preparing a submission to the Pharmaceutical Benefits Advisory Committee (Version 5.0)</w:t>
      </w:r>
      <w:r w:rsidRPr="00A145ED">
        <w:t>, Australian Government, Canberra.</w:t>
      </w:r>
    </w:p>
    <w:p w14:paraId="4B182A32" w14:textId="77777777" w:rsidR="00733487" w:rsidRDefault="00A145ED" w:rsidP="00733487">
      <w:pPr>
        <w:pStyle w:val="EndNoteBibliography"/>
        <w:spacing w:after="120"/>
      </w:pPr>
      <w:r w:rsidRPr="00A145ED">
        <w:t xml:space="preserve">Poynter, JN, Siegmund, KD, Weisenberger, DJ, Long, TI, Thibodeau, SN, Lindor, N, Young, J, Jenkins, MA, Hopper, JL, Baron, JA, Buchanan, D, Casey, G, Levine, AJ, Marchand, LL, Gallinger, S, Bapat, B, Potter, JD, Newcomb, PA, Haile, RW, Laird, tCCFRI &amp; Peter, W 2008, 'Molecular characterization of MSI-H colorectal cancer by MLHI promoter methylation, immunohistochemistry and mismatch repair germline mutation screening', </w:t>
      </w:r>
      <w:r w:rsidRPr="00A145ED">
        <w:rPr>
          <w:i/>
        </w:rPr>
        <w:t>Cancer epidemiology, biomarkers &amp; prevention : a publication of the American Association for Cancer Research, cosponsored by the American Society of Preventive Oncology</w:t>
      </w:r>
      <w:r w:rsidRPr="00A145ED">
        <w:t>, vol. 17, no. 11, pp. 3208-3215.</w:t>
      </w:r>
    </w:p>
    <w:p w14:paraId="19596B97" w14:textId="77777777" w:rsidR="00733487" w:rsidRDefault="00A145ED" w:rsidP="00733487">
      <w:pPr>
        <w:pStyle w:val="EndNoteBibliography"/>
        <w:spacing w:after="120"/>
      </w:pPr>
      <w:r w:rsidRPr="00A145ED">
        <w:t xml:space="preserve">RCPA 2016, </w:t>
      </w:r>
      <w:r w:rsidRPr="00A145ED">
        <w:rPr>
          <w:i/>
        </w:rPr>
        <w:t>Colorectal Cancer Structured Reporting Protocol. 3rd Edition.</w:t>
      </w:r>
      <w:r w:rsidRPr="00A145ED">
        <w:t>, The Royal College of Pathologists of Australasia, Surry Hills, NSW 2010, Australia.</w:t>
      </w:r>
    </w:p>
    <w:p w14:paraId="773902ED" w14:textId="77777777" w:rsidR="00733487" w:rsidRDefault="00A145ED" w:rsidP="00733487">
      <w:pPr>
        <w:pStyle w:val="EndNoteBibliography"/>
        <w:spacing w:after="120"/>
      </w:pPr>
      <w:r w:rsidRPr="00A145ED">
        <w:t xml:space="preserve">Rizvi, H, Sanchez-Vega, F, La, K, Chatila, W, Jonsson, P, Halpenny, D, Plodkowski, A, Long, N, Sauter, JL, Rekhtman, N, Hollmann, T, Schalper, KA, Gainor, JF, Shen, R, Ni, A, Arbour, KC, Merghoub, T, Wolchok, J, Snyder, A, Chaft, JE, Kris, MG, Rudin, CM, Socci, ND, Berger, MF, Taylor, BS, Zehir, A, Solit, DB, Arcila, ME, Ladanyi, M, Riely, GJ, Schultz, N &amp; Hellmann, MD 2018, 'Molecular Determinants of Response to Anti-Programmed Cell Death (PD)-1 and Anti-Programmed Death-Ligand (PD-L)-Ligand 1 Blockade in Patients With Non-Small-Cell Lung Cancer Profiled With Targeted Next-Generation Sequencing', </w:t>
      </w:r>
      <w:r w:rsidRPr="00A145ED">
        <w:rPr>
          <w:i/>
        </w:rPr>
        <w:t>J Clin Oncol</w:t>
      </w:r>
      <w:r w:rsidRPr="00A145ED">
        <w:t>, Jan 16, p. JCO2017753384.</w:t>
      </w:r>
    </w:p>
    <w:p w14:paraId="5CC9C188" w14:textId="77777777" w:rsidR="00733487" w:rsidRDefault="00A145ED" w:rsidP="00733487">
      <w:pPr>
        <w:pStyle w:val="EndNoteBibliography"/>
        <w:spacing w:after="120"/>
      </w:pPr>
      <w:r w:rsidRPr="00A145ED">
        <w:t xml:space="preserve">Rosenbaum, MW, Bledsoe, JR, Morales-Oyarvide, V, Huynh, TG &amp; Mino-Kenudson, M 2016, 'PD-L1 expression in colorectal cancer is associated with microsatellite instability, BRAF mutation, medullary morphology and cytotoxic tumor-infiltrating lymphocytes', </w:t>
      </w:r>
      <w:r w:rsidRPr="00A145ED">
        <w:rPr>
          <w:i/>
        </w:rPr>
        <w:t>Mod Pathol</w:t>
      </w:r>
      <w:r w:rsidRPr="00A145ED">
        <w:t>, May 20.</w:t>
      </w:r>
    </w:p>
    <w:p w14:paraId="353CF31D" w14:textId="60AFACBD" w:rsidR="00733487" w:rsidRDefault="00A145ED" w:rsidP="00733487">
      <w:pPr>
        <w:pStyle w:val="EndNoteBibliography"/>
        <w:spacing w:after="120"/>
      </w:pPr>
      <w:r w:rsidRPr="00A145ED">
        <w:t xml:space="preserve">Scarpa, A, Cataldo, I &amp; Salvatore, L 2016, 'Microsatellite Instability - Defective DNA Mismatch Repair', </w:t>
      </w:r>
      <w:r w:rsidRPr="00A145ED">
        <w:rPr>
          <w:i/>
        </w:rPr>
        <w:t>ESMO Biomarker Factsheet</w:t>
      </w:r>
      <w:r w:rsidRPr="00A145ED">
        <w:t>, viewed 26 September 2017, &lt;</w:t>
      </w:r>
      <w:hyperlink r:id="rId25" w:anchor="eztoc1701983_0_0_5_8" w:tooltip="Link to oncologypro webpage ESMO Biomarker factsheet" w:history="1">
        <w:r w:rsidRPr="00A145ED">
          <w:rPr>
            <w:rStyle w:val="Hyperlink"/>
          </w:rPr>
          <w:t>http://oncologypro.esmo.org/Education-Library/Factsheets-on-Biomarkers/Microsatellite-Instability-Defective-DNA-Mismatch-Repair#eztoc1701983_0_0_5_8</w:t>
        </w:r>
      </w:hyperlink>
      <w:r w:rsidRPr="00A145ED">
        <w:t>&gt;.</w:t>
      </w:r>
    </w:p>
    <w:p w14:paraId="1852BAAD" w14:textId="77777777" w:rsidR="00733487" w:rsidRDefault="00A145ED" w:rsidP="00733487">
      <w:pPr>
        <w:pStyle w:val="EndNoteBibliography"/>
        <w:spacing w:after="120"/>
      </w:pPr>
      <w:r w:rsidRPr="00A145ED">
        <w:t xml:space="preserve">Strickland, KC, Howitt, BE, Shukla, SA, Rodig, S, Ritterhouse, LL, Liu, JF, Garber, JE, Chowdhury, D, Wu, CJ, D'Andrea, AD, Matulonis, UA &amp; Konstantinopoulos, PA 2016, 'Association and prognostic significance of BRCA1/2-mutation status with neoantigen load, number of tumor-infiltrating lymphocytes and expression of PD-1/PD-L1 in high grade serous ovarian cancer', </w:t>
      </w:r>
      <w:r w:rsidRPr="00A145ED">
        <w:rPr>
          <w:i/>
        </w:rPr>
        <w:t>Oncotarget</w:t>
      </w:r>
      <w:r w:rsidRPr="00A145ED">
        <w:t>, vol. 7, no. 12, Mar 22, pp. 13587-13598.</w:t>
      </w:r>
    </w:p>
    <w:p w14:paraId="7438E8BD" w14:textId="4A005CC0" w:rsidR="00F77139" w:rsidRDefault="00A145ED" w:rsidP="00733487">
      <w:pPr>
        <w:pStyle w:val="EndNoteBibliography"/>
        <w:spacing w:after="120"/>
      </w:pPr>
      <w:r w:rsidRPr="00A145ED">
        <w:t xml:space="preserve">Zhu, L, Huang, Y, Fang, X, Liu, C, Deng, W, Zhong, C, Xu, J, Xu, D &amp; Yuan, Y 2018, 'A Novel and Reliable Method to Detect Microsatellite Instability in Colorectal Cancer by Next-Generation Sequencing', </w:t>
      </w:r>
      <w:r w:rsidRPr="00A145ED">
        <w:rPr>
          <w:i/>
        </w:rPr>
        <w:t>The Journal of Molecular Diagnostics</w:t>
      </w:r>
      <w:r w:rsidRPr="00A145ED">
        <w:t>, vol. 20, no. 2, 2018/03/01/, pp. 225-231.</w:t>
      </w:r>
      <w:r w:rsidR="00F77139">
        <w:fldChar w:fldCharType="end"/>
      </w:r>
    </w:p>
    <w:sectPr w:rsidR="00F77139" w:rsidSect="00281AF1">
      <w:headerReference w:type="even" r:id="rId26"/>
      <w:headerReference w:type="default" r:id="rId27"/>
      <w:footerReference w:type="even" r:id="rId28"/>
      <w:headerReference w:type="first" r:id="rId29"/>
      <w:pgSz w:w="11906" w:h="16838"/>
      <w:pgMar w:top="1440" w:right="1440" w:bottom="1440" w:left="1440" w:header="720" w:footer="720"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35126A" w14:textId="77777777" w:rsidR="00945A86" w:rsidRDefault="00945A86" w:rsidP="00281AF1">
      <w:pPr>
        <w:spacing w:after="0" w:line="240" w:lineRule="auto"/>
      </w:pPr>
      <w:r>
        <w:separator/>
      </w:r>
    </w:p>
  </w:endnote>
  <w:endnote w:type="continuationSeparator" w:id="0">
    <w:p w14:paraId="5E394120" w14:textId="77777777" w:rsidR="00945A86" w:rsidRDefault="00945A86" w:rsidP="00281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umanist 77 7 BT">
    <w:altName w:val="Humanist 77 7 B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06C5E" w14:textId="2126A678" w:rsidR="00945A86" w:rsidRPr="00C843FF" w:rsidRDefault="00945A86" w:rsidP="001229D7">
    <w:pPr>
      <w:pStyle w:val="Footer"/>
    </w:pPr>
    <w:r>
      <w:rPr>
        <w:rStyle w:val="PageNumber"/>
        <w:rFonts w:ascii="Arial" w:hAnsi="Arial" w:cs="Arial"/>
      </w:rPr>
      <w:t xml:space="preserve"> Page </w:t>
    </w:r>
    <w:r w:rsidRPr="000B0364">
      <w:rPr>
        <w:rStyle w:val="PageNumber"/>
        <w:rFonts w:ascii="Arial" w:hAnsi="Arial" w:cs="Arial"/>
        <w:b/>
      </w:rPr>
      <w:fldChar w:fldCharType="begin"/>
    </w:r>
    <w:r w:rsidRPr="000B0364">
      <w:rPr>
        <w:rStyle w:val="PageNumber"/>
        <w:rFonts w:ascii="Arial" w:hAnsi="Arial" w:cs="Arial"/>
      </w:rPr>
      <w:instrText xml:space="preserve"> PAGE </w:instrText>
    </w:r>
    <w:r w:rsidRPr="000B0364">
      <w:rPr>
        <w:rStyle w:val="PageNumber"/>
        <w:rFonts w:ascii="Arial" w:hAnsi="Arial" w:cs="Arial"/>
        <w:b/>
      </w:rPr>
      <w:fldChar w:fldCharType="separate"/>
    </w:r>
    <w:r>
      <w:rPr>
        <w:rStyle w:val="PageNumber"/>
        <w:rFonts w:ascii="Arial" w:hAnsi="Arial" w:cs="Arial"/>
        <w:noProof/>
      </w:rPr>
      <w:t>iv</w:t>
    </w:r>
    <w:r w:rsidRPr="000B0364">
      <w:rPr>
        <w:rStyle w:val="PageNumber"/>
        <w:rFonts w:ascii="Arial" w:hAnsi="Arial" w:cs="Arial"/>
        <w:b/>
      </w:rPr>
      <w:fldChar w:fldCharType="end"/>
    </w:r>
    <w:r>
      <w:rPr>
        <w:rStyle w:val="PageNumber"/>
        <w:rFonts w:ascii="Arial" w:hAnsi="Arial" w:cs="Arial"/>
      </w:rPr>
      <w:t xml:space="preserve"> of </w:t>
    </w:r>
    <w:r w:rsidRPr="00894FB1">
      <w:rPr>
        <w:rStyle w:val="PageNumber"/>
        <w:rFonts w:ascii="Arial" w:hAnsi="Arial" w:cs="Arial"/>
        <w:b/>
      </w:rPr>
      <w:fldChar w:fldCharType="begin"/>
    </w:r>
    <w:r w:rsidRPr="00894FB1">
      <w:rPr>
        <w:rStyle w:val="PageNumber"/>
        <w:rFonts w:ascii="Arial" w:hAnsi="Arial" w:cs="Arial"/>
      </w:rPr>
      <w:instrText xml:space="preserve"> NUMPAGES </w:instrText>
    </w:r>
    <w:r w:rsidRPr="00894FB1">
      <w:rPr>
        <w:rStyle w:val="PageNumber"/>
        <w:rFonts w:ascii="Arial" w:hAnsi="Arial" w:cs="Arial"/>
        <w:b/>
      </w:rPr>
      <w:fldChar w:fldCharType="separate"/>
    </w:r>
    <w:r>
      <w:rPr>
        <w:rStyle w:val="PageNumber"/>
        <w:rFonts w:ascii="Arial" w:hAnsi="Arial" w:cs="Arial"/>
        <w:noProof/>
      </w:rPr>
      <w:t>34</w:t>
    </w:r>
    <w:r w:rsidRPr="00894FB1">
      <w:rPr>
        <w:rStyle w:val="PageNumber"/>
        <w:rFonts w:ascii="Arial" w:hAnsi="Arial" w:cs="Arial"/>
        <w:b/>
      </w:rPr>
      <w:fldChar w:fldCharType="end"/>
    </w:r>
    <w:r>
      <w:rPr>
        <w:rStyle w:val="PageNumber"/>
        <w:rFonts w:ascii="Arial" w:hAnsi="Arial"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95569" w14:textId="60A37EB2" w:rsidR="00945A86" w:rsidRPr="00C843FF" w:rsidRDefault="00945A86" w:rsidP="001229D7">
    <w:pPr>
      <w:pStyle w:val="Footer"/>
      <w:tabs>
        <w:tab w:val="clear" w:pos="9000"/>
        <w:tab w:val="right" w:pos="8931"/>
      </w:tabs>
      <w:rPr>
        <w:rStyle w:val="PageNumber"/>
        <w:rFonts w:ascii="Arial" w:hAnsi="Arial" w:cs="Arial"/>
      </w:rPr>
    </w:pPr>
    <w:r>
      <w:t>MSAC Discussion paper for pan-tumour applications</w:t>
    </w:r>
    <w:r w:rsidRPr="00C843FF">
      <w:rPr>
        <w:rStyle w:val="PageNumber"/>
        <w:rFonts w:ascii="Arial" w:hAnsi="Arial" w:cs="Arial"/>
      </w:rPr>
      <w:tab/>
    </w:r>
    <w:r w:rsidRPr="00C843FF">
      <w:rPr>
        <w:rStyle w:val="PageNumber"/>
        <w:rFonts w:ascii="Arial" w:hAnsi="Arial" w:cs="Arial"/>
      </w:rPr>
      <w:fldChar w:fldCharType="begin"/>
    </w:r>
    <w:r w:rsidRPr="00C843FF">
      <w:rPr>
        <w:rStyle w:val="PageNumber"/>
        <w:rFonts w:ascii="Arial" w:hAnsi="Arial" w:cs="Arial"/>
      </w:rPr>
      <w:instrText xml:space="preserve"> PAGE </w:instrText>
    </w:r>
    <w:r w:rsidRPr="00C843FF">
      <w:rPr>
        <w:rStyle w:val="PageNumber"/>
        <w:rFonts w:ascii="Arial" w:hAnsi="Arial" w:cs="Arial"/>
      </w:rPr>
      <w:fldChar w:fldCharType="separate"/>
    </w:r>
    <w:r w:rsidR="006D1557">
      <w:rPr>
        <w:rStyle w:val="PageNumber"/>
        <w:rFonts w:ascii="Arial" w:hAnsi="Arial" w:cs="Arial"/>
        <w:noProof/>
      </w:rPr>
      <w:t>i</w:t>
    </w:r>
    <w:r w:rsidRPr="00C843FF">
      <w:rPr>
        <w:rStyle w:val="PageNumbe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368FD" w14:textId="77777777" w:rsidR="006D1557" w:rsidRDefault="006D155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6F217" w14:textId="42E628DF" w:rsidR="00945A86" w:rsidRDefault="00945A86">
    <w:pPr>
      <w:pStyle w:val="Footer"/>
      <w:tabs>
        <w:tab w:val="clear" w:pos="9000"/>
        <w:tab w:val="right" w:pos="8931"/>
        <w:tab w:val="right" w:pos="14742"/>
      </w:tabs>
      <w:ind w:right="98"/>
    </w:pPr>
    <w:r>
      <w:rPr>
        <w:rStyle w:val="PageNumber"/>
        <w:bCs/>
      </w:rPr>
      <w:fldChar w:fldCharType="begin"/>
    </w:r>
    <w:r>
      <w:rPr>
        <w:rStyle w:val="PageNumber"/>
        <w:bCs/>
      </w:rPr>
      <w:instrText xml:space="preserve"> PAGE </w:instrText>
    </w:r>
    <w:r>
      <w:rPr>
        <w:rStyle w:val="PageNumber"/>
        <w:bCs/>
      </w:rPr>
      <w:fldChar w:fldCharType="separate"/>
    </w:r>
    <w:r>
      <w:rPr>
        <w:rStyle w:val="PageNumber"/>
        <w:bCs/>
        <w:noProof/>
      </w:rPr>
      <w:t>42</w:t>
    </w:r>
    <w:r>
      <w:rPr>
        <w:rStyle w:val="PageNumber"/>
        <w:bCs/>
      </w:rPr>
      <w:fldChar w:fldCharType="end"/>
    </w:r>
    <w:r>
      <w:rPr>
        <w:rStyle w:val="PageNumber"/>
      </w:rPr>
      <w:tab/>
      <w:t>Vertebroplasty and lasty</w:t>
    </w:r>
    <w:r>
      <w:rPr>
        <w:vanish/>
        <w:color w:val="0000FF"/>
      </w:rPr>
      <w:t>&lt;Name of application&gt;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8001A0" w14:textId="77777777" w:rsidR="00945A86" w:rsidRDefault="00945A86" w:rsidP="00281AF1">
      <w:pPr>
        <w:spacing w:after="0" w:line="240" w:lineRule="auto"/>
      </w:pPr>
      <w:r>
        <w:separator/>
      </w:r>
    </w:p>
  </w:footnote>
  <w:footnote w:type="continuationSeparator" w:id="0">
    <w:p w14:paraId="0A0481A4" w14:textId="77777777" w:rsidR="00945A86" w:rsidRDefault="00945A86" w:rsidP="00281AF1">
      <w:pPr>
        <w:spacing w:after="0" w:line="240" w:lineRule="auto"/>
      </w:pPr>
      <w:r>
        <w:continuationSeparator/>
      </w:r>
    </w:p>
  </w:footnote>
  <w:footnote w:id="1">
    <w:p w14:paraId="4E62E4AA" w14:textId="175B76B3" w:rsidR="00945A86" w:rsidRDefault="00945A86" w:rsidP="00920354">
      <w:pPr>
        <w:pStyle w:val="FootnoteText"/>
      </w:pPr>
      <w:r>
        <w:rPr>
          <w:rStyle w:val="FootnoteReference"/>
        </w:rPr>
        <w:footnoteRef/>
      </w:r>
      <w:r>
        <w:t xml:space="preserve"> Available from URL: </w:t>
      </w:r>
      <w:hyperlink r:id="rId1" w:tooltip="US FDA information on pembrolizumab webpage" w:history="1">
        <w:r w:rsidRPr="00FB426E">
          <w:rPr>
            <w:rStyle w:val="Hyperlink"/>
          </w:rPr>
          <w:t>https://www.fda.gov/Drugs/InformationOnDrugs/ApprovedDrugs/ucm560040.htm</w:t>
        </w:r>
      </w:hyperlink>
      <w:r>
        <w:t>. Accessed 7 November 2017.</w:t>
      </w:r>
    </w:p>
  </w:footnote>
  <w:footnote w:id="2">
    <w:p w14:paraId="1DC7DCF5" w14:textId="466D9FCF" w:rsidR="00945A86" w:rsidRDefault="00945A86">
      <w:pPr>
        <w:pStyle w:val="FootnoteText"/>
      </w:pPr>
      <w:r>
        <w:rPr>
          <w:rStyle w:val="FootnoteReference"/>
        </w:rPr>
        <w:footnoteRef/>
      </w:r>
      <w:r>
        <w:t xml:space="preserve"> Available from URL: </w:t>
      </w:r>
      <w:hyperlink r:id="rId2" w:tooltip="Lab Tests Online" w:history="1">
        <w:r w:rsidRPr="002F000B">
          <w:rPr>
            <w:rStyle w:val="Hyperlink"/>
          </w:rPr>
          <w:t>https://www.labtestsonline.org.au</w:t>
        </w:r>
      </w:hyperlink>
      <w:r>
        <w:t>. Accessed 8 November 2017.</w:t>
      </w:r>
    </w:p>
  </w:footnote>
  <w:footnote w:id="3">
    <w:p w14:paraId="2EBAED87" w14:textId="29E37AC0" w:rsidR="00945A86" w:rsidRDefault="00945A86">
      <w:pPr>
        <w:pStyle w:val="FootnoteText"/>
      </w:pPr>
      <w:r>
        <w:rPr>
          <w:rStyle w:val="FootnoteReference"/>
        </w:rPr>
        <w:footnoteRef/>
      </w:r>
      <w:r>
        <w:t xml:space="preserve"> Available from URL: &lt;</w:t>
      </w:r>
      <w:hyperlink r:id="rId3" w:tooltip="the RCPA QAP webpage" w:history="1">
        <w:r w:rsidRPr="004D0C61">
          <w:rPr>
            <w:rStyle w:val="Hyperlink"/>
          </w:rPr>
          <w:t>https://www.rcpaqap.com.au/product-catalogue/2017</w:t>
        </w:r>
      </w:hyperlink>
      <w:r>
        <w:t>&gt;. Accessed 14 November 2017</w:t>
      </w:r>
    </w:p>
  </w:footnote>
  <w:footnote w:id="4">
    <w:p w14:paraId="129F0A0D" w14:textId="5D3E1470" w:rsidR="00945A86" w:rsidRDefault="00945A86">
      <w:pPr>
        <w:pStyle w:val="FootnoteText"/>
      </w:pPr>
      <w:r>
        <w:rPr>
          <w:rStyle w:val="FootnoteReference"/>
        </w:rPr>
        <w:footnoteRef/>
      </w:r>
      <w:r>
        <w:t xml:space="preserve"> Lynch Syndrome Australia website &lt;</w:t>
      </w:r>
      <w:hyperlink r:id="rId4" w:tooltip="Lynch Syndrome Australia website" w:history="1">
        <w:r w:rsidRPr="00A36CBA">
          <w:rPr>
            <w:rStyle w:val="Hyperlink"/>
          </w:rPr>
          <w:t>https://lynchsyndrome.org.au/</w:t>
        </w:r>
      </w:hyperlink>
      <w:r>
        <w:t>&gt;. Accessed 3 November 2017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331B1" w14:textId="77777777" w:rsidR="006D1557" w:rsidRDefault="006D15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58B9E" w14:textId="77777777" w:rsidR="00945A86" w:rsidRDefault="00945A86" w:rsidP="001229D7">
    <w:pPr>
      <w:pStyle w:val="Header"/>
      <w:tabs>
        <w:tab w:val="clear" w:pos="8306"/>
        <w:tab w:val="right" w:pos="8931"/>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8F11F" w14:textId="77777777" w:rsidR="006D1557" w:rsidRDefault="006D155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70765" w14:textId="77777777" w:rsidR="00945A86" w:rsidRDefault="00945A86" w:rsidP="001229D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D8EE5" w14:textId="77777777" w:rsidR="00945A86" w:rsidRDefault="00945A86" w:rsidP="001229D7">
    <w:pPr>
      <w:pStyle w:val="Header"/>
      <w:tabs>
        <w:tab w:val="clear" w:pos="8306"/>
        <w:tab w:val="right" w:pos="8931"/>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866E6" w14:textId="77777777" w:rsidR="00945A86" w:rsidRDefault="00945A86" w:rsidP="001229D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013D0" w14:textId="77777777" w:rsidR="00945A86" w:rsidRDefault="006D1557">
    <w:pPr>
      <w:pStyle w:val="Header"/>
    </w:pPr>
    <w:r>
      <w:rPr>
        <w:noProof/>
      </w:rPr>
      <w:pict w14:anchorId="796ECC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56508" o:spid="_x0000_s2050" type="#_x0000_t136" style="position:absolute;left:0;text-align:left;margin-left:0;margin-top:0;width:412.2pt;height:247.3pt;rotation:315;z-index:-25165926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013F7" w14:textId="77777777" w:rsidR="00945A86" w:rsidRDefault="00945A86" w:rsidP="00281AF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F909C" w14:textId="77777777" w:rsidR="00945A86" w:rsidRDefault="006D1557">
    <w:pPr>
      <w:pStyle w:val="Header"/>
    </w:pPr>
    <w:r>
      <w:rPr>
        <w:noProof/>
      </w:rPr>
      <w:pict w14:anchorId="2AB7EA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56507" o:spid="_x0000_s2049" type="#_x0000_t136" style="position:absolute;left:0;text-align:left;margin-left:0;margin-top:0;width:412.2pt;height:247.3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B51D5"/>
    <w:multiLevelType w:val="hybridMultilevel"/>
    <w:tmpl w:val="5A725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3C62B7"/>
    <w:multiLevelType w:val="hybridMultilevel"/>
    <w:tmpl w:val="80E441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8F06E4"/>
    <w:multiLevelType w:val="hybridMultilevel"/>
    <w:tmpl w:val="A1D609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113B42"/>
    <w:multiLevelType w:val="singleLevel"/>
    <w:tmpl w:val="56CEB106"/>
    <w:lvl w:ilvl="0">
      <w:start w:val="1"/>
      <w:numFmt w:val="bullet"/>
      <w:pStyle w:val="Dash"/>
      <w:lvlText w:val="–"/>
      <w:lvlJc w:val="left"/>
      <w:pPr>
        <w:tabs>
          <w:tab w:val="num" w:pos="1800"/>
        </w:tabs>
        <w:ind w:left="1800" w:hanging="360"/>
      </w:pPr>
      <w:rPr>
        <w:rFonts w:ascii="Times New Roman" w:hAnsi="Times New Roman" w:hint="default"/>
        <w:sz w:val="20"/>
      </w:rPr>
    </w:lvl>
  </w:abstractNum>
  <w:abstractNum w:abstractNumId="4" w15:restartNumberingAfterBreak="0">
    <w:nsid w:val="220A07EC"/>
    <w:multiLevelType w:val="singleLevel"/>
    <w:tmpl w:val="FC24B238"/>
    <w:lvl w:ilvl="0">
      <w:start w:val="1"/>
      <w:numFmt w:val="decimal"/>
      <w:pStyle w:val="ESNumberedSectionHeading"/>
      <w:lvlText w:val="A.%1"/>
      <w:lvlJc w:val="left"/>
      <w:pPr>
        <w:ind w:left="360" w:hanging="360"/>
      </w:pPr>
      <w:rPr>
        <w:rFonts w:ascii="Calibri" w:hAnsi="Calibri" w:hint="default"/>
        <w:b/>
        <w:i w:val="0"/>
        <w:color w:val="auto"/>
        <w:sz w:val="24"/>
      </w:rPr>
    </w:lvl>
  </w:abstractNum>
  <w:abstractNum w:abstractNumId="5" w15:restartNumberingAfterBreak="0">
    <w:nsid w:val="237C0EE4"/>
    <w:multiLevelType w:val="multilevel"/>
    <w:tmpl w:val="FEE071C8"/>
    <w:styleLink w:val="ESSectionheading-numbered"/>
    <w:lvl w:ilvl="0">
      <w:start w:val="1"/>
      <w:numFmt w:val="none"/>
      <w:lvlText w:val="A.1"/>
      <w:lvlJc w:val="left"/>
      <w:pPr>
        <w:ind w:left="1134" w:hanging="1134"/>
      </w:pPr>
      <w:rPr>
        <w:rFonts w:ascii="Calibri" w:hAnsi="Calibri" w:hint="default"/>
        <w:b/>
        <w:i w:val="0"/>
        <w:color w:val="auto"/>
        <w:sz w:val="24"/>
      </w:rPr>
    </w:lvl>
    <w:lvl w:ilvl="1">
      <w:start w:val="1"/>
      <w:numFmt w:val="decimal"/>
      <w:lvlText w:val="B.%2."/>
      <w:lvlJc w:val="left"/>
      <w:pPr>
        <w:ind w:left="1134" w:hanging="1134"/>
      </w:pPr>
      <w:rPr>
        <w:rFonts w:ascii="Calibri" w:hAnsi="Calibri" w:hint="default"/>
        <w:b/>
        <w:i w:val="0"/>
        <w:sz w:val="24"/>
      </w:rPr>
    </w:lvl>
    <w:lvl w:ilvl="2">
      <w:start w:val="1"/>
      <w:numFmt w:val="decimal"/>
      <w:lvlText w:val="C.%3."/>
      <w:lvlJc w:val="left"/>
      <w:pPr>
        <w:ind w:left="1134" w:hanging="1134"/>
      </w:pPr>
      <w:rPr>
        <w:rFonts w:ascii="Calibri" w:hAnsi="Calibri" w:hint="default"/>
        <w:b/>
        <w:i w:val="0"/>
        <w:sz w:val="24"/>
      </w:rPr>
    </w:lvl>
    <w:lvl w:ilvl="3">
      <w:start w:val="1"/>
      <w:numFmt w:val="decimal"/>
      <w:lvlText w:val="D.%4."/>
      <w:lvlJc w:val="left"/>
      <w:pPr>
        <w:ind w:left="1134" w:hanging="1134"/>
      </w:pPr>
      <w:rPr>
        <w:rFonts w:ascii="Calibri" w:hAnsi="Calibri" w:hint="default"/>
        <w:b/>
        <w:i w:val="0"/>
        <w:sz w:val="24"/>
      </w:rPr>
    </w:lvl>
    <w:lvl w:ilvl="4">
      <w:start w:val="1"/>
      <w:numFmt w:val="decimal"/>
      <w:lvlText w:val="E.%5."/>
      <w:lvlJc w:val="left"/>
      <w:pPr>
        <w:ind w:left="1134" w:hanging="1134"/>
      </w:pPr>
      <w:rPr>
        <w:rFonts w:ascii="Calibri" w:hAnsi="Calibri" w:hint="default"/>
        <w:b/>
        <w:i w:val="0"/>
        <w:sz w:val="24"/>
      </w:rPr>
    </w:lvl>
    <w:lvl w:ilvl="5">
      <w:start w:val="1"/>
      <w:numFmt w:val="decimal"/>
      <w:lvlText w:val="A.%6"/>
      <w:lvlJc w:val="left"/>
      <w:pPr>
        <w:ind w:left="1134" w:hanging="1134"/>
      </w:pPr>
      <w:rPr>
        <w:rFonts w:ascii="Calibri" w:hAnsi="Calibri" w:hint="default"/>
        <w:b/>
        <w:i w:val="0"/>
        <w:color w:val="auto"/>
        <w:sz w:val="24"/>
      </w:rPr>
    </w:lvl>
    <w:lvl w:ilvl="6">
      <w:start w:val="1"/>
      <w:numFmt w:val="none"/>
      <w:lvlText w:val=""/>
      <w:lvlJc w:val="left"/>
      <w:pPr>
        <w:ind w:left="1134" w:hanging="1134"/>
      </w:pPr>
      <w:rPr>
        <w:rFonts w:ascii="Calibri" w:hAnsi="Calibri" w:hint="default"/>
        <w:b/>
        <w:i w:val="0"/>
        <w:sz w:val="24"/>
      </w:rPr>
    </w:lvl>
    <w:lvl w:ilvl="7">
      <w:start w:val="1"/>
      <w:numFmt w:val="none"/>
      <w:lvlText w:val="%8"/>
      <w:lvlJc w:val="left"/>
      <w:pPr>
        <w:ind w:left="1134" w:hanging="1134"/>
      </w:pPr>
      <w:rPr>
        <w:rFonts w:hint="default"/>
      </w:rPr>
    </w:lvl>
    <w:lvl w:ilvl="8">
      <w:start w:val="1"/>
      <w:numFmt w:val="none"/>
      <w:lvlText w:val="%9"/>
      <w:lvlJc w:val="right"/>
      <w:pPr>
        <w:ind w:left="1134" w:hanging="1134"/>
      </w:pPr>
      <w:rPr>
        <w:rFonts w:hint="default"/>
      </w:rPr>
    </w:lvl>
  </w:abstractNum>
  <w:abstractNum w:abstractNumId="6" w15:restartNumberingAfterBreak="0">
    <w:nsid w:val="369F30FD"/>
    <w:multiLevelType w:val="hybridMultilevel"/>
    <w:tmpl w:val="41F81E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E353B5C"/>
    <w:multiLevelType w:val="hybridMultilevel"/>
    <w:tmpl w:val="735890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D903835"/>
    <w:multiLevelType w:val="singleLevel"/>
    <w:tmpl w:val="48C4148A"/>
    <w:lvl w:ilvl="0">
      <w:numFmt w:val="bullet"/>
      <w:pStyle w:val="Bullet"/>
      <w:lvlText w:val=""/>
      <w:lvlJc w:val="left"/>
      <w:pPr>
        <w:tabs>
          <w:tab w:val="num" w:pos="1440"/>
        </w:tabs>
        <w:ind w:left="1440" w:hanging="720"/>
      </w:pPr>
      <w:rPr>
        <w:rFonts w:ascii="Symbol" w:hAnsi="Symbol" w:hint="default"/>
        <w:sz w:val="22"/>
      </w:rPr>
    </w:lvl>
  </w:abstractNum>
  <w:abstractNum w:abstractNumId="9" w15:restartNumberingAfterBreak="0">
    <w:nsid w:val="613D2A43"/>
    <w:multiLevelType w:val="hybridMultilevel"/>
    <w:tmpl w:val="165AD6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3ED5609"/>
    <w:multiLevelType w:val="hybridMultilevel"/>
    <w:tmpl w:val="362803D2"/>
    <w:lvl w:ilvl="0" w:tplc="B9628C1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4182DE8"/>
    <w:multiLevelType w:val="hybridMultilevel"/>
    <w:tmpl w:val="B1186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4BB32BE"/>
    <w:multiLevelType w:val="hybridMultilevel"/>
    <w:tmpl w:val="2788D6C6"/>
    <w:lvl w:ilvl="0" w:tplc="B0DA2C7E">
      <w:start w:val="1"/>
      <w:numFmt w:val="decimal"/>
      <w:pStyle w:val="MainBodySectionHeading-numbered"/>
      <w:lvlText w:val="A.%1"/>
      <w:lvlJc w:val="left"/>
      <w:pPr>
        <w:ind w:left="720" w:hanging="360"/>
      </w:pPr>
      <w:rPr>
        <w:rFonts w:ascii="Calibri" w:hAnsi="Calibri" w:hint="default"/>
        <w:b/>
        <w:i w:val="0"/>
        <w:color w:val="auto"/>
        <w:sz w:val="28"/>
      </w:rPr>
    </w:lvl>
    <w:lvl w:ilvl="1" w:tplc="3412F0B6" w:tentative="1">
      <w:start w:val="1"/>
      <w:numFmt w:val="lowerLetter"/>
      <w:lvlText w:val="%2."/>
      <w:lvlJc w:val="left"/>
      <w:pPr>
        <w:ind w:left="1440" w:hanging="360"/>
      </w:pPr>
    </w:lvl>
    <w:lvl w:ilvl="2" w:tplc="0A2C92E8" w:tentative="1">
      <w:start w:val="1"/>
      <w:numFmt w:val="lowerRoman"/>
      <w:lvlText w:val="%3."/>
      <w:lvlJc w:val="right"/>
      <w:pPr>
        <w:ind w:left="2160" w:hanging="180"/>
      </w:pPr>
    </w:lvl>
    <w:lvl w:ilvl="3" w:tplc="51E06328" w:tentative="1">
      <w:start w:val="1"/>
      <w:numFmt w:val="decimal"/>
      <w:lvlText w:val="%4."/>
      <w:lvlJc w:val="left"/>
      <w:pPr>
        <w:ind w:left="2880" w:hanging="360"/>
      </w:pPr>
    </w:lvl>
    <w:lvl w:ilvl="4" w:tplc="55121EB0" w:tentative="1">
      <w:start w:val="1"/>
      <w:numFmt w:val="lowerLetter"/>
      <w:lvlText w:val="%5."/>
      <w:lvlJc w:val="left"/>
      <w:pPr>
        <w:ind w:left="3600" w:hanging="360"/>
      </w:pPr>
    </w:lvl>
    <w:lvl w:ilvl="5" w:tplc="C0BC6618" w:tentative="1">
      <w:start w:val="1"/>
      <w:numFmt w:val="lowerRoman"/>
      <w:lvlText w:val="%6."/>
      <w:lvlJc w:val="right"/>
      <w:pPr>
        <w:ind w:left="4320" w:hanging="180"/>
      </w:pPr>
    </w:lvl>
    <w:lvl w:ilvl="6" w:tplc="2C762004" w:tentative="1">
      <w:start w:val="1"/>
      <w:numFmt w:val="decimal"/>
      <w:lvlText w:val="%7."/>
      <w:lvlJc w:val="left"/>
      <w:pPr>
        <w:ind w:left="5040" w:hanging="360"/>
      </w:pPr>
    </w:lvl>
    <w:lvl w:ilvl="7" w:tplc="AAE0D5E4" w:tentative="1">
      <w:start w:val="1"/>
      <w:numFmt w:val="lowerLetter"/>
      <w:lvlText w:val="%8."/>
      <w:lvlJc w:val="left"/>
      <w:pPr>
        <w:ind w:left="5760" w:hanging="360"/>
      </w:pPr>
    </w:lvl>
    <w:lvl w:ilvl="8" w:tplc="37CCD67A" w:tentative="1">
      <w:start w:val="1"/>
      <w:numFmt w:val="lowerRoman"/>
      <w:lvlText w:val="%9."/>
      <w:lvlJc w:val="right"/>
      <w:pPr>
        <w:ind w:left="6480" w:hanging="180"/>
      </w:pPr>
    </w:lvl>
  </w:abstractNum>
  <w:abstractNum w:abstractNumId="13" w15:restartNumberingAfterBreak="0">
    <w:nsid w:val="763B791B"/>
    <w:multiLevelType w:val="hybridMultilevel"/>
    <w:tmpl w:val="A10025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661483B"/>
    <w:multiLevelType w:val="hybridMultilevel"/>
    <w:tmpl w:val="6DB2D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94D58D2"/>
    <w:multiLevelType w:val="hybridMultilevel"/>
    <w:tmpl w:val="8708E5EC"/>
    <w:lvl w:ilvl="0" w:tplc="0C090001">
      <w:start w:val="1"/>
      <w:numFmt w:val="bullet"/>
      <w:lvlText w:val=""/>
      <w:lvlJc w:val="left"/>
      <w:pPr>
        <w:ind w:left="1080" w:hanging="72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BFE1EAC"/>
    <w:multiLevelType w:val="hybridMultilevel"/>
    <w:tmpl w:val="E32C9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D200C70"/>
    <w:multiLevelType w:val="multilevel"/>
    <w:tmpl w:val="37B0CA18"/>
    <w:lvl w:ilvl="0">
      <w:start w:val="1"/>
      <w:numFmt w:val="none"/>
      <w:pStyle w:val="ESSectionHeading-numbered0"/>
      <w:lvlText w:val="A.1"/>
      <w:lvlJc w:val="left"/>
      <w:pPr>
        <w:ind w:left="1134" w:hanging="1134"/>
      </w:pPr>
      <w:rPr>
        <w:rFonts w:ascii="Calibri" w:hAnsi="Calibri" w:hint="default"/>
        <w:b/>
        <w:i w:val="0"/>
        <w:color w:val="auto"/>
        <w:sz w:val="24"/>
      </w:rPr>
    </w:lvl>
    <w:lvl w:ilvl="1">
      <w:start w:val="2"/>
      <w:numFmt w:val="decimal"/>
      <w:lvlText w:val="B.%2"/>
      <w:lvlJc w:val="left"/>
      <w:pPr>
        <w:ind w:left="1134" w:hanging="1134"/>
      </w:pPr>
      <w:rPr>
        <w:rFonts w:ascii="Calibri" w:hAnsi="Calibri" w:hint="default"/>
        <w:b/>
        <w:i w:val="0"/>
        <w:color w:val="auto"/>
        <w:sz w:val="24"/>
      </w:rPr>
    </w:lvl>
    <w:lvl w:ilvl="2">
      <w:start w:val="1"/>
      <w:numFmt w:val="decimal"/>
      <w:lvlText w:val="C.%3."/>
      <w:lvlJc w:val="left"/>
      <w:pPr>
        <w:ind w:left="1134" w:hanging="1134"/>
      </w:pPr>
      <w:rPr>
        <w:rFonts w:ascii="Calibri" w:hAnsi="Calibri" w:hint="default"/>
        <w:b/>
        <w:i w:val="0"/>
        <w:sz w:val="24"/>
      </w:rPr>
    </w:lvl>
    <w:lvl w:ilvl="3">
      <w:start w:val="1"/>
      <w:numFmt w:val="decimal"/>
      <w:lvlText w:val="D.%4."/>
      <w:lvlJc w:val="left"/>
      <w:pPr>
        <w:ind w:left="1134" w:hanging="1134"/>
      </w:pPr>
      <w:rPr>
        <w:rFonts w:ascii="Calibri" w:hAnsi="Calibri" w:hint="default"/>
        <w:b/>
        <w:i w:val="0"/>
        <w:sz w:val="24"/>
      </w:rPr>
    </w:lvl>
    <w:lvl w:ilvl="4">
      <w:start w:val="1"/>
      <w:numFmt w:val="decimal"/>
      <w:lvlText w:val="E.%5."/>
      <w:lvlJc w:val="left"/>
      <w:pPr>
        <w:ind w:left="1134" w:hanging="1134"/>
      </w:pPr>
      <w:rPr>
        <w:rFonts w:ascii="Calibri" w:hAnsi="Calibri" w:hint="default"/>
        <w:b/>
        <w:i w:val="0"/>
        <w:sz w:val="24"/>
      </w:rPr>
    </w:lvl>
    <w:lvl w:ilvl="5">
      <w:start w:val="1"/>
      <w:numFmt w:val="decimal"/>
      <w:lvlText w:val="A.%6"/>
      <w:lvlJc w:val="left"/>
      <w:pPr>
        <w:ind w:left="1134" w:hanging="1134"/>
      </w:pPr>
      <w:rPr>
        <w:rFonts w:ascii="Calibri" w:hAnsi="Calibri" w:hint="default"/>
        <w:b/>
        <w:i w:val="0"/>
        <w:color w:val="auto"/>
        <w:sz w:val="24"/>
      </w:rPr>
    </w:lvl>
    <w:lvl w:ilvl="6">
      <w:start w:val="1"/>
      <w:numFmt w:val="none"/>
      <w:lvlText w:val=""/>
      <w:lvlJc w:val="left"/>
      <w:pPr>
        <w:ind w:left="1134" w:hanging="1134"/>
      </w:pPr>
      <w:rPr>
        <w:rFonts w:ascii="Calibri" w:hAnsi="Calibri" w:hint="default"/>
        <w:b/>
        <w:i w:val="0"/>
        <w:sz w:val="24"/>
      </w:rPr>
    </w:lvl>
    <w:lvl w:ilvl="7">
      <w:start w:val="1"/>
      <w:numFmt w:val="none"/>
      <w:lvlText w:val="%8"/>
      <w:lvlJc w:val="left"/>
      <w:pPr>
        <w:ind w:left="1134" w:hanging="1134"/>
      </w:pPr>
      <w:rPr>
        <w:rFonts w:hint="default"/>
      </w:rPr>
    </w:lvl>
    <w:lvl w:ilvl="8">
      <w:start w:val="1"/>
      <w:numFmt w:val="none"/>
      <w:lvlText w:val="%9"/>
      <w:lvlJc w:val="right"/>
      <w:pPr>
        <w:ind w:left="1134" w:hanging="1134"/>
      </w:pPr>
      <w:rPr>
        <w:rFonts w:hint="default"/>
      </w:rPr>
    </w:lvl>
  </w:abstractNum>
  <w:abstractNum w:abstractNumId="18" w15:restartNumberingAfterBreak="0">
    <w:nsid w:val="7EF71E36"/>
    <w:multiLevelType w:val="hybridMultilevel"/>
    <w:tmpl w:val="3E7A3D38"/>
    <w:lvl w:ilvl="0" w:tplc="379E2A6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F181516"/>
    <w:multiLevelType w:val="hybridMultilevel"/>
    <w:tmpl w:val="FF9EE7EA"/>
    <w:lvl w:ilvl="0" w:tplc="99525AAE">
      <w:start w:val="1"/>
      <w:numFmt w:val="decimal"/>
      <w:pStyle w:val="Nnumberedlist"/>
      <w:lvlText w:val="%1."/>
      <w:lvlJc w:val="left"/>
      <w:pPr>
        <w:tabs>
          <w:tab w:val="num" w:pos="1440"/>
        </w:tabs>
        <w:ind w:left="1440" w:hanging="360"/>
      </w:pPr>
    </w:lvl>
    <w:lvl w:ilvl="1" w:tplc="389C2200" w:tentative="1">
      <w:start w:val="1"/>
      <w:numFmt w:val="lowerLetter"/>
      <w:lvlText w:val="%2."/>
      <w:lvlJc w:val="left"/>
      <w:pPr>
        <w:tabs>
          <w:tab w:val="num" w:pos="2160"/>
        </w:tabs>
        <w:ind w:left="2160" w:hanging="360"/>
      </w:pPr>
    </w:lvl>
    <w:lvl w:ilvl="2" w:tplc="C3F8B188" w:tentative="1">
      <w:start w:val="1"/>
      <w:numFmt w:val="lowerRoman"/>
      <w:lvlText w:val="%3."/>
      <w:lvlJc w:val="right"/>
      <w:pPr>
        <w:tabs>
          <w:tab w:val="num" w:pos="2880"/>
        </w:tabs>
        <w:ind w:left="2880" w:hanging="180"/>
      </w:pPr>
    </w:lvl>
    <w:lvl w:ilvl="3" w:tplc="391E97F0" w:tentative="1">
      <w:start w:val="1"/>
      <w:numFmt w:val="decimal"/>
      <w:lvlText w:val="%4."/>
      <w:lvlJc w:val="left"/>
      <w:pPr>
        <w:tabs>
          <w:tab w:val="num" w:pos="3600"/>
        </w:tabs>
        <w:ind w:left="3600" w:hanging="360"/>
      </w:pPr>
    </w:lvl>
    <w:lvl w:ilvl="4" w:tplc="4F42265E" w:tentative="1">
      <w:start w:val="1"/>
      <w:numFmt w:val="lowerLetter"/>
      <w:lvlText w:val="%5."/>
      <w:lvlJc w:val="left"/>
      <w:pPr>
        <w:tabs>
          <w:tab w:val="num" w:pos="4320"/>
        </w:tabs>
        <w:ind w:left="4320" w:hanging="360"/>
      </w:pPr>
    </w:lvl>
    <w:lvl w:ilvl="5" w:tplc="30546058" w:tentative="1">
      <w:start w:val="1"/>
      <w:numFmt w:val="lowerRoman"/>
      <w:lvlText w:val="%6."/>
      <w:lvlJc w:val="right"/>
      <w:pPr>
        <w:tabs>
          <w:tab w:val="num" w:pos="5040"/>
        </w:tabs>
        <w:ind w:left="5040" w:hanging="180"/>
      </w:pPr>
    </w:lvl>
    <w:lvl w:ilvl="6" w:tplc="6E10F0C6" w:tentative="1">
      <w:start w:val="1"/>
      <w:numFmt w:val="decimal"/>
      <w:lvlText w:val="%7."/>
      <w:lvlJc w:val="left"/>
      <w:pPr>
        <w:tabs>
          <w:tab w:val="num" w:pos="5760"/>
        </w:tabs>
        <w:ind w:left="5760" w:hanging="360"/>
      </w:pPr>
    </w:lvl>
    <w:lvl w:ilvl="7" w:tplc="70B07B9C" w:tentative="1">
      <w:start w:val="1"/>
      <w:numFmt w:val="lowerLetter"/>
      <w:lvlText w:val="%8."/>
      <w:lvlJc w:val="left"/>
      <w:pPr>
        <w:tabs>
          <w:tab w:val="num" w:pos="6480"/>
        </w:tabs>
        <w:ind w:left="6480" w:hanging="360"/>
      </w:pPr>
    </w:lvl>
    <w:lvl w:ilvl="8" w:tplc="9BF48AAC" w:tentative="1">
      <w:start w:val="1"/>
      <w:numFmt w:val="lowerRoman"/>
      <w:lvlText w:val="%9."/>
      <w:lvlJc w:val="right"/>
      <w:pPr>
        <w:tabs>
          <w:tab w:val="num" w:pos="7200"/>
        </w:tabs>
        <w:ind w:left="7200" w:hanging="180"/>
      </w:pPr>
    </w:lvl>
  </w:abstractNum>
  <w:num w:numId="1">
    <w:abstractNumId w:val="8"/>
  </w:num>
  <w:num w:numId="2">
    <w:abstractNumId w:val="3"/>
  </w:num>
  <w:num w:numId="3">
    <w:abstractNumId w:val="19"/>
  </w:num>
  <w:num w:numId="4">
    <w:abstractNumId w:val="12"/>
  </w:num>
  <w:num w:numId="5">
    <w:abstractNumId w:val="5"/>
  </w:num>
  <w:num w:numId="6">
    <w:abstractNumId w:val="17"/>
  </w:num>
  <w:num w:numId="7">
    <w:abstractNumId w:val="4"/>
  </w:num>
  <w:num w:numId="8">
    <w:abstractNumId w:val="15"/>
  </w:num>
  <w:num w:numId="9">
    <w:abstractNumId w:val="1"/>
  </w:num>
  <w:num w:numId="10">
    <w:abstractNumId w:val="0"/>
  </w:num>
  <w:num w:numId="11">
    <w:abstractNumId w:val="6"/>
  </w:num>
  <w:num w:numId="12">
    <w:abstractNumId w:val="13"/>
  </w:num>
  <w:num w:numId="13">
    <w:abstractNumId w:val="14"/>
  </w:num>
  <w:num w:numId="14">
    <w:abstractNumId w:val="16"/>
  </w:num>
  <w:num w:numId="15">
    <w:abstractNumId w:val="9"/>
  </w:num>
  <w:num w:numId="16">
    <w:abstractNumId w:val="11"/>
  </w:num>
  <w:num w:numId="17">
    <w:abstractNumId w:val="2"/>
  </w:num>
  <w:num w:numId="18">
    <w:abstractNumId w:val="7"/>
  </w:num>
  <w:num w:numId="19">
    <w:abstractNumId w:val="18"/>
  </w:num>
  <w:num w:numId="20">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styleLockTheme/>
  <w:styleLockQFSet/>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Harvard UofA (Style Manual Australia 6th edn)&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0rafrsx2d50edew5w15fz0q0dvfzstzed55&quot;&gt;Position Paper&lt;record-ids&gt;&lt;item&gt;1&lt;/item&gt;&lt;item&gt;2&lt;/item&gt;&lt;item&gt;3&lt;/item&gt;&lt;item&gt;6&lt;/item&gt;&lt;item&gt;7&lt;/item&gt;&lt;item&gt;9&lt;/item&gt;&lt;item&gt;10&lt;/item&gt;&lt;item&gt;11&lt;/item&gt;&lt;item&gt;12&lt;/item&gt;&lt;item&gt;13&lt;/item&gt;&lt;item&gt;14&lt;/item&gt;&lt;item&gt;15&lt;/item&gt;&lt;item&gt;16&lt;/item&gt;&lt;item&gt;17&lt;/item&gt;&lt;item&gt;18&lt;/item&gt;&lt;item&gt;19&lt;/item&gt;&lt;item&gt;21&lt;/item&gt;&lt;item&gt;22&lt;/item&gt;&lt;item&gt;23&lt;/item&gt;&lt;item&gt;24&lt;/item&gt;&lt;item&gt;25&lt;/item&gt;&lt;item&gt;27&lt;/item&gt;&lt;item&gt;76&lt;/item&gt;&lt;item&gt;77&lt;/item&gt;&lt;item&gt;78&lt;/item&gt;&lt;/record-ids&gt;&lt;/item&gt;&lt;/Libraries&gt;"/>
  </w:docVars>
  <w:rsids>
    <w:rsidRoot w:val="00F42040"/>
    <w:rsid w:val="00005647"/>
    <w:rsid w:val="000125F7"/>
    <w:rsid w:val="000430DA"/>
    <w:rsid w:val="00064683"/>
    <w:rsid w:val="000666A6"/>
    <w:rsid w:val="00074876"/>
    <w:rsid w:val="00074A25"/>
    <w:rsid w:val="00085B22"/>
    <w:rsid w:val="00090897"/>
    <w:rsid w:val="000A1073"/>
    <w:rsid w:val="000B73C1"/>
    <w:rsid w:val="000C05F5"/>
    <w:rsid w:val="000C2818"/>
    <w:rsid w:val="000C3510"/>
    <w:rsid w:val="000C57A7"/>
    <w:rsid w:val="000C64A0"/>
    <w:rsid w:val="000D57DF"/>
    <w:rsid w:val="000E4F60"/>
    <w:rsid w:val="000E5FD8"/>
    <w:rsid w:val="000E6E28"/>
    <w:rsid w:val="000F6AD0"/>
    <w:rsid w:val="00100C84"/>
    <w:rsid w:val="00101B43"/>
    <w:rsid w:val="001075C3"/>
    <w:rsid w:val="00111687"/>
    <w:rsid w:val="00112D20"/>
    <w:rsid w:val="0011757F"/>
    <w:rsid w:val="0012074A"/>
    <w:rsid w:val="001229D7"/>
    <w:rsid w:val="00140654"/>
    <w:rsid w:val="001452BD"/>
    <w:rsid w:val="001730B9"/>
    <w:rsid w:val="001746C4"/>
    <w:rsid w:val="00182607"/>
    <w:rsid w:val="001866C1"/>
    <w:rsid w:val="0019237D"/>
    <w:rsid w:val="001B49F1"/>
    <w:rsid w:val="001C3D16"/>
    <w:rsid w:val="001D2347"/>
    <w:rsid w:val="001D72DC"/>
    <w:rsid w:val="001E0354"/>
    <w:rsid w:val="001E18A9"/>
    <w:rsid w:val="001E7C44"/>
    <w:rsid w:val="001F1DBF"/>
    <w:rsid w:val="002026B4"/>
    <w:rsid w:val="0020389C"/>
    <w:rsid w:val="0020556F"/>
    <w:rsid w:val="002101A0"/>
    <w:rsid w:val="00210308"/>
    <w:rsid w:val="002153B1"/>
    <w:rsid w:val="002251E8"/>
    <w:rsid w:val="00226B8D"/>
    <w:rsid w:val="00237849"/>
    <w:rsid w:val="00240A85"/>
    <w:rsid w:val="002422BB"/>
    <w:rsid w:val="00243652"/>
    <w:rsid w:val="00250BBA"/>
    <w:rsid w:val="00252707"/>
    <w:rsid w:val="00262114"/>
    <w:rsid w:val="00262E87"/>
    <w:rsid w:val="0026448E"/>
    <w:rsid w:val="0027035F"/>
    <w:rsid w:val="002739E9"/>
    <w:rsid w:val="0028086E"/>
    <w:rsid w:val="00281AF1"/>
    <w:rsid w:val="00281FB6"/>
    <w:rsid w:val="00284782"/>
    <w:rsid w:val="0029046D"/>
    <w:rsid w:val="00291EBB"/>
    <w:rsid w:val="00292B62"/>
    <w:rsid w:val="00293746"/>
    <w:rsid w:val="00293947"/>
    <w:rsid w:val="00293EC5"/>
    <w:rsid w:val="002B2430"/>
    <w:rsid w:val="002B39F9"/>
    <w:rsid w:val="002B609F"/>
    <w:rsid w:val="002C3207"/>
    <w:rsid w:val="002C3E70"/>
    <w:rsid w:val="002D0C38"/>
    <w:rsid w:val="002D2BAB"/>
    <w:rsid w:val="002E0B15"/>
    <w:rsid w:val="002E2A1D"/>
    <w:rsid w:val="002E4DD3"/>
    <w:rsid w:val="002E7D1E"/>
    <w:rsid w:val="002F2418"/>
    <w:rsid w:val="002F552C"/>
    <w:rsid w:val="002F5F3F"/>
    <w:rsid w:val="00300C9A"/>
    <w:rsid w:val="00301B4E"/>
    <w:rsid w:val="00302275"/>
    <w:rsid w:val="003024D6"/>
    <w:rsid w:val="00307EC1"/>
    <w:rsid w:val="00311DEB"/>
    <w:rsid w:val="0031217B"/>
    <w:rsid w:val="003131F0"/>
    <w:rsid w:val="003144D3"/>
    <w:rsid w:val="003162ED"/>
    <w:rsid w:val="00316EEE"/>
    <w:rsid w:val="0032375D"/>
    <w:rsid w:val="00333E1A"/>
    <w:rsid w:val="00335E3A"/>
    <w:rsid w:val="003520D4"/>
    <w:rsid w:val="00353108"/>
    <w:rsid w:val="00356791"/>
    <w:rsid w:val="0035783D"/>
    <w:rsid w:val="0036526F"/>
    <w:rsid w:val="003672A5"/>
    <w:rsid w:val="003712EB"/>
    <w:rsid w:val="003714F9"/>
    <w:rsid w:val="0037301D"/>
    <w:rsid w:val="003853C6"/>
    <w:rsid w:val="0038568D"/>
    <w:rsid w:val="00390223"/>
    <w:rsid w:val="00395938"/>
    <w:rsid w:val="00396165"/>
    <w:rsid w:val="003A34B0"/>
    <w:rsid w:val="003B53C1"/>
    <w:rsid w:val="003B5755"/>
    <w:rsid w:val="003B6267"/>
    <w:rsid w:val="003C1C57"/>
    <w:rsid w:val="003C489C"/>
    <w:rsid w:val="003D6005"/>
    <w:rsid w:val="003E29CF"/>
    <w:rsid w:val="003E2E6E"/>
    <w:rsid w:val="003E5828"/>
    <w:rsid w:val="003F0B31"/>
    <w:rsid w:val="003F3F1B"/>
    <w:rsid w:val="003F4D2F"/>
    <w:rsid w:val="003F5124"/>
    <w:rsid w:val="003F6258"/>
    <w:rsid w:val="00400662"/>
    <w:rsid w:val="00400E31"/>
    <w:rsid w:val="0040368F"/>
    <w:rsid w:val="00406221"/>
    <w:rsid w:val="00406414"/>
    <w:rsid w:val="00415F90"/>
    <w:rsid w:val="00420E03"/>
    <w:rsid w:val="004210C7"/>
    <w:rsid w:val="004330AF"/>
    <w:rsid w:val="0043417B"/>
    <w:rsid w:val="004364C7"/>
    <w:rsid w:val="0043722D"/>
    <w:rsid w:val="004404F8"/>
    <w:rsid w:val="004436D3"/>
    <w:rsid w:val="00450E31"/>
    <w:rsid w:val="00452BDF"/>
    <w:rsid w:val="00452DF6"/>
    <w:rsid w:val="00453F72"/>
    <w:rsid w:val="00461D13"/>
    <w:rsid w:val="00467C46"/>
    <w:rsid w:val="0047053D"/>
    <w:rsid w:val="00470586"/>
    <w:rsid w:val="004710BA"/>
    <w:rsid w:val="00473B18"/>
    <w:rsid w:val="004746CA"/>
    <w:rsid w:val="004758AD"/>
    <w:rsid w:val="0047687E"/>
    <w:rsid w:val="004818B6"/>
    <w:rsid w:val="004838ED"/>
    <w:rsid w:val="00485BCA"/>
    <w:rsid w:val="00486D27"/>
    <w:rsid w:val="00491FDC"/>
    <w:rsid w:val="004A5F99"/>
    <w:rsid w:val="004A6B42"/>
    <w:rsid w:val="004A7D51"/>
    <w:rsid w:val="004B53A4"/>
    <w:rsid w:val="004C581F"/>
    <w:rsid w:val="004D3D9C"/>
    <w:rsid w:val="004E60EE"/>
    <w:rsid w:val="004F30D9"/>
    <w:rsid w:val="0051745C"/>
    <w:rsid w:val="00525342"/>
    <w:rsid w:val="00534E9D"/>
    <w:rsid w:val="00542B28"/>
    <w:rsid w:val="0054411D"/>
    <w:rsid w:val="00546469"/>
    <w:rsid w:val="0055190B"/>
    <w:rsid w:val="00552CAB"/>
    <w:rsid w:val="00573D89"/>
    <w:rsid w:val="00575E78"/>
    <w:rsid w:val="005811F6"/>
    <w:rsid w:val="00584239"/>
    <w:rsid w:val="00584742"/>
    <w:rsid w:val="0058525D"/>
    <w:rsid w:val="00586EE1"/>
    <w:rsid w:val="00586F04"/>
    <w:rsid w:val="005916E6"/>
    <w:rsid w:val="005B248D"/>
    <w:rsid w:val="005B31B0"/>
    <w:rsid w:val="005B61BF"/>
    <w:rsid w:val="005C134D"/>
    <w:rsid w:val="005C2F3A"/>
    <w:rsid w:val="005C6D9E"/>
    <w:rsid w:val="005D079E"/>
    <w:rsid w:val="005D1171"/>
    <w:rsid w:val="005D7117"/>
    <w:rsid w:val="005E2F0F"/>
    <w:rsid w:val="005E56FA"/>
    <w:rsid w:val="005F59A7"/>
    <w:rsid w:val="005F7D45"/>
    <w:rsid w:val="00603264"/>
    <w:rsid w:val="006061FA"/>
    <w:rsid w:val="00606340"/>
    <w:rsid w:val="00606782"/>
    <w:rsid w:val="0061287E"/>
    <w:rsid w:val="006150D6"/>
    <w:rsid w:val="00616E22"/>
    <w:rsid w:val="006206F2"/>
    <w:rsid w:val="00620F71"/>
    <w:rsid w:val="00623B63"/>
    <w:rsid w:val="0062509C"/>
    <w:rsid w:val="0062722B"/>
    <w:rsid w:val="00632136"/>
    <w:rsid w:val="006345C9"/>
    <w:rsid w:val="006406E4"/>
    <w:rsid w:val="00642C1E"/>
    <w:rsid w:val="0064439D"/>
    <w:rsid w:val="00644596"/>
    <w:rsid w:val="00647A0A"/>
    <w:rsid w:val="00652631"/>
    <w:rsid w:val="00654C08"/>
    <w:rsid w:val="00661BC5"/>
    <w:rsid w:val="00666A02"/>
    <w:rsid w:val="00667E9D"/>
    <w:rsid w:val="00684BA4"/>
    <w:rsid w:val="0068658C"/>
    <w:rsid w:val="00686BA8"/>
    <w:rsid w:val="00690004"/>
    <w:rsid w:val="00690E6F"/>
    <w:rsid w:val="00692978"/>
    <w:rsid w:val="00693070"/>
    <w:rsid w:val="00693FD5"/>
    <w:rsid w:val="006962F5"/>
    <w:rsid w:val="006A04AC"/>
    <w:rsid w:val="006A07F8"/>
    <w:rsid w:val="006A0CC0"/>
    <w:rsid w:val="006A4E23"/>
    <w:rsid w:val="006B0257"/>
    <w:rsid w:val="006B449B"/>
    <w:rsid w:val="006B68C9"/>
    <w:rsid w:val="006C1A57"/>
    <w:rsid w:val="006C6F55"/>
    <w:rsid w:val="006C774E"/>
    <w:rsid w:val="006D1557"/>
    <w:rsid w:val="006D1EF6"/>
    <w:rsid w:val="006D37EF"/>
    <w:rsid w:val="006D54F4"/>
    <w:rsid w:val="006E6625"/>
    <w:rsid w:val="006F5EBD"/>
    <w:rsid w:val="006F6480"/>
    <w:rsid w:val="00700543"/>
    <w:rsid w:val="00702F7D"/>
    <w:rsid w:val="0070543F"/>
    <w:rsid w:val="007112C1"/>
    <w:rsid w:val="0072258F"/>
    <w:rsid w:val="00722F89"/>
    <w:rsid w:val="007230C8"/>
    <w:rsid w:val="007233B8"/>
    <w:rsid w:val="0073133E"/>
    <w:rsid w:val="00733487"/>
    <w:rsid w:val="007347C1"/>
    <w:rsid w:val="00762939"/>
    <w:rsid w:val="00764E7A"/>
    <w:rsid w:val="0077006C"/>
    <w:rsid w:val="007716FE"/>
    <w:rsid w:val="00775B7D"/>
    <w:rsid w:val="00782A75"/>
    <w:rsid w:val="00785742"/>
    <w:rsid w:val="00790647"/>
    <w:rsid w:val="00791E9C"/>
    <w:rsid w:val="00793C86"/>
    <w:rsid w:val="00794933"/>
    <w:rsid w:val="00796C62"/>
    <w:rsid w:val="007A559E"/>
    <w:rsid w:val="007B1F38"/>
    <w:rsid w:val="007B6A15"/>
    <w:rsid w:val="007D036E"/>
    <w:rsid w:val="007D09EF"/>
    <w:rsid w:val="007E3160"/>
    <w:rsid w:val="007E40C1"/>
    <w:rsid w:val="007E5614"/>
    <w:rsid w:val="007E5928"/>
    <w:rsid w:val="007F5D3B"/>
    <w:rsid w:val="007F60A8"/>
    <w:rsid w:val="007F7305"/>
    <w:rsid w:val="00800C82"/>
    <w:rsid w:val="008054A0"/>
    <w:rsid w:val="00810459"/>
    <w:rsid w:val="00811CC6"/>
    <w:rsid w:val="0081494A"/>
    <w:rsid w:val="008174F7"/>
    <w:rsid w:val="008262D2"/>
    <w:rsid w:val="00840E40"/>
    <w:rsid w:val="00847CFB"/>
    <w:rsid w:val="0085320D"/>
    <w:rsid w:val="0085597C"/>
    <w:rsid w:val="008564B0"/>
    <w:rsid w:val="008570E4"/>
    <w:rsid w:val="00871411"/>
    <w:rsid w:val="00871ABF"/>
    <w:rsid w:val="00872FDC"/>
    <w:rsid w:val="00874983"/>
    <w:rsid w:val="00874F07"/>
    <w:rsid w:val="00884E49"/>
    <w:rsid w:val="008879E9"/>
    <w:rsid w:val="00890C37"/>
    <w:rsid w:val="008924B1"/>
    <w:rsid w:val="00892859"/>
    <w:rsid w:val="008A2310"/>
    <w:rsid w:val="008A2A89"/>
    <w:rsid w:val="008A34B3"/>
    <w:rsid w:val="008B0783"/>
    <w:rsid w:val="008B09BA"/>
    <w:rsid w:val="008B342A"/>
    <w:rsid w:val="008B5E06"/>
    <w:rsid w:val="008B74E1"/>
    <w:rsid w:val="008C48D4"/>
    <w:rsid w:val="008D3CA7"/>
    <w:rsid w:val="008D5F69"/>
    <w:rsid w:val="008E4E5A"/>
    <w:rsid w:val="008E51C7"/>
    <w:rsid w:val="008E62B9"/>
    <w:rsid w:val="008E7315"/>
    <w:rsid w:val="008E7C06"/>
    <w:rsid w:val="008F33AC"/>
    <w:rsid w:val="008F37D0"/>
    <w:rsid w:val="008F6DB1"/>
    <w:rsid w:val="009101D8"/>
    <w:rsid w:val="00911AEF"/>
    <w:rsid w:val="00914BA3"/>
    <w:rsid w:val="00920354"/>
    <w:rsid w:val="0093254B"/>
    <w:rsid w:val="009410DA"/>
    <w:rsid w:val="00941922"/>
    <w:rsid w:val="00945A86"/>
    <w:rsid w:val="00953879"/>
    <w:rsid w:val="00953D30"/>
    <w:rsid w:val="009570CA"/>
    <w:rsid w:val="00957DCD"/>
    <w:rsid w:val="00962671"/>
    <w:rsid w:val="0096387D"/>
    <w:rsid w:val="00963ED3"/>
    <w:rsid w:val="009648B5"/>
    <w:rsid w:val="00970F63"/>
    <w:rsid w:val="009717EB"/>
    <w:rsid w:val="00974065"/>
    <w:rsid w:val="00976254"/>
    <w:rsid w:val="00976D8F"/>
    <w:rsid w:val="00984B14"/>
    <w:rsid w:val="0099317C"/>
    <w:rsid w:val="00997C9D"/>
    <w:rsid w:val="009A120E"/>
    <w:rsid w:val="009A1BFD"/>
    <w:rsid w:val="009A311F"/>
    <w:rsid w:val="009A77E5"/>
    <w:rsid w:val="009B1917"/>
    <w:rsid w:val="009B21B9"/>
    <w:rsid w:val="009B2FA8"/>
    <w:rsid w:val="009B333C"/>
    <w:rsid w:val="009C38BF"/>
    <w:rsid w:val="009D09B0"/>
    <w:rsid w:val="009D54D4"/>
    <w:rsid w:val="009E67CD"/>
    <w:rsid w:val="009F0206"/>
    <w:rsid w:val="00A0100A"/>
    <w:rsid w:val="00A10264"/>
    <w:rsid w:val="00A145ED"/>
    <w:rsid w:val="00A15586"/>
    <w:rsid w:val="00A16163"/>
    <w:rsid w:val="00A32D07"/>
    <w:rsid w:val="00A44D91"/>
    <w:rsid w:val="00A44DA8"/>
    <w:rsid w:val="00A55199"/>
    <w:rsid w:val="00A56096"/>
    <w:rsid w:val="00A56CA2"/>
    <w:rsid w:val="00A61C34"/>
    <w:rsid w:val="00A622F0"/>
    <w:rsid w:val="00A72228"/>
    <w:rsid w:val="00A81DFF"/>
    <w:rsid w:val="00A824B6"/>
    <w:rsid w:val="00A959E0"/>
    <w:rsid w:val="00A9672E"/>
    <w:rsid w:val="00AA13B3"/>
    <w:rsid w:val="00AA1AA3"/>
    <w:rsid w:val="00AA3F8B"/>
    <w:rsid w:val="00AD4385"/>
    <w:rsid w:val="00AE2013"/>
    <w:rsid w:val="00AE48EB"/>
    <w:rsid w:val="00AF011E"/>
    <w:rsid w:val="00AF25B3"/>
    <w:rsid w:val="00AF2F92"/>
    <w:rsid w:val="00AF57AB"/>
    <w:rsid w:val="00AF7276"/>
    <w:rsid w:val="00B063AA"/>
    <w:rsid w:val="00B16639"/>
    <w:rsid w:val="00B207B1"/>
    <w:rsid w:val="00B302BD"/>
    <w:rsid w:val="00B428CB"/>
    <w:rsid w:val="00B42B16"/>
    <w:rsid w:val="00B42E5D"/>
    <w:rsid w:val="00B4407F"/>
    <w:rsid w:val="00B467CE"/>
    <w:rsid w:val="00B50040"/>
    <w:rsid w:val="00B50920"/>
    <w:rsid w:val="00B529BB"/>
    <w:rsid w:val="00B5393E"/>
    <w:rsid w:val="00B57C3C"/>
    <w:rsid w:val="00B664EE"/>
    <w:rsid w:val="00B66D53"/>
    <w:rsid w:val="00B70034"/>
    <w:rsid w:val="00B70FC9"/>
    <w:rsid w:val="00B73BC0"/>
    <w:rsid w:val="00B818B5"/>
    <w:rsid w:val="00B85B12"/>
    <w:rsid w:val="00B909A6"/>
    <w:rsid w:val="00B92300"/>
    <w:rsid w:val="00B970F1"/>
    <w:rsid w:val="00BB0897"/>
    <w:rsid w:val="00BB0C1E"/>
    <w:rsid w:val="00BB51F6"/>
    <w:rsid w:val="00BB7D43"/>
    <w:rsid w:val="00BC4309"/>
    <w:rsid w:val="00BD3580"/>
    <w:rsid w:val="00BE2501"/>
    <w:rsid w:val="00BE5DCA"/>
    <w:rsid w:val="00BF18CD"/>
    <w:rsid w:val="00BF196A"/>
    <w:rsid w:val="00BF7514"/>
    <w:rsid w:val="00C03B3E"/>
    <w:rsid w:val="00C1349C"/>
    <w:rsid w:val="00C164FB"/>
    <w:rsid w:val="00C17EA0"/>
    <w:rsid w:val="00C20040"/>
    <w:rsid w:val="00C3539A"/>
    <w:rsid w:val="00C3650A"/>
    <w:rsid w:val="00C401D0"/>
    <w:rsid w:val="00C5668A"/>
    <w:rsid w:val="00C5772A"/>
    <w:rsid w:val="00C62CC6"/>
    <w:rsid w:val="00C635B1"/>
    <w:rsid w:val="00C737CC"/>
    <w:rsid w:val="00C86F2A"/>
    <w:rsid w:val="00CA173F"/>
    <w:rsid w:val="00CA4AA9"/>
    <w:rsid w:val="00CA4D7D"/>
    <w:rsid w:val="00CA705F"/>
    <w:rsid w:val="00CB3A61"/>
    <w:rsid w:val="00CB5507"/>
    <w:rsid w:val="00CC3146"/>
    <w:rsid w:val="00CC6AB6"/>
    <w:rsid w:val="00CD02BF"/>
    <w:rsid w:val="00CD1804"/>
    <w:rsid w:val="00CD31A6"/>
    <w:rsid w:val="00CE09B7"/>
    <w:rsid w:val="00CE0A42"/>
    <w:rsid w:val="00CE184B"/>
    <w:rsid w:val="00CE31BA"/>
    <w:rsid w:val="00CF3D13"/>
    <w:rsid w:val="00D002DB"/>
    <w:rsid w:val="00D05C66"/>
    <w:rsid w:val="00D0645D"/>
    <w:rsid w:val="00D06E90"/>
    <w:rsid w:val="00D10F4C"/>
    <w:rsid w:val="00D12833"/>
    <w:rsid w:val="00D14BCA"/>
    <w:rsid w:val="00D372D9"/>
    <w:rsid w:val="00D375B0"/>
    <w:rsid w:val="00D408FC"/>
    <w:rsid w:val="00D71905"/>
    <w:rsid w:val="00D72CD8"/>
    <w:rsid w:val="00D7314E"/>
    <w:rsid w:val="00D74A32"/>
    <w:rsid w:val="00D74E4F"/>
    <w:rsid w:val="00D77823"/>
    <w:rsid w:val="00D87770"/>
    <w:rsid w:val="00D90E04"/>
    <w:rsid w:val="00D93130"/>
    <w:rsid w:val="00D935F5"/>
    <w:rsid w:val="00DA115B"/>
    <w:rsid w:val="00DA1289"/>
    <w:rsid w:val="00DA2A3A"/>
    <w:rsid w:val="00DA582F"/>
    <w:rsid w:val="00DB2350"/>
    <w:rsid w:val="00DB54B3"/>
    <w:rsid w:val="00DC3735"/>
    <w:rsid w:val="00DC3DEB"/>
    <w:rsid w:val="00DC77F8"/>
    <w:rsid w:val="00DD0266"/>
    <w:rsid w:val="00DD1E5F"/>
    <w:rsid w:val="00DE1AC5"/>
    <w:rsid w:val="00DE312C"/>
    <w:rsid w:val="00DE4429"/>
    <w:rsid w:val="00DE4805"/>
    <w:rsid w:val="00DF1029"/>
    <w:rsid w:val="00DF307B"/>
    <w:rsid w:val="00DF55B4"/>
    <w:rsid w:val="00DF61D6"/>
    <w:rsid w:val="00DF6240"/>
    <w:rsid w:val="00E03B9F"/>
    <w:rsid w:val="00E04922"/>
    <w:rsid w:val="00E070C6"/>
    <w:rsid w:val="00E15204"/>
    <w:rsid w:val="00E1554F"/>
    <w:rsid w:val="00E16215"/>
    <w:rsid w:val="00E248ED"/>
    <w:rsid w:val="00E27924"/>
    <w:rsid w:val="00E3459F"/>
    <w:rsid w:val="00E36871"/>
    <w:rsid w:val="00E40787"/>
    <w:rsid w:val="00E4707F"/>
    <w:rsid w:val="00E4742C"/>
    <w:rsid w:val="00E54DF0"/>
    <w:rsid w:val="00E5725C"/>
    <w:rsid w:val="00E677C3"/>
    <w:rsid w:val="00E830A5"/>
    <w:rsid w:val="00E83AF3"/>
    <w:rsid w:val="00E84234"/>
    <w:rsid w:val="00E87DA4"/>
    <w:rsid w:val="00E927C7"/>
    <w:rsid w:val="00EA0C4A"/>
    <w:rsid w:val="00EA19A3"/>
    <w:rsid w:val="00EA1CA4"/>
    <w:rsid w:val="00EA7464"/>
    <w:rsid w:val="00EB40D1"/>
    <w:rsid w:val="00EC20F8"/>
    <w:rsid w:val="00ED3B14"/>
    <w:rsid w:val="00ED411C"/>
    <w:rsid w:val="00ED65EE"/>
    <w:rsid w:val="00ED73CC"/>
    <w:rsid w:val="00EF4DBF"/>
    <w:rsid w:val="00F03970"/>
    <w:rsid w:val="00F05453"/>
    <w:rsid w:val="00F06117"/>
    <w:rsid w:val="00F20343"/>
    <w:rsid w:val="00F21001"/>
    <w:rsid w:val="00F211A9"/>
    <w:rsid w:val="00F2210A"/>
    <w:rsid w:val="00F25222"/>
    <w:rsid w:val="00F25B72"/>
    <w:rsid w:val="00F26546"/>
    <w:rsid w:val="00F26E3F"/>
    <w:rsid w:val="00F30C7B"/>
    <w:rsid w:val="00F3258D"/>
    <w:rsid w:val="00F3677F"/>
    <w:rsid w:val="00F36CBE"/>
    <w:rsid w:val="00F42040"/>
    <w:rsid w:val="00F5292F"/>
    <w:rsid w:val="00F55989"/>
    <w:rsid w:val="00F64C12"/>
    <w:rsid w:val="00F65F9F"/>
    <w:rsid w:val="00F66AF2"/>
    <w:rsid w:val="00F70E9C"/>
    <w:rsid w:val="00F713EE"/>
    <w:rsid w:val="00F76C60"/>
    <w:rsid w:val="00F77139"/>
    <w:rsid w:val="00F8186C"/>
    <w:rsid w:val="00F82709"/>
    <w:rsid w:val="00F879EB"/>
    <w:rsid w:val="00F9572E"/>
    <w:rsid w:val="00FA4998"/>
    <w:rsid w:val="00FA5058"/>
    <w:rsid w:val="00FB35A3"/>
    <w:rsid w:val="00FB38E9"/>
    <w:rsid w:val="00FC084C"/>
    <w:rsid w:val="00FC08E6"/>
    <w:rsid w:val="00FC7E02"/>
    <w:rsid w:val="00FD16C4"/>
    <w:rsid w:val="00FD6522"/>
    <w:rsid w:val="00FD67F3"/>
    <w:rsid w:val="00FD72DD"/>
    <w:rsid w:val="00FD755E"/>
    <w:rsid w:val="00FD77A5"/>
    <w:rsid w:val="00FE18FC"/>
    <w:rsid w:val="00FE7CEC"/>
    <w:rsid w:val="00FF6C1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1AEEB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locked="1"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locked="1" w:semiHidden="1" w:unhideWhenUsed="1"/>
    <w:lsdException w:name="toa heading" w:semiHidden="1" w:unhideWhenUsed="1"/>
    <w:lsdException w:name="List" w:semiHidden="1" w:unhideWhenUsed="1"/>
    <w:lsdException w:name="List Bullet"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semiHidden="1" w:unhideWhenUsed="1"/>
    <w:lsdException w:name="Subtitle" w:locked="1"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nhideWhenUsed="1"/>
    <w:lsdException w:name="Body Text 3" w:locked="1"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locked="1" w:semiHidden="1" w:unhideWhenUsed="1"/>
    <w:lsdException w:name="Table Simple 3" w:locked="1" w:semiHidden="1" w:unhideWhenUsed="1"/>
    <w:lsdException w:name="Table Classic 1" w:semiHidden="1" w:uiPriority="0" w:unhideWhenUsed="1"/>
    <w:lsdException w:name="Table Classic 2" w:locked="1" w:semiHidden="1" w:unhideWhenUsed="1"/>
    <w:lsdException w:name="Table Classic 3" w:locked="1" w:semiHidden="1" w:unhideWhenUsed="1"/>
    <w:lsdException w:name="Table Classic 4" w:locked="1" w:semiHidden="1" w:unhideWhenUsed="1"/>
    <w:lsdException w:name="Table Colorful 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0"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locked="1" w:uiPriority="61"/>
    <w:lsdException w:name="Light Grid" w:locked="1" w:uiPriority="62"/>
    <w:lsdException w:name="Medium Shading 1" w:uiPriority="63"/>
    <w:lsdException w:name="Medium Shading 2" w:uiPriority="64"/>
    <w:lsdException w:name="Medium List 1" w:locked="1" w:uiPriority="65"/>
    <w:lsdException w:name="Medium List 2" w:uiPriority="66"/>
    <w:lsdException w:name="Medium Grid 1" w:locked="1" w:uiPriority="67"/>
    <w:lsdException w:name="Medium Grid 2" w:locked="1" w:uiPriority="68"/>
    <w:lsdException w:name="Medium Grid 3" w:locked="1" w:uiPriority="69"/>
    <w:lsdException w:name="Dark List" w:uiPriority="70"/>
    <w:lsdException w:name="Colorful Shading" w:uiPriority="71"/>
    <w:lsdException w:name="Colorful List" w:locked="1" w:uiPriority="72"/>
    <w:lsdException w:name="Colorful Grid"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0"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uiPriority="21" w:qFormat="1"/>
    <w:lsdException w:name="Subtle Reference" w:uiPriority="31"/>
    <w:lsdException w:name="Intense Reference" w:uiPriority="32" w:qFormat="1"/>
    <w:lsdException w:name="Book Title" w:locked="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20F8"/>
    <w:pPr>
      <w:jc w:val="both"/>
    </w:pPr>
    <w:rPr>
      <w:rFonts w:ascii="Calibri" w:eastAsia="Times New Roman" w:hAnsi="Calibri" w:cs="Tahoma"/>
      <w:lang w:eastAsia="en-AU"/>
    </w:rPr>
  </w:style>
  <w:style w:type="paragraph" w:styleId="Heading1">
    <w:name w:val="heading 1"/>
    <w:basedOn w:val="Normal"/>
    <w:next w:val="Normal"/>
    <w:link w:val="Heading1Char"/>
    <w:qFormat/>
    <w:rsid w:val="001229D7"/>
    <w:pPr>
      <w:keepNext/>
      <w:pageBreakBefore/>
      <w:pBdr>
        <w:bottom w:val="single" w:sz="4" w:space="1" w:color="auto"/>
      </w:pBdr>
      <w:spacing w:after="360"/>
      <w:ind w:left="2552" w:hanging="2552"/>
      <w:jc w:val="left"/>
      <w:outlineLvl w:val="0"/>
    </w:pPr>
    <w:rPr>
      <w:b/>
      <w:smallCaps/>
      <w:sz w:val="44"/>
    </w:rPr>
  </w:style>
  <w:style w:type="paragraph" w:styleId="Heading2">
    <w:name w:val="heading 2"/>
    <w:basedOn w:val="Normal"/>
    <w:next w:val="Normal"/>
    <w:link w:val="Heading2Char"/>
    <w:qFormat/>
    <w:rsid w:val="001229D7"/>
    <w:pPr>
      <w:keepNext/>
      <w:tabs>
        <w:tab w:val="left" w:pos="1134"/>
      </w:tabs>
      <w:spacing w:before="240"/>
      <w:jc w:val="left"/>
      <w:outlineLvl w:val="1"/>
    </w:pPr>
    <w:rPr>
      <w:b/>
      <w:smallCaps/>
      <w:sz w:val="28"/>
    </w:rPr>
  </w:style>
  <w:style w:type="paragraph" w:styleId="Heading3">
    <w:name w:val="heading 3"/>
    <w:basedOn w:val="Normal"/>
    <w:next w:val="Normal"/>
    <w:link w:val="Heading3Char"/>
    <w:qFormat/>
    <w:rsid w:val="001229D7"/>
    <w:pPr>
      <w:keepNext/>
      <w:spacing w:before="240" w:after="120"/>
      <w:jc w:val="left"/>
      <w:outlineLvl w:val="2"/>
    </w:pPr>
    <w:rPr>
      <w:b/>
      <w:smallCaps/>
      <w:sz w:val="24"/>
      <w:szCs w:val="24"/>
    </w:rPr>
  </w:style>
  <w:style w:type="paragraph" w:styleId="Heading4">
    <w:name w:val="heading 4"/>
    <w:basedOn w:val="ESSectionHeading-numbered0"/>
    <w:next w:val="Normal"/>
    <w:link w:val="Heading4Char"/>
    <w:qFormat/>
    <w:rsid w:val="00281AF1"/>
    <w:pPr>
      <w:numPr>
        <w:numId w:val="0"/>
      </w:numPr>
      <w:outlineLvl w:val="3"/>
    </w:pPr>
    <w:rPr>
      <w:smallCaps w:val="0"/>
      <w:sz w:val="22"/>
    </w:rPr>
  </w:style>
  <w:style w:type="paragraph" w:styleId="Heading5">
    <w:name w:val="heading 5"/>
    <w:basedOn w:val="Normal"/>
    <w:next w:val="Normal"/>
    <w:link w:val="Heading5Char"/>
    <w:qFormat/>
    <w:rsid w:val="00281AF1"/>
    <w:pPr>
      <w:keepNext/>
      <w:spacing w:after="60"/>
      <w:outlineLvl w:val="4"/>
    </w:pPr>
    <w:rPr>
      <w:b/>
      <w:i/>
    </w:rPr>
  </w:style>
  <w:style w:type="paragraph" w:styleId="Heading6">
    <w:name w:val="heading 6"/>
    <w:basedOn w:val="Normal"/>
    <w:next w:val="Normal"/>
    <w:link w:val="Heading6Char"/>
    <w:qFormat/>
    <w:rsid w:val="00281AF1"/>
    <w:pPr>
      <w:keepNext/>
      <w:outlineLvl w:val="5"/>
    </w:pPr>
    <w:rPr>
      <w:u w:val="single"/>
    </w:rPr>
  </w:style>
  <w:style w:type="paragraph" w:styleId="Heading7">
    <w:name w:val="heading 7"/>
    <w:basedOn w:val="Normal"/>
    <w:next w:val="Normal"/>
    <w:link w:val="Heading7Char"/>
    <w:rsid w:val="00281AF1"/>
    <w:pPr>
      <w:keepNext/>
      <w:outlineLvl w:val="6"/>
    </w:pPr>
    <w:rPr>
      <w:i/>
    </w:rPr>
  </w:style>
  <w:style w:type="paragraph" w:styleId="Heading8">
    <w:name w:val="heading 8"/>
    <w:basedOn w:val="Normal"/>
    <w:next w:val="Normal"/>
    <w:link w:val="Heading8Char"/>
    <w:rsid w:val="00281AF1"/>
    <w:pPr>
      <w:keepNext/>
      <w:outlineLvl w:val="7"/>
    </w:pPr>
    <w:rPr>
      <w:u w:val="single"/>
    </w:rPr>
  </w:style>
  <w:style w:type="paragraph" w:styleId="Heading9">
    <w:name w:val="heading 9"/>
    <w:basedOn w:val="Normal"/>
    <w:next w:val="Normal"/>
    <w:link w:val="Heading9Char"/>
    <w:rsid w:val="00281AF1"/>
    <w:pPr>
      <w:keepNex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link w:val="TabletextChar"/>
    <w:autoRedefine/>
    <w:locked/>
    <w:rsid w:val="00810459"/>
    <w:pPr>
      <w:widowControl w:val="0"/>
      <w:spacing w:after="40" w:line="240" w:lineRule="auto"/>
    </w:pPr>
    <w:rPr>
      <w:rFonts w:ascii="Arial Narrow" w:hAnsi="Arial Narrow"/>
    </w:rPr>
  </w:style>
  <w:style w:type="character" w:customStyle="1" w:styleId="TabletextChar">
    <w:name w:val="Table text Char"/>
    <w:link w:val="Tabletext"/>
    <w:rsid w:val="00810459"/>
    <w:rPr>
      <w:rFonts w:ascii="Arial Narrow" w:hAnsi="Arial Narrow" w:cs="Tahoma"/>
    </w:rPr>
  </w:style>
  <w:style w:type="paragraph" w:customStyle="1" w:styleId="TableHeading">
    <w:name w:val="TableHeading"/>
    <w:basedOn w:val="TableText0"/>
    <w:link w:val="TableHeadingChar"/>
    <w:autoRedefine/>
    <w:qFormat/>
    <w:rsid w:val="00684BA4"/>
    <w:pPr>
      <w:keepNext/>
      <w:ind w:left="851" w:hanging="851"/>
      <w:jc w:val="both"/>
    </w:pPr>
    <w:rPr>
      <w:b/>
    </w:rPr>
  </w:style>
  <w:style w:type="character" w:customStyle="1" w:styleId="TableHeadingChar">
    <w:name w:val="TableHeading Char"/>
    <w:link w:val="TableHeading"/>
    <w:rsid w:val="00684BA4"/>
    <w:rPr>
      <w:rFonts w:ascii="Arial Narrow" w:eastAsia="Times New Roman" w:hAnsi="Arial Narrow" w:cs="Tahoma"/>
      <w:b/>
      <w:sz w:val="20"/>
    </w:rPr>
  </w:style>
  <w:style w:type="character" w:customStyle="1" w:styleId="Heading1Char">
    <w:name w:val="Heading 1 Char"/>
    <w:basedOn w:val="DefaultParagraphFont"/>
    <w:link w:val="Heading1"/>
    <w:rsid w:val="001229D7"/>
    <w:rPr>
      <w:rFonts w:ascii="Calibri" w:eastAsia="Times New Roman" w:hAnsi="Calibri" w:cs="Tahoma"/>
      <w:b/>
      <w:smallCaps/>
      <w:sz w:val="44"/>
      <w:lang w:eastAsia="en-AU"/>
    </w:rPr>
  </w:style>
  <w:style w:type="character" w:customStyle="1" w:styleId="Heading2Char">
    <w:name w:val="Heading 2 Char"/>
    <w:basedOn w:val="DefaultParagraphFont"/>
    <w:link w:val="Heading2"/>
    <w:rsid w:val="001229D7"/>
    <w:rPr>
      <w:rFonts w:ascii="Calibri" w:eastAsia="Times New Roman" w:hAnsi="Calibri" w:cs="Tahoma"/>
      <w:b/>
      <w:smallCaps/>
      <w:sz w:val="28"/>
      <w:lang w:eastAsia="en-AU"/>
    </w:rPr>
  </w:style>
  <w:style w:type="character" w:customStyle="1" w:styleId="Heading3Char">
    <w:name w:val="Heading 3 Char"/>
    <w:basedOn w:val="DefaultParagraphFont"/>
    <w:link w:val="Heading3"/>
    <w:rsid w:val="001229D7"/>
    <w:rPr>
      <w:rFonts w:ascii="Calibri" w:eastAsia="Times New Roman" w:hAnsi="Calibri" w:cs="Tahoma"/>
      <w:b/>
      <w:smallCaps/>
      <w:sz w:val="24"/>
      <w:szCs w:val="24"/>
      <w:lang w:eastAsia="en-AU"/>
    </w:rPr>
  </w:style>
  <w:style w:type="character" w:customStyle="1" w:styleId="Heading4Char">
    <w:name w:val="Heading 4 Char"/>
    <w:basedOn w:val="DefaultParagraphFont"/>
    <w:link w:val="Heading4"/>
    <w:rsid w:val="00281AF1"/>
    <w:rPr>
      <w:rFonts w:ascii="Calibri" w:eastAsia="Times New Roman" w:hAnsi="Calibri" w:cs="Tahoma"/>
      <w:b/>
      <w:szCs w:val="24"/>
      <w:lang w:eastAsia="en-AU"/>
    </w:rPr>
  </w:style>
  <w:style w:type="character" w:customStyle="1" w:styleId="Heading5Char">
    <w:name w:val="Heading 5 Char"/>
    <w:basedOn w:val="DefaultParagraphFont"/>
    <w:link w:val="Heading5"/>
    <w:rsid w:val="00281AF1"/>
    <w:rPr>
      <w:rFonts w:ascii="Calibri" w:eastAsia="Times New Roman" w:hAnsi="Calibri" w:cs="Tahoma"/>
      <w:b/>
      <w:i/>
      <w:lang w:eastAsia="en-AU"/>
    </w:rPr>
  </w:style>
  <w:style w:type="character" w:customStyle="1" w:styleId="Heading6Char">
    <w:name w:val="Heading 6 Char"/>
    <w:basedOn w:val="DefaultParagraphFont"/>
    <w:link w:val="Heading6"/>
    <w:rsid w:val="00281AF1"/>
    <w:rPr>
      <w:rFonts w:ascii="Calibri" w:eastAsia="Times New Roman" w:hAnsi="Calibri" w:cs="Tahoma"/>
      <w:u w:val="single"/>
      <w:lang w:eastAsia="en-AU"/>
    </w:rPr>
  </w:style>
  <w:style w:type="character" w:customStyle="1" w:styleId="Heading7Char">
    <w:name w:val="Heading 7 Char"/>
    <w:basedOn w:val="DefaultParagraphFont"/>
    <w:link w:val="Heading7"/>
    <w:rsid w:val="00281AF1"/>
    <w:rPr>
      <w:rFonts w:ascii="Calibri" w:eastAsia="Times New Roman" w:hAnsi="Calibri" w:cs="Tahoma"/>
      <w:i/>
      <w:lang w:eastAsia="en-AU"/>
    </w:rPr>
  </w:style>
  <w:style w:type="character" w:customStyle="1" w:styleId="Heading8Char">
    <w:name w:val="Heading 8 Char"/>
    <w:basedOn w:val="DefaultParagraphFont"/>
    <w:link w:val="Heading8"/>
    <w:rsid w:val="00281AF1"/>
    <w:rPr>
      <w:rFonts w:ascii="Calibri" w:eastAsia="Times New Roman" w:hAnsi="Calibri" w:cs="Tahoma"/>
      <w:u w:val="single"/>
      <w:lang w:eastAsia="en-AU"/>
    </w:rPr>
  </w:style>
  <w:style w:type="character" w:customStyle="1" w:styleId="Heading9Char">
    <w:name w:val="Heading 9 Char"/>
    <w:basedOn w:val="DefaultParagraphFont"/>
    <w:link w:val="Heading9"/>
    <w:rsid w:val="00281AF1"/>
    <w:rPr>
      <w:rFonts w:ascii="Calibri" w:eastAsia="Times New Roman" w:hAnsi="Calibri" w:cs="Tahoma"/>
      <w:lang w:eastAsia="en-AU"/>
    </w:rPr>
  </w:style>
  <w:style w:type="paragraph" w:customStyle="1" w:styleId="Bullet">
    <w:name w:val="Bullet"/>
    <w:basedOn w:val="Normal"/>
    <w:rsid w:val="00281AF1"/>
    <w:pPr>
      <w:numPr>
        <w:numId w:val="1"/>
      </w:numPr>
    </w:pPr>
  </w:style>
  <w:style w:type="character" w:styleId="CommentReference">
    <w:name w:val="annotation reference"/>
    <w:uiPriority w:val="99"/>
    <w:locked/>
    <w:rsid w:val="00281AF1"/>
    <w:rPr>
      <w:sz w:val="16"/>
    </w:rPr>
  </w:style>
  <w:style w:type="paragraph" w:styleId="CommentText">
    <w:name w:val="annotation text"/>
    <w:basedOn w:val="Normal"/>
    <w:link w:val="CommentTextChar"/>
    <w:uiPriority w:val="99"/>
    <w:locked/>
    <w:rsid w:val="00281AF1"/>
    <w:rPr>
      <w:sz w:val="20"/>
    </w:rPr>
  </w:style>
  <w:style w:type="character" w:customStyle="1" w:styleId="CommentTextChar">
    <w:name w:val="Comment Text Char"/>
    <w:basedOn w:val="DefaultParagraphFont"/>
    <w:link w:val="CommentText"/>
    <w:uiPriority w:val="99"/>
    <w:rsid w:val="00281AF1"/>
    <w:rPr>
      <w:rFonts w:ascii="Calibri" w:eastAsia="Times New Roman" w:hAnsi="Calibri" w:cs="Tahoma"/>
      <w:sz w:val="20"/>
      <w:lang w:eastAsia="en-AU"/>
    </w:rPr>
  </w:style>
  <w:style w:type="paragraph" w:styleId="Date">
    <w:name w:val="Date"/>
    <w:basedOn w:val="Normal"/>
    <w:next w:val="Normal"/>
    <w:link w:val="DateChar"/>
    <w:rsid w:val="00281AF1"/>
    <w:pPr>
      <w:ind w:right="113"/>
      <w:jc w:val="right"/>
    </w:pPr>
    <w:rPr>
      <w:rFonts w:ascii="Arial" w:hAnsi="Arial"/>
      <w:b/>
      <w:sz w:val="36"/>
    </w:rPr>
  </w:style>
  <w:style w:type="character" w:customStyle="1" w:styleId="DateChar">
    <w:name w:val="Date Char"/>
    <w:basedOn w:val="DefaultParagraphFont"/>
    <w:link w:val="Date"/>
    <w:rsid w:val="00281AF1"/>
    <w:rPr>
      <w:rFonts w:ascii="Arial" w:eastAsia="Times New Roman" w:hAnsi="Arial" w:cs="Tahoma"/>
      <w:b/>
      <w:sz w:val="36"/>
      <w:lang w:eastAsia="en-AU"/>
    </w:rPr>
  </w:style>
  <w:style w:type="paragraph" w:customStyle="1" w:styleId="Summaryboxtext">
    <w:name w:val="Summary box text"/>
    <w:basedOn w:val="Normal"/>
    <w:rsid w:val="00281AF1"/>
    <w:pPr>
      <w:spacing w:after="100" w:afterAutospacing="1"/>
    </w:pPr>
    <w:rPr>
      <w:rFonts w:ascii="Arial Narrow" w:hAnsi="Arial Narrow"/>
    </w:rPr>
  </w:style>
  <w:style w:type="paragraph" w:styleId="Footer">
    <w:name w:val="footer"/>
    <w:basedOn w:val="Normal"/>
    <w:link w:val="FooterChar"/>
    <w:uiPriority w:val="99"/>
    <w:rsid w:val="00281AF1"/>
    <w:pPr>
      <w:pBdr>
        <w:top w:val="single" w:sz="4" w:space="9" w:color="auto"/>
      </w:pBdr>
      <w:tabs>
        <w:tab w:val="right" w:pos="9000"/>
      </w:tabs>
    </w:pPr>
    <w:rPr>
      <w:rFonts w:ascii="Arial" w:hAnsi="Arial"/>
      <w:b/>
      <w:sz w:val="20"/>
    </w:rPr>
  </w:style>
  <w:style w:type="character" w:customStyle="1" w:styleId="FooterChar">
    <w:name w:val="Footer Char"/>
    <w:basedOn w:val="DefaultParagraphFont"/>
    <w:link w:val="Footer"/>
    <w:uiPriority w:val="99"/>
    <w:rsid w:val="00281AF1"/>
    <w:rPr>
      <w:rFonts w:ascii="Arial" w:eastAsia="Times New Roman" w:hAnsi="Arial" w:cs="Tahoma"/>
      <w:b/>
      <w:sz w:val="20"/>
      <w:lang w:eastAsia="en-AU"/>
    </w:rPr>
  </w:style>
  <w:style w:type="character" w:styleId="FootnoteReference">
    <w:name w:val="footnote reference"/>
    <w:semiHidden/>
    <w:rsid w:val="00281AF1"/>
    <w:rPr>
      <w:vertAlign w:val="superscript"/>
    </w:rPr>
  </w:style>
  <w:style w:type="paragraph" w:styleId="FootnoteText">
    <w:name w:val="footnote text"/>
    <w:basedOn w:val="Normal"/>
    <w:link w:val="FootnoteTextChar"/>
    <w:semiHidden/>
    <w:rsid w:val="00281AF1"/>
    <w:rPr>
      <w:sz w:val="20"/>
    </w:rPr>
  </w:style>
  <w:style w:type="character" w:customStyle="1" w:styleId="FootnoteTextChar">
    <w:name w:val="Footnote Text Char"/>
    <w:basedOn w:val="DefaultParagraphFont"/>
    <w:link w:val="FootnoteText"/>
    <w:semiHidden/>
    <w:rsid w:val="00281AF1"/>
    <w:rPr>
      <w:rFonts w:ascii="Calibri" w:eastAsia="Times New Roman" w:hAnsi="Calibri" w:cs="Tahoma"/>
      <w:sz w:val="20"/>
      <w:lang w:eastAsia="en-AU"/>
    </w:rPr>
  </w:style>
  <w:style w:type="paragraph" w:styleId="Header">
    <w:name w:val="header"/>
    <w:basedOn w:val="Normal"/>
    <w:link w:val="HeaderChar"/>
    <w:rsid w:val="00281AF1"/>
    <w:pPr>
      <w:tabs>
        <w:tab w:val="center" w:pos="4153"/>
        <w:tab w:val="right" w:pos="8306"/>
      </w:tabs>
    </w:pPr>
  </w:style>
  <w:style w:type="character" w:customStyle="1" w:styleId="HeaderChar">
    <w:name w:val="Header Char"/>
    <w:basedOn w:val="DefaultParagraphFont"/>
    <w:link w:val="Header"/>
    <w:rsid w:val="00281AF1"/>
    <w:rPr>
      <w:rFonts w:ascii="Calibri" w:eastAsia="Times New Roman" w:hAnsi="Calibri" w:cs="Tahoma"/>
      <w:lang w:eastAsia="en-AU"/>
    </w:rPr>
  </w:style>
  <w:style w:type="paragraph" w:customStyle="1" w:styleId="Summaryboxheading">
    <w:name w:val="Summary box heading"/>
    <w:basedOn w:val="Summaryboxtext"/>
    <w:rsid w:val="00281AF1"/>
    <w:pPr>
      <w:spacing w:before="120"/>
    </w:pPr>
    <w:rPr>
      <w:b/>
    </w:rPr>
  </w:style>
  <w:style w:type="paragraph" w:customStyle="1" w:styleId="Heading2a">
    <w:name w:val="Heading 2a"/>
    <w:basedOn w:val="Heading2"/>
    <w:locked/>
    <w:rsid w:val="00281AF1"/>
    <w:pPr>
      <w:outlineLvl w:val="9"/>
    </w:pPr>
    <w:rPr>
      <w:sz w:val="22"/>
    </w:rPr>
  </w:style>
  <w:style w:type="character" w:styleId="PageNumber">
    <w:name w:val="page number"/>
    <w:rsid w:val="00281AF1"/>
    <w:rPr>
      <w:rFonts w:ascii="Tahoma" w:hAnsi="Tahoma"/>
      <w:b/>
      <w:sz w:val="18"/>
    </w:rPr>
  </w:style>
  <w:style w:type="paragraph" w:customStyle="1" w:styleId="PublicationTitle">
    <w:name w:val="PublicationTitle"/>
    <w:basedOn w:val="Normal"/>
    <w:rsid w:val="00281AF1"/>
    <w:pPr>
      <w:spacing w:line="480" w:lineRule="exact"/>
      <w:ind w:right="113"/>
      <w:jc w:val="right"/>
    </w:pPr>
    <w:rPr>
      <w:rFonts w:ascii="Arial" w:hAnsi="Arial"/>
      <w:b/>
      <w:i/>
      <w:sz w:val="44"/>
    </w:rPr>
  </w:style>
  <w:style w:type="paragraph" w:customStyle="1" w:styleId="References">
    <w:name w:val="References"/>
    <w:basedOn w:val="Normal"/>
    <w:rsid w:val="00281AF1"/>
    <w:pPr>
      <w:keepLines/>
      <w:ind w:left="1440" w:hanging="720"/>
    </w:pPr>
  </w:style>
  <w:style w:type="paragraph" w:customStyle="1" w:styleId="Sub-title">
    <w:name w:val="Sub-title"/>
    <w:basedOn w:val="Normal"/>
    <w:locked/>
    <w:rsid w:val="00281AF1"/>
    <w:pPr>
      <w:ind w:right="113"/>
      <w:jc w:val="right"/>
    </w:pPr>
    <w:rPr>
      <w:rFonts w:ascii="Arial" w:hAnsi="Arial"/>
      <w:b/>
      <w:sz w:val="32"/>
    </w:rPr>
  </w:style>
  <w:style w:type="paragraph" w:styleId="TableofFigures">
    <w:name w:val="table of figures"/>
    <w:basedOn w:val="Normal"/>
    <w:next w:val="Normal"/>
    <w:uiPriority w:val="99"/>
    <w:rsid w:val="00281AF1"/>
    <w:pPr>
      <w:tabs>
        <w:tab w:val="left" w:pos="1800"/>
        <w:tab w:val="right" w:leader="dot" w:pos="9017"/>
      </w:tabs>
      <w:spacing w:after="120"/>
      <w:ind w:left="1800" w:right="720" w:hanging="1080"/>
    </w:pPr>
    <w:rPr>
      <w:noProof/>
    </w:rPr>
  </w:style>
  <w:style w:type="paragraph" w:customStyle="1" w:styleId="TableText1">
    <w:name w:val="TableText"/>
    <w:basedOn w:val="Normal"/>
    <w:link w:val="TableTextChar0"/>
    <w:rsid w:val="00281AF1"/>
    <w:pPr>
      <w:keepNext/>
      <w:spacing w:before="40" w:after="40"/>
    </w:pPr>
    <w:rPr>
      <w:rFonts w:ascii="Arial Narrow" w:hAnsi="Arial Narrow"/>
      <w:sz w:val="18"/>
    </w:rPr>
  </w:style>
  <w:style w:type="character" w:customStyle="1" w:styleId="TableTextChar0">
    <w:name w:val="TableText Char"/>
    <w:link w:val="TableText1"/>
    <w:rsid w:val="00281AF1"/>
    <w:rPr>
      <w:rFonts w:ascii="Arial Narrow" w:eastAsia="Times New Roman" w:hAnsi="Arial Narrow" w:cs="Tahoma"/>
      <w:sz w:val="18"/>
      <w:lang w:eastAsia="en-AU"/>
    </w:rPr>
  </w:style>
  <w:style w:type="paragraph" w:customStyle="1" w:styleId="TableName">
    <w:name w:val="TableName"/>
    <w:basedOn w:val="TableText1"/>
    <w:link w:val="TableNameChar"/>
    <w:rsid w:val="00281AF1"/>
    <w:pPr>
      <w:ind w:left="1440" w:hanging="720"/>
    </w:pPr>
    <w:rPr>
      <w:b/>
      <w:sz w:val="20"/>
    </w:rPr>
  </w:style>
  <w:style w:type="character" w:customStyle="1" w:styleId="TableNameChar">
    <w:name w:val="TableName Char"/>
    <w:link w:val="TableName"/>
    <w:rsid w:val="00281AF1"/>
    <w:rPr>
      <w:rFonts w:ascii="Arial Narrow" w:eastAsia="Times New Roman" w:hAnsi="Arial Narrow" w:cs="Tahoma"/>
      <w:b/>
      <w:sz w:val="20"/>
      <w:lang w:eastAsia="en-AU"/>
    </w:rPr>
  </w:style>
  <w:style w:type="paragraph" w:customStyle="1" w:styleId="TableNotes">
    <w:name w:val="TableNotes"/>
    <w:basedOn w:val="TableText1"/>
    <w:link w:val="TableNotesChar"/>
    <w:rsid w:val="00281AF1"/>
    <w:pPr>
      <w:keepNext w:val="0"/>
      <w:keepLines/>
      <w:spacing w:before="0" w:after="360"/>
      <w:ind w:left="720"/>
      <w:contextualSpacing/>
    </w:pPr>
    <w:rPr>
      <w:sz w:val="16"/>
    </w:rPr>
  </w:style>
  <w:style w:type="character" w:customStyle="1" w:styleId="TableNotesChar">
    <w:name w:val="TableNotes Char"/>
    <w:link w:val="TableNotes"/>
    <w:rsid w:val="00281AF1"/>
    <w:rPr>
      <w:rFonts w:ascii="Arial Narrow" w:eastAsia="Times New Roman" w:hAnsi="Arial Narrow" w:cs="Tahoma"/>
      <w:sz w:val="16"/>
      <w:lang w:eastAsia="en-AU"/>
    </w:rPr>
  </w:style>
  <w:style w:type="paragraph" w:styleId="Title">
    <w:name w:val="Title"/>
    <w:basedOn w:val="Normal"/>
    <w:link w:val="TitleChar"/>
    <w:rsid w:val="00281AF1"/>
    <w:pPr>
      <w:jc w:val="center"/>
    </w:pPr>
    <w:rPr>
      <w:rFonts w:ascii="Arial" w:hAnsi="Arial"/>
      <w:b/>
      <w:smallCaps/>
      <w:sz w:val="44"/>
    </w:rPr>
  </w:style>
  <w:style w:type="character" w:customStyle="1" w:styleId="TitleChar">
    <w:name w:val="Title Char"/>
    <w:basedOn w:val="DefaultParagraphFont"/>
    <w:link w:val="Title"/>
    <w:rsid w:val="00281AF1"/>
    <w:rPr>
      <w:rFonts w:ascii="Arial" w:eastAsia="Times New Roman" w:hAnsi="Arial" w:cs="Tahoma"/>
      <w:b/>
      <w:smallCaps/>
      <w:sz w:val="44"/>
      <w:lang w:eastAsia="en-AU"/>
    </w:rPr>
  </w:style>
  <w:style w:type="paragraph" w:styleId="TOC1">
    <w:name w:val="toc 1"/>
    <w:basedOn w:val="Normal"/>
    <w:next w:val="Normal"/>
    <w:autoRedefine/>
    <w:uiPriority w:val="39"/>
    <w:qFormat/>
    <w:rsid w:val="00284782"/>
    <w:pPr>
      <w:tabs>
        <w:tab w:val="left" w:pos="1276"/>
        <w:tab w:val="right" w:leader="dot" w:pos="9017"/>
      </w:tabs>
      <w:spacing w:before="120" w:after="60"/>
      <w:ind w:right="-46"/>
    </w:pPr>
    <w:rPr>
      <w:b/>
      <w:noProof/>
    </w:rPr>
  </w:style>
  <w:style w:type="paragraph" w:styleId="TOC2">
    <w:name w:val="toc 2"/>
    <w:basedOn w:val="Normal"/>
    <w:next w:val="Normal"/>
    <w:autoRedefine/>
    <w:uiPriority w:val="39"/>
    <w:rsid w:val="00281AF1"/>
    <w:pPr>
      <w:tabs>
        <w:tab w:val="right" w:leader="dot" w:pos="9017"/>
      </w:tabs>
      <w:spacing w:after="60"/>
      <w:ind w:left="851" w:right="720"/>
    </w:pPr>
    <w:rPr>
      <w:noProof/>
    </w:rPr>
  </w:style>
  <w:style w:type="paragraph" w:styleId="TOC3">
    <w:name w:val="toc 3"/>
    <w:basedOn w:val="Normal"/>
    <w:next w:val="Normal"/>
    <w:autoRedefine/>
    <w:uiPriority w:val="39"/>
    <w:rsid w:val="00281AF1"/>
    <w:pPr>
      <w:tabs>
        <w:tab w:val="right" w:leader="dot" w:pos="9016"/>
      </w:tabs>
      <w:spacing w:after="0"/>
      <w:ind w:left="1418"/>
    </w:pPr>
    <w:rPr>
      <w:noProof/>
    </w:rPr>
  </w:style>
  <w:style w:type="paragraph" w:styleId="TOC4">
    <w:name w:val="toc 4"/>
    <w:basedOn w:val="Normal"/>
    <w:next w:val="Normal"/>
    <w:autoRedefine/>
    <w:uiPriority w:val="39"/>
    <w:rsid w:val="00281AF1"/>
    <w:pPr>
      <w:ind w:left="660"/>
    </w:pPr>
  </w:style>
  <w:style w:type="paragraph" w:styleId="TOC5">
    <w:name w:val="toc 5"/>
    <w:basedOn w:val="Normal"/>
    <w:next w:val="Normal"/>
    <w:autoRedefine/>
    <w:uiPriority w:val="39"/>
    <w:rsid w:val="00281AF1"/>
    <w:pPr>
      <w:ind w:left="880"/>
    </w:pPr>
  </w:style>
  <w:style w:type="paragraph" w:styleId="TOC6">
    <w:name w:val="toc 6"/>
    <w:basedOn w:val="Normal"/>
    <w:next w:val="Normal"/>
    <w:autoRedefine/>
    <w:uiPriority w:val="39"/>
    <w:rsid w:val="00281AF1"/>
    <w:pPr>
      <w:ind w:left="1100"/>
    </w:pPr>
  </w:style>
  <w:style w:type="paragraph" w:styleId="TOC7">
    <w:name w:val="toc 7"/>
    <w:basedOn w:val="Normal"/>
    <w:next w:val="Normal"/>
    <w:autoRedefine/>
    <w:uiPriority w:val="39"/>
    <w:rsid w:val="00281AF1"/>
    <w:pPr>
      <w:ind w:left="1320"/>
    </w:pPr>
  </w:style>
  <w:style w:type="paragraph" w:styleId="TOC8">
    <w:name w:val="toc 8"/>
    <w:basedOn w:val="Normal"/>
    <w:next w:val="Normal"/>
    <w:autoRedefine/>
    <w:uiPriority w:val="39"/>
    <w:rsid w:val="00281AF1"/>
    <w:pPr>
      <w:ind w:left="1540"/>
    </w:pPr>
  </w:style>
  <w:style w:type="paragraph" w:styleId="TOC9">
    <w:name w:val="toc 9"/>
    <w:basedOn w:val="Normal"/>
    <w:next w:val="Normal"/>
    <w:autoRedefine/>
    <w:uiPriority w:val="39"/>
    <w:rsid w:val="00281AF1"/>
    <w:pPr>
      <w:ind w:left="1760"/>
    </w:pPr>
  </w:style>
  <w:style w:type="paragraph" w:customStyle="1" w:styleId="Dash">
    <w:name w:val="Dash"/>
    <w:basedOn w:val="Normal"/>
    <w:rsid w:val="00281AF1"/>
    <w:pPr>
      <w:numPr>
        <w:numId w:val="2"/>
      </w:numPr>
    </w:pPr>
  </w:style>
  <w:style w:type="paragraph" w:styleId="Quote">
    <w:name w:val="Quote"/>
    <w:basedOn w:val="Normal"/>
    <w:link w:val="QuoteChar"/>
    <w:rsid w:val="00281AF1"/>
    <w:pPr>
      <w:keepLines/>
      <w:ind w:left="1440" w:right="720"/>
    </w:pPr>
  </w:style>
  <w:style w:type="character" w:customStyle="1" w:styleId="QuoteChar">
    <w:name w:val="Quote Char"/>
    <w:basedOn w:val="DefaultParagraphFont"/>
    <w:link w:val="Quote"/>
    <w:rsid w:val="00281AF1"/>
    <w:rPr>
      <w:rFonts w:ascii="Calibri" w:eastAsia="Times New Roman" w:hAnsi="Calibri" w:cs="Tahoma"/>
      <w:lang w:eastAsia="en-AU"/>
    </w:rPr>
  </w:style>
  <w:style w:type="paragraph" w:styleId="BodyText">
    <w:name w:val="Body Text"/>
    <w:basedOn w:val="Normal"/>
    <w:link w:val="BodyTextChar"/>
    <w:rsid w:val="00281AF1"/>
    <w:pPr>
      <w:spacing w:after="0"/>
    </w:pPr>
    <w:rPr>
      <w:rFonts w:ascii="Helv" w:hAnsi="Helv"/>
      <w:b/>
      <w:i/>
      <w:snapToGrid w:val="0"/>
      <w:color w:val="000000"/>
      <w:sz w:val="28"/>
      <w:lang w:eastAsia="en-US"/>
    </w:rPr>
  </w:style>
  <w:style w:type="character" w:customStyle="1" w:styleId="BodyTextChar">
    <w:name w:val="Body Text Char"/>
    <w:basedOn w:val="DefaultParagraphFont"/>
    <w:link w:val="BodyText"/>
    <w:rsid w:val="00281AF1"/>
    <w:rPr>
      <w:rFonts w:ascii="Helv" w:eastAsia="Times New Roman" w:hAnsi="Helv" w:cs="Tahoma"/>
      <w:b/>
      <w:i/>
      <w:snapToGrid w:val="0"/>
      <w:color w:val="000000"/>
      <w:sz w:val="28"/>
    </w:rPr>
  </w:style>
  <w:style w:type="paragraph" w:styleId="BalloonText">
    <w:name w:val="Balloon Text"/>
    <w:basedOn w:val="Normal"/>
    <w:link w:val="BalloonTextChar"/>
    <w:semiHidden/>
    <w:rsid w:val="00281AF1"/>
    <w:rPr>
      <w:sz w:val="16"/>
      <w:szCs w:val="16"/>
    </w:rPr>
  </w:style>
  <w:style w:type="character" w:customStyle="1" w:styleId="BalloonTextChar">
    <w:name w:val="Balloon Text Char"/>
    <w:basedOn w:val="DefaultParagraphFont"/>
    <w:link w:val="BalloonText"/>
    <w:uiPriority w:val="99"/>
    <w:semiHidden/>
    <w:rsid w:val="00281AF1"/>
    <w:rPr>
      <w:rFonts w:ascii="Calibri" w:eastAsia="Times New Roman" w:hAnsi="Calibri" w:cs="Tahoma"/>
      <w:sz w:val="16"/>
      <w:szCs w:val="16"/>
      <w:lang w:eastAsia="en-AU"/>
    </w:rPr>
  </w:style>
  <w:style w:type="character" w:styleId="Hyperlink">
    <w:name w:val="Hyperlink"/>
    <w:uiPriority w:val="99"/>
    <w:rsid w:val="00281AF1"/>
    <w:rPr>
      <w:color w:val="0000FF"/>
      <w:u w:val="single"/>
    </w:rPr>
  </w:style>
  <w:style w:type="paragraph" w:styleId="Caption">
    <w:name w:val="caption"/>
    <w:aliases w:val="Table and Figure Name"/>
    <w:basedOn w:val="Normal"/>
    <w:next w:val="Normal"/>
    <w:qFormat/>
    <w:rsid w:val="00B42E5D"/>
    <w:pPr>
      <w:keepNext/>
      <w:spacing w:after="120" w:line="240" w:lineRule="auto"/>
    </w:pPr>
    <w:rPr>
      <w:rFonts w:ascii="Arial Narrow" w:hAnsi="Arial Narrow"/>
      <w:b/>
      <w:bCs/>
      <w:sz w:val="20"/>
    </w:rPr>
  </w:style>
  <w:style w:type="paragraph" w:customStyle="1" w:styleId="TableHeading0">
    <w:name w:val="Table Heading"/>
    <w:basedOn w:val="Normal"/>
    <w:next w:val="Normal"/>
    <w:rsid w:val="00281AF1"/>
    <w:pPr>
      <w:keepNext/>
      <w:spacing w:before="40" w:after="40"/>
    </w:pPr>
    <w:rPr>
      <w:rFonts w:ascii="Arial" w:hAnsi="Arial"/>
      <w:b/>
      <w:sz w:val="18"/>
      <w:lang w:val="en-GB" w:eastAsia="en-US"/>
    </w:rPr>
  </w:style>
  <w:style w:type="table" w:styleId="TableGrid">
    <w:name w:val="Table Grid"/>
    <w:basedOn w:val="TableNormal"/>
    <w:uiPriority w:val="59"/>
    <w:rsid w:val="00281AF1"/>
    <w:pPr>
      <w:spacing w:after="240" w:line="240" w:lineRule="auto"/>
      <w:ind w:left="720"/>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 Text"/>
    <w:basedOn w:val="Normal"/>
    <w:link w:val="TableTextChar1"/>
    <w:autoRedefine/>
    <w:qFormat/>
    <w:rsid w:val="00E54DF0"/>
    <w:pPr>
      <w:spacing w:before="40" w:after="40" w:line="240" w:lineRule="auto"/>
      <w:contextualSpacing/>
      <w:jc w:val="left"/>
    </w:pPr>
    <w:rPr>
      <w:rFonts w:ascii="Arial Narrow" w:hAnsi="Arial Narrow"/>
      <w:sz w:val="20"/>
      <w:lang w:eastAsia="en-US"/>
    </w:rPr>
  </w:style>
  <w:style w:type="character" w:customStyle="1" w:styleId="TableTextChar1">
    <w:name w:val="Table Text Char"/>
    <w:link w:val="TableText0"/>
    <w:rsid w:val="00E54DF0"/>
    <w:rPr>
      <w:rFonts w:ascii="Arial Narrow" w:eastAsia="Times New Roman" w:hAnsi="Arial Narrow" w:cs="Tahoma"/>
      <w:sz w:val="20"/>
    </w:rPr>
  </w:style>
  <w:style w:type="paragraph" w:customStyle="1" w:styleId="Boxname">
    <w:name w:val="Box name"/>
    <w:basedOn w:val="TableName"/>
    <w:link w:val="BoxnameChar"/>
    <w:rsid w:val="00281AF1"/>
  </w:style>
  <w:style w:type="character" w:customStyle="1" w:styleId="BoxnameChar">
    <w:name w:val="Box name Char"/>
    <w:basedOn w:val="TableNameChar"/>
    <w:link w:val="Boxname"/>
    <w:rsid w:val="00281AF1"/>
    <w:rPr>
      <w:rFonts w:ascii="Arial Narrow" w:eastAsia="Times New Roman" w:hAnsi="Arial Narrow" w:cs="Tahoma"/>
      <w:b/>
      <w:sz w:val="20"/>
      <w:lang w:eastAsia="en-AU"/>
    </w:rPr>
  </w:style>
  <w:style w:type="paragraph" w:styleId="CommentSubject">
    <w:name w:val="annotation subject"/>
    <w:basedOn w:val="CommentText"/>
    <w:next w:val="CommentText"/>
    <w:link w:val="CommentSubjectChar"/>
    <w:semiHidden/>
    <w:locked/>
    <w:rsid w:val="00281AF1"/>
    <w:rPr>
      <w:b/>
      <w:bCs/>
    </w:rPr>
  </w:style>
  <w:style w:type="character" w:customStyle="1" w:styleId="CommentSubjectChar">
    <w:name w:val="Comment Subject Char"/>
    <w:basedOn w:val="CommentTextChar"/>
    <w:link w:val="CommentSubject"/>
    <w:uiPriority w:val="99"/>
    <w:semiHidden/>
    <w:rsid w:val="00281AF1"/>
    <w:rPr>
      <w:rFonts w:ascii="Calibri" w:eastAsia="Times New Roman" w:hAnsi="Calibri" w:cs="Tahoma"/>
      <w:b/>
      <w:bCs/>
      <w:sz w:val="20"/>
      <w:lang w:eastAsia="en-AU"/>
    </w:rPr>
  </w:style>
  <w:style w:type="paragraph" w:customStyle="1" w:styleId="StyleTableTextArialNarrowFirstline045cm">
    <w:name w:val="Style Table Text + Arial Narrow First line:  0.45 cm"/>
    <w:basedOn w:val="TableText0"/>
    <w:locked/>
    <w:rsid w:val="00281AF1"/>
    <w:pPr>
      <w:spacing w:after="360"/>
      <w:ind w:firstLine="720"/>
    </w:pPr>
  </w:style>
  <w:style w:type="character" w:styleId="FollowedHyperlink">
    <w:name w:val="FollowedHyperlink"/>
    <w:rsid w:val="00281AF1"/>
    <w:rPr>
      <w:color w:val="800080"/>
      <w:u w:val="single"/>
    </w:rPr>
  </w:style>
  <w:style w:type="paragraph" w:customStyle="1" w:styleId="TableNamea">
    <w:name w:val="Table Name(a)"/>
    <w:basedOn w:val="Normal"/>
    <w:rsid w:val="00281AF1"/>
    <w:pPr>
      <w:keepNext/>
      <w:spacing w:before="120" w:after="120"/>
      <w:ind w:left="1077" w:hanging="1077"/>
    </w:pPr>
    <w:rPr>
      <w:rFonts w:ascii="Arial" w:hAnsi="Arial"/>
      <w:b/>
      <w:sz w:val="20"/>
      <w:lang w:eastAsia="en-US"/>
    </w:rPr>
  </w:style>
  <w:style w:type="paragraph" w:styleId="DocumentMap">
    <w:name w:val="Document Map"/>
    <w:basedOn w:val="Normal"/>
    <w:link w:val="DocumentMapChar"/>
    <w:rsid w:val="00281AF1"/>
    <w:rPr>
      <w:sz w:val="16"/>
      <w:szCs w:val="16"/>
    </w:rPr>
  </w:style>
  <w:style w:type="character" w:customStyle="1" w:styleId="DocumentMapChar">
    <w:name w:val="Document Map Char"/>
    <w:basedOn w:val="DefaultParagraphFont"/>
    <w:link w:val="DocumentMap"/>
    <w:rsid w:val="00281AF1"/>
    <w:rPr>
      <w:rFonts w:ascii="Calibri" w:eastAsia="Times New Roman" w:hAnsi="Calibri" w:cs="Tahoma"/>
      <w:sz w:val="16"/>
      <w:szCs w:val="16"/>
      <w:lang w:eastAsia="en-AU"/>
    </w:rPr>
  </w:style>
  <w:style w:type="paragraph" w:styleId="ListParagraph">
    <w:name w:val="List Paragraph"/>
    <w:basedOn w:val="Normal"/>
    <w:uiPriority w:val="34"/>
    <w:locked/>
    <w:rsid w:val="00281AF1"/>
  </w:style>
  <w:style w:type="paragraph" w:customStyle="1" w:styleId="figureheading">
    <w:name w:val="figure heading"/>
    <w:basedOn w:val="Normal"/>
    <w:locked/>
    <w:rsid w:val="00281AF1"/>
    <w:pPr>
      <w:keepNext/>
      <w:spacing w:before="120" w:after="120"/>
      <w:ind w:left="1077" w:hanging="1077"/>
    </w:pPr>
    <w:rPr>
      <w:rFonts w:ascii="Arial" w:hAnsi="Arial"/>
      <w:b/>
      <w:sz w:val="20"/>
      <w:lang w:eastAsia="en-US"/>
    </w:rPr>
  </w:style>
  <w:style w:type="paragraph" w:customStyle="1" w:styleId="Nnumberedlist">
    <w:name w:val="Nnumbered list"/>
    <w:basedOn w:val="Normal"/>
    <w:rsid w:val="00281AF1"/>
    <w:pPr>
      <w:numPr>
        <w:numId w:val="3"/>
      </w:numPr>
    </w:pPr>
  </w:style>
  <w:style w:type="paragraph" w:customStyle="1" w:styleId="Figure">
    <w:name w:val="Figure"/>
    <w:basedOn w:val="TableName"/>
    <w:rsid w:val="00281AF1"/>
    <w:pPr>
      <w:spacing w:before="120" w:after="120"/>
      <w:ind w:left="1800" w:hanging="1080"/>
    </w:pPr>
  </w:style>
  <w:style w:type="paragraph" w:styleId="NormalWeb">
    <w:name w:val="Normal (Web)"/>
    <w:basedOn w:val="Normal"/>
    <w:uiPriority w:val="99"/>
    <w:rsid w:val="00281AF1"/>
    <w:pPr>
      <w:spacing w:before="100" w:beforeAutospacing="1" w:after="100" w:afterAutospacing="1"/>
    </w:pPr>
    <w:rPr>
      <w:rFonts w:ascii="Times New Roman" w:hAnsi="Times New Roman"/>
      <w:color w:val="000000"/>
      <w:szCs w:val="24"/>
      <w:lang w:val="en-US" w:eastAsia="en-US"/>
    </w:rPr>
  </w:style>
  <w:style w:type="paragraph" w:customStyle="1" w:styleId="Equation">
    <w:name w:val="Equation"/>
    <w:basedOn w:val="Header"/>
    <w:rsid w:val="00281AF1"/>
    <w:pPr>
      <w:tabs>
        <w:tab w:val="clear" w:pos="4153"/>
        <w:tab w:val="clear" w:pos="8306"/>
      </w:tabs>
    </w:pPr>
    <w:rPr>
      <w:rFonts w:ascii="Arial Narrow" w:hAnsi="Arial Narrow"/>
      <w:sz w:val="20"/>
    </w:rPr>
  </w:style>
  <w:style w:type="paragraph" w:customStyle="1" w:styleId="AHTAaddresslines">
    <w:name w:val="AHTA address lines"/>
    <w:basedOn w:val="PlainText"/>
    <w:rsid w:val="00281AF1"/>
    <w:pPr>
      <w:spacing w:line="210" w:lineRule="exact"/>
    </w:pPr>
    <w:rPr>
      <w:rFonts w:ascii="Arial Narrow" w:eastAsia="Times" w:hAnsi="Arial Narrow" w:cs="Times New Roman"/>
      <w:i/>
      <w:color w:val="000080"/>
      <w:sz w:val="16"/>
    </w:rPr>
  </w:style>
  <w:style w:type="paragraph" w:styleId="PlainText">
    <w:name w:val="Plain Text"/>
    <w:basedOn w:val="Normal"/>
    <w:link w:val="PlainTextChar"/>
    <w:rsid w:val="00281AF1"/>
    <w:pPr>
      <w:spacing w:after="0"/>
    </w:pPr>
    <w:rPr>
      <w:rFonts w:ascii="Courier New" w:hAnsi="Courier New" w:cs="Courier New"/>
      <w:sz w:val="20"/>
      <w:lang w:eastAsia="en-US"/>
    </w:rPr>
  </w:style>
  <w:style w:type="character" w:customStyle="1" w:styleId="PlainTextChar">
    <w:name w:val="Plain Text Char"/>
    <w:basedOn w:val="DefaultParagraphFont"/>
    <w:link w:val="PlainText"/>
    <w:rsid w:val="00281AF1"/>
    <w:rPr>
      <w:rFonts w:ascii="Courier New" w:eastAsia="Times New Roman" w:hAnsi="Courier New" w:cs="Courier New"/>
      <w:sz w:val="20"/>
    </w:rPr>
  </w:style>
  <w:style w:type="character" w:styleId="Strong">
    <w:name w:val="Strong"/>
    <w:uiPriority w:val="22"/>
    <w:rsid w:val="00281AF1"/>
    <w:rPr>
      <w:b/>
      <w:bCs/>
    </w:rPr>
  </w:style>
  <w:style w:type="character" w:customStyle="1" w:styleId="regulartext">
    <w:name w:val="regulartext"/>
    <w:basedOn w:val="DefaultParagraphFont"/>
    <w:rsid w:val="00281AF1"/>
  </w:style>
  <w:style w:type="paragraph" w:customStyle="1" w:styleId="bodytext0">
    <w:name w:val="bodytext"/>
    <w:basedOn w:val="Normal"/>
    <w:locked/>
    <w:rsid w:val="00281AF1"/>
    <w:pPr>
      <w:spacing w:before="100" w:beforeAutospacing="1" w:after="100" w:afterAutospacing="1"/>
    </w:pPr>
    <w:rPr>
      <w:rFonts w:ascii="Times New Roman" w:hAnsi="Times New Roman"/>
      <w:szCs w:val="24"/>
    </w:rPr>
  </w:style>
  <w:style w:type="character" w:customStyle="1" w:styleId="mainsubheader1">
    <w:name w:val="mainsubheader1"/>
    <w:rsid w:val="00281AF1"/>
    <w:rPr>
      <w:b/>
      <w:bCs/>
    </w:rPr>
  </w:style>
  <w:style w:type="paragraph" w:customStyle="1" w:styleId="Bullet12">
    <w:name w:val="Bullet+12"/>
    <w:basedOn w:val="Normal"/>
    <w:rsid w:val="00281AF1"/>
    <w:pPr>
      <w:tabs>
        <w:tab w:val="num" w:pos="357"/>
      </w:tabs>
      <w:ind w:left="357" w:hanging="357"/>
    </w:pPr>
    <w:rPr>
      <w:rFonts w:ascii="Times New Roman" w:hAnsi="Times New Roman"/>
      <w:lang w:eastAsia="en-US"/>
    </w:rPr>
  </w:style>
  <w:style w:type="paragraph" w:customStyle="1" w:styleId="Bullet6">
    <w:name w:val="Bullet+6"/>
    <w:basedOn w:val="Normal"/>
    <w:rsid w:val="00281AF1"/>
    <w:pPr>
      <w:tabs>
        <w:tab w:val="num" w:pos="578"/>
      </w:tabs>
      <w:spacing w:after="0"/>
      <w:ind w:left="578" w:hanging="360"/>
    </w:pPr>
    <w:rPr>
      <w:rFonts w:ascii="Times New Roman" w:hAnsi="Times New Roman"/>
      <w:szCs w:val="24"/>
    </w:rPr>
  </w:style>
  <w:style w:type="paragraph" w:customStyle="1" w:styleId="Default">
    <w:name w:val="Default"/>
    <w:locked/>
    <w:rsid w:val="00281AF1"/>
    <w:pPr>
      <w:autoSpaceDE w:val="0"/>
      <w:autoSpaceDN w:val="0"/>
      <w:adjustRightInd w:val="0"/>
      <w:spacing w:after="0" w:line="240" w:lineRule="auto"/>
    </w:pPr>
    <w:rPr>
      <w:rFonts w:ascii="Arial Narrow" w:eastAsia="Times New Roman" w:hAnsi="Arial Narrow" w:cs="Arial Narrow"/>
      <w:color w:val="000000"/>
      <w:sz w:val="24"/>
      <w:szCs w:val="24"/>
      <w:lang w:eastAsia="en-AU"/>
    </w:rPr>
  </w:style>
  <w:style w:type="paragraph" w:styleId="Revision">
    <w:name w:val="Revision"/>
    <w:hidden/>
    <w:uiPriority w:val="99"/>
    <w:semiHidden/>
    <w:rsid w:val="00281AF1"/>
    <w:pPr>
      <w:spacing w:after="0" w:line="240" w:lineRule="auto"/>
    </w:pPr>
    <w:rPr>
      <w:rFonts w:ascii="Tahoma" w:eastAsia="Times New Roman" w:hAnsi="Tahoma" w:cs="Tahoma"/>
      <w:lang w:eastAsia="en-AU"/>
    </w:rPr>
  </w:style>
  <w:style w:type="table" w:styleId="TableClassic1">
    <w:name w:val="Table Classic 1"/>
    <w:basedOn w:val="TableNormal"/>
    <w:rsid w:val="00281AF1"/>
    <w:pPr>
      <w:spacing w:after="240" w:line="312"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EndnoteText">
    <w:name w:val="endnote text"/>
    <w:basedOn w:val="Normal"/>
    <w:link w:val="EndnoteTextChar"/>
    <w:rsid w:val="00281AF1"/>
    <w:pPr>
      <w:spacing w:after="0" w:line="240" w:lineRule="auto"/>
    </w:pPr>
    <w:rPr>
      <w:rFonts w:ascii="Times New Roman" w:hAnsi="Times New Roman" w:cs="Times New Roman"/>
      <w:sz w:val="20"/>
      <w:szCs w:val="20"/>
      <w:lang w:eastAsia="en-US"/>
    </w:rPr>
  </w:style>
  <w:style w:type="character" w:customStyle="1" w:styleId="EndnoteTextChar">
    <w:name w:val="Endnote Text Char"/>
    <w:basedOn w:val="DefaultParagraphFont"/>
    <w:link w:val="EndnoteText"/>
    <w:rsid w:val="00281AF1"/>
    <w:rPr>
      <w:rFonts w:ascii="Times New Roman" w:eastAsia="Times New Roman" w:hAnsi="Times New Roman" w:cs="Times New Roman"/>
      <w:sz w:val="20"/>
      <w:szCs w:val="20"/>
    </w:rPr>
  </w:style>
  <w:style w:type="paragraph" w:customStyle="1" w:styleId="Style1">
    <w:name w:val="Style1"/>
    <w:basedOn w:val="Normal"/>
    <w:locked/>
    <w:rsid w:val="00281AF1"/>
    <w:pPr>
      <w:tabs>
        <w:tab w:val="left" w:pos="720"/>
      </w:tabs>
      <w:spacing w:after="0" w:line="240" w:lineRule="auto"/>
    </w:pPr>
    <w:rPr>
      <w:rFonts w:ascii="Bookman Old Style" w:hAnsi="Bookman Old Style" w:cs="Times New Roman"/>
      <w:sz w:val="20"/>
      <w:szCs w:val="20"/>
      <w:lang w:val="en-US" w:eastAsia="en-US"/>
    </w:rPr>
  </w:style>
  <w:style w:type="character" w:styleId="Emphasis">
    <w:name w:val="Emphasis"/>
    <w:basedOn w:val="DefaultParagraphFont"/>
    <w:uiPriority w:val="20"/>
    <w:rsid w:val="00281AF1"/>
    <w:rPr>
      <w:b/>
      <w:bCs/>
      <w:i w:val="0"/>
      <w:iCs w:val="0"/>
    </w:rPr>
  </w:style>
  <w:style w:type="character" w:customStyle="1" w:styleId="st1">
    <w:name w:val="st1"/>
    <w:basedOn w:val="DefaultParagraphFont"/>
    <w:rsid w:val="00281AF1"/>
  </w:style>
  <w:style w:type="table" w:customStyle="1" w:styleId="TableGrid1">
    <w:name w:val="Table Grid1"/>
    <w:basedOn w:val="TableNormal"/>
    <w:next w:val="TableGrid"/>
    <w:locked/>
    <w:rsid w:val="00281AF1"/>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Bookman Old Style" w:hAnsi="Bookman Old Style"/>
        <w:b w:val="0"/>
        <w:sz w:val="20"/>
      </w:rPr>
    </w:tblStylePr>
  </w:style>
  <w:style w:type="table" w:customStyle="1" w:styleId="TableGrid2">
    <w:name w:val="Table Grid2"/>
    <w:basedOn w:val="TableNormal"/>
    <w:next w:val="TableGrid"/>
    <w:locked/>
    <w:rsid w:val="00281AF1"/>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Bookman Old Style" w:hAnsi="Bookman Old Style"/>
        <w:b w:val="0"/>
        <w:sz w:val="20"/>
      </w:rPr>
    </w:tblStylePr>
  </w:style>
  <w:style w:type="paragraph" w:customStyle="1" w:styleId="desc">
    <w:name w:val="desc"/>
    <w:basedOn w:val="Normal"/>
    <w:rsid w:val="00281AF1"/>
    <w:pPr>
      <w:spacing w:before="100" w:beforeAutospacing="1" w:after="100" w:afterAutospacing="1" w:line="240" w:lineRule="auto"/>
    </w:pPr>
    <w:rPr>
      <w:rFonts w:ascii="Times New Roman" w:hAnsi="Times New Roman" w:cs="Times New Roman"/>
      <w:szCs w:val="24"/>
    </w:rPr>
  </w:style>
  <w:style w:type="paragraph" w:customStyle="1" w:styleId="details">
    <w:name w:val="details"/>
    <w:basedOn w:val="Normal"/>
    <w:rsid w:val="00281AF1"/>
    <w:pPr>
      <w:spacing w:before="100" w:beforeAutospacing="1" w:after="100" w:afterAutospacing="1" w:line="240" w:lineRule="auto"/>
    </w:pPr>
    <w:rPr>
      <w:rFonts w:ascii="Times New Roman" w:hAnsi="Times New Roman" w:cs="Times New Roman"/>
      <w:szCs w:val="24"/>
    </w:rPr>
  </w:style>
  <w:style w:type="character" w:customStyle="1" w:styleId="jrnl">
    <w:name w:val="jrnl"/>
    <w:basedOn w:val="DefaultParagraphFont"/>
    <w:rsid w:val="00281AF1"/>
  </w:style>
  <w:style w:type="character" w:customStyle="1" w:styleId="A5">
    <w:name w:val="A5"/>
    <w:uiPriority w:val="99"/>
    <w:rsid w:val="00281AF1"/>
    <w:rPr>
      <w:rFonts w:cs="Humanist 77 7 BT"/>
      <w:color w:val="000000"/>
      <w:sz w:val="11"/>
      <w:szCs w:val="11"/>
    </w:rPr>
  </w:style>
  <w:style w:type="paragraph" w:styleId="TOCHeading">
    <w:name w:val="TOC Heading"/>
    <w:basedOn w:val="Heading1"/>
    <w:next w:val="Normal"/>
    <w:uiPriority w:val="39"/>
    <w:unhideWhenUsed/>
    <w:rsid w:val="00281AF1"/>
    <w:pPr>
      <w:keepLines/>
      <w:pageBreakBefore w:val="0"/>
      <w:pBdr>
        <w:bottom w:val="none" w:sz="0" w:space="0" w:color="auto"/>
      </w:pBdr>
      <w:spacing w:before="480" w:after="0" w:line="276" w:lineRule="auto"/>
      <w:ind w:left="0" w:firstLine="0"/>
      <w:outlineLvl w:val="9"/>
    </w:pPr>
    <w:rPr>
      <w:rFonts w:asciiTheme="majorHAnsi" w:eastAsiaTheme="majorEastAsia" w:hAnsiTheme="majorHAnsi" w:cstheme="majorBidi"/>
      <w:bCs/>
      <w:color w:val="2E74B5" w:themeColor="accent1" w:themeShade="BF"/>
      <w:sz w:val="28"/>
      <w:szCs w:val="28"/>
      <w:lang w:val="en-US" w:eastAsia="en-US"/>
    </w:rPr>
  </w:style>
  <w:style w:type="character" w:customStyle="1" w:styleId="highlight">
    <w:name w:val="highlight"/>
    <w:basedOn w:val="DefaultParagraphFont"/>
    <w:rsid w:val="00281AF1"/>
  </w:style>
  <w:style w:type="paragraph" w:customStyle="1" w:styleId="ESSectionHeading-numbered0">
    <w:name w:val="ES. Section Heading - numbered"/>
    <w:basedOn w:val="Heading3"/>
    <w:link w:val="ESSectionHeading-numberedChar"/>
    <w:locked/>
    <w:rsid w:val="00281AF1"/>
    <w:pPr>
      <w:numPr>
        <w:numId w:val="6"/>
      </w:numPr>
    </w:pPr>
  </w:style>
  <w:style w:type="paragraph" w:customStyle="1" w:styleId="MainBodySectionHeading-numbered">
    <w:name w:val="Main Body Section Heading - numbered"/>
    <w:basedOn w:val="Heading2"/>
    <w:link w:val="MainBodySectionHeading-numberedChar"/>
    <w:rsid w:val="00281AF1"/>
    <w:pPr>
      <w:numPr>
        <w:numId w:val="4"/>
      </w:numPr>
      <w:ind w:left="567" w:hanging="567"/>
    </w:pPr>
  </w:style>
  <w:style w:type="character" w:customStyle="1" w:styleId="ESSectionHeading-numberedChar">
    <w:name w:val="ES. Section Heading - numbered Char"/>
    <w:basedOn w:val="Heading3Char"/>
    <w:link w:val="ESSectionHeading-numbered0"/>
    <w:rsid w:val="00281AF1"/>
    <w:rPr>
      <w:rFonts w:ascii="Calibri" w:eastAsia="Times New Roman" w:hAnsi="Calibri" w:cs="Tahoma"/>
      <w:b/>
      <w:smallCaps/>
      <w:sz w:val="24"/>
      <w:szCs w:val="24"/>
      <w:lang w:eastAsia="en-AU"/>
    </w:rPr>
  </w:style>
  <w:style w:type="character" w:customStyle="1" w:styleId="MainBodySectionHeading-numberedChar">
    <w:name w:val="Main Body Section Heading - numbered Char"/>
    <w:basedOn w:val="Heading2Char"/>
    <w:link w:val="MainBodySectionHeading-numbered"/>
    <w:rsid w:val="00281AF1"/>
    <w:rPr>
      <w:rFonts w:ascii="Calibri" w:eastAsia="Times New Roman" w:hAnsi="Calibri" w:cs="Tahoma"/>
      <w:b/>
      <w:smallCaps/>
      <w:sz w:val="28"/>
      <w:lang w:eastAsia="en-AU"/>
    </w:rPr>
  </w:style>
  <w:style w:type="numbering" w:customStyle="1" w:styleId="ESSectionheading-numbered">
    <w:name w:val="ES. Section heading - numbered"/>
    <w:uiPriority w:val="99"/>
    <w:rsid w:val="00281AF1"/>
    <w:pPr>
      <w:numPr>
        <w:numId w:val="5"/>
      </w:numPr>
    </w:pPr>
  </w:style>
  <w:style w:type="paragraph" w:customStyle="1" w:styleId="ESNumberedSectionHeading">
    <w:name w:val="ES Numbered Section Heading"/>
    <w:basedOn w:val="ESSectionHeading-numbered0"/>
    <w:link w:val="ESNumberedSectionHeadingChar"/>
    <w:qFormat/>
    <w:rsid w:val="00281AF1"/>
    <w:pPr>
      <w:numPr>
        <w:numId w:val="7"/>
      </w:numPr>
    </w:pPr>
  </w:style>
  <w:style w:type="character" w:customStyle="1" w:styleId="ESNumberedSectionHeadingChar">
    <w:name w:val="ES Numbered Section Heading Char"/>
    <w:basedOn w:val="ESSectionHeading-numberedChar"/>
    <w:link w:val="ESNumberedSectionHeading"/>
    <w:rsid w:val="00281AF1"/>
    <w:rPr>
      <w:rFonts w:ascii="Calibri" w:eastAsia="Times New Roman" w:hAnsi="Calibri" w:cs="Tahoma"/>
      <w:b/>
      <w:smallCaps/>
      <w:sz w:val="24"/>
      <w:szCs w:val="24"/>
      <w:lang w:eastAsia="en-AU"/>
    </w:rPr>
  </w:style>
  <w:style w:type="paragraph" w:customStyle="1" w:styleId="Tablenotes0">
    <w:name w:val="Tablenotes"/>
    <w:basedOn w:val="Normal"/>
    <w:link w:val="TablenotesChar0"/>
    <w:qFormat/>
    <w:rsid w:val="008570E4"/>
    <w:pPr>
      <w:widowControl w:val="0"/>
      <w:spacing w:after="240" w:line="240" w:lineRule="auto"/>
      <w:contextualSpacing/>
    </w:pPr>
    <w:rPr>
      <w:rFonts w:ascii="Arial Narrow" w:hAnsi="Arial Narrow" w:cs="Arial"/>
      <w:snapToGrid w:val="0"/>
      <w:sz w:val="18"/>
      <w:szCs w:val="20"/>
      <w:lang w:eastAsia="en-US"/>
    </w:rPr>
  </w:style>
  <w:style w:type="character" w:customStyle="1" w:styleId="TablenotesChar0">
    <w:name w:val="Tablenotes Char"/>
    <w:basedOn w:val="DefaultParagraphFont"/>
    <w:link w:val="Tablenotes0"/>
    <w:rsid w:val="008570E4"/>
    <w:rPr>
      <w:rFonts w:ascii="Arial Narrow" w:eastAsia="Times New Roman" w:hAnsi="Arial Narrow" w:cs="Arial"/>
      <w:snapToGrid w:val="0"/>
      <w:sz w:val="18"/>
      <w:szCs w:val="20"/>
    </w:rPr>
  </w:style>
  <w:style w:type="paragraph" w:customStyle="1" w:styleId="TableNotes18">
    <w:name w:val="TableNotes+18"/>
    <w:basedOn w:val="TableText1"/>
    <w:uiPriority w:val="99"/>
    <w:locked/>
    <w:rsid w:val="00281AF1"/>
    <w:pPr>
      <w:keepNext w:val="0"/>
      <w:keepLines/>
      <w:spacing w:before="0" w:after="360" w:line="240" w:lineRule="auto"/>
      <w:ind w:left="720"/>
    </w:pPr>
    <w:rPr>
      <w:rFonts w:cs="Times New Roman"/>
      <w:color w:val="000000"/>
      <w:szCs w:val="21"/>
    </w:rPr>
  </w:style>
  <w:style w:type="paragraph" w:customStyle="1" w:styleId="TableNotes00">
    <w:name w:val="TableNotes+0"/>
    <w:basedOn w:val="TableNotes18"/>
    <w:uiPriority w:val="99"/>
    <w:locked/>
    <w:rsid w:val="00281AF1"/>
    <w:pPr>
      <w:keepNext/>
      <w:spacing w:after="0"/>
    </w:pPr>
  </w:style>
  <w:style w:type="paragraph" w:customStyle="1" w:styleId="TFAbbrevs0">
    <w:name w:val="TFAbbrevs+0"/>
    <w:basedOn w:val="Normal"/>
    <w:qFormat/>
    <w:locked/>
    <w:rsid w:val="00281AF1"/>
    <w:pPr>
      <w:keepNext/>
      <w:keepLines/>
      <w:spacing w:after="0" w:line="240" w:lineRule="auto"/>
    </w:pPr>
    <w:rPr>
      <w:rFonts w:ascii="Arial Narrow" w:hAnsi="Arial Narrow" w:cs="Times New Roman"/>
      <w:color w:val="000000"/>
      <w:sz w:val="18"/>
      <w:szCs w:val="18"/>
    </w:rPr>
  </w:style>
  <w:style w:type="paragraph" w:customStyle="1" w:styleId="TFAbbrevs18">
    <w:name w:val="TFAbbrevs+18"/>
    <w:basedOn w:val="TFAbbrevs0"/>
    <w:next w:val="Normal"/>
    <w:qFormat/>
    <w:locked/>
    <w:rsid w:val="00281AF1"/>
    <w:pPr>
      <w:spacing w:after="360"/>
    </w:pPr>
  </w:style>
  <w:style w:type="character" w:customStyle="1" w:styleId="TabletextChar10">
    <w:name w:val="Table text Char1"/>
    <w:basedOn w:val="DefaultParagraphFont"/>
    <w:locked/>
    <w:rsid w:val="00281AF1"/>
    <w:rPr>
      <w:rFonts w:ascii="Arial" w:eastAsia="Times New Roman" w:hAnsi="Arial" w:cs="Times New Roman"/>
      <w:sz w:val="20"/>
      <w:szCs w:val="20"/>
      <w:lang w:eastAsia="en-US"/>
    </w:rPr>
  </w:style>
  <w:style w:type="paragraph" w:customStyle="1" w:styleId="BoxName0">
    <w:name w:val="BoxName"/>
    <w:basedOn w:val="Normal"/>
    <w:rsid w:val="00281AF1"/>
    <w:pPr>
      <w:keepNext/>
      <w:pBdr>
        <w:top w:val="single" w:sz="4" w:space="4" w:color="000000"/>
        <w:left w:val="single" w:sz="4" w:space="4" w:color="000000"/>
        <w:bottom w:val="single" w:sz="4" w:space="4" w:color="000000"/>
        <w:right w:val="single" w:sz="4" w:space="4" w:color="000000"/>
      </w:pBdr>
      <w:spacing w:before="180" w:after="120" w:line="240" w:lineRule="auto"/>
      <w:ind w:left="1886" w:right="58" w:hanging="1080"/>
    </w:pPr>
    <w:rPr>
      <w:rFonts w:ascii="Arial Narrow" w:hAnsi="Arial Narrow" w:cs="Times New Roman"/>
      <w:b/>
      <w:bCs/>
      <w:color w:val="000000"/>
      <w:szCs w:val="20"/>
    </w:rPr>
  </w:style>
  <w:style w:type="character" w:styleId="IntenseReference">
    <w:name w:val="Intense Reference"/>
    <w:uiPriority w:val="32"/>
    <w:qFormat/>
    <w:rsid w:val="00281AF1"/>
    <w:rPr>
      <w:b/>
      <w:bCs/>
      <w:smallCaps/>
    </w:rPr>
  </w:style>
  <w:style w:type="table" w:customStyle="1" w:styleId="TableGrid3">
    <w:name w:val="Table Grid3"/>
    <w:basedOn w:val="TableNormal"/>
    <w:next w:val="TableGrid"/>
    <w:uiPriority w:val="59"/>
    <w:rsid w:val="0094192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316EEE"/>
    <w:pPr>
      <w:spacing w:after="0"/>
      <w:jc w:val="center"/>
    </w:pPr>
    <w:rPr>
      <w:rFonts w:cs="Calibri"/>
      <w:noProof/>
    </w:rPr>
  </w:style>
  <w:style w:type="character" w:customStyle="1" w:styleId="EndNoteBibliographyTitleChar">
    <w:name w:val="EndNote Bibliography Title Char"/>
    <w:basedOn w:val="DefaultParagraphFont"/>
    <w:link w:val="EndNoteBibliographyTitle"/>
    <w:rsid w:val="00316EEE"/>
    <w:rPr>
      <w:rFonts w:ascii="Calibri" w:eastAsia="Times New Roman" w:hAnsi="Calibri" w:cs="Calibri"/>
      <w:noProof/>
      <w:lang w:eastAsia="en-AU"/>
    </w:rPr>
  </w:style>
  <w:style w:type="paragraph" w:customStyle="1" w:styleId="EndNoteBibliography">
    <w:name w:val="EndNote Bibliography"/>
    <w:basedOn w:val="Normal"/>
    <w:link w:val="EndNoteBibliographyChar"/>
    <w:rsid w:val="00316EEE"/>
    <w:pPr>
      <w:spacing w:line="240" w:lineRule="auto"/>
    </w:pPr>
    <w:rPr>
      <w:rFonts w:cs="Calibri"/>
      <w:noProof/>
    </w:rPr>
  </w:style>
  <w:style w:type="character" w:customStyle="1" w:styleId="EndNoteBibliographyChar">
    <w:name w:val="EndNote Bibliography Char"/>
    <w:basedOn w:val="DefaultParagraphFont"/>
    <w:link w:val="EndNoteBibliography"/>
    <w:rsid w:val="00316EEE"/>
    <w:rPr>
      <w:rFonts w:ascii="Calibri" w:eastAsia="Times New Roman" w:hAnsi="Calibri" w:cs="Calibri"/>
      <w:noProof/>
      <w:lang w:eastAsia="en-AU"/>
    </w:rPr>
  </w:style>
  <w:style w:type="table" w:customStyle="1" w:styleId="TableGrid4">
    <w:name w:val="Table Grid4"/>
    <w:basedOn w:val="TableNormal"/>
    <w:next w:val="TableGrid"/>
    <w:uiPriority w:val="59"/>
    <w:rsid w:val="00F36CBE"/>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pbac.pbs.gov.au/" TargetMode="Externa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msac.gov.au/" TargetMode="External"/><Relationship Id="rId25" Type="http://schemas.openxmlformats.org/officeDocument/2006/relationships/hyperlink" Target="http://oncologypro.esmo.org/Education-Library/Factsheets-on-Biomarkers/Microsatellite-Instability-Defective-DNA-Mismatch-Repair" TargetMode="Externa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yperlink" Target="https://www.aihw.gov.au/reports/cancer/cancer-in-australia-2017/data" TargetMode="Externa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msac.gov.au/internet/msac/publishing.nsf/Content/applicants" TargetMode="Externa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image" Target="media/image3.png"/><Relationship Id="rId28"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www.gradeworkinggroup.or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2.png"/><Relationship Id="rId27" Type="http://schemas.openxmlformats.org/officeDocument/2006/relationships/header" Target="header8.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rcpaqap.com.au/product-catalogue/2017" TargetMode="External"/><Relationship Id="rId2" Type="http://schemas.openxmlformats.org/officeDocument/2006/relationships/hyperlink" Target="https://www.labtestsonline.org.au/" TargetMode="External"/><Relationship Id="rId1" Type="http://schemas.openxmlformats.org/officeDocument/2006/relationships/hyperlink" Target="https://www.fda.gov/Drugs/InformationOnDrugs/ApprovedDrugs/ucm560040.htm" TargetMode="External"/><Relationship Id="rId4" Type="http://schemas.openxmlformats.org/officeDocument/2006/relationships/hyperlink" Target="https://lynchsyndrome.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C3FE5-74BC-4617-80B3-077A6BA54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19418</Words>
  <Characters>110685</Characters>
  <Application>Microsoft Office Word</Application>
  <DocSecurity>0</DocSecurity>
  <Lines>922</Lines>
  <Paragraphs>259</Paragraphs>
  <ScaleCrop>false</ScaleCrop>
  <Company/>
  <LinksUpToDate>false</LinksUpToDate>
  <CharactersWithSpaces>129844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MMR MSI-H pan-tumour applications discussion paper-Jan 2020</dc:title>
  <dc:subject/>
  <dc:creator/>
  <cp:keywords/>
  <cp:lastModifiedBy/>
  <cp:revision>1</cp:revision>
  <dcterms:created xsi:type="dcterms:W3CDTF">2020-01-14T04:58:00Z</dcterms:created>
  <dcterms:modified xsi:type="dcterms:W3CDTF">2020-01-14T04:58:00Z</dcterms:modified>
</cp:coreProperties>
</file>