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AA4C" w14:textId="14DDA1B4" w:rsidR="00BE3DF9" w:rsidRPr="00D51245" w:rsidRDefault="005D3FEC" w:rsidP="008839B0">
      <w:pPr>
        <w:pStyle w:val="Heading1"/>
        <w:pBdr>
          <w:top w:val="none" w:sz="0" w:space="0" w:color="auto"/>
          <w:bottom w:val="none" w:sz="0" w:space="0" w:color="auto"/>
        </w:pBdr>
        <w:rPr>
          <w:caps w:val="0"/>
          <w:color w:val="auto"/>
          <w:spacing w:val="0"/>
          <w:sz w:val="28"/>
          <w:szCs w:val="28"/>
        </w:rPr>
      </w:pPr>
      <w:r w:rsidRPr="00D51245">
        <w:rPr>
          <w:caps w:val="0"/>
          <w:color w:val="auto"/>
          <w:spacing w:val="0"/>
          <w:sz w:val="28"/>
          <w:szCs w:val="28"/>
        </w:rPr>
        <w:t>F</w:t>
      </w:r>
      <w:r w:rsidR="008839B0" w:rsidRPr="00D51245">
        <w:rPr>
          <w:caps w:val="0"/>
          <w:color w:val="auto"/>
          <w:spacing w:val="0"/>
          <w:sz w:val="28"/>
          <w:szCs w:val="28"/>
        </w:rPr>
        <w:t>ramework</w:t>
      </w:r>
      <w:r w:rsidR="00BE3DF9" w:rsidRPr="00D51245">
        <w:rPr>
          <w:caps w:val="0"/>
          <w:color w:val="auto"/>
          <w:spacing w:val="0"/>
          <w:sz w:val="28"/>
          <w:szCs w:val="28"/>
        </w:rPr>
        <w:t xml:space="preserve"> for the MSAC </w:t>
      </w:r>
      <w:r w:rsidR="008D29B2" w:rsidRPr="00D51245">
        <w:rPr>
          <w:caps w:val="0"/>
          <w:color w:val="auto"/>
          <w:spacing w:val="0"/>
          <w:sz w:val="28"/>
          <w:szCs w:val="28"/>
        </w:rPr>
        <w:t>A</w:t>
      </w:r>
      <w:r w:rsidR="00BE3DF9" w:rsidRPr="00D51245">
        <w:rPr>
          <w:caps w:val="0"/>
          <w:color w:val="auto"/>
          <w:spacing w:val="0"/>
          <w:sz w:val="28"/>
          <w:szCs w:val="28"/>
        </w:rPr>
        <w:t xml:space="preserve">ssessment of </w:t>
      </w:r>
      <w:r w:rsidR="008D29B2" w:rsidRPr="00D51245">
        <w:rPr>
          <w:caps w:val="0"/>
          <w:color w:val="auto"/>
          <w:spacing w:val="0"/>
          <w:sz w:val="28"/>
          <w:szCs w:val="28"/>
        </w:rPr>
        <w:t>R</w:t>
      </w:r>
      <w:r w:rsidR="00BE3DF9" w:rsidRPr="00D51245">
        <w:rPr>
          <w:caps w:val="0"/>
          <w:color w:val="auto"/>
          <w:spacing w:val="0"/>
          <w:sz w:val="28"/>
          <w:szCs w:val="28"/>
        </w:rPr>
        <w:t>adiopharmaceuticals</w:t>
      </w:r>
    </w:p>
    <w:p w14:paraId="76CED4A9" w14:textId="77777777" w:rsidR="00BE3DF9" w:rsidRPr="0078623F" w:rsidRDefault="00BE3DF9" w:rsidP="00BE3DF9">
      <w:pPr>
        <w:rPr>
          <w:rFonts w:cstheme="minorHAnsi"/>
          <w:sz w:val="22"/>
          <w:szCs w:val="22"/>
        </w:rPr>
      </w:pPr>
      <w:r w:rsidRPr="0078623F">
        <w:rPr>
          <w:rFonts w:cstheme="minorHAnsi"/>
          <w:sz w:val="22"/>
          <w:szCs w:val="22"/>
        </w:rPr>
        <w:t>Radiopharmaceuticals are unique in their mechanism of action (radioactivity rather than pharmacological), supply chain requirements and operational management characteristics compared with other types of medicines</w:t>
      </w:r>
      <w:r w:rsidRPr="0078623F">
        <w:rPr>
          <w:rFonts w:cstheme="minorHAnsi"/>
          <w:b/>
          <w:bCs/>
          <w:sz w:val="22"/>
          <w:szCs w:val="22"/>
        </w:rPr>
        <w:t xml:space="preserve">. </w:t>
      </w:r>
      <w:r w:rsidRPr="0078623F">
        <w:rPr>
          <w:rFonts w:cstheme="minorHAnsi"/>
          <w:sz w:val="22"/>
          <w:szCs w:val="22"/>
        </w:rPr>
        <w:t xml:space="preserve">The purpose of this Framework is to identify the supplementary information requirements to those set out in the </w:t>
      </w:r>
      <w:hyperlink r:id="rId11" w:history="1">
        <w:r w:rsidRPr="0078623F">
          <w:rPr>
            <w:rStyle w:val="Hyperlink"/>
            <w:rFonts w:cstheme="minorHAnsi"/>
            <w:sz w:val="22"/>
            <w:szCs w:val="22"/>
          </w:rPr>
          <w:t>Guidelines for preparing assessments for the Medical Services Advisory Committee</w:t>
        </w:r>
      </w:hyperlink>
      <w:r w:rsidRPr="0078623F">
        <w:rPr>
          <w:rFonts w:cstheme="minorHAnsi"/>
          <w:sz w:val="22"/>
          <w:szCs w:val="22"/>
        </w:rPr>
        <w:t xml:space="preserve"> (“MSAC Guidelines”) to ensure that radiopharmaceuticals to be used within the scope of a proposed MBS item descriptor in an application for a new or amended MBS item are adequately characterised and produced according to accepted standards, in order to be evaluated for clinical (diagnostic or therapeutic) noninferiority against a comparator product</w:t>
      </w:r>
      <w:r w:rsidRPr="0078623F">
        <w:rPr>
          <w:rStyle w:val="FootnoteReference"/>
          <w:rFonts w:cstheme="minorHAnsi"/>
          <w:sz w:val="22"/>
          <w:szCs w:val="22"/>
        </w:rPr>
        <w:footnoteReference w:id="1"/>
      </w:r>
      <w:r w:rsidRPr="0078623F">
        <w:rPr>
          <w:rFonts w:cstheme="minorHAnsi"/>
          <w:sz w:val="22"/>
          <w:szCs w:val="22"/>
        </w:rPr>
        <w:t xml:space="preserve"> or products. The question of noninferiority of radiopharmaceuticals has arisen in the context of several MSAC applications. For example, there may be a scarcity or lack of evidence to inform the safety and efficacy of a radiopharmaceutical product or products for which a new or amended MBS item descriptor(s) is being proposed, and the applicant may cite evidence for the comparator(s) as the best available evidence on which to base a claim of clinical noninferiority between the two products. </w:t>
      </w:r>
    </w:p>
    <w:p w14:paraId="77C15A4B" w14:textId="77777777" w:rsidR="00BE3DF9" w:rsidRPr="0078623F" w:rsidRDefault="00BE3DF9" w:rsidP="00BE3DF9">
      <w:pPr>
        <w:spacing w:after="240"/>
        <w:rPr>
          <w:rFonts w:cstheme="minorHAnsi"/>
          <w:sz w:val="22"/>
          <w:szCs w:val="22"/>
        </w:rPr>
      </w:pPr>
      <w:r w:rsidRPr="0078623F">
        <w:rPr>
          <w:rFonts w:cstheme="minorHAnsi"/>
          <w:sz w:val="22"/>
          <w:szCs w:val="22"/>
        </w:rPr>
        <w:t xml:space="preserve">With the exception of radionuclide generators, this Framework includes all radiopharmaceuticals which are: </w:t>
      </w:r>
    </w:p>
    <w:p w14:paraId="4FB1D5AC" w14:textId="77777777" w:rsidR="00BE3DF9" w:rsidRPr="0078623F" w:rsidRDefault="00BE3DF9" w:rsidP="00BE3DF9">
      <w:pPr>
        <w:pStyle w:val="ListParagraph"/>
        <w:numPr>
          <w:ilvl w:val="0"/>
          <w:numId w:val="3"/>
        </w:numPr>
        <w:spacing w:after="240"/>
        <w:rPr>
          <w:rFonts w:cstheme="minorHAnsi"/>
          <w:sz w:val="22"/>
          <w:szCs w:val="22"/>
        </w:rPr>
      </w:pPr>
      <w:r w:rsidRPr="0078623F">
        <w:rPr>
          <w:rFonts w:cstheme="minorHAnsi"/>
          <w:sz w:val="22"/>
          <w:szCs w:val="22"/>
        </w:rPr>
        <w:t xml:space="preserve">for diagnostic imaging or </w:t>
      </w:r>
    </w:p>
    <w:p w14:paraId="745F0D02" w14:textId="77777777" w:rsidR="00BE3DF9" w:rsidRPr="0078623F" w:rsidRDefault="00BE3DF9" w:rsidP="00BE3DF9">
      <w:pPr>
        <w:pStyle w:val="ListParagraph"/>
        <w:numPr>
          <w:ilvl w:val="0"/>
          <w:numId w:val="3"/>
        </w:numPr>
        <w:spacing w:after="240"/>
        <w:rPr>
          <w:rFonts w:cstheme="minorHAnsi"/>
          <w:sz w:val="22"/>
          <w:szCs w:val="22"/>
        </w:rPr>
      </w:pPr>
      <w:r w:rsidRPr="0078623F">
        <w:rPr>
          <w:rFonts w:cstheme="minorHAnsi"/>
          <w:sz w:val="22"/>
          <w:szCs w:val="22"/>
        </w:rPr>
        <w:t xml:space="preserve">for nuclear medicine therapy; and </w:t>
      </w:r>
    </w:p>
    <w:p w14:paraId="7D830AA5" w14:textId="77777777" w:rsidR="00BE3DF9" w:rsidRPr="0078623F" w:rsidRDefault="00BE3DF9" w:rsidP="00BE3DF9">
      <w:pPr>
        <w:pStyle w:val="ListParagraph"/>
        <w:numPr>
          <w:ilvl w:val="0"/>
          <w:numId w:val="3"/>
        </w:numPr>
        <w:spacing w:after="240"/>
        <w:rPr>
          <w:rFonts w:cstheme="minorHAnsi"/>
          <w:b/>
          <w:bCs/>
          <w:sz w:val="22"/>
          <w:szCs w:val="22"/>
        </w:rPr>
      </w:pPr>
      <w:r w:rsidRPr="0078623F">
        <w:rPr>
          <w:rFonts w:cstheme="minorHAnsi"/>
          <w:sz w:val="22"/>
          <w:szCs w:val="22"/>
        </w:rPr>
        <w:t xml:space="preserve">within the scope of a proposed MBS item descriptor </w:t>
      </w:r>
      <w:r w:rsidRPr="0078623F">
        <w:rPr>
          <w:rFonts w:cstheme="minorHAnsi"/>
          <w:b/>
          <w:bCs/>
          <w:sz w:val="22"/>
          <w:szCs w:val="22"/>
        </w:rPr>
        <w:t xml:space="preserve">in an application for a new or amended MBS item. </w:t>
      </w:r>
    </w:p>
    <w:p w14:paraId="273C6523" w14:textId="77777777" w:rsidR="00BE3DF9" w:rsidRPr="0078623F" w:rsidRDefault="00BE3DF9" w:rsidP="00BE3DF9">
      <w:pPr>
        <w:spacing w:line="259" w:lineRule="auto"/>
        <w:rPr>
          <w:rFonts w:cstheme="minorHAnsi"/>
          <w:sz w:val="22"/>
          <w:szCs w:val="22"/>
        </w:rPr>
      </w:pPr>
      <w:r w:rsidRPr="0078623F">
        <w:rPr>
          <w:rFonts w:cstheme="minorHAnsi"/>
          <w:sz w:val="22"/>
          <w:szCs w:val="22"/>
        </w:rPr>
        <w:t>The above includes radiopharmaceuticals which are:</w:t>
      </w:r>
    </w:p>
    <w:p w14:paraId="5300B9AB" w14:textId="1F6F1975" w:rsidR="00BE3DF9" w:rsidRPr="0078623F" w:rsidRDefault="00BE3DF9" w:rsidP="00BE3DF9">
      <w:pPr>
        <w:pStyle w:val="ListParagraph"/>
        <w:numPr>
          <w:ilvl w:val="0"/>
          <w:numId w:val="4"/>
        </w:numPr>
        <w:spacing w:line="259" w:lineRule="auto"/>
        <w:rPr>
          <w:rFonts w:cstheme="minorHAnsi"/>
          <w:sz w:val="22"/>
          <w:szCs w:val="22"/>
        </w:rPr>
      </w:pPr>
      <w:r w:rsidRPr="0078623F">
        <w:rPr>
          <w:rFonts w:cstheme="minorHAnsi"/>
          <w:sz w:val="22"/>
          <w:szCs w:val="22"/>
        </w:rPr>
        <w:t xml:space="preserve">Therapeutic Goods Administration (TGA)-approved with Good Manufacturing Practice (GMP), as identified by being </w:t>
      </w:r>
      <w:r w:rsidR="00F125F2">
        <w:rPr>
          <w:rFonts w:cstheme="minorHAnsi"/>
          <w:sz w:val="22"/>
          <w:szCs w:val="22"/>
        </w:rPr>
        <w:t>included</w:t>
      </w:r>
      <w:r w:rsidRPr="0078623F">
        <w:rPr>
          <w:rFonts w:cstheme="minorHAnsi"/>
          <w:sz w:val="22"/>
          <w:szCs w:val="22"/>
        </w:rPr>
        <w:t xml:space="preserve"> on the Australian Register of Therapeutic Goods (ARTG)</w:t>
      </w:r>
    </w:p>
    <w:p w14:paraId="5DDFB9AC" w14:textId="04306EBB" w:rsidR="00BE3DF9" w:rsidRPr="0078623F" w:rsidRDefault="00BE3DF9" w:rsidP="00BE3DF9">
      <w:pPr>
        <w:pStyle w:val="ListParagraph"/>
        <w:numPr>
          <w:ilvl w:val="0"/>
          <w:numId w:val="4"/>
        </w:numPr>
        <w:spacing w:line="259" w:lineRule="auto"/>
        <w:rPr>
          <w:rFonts w:cstheme="minorHAnsi"/>
          <w:sz w:val="22"/>
          <w:szCs w:val="22"/>
        </w:rPr>
      </w:pPr>
      <w:r w:rsidRPr="0078623F">
        <w:rPr>
          <w:rFonts w:cstheme="minorHAnsi"/>
          <w:sz w:val="22"/>
          <w:szCs w:val="22"/>
        </w:rPr>
        <w:t>TGA unapproved or exempt</w:t>
      </w:r>
      <w:r w:rsidR="00F66296">
        <w:rPr>
          <w:rFonts w:cstheme="minorHAnsi"/>
          <w:sz w:val="22"/>
          <w:szCs w:val="22"/>
        </w:rPr>
        <w:t xml:space="preserve"> </w:t>
      </w:r>
      <w:r w:rsidR="00F66296" w:rsidRPr="00F66296">
        <w:rPr>
          <w:rFonts w:cstheme="minorHAnsi"/>
          <w:sz w:val="22"/>
          <w:szCs w:val="22"/>
        </w:rPr>
        <w:t>from inclusion on the ARTG</w:t>
      </w:r>
    </w:p>
    <w:p w14:paraId="6AE2F28B" w14:textId="77777777" w:rsidR="00BE3DF9" w:rsidRPr="0078623F" w:rsidRDefault="00BE3DF9" w:rsidP="00BE3DF9">
      <w:pPr>
        <w:pStyle w:val="ListParagraph"/>
        <w:numPr>
          <w:ilvl w:val="0"/>
          <w:numId w:val="4"/>
        </w:numPr>
        <w:spacing w:line="259" w:lineRule="auto"/>
        <w:rPr>
          <w:rFonts w:cstheme="minorHAnsi"/>
          <w:sz w:val="22"/>
          <w:szCs w:val="22"/>
        </w:rPr>
      </w:pPr>
      <w:r w:rsidRPr="0078623F">
        <w:rPr>
          <w:rFonts w:cstheme="minorHAnsi"/>
          <w:sz w:val="22"/>
          <w:szCs w:val="22"/>
        </w:rPr>
        <w:t>Special Access Scheme (SAS)/Authorised Prescriber supplied.</w:t>
      </w:r>
    </w:p>
    <w:p w14:paraId="009EA368" w14:textId="58B4B9D2" w:rsidR="00BE3DF9" w:rsidRPr="00440834" w:rsidRDefault="00EE6E66" w:rsidP="00BE3DF9">
      <w:pPr>
        <w:spacing w:after="240"/>
        <w:rPr>
          <w:rFonts w:cstheme="minorHAnsi"/>
          <w:sz w:val="22"/>
          <w:szCs w:val="22"/>
        </w:rPr>
      </w:pPr>
      <w:r w:rsidRPr="00440834">
        <w:rPr>
          <w:rFonts w:cstheme="minorHAnsi"/>
          <w:sz w:val="22"/>
          <w:szCs w:val="22"/>
        </w:rPr>
        <w:t xml:space="preserve">This Framework and MSAC assessment applies for the purpose of MBS listing only. Applicants must satisfy themselves in relation to the requirements of the </w:t>
      </w:r>
      <w:r w:rsidRPr="00495C37">
        <w:rPr>
          <w:rFonts w:cstheme="minorHAnsi"/>
          <w:i/>
          <w:iCs/>
          <w:sz w:val="22"/>
          <w:szCs w:val="22"/>
        </w:rPr>
        <w:t>Therapeutic Goods Act 1989</w:t>
      </w:r>
      <w:r w:rsidRPr="00440834">
        <w:rPr>
          <w:rFonts w:cstheme="minorHAnsi"/>
          <w:sz w:val="22"/>
          <w:szCs w:val="22"/>
        </w:rPr>
        <w:t xml:space="preserve"> and other applicable legislation.</w:t>
      </w:r>
    </w:p>
    <w:p w14:paraId="60EF6D4C" w14:textId="77777777" w:rsidR="00BE3DF9" w:rsidRPr="00B13467" w:rsidRDefault="00BE3DF9" w:rsidP="00BE3DF9">
      <w:pPr>
        <w:rPr>
          <w:rFonts w:cstheme="minorHAnsi"/>
          <w:b/>
          <w:bCs/>
          <w:u w:val="single"/>
        </w:rPr>
      </w:pPr>
      <w:r w:rsidRPr="00B13467">
        <w:rPr>
          <w:rFonts w:cstheme="minorHAnsi"/>
          <w:b/>
          <w:bCs/>
          <w:u w:val="single"/>
        </w:rPr>
        <w:br w:type="page"/>
      </w:r>
    </w:p>
    <w:p w14:paraId="5C40F65E" w14:textId="77777777" w:rsidR="00BE3DF9" w:rsidRPr="00D51245" w:rsidRDefault="00BE3DF9" w:rsidP="00D51245">
      <w:pPr>
        <w:pStyle w:val="Heading2"/>
      </w:pPr>
      <w:r w:rsidRPr="00D51245">
        <w:lastRenderedPageBreak/>
        <w:t>Aspects to be considered when assessing whether radiopharmaceuticals within the scope of a proposed MBS item descriptor are noninferior to a similar product</w:t>
      </w:r>
    </w:p>
    <w:p w14:paraId="43385FD2" w14:textId="77777777" w:rsidR="00BE3DF9" w:rsidRPr="00D51245" w:rsidRDefault="00BE3DF9" w:rsidP="00D51245">
      <w:pPr>
        <w:pStyle w:val="Heading3"/>
      </w:pPr>
      <w:r w:rsidRPr="00D51245">
        <w:t>1. Preclinical aspects</w:t>
      </w:r>
    </w:p>
    <w:p w14:paraId="64C0D5CD" w14:textId="77777777" w:rsidR="00BE3DF9" w:rsidRPr="00D51245" w:rsidRDefault="00BE3DF9" w:rsidP="00D51245">
      <w:pPr>
        <w:pStyle w:val="Heading4"/>
      </w:pPr>
      <w:r w:rsidRPr="00D51245">
        <w:t xml:space="preserve">1A. </w:t>
      </w:r>
      <w:r w:rsidRPr="00692B30">
        <w:rPr>
          <w:u w:val="single"/>
        </w:rPr>
        <w:t>Radiopharmaceuticals listed on the Australian Register of Therapeutic Goods (ARTG)</w:t>
      </w:r>
    </w:p>
    <w:p w14:paraId="54D7037F" w14:textId="475D382A" w:rsidR="00BE3DF9" w:rsidRPr="00BE3DF9" w:rsidRDefault="00BE3DF9" w:rsidP="00BE3DF9">
      <w:pPr>
        <w:spacing w:after="240"/>
        <w:rPr>
          <w:rFonts w:cstheme="minorHAnsi"/>
          <w:sz w:val="22"/>
          <w:szCs w:val="22"/>
        </w:rPr>
      </w:pPr>
      <w:r w:rsidRPr="005D3FEC">
        <w:rPr>
          <w:rFonts w:cstheme="minorHAnsi"/>
          <w:sz w:val="22"/>
          <w:szCs w:val="22"/>
        </w:rPr>
        <w:t xml:space="preserve">Applications for a new or amended MBS item for radiopharmaceuticals </w:t>
      </w:r>
      <w:r w:rsidRPr="005D3FEC">
        <w:rPr>
          <w:rFonts w:cstheme="minorHAnsi"/>
          <w:sz w:val="22"/>
          <w:szCs w:val="22"/>
          <w:u w:val="single"/>
        </w:rPr>
        <w:t xml:space="preserve">already </w:t>
      </w:r>
      <w:r w:rsidR="0066593A" w:rsidRPr="005D3FEC">
        <w:rPr>
          <w:rFonts w:cstheme="minorHAnsi"/>
          <w:sz w:val="22"/>
          <w:szCs w:val="22"/>
          <w:u w:val="single"/>
        </w:rPr>
        <w:t>included</w:t>
      </w:r>
      <w:r w:rsidRPr="005D3FEC">
        <w:rPr>
          <w:rFonts w:cstheme="minorHAnsi"/>
          <w:sz w:val="22"/>
          <w:szCs w:val="22"/>
          <w:u w:val="single"/>
        </w:rPr>
        <w:t xml:space="preserve"> on the ARTG </w:t>
      </w:r>
      <w:r w:rsidR="008D0C36" w:rsidRPr="005D3FEC">
        <w:rPr>
          <w:rStyle w:val="colour"/>
        </w:rPr>
        <w:t xml:space="preserve">or provided under Section 19A of the </w:t>
      </w:r>
      <w:r w:rsidR="008D0C36" w:rsidRPr="00495C37">
        <w:rPr>
          <w:rStyle w:val="colour"/>
          <w:i/>
          <w:iCs/>
        </w:rPr>
        <w:t>Therapeutic Goods Act 1989</w:t>
      </w:r>
      <w:r w:rsidR="008D0C36" w:rsidRPr="005D3FEC">
        <w:rPr>
          <w:rStyle w:val="colour"/>
        </w:rPr>
        <w:t xml:space="preserve"> </w:t>
      </w:r>
      <w:r w:rsidR="008D0C36" w:rsidRPr="005D3FEC">
        <w:rPr>
          <w:rStyle w:val="FootnoteReference"/>
        </w:rPr>
        <w:footnoteReference w:id="2"/>
      </w:r>
      <w:r w:rsidR="008D0C36" w:rsidRPr="005D3FEC">
        <w:rPr>
          <w:rStyle w:val="colour"/>
        </w:rPr>
        <w:t xml:space="preserve"> </w:t>
      </w:r>
      <w:r w:rsidRPr="005D3FEC">
        <w:rPr>
          <w:rFonts w:cstheme="minorHAnsi"/>
          <w:sz w:val="22"/>
          <w:szCs w:val="22"/>
        </w:rPr>
        <w:t xml:space="preserve">are </w:t>
      </w:r>
      <w:r w:rsidRPr="005D3FEC">
        <w:rPr>
          <w:rFonts w:cstheme="minorHAnsi"/>
          <w:sz w:val="22"/>
          <w:szCs w:val="22"/>
          <w:u w:val="single"/>
        </w:rPr>
        <w:t>not required</w:t>
      </w:r>
      <w:r w:rsidRPr="005D3FEC">
        <w:rPr>
          <w:rFonts w:cstheme="minorHAnsi"/>
          <w:sz w:val="22"/>
          <w:szCs w:val="22"/>
        </w:rPr>
        <w:t xml:space="preserve"> to provide additional information as listed below (1B) or in Attachment A regarding production and quality control as such</w:t>
      </w:r>
      <w:r w:rsidRPr="00BE3DF9">
        <w:rPr>
          <w:rFonts w:cstheme="minorHAnsi"/>
          <w:sz w:val="22"/>
          <w:szCs w:val="22"/>
        </w:rPr>
        <w:t xml:space="preserve"> radiopharmaceuticals are considered to be well-characterised by the TGA Australian Product Information document, and produced to a satisfactory quality standard by virtue of having been produced under Good Manufacturing Practice (GMP) rules and having undergone an assessment of quality and technical safety by the TGA.</w:t>
      </w:r>
    </w:p>
    <w:p w14:paraId="4854FF12" w14:textId="0D51CEB7" w:rsidR="00BE3DF9" w:rsidRPr="00BE3DF9" w:rsidRDefault="00BE3DF9" w:rsidP="00692B30">
      <w:pPr>
        <w:pStyle w:val="Heading4"/>
      </w:pPr>
      <w:r w:rsidRPr="00BE3DF9">
        <w:t xml:space="preserve">1B. </w:t>
      </w:r>
      <w:r w:rsidRPr="00692B30">
        <w:rPr>
          <w:u w:val="single"/>
        </w:rPr>
        <w:t>Therapeutic Goods Administration (TGA) unapproved or exempt radiopharmaceuticals</w:t>
      </w:r>
      <w:r w:rsidRPr="00BE3DF9" w:rsidDel="008115CC">
        <w:t xml:space="preserve"> </w:t>
      </w:r>
    </w:p>
    <w:p w14:paraId="32145DCC" w14:textId="5E40778D" w:rsidR="00EA6741" w:rsidRDefault="00EA6741" w:rsidP="00BE3DF9">
      <w:pPr>
        <w:spacing w:after="240"/>
        <w:rPr>
          <w:rFonts w:cstheme="minorHAnsi"/>
          <w:sz w:val="22"/>
          <w:szCs w:val="22"/>
        </w:rPr>
      </w:pPr>
      <w:r w:rsidRPr="00EA6741">
        <w:rPr>
          <w:rFonts w:cstheme="minorHAnsi"/>
          <w:sz w:val="22"/>
          <w:szCs w:val="22"/>
        </w:rPr>
        <w:t>This Framework and MSAC assessment applies for the purpose of MBS listing only. Applicants must satisfy themselves in relation to the regulatory requirements of the TGA in relation to unapproved or exempt therapeutic goods not included on the ARTG. Supply of the following information to MSAC is not a substitute for meeting TGA information requirements</w:t>
      </w:r>
      <w:r>
        <w:rPr>
          <w:rFonts w:cstheme="minorHAnsi"/>
          <w:sz w:val="22"/>
          <w:szCs w:val="22"/>
        </w:rPr>
        <w:t>.</w:t>
      </w:r>
    </w:p>
    <w:p w14:paraId="7FCA27F5" w14:textId="6A374352" w:rsidR="00BE3DF9" w:rsidRPr="00BE3DF9" w:rsidRDefault="00BE3DF9" w:rsidP="00BE3DF9">
      <w:pPr>
        <w:spacing w:after="240"/>
        <w:rPr>
          <w:rFonts w:cstheme="minorHAnsi"/>
          <w:color w:val="00B0F0"/>
          <w:sz w:val="22"/>
          <w:szCs w:val="22"/>
        </w:rPr>
      </w:pPr>
      <w:r w:rsidRPr="00BE3DF9">
        <w:rPr>
          <w:rFonts w:cstheme="minorHAnsi"/>
          <w:sz w:val="22"/>
          <w:szCs w:val="22"/>
        </w:rPr>
        <w:t>Applications for a new or amended MBS item that includes the use of a TGA unapproved or exempt radiopharmaceutical(s) (including SAS/Authorised Prescriber supplied) are required to provide information on the following characteristics of the new radiopharmaceutical product(s) proposed for listing:</w:t>
      </w:r>
    </w:p>
    <w:p w14:paraId="096BDAB8"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Product name.</w:t>
      </w:r>
    </w:p>
    <w:p w14:paraId="09B269F0"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Composition:</w:t>
      </w:r>
    </w:p>
    <w:p w14:paraId="1C96CC4B"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chemical structure;</w:t>
      </w:r>
    </w:p>
    <w:p w14:paraId="6028243F"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physical characteristics, including decay chart &amp; radiation emissions;</w:t>
      </w:r>
    </w:p>
    <w:p w14:paraId="7F037E44"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external radiation &amp; shielding requirements;</w:t>
      </w:r>
    </w:p>
    <w:p w14:paraId="441000CC"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radiation dosimetry – including effective dose &amp; critical organ(s).</w:t>
      </w:r>
    </w:p>
    <w:p w14:paraId="34FB62F5"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Pharmaceutical form:</w:t>
      </w:r>
    </w:p>
    <w:p w14:paraId="2B102A78"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preparation &amp; administration;</w:t>
      </w:r>
    </w:p>
    <w:p w14:paraId="263A12CA"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vehicle &amp; excipients;</w:t>
      </w:r>
    </w:p>
    <w:p w14:paraId="1CEF9704"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incompatibilities;</w:t>
      </w:r>
    </w:p>
    <w:p w14:paraId="2E8140CE"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shelf life.</w:t>
      </w:r>
    </w:p>
    <w:p w14:paraId="2F9FFC33"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Pharmacology:</w:t>
      </w:r>
    </w:p>
    <w:p w14:paraId="279AF071"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mechanism of action;</w:t>
      </w:r>
    </w:p>
    <w:p w14:paraId="7E06F690"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pharmacokinetics:</w:t>
      </w:r>
    </w:p>
    <w:p w14:paraId="6C2DF882" w14:textId="77777777" w:rsidR="00BE3DF9" w:rsidRPr="00BE3DF9" w:rsidRDefault="00BE3DF9" w:rsidP="00BE3DF9">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biodistribution;</w:t>
      </w:r>
    </w:p>
    <w:p w14:paraId="03F349D8" w14:textId="5D2DB744" w:rsidR="00BE3DF9" w:rsidRPr="00BE3DF9" w:rsidRDefault="00BE3DF9" w:rsidP="00BE3DF9">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metabolism &amp; excretion.</w:t>
      </w:r>
    </w:p>
    <w:p w14:paraId="2C7361B7"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lastRenderedPageBreak/>
        <w:t>Safety:</w:t>
      </w:r>
    </w:p>
    <w:p w14:paraId="61787229" w14:textId="77777777" w:rsidR="00BE3DF9" w:rsidRPr="00BE3DF9" w:rsidRDefault="00BE3DF9" w:rsidP="00225FC5">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contraindications;</w:t>
      </w:r>
    </w:p>
    <w:p w14:paraId="64C07013" w14:textId="77777777" w:rsidR="00BE3DF9" w:rsidRPr="00BE3DF9" w:rsidRDefault="00BE3DF9" w:rsidP="00225FC5">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precautions, including:</w:t>
      </w:r>
    </w:p>
    <w:p w14:paraId="4598794B"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extravasation risks;</w:t>
      </w:r>
    </w:p>
    <w:p w14:paraId="05721DC6"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radiation risks – including use in pregnancy / lactation / paediatrics;</w:t>
      </w:r>
    </w:p>
    <w:p w14:paraId="05ECDB26"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use in organ (e.g., renal / liver / bone marrow) impairment;</w:t>
      </w:r>
    </w:p>
    <w:p w14:paraId="6A9FE657"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medicine interactions;</w:t>
      </w:r>
    </w:p>
    <w:p w14:paraId="135497E3" w14:textId="77777777" w:rsidR="00BE3DF9" w:rsidRPr="00BE3DF9" w:rsidRDefault="00BE3DF9" w:rsidP="00225FC5">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adverse effects.</w:t>
      </w:r>
    </w:p>
    <w:p w14:paraId="340AFB4B" w14:textId="651E9E97" w:rsidR="00BE3DF9" w:rsidRPr="00BE3DF9" w:rsidRDefault="00BE3DF9" w:rsidP="00BE3DF9">
      <w:pPr>
        <w:spacing w:after="240"/>
        <w:rPr>
          <w:rFonts w:cstheme="minorHAnsi"/>
          <w:sz w:val="22"/>
          <w:szCs w:val="22"/>
        </w:rPr>
      </w:pPr>
      <w:r w:rsidRPr="00BE3DF9">
        <w:rPr>
          <w:rFonts w:cstheme="minorHAnsi"/>
          <w:sz w:val="22"/>
          <w:szCs w:val="22"/>
        </w:rPr>
        <w:t>To facilitate the evaluation, the applicant should tabulate information corresponding to each of the above product characteristics for the radiopharmaceutical proposed for listing against corresponding information for the comparator product.</w:t>
      </w:r>
    </w:p>
    <w:p w14:paraId="24573AD9" w14:textId="62B70615" w:rsidR="00BE3DF9" w:rsidRPr="00BE3DF9" w:rsidRDefault="00BE3DF9" w:rsidP="00BE3DF9">
      <w:pPr>
        <w:spacing w:after="240"/>
        <w:rPr>
          <w:rFonts w:cstheme="minorHAnsi"/>
          <w:sz w:val="22"/>
          <w:szCs w:val="22"/>
        </w:rPr>
      </w:pPr>
      <w:r w:rsidRPr="00BE3DF9">
        <w:rPr>
          <w:rFonts w:cstheme="minorHAnsi"/>
          <w:sz w:val="22"/>
          <w:szCs w:val="22"/>
        </w:rPr>
        <w:t xml:space="preserve">Applicants are also required to provide supplementary information as detailed in </w:t>
      </w:r>
      <w:r w:rsidRPr="00BE3DF9">
        <w:rPr>
          <w:rFonts w:cstheme="minorHAnsi"/>
          <w:b/>
          <w:bCs/>
          <w:sz w:val="22"/>
          <w:szCs w:val="22"/>
        </w:rPr>
        <w:t xml:space="preserve">Attachment A </w:t>
      </w:r>
      <w:r w:rsidRPr="00BE3DF9">
        <w:rPr>
          <w:rFonts w:cstheme="minorHAnsi"/>
          <w:sz w:val="22"/>
          <w:szCs w:val="22"/>
        </w:rPr>
        <w:t xml:space="preserve">regarding </w:t>
      </w:r>
      <w:r w:rsidRPr="00BE3DF9">
        <w:rPr>
          <w:rFonts w:cstheme="minorHAnsi"/>
          <w:bCs/>
          <w:sz w:val="22"/>
          <w:szCs w:val="22"/>
          <w:lang w:val="en-US"/>
        </w:rPr>
        <w:t xml:space="preserve">the </w:t>
      </w:r>
      <w:r w:rsidRPr="00BE3DF9">
        <w:rPr>
          <w:rFonts w:cstheme="minorHAnsi"/>
          <w:sz w:val="22"/>
          <w:szCs w:val="22"/>
        </w:rPr>
        <w:t>production and quality control of the proposed radiopharmaceutical(s).</w:t>
      </w:r>
    </w:p>
    <w:p w14:paraId="41795F10" w14:textId="77777777" w:rsidR="00BE3DF9" w:rsidRPr="00BE3DF9" w:rsidRDefault="00BE3DF9" w:rsidP="00BE3DF9">
      <w:pPr>
        <w:spacing w:after="240"/>
        <w:rPr>
          <w:rFonts w:cstheme="minorHAnsi"/>
          <w:sz w:val="22"/>
          <w:szCs w:val="22"/>
        </w:rPr>
      </w:pPr>
      <w:r w:rsidRPr="00BE3DF9">
        <w:rPr>
          <w:rFonts w:cstheme="minorHAnsi"/>
          <w:sz w:val="22"/>
          <w:szCs w:val="22"/>
        </w:rPr>
        <w:t>This information will be used to determine if the preclinical aspects (composition, pharmacokinetics, dosimetry, etc) of the proposed radiopharmaceutical have been sufficiently well-characterised and that the proposed radiopharmaceutical is produced to a satisfactory quality standard. Once these elements have been established, the assessment of a claim of clinical noninferiority of the proposed product against the comparator product (for diagnostic radiopharmaceuticals: comparative test accuracy; and for therapeutic radiopharmaceuticals: comparative extent of therapeutic effect) can then proceed according to the MSAC Guidelines.</w:t>
      </w:r>
    </w:p>
    <w:p w14:paraId="180DCB9E" w14:textId="77777777" w:rsidR="00BE3DF9" w:rsidRPr="00BE3DF9" w:rsidRDefault="00BE3DF9" w:rsidP="00692B30">
      <w:pPr>
        <w:pStyle w:val="Heading3"/>
        <w:rPr>
          <w:color w:val="00B0F0"/>
        </w:rPr>
      </w:pPr>
      <w:r w:rsidRPr="00BE3DF9">
        <w:t>2. Clinical aspects</w:t>
      </w:r>
    </w:p>
    <w:p w14:paraId="64492F4F" w14:textId="77777777" w:rsidR="00BE3DF9" w:rsidRPr="00BE3DF9" w:rsidRDefault="00BE3DF9" w:rsidP="00BE3DF9">
      <w:pPr>
        <w:spacing w:after="240"/>
        <w:rPr>
          <w:rFonts w:cstheme="minorHAnsi"/>
          <w:sz w:val="22"/>
          <w:szCs w:val="22"/>
        </w:rPr>
      </w:pPr>
      <w:r w:rsidRPr="00BE3DF9">
        <w:rPr>
          <w:rFonts w:cstheme="minorHAnsi"/>
          <w:sz w:val="22"/>
          <w:szCs w:val="22"/>
        </w:rPr>
        <w:t xml:space="preserve">The relevant sections of the </w:t>
      </w:r>
      <w:hyperlink r:id="rId12" w:history="1">
        <w:r w:rsidRPr="00BE3DF9">
          <w:rPr>
            <w:rStyle w:val="Hyperlink"/>
            <w:rFonts w:cstheme="minorHAnsi"/>
            <w:sz w:val="22"/>
            <w:szCs w:val="22"/>
          </w:rPr>
          <w:t>MSAC Guidelines</w:t>
        </w:r>
      </w:hyperlink>
      <w:r w:rsidRPr="00BE3DF9">
        <w:rPr>
          <w:rFonts w:cstheme="minorHAnsi"/>
          <w:sz w:val="22"/>
          <w:szCs w:val="22"/>
        </w:rPr>
        <w:t xml:space="preserve"> for the assessment of a clinical claim of noninferiority of the proposed radiopharmaceutical against the comparator product are as follows: </w:t>
      </w:r>
    </w:p>
    <w:p w14:paraId="66A8CB67" w14:textId="77777777" w:rsidR="00BE3DF9" w:rsidRPr="00BE3DF9" w:rsidRDefault="00BE3DF9" w:rsidP="00BE3DF9">
      <w:pPr>
        <w:pStyle w:val="ListParagraph"/>
        <w:numPr>
          <w:ilvl w:val="0"/>
          <w:numId w:val="2"/>
        </w:numPr>
        <w:spacing w:after="240"/>
        <w:rPr>
          <w:rFonts w:cstheme="minorHAnsi"/>
          <w:sz w:val="22"/>
          <w:szCs w:val="22"/>
        </w:rPr>
      </w:pPr>
      <w:r w:rsidRPr="00BE3DF9">
        <w:rPr>
          <w:rFonts w:cstheme="minorHAnsi"/>
          <w:i/>
          <w:iCs/>
          <w:sz w:val="22"/>
          <w:szCs w:val="22"/>
        </w:rPr>
        <w:t xml:space="preserve">MSAC Technical Guidance (TG) 11: Linked evidence – test accuracy for “comparative test accuracy” </w:t>
      </w:r>
      <w:r w:rsidRPr="00BE3DF9">
        <w:rPr>
          <w:rFonts w:cstheme="minorHAnsi"/>
          <w:sz w:val="22"/>
          <w:szCs w:val="22"/>
        </w:rPr>
        <w:t xml:space="preserve">for </w:t>
      </w:r>
      <w:r w:rsidRPr="00BE3DF9">
        <w:rPr>
          <w:rFonts w:cstheme="minorHAnsi"/>
          <w:b/>
          <w:bCs/>
          <w:sz w:val="22"/>
          <w:szCs w:val="22"/>
        </w:rPr>
        <w:t xml:space="preserve">diagnostic radiopharmaceuticals </w:t>
      </w:r>
      <w:r w:rsidRPr="00BE3DF9">
        <w:rPr>
          <w:rFonts w:cstheme="minorHAnsi"/>
          <w:sz w:val="22"/>
          <w:szCs w:val="22"/>
        </w:rPr>
        <w:t xml:space="preserve">and </w:t>
      </w:r>
    </w:p>
    <w:p w14:paraId="74902939" w14:textId="77777777" w:rsidR="00BE3DF9" w:rsidRPr="00BE3DF9" w:rsidRDefault="00BE3DF9" w:rsidP="00BE3DF9">
      <w:pPr>
        <w:pStyle w:val="ListParagraph"/>
        <w:numPr>
          <w:ilvl w:val="0"/>
          <w:numId w:val="2"/>
        </w:numPr>
        <w:spacing w:after="240"/>
        <w:rPr>
          <w:rFonts w:cstheme="minorHAnsi"/>
          <w:i/>
          <w:iCs/>
          <w:sz w:val="22"/>
          <w:szCs w:val="22"/>
        </w:rPr>
      </w:pPr>
      <w:r w:rsidRPr="00BE3DF9">
        <w:rPr>
          <w:rFonts w:cstheme="minorHAnsi"/>
          <w:i/>
          <w:iCs/>
          <w:sz w:val="22"/>
          <w:szCs w:val="22"/>
        </w:rPr>
        <w:t xml:space="preserve">MSAC TG 6: Effectiveness of therapeutic technologies and TG 7: Safety of therapeutic technologies for “comparative extent of therapeutic effect (both safety and effectiveness)” </w:t>
      </w:r>
      <w:r w:rsidRPr="00BE3DF9">
        <w:rPr>
          <w:rFonts w:cstheme="minorHAnsi"/>
          <w:sz w:val="22"/>
          <w:szCs w:val="22"/>
        </w:rPr>
        <w:t xml:space="preserve">for </w:t>
      </w:r>
      <w:r w:rsidRPr="00BE3DF9">
        <w:rPr>
          <w:rFonts w:cstheme="minorHAnsi"/>
          <w:b/>
          <w:bCs/>
          <w:sz w:val="22"/>
          <w:szCs w:val="22"/>
        </w:rPr>
        <w:t>therapeutic radiopharmaceuticals</w:t>
      </w:r>
      <w:r w:rsidRPr="00BE3DF9">
        <w:rPr>
          <w:rFonts w:cstheme="minorHAnsi"/>
          <w:sz w:val="22"/>
          <w:szCs w:val="22"/>
        </w:rPr>
        <w:t>.</w:t>
      </w:r>
    </w:p>
    <w:p w14:paraId="598A64BE" w14:textId="77777777" w:rsidR="00BE3DF9" w:rsidRPr="00BE3DF9" w:rsidRDefault="00BE3DF9" w:rsidP="00BE3DF9">
      <w:pPr>
        <w:rPr>
          <w:sz w:val="22"/>
          <w:szCs w:val="22"/>
        </w:rPr>
      </w:pPr>
      <w:r w:rsidRPr="00BE3DF9">
        <w:rPr>
          <w:sz w:val="22"/>
          <w:szCs w:val="22"/>
        </w:rPr>
        <w:br w:type="page"/>
      </w:r>
    </w:p>
    <w:p w14:paraId="2D47C2BD" w14:textId="4BD1AAB1" w:rsidR="00BE3DF9" w:rsidRPr="00E34BCC" w:rsidRDefault="00BE3DF9" w:rsidP="00E34BCC">
      <w:pPr>
        <w:pStyle w:val="Heading1"/>
      </w:pPr>
      <w:r w:rsidRPr="00E34BCC">
        <w:lastRenderedPageBreak/>
        <w:t>Attachment A: Radiopharmaceutical application checklist</w:t>
      </w:r>
      <w:r w:rsidR="009E4F0E" w:rsidRPr="00E34BCC">
        <w:t xml:space="preserve"> for Radiopharmaceuticals not registered on the Australian register of therapeutic goods (artg)</w:t>
      </w:r>
    </w:p>
    <w:p w14:paraId="230AF4CD" w14:textId="74AA8CA2" w:rsidR="00BE3DF9" w:rsidRPr="00F26BF9" w:rsidRDefault="00F26BF9" w:rsidP="00F26BF9">
      <w:pPr>
        <w:pStyle w:val="Heading2"/>
        <w:rPr>
          <w:u w:val="none"/>
        </w:rPr>
      </w:pPr>
      <w:r w:rsidRPr="00F26BF9">
        <w:rPr>
          <w:u w:val="none"/>
        </w:rPr>
        <w:t xml:space="preserve">A) </w:t>
      </w:r>
      <w:r w:rsidR="00BE3DF9" w:rsidRPr="00F26BF9">
        <w:rPr>
          <w:u w:val="none"/>
        </w:rPr>
        <w:t>Is the proposed RP produced under a current Therapeutic Goods Administration (TGA) manufacturing licence?</w:t>
      </w:r>
    </w:p>
    <w:p w14:paraId="765E1D48" w14:textId="413C663E" w:rsidR="00BE3DF9" w:rsidRPr="00C470E3" w:rsidRDefault="00BE3DF9" w:rsidP="00BE3DF9">
      <w:pPr>
        <w:rPr>
          <w:rFonts w:cs="Calibri"/>
          <w:i/>
          <w:iCs/>
          <w:color w:val="FF0000"/>
          <w:sz w:val="22"/>
          <w:szCs w:val="22"/>
        </w:rPr>
      </w:pPr>
      <w:r w:rsidRPr="00C470E3">
        <w:rPr>
          <w:rFonts w:ascii="Segoe UI Symbol" w:eastAsia="MS Gothic" w:hAnsi="Segoe UI Symbol" w:cs="Segoe UI Symbol"/>
          <w:sz w:val="22"/>
          <w:szCs w:val="22"/>
        </w:rPr>
        <w:t>☐</w:t>
      </w:r>
      <w:r w:rsidRPr="00C470E3">
        <w:rPr>
          <w:rFonts w:cs="Calibri"/>
          <w:sz w:val="22"/>
          <w:szCs w:val="22"/>
        </w:rPr>
        <w:t xml:space="preserve"> YES:</w:t>
      </w:r>
      <w:r w:rsidRPr="00C470E3">
        <w:rPr>
          <w:rFonts w:cs="Calibri"/>
          <w:sz w:val="22"/>
          <w:szCs w:val="22"/>
        </w:rPr>
        <w:tab/>
      </w:r>
      <w:r w:rsidRPr="00C470E3">
        <w:rPr>
          <w:rFonts w:cs="Calibri"/>
          <w:i/>
          <w:iCs/>
          <w:color w:val="FF0000"/>
          <w:sz w:val="22"/>
          <w:szCs w:val="22"/>
        </w:rPr>
        <w:t>Please provide TGA licence details.</w:t>
      </w:r>
    </w:p>
    <w:p w14:paraId="139657EF" w14:textId="77777777" w:rsidR="00BE3DF9" w:rsidRPr="00C470E3" w:rsidRDefault="00BE3DF9" w:rsidP="00BE3DF9">
      <w:pPr>
        <w:rPr>
          <w:rFonts w:cs="Calibri"/>
          <w:sz w:val="22"/>
          <w:szCs w:val="22"/>
        </w:rPr>
      </w:pPr>
      <w:r w:rsidRPr="00C470E3">
        <w:rPr>
          <w:rFonts w:ascii="Segoe UI Symbol" w:eastAsia="MS Gothic" w:hAnsi="Segoe UI Symbol" w:cs="Segoe UI Symbol"/>
          <w:sz w:val="22"/>
          <w:szCs w:val="22"/>
        </w:rPr>
        <w:t>☐</w:t>
      </w:r>
      <w:r w:rsidRPr="00C470E3">
        <w:rPr>
          <w:rFonts w:cs="Calibri"/>
          <w:sz w:val="22"/>
          <w:szCs w:val="22"/>
        </w:rPr>
        <w:t xml:space="preserve"> NO:</w:t>
      </w:r>
      <w:r w:rsidRPr="00C470E3">
        <w:rPr>
          <w:rFonts w:cs="Calibri"/>
          <w:sz w:val="22"/>
          <w:szCs w:val="22"/>
        </w:rPr>
        <w:tab/>
      </w:r>
      <w:r w:rsidRPr="00C470E3">
        <w:rPr>
          <w:rFonts w:cs="Calibri"/>
          <w:i/>
          <w:iCs/>
          <w:color w:val="FF0000"/>
          <w:sz w:val="22"/>
          <w:szCs w:val="22"/>
        </w:rPr>
        <w:t>Please complete Sections B &amp; C.</w:t>
      </w:r>
    </w:p>
    <w:p w14:paraId="773FD8C3" w14:textId="77777777" w:rsidR="00BE3DF9" w:rsidRPr="00F26BF9" w:rsidRDefault="00BE3DF9" w:rsidP="00F26BF9">
      <w:pPr>
        <w:pStyle w:val="Heading2"/>
        <w:rPr>
          <w:u w:val="none"/>
        </w:rPr>
      </w:pPr>
      <w:r w:rsidRPr="00F26BF9">
        <w:rPr>
          <w:u w:val="none"/>
        </w:rPr>
        <w:t>B) Standard Requirements:</w:t>
      </w:r>
    </w:p>
    <w:p w14:paraId="676BB264"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 Standard Operating Procedure (SOP) for material management, including control and checks on all raw materials (chemicals or gas).</w:t>
      </w:r>
    </w:p>
    <w:p w14:paraId="29A7826B" w14:textId="452B2194"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Pr="009E4F0E">
        <w:rPr>
          <w:rFonts w:cstheme="minorHAnsi"/>
          <w:i/>
          <w:iCs/>
          <w:color w:val="FF0000"/>
          <w:sz w:val="22"/>
          <w:szCs w:val="22"/>
        </w:rPr>
        <w:t>procedure</w:t>
      </w:r>
      <w:r w:rsidR="009E4F0E" w:rsidRPr="009E4F0E">
        <w:rPr>
          <w:rFonts w:cstheme="minorHAnsi"/>
          <w:i/>
          <w:iCs/>
          <w:color w:val="FF0000"/>
          <w:sz w:val="22"/>
          <w:szCs w:val="22"/>
        </w:rPr>
        <w:t xml:space="preserve"> </w:t>
      </w:r>
      <w:r w:rsidR="009E4F0E" w:rsidRPr="00E24FFB">
        <w:rPr>
          <w:rStyle w:val="cf01"/>
          <w:rFonts w:asciiTheme="minorHAnsi" w:hAnsiTheme="minorHAnsi" w:cstheme="minorHAnsi"/>
          <w:i/>
          <w:iCs/>
          <w:color w:val="FF0000"/>
          <w:sz w:val="22"/>
          <w:szCs w:val="22"/>
        </w:rPr>
        <w:t>sample or equivalent guiding document</w:t>
      </w:r>
      <w:r w:rsidRPr="009E4F0E">
        <w:rPr>
          <w:rFonts w:cstheme="minorHAnsi"/>
          <w:i/>
          <w:iCs/>
          <w:color w:val="FF0000"/>
          <w:sz w:val="22"/>
          <w:szCs w:val="22"/>
        </w:rPr>
        <w:t>.</w:t>
      </w:r>
    </w:p>
    <w:p w14:paraId="1A42FF6A"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174D565C" w14:textId="284984A8"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 batch master file specifies a label that includes pharmacopoeia name, activity, reference and expiry time, instructions for storage, and precautions. Copies of labels are retained and the total number of labels is reconciled before final quality control (QC) release of batch.</w:t>
      </w:r>
    </w:p>
    <w:p w14:paraId="0CF6BA87" w14:textId="22B4086E"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p>
    <w:p w14:paraId="705E7BDF"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73C30801" w14:textId="77777777" w:rsidR="00BE3DF9" w:rsidRPr="00CD7451" w:rsidRDefault="00BE3DF9" w:rsidP="00BE3DF9">
      <w:pPr>
        <w:pStyle w:val="ListParagraph"/>
        <w:numPr>
          <w:ilvl w:val="0"/>
          <w:numId w:val="7"/>
        </w:numPr>
        <w:ind w:left="426" w:hanging="426"/>
        <w:rPr>
          <w:rStyle w:val="cf01"/>
          <w:rFonts w:cstheme="minorHAnsi"/>
          <w:sz w:val="22"/>
          <w:szCs w:val="22"/>
        </w:rPr>
      </w:pPr>
      <w:r w:rsidRPr="00CD7451">
        <w:rPr>
          <w:rStyle w:val="cf01"/>
          <w:rFonts w:cstheme="minorHAnsi"/>
          <w:sz w:val="22"/>
          <w:szCs w:val="22"/>
        </w:rPr>
        <w:t>There are SOPs for the various steps of the production process, based on best practice or relevant literature methods.</w:t>
      </w:r>
    </w:p>
    <w:p w14:paraId="1C170115" w14:textId="6FB41962"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399139B4"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135F7547"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are SOPs for QC methodology and testing, based on pharmacopeia or equivalent validated methods.</w:t>
      </w:r>
    </w:p>
    <w:p w14:paraId="5022D1D3" w14:textId="6B3EB1FF"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62D86BDC"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23AEB974" w14:textId="5F3F64F8" w:rsidR="00BE3DF9" w:rsidRPr="005D3FEC" w:rsidRDefault="00BE3DF9" w:rsidP="00BE3DF9">
      <w:pPr>
        <w:pStyle w:val="ListParagraph"/>
        <w:numPr>
          <w:ilvl w:val="0"/>
          <w:numId w:val="7"/>
        </w:numPr>
        <w:ind w:left="426" w:hanging="426"/>
        <w:rPr>
          <w:rFonts w:cs="Calibri"/>
          <w:sz w:val="22"/>
          <w:szCs w:val="22"/>
        </w:rPr>
      </w:pPr>
      <w:r w:rsidRPr="005D3FEC">
        <w:rPr>
          <w:rFonts w:cs="Calibri"/>
          <w:sz w:val="22"/>
          <w:szCs w:val="22"/>
        </w:rPr>
        <w:t>There is routine microbiological monitoring of the preparation area and the aseptic dispensing station in the radiopharmacy. The quality controller independently performs all required microbiological assessments</w:t>
      </w:r>
      <w:r w:rsidR="008D0C36" w:rsidRPr="005D3FEC">
        <w:rPr>
          <w:rFonts w:cs="Calibri"/>
          <w:sz w:val="22"/>
          <w:szCs w:val="22"/>
        </w:rPr>
        <w:t xml:space="preserve"> (including bioburden monitoring)</w:t>
      </w:r>
      <w:r w:rsidRPr="005D3FEC">
        <w:rPr>
          <w:rFonts w:cs="Calibri"/>
          <w:sz w:val="22"/>
          <w:szCs w:val="22"/>
        </w:rPr>
        <w:t>, filter integrity tests, endotoxin tests,</w:t>
      </w:r>
      <w:r w:rsidR="008D0C36" w:rsidRPr="005D3FEC">
        <w:t xml:space="preserve"> </w:t>
      </w:r>
      <w:r w:rsidR="008D0C36" w:rsidRPr="005D3FEC">
        <w:rPr>
          <w:rFonts w:cs="Calibri"/>
          <w:sz w:val="22"/>
          <w:szCs w:val="22"/>
        </w:rPr>
        <w:t>environmental monitoring and controls (including</w:t>
      </w:r>
      <w:r w:rsidRPr="005D3FEC">
        <w:rPr>
          <w:rFonts w:cs="Calibri"/>
          <w:sz w:val="22"/>
          <w:szCs w:val="22"/>
        </w:rPr>
        <w:t xml:space="preserve"> plates controls, end of broth, contact plates</w:t>
      </w:r>
      <w:r w:rsidR="008D0C36" w:rsidRPr="005D3FEC">
        <w:rPr>
          <w:rFonts w:cs="Calibri"/>
          <w:sz w:val="22"/>
          <w:szCs w:val="22"/>
        </w:rPr>
        <w:t>)</w:t>
      </w:r>
      <w:r w:rsidRPr="005D3FEC">
        <w:rPr>
          <w:rFonts w:cs="Calibri"/>
          <w:sz w:val="22"/>
          <w:szCs w:val="22"/>
        </w:rPr>
        <w:t>, sterility testing, other (specify).</w:t>
      </w:r>
    </w:p>
    <w:p w14:paraId="010D6B84" w14:textId="1E115623"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lastRenderedPageBreak/>
        <w:t>☐</w:t>
      </w:r>
      <w:r w:rsidRPr="00CD7451">
        <w:rPr>
          <w:rFonts w:cs="Calibri"/>
          <w:sz w:val="22"/>
          <w:szCs w:val="22"/>
        </w:rPr>
        <w:t xml:space="preserve"> YES</w:t>
      </w:r>
      <w:r>
        <w:rPr>
          <w:rFonts w:cs="Calibri"/>
          <w:sz w:val="22"/>
          <w:szCs w:val="22"/>
        </w:rPr>
        <w:t>.</w:t>
      </w:r>
    </w:p>
    <w:p w14:paraId="7AE2484B"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55FC5EEE"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 tested product recall procedure to ensure radiopharmaceuticals are not administered to patients before receipt of the product release document.</w:t>
      </w:r>
    </w:p>
    <w:p w14:paraId="4DD2B53D" w14:textId="1A22409A"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277FCAC4"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6C92805E"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 timely transmission of a product release document/certificate of analysis to end users and follow</w:t>
      </w:r>
      <w:r w:rsidRPr="00CD7451">
        <w:rPr>
          <w:rFonts w:cs="Calibri"/>
          <w:color w:val="000000"/>
          <w:sz w:val="22"/>
          <w:szCs w:val="22"/>
        </w:rPr>
        <w:noBreakHyphen/>
      </w:r>
      <w:r w:rsidRPr="00CD7451">
        <w:rPr>
          <w:rFonts w:cs="Calibri"/>
          <w:color w:val="211D1E"/>
          <w:sz w:val="22"/>
          <w:szCs w:val="22"/>
        </w:rPr>
        <w:t>up of deficiencies, complaints and feedback.</w:t>
      </w:r>
    </w:p>
    <w:p w14:paraId="4B5374B5" w14:textId="2F151D27"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5BB12695"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3622125F"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an SOP for packing and safe transportation requirements in accordance with ARPANSA guidelines</w:t>
      </w:r>
      <w:r w:rsidRPr="00C470E3">
        <w:rPr>
          <w:rStyle w:val="FootnoteReference"/>
          <w:rFonts w:cs="Calibri"/>
          <w:color w:val="211D1E"/>
          <w:sz w:val="22"/>
          <w:szCs w:val="22"/>
        </w:rPr>
        <w:footnoteReference w:id="3"/>
      </w:r>
      <w:r>
        <w:rPr>
          <w:rFonts w:cs="Calibri"/>
          <w:color w:val="211D1E"/>
          <w:sz w:val="22"/>
          <w:szCs w:val="22"/>
        </w:rPr>
        <w:t>.</w:t>
      </w:r>
    </w:p>
    <w:p w14:paraId="5427A419" w14:textId="580C2667"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0FCF27E7"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193A9413"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are jurisdictional-compliant radioactive</w:t>
      </w:r>
      <w:r w:rsidRPr="00C470E3">
        <w:rPr>
          <w:rStyle w:val="FootnoteReference"/>
          <w:rFonts w:cs="Calibri"/>
          <w:color w:val="211D1E"/>
          <w:sz w:val="22"/>
          <w:szCs w:val="22"/>
        </w:rPr>
        <w:footnoteReference w:id="4"/>
      </w:r>
      <w:r w:rsidRPr="00CD7451">
        <w:rPr>
          <w:rFonts w:cs="Calibri"/>
          <w:color w:val="211D1E"/>
          <w:sz w:val="22"/>
          <w:szCs w:val="22"/>
        </w:rPr>
        <w:t xml:space="preserve"> and hazardous</w:t>
      </w:r>
      <w:r w:rsidRPr="00C470E3">
        <w:rPr>
          <w:rStyle w:val="FootnoteReference"/>
          <w:rFonts w:cs="Calibri"/>
          <w:color w:val="211D1E"/>
          <w:sz w:val="22"/>
          <w:szCs w:val="22"/>
        </w:rPr>
        <w:footnoteReference w:id="5"/>
      </w:r>
      <w:r w:rsidRPr="00CD7451">
        <w:rPr>
          <w:rFonts w:cs="Calibri"/>
          <w:color w:val="211D1E"/>
          <w:sz w:val="22"/>
          <w:szCs w:val="22"/>
        </w:rPr>
        <w:t xml:space="preserve"> waste disposal practices</w:t>
      </w:r>
      <w:r>
        <w:rPr>
          <w:rFonts w:cs="Calibri"/>
          <w:color w:val="211D1E"/>
          <w:sz w:val="22"/>
          <w:szCs w:val="22"/>
        </w:rPr>
        <w:t>.</w:t>
      </w:r>
    </w:p>
    <w:p w14:paraId="774F577E" w14:textId="77777777" w:rsidR="00BE3DF9" w:rsidRPr="00CD7451" w:rsidRDefault="00BE3DF9" w:rsidP="005B5BFA">
      <w:pPr>
        <w:ind w:left="426"/>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i/>
          <w:iCs/>
          <w:color w:val="FF0000"/>
          <w:sz w:val="22"/>
          <w:szCs w:val="22"/>
        </w:rPr>
        <w:t xml:space="preserve"> </w:t>
      </w:r>
    </w:p>
    <w:p w14:paraId="39DC7EA0" w14:textId="77777777" w:rsidR="00BE3DF9" w:rsidRPr="00CD7451" w:rsidRDefault="00BE3DF9" w:rsidP="005B5BFA">
      <w:pPr>
        <w:ind w:left="426"/>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5AF291B8" w14:textId="77777777" w:rsidR="00BE3DF9" w:rsidRDefault="00BE3DF9" w:rsidP="00BE3DF9">
      <w:pPr>
        <w:rPr>
          <w:rFonts w:cs="Calibri"/>
          <w:b/>
          <w:bCs/>
          <w:sz w:val="24"/>
          <w:szCs w:val="24"/>
        </w:rPr>
      </w:pPr>
      <w:r>
        <w:rPr>
          <w:rFonts w:cs="Calibri"/>
          <w:b/>
          <w:bCs/>
          <w:sz w:val="24"/>
          <w:szCs w:val="24"/>
        </w:rPr>
        <w:br w:type="page"/>
      </w:r>
    </w:p>
    <w:p w14:paraId="26CD38A1" w14:textId="77777777" w:rsidR="00BE3DF9" w:rsidRPr="00966A91" w:rsidRDefault="00BE3DF9" w:rsidP="00966A91">
      <w:pPr>
        <w:pStyle w:val="Heading2"/>
        <w:rPr>
          <w:sz w:val="22"/>
          <w:szCs w:val="22"/>
          <w:u w:val="none"/>
        </w:rPr>
      </w:pPr>
      <w:r w:rsidRPr="00966A91">
        <w:rPr>
          <w:u w:val="none"/>
        </w:rPr>
        <w:lastRenderedPageBreak/>
        <w:t>C) Required Quality Control Criteria:</w:t>
      </w:r>
    </w:p>
    <w:tbl>
      <w:tblPr>
        <w:tblStyle w:val="TableGrid"/>
        <w:tblW w:w="10343" w:type="dxa"/>
        <w:tblLook w:val="04A0" w:firstRow="1" w:lastRow="0" w:firstColumn="1" w:lastColumn="0" w:noHBand="0" w:noVBand="1"/>
      </w:tblPr>
      <w:tblGrid>
        <w:gridCol w:w="2689"/>
        <w:gridCol w:w="4819"/>
        <w:gridCol w:w="2835"/>
      </w:tblGrid>
      <w:tr w:rsidR="00BE3DF9" w14:paraId="7010334C" w14:textId="77777777" w:rsidTr="00CD7451">
        <w:tc>
          <w:tcPr>
            <w:tcW w:w="2689" w:type="dxa"/>
          </w:tcPr>
          <w:p w14:paraId="2A024AD6" w14:textId="77777777" w:rsidR="00BE3DF9" w:rsidRPr="00524982" w:rsidRDefault="00BE3DF9" w:rsidP="00CD7451">
            <w:pPr>
              <w:rPr>
                <w:b/>
                <w:bCs/>
                <w:sz w:val="24"/>
                <w:szCs w:val="24"/>
              </w:rPr>
            </w:pPr>
            <w:r w:rsidRPr="00524982">
              <w:rPr>
                <w:b/>
                <w:bCs/>
                <w:sz w:val="24"/>
                <w:szCs w:val="24"/>
              </w:rPr>
              <w:t>Characteristic</w:t>
            </w:r>
          </w:p>
        </w:tc>
        <w:tc>
          <w:tcPr>
            <w:tcW w:w="4819" w:type="dxa"/>
          </w:tcPr>
          <w:p w14:paraId="34FDBF1F" w14:textId="77777777" w:rsidR="00BE3DF9" w:rsidRDefault="00BE3DF9" w:rsidP="00CD7451">
            <w:pPr>
              <w:jc w:val="center"/>
              <w:rPr>
                <w:b/>
                <w:bCs/>
                <w:sz w:val="24"/>
                <w:szCs w:val="24"/>
              </w:rPr>
            </w:pPr>
            <w:r w:rsidRPr="00524982">
              <w:rPr>
                <w:b/>
                <w:bCs/>
                <w:sz w:val="24"/>
                <w:szCs w:val="24"/>
              </w:rPr>
              <w:t>Specification</w:t>
            </w:r>
          </w:p>
          <w:p w14:paraId="0599D7C4" w14:textId="77777777" w:rsidR="00BE3DF9" w:rsidRDefault="00BE3DF9" w:rsidP="00CD7451">
            <w:pPr>
              <w:jc w:val="center"/>
              <w:rPr>
                <w:b/>
                <w:bCs/>
                <w:sz w:val="24"/>
                <w:szCs w:val="24"/>
              </w:rPr>
            </w:pPr>
          </w:p>
          <w:p w14:paraId="79F722F6" w14:textId="77777777" w:rsidR="00BE3DF9" w:rsidRPr="00CD7451" w:rsidRDefault="00BE3DF9" w:rsidP="00CD7451">
            <w:pPr>
              <w:jc w:val="center"/>
              <w:rPr>
                <w:sz w:val="24"/>
                <w:szCs w:val="24"/>
              </w:rPr>
            </w:pPr>
            <w:r w:rsidRPr="00CD7451">
              <w:rPr>
                <w:sz w:val="22"/>
                <w:szCs w:val="22"/>
              </w:rPr>
              <w:t xml:space="preserve">(if </w:t>
            </w:r>
            <w:r w:rsidRPr="00E24FFB">
              <w:rPr>
                <w:i/>
                <w:iCs/>
                <w:sz w:val="22"/>
                <w:szCs w:val="22"/>
              </w:rPr>
              <w:t>not</w:t>
            </w:r>
            <w:r w:rsidRPr="00CD7451">
              <w:rPr>
                <w:sz w:val="22"/>
                <w:szCs w:val="22"/>
              </w:rPr>
              <w:t xml:space="preserve"> tested, please provide justification)</w:t>
            </w:r>
          </w:p>
        </w:tc>
        <w:tc>
          <w:tcPr>
            <w:tcW w:w="2835" w:type="dxa"/>
          </w:tcPr>
          <w:p w14:paraId="19053061" w14:textId="77777777" w:rsidR="00BE3DF9" w:rsidRPr="00524982" w:rsidRDefault="00BE3DF9" w:rsidP="00CD7451">
            <w:pPr>
              <w:rPr>
                <w:b/>
                <w:bCs/>
                <w:sz w:val="24"/>
                <w:szCs w:val="24"/>
              </w:rPr>
            </w:pPr>
            <w:r w:rsidRPr="00524982">
              <w:rPr>
                <w:b/>
                <w:bCs/>
                <w:sz w:val="24"/>
                <w:szCs w:val="24"/>
              </w:rPr>
              <w:t>Methodology</w:t>
            </w:r>
          </w:p>
          <w:p w14:paraId="771DBA33" w14:textId="77777777" w:rsidR="00BE3DF9" w:rsidRDefault="00BE3DF9" w:rsidP="00CD7451">
            <w:pPr>
              <w:rPr>
                <w:sz w:val="22"/>
                <w:szCs w:val="22"/>
              </w:rPr>
            </w:pPr>
          </w:p>
          <w:p w14:paraId="4A7D22E0" w14:textId="77777777" w:rsidR="00BE3DF9" w:rsidRPr="00C470E3" w:rsidRDefault="00BE3DF9" w:rsidP="00CD7451">
            <w:pPr>
              <w:rPr>
                <w:sz w:val="22"/>
                <w:szCs w:val="22"/>
              </w:rPr>
            </w:pPr>
            <w:r w:rsidRPr="00C470E3">
              <w:rPr>
                <w:sz w:val="22"/>
                <w:szCs w:val="22"/>
              </w:rPr>
              <w:t xml:space="preserve">(include reference standard, </w:t>
            </w:r>
          </w:p>
          <w:p w14:paraId="3DAFB807" w14:textId="77777777" w:rsidR="00BE3DF9" w:rsidRPr="00C470E3" w:rsidRDefault="00BE3DF9" w:rsidP="00CD7451">
            <w:pPr>
              <w:rPr>
                <w:sz w:val="22"/>
                <w:szCs w:val="22"/>
              </w:rPr>
            </w:pPr>
            <w:r w:rsidRPr="00C470E3">
              <w:rPr>
                <w:sz w:val="22"/>
                <w:szCs w:val="22"/>
              </w:rPr>
              <w:t>e.g. EP, USP, ICH)</w:t>
            </w:r>
          </w:p>
          <w:p w14:paraId="1933B76B" w14:textId="77777777" w:rsidR="00BE3DF9" w:rsidRPr="00524982" w:rsidRDefault="00BE3DF9" w:rsidP="00CD7451">
            <w:pPr>
              <w:rPr>
                <w:sz w:val="22"/>
                <w:szCs w:val="22"/>
              </w:rPr>
            </w:pPr>
          </w:p>
        </w:tc>
      </w:tr>
      <w:tr w:rsidR="00BE3DF9" w:rsidRPr="00CD7451" w14:paraId="76F07173" w14:textId="77777777" w:rsidTr="00CD7451">
        <w:tc>
          <w:tcPr>
            <w:tcW w:w="2689" w:type="dxa"/>
          </w:tcPr>
          <w:p w14:paraId="388CE9FD" w14:textId="77777777" w:rsidR="00BE3DF9" w:rsidRPr="00C470E3" w:rsidRDefault="00BE3DF9" w:rsidP="00CD7451">
            <w:pPr>
              <w:rPr>
                <w:sz w:val="22"/>
                <w:szCs w:val="22"/>
              </w:rPr>
            </w:pPr>
            <w:r w:rsidRPr="00C470E3">
              <w:rPr>
                <w:sz w:val="22"/>
                <w:szCs w:val="22"/>
              </w:rPr>
              <w:t>Appearance</w:t>
            </w:r>
          </w:p>
          <w:p w14:paraId="10F960A9" w14:textId="77777777" w:rsidR="00BE3DF9" w:rsidRPr="00C470E3" w:rsidRDefault="00BE3DF9" w:rsidP="00CD7451">
            <w:pPr>
              <w:rPr>
                <w:sz w:val="22"/>
                <w:szCs w:val="22"/>
              </w:rPr>
            </w:pPr>
          </w:p>
        </w:tc>
        <w:tc>
          <w:tcPr>
            <w:tcW w:w="4819" w:type="dxa"/>
          </w:tcPr>
          <w:p w14:paraId="49FDED64" w14:textId="77777777" w:rsidR="00BE3DF9" w:rsidRPr="00C470E3" w:rsidRDefault="00BE3DF9" w:rsidP="00CD7451">
            <w:pPr>
              <w:rPr>
                <w:sz w:val="22"/>
                <w:szCs w:val="22"/>
              </w:rPr>
            </w:pPr>
          </w:p>
        </w:tc>
        <w:tc>
          <w:tcPr>
            <w:tcW w:w="2835" w:type="dxa"/>
          </w:tcPr>
          <w:p w14:paraId="2D88DF6F" w14:textId="77777777" w:rsidR="00BE3DF9" w:rsidRPr="00C470E3" w:rsidRDefault="00BE3DF9" w:rsidP="00CD7451">
            <w:pPr>
              <w:rPr>
                <w:sz w:val="22"/>
                <w:szCs w:val="22"/>
              </w:rPr>
            </w:pPr>
          </w:p>
        </w:tc>
      </w:tr>
      <w:tr w:rsidR="00BE3DF9" w:rsidRPr="00CD7451" w14:paraId="73DC3F78" w14:textId="77777777" w:rsidTr="00CD7451">
        <w:tc>
          <w:tcPr>
            <w:tcW w:w="2689" w:type="dxa"/>
          </w:tcPr>
          <w:p w14:paraId="013D379A" w14:textId="77777777" w:rsidR="00BE3DF9" w:rsidRPr="00C470E3" w:rsidRDefault="00BE3DF9" w:rsidP="00CD7451">
            <w:pPr>
              <w:rPr>
                <w:sz w:val="22"/>
                <w:szCs w:val="22"/>
              </w:rPr>
            </w:pPr>
            <w:r w:rsidRPr="00C470E3">
              <w:rPr>
                <w:sz w:val="22"/>
                <w:szCs w:val="22"/>
              </w:rPr>
              <w:t>pH</w:t>
            </w:r>
          </w:p>
          <w:p w14:paraId="248AB4F0" w14:textId="77777777" w:rsidR="00BE3DF9" w:rsidRPr="00C470E3" w:rsidRDefault="00BE3DF9" w:rsidP="00CD7451">
            <w:pPr>
              <w:rPr>
                <w:sz w:val="22"/>
                <w:szCs w:val="22"/>
              </w:rPr>
            </w:pPr>
          </w:p>
        </w:tc>
        <w:tc>
          <w:tcPr>
            <w:tcW w:w="4819" w:type="dxa"/>
          </w:tcPr>
          <w:p w14:paraId="784C122F" w14:textId="77777777" w:rsidR="00BE3DF9" w:rsidRPr="00C470E3" w:rsidRDefault="00BE3DF9" w:rsidP="00CD7451">
            <w:pPr>
              <w:rPr>
                <w:sz w:val="22"/>
                <w:szCs w:val="22"/>
              </w:rPr>
            </w:pPr>
          </w:p>
        </w:tc>
        <w:tc>
          <w:tcPr>
            <w:tcW w:w="2835" w:type="dxa"/>
          </w:tcPr>
          <w:p w14:paraId="196286DB" w14:textId="77777777" w:rsidR="00BE3DF9" w:rsidRPr="00C470E3" w:rsidRDefault="00BE3DF9" w:rsidP="00CD7451">
            <w:pPr>
              <w:rPr>
                <w:sz w:val="22"/>
                <w:szCs w:val="22"/>
              </w:rPr>
            </w:pPr>
          </w:p>
        </w:tc>
      </w:tr>
      <w:tr w:rsidR="00BE3DF9" w:rsidRPr="00CD7451" w14:paraId="411F32CE" w14:textId="77777777" w:rsidTr="00CD7451">
        <w:tc>
          <w:tcPr>
            <w:tcW w:w="2689" w:type="dxa"/>
          </w:tcPr>
          <w:p w14:paraId="637BDC79" w14:textId="77777777" w:rsidR="00BE3DF9" w:rsidRPr="00C470E3" w:rsidRDefault="00BE3DF9" w:rsidP="00CD7451">
            <w:pPr>
              <w:rPr>
                <w:sz w:val="22"/>
                <w:szCs w:val="22"/>
              </w:rPr>
            </w:pPr>
            <w:r w:rsidRPr="00C470E3">
              <w:rPr>
                <w:sz w:val="22"/>
                <w:szCs w:val="22"/>
              </w:rPr>
              <w:t>Chemical purity</w:t>
            </w:r>
          </w:p>
          <w:p w14:paraId="21C5EDCB" w14:textId="77777777" w:rsidR="00BE3DF9" w:rsidRPr="00C470E3" w:rsidRDefault="00BE3DF9" w:rsidP="00CD7451">
            <w:pPr>
              <w:rPr>
                <w:sz w:val="22"/>
                <w:szCs w:val="22"/>
              </w:rPr>
            </w:pPr>
          </w:p>
        </w:tc>
        <w:tc>
          <w:tcPr>
            <w:tcW w:w="4819" w:type="dxa"/>
          </w:tcPr>
          <w:p w14:paraId="4140446F" w14:textId="77777777" w:rsidR="00BE3DF9" w:rsidRPr="00C470E3" w:rsidRDefault="00BE3DF9" w:rsidP="00CD7451">
            <w:pPr>
              <w:rPr>
                <w:sz w:val="22"/>
                <w:szCs w:val="22"/>
              </w:rPr>
            </w:pPr>
          </w:p>
        </w:tc>
        <w:tc>
          <w:tcPr>
            <w:tcW w:w="2835" w:type="dxa"/>
          </w:tcPr>
          <w:p w14:paraId="598E3F4C" w14:textId="77777777" w:rsidR="00BE3DF9" w:rsidRPr="00C470E3" w:rsidRDefault="00BE3DF9" w:rsidP="00CD7451">
            <w:pPr>
              <w:rPr>
                <w:sz w:val="22"/>
                <w:szCs w:val="22"/>
              </w:rPr>
            </w:pPr>
          </w:p>
        </w:tc>
      </w:tr>
      <w:tr w:rsidR="00BE3DF9" w:rsidRPr="00CD7451" w14:paraId="0E0C5B6C" w14:textId="77777777" w:rsidTr="00CD7451">
        <w:tc>
          <w:tcPr>
            <w:tcW w:w="2689" w:type="dxa"/>
          </w:tcPr>
          <w:p w14:paraId="64ECEDC3" w14:textId="77777777" w:rsidR="00BE3DF9" w:rsidRPr="00C470E3" w:rsidRDefault="00BE3DF9" w:rsidP="00CD7451">
            <w:pPr>
              <w:rPr>
                <w:sz w:val="22"/>
                <w:szCs w:val="22"/>
              </w:rPr>
            </w:pPr>
            <w:r w:rsidRPr="00C470E3">
              <w:rPr>
                <w:sz w:val="22"/>
                <w:szCs w:val="22"/>
              </w:rPr>
              <w:t>Impurities</w:t>
            </w:r>
          </w:p>
          <w:p w14:paraId="706A4560" w14:textId="77777777" w:rsidR="00BE3DF9" w:rsidRPr="00C470E3" w:rsidRDefault="00BE3DF9" w:rsidP="00CD7451">
            <w:pPr>
              <w:rPr>
                <w:sz w:val="22"/>
                <w:szCs w:val="22"/>
              </w:rPr>
            </w:pPr>
          </w:p>
        </w:tc>
        <w:tc>
          <w:tcPr>
            <w:tcW w:w="4819" w:type="dxa"/>
          </w:tcPr>
          <w:p w14:paraId="37F47786" w14:textId="77777777" w:rsidR="00BE3DF9" w:rsidRPr="00C470E3" w:rsidRDefault="00BE3DF9" w:rsidP="00CD7451">
            <w:pPr>
              <w:rPr>
                <w:sz w:val="22"/>
                <w:szCs w:val="22"/>
              </w:rPr>
            </w:pPr>
          </w:p>
        </w:tc>
        <w:tc>
          <w:tcPr>
            <w:tcW w:w="2835" w:type="dxa"/>
          </w:tcPr>
          <w:p w14:paraId="389A2F10" w14:textId="77777777" w:rsidR="00BE3DF9" w:rsidRPr="00C470E3" w:rsidRDefault="00BE3DF9" w:rsidP="00CD7451">
            <w:pPr>
              <w:rPr>
                <w:sz w:val="22"/>
                <w:szCs w:val="22"/>
              </w:rPr>
            </w:pPr>
          </w:p>
        </w:tc>
      </w:tr>
      <w:tr w:rsidR="00BE3DF9" w:rsidRPr="00CD7451" w14:paraId="16B5B1AB" w14:textId="77777777" w:rsidTr="00CD7451">
        <w:tc>
          <w:tcPr>
            <w:tcW w:w="2689" w:type="dxa"/>
          </w:tcPr>
          <w:p w14:paraId="0B1BF336" w14:textId="77777777" w:rsidR="00BE3DF9" w:rsidRPr="00C470E3" w:rsidRDefault="00BE3DF9" w:rsidP="00CD7451">
            <w:pPr>
              <w:rPr>
                <w:sz w:val="22"/>
                <w:szCs w:val="22"/>
              </w:rPr>
            </w:pPr>
            <w:r w:rsidRPr="00C470E3">
              <w:rPr>
                <w:sz w:val="22"/>
                <w:szCs w:val="22"/>
              </w:rPr>
              <w:t>Molar activity</w:t>
            </w:r>
          </w:p>
          <w:p w14:paraId="4A4E2234" w14:textId="77777777" w:rsidR="00BE3DF9" w:rsidRPr="00C470E3" w:rsidRDefault="00BE3DF9" w:rsidP="00CD7451">
            <w:pPr>
              <w:rPr>
                <w:sz w:val="22"/>
                <w:szCs w:val="22"/>
              </w:rPr>
            </w:pPr>
          </w:p>
        </w:tc>
        <w:tc>
          <w:tcPr>
            <w:tcW w:w="4819" w:type="dxa"/>
          </w:tcPr>
          <w:p w14:paraId="3282F896" w14:textId="77777777" w:rsidR="00BE3DF9" w:rsidRPr="00C470E3" w:rsidRDefault="00BE3DF9" w:rsidP="00CD7451">
            <w:pPr>
              <w:rPr>
                <w:sz w:val="22"/>
                <w:szCs w:val="22"/>
              </w:rPr>
            </w:pPr>
          </w:p>
        </w:tc>
        <w:tc>
          <w:tcPr>
            <w:tcW w:w="2835" w:type="dxa"/>
          </w:tcPr>
          <w:p w14:paraId="65876835" w14:textId="77777777" w:rsidR="00BE3DF9" w:rsidRPr="00C470E3" w:rsidRDefault="00BE3DF9" w:rsidP="00CD7451">
            <w:pPr>
              <w:rPr>
                <w:sz w:val="22"/>
                <w:szCs w:val="22"/>
              </w:rPr>
            </w:pPr>
          </w:p>
        </w:tc>
      </w:tr>
      <w:tr w:rsidR="00BE3DF9" w:rsidRPr="00CD7451" w14:paraId="30C5640D" w14:textId="77777777" w:rsidTr="00CD7451">
        <w:tc>
          <w:tcPr>
            <w:tcW w:w="2689" w:type="dxa"/>
          </w:tcPr>
          <w:p w14:paraId="536D9CA0" w14:textId="77777777" w:rsidR="00BE3DF9" w:rsidRPr="00C470E3" w:rsidRDefault="00BE3DF9" w:rsidP="00CD7451">
            <w:pPr>
              <w:rPr>
                <w:sz w:val="22"/>
                <w:szCs w:val="22"/>
              </w:rPr>
            </w:pPr>
            <w:r w:rsidRPr="00C470E3">
              <w:rPr>
                <w:sz w:val="22"/>
                <w:szCs w:val="22"/>
              </w:rPr>
              <w:t>Radionuclidic purity</w:t>
            </w:r>
          </w:p>
          <w:p w14:paraId="2F1E861C" w14:textId="77777777" w:rsidR="00BE3DF9" w:rsidRPr="00C470E3" w:rsidRDefault="00BE3DF9" w:rsidP="00CD7451">
            <w:pPr>
              <w:rPr>
                <w:sz w:val="22"/>
                <w:szCs w:val="22"/>
              </w:rPr>
            </w:pPr>
          </w:p>
        </w:tc>
        <w:tc>
          <w:tcPr>
            <w:tcW w:w="4819" w:type="dxa"/>
          </w:tcPr>
          <w:p w14:paraId="410BADCC" w14:textId="77777777" w:rsidR="00BE3DF9" w:rsidRPr="00C470E3" w:rsidRDefault="00BE3DF9" w:rsidP="00CD7451">
            <w:pPr>
              <w:rPr>
                <w:sz w:val="22"/>
                <w:szCs w:val="22"/>
              </w:rPr>
            </w:pPr>
          </w:p>
        </w:tc>
        <w:tc>
          <w:tcPr>
            <w:tcW w:w="2835" w:type="dxa"/>
          </w:tcPr>
          <w:p w14:paraId="78174BD7" w14:textId="77777777" w:rsidR="00BE3DF9" w:rsidRPr="00C470E3" w:rsidRDefault="00BE3DF9" w:rsidP="00CD7451">
            <w:pPr>
              <w:rPr>
                <w:sz w:val="22"/>
                <w:szCs w:val="22"/>
              </w:rPr>
            </w:pPr>
          </w:p>
        </w:tc>
      </w:tr>
      <w:tr w:rsidR="00BE3DF9" w:rsidRPr="00CD7451" w14:paraId="0D13F0ED" w14:textId="77777777" w:rsidTr="00CD7451">
        <w:tc>
          <w:tcPr>
            <w:tcW w:w="2689" w:type="dxa"/>
          </w:tcPr>
          <w:p w14:paraId="1F9C24C3" w14:textId="77777777" w:rsidR="00BE3DF9" w:rsidRPr="00C470E3" w:rsidRDefault="00BE3DF9" w:rsidP="00CD7451">
            <w:pPr>
              <w:rPr>
                <w:sz w:val="22"/>
                <w:szCs w:val="22"/>
              </w:rPr>
            </w:pPr>
            <w:r w:rsidRPr="00C470E3">
              <w:rPr>
                <w:sz w:val="22"/>
                <w:szCs w:val="22"/>
              </w:rPr>
              <w:t>Radiochemical purity</w:t>
            </w:r>
          </w:p>
          <w:p w14:paraId="443AFEBE" w14:textId="77777777" w:rsidR="00BE3DF9" w:rsidRPr="00C470E3" w:rsidRDefault="00BE3DF9" w:rsidP="00CD7451">
            <w:pPr>
              <w:rPr>
                <w:sz w:val="22"/>
                <w:szCs w:val="22"/>
              </w:rPr>
            </w:pPr>
          </w:p>
        </w:tc>
        <w:tc>
          <w:tcPr>
            <w:tcW w:w="4819" w:type="dxa"/>
          </w:tcPr>
          <w:p w14:paraId="264B97D1" w14:textId="77777777" w:rsidR="00BE3DF9" w:rsidRPr="00C470E3" w:rsidRDefault="00BE3DF9" w:rsidP="00CD7451">
            <w:pPr>
              <w:rPr>
                <w:sz w:val="22"/>
                <w:szCs w:val="22"/>
              </w:rPr>
            </w:pPr>
          </w:p>
        </w:tc>
        <w:tc>
          <w:tcPr>
            <w:tcW w:w="2835" w:type="dxa"/>
          </w:tcPr>
          <w:p w14:paraId="3D0BE9C5" w14:textId="77777777" w:rsidR="00BE3DF9" w:rsidRPr="00C470E3" w:rsidRDefault="00BE3DF9" w:rsidP="00CD7451">
            <w:pPr>
              <w:rPr>
                <w:sz w:val="22"/>
                <w:szCs w:val="22"/>
              </w:rPr>
            </w:pPr>
          </w:p>
        </w:tc>
      </w:tr>
      <w:tr w:rsidR="00BE3DF9" w:rsidRPr="00CD7451" w14:paraId="0AF4759D" w14:textId="77777777" w:rsidTr="00CD7451">
        <w:tc>
          <w:tcPr>
            <w:tcW w:w="2689" w:type="dxa"/>
          </w:tcPr>
          <w:p w14:paraId="510E7D14" w14:textId="77777777" w:rsidR="00BE3DF9" w:rsidRPr="00C470E3" w:rsidRDefault="00BE3DF9" w:rsidP="00CD7451">
            <w:pPr>
              <w:rPr>
                <w:sz w:val="22"/>
                <w:szCs w:val="22"/>
              </w:rPr>
            </w:pPr>
            <w:r w:rsidRPr="00C470E3">
              <w:rPr>
                <w:sz w:val="22"/>
                <w:szCs w:val="22"/>
              </w:rPr>
              <w:t>Radioactive concentration</w:t>
            </w:r>
          </w:p>
          <w:p w14:paraId="33E13EF5" w14:textId="77777777" w:rsidR="00BE3DF9" w:rsidRPr="00C470E3" w:rsidRDefault="00BE3DF9" w:rsidP="00CD7451">
            <w:pPr>
              <w:rPr>
                <w:sz w:val="22"/>
                <w:szCs w:val="22"/>
              </w:rPr>
            </w:pPr>
          </w:p>
        </w:tc>
        <w:tc>
          <w:tcPr>
            <w:tcW w:w="4819" w:type="dxa"/>
          </w:tcPr>
          <w:p w14:paraId="63391CE9" w14:textId="77777777" w:rsidR="00BE3DF9" w:rsidRPr="00C470E3" w:rsidRDefault="00BE3DF9" w:rsidP="00CD7451">
            <w:pPr>
              <w:rPr>
                <w:sz w:val="22"/>
                <w:szCs w:val="22"/>
              </w:rPr>
            </w:pPr>
          </w:p>
        </w:tc>
        <w:tc>
          <w:tcPr>
            <w:tcW w:w="2835" w:type="dxa"/>
          </w:tcPr>
          <w:p w14:paraId="211703AB" w14:textId="77777777" w:rsidR="00BE3DF9" w:rsidRPr="00C470E3" w:rsidRDefault="00BE3DF9" w:rsidP="00CD7451">
            <w:pPr>
              <w:rPr>
                <w:sz w:val="22"/>
                <w:szCs w:val="22"/>
              </w:rPr>
            </w:pPr>
          </w:p>
        </w:tc>
      </w:tr>
      <w:tr w:rsidR="00BE3DF9" w:rsidRPr="00CD7451" w14:paraId="5FA16C0B" w14:textId="77777777" w:rsidTr="00CD7451">
        <w:tc>
          <w:tcPr>
            <w:tcW w:w="2689" w:type="dxa"/>
          </w:tcPr>
          <w:p w14:paraId="5F50CE3E" w14:textId="77777777" w:rsidR="00BE3DF9" w:rsidRPr="00C470E3" w:rsidRDefault="00BE3DF9" w:rsidP="00CD7451">
            <w:pPr>
              <w:rPr>
                <w:sz w:val="22"/>
                <w:szCs w:val="22"/>
              </w:rPr>
            </w:pPr>
            <w:r w:rsidRPr="00C470E3">
              <w:rPr>
                <w:sz w:val="22"/>
                <w:szCs w:val="22"/>
              </w:rPr>
              <w:t>Sterility</w:t>
            </w:r>
          </w:p>
          <w:p w14:paraId="3A0501EE" w14:textId="77777777" w:rsidR="00BE3DF9" w:rsidRPr="00C470E3" w:rsidRDefault="00BE3DF9" w:rsidP="00CD7451">
            <w:pPr>
              <w:rPr>
                <w:sz w:val="22"/>
                <w:szCs w:val="22"/>
              </w:rPr>
            </w:pPr>
          </w:p>
        </w:tc>
        <w:tc>
          <w:tcPr>
            <w:tcW w:w="4819" w:type="dxa"/>
          </w:tcPr>
          <w:p w14:paraId="6D27E665" w14:textId="77777777" w:rsidR="00BE3DF9" w:rsidRPr="00C470E3" w:rsidRDefault="00BE3DF9" w:rsidP="00CD7451">
            <w:pPr>
              <w:rPr>
                <w:sz w:val="22"/>
                <w:szCs w:val="22"/>
              </w:rPr>
            </w:pPr>
          </w:p>
        </w:tc>
        <w:tc>
          <w:tcPr>
            <w:tcW w:w="2835" w:type="dxa"/>
          </w:tcPr>
          <w:p w14:paraId="2EBE8FDA" w14:textId="77777777" w:rsidR="00BE3DF9" w:rsidRPr="00C470E3" w:rsidRDefault="00BE3DF9" w:rsidP="00CD7451">
            <w:pPr>
              <w:rPr>
                <w:sz w:val="22"/>
                <w:szCs w:val="22"/>
              </w:rPr>
            </w:pPr>
          </w:p>
        </w:tc>
      </w:tr>
      <w:tr w:rsidR="00BE3DF9" w:rsidRPr="00CD7451" w14:paraId="1932E04F" w14:textId="77777777" w:rsidTr="00CD7451">
        <w:tc>
          <w:tcPr>
            <w:tcW w:w="2689" w:type="dxa"/>
          </w:tcPr>
          <w:p w14:paraId="4EBAD7A2" w14:textId="77777777" w:rsidR="00BE3DF9" w:rsidRPr="00C470E3" w:rsidRDefault="00BE3DF9" w:rsidP="00CD7451">
            <w:pPr>
              <w:rPr>
                <w:sz w:val="22"/>
                <w:szCs w:val="22"/>
              </w:rPr>
            </w:pPr>
            <w:r w:rsidRPr="00C470E3">
              <w:rPr>
                <w:sz w:val="22"/>
                <w:szCs w:val="22"/>
              </w:rPr>
              <w:t>Endotoxin testing</w:t>
            </w:r>
          </w:p>
          <w:p w14:paraId="70EF426E" w14:textId="77777777" w:rsidR="00BE3DF9" w:rsidRPr="00C470E3" w:rsidRDefault="00BE3DF9" w:rsidP="00CD7451">
            <w:pPr>
              <w:rPr>
                <w:sz w:val="22"/>
                <w:szCs w:val="22"/>
              </w:rPr>
            </w:pPr>
          </w:p>
        </w:tc>
        <w:tc>
          <w:tcPr>
            <w:tcW w:w="4819" w:type="dxa"/>
          </w:tcPr>
          <w:p w14:paraId="25D47B56" w14:textId="77777777" w:rsidR="00BE3DF9" w:rsidRPr="00C470E3" w:rsidRDefault="00BE3DF9" w:rsidP="00CD7451">
            <w:pPr>
              <w:rPr>
                <w:sz w:val="22"/>
                <w:szCs w:val="22"/>
              </w:rPr>
            </w:pPr>
          </w:p>
        </w:tc>
        <w:tc>
          <w:tcPr>
            <w:tcW w:w="2835" w:type="dxa"/>
          </w:tcPr>
          <w:p w14:paraId="638C5201" w14:textId="77777777" w:rsidR="00BE3DF9" w:rsidRPr="00C470E3" w:rsidRDefault="00BE3DF9" w:rsidP="00CD7451">
            <w:pPr>
              <w:rPr>
                <w:sz w:val="22"/>
                <w:szCs w:val="22"/>
              </w:rPr>
            </w:pPr>
          </w:p>
        </w:tc>
      </w:tr>
    </w:tbl>
    <w:p w14:paraId="4FD3F869" w14:textId="77777777" w:rsidR="00BE3DF9" w:rsidRPr="00CD7451" w:rsidRDefault="00BE3DF9" w:rsidP="00BE3DF9">
      <w:pPr>
        <w:spacing w:after="0"/>
        <w:rPr>
          <w:sz w:val="22"/>
          <w:szCs w:val="22"/>
        </w:rPr>
      </w:pPr>
    </w:p>
    <w:p w14:paraId="296B1BA4" w14:textId="418D29F7" w:rsidR="00E81164" w:rsidRPr="00AF3FB2" w:rsidRDefault="00BE3DF9" w:rsidP="00AF3FB2">
      <w:pPr>
        <w:spacing w:after="0"/>
        <w:rPr>
          <w:i/>
          <w:iCs/>
          <w:sz w:val="20"/>
          <w:szCs w:val="20"/>
        </w:rPr>
      </w:pPr>
      <w:r>
        <w:rPr>
          <w:i/>
          <w:iCs/>
          <w:sz w:val="20"/>
          <w:szCs w:val="20"/>
        </w:rPr>
        <w:t>EP: European Pharmacopoeia; ICH: International Council for Harmonisation; USP: United States Pharmacopeia</w:t>
      </w:r>
    </w:p>
    <w:sectPr w:rsidR="00E81164" w:rsidRPr="00AF3FB2" w:rsidSect="00BE3DF9">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56D0" w14:textId="77777777" w:rsidR="008C3074" w:rsidRDefault="008C3074" w:rsidP="00BE3DF9">
      <w:pPr>
        <w:spacing w:after="0" w:line="240" w:lineRule="auto"/>
      </w:pPr>
      <w:r>
        <w:separator/>
      </w:r>
    </w:p>
  </w:endnote>
  <w:endnote w:type="continuationSeparator" w:id="0">
    <w:p w14:paraId="6643139F" w14:textId="77777777" w:rsidR="008C3074" w:rsidRDefault="008C3074" w:rsidP="00BE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63705"/>
      <w:docPartObj>
        <w:docPartGallery w:val="Page Numbers (Bottom of Page)"/>
        <w:docPartUnique/>
      </w:docPartObj>
    </w:sdtPr>
    <w:sdtEndPr>
      <w:rPr>
        <w:noProof/>
      </w:rPr>
    </w:sdtEndPr>
    <w:sdtContent>
      <w:p w14:paraId="4DA3F42E" w14:textId="095A5114" w:rsidR="00BE3DF9" w:rsidRDefault="00BE3D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32134B" w14:textId="77777777" w:rsidR="00BE3DF9" w:rsidRDefault="00BE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DC70" w14:textId="77777777" w:rsidR="008C3074" w:rsidRDefault="008C3074" w:rsidP="00BE3DF9">
      <w:pPr>
        <w:spacing w:after="0" w:line="240" w:lineRule="auto"/>
      </w:pPr>
      <w:r>
        <w:separator/>
      </w:r>
    </w:p>
  </w:footnote>
  <w:footnote w:type="continuationSeparator" w:id="0">
    <w:p w14:paraId="5D7337CF" w14:textId="77777777" w:rsidR="008C3074" w:rsidRDefault="008C3074" w:rsidP="00BE3DF9">
      <w:pPr>
        <w:spacing w:after="0" w:line="240" w:lineRule="auto"/>
      </w:pPr>
      <w:r>
        <w:continuationSeparator/>
      </w:r>
    </w:p>
  </w:footnote>
  <w:footnote w:id="1">
    <w:p w14:paraId="447A47F2" w14:textId="77777777" w:rsidR="00BE3DF9" w:rsidRPr="00BE3DF9" w:rsidRDefault="00BE3DF9" w:rsidP="00BE3DF9">
      <w:pPr>
        <w:pStyle w:val="FootnoteText"/>
        <w:rPr>
          <w:rStyle w:val="FootnoteReference"/>
          <w:rFonts w:asciiTheme="minorHAnsi" w:hAnsiTheme="minorHAnsi" w:cstheme="minorHAnsi"/>
        </w:rPr>
      </w:pPr>
      <w:r w:rsidRPr="00BE3DF9">
        <w:rPr>
          <w:rStyle w:val="FootnoteReference"/>
          <w:rFonts w:asciiTheme="minorHAnsi" w:hAnsiTheme="minorHAnsi" w:cstheme="minorHAnsi"/>
        </w:rPr>
        <w:footnoteRef/>
      </w:r>
      <w:r w:rsidRPr="00BE3DF9">
        <w:rPr>
          <w:rFonts w:asciiTheme="minorHAnsi" w:hAnsiTheme="minorHAnsi" w:cstheme="minorHAnsi"/>
        </w:rPr>
        <w:t xml:space="preserve"> Note: The comparator product may or may not be the comparator within the health technology assessment, but will be the comparator from which the evidence base was derived.</w:t>
      </w:r>
    </w:p>
  </w:footnote>
  <w:footnote w:id="2">
    <w:p w14:paraId="443CDADB" w14:textId="43C809C3" w:rsidR="008D0C36" w:rsidRDefault="008D0C36">
      <w:pPr>
        <w:pStyle w:val="FootnoteText"/>
      </w:pPr>
      <w:r>
        <w:rPr>
          <w:rStyle w:val="FootnoteReference"/>
        </w:rPr>
        <w:footnoteRef/>
      </w:r>
      <w:r>
        <w:t xml:space="preserve"> </w:t>
      </w:r>
      <w:hyperlink r:id="rId1" w:history="1">
        <w:r>
          <w:rPr>
            <w:rStyle w:val="Hyperlink"/>
          </w:rPr>
          <w:t>https://www.tga.gov.au/resources/resource/guidance/section-19a-guidance-industry/about-section-19a</w:t>
        </w:r>
      </w:hyperlink>
      <w:r>
        <w:t>).</w:t>
      </w:r>
    </w:p>
  </w:footnote>
  <w:footnote w:id="3">
    <w:p w14:paraId="2226DD97" w14:textId="77777777" w:rsidR="00BE3DF9" w:rsidRDefault="00BE3DF9" w:rsidP="00BE3DF9">
      <w:pPr>
        <w:pStyle w:val="FootnoteText"/>
      </w:pPr>
      <w:r>
        <w:rPr>
          <w:rStyle w:val="FootnoteReference"/>
          <w:rFonts w:eastAsiaTheme="majorEastAsia"/>
        </w:rPr>
        <w:footnoteRef/>
      </w:r>
      <w:r>
        <w:t xml:space="preserve"> </w:t>
      </w:r>
      <w:hyperlink r:id="rId2" w:history="1">
        <w:r>
          <w:rPr>
            <w:rStyle w:val="Hyperlink"/>
            <w:rFonts w:eastAsiaTheme="majorEastAsia"/>
          </w:rPr>
          <w:t>Radiation Protection Series C-2 (Rev. 1) | ARPANSA</w:t>
        </w:r>
      </w:hyperlink>
    </w:p>
  </w:footnote>
  <w:footnote w:id="4">
    <w:p w14:paraId="480FB90E" w14:textId="77777777" w:rsidR="00BE3DF9" w:rsidRDefault="00BE3DF9" w:rsidP="00BE3DF9">
      <w:pPr>
        <w:pStyle w:val="FootnoteText"/>
      </w:pPr>
      <w:r>
        <w:rPr>
          <w:rStyle w:val="FootnoteReference"/>
          <w:rFonts w:eastAsiaTheme="majorEastAsia"/>
        </w:rPr>
        <w:footnoteRef/>
      </w:r>
      <w:r>
        <w:t xml:space="preserve"> </w:t>
      </w:r>
      <w:hyperlink r:id="rId3" w:history="1">
        <w:r>
          <w:rPr>
            <w:rStyle w:val="Hyperlink"/>
            <w:rFonts w:eastAsiaTheme="majorEastAsia"/>
          </w:rPr>
          <w:t>State &amp; territory regulators | ARPANSA</w:t>
        </w:r>
      </w:hyperlink>
    </w:p>
  </w:footnote>
  <w:footnote w:id="5">
    <w:p w14:paraId="1E3B27B4" w14:textId="77777777" w:rsidR="00BE3DF9" w:rsidRDefault="00BE3DF9" w:rsidP="00BE3DF9">
      <w:pPr>
        <w:pStyle w:val="FootnoteText"/>
      </w:pPr>
      <w:r>
        <w:rPr>
          <w:rStyle w:val="FootnoteReference"/>
          <w:rFonts w:eastAsiaTheme="majorEastAsia"/>
        </w:rPr>
        <w:footnoteRef/>
      </w:r>
      <w:r>
        <w:t xml:space="preserve"> </w:t>
      </w:r>
      <w:hyperlink r:id="rId4" w:history="1">
        <w:r>
          <w:rPr>
            <w:rStyle w:val="Hyperlink"/>
            <w:rFonts w:eastAsiaTheme="majorEastAsia"/>
          </w:rPr>
          <w:t>State and territory hazardous waste requirements - DCCEEW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5DE"/>
    <w:multiLevelType w:val="hybridMultilevel"/>
    <w:tmpl w:val="908E3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0517A6"/>
    <w:multiLevelType w:val="hybridMultilevel"/>
    <w:tmpl w:val="772C4BBE"/>
    <w:lvl w:ilvl="0" w:tplc="8A042D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8209A8"/>
    <w:multiLevelType w:val="hybridMultilevel"/>
    <w:tmpl w:val="1A1C1ADC"/>
    <w:lvl w:ilvl="0" w:tplc="6CF0A868">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A74679"/>
    <w:multiLevelType w:val="hybridMultilevel"/>
    <w:tmpl w:val="780A9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9354F8"/>
    <w:multiLevelType w:val="hybridMultilevel"/>
    <w:tmpl w:val="F4340C4E"/>
    <w:lvl w:ilvl="0" w:tplc="0B5ADC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3E38D8"/>
    <w:multiLevelType w:val="hybridMultilevel"/>
    <w:tmpl w:val="795E82EA"/>
    <w:lvl w:ilvl="0" w:tplc="686C9194">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774D0794"/>
    <w:multiLevelType w:val="hybridMultilevel"/>
    <w:tmpl w:val="48CC4DBE"/>
    <w:lvl w:ilvl="0" w:tplc="F230AE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134FC6"/>
    <w:multiLevelType w:val="hybridMultilevel"/>
    <w:tmpl w:val="1D4A0634"/>
    <w:lvl w:ilvl="0" w:tplc="BD0E6D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7689513">
    <w:abstractNumId w:val="0"/>
  </w:num>
  <w:num w:numId="2" w16cid:durableId="488791724">
    <w:abstractNumId w:val="2"/>
  </w:num>
  <w:num w:numId="3" w16cid:durableId="1131435122">
    <w:abstractNumId w:val="1"/>
  </w:num>
  <w:num w:numId="4" w16cid:durableId="1624534639">
    <w:abstractNumId w:val="6"/>
  </w:num>
  <w:num w:numId="5" w16cid:durableId="2124422998">
    <w:abstractNumId w:val="7"/>
  </w:num>
  <w:num w:numId="6" w16cid:durableId="115023686">
    <w:abstractNumId w:val="4"/>
  </w:num>
  <w:num w:numId="7" w16cid:durableId="1672101204">
    <w:abstractNumId w:val="3"/>
  </w:num>
  <w:num w:numId="8" w16cid:durableId="1311401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F9"/>
    <w:rsid w:val="00042458"/>
    <w:rsid w:val="00063F2D"/>
    <w:rsid w:val="000B01CC"/>
    <w:rsid w:val="001535EB"/>
    <w:rsid w:val="0017669B"/>
    <w:rsid w:val="001F1866"/>
    <w:rsid w:val="00225FC5"/>
    <w:rsid w:val="002423BD"/>
    <w:rsid w:val="00311A35"/>
    <w:rsid w:val="00356115"/>
    <w:rsid w:val="00391CA5"/>
    <w:rsid w:val="003F4C47"/>
    <w:rsid w:val="00440834"/>
    <w:rsid w:val="00495C37"/>
    <w:rsid w:val="00530A21"/>
    <w:rsid w:val="005B5BFA"/>
    <w:rsid w:val="005D3FEC"/>
    <w:rsid w:val="0066593A"/>
    <w:rsid w:val="00674132"/>
    <w:rsid w:val="00692B30"/>
    <w:rsid w:val="006E41C5"/>
    <w:rsid w:val="0078623F"/>
    <w:rsid w:val="007B7333"/>
    <w:rsid w:val="007C27BB"/>
    <w:rsid w:val="008839B0"/>
    <w:rsid w:val="008C3074"/>
    <w:rsid w:val="008D0C36"/>
    <w:rsid w:val="008D29B2"/>
    <w:rsid w:val="008E19EA"/>
    <w:rsid w:val="00962FB1"/>
    <w:rsid w:val="00966A91"/>
    <w:rsid w:val="009B46FD"/>
    <w:rsid w:val="009E4F0E"/>
    <w:rsid w:val="00A87A29"/>
    <w:rsid w:val="00AB2FDA"/>
    <w:rsid w:val="00AF3FB2"/>
    <w:rsid w:val="00BE3DF9"/>
    <w:rsid w:val="00C07624"/>
    <w:rsid w:val="00C154F2"/>
    <w:rsid w:val="00C21582"/>
    <w:rsid w:val="00CA743B"/>
    <w:rsid w:val="00D42B3B"/>
    <w:rsid w:val="00D51245"/>
    <w:rsid w:val="00D56514"/>
    <w:rsid w:val="00DA7283"/>
    <w:rsid w:val="00E24FFB"/>
    <w:rsid w:val="00E34BCC"/>
    <w:rsid w:val="00E40EC5"/>
    <w:rsid w:val="00E53739"/>
    <w:rsid w:val="00E81164"/>
    <w:rsid w:val="00EA6741"/>
    <w:rsid w:val="00EE6E66"/>
    <w:rsid w:val="00EE7D7E"/>
    <w:rsid w:val="00F125F2"/>
    <w:rsid w:val="00F26BF9"/>
    <w:rsid w:val="00F64491"/>
    <w:rsid w:val="00F66296"/>
    <w:rsid w:val="00F71CB8"/>
    <w:rsid w:val="00FD6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E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F9"/>
    <w:pPr>
      <w:spacing w:line="300" w:lineRule="auto"/>
    </w:pPr>
    <w:rPr>
      <w:rFonts w:eastAsiaTheme="minorEastAsia"/>
      <w:sz w:val="21"/>
      <w:szCs w:val="21"/>
    </w:rPr>
  </w:style>
  <w:style w:type="paragraph" w:styleId="Heading1">
    <w:name w:val="heading 1"/>
    <w:basedOn w:val="Title"/>
    <w:next w:val="Normal"/>
    <w:link w:val="Heading1Char"/>
    <w:uiPriority w:val="9"/>
    <w:qFormat/>
    <w:rsid w:val="00E34BCC"/>
    <w:pPr>
      <w:outlineLvl w:val="0"/>
    </w:pPr>
    <w:rPr>
      <w:rFonts w:asciiTheme="minorHAnsi" w:hAnsiTheme="minorHAnsi" w:cstheme="minorHAnsi"/>
      <w:b/>
      <w:bCs/>
      <w:sz w:val="24"/>
      <w:szCs w:val="24"/>
    </w:rPr>
  </w:style>
  <w:style w:type="paragraph" w:styleId="Heading2">
    <w:name w:val="heading 2"/>
    <w:basedOn w:val="Normal"/>
    <w:next w:val="Normal"/>
    <w:link w:val="Heading2Char"/>
    <w:uiPriority w:val="9"/>
    <w:unhideWhenUsed/>
    <w:qFormat/>
    <w:rsid w:val="00D51245"/>
    <w:pPr>
      <w:spacing w:after="240"/>
      <w:outlineLvl w:val="1"/>
    </w:pPr>
    <w:rPr>
      <w:rFonts w:cstheme="minorHAnsi"/>
      <w:b/>
      <w:bCs/>
      <w:sz w:val="24"/>
      <w:szCs w:val="24"/>
      <w:u w:val="single"/>
    </w:rPr>
  </w:style>
  <w:style w:type="paragraph" w:styleId="Heading3">
    <w:name w:val="heading 3"/>
    <w:basedOn w:val="Normal"/>
    <w:next w:val="Normal"/>
    <w:link w:val="Heading3Char"/>
    <w:uiPriority w:val="9"/>
    <w:unhideWhenUsed/>
    <w:qFormat/>
    <w:rsid w:val="00D51245"/>
    <w:pPr>
      <w:spacing w:after="240"/>
      <w:outlineLvl w:val="2"/>
    </w:pPr>
    <w:rPr>
      <w:rFonts w:cstheme="minorHAnsi"/>
      <w:b/>
      <w:bCs/>
      <w:sz w:val="24"/>
      <w:szCs w:val="24"/>
    </w:rPr>
  </w:style>
  <w:style w:type="paragraph" w:styleId="Heading4">
    <w:name w:val="heading 4"/>
    <w:basedOn w:val="Normal"/>
    <w:next w:val="Normal"/>
    <w:link w:val="Heading4Char"/>
    <w:uiPriority w:val="9"/>
    <w:unhideWhenUsed/>
    <w:qFormat/>
    <w:rsid w:val="00D51245"/>
    <w:pPr>
      <w:spacing w:after="240"/>
      <w:outlineLvl w:val="3"/>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 moj,Akapit z listą1,Akapit z listą11,Bullet Point,Bullet point,Bulletr List Paragraph,Content descriptions,FooterText,L,List Bullet 1,List Paragraph1,List Paragraph11,List Paragraph2,List Paragraph21,Listeafsnit1,NFP GP Bulleted List"/>
    <w:basedOn w:val="Normal"/>
    <w:link w:val="ListParagraphChar"/>
    <w:uiPriority w:val="34"/>
    <w:qFormat/>
    <w:rsid w:val="00BE3DF9"/>
    <w:pPr>
      <w:ind w:left="720"/>
      <w:contextualSpacing/>
    </w:pPr>
  </w:style>
  <w:style w:type="paragraph" w:styleId="Title">
    <w:name w:val="Title"/>
    <w:aliases w:val="1. Main Title"/>
    <w:basedOn w:val="Normal"/>
    <w:next w:val="Normal"/>
    <w:link w:val="TitleChar"/>
    <w:uiPriority w:val="10"/>
    <w:qFormat/>
    <w:rsid w:val="00BE3DF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aliases w:val="1. Main Title Char"/>
    <w:basedOn w:val="DefaultParagraphFont"/>
    <w:link w:val="Title"/>
    <w:uiPriority w:val="10"/>
    <w:rsid w:val="00BE3DF9"/>
    <w:rPr>
      <w:rFonts w:asciiTheme="majorHAnsi" w:eastAsiaTheme="majorEastAsia" w:hAnsiTheme="majorHAnsi" w:cstheme="majorBidi"/>
      <w:caps/>
      <w:color w:val="44546A" w:themeColor="text2"/>
      <w:spacing w:val="30"/>
      <w:sz w:val="72"/>
      <w:szCs w:val="72"/>
    </w:rPr>
  </w:style>
  <w:style w:type="character" w:styleId="IntenseEmphasis">
    <w:name w:val="Intense Emphasis"/>
    <w:basedOn w:val="DefaultParagraphFont"/>
    <w:uiPriority w:val="21"/>
    <w:qFormat/>
    <w:rsid w:val="00BE3DF9"/>
    <w:rPr>
      <w:b/>
      <w:bCs/>
      <w:i/>
      <w:iCs/>
      <w:color w:val="auto"/>
    </w:rPr>
  </w:style>
  <w:style w:type="table" w:styleId="TableGrid">
    <w:name w:val="Table Grid"/>
    <w:basedOn w:val="TableNormal"/>
    <w:uiPriority w:val="39"/>
    <w:rsid w:val="00BE3DF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Bullet Point Char,Bullet point Char,Bulletr List Paragraph Char,Content descriptions Char,FooterText Char,L Char,List Bullet 1 Char,List Paragraph1 Char,List Paragraph11 Char"/>
    <w:link w:val="ListParagraph"/>
    <w:uiPriority w:val="34"/>
    <w:qFormat/>
    <w:locked/>
    <w:rsid w:val="00BE3DF9"/>
    <w:rPr>
      <w:rFonts w:eastAsiaTheme="minorEastAsia"/>
      <w:sz w:val="21"/>
      <w:szCs w:val="21"/>
    </w:rPr>
  </w:style>
  <w:style w:type="paragraph" w:styleId="FootnoteText">
    <w:name w:val="footnote text"/>
    <w:basedOn w:val="Normal"/>
    <w:link w:val="FootnoteTextChar"/>
    <w:uiPriority w:val="99"/>
    <w:rsid w:val="00BE3DF9"/>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BE3DF9"/>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BE3DF9"/>
    <w:rPr>
      <w:rFonts w:cs="Times New Roman"/>
      <w:vertAlign w:val="superscript"/>
    </w:rPr>
  </w:style>
  <w:style w:type="character" w:styleId="CommentReference">
    <w:name w:val="annotation reference"/>
    <w:basedOn w:val="DefaultParagraphFont"/>
    <w:uiPriority w:val="99"/>
    <w:unhideWhenUsed/>
    <w:rsid w:val="00BE3DF9"/>
    <w:rPr>
      <w:sz w:val="16"/>
      <w:szCs w:val="16"/>
    </w:rPr>
  </w:style>
  <w:style w:type="paragraph" w:styleId="CommentText">
    <w:name w:val="annotation text"/>
    <w:basedOn w:val="Normal"/>
    <w:link w:val="CommentTextChar"/>
    <w:uiPriority w:val="99"/>
    <w:unhideWhenUsed/>
    <w:rsid w:val="00BE3DF9"/>
    <w:pPr>
      <w:spacing w:line="240" w:lineRule="auto"/>
    </w:pPr>
    <w:rPr>
      <w:sz w:val="20"/>
      <w:szCs w:val="20"/>
    </w:rPr>
  </w:style>
  <w:style w:type="character" w:customStyle="1" w:styleId="CommentTextChar">
    <w:name w:val="Comment Text Char"/>
    <w:basedOn w:val="DefaultParagraphFont"/>
    <w:link w:val="CommentText"/>
    <w:uiPriority w:val="99"/>
    <w:rsid w:val="00BE3DF9"/>
    <w:rPr>
      <w:rFonts w:eastAsiaTheme="minorEastAsia"/>
      <w:sz w:val="20"/>
      <w:szCs w:val="20"/>
    </w:rPr>
  </w:style>
  <w:style w:type="character" w:styleId="Hyperlink">
    <w:name w:val="Hyperlink"/>
    <w:basedOn w:val="DefaultParagraphFont"/>
    <w:uiPriority w:val="99"/>
    <w:unhideWhenUsed/>
    <w:rsid w:val="00BE3DF9"/>
    <w:rPr>
      <w:color w:val="0000FF"/>
      <w:u w:val="single"/>
    </w:rPr>
  </w:style>
  <w:style w:type="character" w:customStyle="1" w:styleId="cf01">
    <w:name w:val="cf01"/>
    <w:basedOn w:val="DefaultParagraphFont"/>
    <w:rsid w:val="00BE3DF9"/>
    <w:rPr>
      <w:rFonts w:ascii="Segoe UI" w:hAnsi="Segoe UI" w:cs="Segoe UI" w:hint="default"/>
      <w:sz w:val="18"/>
      <w:szCs w:val="18"/>
    </w:rPr>
  </w:style>
  <w:style w:type="paragraph" w:styleId="Header">
    <w:name w:val="header"/>
    <w:basedOn w:val="Normal"/>
    <w:link w:val="HeaderChar"/>
    <w:uiPriority w:val="99"/>
    <w:unhideWhenUsed/>
    <w:rsid w:val="00BE3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DF9"/>
    <w:rPr>
      <w:rFonts w:eastAsiaTheme="minorEastAsia"/>
      <w:sz w:val="21"/>
      <w:szCs w:val="21"/>
    </w:rPr>
  </w:style>
  <w:style w:type="paragraph" w:styleId="Footer">
    <w:name w:val="footer"/>
    <w:basedOn w:val="Normal"/>
    <w:link w:val="FooterChar"/>
    <w:uiPriority w:val="99"/>
    <w:unhideWhenUsed/>
    <w:rsid w:val="00BE3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DF9"/>
    <w:rPr>
      <w:rFonts w:eastAsiaTheme="minorEastAsia"/>
      <w:sz w:val="21"/>
      <w:szCs w:val="21"/>
    </w:rPr>
  </w:style>
  <w:style w:type="paragraph" w:styleId="CommentSubject">
    <w:name w:val="annotation subject"/>
    <w:basedOn w:val="CommentText"/>
    <w:next w:val="CommentText"/>
    <w:link w:val="CommentSubjectChar"/>
    <w:uiPriority w:val="99"/>
    <w:semiHidden/>
    <w:unhideWhenUsed/>
    <w:rsid w:val="00E53739"/>
    <w:rPr>
      <w:b/>
      <w:bCs/>
    </w:rPr>
  </w:style>
  <w:style w:type="character" w:customStyle="1" w:styleId="CommentSubjectChar">
    <w:name w:val="Comment Subject Char"/>
    <w:basedOn w:val="CommentTextChar"/>
    <w:link w:val="CommentSubject"/>
    <w:uiPriority w:val="99"/>
    <w:semiHidden/>
    <w:rsid w:val="00E53739"/>
    <w:rPr>
      <w:rFonts w:eastAsiaTheme="minorEastAsia"/>
      <w:b/>
      <w:bCs/>
      <w:sz w:val="20"/>
      <w:szCs w:val="20"/>
    </w:rPr>
  </w:style>
  <w:style w:type="paragraph" w:styleId="Revision">
    <w:name w:val="Revision"/>
    <w:hidden/>
    <w:uiPriority w:val="99"/>
    <w:semiHidden/>
    <w:rsid w:val="009E4F0E"/>
    <w:pPr>
      <w:spacing w:after="0" w:line="240" w:lineRule="auto"/>
    </w:pPr>
    <w:rPr>
      <w:rFonts w:eastAsiaTheme="minorEastAsia"/>
      <w:sz w:val="21"/>
      <w:szCs w:val="21"/>
    </w:rPr>
  </w:style>
  <w:style w:type="character" w:customStyle="1" w:styleId="colour">
    <w:name w:val="colour"/>
    <w:basedOn w:val="DefaultParagraphFont"/>
    <w:rsid w:val="008D0C36"/>
  </w:style>
  <w:style w:type="character" w:styleId="FollowedHyperlink">
    <w:name w:val="FollowedHyperlink"/>
    <w:basedOn w:val="DefaultParagraphFont"/>
    <w:uiPriority w:val="99"/>
    <w:semiHidden/>
    <w:unhideWhenUsed/>
    <w:rsid w:val="00962FB1"/>
    <w:rPr>
      <w:color w:val="954F72" w:themeColor="followedHyperlink"/>
      <w:u w:val="single"/>
    </w:rPr>
  </w:style>
  <w:style w:type="character" w:customStyle="1" w:styleId="Heading1Char">
    <w:name w:val="Heading 1 Char"/>
    <w:basedOn w:val="DefaultParagraphFont"/>
    <w:link w:val="Heading1"/>
    <w:uiPriority w:val="9"/>
    <w:rsid w:val="00E34BCC"/>
    <w:rPr>
      <w:rFonts w:eastAsiaTheme="majorEastAsia" w:cstheme="minorHAnsi"/>
      <w:b/>
      <w:bCs/>
      <w:caps/>
      <w:color w:val="44546A" w:themeColor="text2"/>
      <w:spacing w:val="30"/>
      <w:sz w:val="24"/>
      <w:szCs w:val="24"/>
    </w:rPr>
  </w:style>
  <w:style w:type="character" w:customStyle="1" w:styleId="Heading2Char">
    <w:name w:val="Heading 2 Char"/>
    <w:basedOn w:val="DefaultParagraphFont"/>
    <w:link w:val="Heading2"/>
    <w:uiPriority w:val="9"/>
    <w:rsid w:val="00D51245"/>
    <w:rPr>
      <w:rFonts w:eastAsiaTheme="minorEastAsia" w:cstheme="minorHAnsi"/>
      <w:b/>
      <w:bCs/>
      <w:sz w:val="24"/>
      <w:szCs w:val="24"/>
      <w:u w:val="single"/>
    </w:rPr>
  </w:style>
  <w:style w:type="character" w:customStyle="1" w:styleId="Heading3Char">
    <w:name w:val="Heading 3 Char"/>
    <w:basedOn w:val="DefaultParagraphFont"/>
    <w:link w:val="Heading3"/>
    <w:uiPriority w:val="9"/>
    <w:rsid w:val="00D51245"/>
    <w:rPr>
      <w:rFonts w:eastAsiaTheme="minorEastAsia" w:cstheme="minorHAnsi"/>
      <w:b/>
      <w:bCs/>
      <w:sz w:val="24"/>
      <w:szCs w:val="24"/>
    </w:rPr>
  </w:style>
  <w:style w:type="character" w:customStyle="1" w:styleId="Heading4Char">
    <w:name w:val="Heading 4 Char"/>
    <w:basedOn w:val="DefaultParagraphFont"/>
    <w:link w:val="Heading4"/>
    <w:uiPriority w:val="9"/>
    <w:rsid w:val="00D51245"/>
    <w:rPr>
      <w:rFonts w:eastAsiaTheme="minorEastAsia"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ac.gov.au/internet/msac/publishing.nsf/Content/E0D4E4EDDE91EAC8CA2586E0007AFC75/$File/MSAC%20Guidelines-complete-16-FINAL(18May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internet/msac/publishing.nsf/Content/E0D4E4EDDE91EAC8CA2586E0007AFC75/$File/MSAC%20Guidelines-complete-16-FINAL(18May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rpansa.gov.au/regulation-and-licensing/regulation/state-territory-regulators" TargetMode="External"/><Relationship Id="rId2" Type="http://schemas.openxmlformats.org/officeDocument/2006/relationships/hyperlink" Target="https://www.arpansa.gov.au/regulation-and-licensing/regulatory-publications/radiation-protection-series/codes-and-standards/rpsc-2" TargetMode="External"/><Relationship Id="rId1" Type="http://schemas.openxmlformats.org/officeDocument/2006/relationships/hyperlink" Target="https://www.tga.gov.au/resources/resource/guidance/section-19a-guidance-industry/about-section-19a" TargetMode="External"/><Relationship Id="rId4" Type="http://schemas.openxmlformats.org/officeDocument/2006/relationships/hyperlink" Target="https://www.dcceew.gov.au/environment/protection/hazardous-waste/state-terr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66F7CC8734468950FC700AD948AE" ma:contentTypeVersion="12" ma:contentTypeDescription="Create a new document." ma:contentTypeScope="" ma:versionID="02fcbf4eb75a5d5b6fd9b50ff398db0f">
  <xsd:schema xmlns:xsd="http://www.w3.org/2001/XMLSchema" xmlns:xs="http://www.w3.org/2001/XMLSchema" xmlns:p="http://schemas.microsoft.com/office/2006/metadata/properties" xmlns:ns2="e7d54a9e-4aca-451b-99db-b94fe438e987" xmlns:ns3="9423bd5a-9a2d-4557-a0c1-45faabf7e7a8" targetNamespace="http://schemas.microsoft.com/office/2006/metadata/properties" ma:root="true" ma:fieldsID="c1de4880bb15669917e437ecbc2b2882" ns2:_="" ns3:_="">
    <xsd:import namespace="e7d54a9e-4aca-451b-99db-b94fe438e987"/>
    <xsd:import namespace="9423bd5a-9a2d-4557-a0c1-45faabf7e7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23bd5a-9a2d-4557-a0c1-45faabf7e7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3bd5a-9a2d-4557-a0c1-45faabf7e7a8">
      <Terms xmlns="http://schemas.microsoft.com/office/infopath/2007/PartnerControls"/>
    </lcf76f155ced4ddcb4097134ff3c332f>
    <TaxCatchAll xmlns="e7d54a9e-4aca-451b-99db-b94fe438e9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14CF-7EAC-4823-904F-C1740A90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423bd5a-9a2d-4557-a0c1-45faabf7e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74BB3-1A32-4750-8934-6CBC7AAED15B}">
  <ds:schemaRefs>
    <ds:schemaRef ds:uri="http://schemas.microsoft.com/sharepoint/v3/contenttype/forms"/>
  </ds:schemaRefs>
</ds:datastoreItem>
</file>

<file path=customXml/itemProps3.xml><?xml version="1.0" encoding="utf-8"?>
<ds:datastoreItem xmlns:ds="http://schemas.openxmlformats.org/officeDocument/2006/customXml" ds:itemID="{10864C44-74E6-4890-94CB-C1025B6C78B2}">
  <ds:schemaRefs>
    <ds:schemaRef ds:uri="http://schemas.microsoft.com/office/2006/documentManagement/types"/>
    <ds:schemaRef ds:uri="http://schemas.microsoft.com/office/infopath/2007/PartnerControls"/>
    <ds:schemaRef ds:uri="e7d54a9e-4aca-451b-99db-b94fe438e987"/>
    <ds:schemaRef ds:uri="9423bd5a-9a2d-4557-a0c1-45faabf7e7a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4DF71DE-3495-487F-A1A3-8C126DE9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8189</Characters>
  <Application>Microsoft Office Word</Application>
  <DocSecurity>0</DocSecurity>
  <Lines>199</Lines>
  <Paragraphs>117</Paragraphs>
  <ScaleCrop>false</ScaleCrop>
  <HeadingPairs>
    <vt:vector size="2" baseType="variant">
      <vt:variant>
        <vt:lpstr>Title</vt:lpstr>
      </vt:variant>
      <vt:variant>
        <vt:i4>1</vt:i4>
      </vt:variant>
    </vt:vector>
  </HeadingPairs>
  <TitlesOfParts>
    <vt:vector size="1" baseType="lpstr">
      <vt:lpstr>Framework for the MSAC Assessment of Radiopharmaceuticals</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the MSAC Assessment of Radiopharmaceuticals</dc:title>
  <dc:subject/>
  <dc:creator/>
  <cp:keywords/>
  <dc:description/>
  <cp:lastModifiedBy/>
  <cp:revision>1</cp:revision>
  <dcterms:created xsi:type="dcterms:W3CDTF">2024-05-27T03:34:00Z</dcterms:created>
  <dcterms:modified xsi:type="dcterms:W3CDTF">2024-09-30T03:18:00Z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0x010100891A66F7CC8734468950FC700AD948AE</vt:lpwstr>
  </property>
  <property fmtid="{D5CDD505-2E9C-101B-9397-08002B2CF9AE}" pid="3" name="MediaServiceImageTags">
    <vt:lpwstr/>
  </property>
</Properties>
</file>