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F2BA" w14:textId="77777777" w:rsidR="00DE2CBF" w:rsidRPr="009132B0" w:rsidRDefault="00DE2CBF" w:rsidP="00DE2CBF">
      <w:pPr>
        <w:pStyle w:val="Title"/>
        <w:rPr>
          <w:sz w:val="40"/>
          <w:szCs w:val="40"/>
        </w:rPr>
      </w:pPr>
      <w:r w:rsidRPr="009132B0">
        <w:rPr>
          <w:sz w:val="40"/>
          <w:szCs w:val="40"/>
        </w:rPr>
        <w:t xml:space="preserve">Guidelines for preparing </w:t>
      </w:r>
    </w:p>
    <w:p w14:paraId="44BDF21D" w14:textId="77777777" w:rsidR="00DE2CBF" w:rsidRPr="009132B0" w:rsidRDefault="00DE2CBF" w:rsidP="00DE2CBF">
      <w:pPr>
        <w:pStyle w:val="Title"/>
        <w:rPr>
          <w:sz w:val="40"/>
          <w:szCs w:val="40"/>
        </w:rPr>
      </w:pPr>
      <w:r w:rsidRPr="009132B0">
        <w:rPr>
          <w:sz w:val="40"/>
          <w:szCs w:val="40"/>
        </w:rPr>
        <w:t xml:space="preserve">assessments for the </w:t>
      </w:r>
    </w:p>
    <w:p w14:paraId="3F5A0209" w14:textId="7A2DA91F" w:rsidR="00DE2CBF" w:rsidRDefault="00DE2CBF" w:rsidP="00DE2CBF">
      <w:pPr>
        <w:pStyle w:val="Title"/>
        <w:rPr>
          <w:rFonts w:ascii="Calibri" w:hAnsi="Calibri" w:cs="Calibri"/>
          <w:b/>
        </w:rPr>
      </w:pPr>
      <w:r w:rsidRPr="009132B0">
        <w:rPr>
          <w:sz w:val="40"/>
          <w:szCs w:val="40"/>
        </w:rPr>
        <w:t>Medical Services Advisory Committee</w:t>
      </w:r>
    </w:p>
    <w:p w14:paraId="3DB4249A" w14:textId="77777777" w:rsidR="00DE2CBF" w:rsidRDefault="00DE2CBF" w:rsidP="00DE2CBF">
      <w:pPr>
        <w:pStyle w:val="Title"/>
        <w:spacing w:before="240" w:after="240"/>
        <w:rPr>
          <w:sz w:val="36"/>
          <w:szCs w:val="36"/>
        </w:rPr>
      </w:pPr>
    </w:p>
    <w:p w14:paraId="463D78B6" w14:textId="13B6CC18" w:rsidR="00DE2CBF" w:rsidRPr="00DE2CBF" w:rsidRDefault="00DE2CBF" w:rsidP="009132B0">
      <w:pPr>
        <w:pStyle w:val="Title"/>
      </w:pPr>
      <w:r w:rsidRPr="00DE2CBF">
        <w:t>S</w:t>
      </w:r>
      <w:r w:rsidR="00F141A2">
        <w:t xml:space="preserve">ummary for </w:t>
      </w:r>
      <w:r w:rsidR="00F141A2" w:rsidRPr="009132B0">
        <w:t>s</w:t>
      </w:r>
      <w:r w:rsidRPr="009132B0">
        <w:t>takeholders</w:t>
      </w:r>
    </w:p>
    <w:p w14:paraId="561564BC" w14:textId="77777777" w:rsidR="00E12455" w:rsidRDefault="00E12455" w:rsidP="00AB0534">
      <w:pPr>
        <w:pStyle w:val="Heading2"/>
        <w:sectPr w:rsidR="00E12455"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18F2247" w14:textId="67C39AC5" w:rsidR="008371CE" w:rsidRPr="00AB0534" w:rsidRDefault="00E91F1D" w:rsidP="00AB0534">
      <w:pPr>
        <w:pStyle w:val="Heading2"/>
      </w:pPr>
      <w:r w:rsidRPr="00AB0534">
        <w:lastRenderedPageBreak/>
        <w:t>Introduction and purpose of this document</w:t>
      </w:r>
    </w:p>
    <w:p w14:paraId="221F9CD7" w14:textId="7D9772FD" w:rsidR="00E91F1D" w:rsidRDefault="00BE2520" w:rsidP="00E91F1D">
      <w:r>
        <w:t>T</w:t>
      </w:r>
      <w:r w:rsidR="009758E6">
        <w:t>he revised</w:t>
      </w:r>
      <w:r w:rsidR="00E91F1D">
        <w:t xml:space="preserve"> </w:t>
      </w:r>
      <w:r w:rsidR="00E91F1D" w:rsidRPr="00866F7D">
        <w:rPr>
          <w:i/>
          <w:iCs/>
        </w:rPr>
        <w:t>Guidelines for preparing assessments for the Medical Services Advisory Committee</w:t>
      </w:r>
      <w:r w:rsidR="00E91F1D">
        <w:t xml:space="preserve"> (</w:t>
      </w:r>
      <w:r w:rsidR="00E91F1D" w:rsidRPr="00866F7D">
        <w:rPr>
          <w:iCs/>
        </w:rPr>
        <w:t xml:space="preserve">the </w:t>
      </w:r>
      <w:r w:rsidR="00587C80">
        <w:rPr>
          <w:iCs/>
        </w:rPr>
        <w:t>g</w:t>
      </w:r>
      <w:r w:rsidR="00E91F1D" w:rsidRPr="00866F7D">
        <w:rPr>
          <w:iCs/>
        </w:rPr>
        <w:t>uidelines</w:t>
      </w:r>
      <w:r w:rsidR="00E91F1D">
        <w:t xml:space="preserve">) </w:t>
      </w:r>
      <w:r w:rsidR="00E91F1D" w:rsidRPr="00E91F1D">
        <w:t>were</w:t>
      </w:r>
      <w:r w:rsidR="00E91F1D">
        <w:t xml:space="preserve"> published </w:t>
      </w:r>
      <w:r w:rsidR="00077DDF">
        <w:t>i</w:t>
      </w:r>
      <w:r w:rsidR="00E91F1D">
        <w:t xml:space="preserve">n </w:t>
      </w:r>
      <w:r w:rsidR="00077DDF" w:rsidRPr="00A658DD">
        <w:t xml:space="preserve">May </w:t>
      </w:r>
      <w:r w:rsidR="00E91F1D" w:rsidRPr="00A658DD">
        <w:t>2021. The</w:t>
      </w:r>
      <w:r w:rsidR="00E91F1D">
        <w:t xml:space="preserve"> </w:t>
      </w:r>
      <w:r w:rsidR="00587C80">
        <w:t>g</w:t>
      </w:r>
      <w:r w:rsidR="00E91F1D">
        <w:t xml:space="preserve">uidelines describe the requirements for </w:t>
      </w:r>
      <w:r w:rsidR="00077DDF">
        <w:t>preparing</w:t>
      </w:r>
      <w:r w:rsidR="00E91F1D">
        <w:t xml:space="preserve"> applications, PICO confirmations and assessment reports of health technologies </w:t>
      </w:r>
      <w:r w:rsidR="00CC2A3C">
        <w:t>for consideration</w:t>
      </w:r>
      <w:r w:rsidR="00E91F1D">
        <w:t xml:space="preserve"> by the Medical Services Advisory Committee (MSAC). </w:t>
      </w:r>
    </w:p>
    <w:p w14:paraId="1722E26D" w14:textId="5655A71D" w:rsidR="00E91F1D" w:rsidRDefault="00E91F1D" w:rsidP="00E91F1D">
      <w:r>
        <w:t xml:space="preserve">This document is a </w:t>
      </w:r>
      <w:r w:rsidR="00F141A2">
        <w:t xml:space="preserve">summary for </w:t>
      </w:r>
      <w:r>
        <w:t>stakeholder</w:t>
      </w:r>
      <w:r w:rsidR="00F141A2">
        <w:t>s</w:t>
      </w:r>
      <w:r>
        <w:t xml:space="preserve"> of the </w:t>
      </w:r>
      <w:r w:rsidR="00587C80">
        <w:t>g</w:t>
      </w:r>
      <w:r w:rsidR="00DE2CBF">
        <w:t>uidelines and their purpose.</w:t>
      </w:r>
    </w:p>
    <w:p w14:paraId="27C0AC9D" w14:textId="3FEA5EFE" w:rsidR="00020005" w:rsidRDefault="00020005" w:rsidP="00020005">
      <w:pPr>
        <w:pStyle w:val="Heading2"/>
      </w:pPr>
      <w:r>
        <w:t>Health technologies</w:t>
      </w:r>
    </w:p>
    <w:p w14:paraId="46F2B2E5" w14:textId="77777777" w:rsidR="00020005" w:rsidRDefault="00020005" w:rsidP="00722B16">
      <w:pPr>
        <w:pStyle w:val="NormalBeforeBullet"/>
      </w:pPr>
      <w:r w:rsidRPr="00A30AFE">
        <w:t>Health technology</w:t>
      </w:r>
      <w:r>
        <w:t xml:space="preserve"> is a broad term that means something that is intended to:</w:t>
      </w:r>
      <w:r>
        <w:rPr>
          <w:rStyle w:val="FootnoteReference"/>
        </w:rPr>
        <w:footnoteReference w:id="1"/>
      </w:r>
      <w:r>
        <w:t xml:space="preserve"> </w:t>
      </w:r>
    </w:p>
    <w:p w14:paraId="67C5E36A" w14:textId="77777777" w:rsidR="00020005" w:rsidRDefault="00020005" w:rsidP="00020005">
      <w:pPr>
        <w:pStyle w:val="ListParagraph"/>
        <w:numPr>
          <w:ilvl w:val="0"/>
          <w:numId w:val="18"/>
        </w:numPr>
      </w:pPr>
      <w:r>
        <w:t>prevent, diagnose or treat medical conditions</w:t>
      </w:r>
    </w:p>
    <w:p w14:paraId="2DB24CC0" w14:textId="77777777" w:rsidR="00020005" w:rsidRDefault="00020005" w:rsidP="00020005">
      <w:pPr>
        <w:pStyle w:val="ListParagraph"/>
        <w:numPr>
          <w:ilvl w:val="0"/>
          <w:numId w:val="18"/>
        </w:numPr>
      </w:pPr>
      <w:r>
        <w:t>promote health</w:t>
      </w:r>
    </w:p>
    <w:p w14:paraId="2C37232A" w14:textId="77777777" w:rsidR="00020005" w:rsidRDefault="00020005" w:rsidP="00020005">
      <w:pPr>
        <w:pStyle w:val="ListParagraph"/>
        <w:numPr>
          <w:ilvl w:val="0"/>
          <w:numId w:val="18"/>
        </w:numPr>
      </w:pPr>
      <w:r>
        <w:t>provide rehabilitation, or</w:t>
      </w:r>
    </w:p>
    <w:p w14:paraId="5A4CCBB0" w14:textId="77777777" w:rsidR="00020005" w:rsidRDefault="00020005" w:rsidP="00020005">
      <w:pPr>
        <w:pStyle w:val="ListParagraph"/>
        <w:numPr>
          <w:ilvl w:val="0"/>
          <w:numId w:val="18"/>
        </w:numPr>
      </w:pPr>
      <w:r>
        <w:t xml:space="preserve">organise health care delivery. </w:t>
      </w:r>
    </w:p>
    <w:p w14:paraId="4F2EF913" w14:textId="77777777" w:rsidR="00020005" w:rsidRDefault="00020005" w:rsidP="00722B16">
      <w:pPr>
        <w:pStyle w:val="NormalBeforeBullet"/>
      </w:pPr>
      <w:r>
        <w:t xml:space="preserve">Health technologies include: </w:t>
      </w:r>
    </w:p>
    <w:p w14:paraId="58163B72" w14:textId="77777777" w:rsidR="00020005" w:rsidRDefault="00020005" w:rsidP="00020005">
      <w:pPr>
        <w:pStyle w:val="ListParagraph"/>
        <w:numPr>
          <w:ilvl w:val="0"/>
          <w:numId w:val="19"/>
        </w:numPr>
      </w:pPr>
      <w:r>
        <w:t>tests</w:t>
      </w:r>
    </w:p>
    <w:p w14:paraId="67F373AE" w14:textId="77777777" w:rsidR="00020005" w:rsidRDefault="00020005" w:rsidP="00020005">
      <w:pPr>
        <w:pStyle w:val="ListParagraph"/>
        <w:numPr>
          <w:ilvl w:val="0"/>
          <w:numId w:val="19"/>
        </w:numPr>
      </w:pPr>
      <w:r>
        <w:t>medical devices</w:t>
      </w:r>
    </w:p>
    <w:p w14:paraId="01A9D04D" w14:textId="77777777" w:rsidR="00020005" w:rsidRDefault="00020005" w:rsidP="00020005">
      <w:pPr>
        <w:pStyle w:val="ListParagraph"/>
        <w:numPr>
          <w:ilvl w:val="0"/>
          <w:numId w:val="19"/>
        </w:numPr>
      </w:pPr>
      <w:r>
        <w:t>medicines</w:t>
      </w:r>
    </w:p>
    <w:p w14:paraId="6AA8D7A3" w14:textId="77777777" w:rsidR="00020005" w:rsidRDefault="00020005" w:rsidP="00020005">
      <w:pPr>
        <w:pStyle w:val="ListParagraph"/>
        <w:numPr>
          <w:ilvl w:val="0"/>
          <w:numId w:val="19"/>
        </w:numPr>
      </w:pPr>
      <w:r>
        <w:t>vaccines</w:t>
      </w:r>
    </w:p>
    <w:p w14:paraId="6A6574DC" w14:textId="77777777" w:rsidR="00020005" w:rsidRDefault="00020005" w:rsidP="00020005">
      <w:pPr>
        <w:pStyle w:val="ListParagraph"/>
        <w:numPr>
          <w:ilvl w:val="0"/>
          <w:numId w:val="19"/>
        </w:numPr>
      </w:pPr>
      <w:r>
        <w:t>blood products</w:t>
      </w:r>
    </w:p>
    <w:p w14:paraId="51410FC3" w14:textId="77777777" w:rsidR="00020005" w:rsidRDefault="00020005" w:rsidP="00020005">
      <w:pPr>
        <w:pStyle w:val="ListParagraph"/>
        <w:numPr>
          <w:ilvl w:val="0"/>
          <w:numId w:val="19"/>
        </w:numPr>
      </w:pPr>
      <w:r>
        <w:t>procedures</w:t>
      </w:r>
    </w:p>
    <w:p w14:paraId="48067EA3" w14:textId="77777777" w:rsidR="00020005" w:rsidRDefault="00020005" w:rsidP="00020005">
      <w:pPr>
        <w:pStyle w:val="ListParagraph"/>
        <w:numPr>
          <w:ilvl w:val="0"/>
          <w:numId w:val="19"/>
        </w:numPr>
      </w:pPr>
      <w:r>
        <w:t xml:space="preserve">programs or systems involved in health care. </w:t>
      </w:r>
    </w:p>
    <w:p w14:paraId="1D4B0999" w14:textId="4BEE4A7D" w:rsidR="00020005" w:rsidRDefault="007F1E95" w:rsidP="00020005">
      <w:pPr>
        <w:pStyle w:val="Heading2"/>
      </w:pPr>
      <w:r>
        <w:t>MSAC process</w:t>
      </w:r>
    </w:p>
    <w:p w14:paraId="2B60CB4A" w14:textId="408B32BE" w:rsidR="00020005" w:rsidRDefault="00020005" w:rsidP="00722B16">
      <w:r>
        <w:t xml:space="preserve">The Australian health care system includes public funding for some health technologies. This aims to allow all Australians to have affordable and </w:t>
      </w:r>
      <w:r w:rsidR="00077DDF">
        <w:t>fair</w:t>
      </w:r>
      <w:r>
        <w:t xml:space="preserve"> access to health care. </w:t>
      </w:r>
    </w:p>
    <w:p w14:paraId="11A4DE12" w14:textId="79CD37F5" w:rsidR="00020005" w:rsidRDefault="00020005" w:rsidP="00722B16">
      <w:r>
        <w:t>The Australian Government can fund health technologies in several ways. For health technologies that are not medicines, the main way of funding is through the Medicare Benefits Schedule (MBS).</w:t>
      </w:r>
      <w:r w:rsidR="00C66150">
        <w:t xml:space="preserve"> MSAC may also provide advice for technologies funded through other</w:t>
      </w:r>
      <w:r w:rsidR="007C7018">
        <w:t xml:space="preserve"> programs or arrangements</w:t>
      </w:r>
      <w:r w:rsidR="00C66150">
        <w:t>.</w:t>
      </w:r>
    </w:p>
    <w:p w14:paraId="4BDCBF36" w14:textId="5A4730B9" w:rsidR="009E5AAE" w:rsidRDefault="009E5AAE" w:rsidP="00722B16">
      <w:pPr>
        <w:pStyle w:val="NormalBeforeBullet"/>
      </w:pPr>
      <w:r>
        <w:t>Steps in funding a health technology on the MBS</w:t>
      </w:r>
      <w:r w:rsidR="00384C58">
        <w:t xml:space="preserve"> and other funding programs</w:t>
      </w:r>
      <w:r>
        <w:t>:</w:t>
      </w:r>
    </w:p>
    <w:p w14:paraId="43432A03" w14:textId="264745E8" w:rsidR="009E5AAE" w:rsidRDefault="009E5AAE" w:rsidP="009E5AAE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</w:rPr>
      </w:pPr>
      <w:r w:rsidRPr="00950B18">
        <w:rPr>
          <w:rFonts w:ascii="Calibri" w:hAnsi="Calibri" w:cs="Calibri"/>
        </w:rPr>
        <w:t>The Department of Health receives an application</w:t>
      </w:r>
      <w:r w:rsidR="001D0854">
        <w:rPr>
          <w:rFonts w:ascii="Calibri" w:hAnsi="Calibri" w:cs="Calibri"/>
        </w:rPr>
        <w:t xml:space="preserve"> form</w:t>
      </w:r>
      <w:r w:rsidRPr="00950B18">
        <w:rPr>
          <w:rFonts w:ascii="Calibri" w:hAnsi="Calibri" w:cs="Calibri"/>
        </w:rPr>
        <w:t xml:space="preserve"> for funding</w:t>
      </w:r>
      <w:r w:rsidR="007F1E95">
        <w:rPr>
          <w:rFonts w:ascii="Calibri" w:hAnsi="Calibri" w:cs="Calibri"/>
        </w:rPr>
        <w:t xml:space="preserve"> and assesses it</w:t>
      </w:r>
      <w:r w:rsidRPr="00950B18">
        <w:rPr>
          <w:rFonts w:ascii="Calibri" w:hAnsi="Calibri" w:cs="Calibri"/>
        </w:rPr>
        <w:t>.</w:t>
      </w:r>
    </w:p>
    <w:p w14:paraId="7EE3C000" w14:textId="22503B59" w:rsidR="00561C68" w:rsidRPr="00950B18" w:rsidRDefault="005228BA" w:rsidP="00866F7D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561C68">
        <w:rPr>
          <w:rFonts w:ascii="Calibri" w:hAnsi="Calibri" w:cs="Calibri"/>
        </w:rPr>
        <w:t xml:space="preserve"> PICO </w:t>
      </w:r>
      <w:r w:rsidR="006E58AF">
        <w:rPr>
          <w:rFonts w:ascii="Calibri" w:hAnsi="Calibri" w:cs="Calibri"/>
        </w:rPr>
        <w:t>c</w:t>
      </w:r>
      <w:r w:rsidR="00561C68">
        <w:rPr>
          <w:rFonts w:ascii="Calibri" w:hAnsi="Calibri" w:cs="Calibri"/>
        </w:rPr>
        <w:t xml:space="preserve">onfirmation </w:t>
      </w:r>
      <w:r>
        <w:rPr>
          <w:rFonts w:ascii="Calibri" w:hAnsi="Calibri" w:cs="Calibri"/>
        </w:rPr>
        <w:t xml:space="preserve">is developed </w:t>
      </w:r>
      <w:r w:rsidR="00561C68">
        <w:rPr>
          <w:rFonts w:ascii="Calibri" w:hAnsi="Calibri" w:cs="Calibri"/>
        </w:rPr>
        <w:t xml:space="preserve">to </w:t>
      </w:r>
      <w:r w:rsidR="00F1179D">
        <w:rPr>
          <w:rFonts w:ascii="Calibri" w:hAnsi="Calibri" w:cs="Calibri"/>
        </w:rPr>
        <w:t xml:space="preserve">guide </w:t>
      </w:r>
      <w:r w:rsidR="00561C68">
        <w:rPr>
          <w:rFonts w:ascii="Calibri" w:hAnsi="Calibri" w:cs="Calibri"/>
        </w:rPr>
        <w:t xml:space="preserve">the </w:t>
      </w:r>
      <w:r w:rsidR="007F1E95">
        <w:rPr>
          <w:rFonts w:ascii="Calibri" w:hAnsi="Calibri" w:cs="Calibri"/>
        </w:rPr>
        <w:t>application</w:t>
      </w:r>
      <w:r w:rsidR="00561C68">
        <w:rPr>
          <w:rFonts w:ascii="Calibri" w:hAnsi="Calibri" w:cs="Calibri"/>
        </w:rPr>
        <w:t xml:space="preserve">. This is reviewed and confirmed by </w:t>
      </w:r>
      <w:r w:rsidR="00F1179D">
        <w:rPr>
          <w:rFonts w:ascii="Calibri" w:hAnsi="Calibri" w:cs="Calibri"/>
        </w:rPr>
        <w:t>the PICO Advisory Sub-Committee (</w:t>
      </w:r>
      <w:r w:rsidR="00561C68">
        <w:rPr>
          <w:rFonts w:ascii="Calibri" w:hAnsi="Calibri" w:cs="Calibri"/>
        </w:rPr>
        <w:t>PASC</w:t>
      </w:r>
      <w:r w:rsidR="00F1179D">
        <w:rPr>
          <w:rFonts w:ascii="Calibri" w:hAnsi="Calibri" w:cs="Calibri"/>
        </w:rPr>
        <w:t>)</w:t>
      </w:r>
      <w:r w:rsidR="00561C68">
        <w:rPr>
          <w:rFonts w:ascii="Calibri" w:hAnsi="Calibri" w:cs="Calibri"/>
        </w:rPr>
        <w:t>.</w:t>
      </w:r>
    </w:p>
    <w:p w14:paraId="3AEBF6BC" w14:textId="253CAFE0" w:rsidR="009E5AAE" w:rsidRPr="00950B18" w:rsidRDefault="00F1179D" w:rsidP="00866F7D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9E5AAE" w:rsidRPr="00950B18">
        <w:rPr>
          <w:rFonts w:ascii="Calibri" w:hAnsi="Calibri" w:cs="Calibri"/>
        </w:rPr>
        <w:t xml:space="preserve"> health technology assessment (HTA) </w:t>
      </w:r>
      <w:r>
        <w:rPr>
          <w:rFonts w:ascii="Calibri" w:hAnsi="Calibri" w:cs="Calibri"/>
        </w:rPr>
        <w:t xml:space="preserve">is done </w:t>
      </w:r>
      <w:r w:rsidR="009E5AAE" w:rsidRPr="00950B18">
        <w:rPr>
          <w:rFonts w:ascii="Calibri" w:hAnsi="Calibri" w:cs="Calibri"/>
        </w:rPr>
        <w:t xml:space="preserve">to </w:t>
      </w:r>
      <w:r w:rsidR="00077DDF">
        <w:rPr>
          <w:rFonts w:ascii="Calibri" w:hAnsi="Calibri" w:cs="Calibri"/>
        </w:rPr>
        <w:t>check</w:t>
      </w:r>
      <w:r w:rsidR="009E5AAE" w:rsidRPr="00950B18">
        <w:rPr>
          <w:rFonts w:ascii="Calibri" w:hAnsi="Calibri" w:cs="Calibri"/>
        </w:rPr>
        <w:t xml:space="preserve"> whether </w:t>
      </w:r>
      <w:r>
        <w:rPr>
          <w:rFonts w:ascii="Calibri" w:hAnsi="Calibri" w:cs="Calibri"/>
        </w:rPr>
        <w:t>the health technology</w:t>
      </w:r>
      <w:r w:rsidR="009E5AAE" w:rsidRPr="00950B18">
        <w:rPr>
          <w:rFonts w:ascii="Calibri" w:hAnsi="Calibri" w:cs="Calibri"/>
        </w:rPr>
        <w:t xml:space="preserve"> is safe, effective and good value </w:t>
      </w:r>
      <w:r w:rsidR="00FF27EE">
        <w:rPr>
          <w:rFonts w:ascii="Calibri" w:hAnsi="Calibri" w:cs="Calibri"/>
        </w:rPr>
        <w:t>for society</w:t>
      </w:r>
      <w:r w:rsidR="009E5AAE" w:rsidRPr="00950B1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The </w:t>
      </w:r>
      <w:r w:rsidR="007F1E95">
        <w:rPr>
          <w:rFonts w:ascii="Calibri" w:hAnsi="Calibri" w:cs="Calibri"/>
        </w:rPr>
        <w:t>assessment</w:t>
      </w:r>
      <w:r>
        <w:rPr>
          <w:rFonts w:ascii="Calibri" w:hAnsi="Calibri" w:cs="Calibri"/>
        </w:rPr>
        <w:t xml:space="preserve"> report is reviewed and discussed by the Evaluation Sub-Committee (ESC).</w:t>
      </w:r>
    </w:p>
    <w:p w14:paraId="6A7ADC19" w14:textId="3A324F11" w:rsidR="009E5AAE" w:rsidRDefault="00F1179D" w:rsidP="00FD2EF5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</w:rPr>
      </w:pPr>
      <w:r w:rsidRPr="00FD2EF5">
        <w:rPr>
          <w:rFonts w:ascii="Calibri" w:hAnsi="Calibri" w:cs="Calibri"/>
        </w:rPr>
        <w:t>MSAC reviews and discusses the HTA report and ESC advice</w:t>
      </w:r>
      <w:r w:rsidR="00077DDF">
        <w:rPr>
          <w:rFonts w:ascii="Calibri" w:hAnsi="Calibri" w:cs="Calibri"/>
        </w:rPr>
        <w:t>.</w:t>
      </w:r>
      <w:r w:rsidR="007F1E95" w:rsidRPr="00FD2EF5">
        <w:rPr>
          <w:rFonts w:ascii="Calibri" w:hAnsi="Calibri" w:cs="Calibri"/>
        </w:rPr>
        <w:t xml:space="preserve"> </w:t>
      </w:r>
      <w:r w:rsidR="00077DDF">
        <w:rPr>
          <w:rFonts w:ascii="Calibri" w:hAnsi="Calibri" w:cs="Calibri"/>
        </w:rPr>
        <w:t>MSAC</w:t>
      </w:r>
      <w:r w:rsidR="007F1E95" w:rsidRPr="00FD2EF5">
        <w:rPr>
          <w:rFonts w:ascii="Calibri" w:hAnsi="Calibri" w:cs="Calibri"/>
        </w:rPr>
        <w:t xml:space="preserve"> </w:t>
      </w:r>
      <w:r w:rsidR="009E5AAE" w:rsidRPr="00950B18">
        <w:rPr>
          <w:rFonts w:ascii="Calibri" w:hAnsi="Calibri" w:cs="Calibri"/>
        </w:rPr>
        <w:t>advises the Minister for Health about whether the health technology should be funded on the MBS</w:t>
      </w:r>
      <w:r w:rsidR="00384C58">
        <w:rPr>
          <w:rFonts w:ascii="Calibri" w:hAnsi="Calibri" w:cs="Calibri"/>
        </w:rPr>
        <w:t xml:space="preserve"> or another funding program</w:t>
      </w:r>
      <w:r w:rsidR="009E5AAE" w:rsidRPr="00950B18">
        <w:rPr>
          <w:rFonts w:ascii="Calibri" w:hAnsi="Calibri" w:cs="Calibri"/>
        </w:rPr>
        <w:t>.</w:t>
      </w:r>
    </w:p>
    <w:p w14:paraId="328776A0" w14:textId="6F305517" w:rsidR="00965FEA" w:rsidRPr="00FD2EF5" w:rsidRDefault="00965FEA" w:rsidP="00722B16">
      <w:r>
        <w:lastRenderedPageBreak/>
        <w:t xml:space="preserve">The following figure outlines the MSAC process. </w:t>
      </w:r>
      <w:r w:rsidR="0086454D">
        <w:t>It also shows t</w:t>
      </w:r>
      <w:r>
        <w:t xml:space="preserve">he </w:t>
      </w:r>
      <w:r w:rsidR="0086454D">
        <w:t>parts of the process</w:t>
      </w:r>
      <w:r>
        <w:t xml:space="preserve"> that are </w:t>
      </w:r>
      <w:r w:rsidR="0086454D">
        <w:t>informed by</w:t>
      </w:r>
      <w:r>
        <w:t xml:space="preserve"> the guidelines.</w:t>
      </w:r>
    </w:p>
    <w:p w14:paraId="7C014145" w14:textId="60991FAC" w:rsidR="00950B18" w:rsidRPr="00950B18" w:rsidRDefault="00950B18" w:rsidP="00722B16">
      <w:r>
        <w:rPr>
          <w:noProof/>
          <w:lang w:eastAsia="en-AU"/>
        </w:rPr>
        <w:drawing>
          <wp:inline distT="0" distB="0" distL="0" distR="0" wp14:anchorId="6C6EA66C" wp14:editId="0E9CB65F">
            <wp:extent cx="5731510" cy="1330960"/>
            <wp:effectExtent l="0" t="0" r="0" b="2540"/>
            <wp:docPr id="5" name="Picture 5" descr="The first step is triage (pre-assessment) - application assessment. This is informed by the guidelines. The second step is PICO confirmation - PICO development (informed by the guidelines) and PASC consideration. PASC stakeholder and consumer consultation occurs at this step. The third step is application assessment - assessment report development (informed by the guidelines) and ESC consideration. Pre-MSAC stakeholder and consumer consultation occurs at this step. The fourth step is Appraisal - MSAC conside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first step is triage (pre-assessment) - application assessment. This is informed by the guidelines. The second step is PICO confirmation - PICO development (informed by the guidelines) and PASC consideration. PASC stakeholder and consumer consultation occurs at this step. The third step is application assessment - assessment report development (informed by the guidelines) and ESC consideration. Pre-MSAC stakeholder and consumer consultation occurs at this step. The fourth step is Appraisal - MSAC consideratio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449F" w14:textId="3D4207AE" w:rsidR="008371CE" w:rsidRPr="00AB0534" w:rsidRDefault="008371CE" w:rsidP="00AB0534">
      <w:pPr>
        <w:pStyle w:val="Heading2"/>
      </w:pPr>
      <w:r w:rsidRPr="00AB0534">
        <w:t>H</w:t>
      </w:r>
      <w:r w:rsidR="00DE2CBF" w:rsidRPr="00AB0534">
        <w:t xml:space="preserve">ealth </w:t>
      </w:r>
      <w:r w:rsidR="00F141A2">
        <w:t>t</w:t>
      </w:r>
      <w:r w:rsidR="00DE2CBF" w:rsidRPr="00AB0534">
        <w:t xml:space="preserve">echnology </w:t>
      </w:r>
      <w:r w:rsidR="00F141A2">
        <w:rPr>
          <w:rStyle w:val="normaltextrun"/>
        </w:rPr>
        <w:t>a</w:t>
      </w:r>
      <w:r w:rsidR="00DE2CBF" w:rsidRPr="00AB0534">
        <w:rPr>
          <w:rStyle w:val="normaltextrun"/>
        </w:rPr>
        <w:t>ssessment</w:t>
      </w:r>
    </w:p>
    <w:p w14:paraId="037426A8" w14:textId="299AA4CF" w:rsidR="007F1E95" w:rsidRDefault="00DE2CBF" w:rsidP="00722B16">
      <w:r>
        <w:t xml:space="preserve">HTA </w:t>
      </w:r>
      <w:r w:rsidR="00926921">
        <w:t>is a multidisciplinary process to determine the value of a health technology</w:t>
      </w:r>
      <w:r w:rsidR="00F141A2">
        <w:t>.</w:t>
      </w:r>
      <w:r w:rsidR="00926921">
        <w:rPr>
          <w:rStyle w:val="FootnoteReference"/>
        </w:rPr>
        <w:footnoteReference w:id="2"/>
      </w:r>
      <w:r w:rsidR="0009634F">
        <w:t xml:space="preserve"> </w:t>
      </w:r>
      <w:r w:rsidR="00926921">
        <w:t xml:space="preserve">The main purpose of HTA is to inform </w:t>
      </w:r>
      <w:r w:rsidR="00506895">
        <w:t>policy decision</w:t>
      </w:r>
      <w:r w:rsidR="00F141A2">
        <w:t>-</w:t>
      </w:r>
      <w:r w:rsidR="00506895">
        <w:t xml:space="preserve">making. </w:t>
      </w:r>
    </w:p>
    <w:p w14:paraId="7E4D976C" w14:textId="3376F4DC" w:rsidR="00506895" w:rsidRDefault="00506895" w:rsidP="00722B16">
      <w:r>
        <w:t xml:space="preserve">In the context of the </w:t>
      </w:r>
      <w:r w:rsidR="00587C80">
        <w:t>g</w:t>
      </w:r>
      <w:r>
        <w:t xml:space="preserve">uidelines, the main </w:t>
      </w:r>
      <w:r w:rsidR="00020005">
        <w:t>policy decision is whether a health technology should be publicly funded</w:t>
      </w:r>
      <w:r>
        <w:t>.</w:t>
      </w:r>
    </w:p>
    <w:p w14:paraId="7C8A7721" w14:textId="45F3B536" w:rsidR="00020005" w:rsidRDefault="00B37846" w:rsidP="00722B16">
      <w:pPr>
        <w:pStyle w:val="NormalBeforeBullet"/>
      </w:pPr>
      <w:r w:rsidRPr="0085364B">
        <w:t xml:space="preserve">The goal of </w:t>
      </w:r>
      <w:r>
        <w:t>HTA</w:t>
      </w:r>
      <w:r w:rsidRPr="0085364B">
        <w:t xml:space="preserve"> is to identify the highest</w:t>
      </w:r>
      <w:r>
        <w:t>-</w:t>
      </w:r>
      <w:r w:rsidRPr="0085364B">
        <w:t xml:space="preserve">quality evidence of the benefits, harms and costs of the health technology, </w:t>
      </w:r>
      <w:r>
        <w:t xml:space="preserve">and to </w:t>
      </w:r>
      <w:r w:rsidRPr="0085364B">
        <w:t>analyse and interpret the findings</w:t>
      </w:r>
      <w:r>
        <w:t xml:space="preserve"> to determine value</w:t>
      </w:r>
      <w:r w:rsidR="0009634F">
        <w:t xml:space="preserve">. Value </w:t>
      </w:r>
      <w:r w:rsidR="004C3948">
        <w:t>involves</w:t>
      </w:r>
      <w:r w:rsidR="00020005">
        <w:t>:</w:t>
      </w:r>
      <w:r w:rsidR="0009634F">
        <w:t xml:space="preserve"> </w:t>
      </w:r>
    </w:p>
    <w:p w14:paraId="553C00F6" w14:textId="317BB5C1" w:rsidR="00020005" w:rsidRDefault="0009634F" w:rsidP="00866F7D">
      <w:pPr>
        <w:pStyle w:val="ListParagraph"/>
        <w:numPr>
          <w:ilvl w:val="0"/>
          <w:numId w:val="24"/>
        </w:numPr>
      </w:pPr>
      <w:r>
        <w:t>clinical effectiveness</w:t>
      </w:r>
      <w:r w:rsidR="00020005">
        <w:t xml:space="preserve"> – does the health technology work?</w:t>
      </w:r>
    </w:p>
    <w:p w14:paraId="4ACF539C" w14:textId="71F87E7C" w:rsidR="00020005" w:rsidRDefault="0009634F" w:rsidP="00866F7D">
      <w:pPr>
        <w:pStyle w:val="ListParagraph"/>
        <w:numPr>
          <w:ilvl w:val="0"/>
          <w:numId w:val="24"/>
        </w:numPr>
      </w:pPr>
      <w:r>
        <w:t>safety</w:t>
      </w:r>
      <w:r w:rsidR="00020005">
        <w:t xml:space="preserve"> – is it safe to use?</w:t>
      </w:r>
      <w:r>
        <w:t xml:space="preserve"> </w:t>
      </w:r>
    </w:p>
    <w:p w14:paraId="26C03952" w14:textId="77777777" w:rsidR="00020005" w:rsidRDefault="0009634F" w:rsidP="00866F7D">
      <w:pPr>
        <w:pStyle w:val="ListParagraph"/>
        <w:numPr>
          <w:ilvl w:val="0"/>
          <w:numId w:val="24"/>
        </w:numPr>
      </w:pPr>
      <w:r>
        <w:t xml:space="preserve">costs </w:t>
      </w:r>
      <w:r w:rsidR="00020005">
        <w:t>– how much will it cost to use?</w:t>
      </w:r>
    </w:p>
    <w:p w14:paraId="5FFBCF72" w14:textId="644E0118" w:rsidR="00586750" w:rsidRDefault="0009634F" w:rsidP="004B408D">
      <w:pPr>
        <w:pStyle w:val="ListParagraph"/>
        <w:numPr>
          <w:ilvl w:val="0"/>
          <w:numId w:val="24"/>
        </w:numPr>
      </w:pPr>
      <w:r>
        <w:t>economic implications</w:t>
      </w:r>
      <w:r w:rsidR="00020005">
        <w:t xml:space="preserve"> – is it good value for money?</w:t>
      </w:r>
    </w:p>
    <w:p w14:paraId="38441A45" w14:textId="1C45A9AC" w:rsidR="00020005" w:rsidRPr="00020005" w:rsidRDefault="00FF27EE" w:rsidP="004B408D">
      <w:pPr>
        <w:pStyle w:val="ListParagraph"/>
        <w:numPr>
          <w:ilvl w:val="0"/>
          <w:numId w:val="24"/>
        </w:numPr>
      </w:pPr>
      <w:r>
        <w:t>information encompassing the value of knowing, ethical, organisational, patient and social,</w:t>
      </w:r>
      <w:r w:rsidR="00155AE8">
        <w:t xml:space="preserve"> legal or environmental aspects, and whether a rule of rescue applies </w:t>
      </w:r>
      <w:r w:rsidR="00020005" w:rsidRPr="00561C68">
        <w:t xml:space="preserve">– are there other </w:t>
      </w:r>
      <w:r w:rsidR="00020005" w:rsidRPr="00FD2EF5">
        <w:t>important aspects of the health</w:t>
      </w:r>
      <w:r w:rsidR="00020005" w:rsidRPr="00950B18">
        <w:t xml:space="preserve"> technology that might influence the decision to fund it?</w:t>
      </w:r>
    </w:p>
    <w:p w14:paraId="72766894" w14:textId="48069C29" w:rsidR="007627C2" w:rsidRDefault="00587C80" w:rsidP="00722B16">
      <w:r>
        <w:t>H</w:t>
      </w:r>
      <w:r w:rsidR="007627C2">
        <w:t xml:space="preserve">ealth impacts and costs are measured against what is already </w:t>
      </w:r>
      <w:r w:rsidR="00077DDF">
        <w:t>used</w:t>
      </w:r>
      <w:r w:rsidR="007627C2">
        <w:t xml:space="preserve"> (called the comparator). </w:t>
      </w:r>
      <w:r>
        <w:t>This helps decide</w:t>
      </w:r>
      <w:r w:rsidR="007627C2">
        <w:t xml:space="preserve"> whether the extra benefits from a new health technology are enough to justify any extra costs to the health care system. </w:t>
      </w:r>
    </w:p>
    <w:p w14:paraId="244A6D32" w14:textId="61166F72" w:rsidR="00587C80" w:rsidRDefault="00587C80" w:rsidP="00722B16">
      <w:r>
        <w:t>The HTA is provided as an assessment report for MSAC to consider.</w:t>
      </w:r>
    </w:p>
    <w:p w14:paraId="2B713076" w14:textId="79FD5BDB" w:rsidR="008371CE" w:rsidRPr="008371CE" w:rsidRDefault="007F1E95" w:rsidP="00AB0534">
      <w:pPr>
        <w:pStyle w:val="Heading2"/>
      </w:pPr>
      <w:r>
        <w:t>Factors that influence MSAC decisions</w:t>
      </w:r>
    </w:p>
    <w:p w14:paraId="04D1CBF1" w14:textId="5C8C5F88" w:rsidR="00901EE6" w:rsidRDefault="00901EE6" w:rsidP="00722B16">
      <w:r>
        <w:t>MSAC provides advice to the Minister for Health</w:t>
      </w:r>
      <w:r w:rsidR="00586750">
        <w:t xml:space="preserve"> </w:t>
      </w:r>
      <w:r w:rsidR="004C3948">
        <w:t xml:space="preserve">about </w:t>
      </w:r>
      <w:r w:rsidR="0079338B">
        <w:t>whether</w:t>
      </w:r>
      <w:r>
        <w:t xml:space="preserve"> health technologies </w:t>
      </w:r>
      <w:r w:rsidR="0079338B">
        <w:t xml:space="preserve">should be </w:t>
      </w:r>
      <w:r w:rsidR="00F1179D">
        <w:t>funded</w:t>
      </w:r>
      <w:r w:rsidR="0079338B">
        <w:t xml:space="preserve"> </w:t>
      </w:r>
      <w:r>
        <w:t>on the MBS. MSAC also provides advice to other decision</w:t>
      </w:r>
      <w:r w:rsidR="004C3948">
        <w:t>-</w:t>
      </w:r>
      <w:r>
        <w:t xml:space="preserve">makers such as </w:t>
      </w:r>
      <w:r w:rsidRPr="0025148D">
        <w:t xml:space="preserve">the Health Council </w:t>
      </w:r>
      <w:r>
        <w:t>and the</w:t>
      </w:r>
      <w:r w:rsidRPr="0025148D">
        <w:t xml:space="preserve"> National Blood Authority</w:t>
      </w:r>
      <w:r>
        <w:t xml:space="preserve">. </w:t>
      </w:r>
    </w:p>
    <w:p w14:paraId="7F897FC3" w14:textId="4B19111A" w:rsidR="00901EE6" w:rsidRDefault="00901EE6" w:rsidP="00722B16">
      <w:pPr>
        <w:pStyle w:val="NormalBeforeBullet"/>
      </w:pPr>
      <w:r>
        <w:t xml:space="preserve">When MSAC considers a health technology, it is </w:t>
      </w:r>
      <w:r w:rsidR="004C3948">
        <w:t xml:space="preserve">mainly </w:t>
      </w:r>
      <w:r>
        <w:t>informed by:</w:t>
      </w:r>
    </w:p>
    <w:p w14:paraId="7B68C498" w14:textId="1BB1EC70" w:rsidR="00E40601" w:rsidRDefault="004C3948" w:rsidP="00901EE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E40601">
        <w:rPr>
          <w:rFonts w:ascii="Calibri" w:hAnsi="Calibri" w:cs="Calibri"/>
        </w:rPr>
        <w:t>he clinical need for the new health technology</w:t>
      </w:r>
    </w:p>
    <w:p w14:paraId="58F76A47" w14:textId="4151E0A2" w:rsidR="00901EE6" w:rsidRPr="00B17296" w:rsidRDefault="004C3948" w:rsidP="00901EE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901EE6" w:rsidRPr="00B17296">
        <w:rPr>
          <w:rFonts w:ascii="Calibri" w:hAnsi="Calibri" w:cs="Calibri"/>
        </w:rPr>
        <w:t>mprovements in health</w:t>
      </w:r>
      <w:r>
        <w:rPr>
          <w:rFonts w:ascii="Calibri" w:hAnsi="Calibri" w:cs="Calibri"/>
        </w:rPr>
        <w:t xml:space="preserve"> as a result of the health technology</w:t>
      </w:r>
      <w:r w:rsidR="00901EE6" w:rsidRPr="00B17296">
        <w:rPr>
          <w:rFonts w:ascii="Calibri" w:hAnsi="Calibri" w:cs="Calibri"/>
        </w:rPr>
        <w:t xml:space="preserve">, often measured as </w:t>
      </w:r>
      <w:r>
        <w:rPr>
          <w:rFonts w:ascii="Calibri" w:hAnsi="Calibri" w:cs="Calibri"/>
        </w:rPr>
        <w:t>longer</w:t>
      </w:r>
      <w:r w:rsidR="00663E01">
        <w:rPr>
          <w:rFonts w:ascii="Calibri" w:hAnsi="Calibri" w:cs="Calibri"/>
        </w:rPr>
        <w:t xml:space="preserve"> </w:t>
      </w:r>
      <w:r w:rsidR="00901EE6" w:rsidRPr="00B17296">
        <w:rPr>
          <w:rFonts w:ascii="Calibri" w:hAnsi="Calibri" w:cs="Calibri"/>
        </w:rPr>
        <w:t xml:space="preserve">life or better quality </w:t>
      </w:r>
      <w:r w:rsidR="00E40601">
        <w:rPr>
          <w:rFonts w:ascii="Calibri" w:hAnsi="Calibri" w:cs="Calibri"/>
        </w:rPr>
        <w:t xml:space="preserve">of </w:t>
      </w:r>
      <w:r w:rsidR="00901EE6" w:rsidRPr="00B17296">
        <w:rPr>
          <w:rFonts w:ascii="Calibri" w:hAnsi="Calibri" w:cs="Calibri"/>
        </w:rPr>
        <w:t>life, or both</w:t>
      </w:r>
    </w:p>
    <w:p w14:paraId="26B50B2C" w14:textId="5444EBAF" w:rsidR="00901EE6" w:rsidRDefault="004C3948" w:rsidP="00901EE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901EE6" w:rsidRPr="00B17296">
        <w:rPr>
          <w:rFonts w:ascii="Calibri" w:hAnsi="Calibri" w:cs="Calibri"/>
        </w:rPr>
        <w:t xml:space="preserve">he cost of the </w:t>
      </w:r>
      <w:r w:rsidR="00901EE6">
        <w:rPr>
          <w:rFonts w:ascii="Calibri" w:hAnsi="Calibri" w:cs="Calibri"/>
        </w:rPr>
        <w:t xml:space="preserve">health </w:t>
      </w:r>
      <w:r w:rsidR="00901EE6" w:rsidRPr="00B17296">
        <w:rPr>
          <w:rFonts w:ascii="Calibri" w:hAnsi="Calibri" w:cs="Calibri"/>
        </w:rPr>
        <w:t>technology relative to how much it impro</w:t>
      </w:r>
      <w:r w:rsidR="00901EE6">
        <w:rPr>
          <w:rFonts w:ascii="Calibri" w:hAnsi="Calibri" w:cs="Calibri"/>
        </w:rPr>
        <w:t>ves health (cost-effectiveness)</w:t>
      </w:r>
      <w:r>
        <w:rPr>
          <w:rFonts w:ascii="Calibri" w:hAnsi="Calibri" w:cs="Calibri"/>
        </w:rPr>
        <w:t>,</w:t>
      </w:r>
      <w:r w:rsidR="00901EE6">
        <w:rPr>
          <w:rFonts w:ascii="Calibri" w:hAnsi="Calibri" w:cs="Calibri"/>
        </w:rPr>
        <w:t xml:space="preserve"> and</w:t>
      </w:r>
    </w:p>
    <w:p w14:paraId="0A7A679C" w14:textId="2568C1EF" w:rsidR="00901EE6" w:rsidRDefault="004C3948" w:rsidP="00901EE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</w:t>
      </w:r>
      <w:r w:rsidR="00901EE6">
        <w:rPr>
          <w:rFonts w:ascii="Calibri" w:hAnsi="Calibri" w:cs="Calibri"/>
        </w:rPr>
        <w:t>he cost of making the health technology available (financial impact).</w:t>
      </w:r>
    </w:p>
    <w:p w14:paraId="14E5903C" w14:textId="4F8D0F76" w:rsidR="00901EE6" w:rsidRDefault="00901EE6" w:rsidP="00722B16">
      <w:pPr>
        <w:pStyle w:val="NormalBeforeBullet"/>
      </w:pPr>
      <w:r>
        <w:t xml:space="preserve">MSAC also considers other </w:t>
      </w:r>
      <w:r w:rsidR="0079338B">
        <w:t xml:space="preserve">relevant </w:t>
      </w:r>
      <w:r>
        <w:t>factors:</w:t>
      </w:r>
    </w:p>
    <w:p w14:paraId="45DB08FD" w14:textId="7D237D3E" w:rsidR="00901EE6" w:rsidRPr="00486B0A" w:rsidRDefault="00A14D3C" w:rsidP="00901EE6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F1179D">
        <w:rPr>
          <w:rFonts w:ascii="Calibri" w:hAnsi="Calibri" w:cs="Calibri"/>
        </w:rPr>
        <w:t xml:space="preserve">quity – </w:t>
      </w:r>
      <w:r>
        <w:rPr>
          <w:rFonts w:ascii="Calibri" w:hAnsi="Calibri" w:cs="Calibri"/>
        </w:rPr>
        <w:t>will</w:t>
      </w:r>
      <w:r w:rsidR="00901EE6" w:rsidRPr="00486B0A">
        <w:rPr>
          <w:rFonts w:ascii="Calibri" w:hAnsi="Calibri" w:cs="Calibri"/>
        </w:rPr>
        <w:t xml:space="preserve"> funding the health technology improve access to health </w:t>
      </w:r>
      <w:r w:rsidR="004C3948">
        <w:rPr>
          <w:rFonts w:ascii="Calibri" w:hAnsi="Calibri" w:cs="Calibri"/>
        </w:rPr>
        <w:t xml:space="preserve">care </w:t>
      </w:r>
      <w:r w:rsidR="00901EE6" w:rsidRPr="00486B0A">
        <w:rPr>
          <w:rFonts w:ascii="Calibri" w:hAnsi="Calibri" w:cs="Calibri"/>
        </w:rPr>
        <w:t xml:space="preserve">for all people or will </w:t>
      </w:r>
      <w:r>
        <w:rPr>
          <w:rFonts w:ascii="Calibri" w:hAnsi="Calibri" w:cs="Calibri"/>
        </w:rPr>
        <w:t xml:space="preserve">it </w:t>
      </w:r>
      <w:r w:rsidR="00901EE6" w:rsidRPr="00486B0A">
        <w:rPr>
          <w:rFonts w:ascii="Calibri" w:hAnsi="Calibri" w:cs="Calibri"/>
        </w:rPr>
        <w:t>favour a group</w:t>
      </w:r>
      <w:r w:rsidR="00F1179D">
        <w:rPr>
          <w:rFonts w:ascii="Calibri" w:hAnsi="Calibri" w:cs="Calibri"/>
        </w:rPr>
        <w:t xml:space="preserve"> of people</w:t>
      </w:r>
      <w:r>
        <w:rPr>
          <w:rFonts w:ascii="Calibri" w:hAnsi="Calibri" w:cs="Calibri"/>
        </w:rPr>
        <w:t>?</w:t>
      </w:r>
      <w:r w:rsidR="00901EE6" w:rsidRPr="00486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 w:rsidR="00901EE6" w:rsidRPr="00486B0A">
        <w:rPr>
          <w:rFonts w:ascii="Calibri" w:hAnsi="Calibri" w:cs="Calibri"/>
        </w:rPr>
        <w:t xml:space="preserve">ill </w:t>
      </w:r>
      <w:r>
        <w:rPr>
          <w:rFonts w:ascii="Calibri" w:hAnsi="Calibri" w:cs="Calibri"/>
        </w:rPr>
        <w:t xml:space="preserve">this </w:t>
      </w:r>
      <w:r w:rsidR="00901EE6" w:rsidRPr="00486B0A">
        <w:rPr>
          <w:rFonts w:ascii="Calibri" w:hAnsi="Calibri" w:cs="Calibri"/>
        </w:rPr>
        <w:t>increase or decrease fairness in the health care system</w:t>
      </w:r>
      <w:r>
        <w:rPr>
          <w:rFonts w:ascii="Calibri" w:hAnsi="Calibri" w:cs="Calibri"/>
        </w:rPr>
        <w:t>?</w:t>
      </w:r>
    </w:p>
    <w:p w14:paraId="7EF4BEC7" w14:textId="73077BDF" w:rsidR="00901EE6" w:rsidRDefault="00A14D3C" w:rsidP="00901EE6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F1179D">
        <w:rPr>
          <w:rFonts w:ascii="Calibri" w:hAnsi="Calibri" w:cs="Calibri"/>
        </w:rPr>
        <w:t xml:space="preserve">alue of knowing – </w:t>
      </w:r>
      <w:r>
        <w:rPr>
          <w:rFonts w:ascii="Calibri" w:hAnsi="Calibri" w:cs="Calibri"/>
        </w:rPr>
        <w:t>does the</w:t>
      </w:r>
      <w:r w:rsidR="00F1179D">
        <w:rPr>
          <w:rFonts w:ascii="Calibri" w:hAnsi="Calibri" w:cs="Calibri"/>
        </w:rPr>
        <w:t xml:space="preserve"> medical</w:t>
      </w:r>
      <w:r w:rsidR="004C3948">
        <w:rPr>
          <w:rFonts w:ascii="Calibri" w:hAnsi="Calibri" w:cs="Calibri"/>
        </w:rPr>
        <w:t xml:space="preserve"> test</w:t>
      </w:r>
      <w:r w:rsidR="004C3948" w:rsidRPr="00486B0A">
        <w:rPr>
          <w:rFonts w:ascii="Calibri" w:hAnsi="Calibri" w:cs="Calibri"/>
        </w:rPr>
        <w:t xml:space="preserve"> </w:t>
      </w:r>
      <w:r w:rsidR="00F1179D">
        <w:rPr>
          <w:rFonts w:ascii="Calibri" w:hAnsi="Calibri" w:cs="Calibri"/>
        </w:rPr>
        <w:t>provide information to make treatment decisions</w:t>
      </w:r>
      <w:r>
        <w:rPr>
          <w:rFonts w:ascii="Calibri" w:hAnsi="Calibri" w:cs="Calibri"/>
        </w:rPr>
        <w:t>?</w:t>
      </w:r>
      <w:r w:rsidR="00F117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If not, does it provide information that</w:t>
      </w:r>
      <w:r w:rsidR="00F1179D" w:rsidRPr="00486B0A">
        <w:rPr>
          <w:rFonts w:ascii="Calibri" w:hAnsi="Calibri" w:cs="Calibri"/>
        </w:rPr>
        <w:t xml:space="preserve"> </w:t>
      </w:r>
      <w:r w:rsidR="00901EE6" w:rsidRPr="00486B0A">
        <w:rPr>
          <w:rFonts w:ascii="Calibri" w:hAnsi="Calibri" w:cs="Calibri"/>
        </w:rPr>
        <w:t>is valued by patients, families or carers</w:t>
      </w:r>
      <w:r w:rsidR="00901EE6">
        <w:rPr>
          <w:rFonts w:ascii="Calibri" w:hAnsi="Calibri" w:cs="Calibri"/>
        </w:rPr>
        <w:t xml:space="preserve"> </w:t>
      </w:r>
      <w:r w:rsidR="00F1179D">
        <w:rPr>
          <w:rFonts w:ascii="Calibri" w:hAnsi="Calibri" w:cs="Calibri"/>
        </w:rPr>
        <w:t>in some other way</w:t>
      </w:r>
      <w:r>
        <w:rPr>
          <w:rFonts w:ascii="Calibri" w:hAnsi="Calibri" w:cs="Calibri"/>
        </w:rPr>
        <w:t>?</w:t>
      </w:r>
    </w:p>
    <w:p w14:paraId="24892EB6" w14:textId="7902C2F4" w:rsidR="004A641B" w:rsidRPr="00486B0A" w:rsidRDefault="00A14D3C" w:rsidP="00901EE6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Alternatives – is there</w:t>
      </w:r>
      <w:r w:rsidR="004A641B">
        <w:rPr>
          <w:rFonts w:ascii="Calibri" w:hAnsi="Calibri" w:cs="Calibri"/>
        </w:rPr>
        <w:t xml:space="preserve"> an effective alternative already available</w:t>
      </w:r>
      <w:r>
        <w:rPr>
          <w:rFonts w:ascii="Calibri" w:hAnsi="Calibri" w:cs="Calibri"/>
        </w:rPr>
        <w:t>?</w:t>
      </w:r>
    </w:p>
    <w:p w14:paraId="0E47D594" w14:textId="55889DEC" w:rsidR="00901EE6" w:rsidRPr="00486B0A" w:rsidRDefault="00A14D3C" w:rsidP="00901EE6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Organisational issues – is</w:t>
      </w:r>
      <w:r w:rsidR="00901EE6">
        <w:rPr>
          <w:rFonts w:ascii="Calibri" w:hAnsi="Calibri" w:cs="Calibri"/>
        </w:rPr>
        <w:t xml:space="preserve"> the </w:t>
      </w:r>
      <w:r w:rsidR="00901EE6" w:rsidRPr="00486B0A">
        <w:rPr>
          <w:rFonts w:ascii="Calibri" w:hAnsi="Calibri" w:cs="Calibri"/>
        </w:rPr>
        <w:t xml:space="preserve">health care system </w:t>
      </w:r>
      <w:r w:rsidR="00901EE6">
        <w:rPr>
          <w:rFonts w:ascii="Calibri" w:hAnsi="Calibri" w:cs="Calibri"/>
        </w:rPr>
        <w:t xml:space="preserve">ready </w:t>
      </w:r>
      <w:r w:rsidR="00901EE6" w:rsidRPr="00486B0A">
        <w:rPr>
          <w:rFonts w:ascii="Calibri" w:hAnsi="Calibri" w:cs="Calibri"/>
        </w:rPr>
        <w:t>to provide the health technology</w:t>
      </w:r>
      <w:r>
        <w:rPr>
          <w:rFonts w:ascii="Calibri" w:hAnsi="Calibri" w:cs="Calibri"/>
        </w:rPr>
        <w:t>?</w:t>
      </w:r>
      <w:r w:rsidR="00901E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 there</w:t>
      </w:r>
      <w:r w:rsidR="00901EE6">
        <w:rPr>
          <w:rFonts w:ascii="Calibri" w:hAnsi="Calibri" w:cs="Calibri"/>
        </w:rPr>
        <w:t xml:space="preserve"> barriers such as lack of </w:t>
      </w:r>
      <w:r w:rsidR="00262D27">
        <w:rPr>
          <w:rFonts w:ascii="Calibri" w:hAnsi="Calibri" w:cs="Calibri"/>
        </w:rPr>
        <w:t>an appropriately trained workforce</w:t>
      </w:r>
      <w:r w:rsidR="00901EE6">
        <w:rPr>
          <w:rFonts w:ascii="Calibri" w:hAnsi="Calibri" w:cs="Calibri"/>
        </w:rPr>
        <w:t xml:space="preserve">, poor communication systems or </w:t>
      </w:r>
      <w:r w:rsidR="00262D27">
        <w:rPr>
          <w:rFonts w:ascii="Calibri" w:hAnsi="Calibri" w:cs="Calibri"/>
        </w:rPr>
        <w:t xml:space="preserve">suboptimal </w:t>
      </w:r>
      <w:r w:rsidR="00901EE6">
        <w:rPr>
          <w:rFonts w:ascii="Calibri" w:hAnsi="Calibri" w:cs="Calibri"/>
        </w:rPr>
        <w:t>patient referral processes</w:t>
      </w:r>
      <w:r>
        <w:rPr>
          <w:rFonts w:ascii="Calibri" w:hAnsi="Calibri" w:cs="Calibri"/>
        </w:rPr>
        <w:t>?</w:t>
      </w:r>
    </w:p>
    <w:p w14:paraId="74D936D9" w14:textId="4F03B87E" w:rsidR="00901EE6" w:rsidRDefault="00A14D3C" w:rsidP="00901EE6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901EE6" w:rsidRPr="00486B0A">
        <w:rPr>
          <w:rFonts w:ascii="Calibri" w:hAnsi="Calibri" w:cs="Calibri"/>
        </w:rPr>
        <w:t>thical and social concerns</w:t>
      </w:r>
      <w:r>
        <w:rPr>
          <w:rFonts w:ascii="Calibri" w:hAnsi="Calibri" w:cs="Calibri"/>
        </w:rPr>
        <w:t xml:space="preserve"> –</w:t>
      </w:r>
      <w:r w:rsidR="00901EE6" w:rsidRPr="00486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 there any</w:t>
      </w:r>
      <w:r w:rsidRPr="00486B0A">
        <w:rPr>
          <w:rFonts w:ascii="Calibri" w:hAnsi="Calibri" w:cs="Calibri"/>
        </w:rPr>
        <w:t xml:space="preserve"> </w:t>
      </w:r>
      <w:r w:rsidR="00901EE6" w:rsidRPr="00486B0A">
        <w:rPr>
          <w:rFonts w:ascii="Calibri" w:hAnsi="Calibri" w:cs="Calibri"/>
        </w:rPr>
        <w:t>issues about privacy, respect</w:t>
      </w:r>
      <w:r>
        <w:rPr>
          <w:rFonts w:ascii="Calibri" w:hAnsi="Calibri" w:cs="Calibri"/>
        </w:rPr>
        <w:t xml:space="preserve"> or</w:t>
      </w:r>
      <w:r w:rsidR="00901EE6" w:rsidRPr="00486B0A">
        <w:rPr>
          <w:rFonts w:ascii="Calibri" w:hAnsi="Calibri" w:cs="Calibri"/>
        </w:rPr>
        <w:t xml:space="preserve"> autonomy</w:t>
      </w:r>
      <w:r>
        <w:rPr>
          <w:rFonts w:ascii="Calibri" w:hAnsi="Calibri" w:cs="Calibri"/>
        </w:rPr>
        <w:t>?</w:t>
      </w:r>
      <w:r w:rsidR="00901EE6" w:rsidRPr="00486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Does</w:t>
      </w:r>
      <w:r w:rsidR="00901EE6" w:rsidRPr="00486B0A">
        <w:rPr>
          <w:rFonts w:ascii="Calibri" w:hAnsi="Calibri" w:cs="Calibri"/>
        </w:rPr>
        <w:t xml:space="preserve"> the health technology </w:t>
      </w:r>
      <w:r>
        <w:rPr>
          <w:rFonts w:ascii="Calibri" w:hAnsi="Calibri" w:cs="Calibri"/>
        </w:rPr>
        <w:t>produce the same type of benefits</w:t>
      </w:r>
      <w:r w:rsidR="00901EE6" w:rsidRPr="00486B0A">
        <w:rPr>
          <w:rFonts w:ascii="Calibri" w:hAnsi="Calibri" w:cs="Calibri"/>
        </w:rPr>
        <w:t xml:space="preserve"> as those that are valued by patients and their families</w:t>
      </w:r>
      <w:r>
        <w:rPr>
          <w:rFonts w:ascii="Calibri" w:hAnsi="Calibri" w:cs="Calibri"/>
        </w:rPr>
        <w:t>?</w:t>
      </w:r>
    </w:p>
    <w:p w14:paraId="67D70899" w14:textId="23652895" w:rsidR="004C3948" w:rsidRDefault="003E5DFB" w:rsidP="00722B16">
      <w:pPr>
        <w:pStyle w:val="NormalBeforeBullet"/>
      </w:pPr>
      <w:r>
        <w:t xml:space="preserve">To fully evaluate the value of a health technology, input is </w:t>
      </w:r>
      <w:r w:rsidR="004C3948">
        <w:t xml:space="preserve">needed </w:t>
      </w:r>
      <w:r>
        <w:t>from</w:t>
      </w:r>
      <w:r w:rsidR="004C3948">
        <w:t>:</w:t>
      </w:r>
      <w:r>
        <w:t xml:space="preserve"> </w:t>
      </w:r>
    </w:p>
    <w:p w14:paraId="460A458D" w14:textId="250A801E" w:rsidR="004C3948" w:rsidRDefault="004A641B" w:rsidP="00866F7D">
      <w:pPr>
        <w:pStyle w:val="ListParagraph"/>
        <w:numPr>
          <w:ilvl w:val="0"/>
          <w:numId w:val="20"/>
        </w:numPr>
        <w:jc w:val="both"/>
      </w:pPr>
      <w:r>
        <w:t>research studies,</w:t>
      </w:r>
      <w:r w:rsidR="004C3948">
        <w:t xml:space="preserve"> </w:t>
      </w:r>
      <w:r>
        <w:t>clinical evidence</w:t>
      </w:r>
      <w:r w:rsidR="003E5DFB">
        <w:t xml:space="preserve"> and analyses</w:t>
      </w:r>
      <w:r w:rsidR="004C3948">
        <w:t xml:space="preserve"> – this is described in the </w:t>
      </w:r>
      <w:r w:rsidR="007F1E95">
        <w:t>g</w:t>
      </w:r>
      <w:r w:rsidR="004C3948">
        <w:t>uidelines</w:t>
      </w:r>
    </w:p>
    <w:p w14:paraId="10B027B8" w14:textId="378AF78A" w:rsidR="004C3948" w:rsidRDefault="003E5DFB" w:rsidP="00866F7D">
      <w:pPr>
        <w:pStyle w:val="ListParagraph"/>
        <w:numPr>
          <w:ilvl w:val="0"/>
          <w:numId w:val="20"/>
        </w:numPr>
        <w:jc w:val="both"/>
      </w:pPr>
      <w:r>
        <w:t xml:space="preserve">a range of stakeholders, including consumers, </w:t>
      </w:r>
      <w:r w:rsidR="00155AE8">
        <w:t xml:space="preserve">practitioners </w:t>
      </w:r>
      <w:r>
        <w:t>and experts</w:t>
      </w:r>
      <w:r w:rsidR="004C3948">
        <w:t xml:space="preserve"> – this helps MSAC decide </w:t>
      </w:r>
      <w:r w:rsidR="00156E27">
        <w:t>about the value of the</w:t>
      </w:r>
      <w:r w:rsidR="004C3948">
        <w:t xml:space="preserve"> health technology</w:t>
      </w:r>
      <w:r w:rsidR="00156E27">
        <w:t>.</w:t>
      </w:r>
      <w:r w:rsidR="001A56F4">
        <w:t xml:space="preserve"> </w:t>
      </w:r>
    </w:p>
    <w:p w14:paraId="4C1A29DA" w14:textId="68B01FC0" w:rsidR="00901EE6" w:rsidRPr="001E2144" w:rsidRDefault="00901EE6" w:rsidP="00AB0534">
      <w:pPr>
        <w:pStyle w:val="Heading2"/>
      </w:pPr>
      <w:r w:rsidRPr="001E2144">
        <w:t xml:space="preserve">Purpose of the </w:t>
      </w:r>
      <w:r w:rsidR="00587C80">
        <w:t>g</w:t>
      </w:r>
      <w:r w:rsidRPr="004F2DE9">
        <w:t>uidelines</w:t>
      </w:r>
    </w:p>
    <w:p w14:paraId="0C9E42AC" w14:textId="43480712" w:rsidR="00B37846" w:rsidRDefault="000B0514" w:rsidP="00722B16">
      <w:pPr>
        <w:pStyle w:val="NormalBeforeBullet"/>
      </w:pPr>
      <w:r w:rsidRPr="007A276C">
        <w:t>The</w:t>
      </w:r>
      <w:r>
        <w:t xml:space="preserve"> g</w:t>
      </w:r>
      <w:r w:rsidRPr="00CC2A3C">
        <w:t>uidelines</w:t>
      </w:r>
      <w:r w:rsidRPr="00C64639">
        <w:t xml:space="preserve"> </w:t>
      </w:r>
      <w:r>
        <w:t xml:space="preserve">help explain how to create assessments to inform MSAC’s decisions. </w:t>
      </w:r>
      <w:r w:rsidR="00644611">
        <w:t xml:space="preserve">Documents that are informed by the </w:t>
      </w:r>
      <w:r w:rsidR="00587C80">
        <w:t>g</w:t>
      </w:r>
      <w:r w:rsidR="00644611">
        <w:t>uidelines include the</w:t>
      </w:r>
      <w:r w:rsidR="00B37846">
        <w:t>:</w:t>
      </w:r>
      <w:r w:rsidR="00164B55">
        <w:t xml:space="preserve"> </w:t>
      </w:r>
    </w:p>
    <w:p w14:paraId="0C8CE206" w14:textId="7A301FAA" w:rsidR="00B37846" w:rsidRPr="00950B18" w:rsidRDefault="00164B55" w:rsidP="00866F7D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</w:rPr>
      </w:pPr>
      <w:r w:rsidRPr="00950B18">
        <w:rPr>
          <w:rFonts w:ascii="Calibri" w:hAnsi="Calibri" w:cs="Calibri"/>
        </w:rPr>
        <w:t>application form</w:t>
      </w:r>
    </w:p>
    <w:p w14:paraId="311EA92B" w14:textId="3306FF3A" w:rsidR="00B37846" w:rsidRPr="00950B18" w:rsidRDefault="00644611" w:rsidP="00866F7D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</w:rPr>
      </w:pPr>
      <w:r w:rsidRPr="00950B18">
        <w:rPr>
          <w:rFonts w:ascii="Calibri" w:hAnsi="Calibri" w:cs="Calibri"/>
        </w:rPr>
        <w:t>PICO confirmation</w:t>
      </w:r>
    </w:p>
    <w:p w14:paraId="701DB6F8" w14:textId="77777777" w:rsidR="00B37846" w:rsidRPr="00950B18" w:rsidRDefault="00644611" w:rsidP="00866F7D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</w:rPr>
      </w:pPr>
      <w:r w:rsidRPr="00950B18">
        <w:rPr>
          <w:rFonts w:ascii="Calibri" w:hAnsi="Calibri" w:cs="Calibri"/>
        </w:rPr>
        <w:t>assessment report</w:t>
      </w:r>
      <w:r w:rsidR="000B0514" w:rsidRPr="00950B18">
        <w:rPr>
          <w:rFonts w:ascii="Calibri" w:hAnsi="Calibri" w:cs="Calibri"/>
        </w:rPr>
        <w:t xml:space="preserve"> </w:t>
      </w:r>
    </w:p>
    <w:p w14:paraId="09BBDBCD" w14:textId="5799D028" w:rsidR="00164B55" w:rsidRPr="00950B18" w:rsidRDefault="000B0514" w:rsidP="00866F7D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</w:rPr>
      </w:pPr>
      <w:r w:rsidRPr="00950B18">
        <w:rPr>
          <w:rFonts w:ascii="Calibri" w:hAnsi="Calibri" w:cs="Calibri"/>
        </w:rPr>
        <w:t>commentary (if MSAC asks for a commentary)</w:t>
      </w:r>
      <w:r w:rsidR="00644611" w:rsidRPr="00950B18">
        <w:rPr>
          <w:rFonts w:ascii="Calibri" w:hAnsi="Calibri" w:cs="Calibri"/>
        </w:rPr>
        <w:t xml:space="preserve">. </w:t>
      </w:r>
    </w:p>
    <w:p w14:paraId="6D5D9CEE" w14:textId="0881D95F" w:rsidR="001E2144" w:rsidRPr="00AB0534" w:rsidRDefault="001E2144" w:rsidP="00AB0534">
      <w:pPr>
        <w:pStyle w:val="Heading3"/>
        <w:rPr>
          <w:rStyle w:val="normaltextrun"/>
        </w:rPr>
      </w:pPr>
      <w:r w:rsidRPr="00AB0534">
        <w:rPr>
          <w:rStyle w:val="normaltextrun"/>
        </w:rPr>
        <w:t>Application form</w:t>
      </w:r>
    </w:p>
    <w:p w14:paraId="5CBABD1B" w14:textId="4468EBC1" w:rsidR="00156E27" w:rsidRDefault="001E2144" w:rsidP="00722B16">
      <w:pPr>
        <w:pStyle w:val="NormalBeforeBullet"/>
      </w:pPr>
      <w:r>
        <w:t>The key components of an application form are</w:t>
      </w:r>
      <w:r w:rsidR="00156E27">
        <w:t xml:space="preserve"> known as the PICO:</w:t>
      </w:r>
      <w:r>
        <w:t xml:space="preserve"> </w:t>
      </w:r>
    </w:p>
    <w:p w14:paraId="1726C9D5" w14:textId="69472A9E" w:rsidR="00156E27" w:rsidRPr="00BB703F" w:rsidRDefault="00156E27" w:rsidP="00156E27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Population – </w:t>
      </w:r>
      <w:r w:rsidRPr="00BB703F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group</w:t>
      </w:r>
      <w:r w:rsidR="00E66797">
        <w:rPr>
          <w:rFonts w:ascii="Calibri" w:hAnsi="Calibri" w:cs="Calibri"/>
        </w:rPr>
        <w:t>(</w:t>
      </w:r>
      <w:r>
        <w:rPr>
          <w:rFonts w:ascii="Calibri" w:hAnsi="Calibri" w:cs="Calibri"/>
        </w:rPr>
        <w:t>s</w:t>
      </w:r>
      <w:r w:rsidR="00E66797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of people that</w:t>
      </w:r>
      <w:r w:rsidRPr="00BB70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health technology will be </w:t>
      </w:r>
      <w:r w:rsidR="00092910">
        <w:rPr>
          <w:rFonts w:ascii="Calibri" w:hAnsi="Calibri" w:cs="Calibri"/>
        </w:rPr>
        <w:t>funded for</w:t>
      </w:r>
      <w:r w:rsidR="00497A11">
        <w:rPr>
          <w:rFonts w:ascii="Calibri" w:hAnsi="Calibri" w:cs="Calibri"/>
        </w:rPr>
        <w:t>, including characteristics</w:t>
      </w:r>
      <w:r w:rsidR="00E66797">
        <w:rPr>
          <w:rFonts w:ascii="Calibri" w:hAnsi="Calibri" w:cs="Calibri"/>
        </w:rPr>
        <w:t xml:space="preserve"> of the condition(s)</w:t>
      </w:r>
    </w:p>
    <w:p w14:paraId="1A32AAB9" w14:textId="08293105" w:rsidR="00156E27" w:rsidRPr="00950B18" w:rsidRDefault="00156E27" w:rsidP="00866F7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Intervention – </w:t>
      </w:r>
      <w:r w:rsidR="001E2144" w:rsidRPr="00950B18">
        <w:rPr>
          <w:rFonts w:ascii="Calibri" w:hAnsi="Calibri" w:cs="Calibri"/>
        </w:rPr>
        <w:t xml:space="preserve">the </w:t>
      </w:r>
      <w:r w:rsidR="00070188" w:rsidRPr="00950B18">
        <w:rPr>
          <w:rFonts w:ascii="Calibri" w:hAnsi="Calibri" w:cs="Calibri"/>
        </w:rPr>
        <w:t>description of the health technology and how it is used</w:t>
      </w:r>
    </w:p>
    <w:p w14:paraId="2B872F8C" w14:textId="1BF40504" w:rsidR="00156E27" w:rsidRPr="00950B18" w:rsidRDefault="00156E27" w:rsidP="00866F7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Comparator – </w:t>
      </w:r>
      <w:r w:rsidR="00070188" w:rsidRPr="00950B18">
        <w:rPr>
          <w:rFonts w:ascii="Calibri" w:hAnsi="Calibri" w:cs="Calibri"/>
        </w:rPr>
        <w:t xml:space="preserve">what is currently </w:t>
      </w:r>
      <w:r w:rsidR="00CC2A3C" w:rsidRPr="00950B18">
        <w:rPr>
          <w:rFonts w:ascii="Calibri" w:hAnsi="Calibri" w:cs="Calibri"/>
        </w:rPr>
        <w:t>used</w:t>
      </w:r>
      <w:r w:rsidR="00070188" w:rsidRPr="00950B18">
        <w:rPr>
          <w:rFonts w:ascii="Calibri" w:hAnsi="Calibri" w:cs="Calibri"/>
        </w:rPr>
        <w:t xml:space="preserve"> </w:t>
      </w:r>
    </w:p>
    <w:p w14:paraId="0425D937" w14:textId="7B71184E" w:rsidR="00156E27" w:rsidRPr="00950B18" w:rsidRDefault="00156E27" w:rsidP="00866F7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Outcomes – </w:t>
      </w:r>
      <w:r w:rsidR="00070188" w:rsidRPr="00950B18">
        <w:rPr>
          <w:rFonts w:ascii="Calibri" w:hAnsi="Calibri" w:cs="Calibri"/>
        </w:rPr>
        <w:t xml:space="preserve">how </w:t>
      </w:r>
      <w:r>
        <w:rPr>
          <w:rFonts w:ascii="Calibri" w:hAnsi="Calibri" w:cs="Calibri"/>
        </w:rPr>
        <w:t>the</w:t>
      </w:r>
      <w:r w:rsidRPr="00950B18">
        <w:rPr>
          <w:rFonts w:ascii="Calibri" w:hAnsi="Calibri" w:cs="Calibri"/>
        </w:rPr>
        <w:t xml:space="preserve"> </w:t>
      </w:r>
      <w:r w:rsidR="00070188" w:rsidRPr="00950B18">
        <w:rPr>
          <w:rFonts w:ascii="Calibri" w:hAnsi="Calibri" w:cs="Calibri"/>
        </w:rPr>
        <w:t xml:space="preserve">impact </w:t>
      </w:r>
      <w:r>
        <w:rPr>
          <w:rFonts w:ascii="Calibri" w:hAnsi="Calibri" w:cs="Calibri"/>
        </w:rPr>
        <w:t xml:space="preserve">of the health technology </w:t>
      </w:r>
      <w:r w:rsidR="00070188" w:rsidRPr="00950B18">
        <w:rPr>
          <w:rFonts w:ascii="Calibri" w:hAnsi="Calibri" w:cs="Calibri"/>
        </w:rPr>
        <w:t xml:space="preserve">should be measured. </w:t>
      </w:r>
    </w:p>
    <w:p w14:paraId="29DFBCA5" w14:textId="77777777" w:rsidR="00156E27" w:rsidRDefault="00A4356D" w:rsidP="00722B16">
      <w:pPr>
        <w:pStyle w:val="NormalBeforeBullet"/>
      </w:pPr>
      <w:r>
        <w:t>Other information sought during the application process includes</w:t>
      </w:r>
      <w:r w:rsidR="00156E27">
        <w:t>:</w:t>
      </w:r>
      <w:r>
        <w:t xml:space="preserve"> </w:t>
      </w:r>
    </w:p>
    <w:p w14:paraId="4FD1DE81" w14:textId="6C9FD15E" w:rsidR="00156E27" w:rsidRPr="00866F7D" w:rsidRDefault="00A4356D" w:rsidP="00866F7D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 w:rsidRPr="00950B18">
        <w:rPr>
          <w:rFonts w:ascii="Calibri" w:hAnsi="Calibri" w:cs="Calibri"/>
        </w:rPr>
        <w:t>a clinical claim</w:t>
      </w:r>
      <w:r w:rsidR="000B0514">
        <w:rPr>
          <w:rFonts w:ascii="Calibri" w:hAnsi="Calibri" w:cs="Calibri"/>
        </w:rPr>
        <w:t xml:space="preserve"> – whether the health technology is better or no worse than the comparator</w:t>
      </w:r>
    </w:p>
    <w:p w14:paraId="70ABAC7F" w14:textId="4A2FE860" w:rsidR="00156E27" w:rsidRPr="00866F7D" w:rsidRDefault="00A4356D" w:rsidP="00866F7D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 w:rsidRPr="00866F7D">
        <w:rPr>
          <w:rFonts w:ascii="Calibri" w:hAnsi="Calibri" w:cs="Calibri"/>
        </w:rPr>
        <w:t xml:space="preserve">a summary of </w:t>
      </w:r>
      <w:r w:rsidR="00CC2A3C" w:rsidRPr="00866F7D">
        <w:rPr>
          <w:rFonts w:ascii="Calibri" w:hAnsi="Calibri" w:cs="Calibri"/>
        </w:rPr>
        <w:t>available</w:t>
      </w:r>
      <w:r w:rsidRPr="00866F7D">
        <w:rPr>
          <w:rFonts w:ascii="Calibri" w:hAnsi="Calibri" w:cs="Calibri"/>
        </w:rPr>
        <w:t xml:space="preserve"> evidence</w:t>
      </w:r>
    </w:p>
    <w:p w14:paraId="220DD277" w14:textId="372497C5" w:rsidR="00156E27" w:rsidRPr="00866F7D" w:rsidRDefault="00A4356D" w:rsidP="00866F7D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 w:rsidRPr="00866F7D">
        <w:rPr>
          <w:rFonts w:ascii="Calibri" w:hAnsi="Calibri" w:cs="Calibri"/>
        </w:rPr>
        <w:t>estimated use of the health technology</w:t>
      </w:r>
    </w:p>
    <w:p w14:paraId="0CBCE73B" w14:textId="11DF3D41" w:rsidR="00A4356D" w:rsidRPr="00866F7D" w:rsidRDefault="00A4356D" w:rsidP="00866F7D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 w:rsidRPr="00866F7D">
        <w:rPr>
          <w:rFonts w:ascii="Calibri" w:hAnsi="Calibri" w:cs="Calibri"/>
        </w:rPr>
        <w:t xml:space="preserve">information </w:t>
      </w:r>
      <w:r w:rsidR="00156E27" w:rsidRPr="00866F7D">
        <w:rPr>
          <w:rFonts w:ascii="Calibri" w:hAnsi="Calibri" w:cs="Calibri"/>
        </w:rPr>
        <w:t>about</w:t>
      </w:r>
      <w:r w:rsidRPr="00866F7D">
        <w:rPr>
          <w:rFonts w:ascii="Calibri" w:hAnsi="Calibri" w:cs="Calibri"/>
        </w:rPr>
        <w:t xml:space="preserve"> the cost of the health technology.</w:t>
      </w:r>
    </w:p>
    <w:p w14:paraId="5D2245A6" w14:textId="64F59D3A" w:rsidR="002F2C6E" w:rsidRPr="00A4356D" w:rsidRDefault="00A4356D" w:rsidP="00A4356D">
      <w:pPr>
        <w:pStyle w:val="Heading3"/>
        <w:rPr>
          <w:rStyle w:val="normaltextrun"/>
        </w:rPr>
      </w:pPr>
      <w:r w:rsidRPr="00A4356D">
        <w:rPr>
          <w:rStyle w:val="normaltextrun"/>
        </w:rPr>
        <w:t>PICO confirmation</w:t>
      </w:r>
    </w:p>
    <w:p w14:paraId="3D9DAFC8" w14:textId="48B3BED2" w:rsidR="00A4356D" w:rsidRDefault="00403AE6" w:rsidP="00722B16">
      <w:r>
        <w:t xml:space="preserve">The PICO confirmation is a document </w:t>
      </w:r>
      <w:r w:rsidR="00156E27">
        <w:t xml:space="preserve">that is </w:t>
      </w:r>
      <w:r>
        <w:t xml:space="preserve">prepared </w:t>
      </w:r>
      <w:r w:rsidR="00156E27">
        <w:t>before</w:t>
      </w:r>
      <w:r w:rsidR="00262D27">
        <w:t xml:space="preserve"> </w:t>
      </w:r>
      <w:r w:rsidR="008A20BF">
        <w:t xml:space="preserve">the </w:t>
      </w:r>
      <w:r>
        <w:t>assessment report</w:t>
      </w:r>
      <w:r w:rsidR="00156E27">
        <w:t xml:space="preserve"> </w:t>
      </w:r>
      <w:r w:rsidR="008A20BF">
        <w:t>is</w:t>
      </w:r>
      <w:r w:rsidR="00156E27">
        <w:t xml:space="preserve"> developed</w:t>
      </w:r>
      <w:r>
        <w:t xml:space="preserve">. </w:t>
      </w:r>
      <w:r w:rsidR="00127E9A">
        <w:t>It establishes</w:t>
      </w:r>
      <w:r>
        <w:t xml:space="preserve"> the appropriate population</w:t>
      </w:r>
      <w:r w:rsidR="00262D27">
        <w:t>(s)</w:t>
      </w:r>
      <w:r>
        <w:t>, comparator</w:t>
      </w:r>
      <w:r w:rsidR="00262D27">
        <w:t>(s)</w:t>
      </w:r>
      <w:r>
        <w:t xml:space="preserve"> and outcome</w:t>
      </w:r>
      <w:r w:rsidR="00262D27">
        <w:t>s</w:t>
      </w:r>
      <w:r>
        <w:t xml:space="preserve"> for the proposed </w:t>
      </w:r>
      <w:r>
        <w:lastRenderedPageBreak/>
        <w:t>intervention (health technology). It is informed by the application form</w:t>
      </w:r>
      <w:r w:rsidR="00156E27">
        <w:t>,</w:t>
      </w:r>
      <w:r>
        <w:t xml:space="preserve"> and by </w:t>
      </w:r>
      <w:r w:rsidR="00127E9A">
        <w:t xml:space="preserve">any extra </w:t>
      </w:r>
      <w:r>
        <w:t xml:space="preserve">searches and input from </w:t>
      </w:r>
      <w:r w:rsidR="004A641B">
        <w:t>stakeholders</w:t>
      </w:r>
      <w:r>
        <w:t xml:space="preserve"> and the applicant. </w:t>
      </w:r>
    </w:p>
    <w:p w14:paraId="46C8E178" w14:textId="203FCA8E" w:rsidR="00403AE6" w:rsidRDefault="00403AE6" w:rsidP="00722B16">
      <w:r>
        <w:t xml:space="preserve">The PICO confirmation may result in </w:t>
      </w:r>
      <w:r w:rsidR="00127E9A">
        <w:t xml:space="preserve">more than one </w:t>
      </w:r>
      <w:r>
        <w:t xml:space="preserve">PICO set </w:t>
      </w:r>
      <w:r w:rsidR="00156E27">
        <w:t xml:space="preserve">if </w:t>
      </w:r>
      <w:r>
        <w:t xml:space="preserve">the health technology can be used </w:t>
      </w:r>
      <w:r w:rsidR="000B0514">
        <w:t xml:space="preserve">in </w:t>
      </w:r>
      <w:r>
        <w:t xml:space="preserve">different populations or for different </w:t>
      </w:r>
      <w:r w:rsidR="00127E9A">
        <w:t>reasons</w:t>
      </w:r>
      <w:r>
        <w:t xml:space="preserve">. </w:t>
      </w:r>
    </w:p>
    <w:p w14:paraId="037C7872" w14:textId="3DFC4854" w:rsidR="00403AE6" w:rsidRDefault="00127E9A" w:rsidP="00722B16">
      <w:r>
        <w:t>PASC reviews t</w:t>
      </w:r>
      <w:r w:rsidR="00403AE6">
        <w:t xml:space="preserve">he </w:t>
      </w:r>
      <w:r w:rsidR="00CC2A3C">
        <w:t xml:space="preserve">PICO </w:t>
      </w:r>
      <w:r w:rsidR="00156E27">
        <w:t>confirmation before the assessment report is developed</w:t>
      </w:r>
      <w:r w:rsidR="00403AE6">
        <w:t>.</w:t>
      </w:r>
    </w:p>
    <w:p w14:paraId="4566ADF9" w14:textId="126F81BB" w:rsidR="00403AE6" w:rsidRPr="00597324" w:rsidRDefault="00403AE6" w:rsidP="00597324">
      <w:pPr>
        <w:pStyle w:val="Heading3"/>
        <w:rPr>
          <w:rStyle w:val="normaltextrun"/>
        </w:rPr>
      </w:pPr>
      <w:r w:rsidRPr="00597324">
        <w:rPr>
          <w:rStyle w:val="normaltextrun"/>
        </w:rPr>
        <w:t>Assessment report</w:t>
      </w:r>
    </w:p>
    <w:p w14:paraId="66F3EDA2" w14:textId="439D0526" w:rsidR="000B0514" w:rsidRPr="0085364B" w:rsidRDefault="00272922" w:rsidP="00722B16">
      <w:pPr>
        <w:pStyle w:val="NormalBeforeBullet"/>
      </w:pPr>
      <w:r>
        <w:t>Assessment reports aim to synthesise the highest quality evidence of the safety, effectiveness and cost-effectiveness of the health technology</w:t>
      </w:r>
      <w:r w:rsidR="008A20BF">
        <w:t>. This is specific</w:t>
      </w:r>
      <w:r>
        <w:t xml:space="preserve"> for the population and indication in the PICO confirmation. </w:t>
      </w:r>
      <w:r w:rsidR="000B0514" w:rsidRPr="0085364B">
        <w:t xml:space="preserve">The assessment report discusses the strengths and uncertainties of the evidence. </w:t>
      </w:r>
      <w:r w:rsidR="000B0514">
        <w:t>It</w:t>
      </w:r>
      <w:r w:rsidR="000B0514" w:rsidRPr="0085364B">
        <w:t xml:space="preserve"> takes a structured approach </w:t>
      </w:r>
      <w:r w:rsidR="000B0514">
        <w:t>to</w:t>
      </w:r>
      <w:r w:rsidR="000B0514" w:rsidRPr="0085364B">
        <w:t>:</w:t>
      </w:r>
    </w:p>
    <w:p w14:paraId="36F045D4" w14:textId="77777777" w:rsidR="000B0514" w:rsidRPr="0085364B" w:rsidRDefault="000B0514" w:rsidP="000B051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85364B">
        <w:rPr>
          <w:rFonts w:ascii="Calibri" w:hAnsi="Calibri" w:cs="Calibri"/>
        </w:rPr>
        <w:t>describing the health technology, what it will replace and who it is intended for</w:t>
      </w:r>
    </w:p>
    <w:p w14:paraId="3AB3B806" w14:textId="141ECFFE" w:rsidR="000B0514" w:rsidRPr="0085364B" w:rsidRDefault="000B0514" w:rsidP="000B051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85364B">
        <w:rPr>
          <w:rFonts w:ascii="Calibri" w:hAnsi="Calibri" w:cs="Calibri"/>
        </w:rPr>
        <w:t>searching for evidence</w:t>
      </w:r>
    </w:p>
    <w:p w14:paraId="1BA78823" w14:textId="77777777" w:rsidR="000B0514" w:rsidRPr="0085364B" w:rsidRDefault="000B0514" w:rsidP="000B051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85364B">
        <w:rPr>
          <w:rFonts w:ascii="Calibri" w:hAnsi="Calibri" w:cs="Calibri"/>
        </w:rPr>
        <w:t>including relevant studies</w:t>
      </w:r>
    </w:p>
    <w:p w14:paraId="051E64E9" w14:textId="6545879F" w:rsidR="000B0514" w:rsidRPr="0085364B" w:rsidRDefault="000B0514" w:rsidP="000B051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85364B">
        <w:rPr>
          <w:rFonts w:ascii="Calibri" w:hAnsi="Calibri" w:cs="Calibri"/>
        </w:rPr>
        <w:t xml:space="preserve">assessing whether included studies </w:t>
      </w:r>
      <w:r w:rsidR="008A20BF">
        <w:rPr>
          <w:rFonts w:ascii="Calibri" w:hAnsi="Calibri" w:cs="Calibri"/>
        </w:rPr>
        <w:t>are of a</w:t>
      </w:r>
      <w:r w:rsidRPr="0085364B">
        <w:rPr>
          <w:rFonts w:ascii="Calibri" w:hAnsi="Calibri" w:cs="Calibri"/>
        </w:rPr>
        <w:t xml:space="preserve"> high standard </w:t>
      </w:r>
    </w:p>
    <w:p w14:paraId="7A11E8FA" w14:textId="77777777" w:rsidR="000B0514" w:rsidRPr="0085364B" w:rsidRDefault="000B0514" w:rsidP="000B051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85364B">
        <w:rPr>
          <w:rFonts w:ascii="Calibri" w:hAnsi="Calibri" w:cs="Calibri"/>
        </w:rPr>
        <w:t>combining and comparing results from studies</w:t>
      </w:r>
    </w:p>
    <w:p w14:paraId="1C23B0B7" w14:textId="474B337D" w:rsidR="000B0514" w:rsidRPr="0085364B" w:rsidRDefault="000B0514" w:rsidP="000B051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85364B">
        <w:rPr>
          <w:rFonts w:ascii="Calibri" w:hAnsi="Calibri" w:cs="Calibri"/>
        </w:rPr>
        <w:t xml:space="preserve">converting study findings and other data </w:t>
      </w:r>
      <w:r w:rsidR="008A20BF">
        <w:rPr>
          <w:rFonts w:ascii="Calibri" w:hAnsi="Calibri" w:cs="Calibri"/>
        </w:rPr>
        <w:t>to include</w:t>
      </w:r>
      <w:r w:rsidRPr="0085364B">
        <w:rPr>
          <w:rFonts w:ascii="Calibri" w:hAnsi="Calibri" w:cs="Calibri"/>
        </w:rPr>
        <w:t xml:space="preserve"> in an economic model</w:t>
      </w:r>
    </w:p>
    <w:p w14:paraId="203F138E" w14:textId="60AB091F" w:rsidR="000B0514" w:rsidRPr="0085364B" w:rsidRDefault="000B0514" w:rsidP="000B051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85364B">
        <w:rPr>
          <w:rFonts w:ascii="Calibri" w:hAnsi="Calibri" w:cs="Calibri"/>
        </w:rPr>
        <w:t xml:space="preserve">estimating the number of people who will receive the </w:t>
      </w:r>
      <w:r>
        <w:rPr>
          <w:rFonts w:ascii="Calibri" w:hAnsi="Calibri" w:cs="Calibri"/>
        </w:rPr>
        <w:t xml:space="preserve">health </w:t>
      </w:r>
      <w:r w:rsidRPr="0085364B">
        <w:rPr>
          <w:rFonts w:ascii="Calibri" w:hAnsi="Calibri" w:cs="Calibri"/>
        </w:rPr>
        <w:t>technology, and the cost</w:t>
      </w:r>
      <w:r w:rsidR="008A20BF">
        <w:rPr>
          <w:rFonts w:ascii="Calibri" w:hAnsi="Calibri" w:cs="Calibri"/>
        </w:rPr>
        <w:t xml:space="preserve"> of this</w:t>
      </w:r>
    </w:p>
    <w:p w14:paraId="2EDDF578" w14:textId="77777777" w:rsidR="000B0514" w:rsidRPr="0085364B" w:rsidRDefault="000B0514" w:rsidP="000B051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85364B">
        <w:rPr>
          <w:rFonts w:ascii="Calibri" w:hAnsi="Calibri" w:cs="Calibri"/>
        </w:rPr>
        <w:t>including evidence of other factors that may influence decision-making</w:t>
      </w:r>
      <w:r>
        <w:rPr>
          <w:rFonts w:ascii="Calibri" w:hAnsi="Calibri" w:cs="Calibri"/>
        </w:rPr>
        <w:t>.</w:t>
      </w:r>
    </w:p>
    <w:p w14:paraId="7BE9C49E" w14:textId="0EC27059" w:rsidR="00156E27" w:rsidRDefault="00497A11" w:rsidP="00722B16">
      <w:pPr>
        <w:pStyle w:val="NormalBeforeBullet"/>
      </w:pPr>
      <w:r>
        <w:t>A</w:t>
      </w:r>
      <w:r w:rsidR="00403AE6">
        <w:t>ssessment reports are developed either</w:t>
      </w:r>
      <w:r w:rsidR="00156E27">
        <w:t>:</w:t>
      </w:r>
      <w:r w:rsidR="00403AE6">
        <w:t xml:space="preserve"> </w:t>
      </w:r>
    </w:p>
    <w:p w14:paraId="4CD6C9FF" w14:textId="4A959DBB" w:rsidR="00156E27" w:rsidRPr="00950B18" w:rsidRDefault="00403AE6" w:rsidP="00866F7D">
      <w:pPr>
        <w:pStyle w:val="ListParagraph"/>
        <w:numPr>
          <w:ilvl w:val="0"/>
          <w:numId w:val="23"/>
        </w:numPr>
        <w:jc w:val="both"/>
        <w:rPr>
          <w:rFonts w:ascii="Calibri" w:hAnsi="Calibri" w:cs="Calibri"/>
        </w:rPr>
      </w:pPr>
      <w:r w:rsidRPr="00950B18">
        <w:rPr>
          <w:rFonts w:ascii="Calibri" w:hAnsi="Calibri" w:cs="Calibri"/>
        </w:rPr>
        <w:t>by the applicant (called applicant</w:t>
      </w:r>
      <w:r w:rsidR="00E66797">
        <w:rPr>
          <w:rFonts w:ascii="Calibri" w:hAnsi="Calibri" w:cs="Calibri"/>
        </w:rPr>
        <w:t>-</w:t>
      </w:r>
      <w:r w:rsidRPr="00950B18">
        <w:rPr>
          <w:rFonts w:ascii="Calibri" w:hAnsi="Calibri" w:cs="Calibri"/>
        </w:rPr>
        <w:t xml:space="preserve">developed assessment reports, or ADARs) </w:t>
      </w:r>
    </w:p>
    <w:p w14:paraId="48E7EC35" w14:textId="68D0E360" w:rsidR="00156E27" w:rsidRPr="00950B18" w:rsidRDefault="00156E27" w:rsidP="00866F7D">
      <w:pPr>
        <w:pStyle w:val="ListParagraph"/>
        <w:numPr>
          <w:ilvl w:val="0"/>
          <w:numId w:val="23"/>
        </w:numPr>
        <w:jc w:val="both"/>
        <w:rPr>
          <w:rFonts w:ascii="Calibri" w:hAnsi="Calibri" w:cs="Calibri"/>
        </w:rPr>
      </w:pPr>
      <w:r w:rsidRPr="00950B18">
        <w:rPr>
          <w:rFonts w:ascii="Calibri" w:hAnsi="Calibri" w:cs="Calibri"/>
        </w:rPr>
        <w:t xml:space="preserve">by an assessment group that is contracted by </w:t>
      </w:r>
      <w:r w:rsidR="00127E9A">
        <w:rPr>
          <w:rFonts w:ascii="Calibri" w:hAnsi="Calibri" w:cs="Calibri"/>
        </w:rPr>
        <w:t xml:space="preserve">the </w:t>
      </w:r>
      <w:r w:rsidRPr="00950B18">
        <w:rPr>
          <w:rFonts w:ascii="Calibri" w:hAnsi="Calibri" w:cs="Calibri"/>
        </w:rPr>
        <w:t xml:space="preserve">Department on behalf of the applicant </w:t>
      </w:r>
      <w:r w:rsidR="00403AE6" w:rsidRPr="00950B18">
        <w:rPr>
          <w:rFonts w:ascii="Calibri" w:hAnsi="Calibri" w:cs="Calibri"/>
        </w:rPr>
        <w:t>(called Department</w:t>
      </w:r>
      <w:r w:rsidR="00E66797">
        <w:rPr>
          <w:rFonts w:ascii="Calibri" w:hAnsi="Calibri" w:cs="Calibri"/>
        </w:rPr>
        <w:t>-</w:t>
      </w:r>
      <w:r w:rsidR="00403AE6" w:rsidRPr="00950B18">
        <w:rPr>
          <w:rFonts w:ascii="Calibri" w:hAnsi="Calibri" w:cs="Calibri"/>
        </w:rPr>
        <w:t xml:space="preserve">contracted assessment reports, or DCARs). </w:t>
      </w:r>
    </w:p>
    <w:p w14:paraId="27ABBA75" w14:textId="011DDA1A" w:rsidR="00403AE6" w:rsidRDefault="00403AE6" w:rsidP="00722B16">
      <w:r>
        <w:t xml:space="preserve">Both </w:t>
      </w:r>
      <w:r w:rsidR="00CC2A3C">
        <w:t xml:space="preserve">types of </w:t>
      </w:r>
      <w:r>
        <w:t>assessment reports follow th</w:t>
      </w:r>
      <w:r w:rsidR="00597324">
        <w:t>e same process</w:t>
      </w:r>
      <w:r w:rsidR="00156E27">
        <w:t>.</w:t>
      </w:r>
      <w:r w:rsidR="00597324">
        <w:t xml:space="preserve"> </w:t>
      </w:r>
      <w:r w:rsidR="00156E27">
        <w:t>T</w:t>
      </w:r>
      <w:r w:rsidR="00597324">
        <w:t xml:space="preserve">he templates for the main body of the assessment are identical. </w:t>
      </w:r>
    </w:p>
    <w:p w14:paraId="2B4F8A08" w14:textId="0D708CB0" w:rsidR="00272922" w:rsidRDefault="00156E27" w:rsidP="00722B16">
      <w:pPr>
        <w:pStyle w:val="NormalBeforeBullet"/>
      </w:pPr>
      <w:r>
        <w:t>A</w:t>
      </w:r>
      <w:r w:rsidR="00597324">
        <w:t>ssessment reports</w:t>
      </w:r>
      <w:r>
        <w:t xml:space="preserve"> include an executive summary</w:t>
      </w:r>
      <w:r w:rsidR="00597324">
        <w:t>, and this differs for ADARs and DCARs</w:t>
      </w:r>
      <w:r w:rsidR="00272922">
        <w:t>:</w:t>
      </w:r>
      <w:r w:rsidR="00597324">
        <w:t xml:space="preserve"> </w:t>
      </w:r>
    </w:p>
    <w:p w14:paraId="35D14204" w14:textId="7EBA31AC" w:rsidR="00272922" w:rsidRPr="00950B18" w:rsidRDefault="00597324" w:rsidP="00866F7D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</w:rPr>
      </w:pPr>
      <w:r w:rsidRPr="00950B18">
        <w:rPr>
          <w:rFonts w:ascii="Calibri" w:hAnsi="Calibri" w:cs="Calibri"/>
        </w:rPr>
        <w:t xml:space="preserve">For ADARs, the executive summary is a brief overview of the clinical claim and value of the health technology. </w:t>
      </w:r>
      <w:r w:rsidR="00272922">
        <w:rPr>
          <w:rFonts w:ascii="Calibri" w:hAnsi="Calibri" w:cs="Calibri"/>
        </w:rPr>
        <w:t>The applicant can explain why they are</w:t>
      </w:r>
      <w:r w:rsidRPr="00950B18">
        <w:rPr>
          <w:rFonts w:ascii="Calibri" w:hAnsi="Calibri" w:cs="Calibri"/>
        </w:rPr>
        <w:t xml:space="preserve"> seeking public funding of the proposed technology and how </w:t>
      </w:r>
      <w:r w:rsidR="0070041E" w:rsidRPr="00950B18">
        <w:rPr>
          <w:rFonts w:ascii="Calibri" w:hAnsi="Calibri" w:cs="Calibri"/>
        </w:rPr>
        <w:t xml:space="preserve">it is expected to benefit </w:t>
      </w:r>
      <w:r w:rsidR="00272922">
        <w:rPr>
          <w:rFonts w:ascii="Calibri" w:hAnsi="Calibri" w:cs="Calibri"/>
        </w:rPr>
        <w:t>people</w:t>
      </w:r>
      <w:r w:rsidR="0070041E" w:rsidRPr="00950B18">
        <w:rPr>
          <w:rFonts w:ascii="Calibri" w:hAnsi="Calibri" w:cs="Calibri"/>
        </w:rPr>
        <w:t xml:space="preserve">. </w:t>
      </w:r>
    </w:p>
    <w:p w14:paraId="589CBE74" w14:textId="1171E86A" w:rsidR="0070041E" w:rsidRPr="00950B18" w:rsidRDefault="00215AE5" w:rsidP="00866F7D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DCARs, </w:t>
      </w:r>
      <w:r w:rsidR="00272922">
        <w:rPr>
          <w:rFonts w:ascii="Calibri" w:hAnsi="Calibri" w:cs="Calibri"/>
        </w:rPr>
        <w:t>t</w:t>
      </w:r>
      <w:r w:rsidR="0070041E">
        <w:rPr>
          <w:rFonts w:ascii="Calibri" w:hAnsi="Calibri" w:cs="Calibri"/>
        </w:rPr>
        <w:t>he executive summary summarise</w:t>
      </w:r>
      <w:r>
        <w:rPr>
          <w:rFonts w:ascii="Calibri" w:hAnsi="Calibri" w:cs="Calibri"/>
        </w:rPr>
        <w:t>s</w:t>
      </w:r>
      <w:r w:rsidR="0070041E">
        <w:rPr>
          <w:rFonts w:ascii="Calibri" w:hAnsi="Calibri" w:cs="Calibri"/>
        </w:rPr>
        <w:t xml:space="preserve"> the key findings of the assessment report.</w:t>
      </w:r>
      <w:r w:rsidR="00272922">
        <w:rPr>
          <w:rFonts w:ascii="Calibri" w:hAnsi="Calibri" w:cs="Calibri"/>
        </w:rPr>
        <w:t xml:space="preserve"> </w:t>
      </w:r>
      <w:r w:rsidR="0070041E" w:rsidRPr="00950B18">
        <w:rPr>
          <w:rFonts w:ascii="Calibri" w:hAnsi="Calibri" w:cs="Calibri"/>
        </w:rPr>
        <w:t xml:space="preserve">The </w:t>
      </w:r>
      <w:r w:rsidR="00262D27" w:rsidRPr="00950B18">
        <w:rPr>
          <w:rFonts w:ascii="Calibri" w:hAnsi="Calibri" w:cs="Calibri"/>
        </w:rPr>
        <w:t xml:space="preserve">format reflects the structure of </w:t>
      </w:r>
      <w:r w:rsidR="00272922">
        <w:rPr>
          <w:rFonts w:ascii="Calibri" w:hAnsi="Calibri" w:cs="Calibri"/>
        </w:rPr>
        <w:t>ESC’s</w:t>
      </w:r>
      <w:r w:rsidR="00272922" w:rsidRPr="00950B18">
        <w:rPr>
          <w:rFonts w:ascii="Calibri" w:hAnsi="Calibri" w:cs="Calibri"/>
        </w:rPr>
        <w:t xml:space="preserve"> </w:t>
      </w:r>
      <w:r w:rsidR="00262D27" w:rsidRPr="00950B18">
        <w:rPr>
          <w:rFonts w:ascii="Calibri" w:hAnsi="Calibri" w:cs="Calibri"/>
        </w:rPr>
        <w:t xml:space="preserve">advice </w:t>
      </w:r>
      <w:r w:rsidR="0070041E" w:rsidRPr="00950B18">
        <w:rPr>
          <w:rFonts w:ascii="Calibri" w:hAnsi="Calibri" w:cs="Calibri"/>
        </w:rPr>
        <w:t>to MSAC</w:t>
      </w:r>
      <w:r w:rsidR="00262D27" w:rsidRPr="00950B18">
        <w:rPr>
          <w:rFonts w:ascii="Calibri" w:hAnsi="Calibri" w:cs="Calibri"/>
        </w:rPr>
        <w:t>.</w:t>
      </w:r>
      <w:r w:rsidR="0070041E" w:rsidRPr="00950B18">
        <w:rPr>
          <w:rFonts w:ascii="Calibri" w:hAnsi="Calibri" w:cs="Calibri"/>
        </w:rPr>
        <w:t xml:space="preserve"> </w:t>
      </w:r>
      <w:r w:rsidR="00262D27" w:rsidRPr="00950B18">
        <w:rPr>
          <w:rFonts w:ascii="Calibri" w:hAnsi="Calibri" w:cs="Calibri"/>
        </w:rPr>
        <w:t>This in turn</w:t>
      </w:r>
      <w:r w:rsidR="0070041E" w:rsidRPr="00950B18">
        <w:rPr>
          <w:rFonts w:ascii="Calibri" w:hAnsi="Calibri" w:cs="Calibri"/>
        </w:rPr>
        <w:t xml:space="preserve"> form</w:t>
      </w:r>
      <w:r w:rsidR="00262D27" w:rsidRPr="00950B18">
        <w:rPr>
          <w:rFonts w:ascii="Calibri" w:hAnsi="Calibri" w:cs="Calibri"/>
        </w:rPr>
        <w:t>s the basis of</w:t>
      </w:r>
      <w:r w:rsidR="0070041E" w:rsidRPr="00950B18">
        <w:rPr>
          <w:rFonts w:ascii="Calibri" w:hAnsi="Calibri" w:cs="Calibri"/>
        </w:rPr>
        <w:t xml:space="preserve"> the MSAC public summary document</w:t>
      </w:r>
      <w:r w:rsidR="00262D27" w:rsidRPr="00950B18">
        <w:rPr>
          <w:rFonts w:ascii="Calibri" w:hAnsi="Calibri" w:cs="Calibri"/>
        </w:rPr>
        <w:t xml:space="preserve"> for that assessment</w:t>
      </w:r>
      <w:r w:rsidR="0070041E" w:rsidRPr="00950B18">
        <w:rPr>
          <w:rFonts w:ascii="Calibri" w:hAnsi="Calibri" w:cs="Calibri"/>
        </w:rPr>
        <w:t>.</w:t>
      </w:r>
    </w:p>
    <w:p w14:paraId="5302B38F" w14:textId="4EEFC010" w:rsidR="0070041E" w:rsidRPr="0070041E" w:rsidRDefault="0070041E" w:rsidP="0070041E">
      <w:pPr>
        <w:pStyle w:val="Heading3"/>
        <w:rPr>
          <w:rStyle w:val="normaltextrun"/>
        </w:rPr>
      </w:pPr>
      <w:r w:rsidRPr="0070041E">
        <w:rPr>
          <w:rStyle w:val="normaltextrun"/>
        </w:rPr>
        <w:t>Commentary</w:t>
      </w:r>
    </w:p>
    <w:p w14:paraId="5EA81707" w14:textId="54E0AE89" w:rsidR="0070041E" w:rsidRDefault="0070041E" w:rsidP="00722B16">
      <w:r>
        <w:t>A commentary is a</w:t>
      </w:r>
      <w:r w:rsidR="00215AE5">
        <w:t xml:space="preserve"> </w:t>
      </w:r>
      <w:r w:rsidR="0079338B">
        <w:t xml:space="preserve">critical </w:t>
      </w:r>
      <w:r w:rsidR="00215AE5">
        <w:t xml:space="preserve">review </w:t>
      </w:r>
      <w:r>
        <w:t xml:space="preserve">of an assessment report. </w:t>
      </w:r>
      <w:r w:rsidR="0079338B">
        <w:t xml:space="preserve">This is done by an independent assessment group. </w:t>
      </w:r>
      <w:r>
        <w:t xml:space="preserve">The commentary </w:t>
      </w:r>
      <w:r w:rsidR="0079338B">
        <w:t>evaluates</w:t>
      </w:r>
      <w:r>
        <w:t xml:space="preserve"> the approach taken and the results presented in the </w:t>
      </w:r>
      <w:r w:rsidR="006E58AF">
        <w:t>ADAR</w:t>
      </w:r>
      <w:r>
        <w:t xml:space="preserve">. </w:t>
      </w:r>
      <w:r w:rsidR="0079338B">
        <w:t>It also includes</w:t>
      </w:r>
      <w:r>
        <w:t xml:space="preserve"> </w:t>
      </w:r>
      <w:r w:rsidR="00262D27">
        <w:t>an</w:t>
      </w:r>
      <w:r>
        <w:t xml:space="preserve"> executive summary in the </w:t>
      </w:r>
      <w:r w:rsidR="00215AE5">
        <w:t xml:space="preserve">same </w:t>
      </w:r>
      <w:r>
        <w:t xml:space="preserve">format </w:t>
      </w:r>
      <w:r w:rsidR="00215AE5">
        <w:t xml:space="preserve">as </w:t>
      </w:r>
      <w:r>
        <w:t xml:space="preserve">the DCAR </w:t>
      </w:r>
      <w:r w:rsidR="00262D27">
        <w:t>executive summary</w:t>
      </w:r>
      <w:r>
        <w:t>.</w:t>
      </w:r>
    </w:p>
    <w:p w14:paraId="406303FE" w14:textId="4A1EC8D5" w:rsidR="001E2144" w:rsidRPr="00A92590" w:rsidRDefault="00A92590" w:rsidP="00A92590">
      <w:pPr>
        <w:pStyle w:val="Heading3"/>
        <w:rPr>
          <w:rStyle w:val="normaltextrun"/>
        </w:rPr>
      </w:pPr>
      <w:r w:rsidRPr="00A92590">
        <w:rPr>
          <w:rStyle w:val="normaltextrun"/>
        </w:rPr>
        <w:t>Templates</w:t>
      </w:r>
    </w:p>
    <w:p w14:paraId="1A0B6641" w14:textId="7851BF8B" w:rsidR="00A92590" w:rsidRDefault="00A92590" w:rsidP="00722B16">
      <w:r>
        <w:t xml:space="preserve">Templates are available for a PICO confirmation, ADAR, DCAR and the executive summary </w:t>
      </w:r>
      <w:r w:rsidR="0079338B">
        <w:t>of</w:t>
      </w:r>
      <w:r>
        <w:t xml:space="preserve"> the commentary. </w:t>
      </w:r>
      <w:r w:rsidR="0079338B">
        <w:t xml:space="preserve">The sections in the templates match the structure of the </w:t>
      </w:r>
      <w:r w:rsidR="007F1E95">
        <w:t>g</w:t>
      </w:r>
      <w:r w:rsidR="0079338B">
        <w:t>uidelines</w:t>
      </w:r>
      <w:r w:rsidR="0079338B" w:rsidDel="0079338B">
        <w:t xml:space="preserve"> </w:t>
      </w:r>
      <w:r w:rsidR="0079338B">
        <w:t xml:space="preserve">and </w:t>
      </w:r>
      <w:r w:rsidR="00215AE5">
        <w:t>include</w:t>
      </w:r>
      <w:r>
        <w:t xml:space="preserve"> cross-referenc</w:t>
      </w:r>
      <w:r w:rsidR="00215AE5">
        <w:t>es</w:t>
      </w:r>
      <w:r>
        <w:t xml:space="preserve"> to the </w:t>
      </w:r>
      <w:r w:rsidR="007F1E95">
        <w:t>g</w:t>
      </w:r>
      <w:r>
        <w:t>uidelines</w:t>
      </w:r>
      <w:r w:rsidR="00127E9A">
        <w:t>. This aims</w:t>
      </w:r>
      <w:r>
        <w:t xml:space="preserve"> to help </w:t>
      </w:r>
      <w:r w:rsidR="00215AE5">
        <w:t>applicants and assessment groups</w:t>
      </w:r>
      <w:r w:rsidR="00127E9A">
        <w:t xml:space="preserve"> develop useful and complete information for MSAC</w:t>
      </w:r>
      <w:r>
        <w:t>.</w:t>
      </w:r>
      <w:r w:rsidR="0079338B">
        <w:t xml:space="preserve"> </w:t>
      </w:r>
    </w:p>
    <w:p w14:paraId="1116588A" w14:textId="3AD0182E" w:rsidR="00901EE6" w:rsidRPr="004F2DE9" w:rsidRDefault="005507F4" w:rsidP="00AB0534">
      <w:pPr>
        <w:pStyle w:val="Heading2"/>
      </w:pPr>
      <w:r>
        <w:lastRenderedPageBreak/>
        <w:t>S</w:t>
      </w:r>
      <w:r w:rsidR="00901EE6" w:rsidRPr="004F2DE9">
        <w:t>tructure</w:t>
      </w:r>
      <w:r>
        <w:t xml:space="preserve"> of the </w:t>
      </w:r>
      <w:r w:rsidR="007F1E95">
        <w:t>g</w:t>
      </w:r>
      <w:r>
        <w:t>uidelines</w:t>
      </w:r>
    </w:p>
    <w:p w14:paraId="214F59B0" w14:textId="3BB9468C" w:rsidR="00901EE6" w:rsidRDefault="00901EE6" w:rsidP="00722B16">
      <w:r>
        <w:t xml:space="preserve">The guidelines </w:t>
      </w:r>
      <w:r w:rsidR="00272922">
        <w:t>have</w:t>
      </w:r>
      <w:r>
        <w:t xml:space="preserve"> </w:t>
      </w:r>
      <w:r w:rsidR="005507F4">
        <w:t>5 main s</w:t>
      </w:r>
      <w:r>
        <w:t xml:space="preserve">ections and </w:t>
      </w:r>
      <w:r w:rsidR="008023C5">
        <w:t xml:space="preserve">12 </w:t>
      </w:r>
      <w:r w:rsidR="005507F4">
        <w:t>a</w:t>
      </w:r>
      <w:r w:rsidR="008023C5">
        <w:t>ppendi</w:t>
      </w:r>
      <w:r w:rsidR="005507F4">
        <w:t>x</w:t>
      </w:r>
      <w:r>
        <w:t xml:space="preserve">es. Each section considers different information that helps with decision-making. </w:t>
      </w:r>
      <w:r w:rsidR="005507F4">
        <w:t>E</w:t>
      </w:r>
      <w:r>
        <w:t xml:space="preserve">ach section </w:t>
      </w:r>
      <w:r w:rsidR="005507F4">
        <w:t xml:space="preserve">is divided </w:t>
      </w:r>
      <w:r>
        <w:t xml:space="preserve">into </w:t>
      </w:r>
      <w:r w:rsidR="005507F4">
        <w:t xml:space="preserve">subsections called </w:t>
      </w:r>
      <w:r>
        <w:t xml:space="preserve">Technical Guidance. The Technical Guidance </w:t>
      </w:r>
      <w:r w:rsidR="005507F4">
        <w:t>sub</w:t>
      </w:r>
      <w:r>
        <w:t xml:space="preserve">sections are </w:t>
      </w:r>
      <w:r w:rsidR="005507F4">
        <w:t>numbered as</w:t>
      </w:r>
      <w:r>
        <w:t xml:space="preserve"> TG 1, TG 2</w:t>
      </w:r>
      <w:r w:rsidR="005507F4">
        <w:t>,</w:t>
      </w:r>
      <w:r>
        <w:t xml:space="preserve"> etc. </w:t>
      </w:r>
    </w:p>
    <w:p w14:paraId="1D78FC79" w14:textId="561FEA54" w:rsidR="008023C5" w:rsidRDefault="00127E9A" w:rsidP="00722B16">
      <w:r>
        <w:t>N</w:t>
      </w:r>
      <w:r w:rsidR="008023C5">
        <w:t xml:space="preserve">ot all </w:t>
      </w:r>
      <w:r>
        <w:t xml:space="preserve">TG </w:t>
      </w:r>
      <w:r w:rsidR="008023C5">
        <w:t xml:space="preserve">subsections will be relevant to every assessment report. The </w:t>
      </w:r>
      <w:r w:rsidR="005507F4">
        <w:t>people writing the</w:t>
      </w:r>
      <w:r w:rsidR="008023C5">
        <w:t xml:space="preserve"> assessment </w:t>
      </w:r>
      <w:r w:rsidR="00262D27">
        <w:t xml:space="preserve">report </w:t>
      </w:r>
      <w:r w:rsidR="005507F4">
        <w:t xml:space="preserve">can </w:t>
      </w:r>
      <w:r w:rsidR="008023C5">
        <w:t xml:space="preserve">refer to </w:t>
      </w:r>
      <w:r w:rsidR="005507F4">
        <w:t xml:space="preserve">the </w:t>
      </w:r>
      <w:r>
        <w:t xml:space="preserve">relevant </w:t>
      </w:r>
      <w:r w:rsidR="008023C5">
        <w:t xml:space="preserve">TG </w:t>
      </w:r>
      <w:r>
        <w:t>sub</w:t>
      </w:r>
      <w:r w:rsidR="008023C5">
        <w:t xml:space="preserve">sections, and skip those that are not relevant. In this way, the </w:t>
      </w:r>
      <w:r w:rsidR="007F1E95">
        <w:t>g</w:t>
      </w:r>
      <w:r w:rsidR="008023C5">
        <w:t xml:space="preserve">uidelines </w:t>
      </w:r>
      <w:r w:rsidR="005507F4">
        <w:t>are more like</w:t>
      </w:r>
      <w:r w:rsidR="008023C5">
        <w:t xml:space="preserve"> a manual than a</w:t>
      </w:r>
      <w:r w:rsidR="005507F4">
        <w:t xml:space="preserve"> </w:t>
      </w:r>
      <w:r w:rsidR="008023C5">
        <w:t xml:space="preserve">template. </w:t>
      </w:r>
    </w:p>
    <w:p w14:paraId="299C2C00" w14:textId="03B97F23" w:rsidR="00901EE6" w:rsidRPr="004F2DE9" w:rsidRDefault="00901EE6" w:rsidP="00866F7D">
      <w:pPr>
        <w:pStyle w:val="Heading3"/>
      </w:pPr>
      <w:r w:rsidRPr="004F2DE9">
        <w:t>Section 1</w:t>
      </w:r>
      <w:r w:rsidR="005507F4">
        <w:t>: Context</w:t>
      </w:r>
    </w:p>
    <w:p w14:paraId="5B5B9079" w14:textId="573F3C46" w:rsidR="00272922" w:rsidRDefault="00272922" w:rsidP="00722B16">
      <w:r>
        <w:t>This section provides guidance relevant to the application form, the PICO confirmation and the first part of an assessment report. A clear understanding of the context helps to find and interpret relevant evidence about the safety, effectiveness and cost-effectiveness of the technology.</w:t>
      </w:r>
    </w:p>
    <w:p w14:paraId="6750D22A" w14:textId="3ACD6C57" w:rsidR="00901EE6" w:rsidRDefault="00272922" w:rsidP="00722B16">
      <w:pPr>
        <w:pStyle w:val="NormalBeforeBullet"/>
      </w:pPr>
      <w:r>
        <w:t>Section 1</w:t>
      </w:r>
      <w:r w:rsidR="00901EE6">
        <w:t xml:space="preserve"> provides guidance for presenting</w:t>
      </w:r>
      <w:r w:rsidR="00CC2A3C">
        <w:t>:</w:t>
      </w:r>
    </w:p>
    <w:p w14:paraId="229B911E" w14:textId="77777777" w:rsidR="00901EE6" w:rsidRPr="004F2DE9" w:rsidRDefault="00901EE6" w:rsidP="00901EE6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4F2DE9">
        <w:rPr>
          <w:rFonts w:ascii="Calibri" w:hAnsi="Calibri" w:cs="Calibri"/>
        </w:rPr>
        <w:t>the purpose of the application (TG 1)</w:t>
      </w:r>
    </w:p>
    <w:p w14:paraId="451AE90A" w14:textId="30AFCEEA" w:rsidR="00901EE6" w:rsidRPr="004F2DE9" w:rsidRDefault="00AA6DC9" w:rsidP="00901EE6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8332CE">
        <w:rPr>
          <w:rFonts w:ascii="Calibri" w:hAnsi="Calibri" w:cs="Calibri"/>
        </w:rPr>
        <w:t xml:space="preserve">PICO: </w:t>
      </w:r>
      <w:r w:rsidR="00901EE6" w:rsidRPr="004F2DE9">
        <w:rPr>
          <w:rFonts w:ascii="Calibri" w:hAnsi="Calibri" w:cs="Calibri"/>
        </w:rPr>
        <w:t xml:space="preserve">what the technology is, who it is intended for and what </w:t>
      </w:r>
      <w:r>
        <w:rPr>
          <w:rFonts w:ascii="Calibri" w:hAnsi="Calibri" w:cs="Calibri"/>
        </w:rPr>
        <w:t>other technologies it might</w:t>
      </w:r>
      <w:r w:rsidR="00901EE6" w:rsidRPr="004F2DE9">
        <w:rPr>
          <w:rFonts w:ascii="Calibri" w:hAnsi="Calibri" w:cs="Calibri"/>
        </w:rPr>
        <w:t xml:space="preserve"> replace (TG 2)</w:t>
      </w:r>
    </w:p>
    <w:p w14:paraId="346B06DD" w14:textId="3B8E6DC8" w:rsidR="00901EE6" w:rsidRPr="004F2DE9" w:rsidRDefault="00901EE6" w:rsidP="00901EE6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4F2DE9">
        <w:rPr>
          <w:rFonts w:ascii="Calibri" w:hAnsi="Calibri" w:cs="Calibri"/>
        </w:rPr>
        <w:t xml:space="preserve">how the technology </w:t>
      </w:r>
      <w:r w:rsidR="00150D94">
        <w:rPr>
          <w:rFonts w:ascii="Calibri" w:hAnsi="Calibri" w:cs="Calibri"/>
        </w:rPr>
        <w:t>is proposed to be</w:t>
      </w:r>
      <w:r w:rsidRPr="004F2DE9">
        <w:rPr>
          <w:rFonts w:ascii="Calibri" w:hAnsi="Calibri" w:cs="Calibri"/>
        </w:rPr>
        <w:t xml:space="preserve"> funded (TG 3)</w:t>
      </w:r>
    </w:p>
    <w:p w14:paraId="08F32B26" w14:textId="17C96145" w:rsidR="00901EE6" w:rsidRPr="004F2DE9" w:rsidRDefault="00AA6DC9" w:rsidP="00901EE6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="00901EE6" w:rsidRPr="004F2DE9">
        <w:rPr>
          <w:rFonts w:ascii="Calibri" w:hAnsi="Calibri" w:cs="Calibri"/>
        </w:rPr>
        <w:t xml:space="preserve">summary of previous </w:t>
      </w:r>
      <w:r>
        <w:rPr>
          <w:rFonts w:ascii="Calibri" w:hAnsi="Calibri" w:cs="Calibri"/>
        </w:rPr>
        <w:t>MSAC</w:t>
      </w:r>
      <w:r w:rsidRPr="004F2DE9">
        <w:rPr>
          <w:rFonts w:ascii="Calibri" w:hAnsi="Calibri" w:cs="Calibri"/>
        </w:rPr>
        <w:t xml:space="preserve"> </w:t>
      </w:r>
      <w:r w:rsidR="00901EE6" w:rsidRPr="004F2DE9">
        <w:rPr>
          <w:rFonts w:ascii="Calibri" w:hAnsi="Calibri" w:cs="Calibri"/>
        </w:rPr>
        <w:t>considerations (if relevant) (TG 4)</w:t>
      </w:r>
    </w:p>
    <w:p w14:paraId="73CB02A1" w14:textId="23A56345" w:rsidR="00901EE6" w:rsidRDefault="00901EE6" w:rsidP="00901EE6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4F2DE9">
        <w:rPr>
          <w:rFonts w:ascii="Calibri" w:hAnsi="Calibri" w:cs="Calibri"/>
        </w:rPr>
        <w:t>whether an abbreviated assessment is possible for some parts of complicated genetic test</w:t>
      </w:r>
      <w:r w:rsidR="008332CE">
        <w:rPr>
          <w:rFonts w:ascii="Calibri" w:hAnsi="Calibri" w:cs="Calibri"/>
        </w:rPr>
        <w:t>s</w:t>
      </w:r>
      <w:r w:rsidRPr="004F2DE9">
        <w:rPr>
          <w:rFonts w:ascii="Calibri" w:hAnsi="Calibri" w:cs="Calibri"/>
        </w:rPr>
        <w:t xml:space="preserve"> </w:t>
      </w:r>
      <w:r w:rsidR="00AA6DC9">
        <w:rPr>
          <w:rFonts w:ascii="Calibri" w:hAnsi="Calibri" w:cs="Calibri"/>
        </w:rPr>
        <w:t>that involve</w:t>
      </w:r>
      <w:r w:rsidR="00AA6DC9" w:rsidRPr="004F2DE9">
        <w:rPr>
          <w:rFonts w:ascii="Calibri" w:hAnsi="Calibri" w:cs="Calibri"/>
        </w:rPr>
        <w:t xml:space="preserve"> </w:t>
      </w:r>
      <w:r w:rsidRPr="004F2DE9">
        <w:rPr>
          <w:rFonts w:ascii="Calibri" w:hAnsi="Calibri" w:cs="Calibri"/>
        </w:rPr>
        <w:t>many genes (TG 5)</w:t>
      </w:r>
      <w:r w:rsidR="00AA6DC9">
        <w:rPr>
          <w:rFonts w:ascii="Calibri" w:hAnsi="Calibri" w:cs="Calibri"/>
        </w:rPr>
        <w:t>.</w:t>
      </w:r>
    </w:p>
    <w:p w14:paraId="19BCB089" w14:textId="1C3AFEA5" w:rsidR="00A92590" w:rsidRPr="000D7AAC" w:rsidRDefault="00A92590" w:rsidP="00866F7D">
      <w:pPr>
        <w:pStyle w:val="Heading3"/>
      </w:pPr>
      <w:r w:rsidRPr="000D7AAC">
        <w:t>Section 2A</w:t>
      </w:r>
      <w:r w:rsidR="00AA6DC9">
        <w:t>: Clinical evaluation – assessment of therapeutic technologies</w:t>
      </w:r>
    </w:p>
    <w:p w14:paraId="64D6BF71" w14:textId="77777777" w:rsidR="0079338B" w:rsidRDefault="0079338B" w:rsidP="00722B16">
      <w:r>
        <w:t xml:space="preserve">Therapeutic technologies are medical interventions (such as services, surgery, procedures, radiotherapy or blood products) that are intended to directly impact on health. </w:t>
      </w:r>
    </w:p>
    <w:p w14:paraId="069D507A" w14:textId="2DAB9A9D" w:rsidR="001448E0" w:rsidRDefault="0079338B" w:rsidP="00722B16">
      <w:pPr>
        <w:pStyle w:val="NormalBeforeBullet"/>
      </w:pPr>
      <w:r>
        <w:t>Section 2A</w:t>
      </w:r>
      <w:r w:rsidR="00A92590">
        <w:t xml:space="preserve"> </w:t>
      </w:r>
      <w:r w:rsidR="001448E0">
        <w:t xml:space="preserve">describes the process of presenting </w:t>
      </w:r>
      <w:r w:rsidR="0071610A">
        <w:t xml:space="preserve">clinical </w:t>
      </w:r>
      <w:r w:rsidR="001448E0">
        <w:t>evidence for therapeutic technologies. It provides guidance for presenting</w:t>
      </w:r>
      <w:r w:rsidR="00CC2A3C">
        <w:t>:</w:t>
      </w:r>
    </w:p>
    <w:p w14:paraId="16E8C443" w14:textId="753A5993" w:rsidR="001448E0" w:rsidRDefault="001448E0" w:rsidP="001448E0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effectiveness of therapeutic technologies (TG 6)</w:t>
      </w:r>
    </w:p>
    <w:p w14:paraId="4983A347" w14:textId="18623C4C" w:rsidR="001448E0" w:rsidRDefault="001448E0" w:rsidP="001448E0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safety of therapeutic technologies (TG 7)</w:t>
      </w:r>
    </w:p>
    <w:p w14:paraId="7B22FF85" w14:textId="265551AB" w:rsidR="001448E0" w:rsidRDefault="001448E0" w:rsidP="001448E0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 interpretation of the therapeutic evidence (TG 8)</w:t>
      </w:r>
      <w:r w:rsidR="0071610A">
        <w:rPr>
          <w:rFonts w:ascii="Calibri" w:hAnsi="Calibri" w:cs="Calibri"/>
        </w:rPr>
        <w:t>.</w:t>
      </w:r>
    </w:p>
    <w:p w14:paraId="034D9E4B" w14:textId="34E7A980" w:rsidR="00A92590" w:rsidRDefault="001448E0" w:rsidP="00722B16">
      <w:pPr>
        <w:pStyle w:val="NormalBeforeBullet"/>
      </w:pPr>
      <w:r>
        <w:t>Th</w:t>
      </w:r>
      <w:r w:rsidR="0071610A">
        <w:t>is</w:t>
      </w:r>
      <w:r>
        <w:t xml:space="preserve"> </w:t>
      </w:r>
      <w:r w:rsidR="0071610A">
        <w:t>s</w:t>
      </w:r>
      <w:r>
        <w:t>ection is supported by Appendi</w:t>
      </w:r>
      <w:r w:rsidR="0071610A">
        <w:t>x</w:t>
      </w:r>
      <w:r>
        <w:t>es 2–5, which describe</w:t>
      </w:r>
      <w:r w:rsidR="0071610A">
        <w:t xml:space="preserve"> methods for</w:t>
      </w:r>
      <w:r>
        <w:t>:</w:t>
      </w:r>
    </w:p>
    <w:p w14:paraId="6718F614" w14:textId="365E6972" w:rsidR="001448E0" w:rsidRPr="008332CE" w:rsidRDefault="001448E0" w:rsidP="008332CE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</w:rPr>
      </w:pPr>
      <w:r w:rsidRPr="008332CE">
        <w:rPr>
          <w:rFonts w:ascii="Calibri" w:hAnsi="Calibri" w:cs="Calibri"/>
        </w:rPr>
        <w:t xml:space="preserve">searching the literature for evidence relevant to </w:t>
      </w:r>
      <w:r w:rsidR="008332CE" w:rsidRPr="008332CE">
        <w:rPr>
          <w:rFonts w:ascii="Calibri" w:hAnsi="Calibri" w:cs="Calibri"/>
        </w:rPr>
        <w:t>the</w:t>
      </w:r>
      <w:r w:rsidRPr="008332CE">
        <w:rPr>
          <w:rFonts w:ascii="Calibri" w:hAnsi="Calibri" w:cs="Calibri"/>
        </w:rPr>
        <w:t xml:space="preserve"> assessment (Appendix 2)</w:t>
      </w:r>
    </w:p>
    <w:p w14:paraId="72089CD3" w14:textId="5EFFFB00" w:rsidR="001448E0" w:rsidRPr="008332CE" w:rsidRDefault="00DD6551" w:rsidP="008332CE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</w:rPr>
      </w:pPr>
      <w:r w:rsidRPr="008332CE">
        <w:rPr>
          <w:rFonts w:ascii="Calibri" w:hAnsi="Calibri" w:cs="Calibri"/>
        </w:rPr>
        <w:t xml:space="preserve">assessing </w:t>
      </w:r>
      <w:r w:rsidR="00CC2A3C">
        <w:rPr>
          <w:rFonts w:ascii="Calibri" w:hAnsi="Calibri" w:cs="Calibri"/>
        </w:rPr>
        <w:t>the</w:t>
      </w:r>
      <w:r w:rsidRPr="008332CE">
        <w:rPr>
          <w:rFonts w:ascii="Calibri" w:hAnsi="Calibri" w:cs="Calibri"/>
        </w:rPr>
        <w:t xml:space="preserve"> risk of bias</w:t>
      </w:r>
      <w:r w:rsidR="008332CE" w:rsidRPr="008332CE">
        <w:rPr>
          <w:rFonts w:ascii="Calibri" w:hAnsi="Calibri" w:cs="Calibri"/>
        </w:rPr>
        <w:t xml:space="preserve"> for included studies (Appendix 3)</w:t>
      </w:r>
    </w:p>
    <w:p w14:paraId="3292AAD0" w14:textId="1D4D1EDF" w:rsidR="008332CE" w:rsidRPr="008332CE" w:rsidRDefault="008332CE" w:rsidP="008332CE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</w:rPr>
      </w:pPr>
      <w:r w:rsidRPr="008332CE">
        <w:rPr>
          <w:rFonts w:ascii="Calibri" w:hAnsi="Calibri" w:cs="Calibri"/>
        </w:rPr>
        <w:t>describing the certainty of the evidence (Appendix 4)</w:t>
      </w:r>
    </w:p>
    <w:p w14:paraId="23FDF5F4" w14:textId="3E6F7B6A" w:rsidR="008332CE" w:rsidRPr="008332CE" w:rsidRDefault="008332CE" w:rsidP="008332CE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</w:rPr>
      </w:pPr>
      <w:r w:rsidRPr="008332CE">
        <w:rPr>
          <w:rFonts w:ascii="Calibri" w:hAnsi="Calibri" w:cs="Calibri"/>
        </w:rPr>
        <w:t xml:space="preserve">presenting the characteristics of studies, including baseline characteristics of study participants, details of </w:t>
      </w:r>
      <w:r w:rsidR="009758E6">
        <w:rPr>
          <w:rFonts w:ascii="Calibri" w:hAnsi="Calibri" w:cs="Calibri"/>
        </w:rPr>
        <w:t>how</w:t>
      </w:r>
      <w:r w:rsidRPr="008332CE">
        <w:rPr>
          <w:rFonts w:ascii="Calibri" w:hAnsi="Calibri" w:cs="Calibri"/>
        </w:rPr>
        <w:t xml:space="preserve"> the health technology </w:t>
      </w:r>
      <w:r w:rsidR="009758E6">
        <w:rPr>
          <w:rFonts w:ascii="Calibri" w:hAnsi="Calibri" w:cs="Calibri"/>
        </w:rPr>
        <w:t>was used</w:t>
      </w:r>
      <w:r w:rsidR="009758E6" w:rsidRPr="008332CE">
        <w:rPr>
          <w:rFonts w:ascii="Calibri" w:hAnsi="Calibri" w:cs="Calibri"/>
        </w:rPr>
        <w:t xml:space="preserve"> </w:t>
      </w:r>
      <w:r w:rsidRPr="008332CE">
        <w:rPr>
          <w:rFonts w:ascii="Calibri" w:hAnsi="Calibri" w:cs="Calibri"/>
        </w:rPr>
        <w:t>in the stud</w:t>
      </w:r>
      <w:r w:rsidR="00CC2A3C">
        <w:rPr>
          <w:rFonts w:ascii="Calibri" w:hAnsi="Calibri" w:cs="Calibri"/>
        </w:rPr>
        <w:t>ies</w:t>
      </w:r>
      <w:r w:rsidR="0071610A">
        <w:rPr>
          <w:rFonts w:ascii="Calibri" w:hAnsi="Calibri" w:cs="Calibri"/>
        </w:rPr>
        <w:t>,</w:t>
      </w:r>
      <w:r w:rsidRPr="008332CE">
        <w:rPr>
          <w:rFonts w:ascii="Calibri" w:hAnsi="Calibri" w:cs="Calibri"/>
        </w:rPr>
        <w:t xml:space="preserve"> and how the outcomes were measured and reported (Appendix 5)</w:t>
      </w:r>
      <w:r w:rsidR="0071610A">
        <w:rPr>
          <w:rFonts w:ascii="Calibri" w:hAnsi="Calibri" w:cs="Calibri"/>
        </w:rPr>
        <w:t>.</w:t>
      </w:r>
    </w:p>
    <w:p w14:paraId="50471DB4" w14:textId="4EBDDE8A" w:rsidR="008332CE" w:rsidRDefault="00B90929" w:rsidP="00722B16">
      <w:r>
        <w:t xml:space="preserve">The methods are presented in the </w:t>
      </w:r>
      <w:r w:rsidR="0071610A">
        <w:t>a</w:t>
      </w:r>
      <w:r>
        <w:t>ppendi</w:t>
      </w:r>
      <w:r w:rsidR="0071610A">
        <w:t>x</w:t>
      </w:r>
      <w:r>
        <w:t>es because they are relevant to both Section 2A and Section 2B.</w:t>
      </w:r>
    </w:p>
    <w:p w14:paraId="763EFFEB" w14:textId="36F4F303" w:rsidR="00B90929" w:rsidRPr="000D7AAC" w:rsidRDefault="00B90929" w:rsidP="00866F7D">
      <w:pPr>
        <w:pStyle w:val="Heading3"/>
      </w:pPr>
      <w:r w:rsidRPr="000D7AAC">
        <w:t>Section 2B</w:t>
      </w:r>
      <w:r w:rsidR="0071610A">
        <w:t>: Clinical evaluation – assessment of investigative technologies</w:t>
      </w:r>
    </w:p>
    <w:p w14:paraId="0E8942C3" w14:textId="77777777" w:rsidR="0079338B" w:rsidRDefault="0079338B" w:rsidP="00722B16">
      <w:r>
        <w:t xml:space="preserve">Investigative technologies are tests that might be used for diagnosis, prognosis, screening or monitoring. </w:t>
      </w:r>
    </w:p>
    <w:p w14:paraId="56B85294" w14:textId="18AA82B4" w:rsidR="00B90929" w:rsidRDefault="0079338B" w:rsidP="00722B16">
      <w:pPr>
        <w:pStyle w:val="NormalBeforeBullet"/>
      </w:pPr>
      <w:r>
        <w:lastRenderedPageBreak/>
        <w:t>Section 2B</w:t>
      </w:r>
      <w:r w:rsidR="00B90929">
        <w:t xml:space="preserve"> describes the process of presenting </w:t>
      </w:r>
      <w:r w:rsidR="0071610A">
        <w:t xml:space="preserve">clinical </w:t>
      </w:r>
      <w:r w:rsidR="00B90929">
        <w:t xml:space="preserve">evidence for investigative technologies. It provides guidance for presenting the effectiveness and safety of </w:t>
      </w:r>
      <w:proofErr w:type="gramStart"/>
      <w:r w:rsidR="00B90929">
        <w:t>tests</w:t>
      </w:r>
      <w:r w:rsidR="0071610A">
        <w:t>,</w:t>
      </w:r>
      <w:r w:rsidR="00B90929">
        <w:t xml:space="preserve"> </w:t>
      </w:r>
      <w:r w:rsidR="0071610A">
        <w:t>and</w:t>
      </w:r>
      <w:proofErr w:type="gramEnd"/>
      <w:r w:rsidR="00B90929">
        <w:t xml:space="preserve"> </w:t>
      </w:r>
      <w:r w:rsidR="009758E6">
        <w:t xml:space="preserve">is </w:t>
      </w:r>
      <w:r w:rsidR="00B90929">
        <w:t>organised by the type of evidence that is being presented. It provides guidance for appraising and reporting</w:t>
      </w:r>
      <w:r w:rsidR="00EA740A">
        <w:t xml:space="preserve"> on:</w:t>
      </w:r>
    </w:p>
    <w:p w14:paraId="41B1742E" w14:textId="4DD7E8DE" w:rsidR="00B90929" w:rsidRPr="004636D3" w:rsidRDefault="004636D3" w:rsidP="004636D3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B90929" w:rsidRPr="004636D3">
        <w:rPr>
          <w:rFonts w:ascii="Calibri" w:hAnsi="Calibri" w:cs="Calibri"/>
        </w:rPr>
        <w:t xml:space="preserve">tudies that report on health outcomes </w:t>
      </w:r>
      <w:r w:rsidR="00E66797">
        <w:rPr>
          <w:rFonts w:ascii="Calibri" w:hAnsi="Calibri" w:cs="Calibri"/>
        </w:rPr>
        <w:t xml:space="preserve">after a test is </w:t>
      </w:r>
      <w:r w:rsidR="0086454D">
        <w:rPr>
          <w:rFonts w:ascii="Calibri" w:hAnsi="Calibri" w:cs="Calibri"/>
        </w:rPr>
        <w:t>used</w:t>
      </w:r>
      <w:r>
        <w:rPr>
          <w:rFonts w:ascii="Calibri" w:hAnsi="Calibri" w:cs="Calibri"/>
        </w:rPr>
        <w:t xml:space="preserve">, referred to as </w:t>
      </w:r>
      <w:r w:rsidR="00B90929" w:rsidRPr="00866F7D">
        <w:rPr>
          <w:rFonts w:ascii="Calibri" w:hAnsi="Calibri" w:cs="Calibri"/>
          <w:iCs/>
        </w:rPr>
        <w:t>direct from test to health outcomes evidence</w:t>
      </w:r>
      <w:r w:rsidRPr="00866F7D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</w:rPr>
        <w:t>(TG 10)</w:t>
      </w:r>
    </w:p>
    <w:p w14:paraId="5583EA77" w14:textId="34739AC4" w:rsidR="00B90929" w:rsidRPr="004636D3" w:rsidRDefault="004636D3" w:rsidP="004636D3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B90929" w:rsidRPr="004636D3">
        <w:rPr>
          <w:rFonts w:ascii="Calibri" w:hAnsi="Calibri" w:cs="Calibri"/>
        </w:rPr>
        <w:t>tudies that report on the accuracy of a test</w:t>
      </w:r>
      <w:r>
        <w:rPr>
          <w:rFonts w:ascii="Calibri" w:hAnsi="Calibri" w:cs="Calibri"/>
        </w:rPr>
        <w:t xml:space="preserve"> (TG 11)</w:t>
      </w:r>
    </w:p>
    <w:p w14:paraId="073D1B87" w14:textId="165E28DE" w:rsidR="00B90929" w:rsidRPr="004636D3" w:rsidRDefault="004636D3" w:rsidP="004636D3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B90929" w:rsidRPr="004636D3">
        <w:rPr>
          <w:rFonts w:ascii="Calibri" w:hAnsi="Calibri" w:cs="Calibri"/>
        </w:rPr>
        <w:t>tudies that report on the ability of a test to change clinical management</w:t>
      </w:r>
      <w:r>
        <w:rPr>
          <w:rFonts w:ascii="Calibri" w:hAnsi="Calibri" w:cs="Calibri"/>
        </w:rPr>
        <w:t xml:space="preserve"> (TG 12)</w:t>
      </w:r>
    </w:p>
    <w:p w14:paraId="3659BB9E" w14:textId="3A716D22" w:rsidR="00B90929" w:rsidRPr="004636D3" w:rsidRDefault="004636D3" w:rsidP="004636D3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B90929" w:rsidRPr="004636D3">
        <w:rPr>
          <w:rFonts w:ascii="Calibri" w:hAnsi="Calibri" w:cs="Calibri"/>
        </w:rPr>
        <w:t>tudies that report on the possible impact of changes in clinical management</w:t>
      </w:r>
      <w:r>
        <w:rPr>
          <w:rFonts w:ascii="Calibri" w:hAnsi="Calibri" w:cs="Calibri"/>
        </w:rPr>
        <w:t xml:space="preserve"> (TG 13)</w:t>
      </w:r>
    </w:p>
    <w:p w14:paraId="73157FF4" w14:textId="3FE2610F" w:rsidR="00B90929" w:rsidRPr="004636D3" w:rsidRDefault="004636D3" w:rsidP="004636D3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4636D3">
        <w:rPr>
          <w:rFonts w:ascii="Calibri" w:hAnsi="Calibri" w:cs="Calibri"/>
        </w:rPr>
        <w:t>he safety of investigative technologies (TG 14)</w:t>
      </w:r>
    </w:p>
    <w:p w14:paraId="10CBB58C" w14:textId="430FE775" w:rsidR="004636D3" w:rsidRPr="004636D3" w:rsidRDefault="004636D3" w:rsidP="004636D3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4636D3">
        <w:rPr>
          <w:rFonts w:ascii="Calibri" w:hAnsi="Calibri" w:cs="Calibri"/>
        </w:rPr>
        <w:t xml:space="preserve">dditional considerations when assessing </w:t>
      </w:r>
      <w:r w:rsidR="00CF69C1">
        <w:rPr>
          <w:rFonts w:ascii="Calibri" w:hAnsi="Calibri" w:cs="Calibri"/>
        </w:rPr>
        <w:t>special cases</w:t>
      </w:r>
      <w:r w:rsidRPr="004636D3">
        <w:rPr>
          <w:rFonts w:ascii="Calibri" w:hAnsi="Calibri" w:cs="Calibri"/>
        </w:rPr>
        <w:t xml:space="preserve">, </w:t>
      </w:r>
      <w:r w:rsidR="00CF69C1">
        <w:rPr>
          <w:rFonts w:ascii="Calibri" w:hAnsi="Calibri" w:cs="Calibri"/>
        </w:rPr>
        <w:t>such as</w:t>
      </w:r>
      <w:r w:rsidRPr="004636D3">
        <w:rPr>
          <w:rFonts w:ascii="Calibri" w:hAnsi="Calibri" w:cs="Calibri"/>
        </w:rPr>
        <w:t xml:space="preserve"> screening</w:t>
      </w:r>
      <w:r w:rsidR="00CF69C1">
        <w:rPr>
          <w:rFonts w:ascii="Calibri" w:hAnsi="Calibri" w:cs="Calibri"/>
        </w:rPr>
        <w:t>,</w:t>
      </w:r>
      <w:r w:rsidRPr="004636D3">
        <w:rPr>
          <w:rFonts w:ascii="Calibri" w:hAnsi="Calibri" w:cs="Calibri"/>
        </w:rPr>
        <w:t xml:space="preserve"> </w:t>
      </w:r>
      <w:r w:rsidR="00CF69C1">
        <w:rPr>
          <w:rFonts w:ascii="Calibri" w:hAnsi="Calibri" w:cs="Calibri"/>
        </w:rPr>
        <w:t xml:space="preserve">monitoring, </w:t>
      </w:r>
      <w:r w:rsidRPr="004636D3">
        <w:rPr>
          <w:rFonts w:ascii="Calibri" w:hAnsi="Calibri" w:cs="Calibri"/>
        </w:rPr>
        <w:t>codependent technologies</w:t>
      </w:r>
      <w:r w:rsidR="00CF69C1">
        <w:rPr>
          <w:rFonts w:ascii="Calibri" w:hAnsi="Calibri" w:cs="Calibri"/>
        </w:rPr>
        <w:t>, and algorithms and adaptive tests</w:t>
      </w:r>
      <w:r w:rsidRPr="004636D3">
        <w:rPr>
          <w:rFonts w:ascii="Calibri" w:hAnsi="Calibri" w:cs="Calibri"/>
        </w:rPr>
        <w:t xml:space="preserve"> (TG 15)</w:t>
      </w:r>
    </w:p>
    <w:p w14:paraId="6F6BE215" w14:textId="016F9FCC" w:rsidR="004636D3" w:rsidRPr="004636D3" w:rsidRDefault="004636D3" w:rsidP="004636D3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4636D3">
        <w:rPr>
          <w:rFonts w:ascii="Calibri" w:hAnsi="Calibri" w:cs="Calibri"/>
        </w:rPr>
        <w:t>n interpretation of the investigative evidence (TG 16)</w:t>
      </w:r>
      <w:r w:rsidR="00CC2A3C">
        <w:rPr>
          <w:rFonts w:ascii="Calibri" w:hAnsi="Calibri" w:cs="Calibri"/>
        </w:rPr>
        <w:t>.</w:t>
      </w:r>
    </w:p>
    <w:p w14:paraId="096CE300" w14:textId="0EA65A02" w:rsidR="003C3B72" w:rsidRDefault="004636D3" w:rsidP="00722B16">
      <w:pPr>
        <w:pStyle w:val="NormalBeforeBullet"/>
      </w:pPr>
      <w:r>
        <w:t xml:space="preserve">Not all these sections will be relevant for each assessment. </w:t>
      </w:r>
      <w:r w:rsidR="003C3B72">
        <w:t xml:space="preserve">The relevant sections </w:t>
      </w:r>
      <w:r w:rsidR="0071610A">
        <w:t xml:space="preserve">mainly </w:t>
      </w:r>
      <w:r w:rsidR="003C3B72">
        <w:t>depend on:</w:t>
      </w:r>
    </w:p>
    <w:p w14:paraId="68173904" w14:textId="41127087" w:rsidR="003C3B72" w:rsidRPr="00B57945" w:rsidRDefault="00B57945" w:rsidP="00B57945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3C3B72" w:rsidRPr="00B57945">
        <w:rPr>
          <w:rFonts w:ascii="Calibri" w:hAnsi="Calibri" w:cs="Calibri"/>
        </w:rPr>
        <w:t>he available evidence</w:t>
      </w:r>
    </w:p>
    <w:p w14:paraId="22E496D5" w14:textId="30BF52C4" w:rsidR="003C3B72" w:rsidRPr="00B57945" w:rsidRDefault="00B57945" w:rsidP="00B57945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3C3B72" w:rsidRPr="00B57945">
        <w:rPr>
          <w:rFonts w:ascii="Calibri" w:hAnsi="Calibri" w:cs="Calibri"/>
        </w:rPr>
        <w:t>hether the assessment can be reduced to a comparison of test accuracy</w:t>
      </w:r>
      <w:r w:rsidR="0071610A">
        <w:rPr>
          <w:rFonts w:ascii="Calibri" w:hAnsi="Calibri" w:cs="Calibri"/>
        </w:rPr>
        <w:t>.</w:t>
      </w:r>
    </w:p>
    <w:p w14:paraId="19E71F3C" w14:textId="1ED7B2E1" w:rsidR="00CF69C1" w:rsidRDefault="00CF69C1" w:rsidP="00722B16">
      <w:r>
        <w:t>This section is also supported by Appendi</w:t>
      </w:r>
      <w:r w:rsidR="0071610A">
        <w:t>x</w:t>
      </w:r>
      <w:r>
        <w:t>es 2–5.</w:t>
      </w:r>
    </w:p>
    <w:p w14:paraId="25F3D9FB" w14:textId="6C986B51" w:rsidR="0071610A" w:rsidRDefault="0071610A" w:rsidP="00866F7D">
      <w:pPr>
        <w:pStyle w:val="Heading4"/>
      </w:pPr>
      <w:r>
        <w:t>Assessment framework for investigative technologies</w:t>
      </w:r>
    </w:p>
    <w:p w14:paraId="13DEBF83" w14:textId="3ECDDD5D" w:rsidR="003C3B72" w:rsidRDefault="0071610A" w:rsidP="00722B16">
      <w:r>
        <w:t>TG 9 in</w:t>
      </w:r>
      <w:r w:rsidR="003C3B72">
        <w:t xml:space="preserve"> Section 2B</w:t>
      </w:r>
      <w:r>
        <w:t xml:space="preserve"> introduces the assessment framework.</w:t>
      </w:r>
      <w:r w:rsidR="003C3B72">
        <w:t xml:space="preserve"> </w:t>
      </w:r>
      <w:r>
        <w:t xml:space="preserve">This framework </w:t>
      </w:r>
      <w:r w:rsidR="003C3B72">
        <w:t>help</w:t>
      </w:r>
      <w:r>
        <w:t>s</w:t>
      </w:r>
      <w:r w:rsidR="003C3B72">
        <w:t xml:space="preserve"> determine the appropriate approach</w:t>
      </w:r>
      <w:r w:rsidR="00A44FC5">
        <w:t xml:space="preserve"> for assessing investigative technologies</w:t>
      </w:r>
      <w:r w:rsidR="003C3B72">
        <w:t xml:space="preserve">. </w:t>
      </w:r>
      <w:r w:rsidR="0086454D">
        <w:t>The guidelines explain what type of information needs to be included for each numbered step in the framework.</w:t>
      </w:r>
    </w:p>
    <w:p w14:paraId="0DA00FD7" w14:textId="344EC937" w:rsidR="00FD2EF5" w:rsidRDefault="00FD2EF5" w:rsidP="00722B16">
      <w:r>
        <w:rPr>
          <w:noProof/>
          <w:lang w:eastAsia="en-AU"/>
        </w:rPr>
        <w:drawing>
          <wp:inline distT="0" distB="0" distL="0" distR="0" wp14:anchorId="4D8A16AD" wp14:editId="6C2518B7">
            <wp:extent cx="5727700" cy="2044700"/>
            <wp:effectExtent l="0" t="0" r="0" b="0"/>
            <wp:docPr id="3" name="Picture 3" descr="Diagram of an assessment framework showing the steps from test population to health outco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 of an assessment framework showing the steps from test population to health outcome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F1FB3" w14:textId="71860B0B" w:rsidR="00D45285" w:rsidRDefault="00B57945" w:rsidP="00722B16">
      <w:r>
        <w:t>For a test to improve health, it usually needs to be more accurate than the existing test</w:t>
      </w:r>
      <w:r w:rsidR="00CF69C1">
        <w:t>.</w:t>
      </w:r>
      <w:r>
        <w:t xml:space="preserve"> </w:t>
      </w:r>
      <w:r w:rsidR="00D45285">
        <w:t>T</w:t>
      </w:r>
      <w:r w:rsidR="00CF69C1">
        <w:t>he patient and their practitioner</w:t>
      </w:r>
      <w:r>
        <w:t xml:space="preserve"> </w:t>
      </w:r>
      <w:r w:rsidR="00D45285">
        <w:t xml:space="preserve">can then use this information </w:t>
      </w:r>
      <w:r>
        <w:t xml:space="preserve">to change </w:t>
      </w:r>
      <w:r w:rsidR="00CF69C1">
        <w:t>treatment or</w:t>
      </w:r>
      <w:r>
        <w:t xml:space="preserve"> management, </w:t>
      </w:r>
      <w:r w:rsidR="00CF69C1">
        <w:t>which should</w:t>
      </w:r>
      <w:r w:rsidR="00777B67">
        <w:t xml:space="preserve"> </w:t>
      </w:r>
      <w:r w:rsidR="00D45285">
        <w:t>improve</w:t>
      </w:r>
      <w:r w:rsidR="00777B67">
        <w:t xml:space="preserve"> health outcomes.</w:t>
      </w:r>
      <w:r w:rsidR="00D45285">
        <w:t xml:space="preserve"> </w:t>
      </w:r>
      <w:r w:rsidR="00777B67">
        <w:t xml:space="preserve">For this reason, it is rarely appropriate to only </w:t>
      </w:r>
      <w:r w:rsidR="00CC2A3C">
        <w:t>assess test accuracy</w:t>
      </w:r>
      <w:r w:rsidR="000D7AAC">
        <w:t xml:space="preserve"> (although there are some exceptions, such as when a test is </w:t>
      </w:r>
      <w:r w:rsidR="00AD024B">
        <w:t xml:space="preserve">proposed to </w:t>
      </w:r>
      <w:r w:rsidR="000D7AAC">
        <w:t>replace an existing test)</w:t>
      </w:r>
      <w:r w:rsidR="00777B67">
        <w:t xml:space="preserve">. </w:t>
      </w:r>
    </w:p>
    <w:p w14:paraId="45EEE41D" w14:textId="5578DFE4" w:rsidR="00D45285" w:rsidRDefault="00777B67" w:rsidP="00722B16">
      <w:r>
        <w:t xml:space="preserve">The assessment framework is intended to </w:t>
      </w:r>
      <w:r w:rsidR="00262D27">
        <w:t>ensure</w:t>
      </w:r>
      <w:r>
        <w:t xml:space="preserve"> </w:t>
      </w:r>
      <w:r w:rsidR="00D45285">
        <w:t xml:space="preserve">that all </w:t>
      </w:r>
      <w:r>
        <w:t xml:space="preserve">the steps </w:t>
      </w:r>
      <w:r w:rsidR="00262D27">
        <w:t xml:space="preserve">are </w:t>
      </w:r>
      <w:r w:rsidR="0071610A">
        <w:t>clear</w:t>
      </w:r>
      <w:r w:rsidR="008A20BF">
        <w:t>, from testing to health outcomes</w:t>
      </w:r>
      <w:r w:rsidR="0071610A">
        <w:t>. T</w:t>
      </w:r>
      <w:r>
        <w:t xml:space="preserve">his is called a linked evidence approach. </w:t>
      </w:r>
    </w:p>
    <w:p w14:paraId="25B4F530" w14:textId="71EDAC10" w:rsidR="00777B67" w:rsidRDefault="00777B67" w:rsidP="00722B16">
      <w:r>
        <w:t xml:space="preserve">Sometimes studies are available where </w:t>
      </w:r>
      <w:r w:rsidR="00CF69C1">
        <w:t>participants</w:t>
      </w:r>
      <w:r>
        <w:t xml:space="preserve"> receive a test and they are followed up until health outcomes are reported. This is called direct from test to health outcomes evidence.</w:t>
      </w:r>
    </w:p>
    <w:p w14:paraId="19ADB2A3" w14:textId="42386CFE" w:rsidR="000D7AAC" w:rsidRDefault="00777B67" w:rsidP="00722B16">
      <w:r>
        <w:t xml:space="preserve">Each link in the </w:t>
      </w:r>
      <w:r w:rsidR="000D7AAC">
        <w:t>a</w:t>
      </w:r>
      <w:r>
        <w:t xml:space="preserve">ssessment </w:t>
      </w:r>
      <w:r w:rsidR="000D7AAC">
        <w:t>f</w:t>
      </w:r>
      <w:r>
        <w:t xml:space="preserve">ramework </w:t>
      </w:r>
      <w:r w:rsidR="000D7AAC">
        <w:t>(direct to health outcomes, testing, decision</w:t>
      </w:r>
      <w:r w:rsidR="0071610A">
        <w:t>-</w:t>
      </w:r>
      <w:r w:rsidR="000D7AAC">
        <w:t xml:space="preserve">making, treatment/management) corresponds to a TG </w:t>
      </w:r>
      <w:r w:rsidR="0071610A">
        <w:t>sub</w:t>
      </w:r>
      <w:r w:rsidR="000D7AAC">
        <w:t xml:space="preserve">section in the </w:t>
      </w:r>
      <w:r w:rsidR="007F1E95">
        <w:t>g</w:t>
      </w:r>
      <w:r w:rsidR="000D7AAC">
        <w:t>uidelines.</w:t>
      </w:r>
    </w:p>
    <w:p w14:paraId="3150B5E4" w14:textId="1CD3C1A1" w:rsidR="000D7AAC" w:rsidRPr="000D7AAC" w:rsidRDefault="000D7AAC" w:rsidP="00866F7D">
      <w:pPr>
        <w:pStyle w:val="Heading3"/>
      </w:pPr>
      <w:r w:rsidRPr="000D7AAC">
        <w:lastRenderedPageBreak/>
        <w:t>Section 3</w:t>
      </w:r>
      <w:r w:rsidR="00DC093B">
        <w:t>A</w:t>
      </w:r>
      <w:r w:rsidR="0071610A">
        <w:t xml:space="preserve">: Economic evaluation – </w:t>
      </w:r>
      <w:r w:rsidR="008321DC">
        <w:t>c</w:t>
      </w:r>
      <w:r w:rsidR="0071610A">
        <w:t>ost-effectiveness analysis</w:t>
      </w:r>
    </w:p>
    <w:p w14:paraId="2E84CB07" w14:textId="445161E5" w:rsidR="000D7AAC" w:rsidRDefault="00DC093B" w:rsidP="00722B16">
      <w:pPr>
        <w:pStyle w:val="NormalBeforeBullet"/>
      </w:pPr>
      <w:r>
        <w:t xml:space="preserve">This section describes the process of presenting evidence for the cost-effectiveness of health technologies. </w:t>
      </w:r>
      <w:r w:rsidR="00FB244E">
        <w:t xml:space="preserve">A health technology that costs more than the technology it is seeking to replace will usually </w:t>
      </w:r>
      <w:r w:rsidR="009758E6">
        <w:t xml:space="preserve">need </w:t>
      </w:r>
      <w:r w:rsidR="00FB244E">
        <w:t xml:space="preserve">an analysis that shows how much </w:t>
      </w:r>
      <w:r w:rsidR="00D45285">
        <w:t xml:space="preserve">extra </w:t>
      </w:r>
      <w:r w:rsidR="00FB244E">
        <w:t xml:space="preserve">benefit would be gained for that </w:t>
      </w:r>
      <w:r w:rsidR="00D45285">
        <w:t xml:space="preserve">extra </w:t>
      </w:r>
      <w:r w:rsidR="00FB244E">
        <w:t>cost. This section provides the following guidance</w:t>
      </w:r>
      <w:r w:rsidR="00262D27">
        <w:t>:</w:t>
      </w:r>
      <w:r w:rsidR="00FB244E">
        <w:t xml:space="preserve"> </w:t>
      </w:r>
    </w:p>
    <w:p w14:paraId="1E1A0032" w14:textId="729366B4" w:rsidR="00FB244E" w:rsidRPr="00B47578" w:rsidRDefault="00A86DB9" w:rsidP="00B475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</w:rPr>
      </w:pPr>
      <w:r w:rsidRPr="00B47578">
        <w:rPr>
          <w:rFonts w:ascii="Calibri" w:hAnsi="Calibri" w:cs="Calibri"/>
        </w:rPr>
        <w:t xml:space="preserve">description </w:t>
      </w:r>
      <w:r w:rsidR="00FB244E" w:rsidRPr="00B47578">
        <w:rPr>
          <w:rFonts w:ascii="Calibri" w:hAnsi="Calibri" w:cs="Calibri"/>
        </w:rPr>
        <w:t>of the analysis and approach</w:t>
      </w:r>
      <w:r w:rsidR="009D518B">
        <w:rPr>
          <w:rFonts w:ascii="Calibri" w:hAnsi="Calibri" w:cs="Calibri"/>
        </w:rPr>
        <w:t xml:space="preserve"> (TG 17)</w:t>
      </w:r>
    </w:p>
    <w:p w14:paraId="01221368" w14:textId="257D5B37" w:rsidR="00FB244E" w:rsidRPr="00B47578" w:rsidRDefault="00A86DB9" w:rsidP="00B475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</w:rPr>
      </w:pPr>
      <w:r w:rsidRPr="00B47578">
        <w:rPr>
          <w:rFonts w:ascii="Calibri" w:hAnsi="Calibri" w:cs="Calibri"/>
        </w:rPr>
        <w:t xml:space="preserve">model </w:t>
      </w:r>
      <w:r w:rsidR="00FB244E" w:rsidRPr="00B47578">
        <w:rPr>
          <w:rFonts w:ascii="Calibri" w:hAnsi="Calibri" w:cs="Calibri"/>
        </w:rPr>
        <w:t>structure and development</w:t>
      </w:r>
      <w:r w:rsidR="009D518B">
        <w:rPr>
          <w:rFonts w:ascii="Calibri" w:hAnsi="Calibri" w:cs="Calibri"/>
        </w:rPr>
        <w:t xml:space="preserve"> (TG 18)</w:t>
      </w:r>
    </w:p>
    <w:p w14:paraId="53E47522" w14:textId="42C9630F" w:rsidR="00FB244E" w:rsidRPr="00B47578" w:rsidRDefault="00A86DB9" w:rsidP="00B475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</w:rPr>
      </w:pPr>
      <w:r w:rsidRPr="00B47578">
        <w:rPr>
          <w:rFonts w:ascii="Calibri" w:hAnsi="Calibri" w:cs="Calibri"/>
        </w:rPr>
        <w:t xml:space="preserve">population </w:t>
      </w:r>
      <w:r w:rsidR="00FB244E" w:rsidRPr="00B47578">
        <w:rPr>
          <w:rFonts w:ascii="Calibri" w:hAnsi="Calibri" w:cs="Calibri"/>
        </w:rPr>
        <w:t>and setting included in the model or analysis</w:t>
      </w:r>
      <w:r w:rsidR="009D518B">
        <w:rPr>
          <w:rFonts w:ascii="Calibri" w:hAnsi="Calibri" w:cs="Calibri"/>
        </w:rPr>
        <w:t xml:space="preserve"> (TG 19)</w:t>
      </w:r>
    </w:p>
    <w:p w14:paraId="5714321C" w14:textId="0A3A041B" w:rsidR="00FB244E" w:rsidRPr="00B47578" w:rsidRDefault="00A86DB9" w:rsidP="00B475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</w:rPr>
      </w:pPr>
      <w:r w:rsidRPr="00B47578">
        <w:rPr>
          <w:rFonts w:ascii="Calibri" w:hAnsi="Calibri" w:cs="Calibri"/>
        </w:rPr>
        <w:t xml:space="preserve">variables </w:t>
      </w:r>
      <w:r w:rsidR="00FB244E" w:rsidRPr="00B47578">
        <w:rPr>
          <w:rFonts w:ascii="Calibri" w:hAnsi="Calibri" w:cs="Calibri"/>
        </w:rPr>
        <w:t>that explain how patients move through the model</w:t>
      </w:r>
      <w:r w:rsidR="009D518B">
        <w:rPr>
          <w:rFonts w:ascii="Calibri" w:hAnsi="Calibri" w:cs="Calibri"/>
        </w:rPr>
        <w:t xml:space="preserve"> (TG 20)</w:t>
      </w:r>
    </w:p>
    <w:p w14:paraId="02BD7A16" w14:textId="0125609E" w:rsidR="009D518B" w:rsidRPr="009D518B" w:rsidRDefault="00A86DB9" w:rsidP="009D518B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</w:rPr>
      </w:pPr>
      <w:r w:rsidRPr="00B47578">
        <w:rPr>
          <w:rFonts w:ascii="Calibri" w:hAnsi="Calibri" w:cs="Calibri"/>
        </w:rPr>
        <w:t xml:space="preserve">variables </w:t>
      </w:r>
      <w:r>
        <w:rPr>
          <w:rFonts w:ascii="Calibri" w:hAnsi="Calibri" w:cs="Calibri"/>
        </w:rPr>
        <w:t xml:space="preserve">that </w:t>
      </w:r>
      <w:r w:rsidR="00B47578" w:rsidRPr="00B47578">
        <w:rPr>
          <w:rFonts w:ascii="Calibri" w:hAnsi="Calibri" w:cs="Calibri"/>
        </w:rPr>
        <w:t>explain how health outcomes are captured in the model</w:t>
      </w:r>
      <w:r w:rsidR="009D518B">
        <w:rPr>
          <w:rFonts w:ascii="Calibri" w:hAnsi="Calibri" w:cs="Calibri"/>
        </w:rPr>
        <w:t xml:space="preserve"> (TG 21)</w:t>
      </w:r>
    </w:p>
    <w:p w14:paraId="5A849D3A" w14:textId="4609B385" w:rsidR="00B47578" w:rsidRPr="00B47578" w:rsidRDefault="00A86DB9" w:rsidP="00B475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</w:rPr>
      </w:pPr>
      <w:r w:rsidRPr="00B47578">
        <w:rPr>
          <w:rFonts w:ascii="Calibri" w:hAnsi="Calibri" w:cs="Calibri"/>
        </w:rPr>
        <w:t xml:space="preserve">costs </w:t>
      </w:r>
      <w:r w:rsidR="00B47578" w:rsidRPr="00B47578">
        <w:rPr>
          <w:rFonts w:ascii="Calibri" w:hAnsi="Calibri" w:cs="Calibri"/>
        </w:rPr>
        <w:t>and resources included in the model</w:t>
      </w:r>
      <w:r w:rsidR="009D518B">
        <w:rPr>
          <w:rFonts w:ascii="Calibri" w:hAnsi="Calibri" w:cs="Calibri"/>
        </w:rPr>
        <w:t xml:space="preserve"> (TG 22)</w:t>
      </w:r>
    </w:p>
    <w:p w14:paraId="2B168ABF" w14:textId="691DE036" w:rsidR="00B47578" w:rsidRPr="00B47578" w:rsidRDefault="00A86DB9" w:rsidP="00B475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</w:rPr>
      </w:pPr>
      <w:r w:rsidRPr="00B47578">
        <w:rPr>
          <w:rFonts w:ascii="Calibri" w:hAnsi="Calibri" w:cs="Calibri"/>
        </w:rPr>
        <w:t xml:space="preserve">ways </w:t>
      </w:r>
      <w:r w:rsidR="00B47578" w:rsidRPr="00B47578">
        <w:rPr>
          <w:rFonts w:ascii="Calibri" w:hAnsi="Calibri" w:cs="Calibri"/>
        </w:rPr>
        <w:t>to validate the economic model</w:t>
      </w:r>
      <w:r w:rsidR="009D518B">
        <w:rPr>
          <w:rFonts w:ascii="Calibri" w:hAnsi="Calibri" w:cs="Calibri"/>
        </w:rPr>
        <w:t xml:space="preserve"> (TG 23)</w:t>
      </w:r>
    </w:p>
    <w:p w14:paraId="269329D7" w14:textId="469A5070" w:rsidR="00B47578" w:rsidRPr="00B47578" w:rsidRDefault="00A86DB9" w:rsidP="00B475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Pr="00B47578">
        <w:rPr>
          <w:rFonts w:ascii="Calibri" w:hAnsi="Calibri" w:cs="Calibri"/>
        </w:rPr>
        <w:t xml:space="preserve">ow </w:t>
      </w:r>
      <w:r w:rsidR="00B47578" w:rsidRPr="00B47578">
        <w:rPr>
          <w:rFonts w:ascii="Calibri" w:hAnsi="Calibri" w:cs="Calibri"/>
        </w:rPr>
        <w:t>to present the results of the analysis</w:t>
      </w:r>
      <w:r w:rsidR="009D518B">
        <w:rPr>
          <w:rFonts w:ascii="Calibri" w:hAnsi="Calibri" w:cs="Calibri"/>
        </w:rPr>
        <w:t xml:space="preserve"> (TG 24)</w:t>
      </w:r>
    </w:p>
    <w:p w14:paraId="5AEB95A0" w14:textId="7ABE2FFA" w:rsidR="00B47578" w:rsidRPr="00B47578" w:rsidRDefault="00A86DB9" w:rsidP="00B475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how to i</w:t>
      </w:r>
      <w:r w:rsidRPr="00B47578">
        <w:rPr>
          <w:rFonts w:ascii="Calibri" w:hAnsi="Calibri" w:cs="Calibri"/>
        </w:rPr>
        <w:t xml:space="preserve">dentify </w:t>
      </w:r>
      <w:r w:rsidR="00B47578" w:rsidRPr="00B47578">
        <w:rPr>
          <w:rFonts w:ascii="Calibri" w:hAnsi="Calibri" w:cs="Calibri"/>
        </w:rPr>
        <w:t>and explor</w:t>
      </w:r>
      <w:r>
        <w:rPr>
          <w:rFonts w:ascii="Calibri" w:hAnsi="Calibri" w:cs="Calibri"/>
        </w:rPr>
        <w:t>e</w:t>
      </w:r>
      <w:r w:rsidR="00B47578" w:rsidRPr="00B47578">
        <w:rPr>
          <w:rFonts w:ascii="Calibri" w:hAnsi="Calibri" w:cs="Calibri"/>
        </w:rPr>
        <w:t xml:space="preserve"> uncertainties in the analysis</w:t>
      </w:r>
      <w:r w:rsidR="009D518B">
        <w:rPr>
          <w:rFonts w:ascii="Calibri" w:hAnsi="Calibri" w:cs="Calibri"/>
        </w:rPr>
        <w:t xml:space="preserve"> (TG 25)</w:t>
      </w:r>
      <w:r>
        <w:rPr>
          <w:rFonts w:ascii="Calibri" w:hAnsi="Calibri" w:cs="Calibri"/>
        </w:rPr>
        <w:t>.</w:t>
      </w:r>
    </w:p>
    <w:p w14:paraId="02B159E9" w14:textId="428412C5" w:rsidR="00FB244E" w:rsidRDefault="00B47578" w:rsidP="00722B16">
      <w:r>
        <w:t xml:space="preserve">Section 3A </w:t>
      </w:r>
      <w:r w:rsidR="00A86DB9">
        <w:t xml:space="preserve">includes </w:t>
      </w:r>
      <w:r>
        <w:t xml:space="preserve">guidance for modelling both therapeutic and investigative technologies. </w:t>
      </w:r>
    </w:p>
    <w:p w14:paraId="59E109E4" w14:textId="31BC251D" w:rsidR="00B47578" w:rsidRPr="00EF6387" w:rsidRDefault="00B47578" w:rsidP="00866F7D">
      <w:pPr>
        <w:pStyle w:val="Heading3"/>
      </w:pPr>
      <w:r w:rsidRPr="00EF6387">
        <w:t>Section 3B</w:t>
      </w:r>
      <w:r w:rsidR="00A86DB9">
        <w:t>: Economic evaluation – cost minimisation</w:t>
      </w:r>
    </w:p>
    <w:p w14:paraId="1FA3DB4B" w14:textId="31E9D2D3" w:rsidR="00B47578" w:rsidRDefault="00B47578" w:rsidP="00722B16">
      <w:r>
        <w:t xml:space="preserve">This section </w:t>
      </w:r>
      <w:r w:rsidR="00A86DB9">
        <w:t>describes</w:t>
      </w:r>
      <w:r w:rsidR="009D518B">
        <w:t xml:space="preserve"> a cost-minimisation approach</w:t>
      </w:r>
      <w:r w:rsidR="00D45285">
        <w:t>.</w:t>
      </w:r>
      <w:r w:rsidR="009D518B">
        <w:t xml:space="preserve"> </w:t>
      </w:r>
      <w:r w:rsidR="00D45285">
        <w:t>This approach is used</w:t>
      </w:r>
      <w:r w:rsidR="009D518B">
        <w:t xml:space="preserve"> if the proposed technology </w:t>
      </w:r>
      <w:r w:rsidR="00A86DB9">
        <w:t>has</w:t>
      </w:r>
      <w:r w:rsidR="009D518B">
        <w:t xml:space="preserve"> similar (noninferior) health outcomes to the comparator. </w:t>
      </w:r>
      <w:r w:rsidR="00D45285">
        <w:t>It</w:t>
      </w:r>
      <w:r w:rsidR="009D518B">
        <w:t xml:space="preserve"> establish</w:t>
      </w:r>
      <w:r w:rsidR="00D45285">
        <w:t>es</w:t>
      </w:r>
      <w:r w:rsidR="009D518B">
        <w:t xml:space="preserve"> that the use of the proposed technology results in the same </w:t>
      </w:r>
      <w:r w:rsidR="00A86DB9">
        <w:t xml:space="preserve">overall </w:t>
      </w:r>
      <w:r w:rsidR="009D518B">
        <w:t xml:space="preserve">cost as the use of the comparator. </w:t>
      </w:r>
    </w:p>
    <w:p w14:paraId="14BB3AEE" w14:textId="7249BCDE" w:rsidR="009D518B" w:rsidRDefault="009D518B" w:rsidP="00722B16">
      <w:r>
        <w:t>The guidance discusses how to present health care resource use and costs for the proposed health technology</w:t>
      </w:r>
      <w:r w:rsidR="00A86DB9">
        <w:t>,</w:t>
      </w:r>
      <w:r>
        <w:t xml:space="preserve"> and </w:t>
      </w:r>
      <w:r w:rsidR="00A86DB9">
        <w:t xml:space="preserve">how to </w:t>
      </w:r>
      <w:r>
        <w:t>compare this with the comparator (TG 26).</w:t>
      </w:r>
    </w:p>
    <w:p w14:paraId="3744786F" w14:textId="787A11C9" w:rsidR="009D518B" w:rsidRPr="006E2F2E" w:rsidRDefault="00EF6387" w:rsidP="00866F7D">
      <w:pPr>
        <w:pStyle w:val="Heading3"/>
      </w:pPr>
      <w:r w:rsidRPr="006E2F2E">
        <w:t>Section 4</w:t>
      </w:r>
      <w:r w:rsidR="00A86DB9">
        <w:t>: Use of the health technology in practice</w:t>
      </w:r>
    </w:p>
    <w:p w14:paraId="5837A916" w14:textId="7011D8B9" w:rsidR="009758E6" w:rsidRDefault="00EF6387" w:rsidP="00722B16">
      <w:pPr>
        <w:pStyle w:val="NormalBeforeBullet"/>
      </w:pPr>
      <w:r>
        <w:t>This section estimate</w:t>
      </w:r>
      <w:r w:rsidR="00A86DB9">
        <w:t>s</w:t>
      </w:r>
      <w:r>
        <w:t xml:space="preserve"> </w:t>
      </w:r>
      <w:r w:rsidR="00A86DB9">
        <w:t>how much</w:t>
      </w:r>
      <w:r>
        <w:t xml:space="preserve"> the proposed health technology </w:t>
      </w:r>
      <w:r w:rsidR="00A86DB9">
        <w:t xml:space="preserve">will be used (uptake) </w:t>
      </w:r>
      <w:r>
        <w:t xml:space="preserve">and the overall cost to the health care system (and/or payer). The guidance includes </w:t>
      </w:r>
      <w:r w:rsidR="009758E6">
        <w:t xml:space="preserve">how </w:t>
      </w:r>
      <w:r>
        <w:t>to</w:t>
      </w:r>
      <w:r w:rsidR="009758E6">
        <w:t>:</w:t>
      </w:r>
      <w:r>
        <w:t xml:space="preserve"> </w:t>
      </w:r>
    </w:p>
    <w:p w14:paraId="4088EAC6" w14:textId="537441F2" w:rsidR="009758E6" w:rsidRPr="00950B18" w:rsidRDefault="00EF6387" w:rsidP="00866F7D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</w:rPr>
      </w:pPr>
      <w:r w:rsidRPr="00950B18">
        <w:rPr>
          <w:rFonts w:ascii="Calibri" w:hAnsi="Calibri" w:cs="Calibri"/>
        </w:rPr>
        <w:t>estimate the use of the proposed technology and of the technolog</w:t>
      </w:r>
      <w:r w:rsidR="00262D27" w:rsidRPr="00950B18">
        <w:rPr>
          <w:rFonts w:ascii="Calibri" w:hAnsi="Calibri" w:cs="Calibri"/>
        </w:rPr>
        <w:t>y</w:t>
      </w:r>
      <w:r w:rsidRPr="00950B18">
        <w:rPr>
          <w:rFonts w:ascii="Calibri" w:hAnsi="Calibri" w:cs="Calibri"/>
        </w:rPr>
        <w:t xml:space="preserve"> it will displace</w:t>
      </w:r>
    </w:p>
    <w:p w14:paraId="6DE02463" w14:textId="33C68D14" w:rsidR="009758E6" w:rsidRPr="00950B18" w:rsidRDefault="009758E6" w:rsidP="00866F7D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</w:rPr>
      </w:pPr>
      <w:r w:rsidRPr="00950B18">
        <w:rPr>
          <w:rFonts w:ascii="Calibri" w:hAnsi="Calibri" w:cs="Calibri"/>
        </w:rPr>
        <w:t>estimate</w:t>
      </w:r>
      <w:r w:rsidR="00EF6387" w:rsidRPr="00950B18">
        <w:rPr>
          <w:rFonts w:ascii="Calibri" w:hAnsi="Calibri" w:cs="Calibri"/>
        </w:rPr>
        <w:t xml:space="preserve"> the net cost </w:t>
      </w:r>
    </w:p>
    <w:p w14:paraId="436CF013" w14:textId="631F0909" w:rsidR="00EF6387" w:rsidRPr="00950B18" w:rsidRDefault="00EF6387" w:rsidP="00866F7D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</w:rPr>
      </w:pPr>
      <w:r w:rsidRPr="00950B18">
        <w:rPr>
          <w:rFonts w:ascii="Calibri" w:hAnsi="Calibri" w:cs="Calibri"/>
        </w:rPr>
        <w:t>identify uncertainty in the analyses.</w:t>
      </w:r>
    </w:p>
    <w:p w14:paraId="13520F9D" w14:textId="5E3BE63E" w:rsidR="00EF6387" w:rsidRPr="006E2F2E" w:rsidRDefault="00EF6387" w:rsidP="00866F7D">
      <w:pPr>
        <w:pStyle w:val="Heading3"/>
      </w:pPr>
      <w:r w:rsidRPr="006E2F2E">
        <w:t>Section 5</w:t>
      </w:r>
      <w:r w:rsidR="00A86DB9">
        <w:t>: Options to present additional relevant information</w:t>
      </w:r>
    </w:p>
    <w:p w14:paraId="7016EE5D" w14:textId="0374A64F" w:rsidR="00EF6387" w:rsidRDefault="00EF6387" w:rsidP="00722B16">
      <w:r>
        <w:t xml:space="preserve">This section contains </w:t>
      </w:r>
      <w:r w:rsidR="00077DDF">
        <w:t xml:space="preserve">2 </w:t>
      </w:r>
      <w:r>
        <w:t xml:space="preserve">Technical Guidance </w:t>
      </w:r>
      <w:r w:rsidR="00A86DB9">
        <w:t>sub</w:t>
      </w:r>
      <w:r>
        <w:t>sections.</w:t>
      </w:r>
    </w:p>
    <w:p w14:paraId="076750DE" w14:textId="3868E552" w:rsidR="00EF6387" w:rsidRDefault="00EF6387" w:rsidP="00722B16">
      <w:r>
        <w:t xml:space="preserve">TG 28 is called </w:t>
      </w:r>
      <w:r w:rsidR="00A86DB9">
        <w:t>‘</w:t>
      </w:r>
      <w:r>
        <w:t>Value of knowing</w:t>
      </w:r>
      <w:r w:rsidR="00A86DB9">
        <w:t>’</w:t>
      </w:r>
      <w:r>
        <w:t xml:space="preserve"> </w:t>
      </w:r>
      <w:r w:rsidR="00077DDF">
        <w:t xml:space="preserve">and </w:t>
      </w:r>
      <w:r>
        <w:t xml:space="preserve">is specifically for </w:t>
      </w:r>
      <w:r w:rsidR="00A80A96">
        <w:t xml:space="preserve">investigative technologies. The </w:t>
      </w:r>
      <w:r w:rsidR="00A86DB9">
        <w:t xml:space="preserve">value of knowing is </w:t>
      </w:r>
      <w:r w:rsidR="00A80A96">
        <w:t xml:space="preserve">most likely </w:t>
      </w:r>
      <w:r w:rsidR="00A86DB9">
        <w:t>to be relevant</w:t>
      </w:r>
      <w:r w:rsidR="00A80A96">
        <w:t xml:space="preserve"> when a test provides accurate information of a diagnosis or prognosis, but there is currently no known treatment or way to change the course of the disease. </w:t>
      </w:r>
      <w:r w:rsidR="00A86DB9">
        <w:t>This means</w:t>
      </w:r>
      <w:r w:rsidR="00A80A96">
        <w:t xml:space="preserve"> it is difficult to </w:t>
      </w:r>
      <w:r w:rsidR="009758E6">
        <w:t>show whether</w:t>
      </w:r>
      <w:r w:rsidR="00A80A96">
        <w:t xml:space="preserve"> the test will result in improved health outcomes, but the results of the test may have some value to patients, family members or carers. </w:t>
      </w:r>
      <w:r>
        <w:t xml:space="preserve">TG 28 </w:t>
      </w:r>
      <w:r w:rsidR="00A80A96">
        <w:t xml:space="preserve">explains how to present the </w:t>
      </w:r>
      <w:proofErr w:type="spellStart"/>
      <w:r w:rsidR="00A80A96">
        <w:t>nonhealth</w:t>
      </w:r>
      <w:proofErr w:type="spellEnd"/>
      <w:r w:rsidR="00A80A96">
        <w:t xml:space="preserve"> benefits and harms associated with </w:t>
      </w:r>
      <w:r w:rsidR="008B775D">
        <w:t xml:space="preserve">test results. </w:t>
      </w:r>
    </w:p>
    <w:p w14:paraId="270D9E59" w14:textId="237B15B7" w:rsidR="008B775D" w:rsidRDefault="008B775D" w:rsidP="00623382">
      <w:pPr>
        <w:pStyle w:val="NormalBeforeBullet"/>
      </w:pPr>
      <w:r>
        <w:t xml:space="preserve">TG 29 is called </w:t>
      </w:r>
      <w:r w:rsidR="00A86DB9">
        <w:t>’</w:t>
      </w:r>
      <w:r>
        <w:t>Other relevant considerations</w:t>
      </w:r>
      <w:r w:rsidR="00A86DB9">
        <w:t>’.</w:t>
      </w:r>
      <w:r>
        <w:t xml:space="preserve"> </w:t>
      </w:r>
      <w:r w:rsidR="00A86DB9">
        <w:t>It</w:t>
      </w:r>
      <w:r>
        <w:t xml:space="preserve"> is relevant for both investigative and therapeutic technologies. This section provides guidance on how to identify and report other factors that may </w:t>
      </w:r>
      <w:r w:rsidR="00A86DB9">
        <w:lastRenderedPageBreak/>
        <w:t>influence</w:t>
      </w:r>
      <w:r>
        <w:t xml:space="preserve"> decision</w:t>
      </w:r>
      <w:r w:rsidR="00A86DB9">
        <w:t>-</w:t>
      </w:r>
      <w:r>
        <w:t xml:space="preserve">making. These </w:t>
      </w:r>
      <w:r w:rsidRPr="00623382">
        <w:t>include</w:t>
      </w:r>
      <w:r>
        <w:t xml:space="preserve"> ethical issues, patient issues, organisational issues, legal issues and environmental issues. The issues of most relevance are</w:t>
      </w:r>
      <w:r w:rsidR="00AD024B">
        <w:t xml:space="preserve"> those that</w:t>
      </w:r>
      <w:r>
        <w:t>:</w:t>
      </w:r>
    </w:p>
    <w:p w14:paraId="458C528B" w14:textId="07194B29" w:rsidR="008B775D" w:rsidRPr="006E2F2E" w:rsidRDefault="008B775D" w:rsidP="006E2F2E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</w:rPr>
      </w:pPr>
      <w:r w:rsidRPr="006E2F2E">
        <w:rPr>
          <w:rFonts w:ascii="Calibri" w:hAnsi="Calibri" w:cs="Calibri"/>
        </w:rPr>
        <w:t xml:space="preserve">are unique to the proposed technology (or how it is used), </w:t>
      </w:r>
      <w:r w:rsidR="00077DDF">
        <w:rPr>
          <w:rFonts w:ascii="Calibri" w:hAnsi="Calibri" w:cs="Calibri"/>
        </w:rPr>
        <w:t>so</w:t>
      </w:r>
      <w:r w:rsidRPr="006E2F2E">
        <w:rPr>
          <w:rFonts w:ascii="Calibri" w:hAnsi="Calibri" w:cs="Calibri"/>
        </w:rPr>
        <w:t xml:space="preserve"> MSAC </w:t>
      </w:r>
      <w:r w:rsidR="00A86DB9">
        <w:rPr>
          <w:rFonts w:ascii="Calibri" w:hAnsi="Calibri" w:cs="Calibri"/>
        </w:rPr>
        <w:t>is</w:t>
      </w:r>
      <w:r w:rsidR="00A86DB9" w:rsidRPr="006E2F2E">
        <w:rPr>
          <w:rFonts w:ascii="Calibri" w:hAnsi="Calibri" w:cs="Calibri"/>
        </w:rPr>
        <w:t xml:space="preserve"> </w:t>
      </w:r>
      <w:r w:rsidRPr="006E2F2E">
        <w:rPr>
          <w:rFonts w:ascii="Calibri" w:hAnsi="Calibri" w:cs="Calibri"/>
        </w:rPr>
        <w:t xml:space="preserve">unlikely to have considered the factors </w:t>
      </w:r>
      <w:r w:rsidR="009758E6">
        <w:rPr>
          <w:rFonts w:ascii="Calibri" w:hAnsi="Calibri" w:cs="Calibri"/>
        </w:rPr>
        <w:t>before</w:t>
      </w:r>
      <w:r w:rsidR="009758E6" w:rsidRPr="006E2F2E">
        <w:rPr>
          <w:rFonts w:ascii="Calibri" w:hAnsi="Calibri" w:cs="Calibri"/>
        </w:rPr>
        <w:t xml:space="preserve"> </w:t>
      </w:r>
      <w:r w:rsidRPr="006E2F2E">
        <w:rPr>
          <w:rFonts w:ascii="Calibri" w:hAnsi="Calibri" w:cs="Calibri"/>
        </w:rPr>
        <w:t>(or in the same setting)</w:t>
      </w:r>
    </w:p>
    <w:p w14:paraId="2984821B" w14:textId="4F2F484E" w:rsidR="008B775D" w:rsidRPr="006E2F2E" w:rsidRDefault="009758E6" w:rsidP="006E2F2E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affect</w:t>
      </w:r>
      <w:r w:rsidR="008B775D" w:rsidRPr="006E2F2E">
        <w:rPr>
          <w:rFonts w:ascii="Calibri" w:hAnsi="Calibri" w:cs="Calibri"/>
        </w:rPr>
        <w:t xml:space="preserve"> the way t</w:t>
      </w:r>
      <w:r w:rsidR="006E2F2E" w:rsidRPr="006E2F2E">
        <w:rPr>
          <w:rFonts w:ascii="Calibri" w:hAnsi="Calibri" w:cs="Calibri"/>
        </w:rPr>
        <w:t>he clinical or economic evidence is interpreted</w:t>
      </w:r>
    </w:p>
    <w:p w14:paraId="695FC0B7" w14:textId="3D91FA47" w:rsidR="006E2F2E" w:rsidRPr="006E2F2E" w:rsidRDefault="006E2F2E" w:rsidP="006E2F2E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</w:rPr>
      </w:pPr>
      <w:r w:rsidRPr="006E2F2E">
        <w:rPr>
          <w:rFonts w:ascii="Calibri" w:hAnsi="Calibri" w:cs="Calibri"/>
        </w:rPr>
        <w:t>were included in the ratified PICO conf</w:t>
      </w:r>
      <w:r w:rsidR="00262D27">
        <w:rPr>
          <w:rFonts w:ascii="Calibri" w:hAnsi="Calibri" w:cs="Calibri"/>
        </w:rPr>
        <w:t>i</w:t>
      </w:r>
      <w:r w:rsidRPr="006E2F2E">
        <w:rPr>
          <w:rFonts w:ascii="Calibri" w:hAnsi="Calibri" w:cs="Calibri"/>
        </w:rPr>
        <w:t>rmation for further assessment (the</w:t>
      </w:r>
      <w:r w:rsidR="00077DDF">
        <w:rPr>
          <w:rFonts w:ascii="Calibri" w:hAnsi="Calibri" w:cs="Calibri"/>
        </w:rPr>
        <w:t>se</w:t>
      </w:r>
      <w:r w:rsidRPr="006E2F2E">
        <w:rPr>
          <w:rFonts w:ascii="Calibri" w:hAnsi="Calibri" w:cs="Calibri"/>
        </w:rPr>
        <w:t xml:space="preserve"> are </w:t>
      </w:r>
      <w:r w:rsidR="00077DDF">
        <w:rPr>
          <w:rFonts w:ascii="Calibri" w:hAnsi="Calibri" w:cs="Calibri"/>
        </w:rPr>
        <w:t xml:space="preserve">also </w:t>
      </w:r>
      <w:r w:rsidRPr="006E2F2E">
        <w:rPr>
          <w:rFonts w:ascii="Calibri" w:hAnsi="Calibri" w:cs="Calibri"/>
        </w:rPr>
        <w:t>likely to meet one or both of the above criteria)</w:t>
      </w:r>
      <w:r w:rsidR="00A86DB9">
        <w:rPr>
          <w:rFonts w:ascii="Calibri" w:hAnsi="Calibri" w:cs="Calibri"/>
        </w:rPr>
        <w:t>.</w:t>
      </w:r>
    </w:p>
    <w:p w14:paraId="64EC4288" w14:textId="16CDE5A5" w:rsidR="00777B67" w:rsidRPr="00A25320" w:rsidRDefault="00B54E8F" w:rsidP="00A25320">
      <w:pPr>
        <w:pStyle w:val="Heading2"/>
      </w:pPr>
      <w:r w:rsidRPr="00A25320">
        <w:t xml:space="preserve">Consumer </w:t>
      </w:r>
      <w:r w:rsidR="00CF69C1">
        <w:t>evidence and input</w:t>
      </w:r>
    </w:p>
    <w:p w14:paraId="4526E1F0" w14:textId="1ECDAD4A" w:rsidR="006B2211" w:rsidRDefault="00B54E8F" w:rsidP="00722B16">
      <w:r>
        <w:t xml:space="preserve">When MSAC considers a health technology for public funding, it receives information from many sources. The assessment report, </w:t>
      </w:r>
      <w:r w:rsidR="00A86DB9">
        <w:t xml:space="preserve">which </w:t>
      </w:r>
      <w:r>
        <w:t xml:space="preserve">is informed by the </w:t>
      </w:r>
      <w:r w:rsidR="007F1E95">
        <w:t>g</w:t>
      </w:r>
      <w:r>
        <w:t xml:space="preserve">uidelines, is one source of </w:t>
      </w:r>
      <w:r w:rsidR="006B2211">
        <w:t>evidence.</w:t>
      </w:r>
    </w:p>
    <w:p w14:paraId="4945268D" w14:textId="0090CEDF" w:rsidR="00561C68" w:rsidRDefault="00B54E8F" w:rsidP="00722B16">
      <w:r>
        <w:t xml:space="preserve">The assessment report is </w:t>
      </w:r>
      <w:r w:rsidR="009758E6">
        <w:t xml:space="preserve">mainly </w:t>
      </w:r>
      <w:r>
        <w:t xml:space="preserve">guided by </w:t>
      </w:r>
      <w:r w:rsidR="00A86DB9">
        <w:t>research studies</w:t>
      </w:r>
      <w:r w:rsidR="009758E6">
        <w:t xml:space="preserve"> and</w:t>
      </w:r>
      <w:r w:rsidR="00A86DB9">
        <w:t xml:space="preserve"> clinical evidence</w:t>
      </w:r>
      <w:r>
        <w:t xml:space="preserve">. It is common for these studies to have involved </w:t>
      </w:r>
      <w:r w:rsidR="006B2211">
        <w:t xml:space="preserve">patients </w:t>
      </w:r>
      <w:r w:rsidR="00A86DB9">
        <w:t>to help design the</w:t>
      </w:r>
      <w:r w:rsidR="006B2211">
        <w:t xml:space="preserve"> studies or </w:t>
      </w:r>
      <w:r w:rsidR="00A86DB9">
        <w:t xml:space="preserve">to </w:t>
      </w:r>
      <w:r w:rsidR="00561C68">
        <w:t xml:space="preserve">help </w:t>
      </w:r>
      <w:r w:rsidR="00A86DB9">
        <w:t>determine</w:t>
      </w:r>
      <w:r w:rsidR="006B2211">
        <w:t xml:space="preserve"> the most relevant impacts of the health technology. </w:t>
      </w:r>
    </w:p>
    <w:p w14:paraId="1DC232FE" w14:textId="79010287" w:rsidR="006B2211" w:rsidRDefault="00920833" w:rsidP="00722B16">
      <w:r>
        <w:t xml:space="preserve">Economic analyses </w:t>
      </w:r>
      <w:r w:rsidR="00561C68">
        <w:t>in</w:t>
      </w:r>
      <w:r>
        <w:t xml:space="preserve"> the assessment use published information on quality of life or health impacts as reported by patients</w:t>
      </w:r>
      <w:r w:rsidR="00561C68">
        <w:t>.</w:t>
      </w:r>
      <w:r>
        <w:t xml:space="preserve"> </w:t>
      </w:r>
      <w:r w:rsidR="00561C68">
        <w:t>These</w:t>
      </w:r>
      <w:r>
        <w:t xml:space="preserve"> are valued according to the perspective of society</w:t>
      </w:r>
      <w:r w:rsidR="006B2211">
        <w:t>. Where the assessment report includes other relevant considerations, this may include published evidence of consumer values and perspectives.</w:t>
      </w:r>
    </w:p>
    <w:p w14:paraId="21794A67" w14:textId="21C233FC" w:rsidR="00A25320" w:rsidRDefault="006B2211" w:rsidP="00722B16">
      <w:pPr>
        <w:pStyle w:val="NormalBeforeBullet"/>
      </w:pPr>
      <w:r>
        <w:t xml:space="preserve">MSAC </w:t>
      </w:r>
      <w:r w:rsidR="00A86DB9">
        <w:t xml:space="preserve">also </w:t>
      </w:r>
      <w:r>
        <w:t xml:space="preserve">receives </w:t>
      </w:r>
      <w:r w:rsidR="009758E6">
        <w:t>evidence and input from</w:t>
      </w:r>
      <w:r>
        <w:t xml:space="preserve"> consumers (patients, family members, carers</w:t>
      </w:r>
      <w:r w:rsidR="00CF69C1">
        <w:t>)</w:t>
      </w:r>
      <w:r>
        <w:t xml:space="preserve"> and other stakeholders </w:t>
      </w:r>
      <w:r w:rsidR="00D84B68">
        <w:t xml:space="preserve">through </w:t>
      </w:r>
      <w:r w:rsidR="00A25320">
        <w:t>pathways</w:t>
      </w:r>
      <w:r w:rsidR="00920833">
        <w:t xml:space="preserve"> other than the assessment report process</w:t>
      </w:r>
      <w:r w:rsidR="00A25320">
        <w:t>. These include</w:t>
      </w:r>
      <w:r w:rsidR="00262D27">
        <w:t>:</w:t>
      </w:r>
    </w:p>
    <w:p w14:paraId="4560CC03" w14:textId="6BCE7414" w:rsidR="00A25320" w:rsidRPr="00A25320" w:rsidRDefault="00A25320" w:rsidP="00A25320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A25320">
        <w:rPr>
          <w:rFonts w:ascii="Calibri" w:hAnsi="Calibri" w:cs="Calibri"/>
        </w:rPr>
        <w:t xml:space="preserve"> </w:t>
      </w:r>
      <w:r w:rsidR="00D84B68" w:rsidRPr="00A25320">
        <w:rPr>
          <w:rFonts w:ascii="Calibri" w:hAnsi="Calibri" w:cs="Calibri"/>
        </w:rPr>
        <w:t>formal targeted public consultation at the start of an MSAC application</w:t>
      </w:r>
    </w:p>
    <w:p w14:paraId="03B5E8B9" w14:textId="68721335" w:rsidR="006B2211" w:rsidRPr="00A25320" w:rsidRDefault="00A25320" w:rsidP="00A25320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A25320">
        <w:rPr>
          <w:rFonts w:ascii="Calibri" w:hAnsi="Calibri" w:cs="Calibri"/>
        </w:rPr>
        <w:t xml:space="preserve">onsumer comments provided at any point </w:t>
      </w:r>
      <w:r w:rsidR="00A86DB9">
        <w:rPr>
          <w:rFonts w:ascii="Calibri" w:hAnsi="Calibri" w:cs="Calibri"/>
        </w:rPr>
        <w:t>before</w:t>
      </w:r>
      <w:r w:rsidRPr="00A25320">
        <w:rPr>
          <w:rFonts w:ascii="Calibri" w:hAnsi="Calibri" w:cs="Calibri"/>
        </w:rPr>
        <w:t xml:space="preserve"> the health technology</w:t>
      </w:r>
      <w:r w:rsidR="00A86DB9">
        <w:rPr>
          <w:rFonts w:ascii="Calibri" w:hAnsi="Calibri" w:cs="Calibri"/>
        </w:rPr>
        <w:t xml:space="preserve"> is considered</w:t>
      </w:r>
      <w:r w:rsidRPr="00A25320">
        <w:rPr>
          <w:rFonts w:ascii="Calibri" w:hAnsi="Calibri" w:cs="Calibri"/>
        </w:rPr>
        <w:t xml:space="preserve">. </w:t>
      </w:r>
      <w:r w:rsidR="00D84B68" w:rsidRPr="00A25320">
        <w:rPr>
          <w:rFonts w:ascii="Calibri" w:hAnsi="Calibri" w:cs="Calibri"/>
        </w:rPr>
        <w:t xml:space="preserve">The applications scheduled for consideration by MSAC and its subcommittees (ESC and PASC) are published </w:t>
      </w:r>
      <w:r w:rsidR="00A86DB9">
        <w:rPr>
          <w:rFonts w:ascii="Calibri" w:hAnsi="Calibri" w:cs="Calibri"/>
        </w:rPr>
        <w:t>before</w:t>
      </w:r>
      <w:r w:rsidRPr="00A25320">
        <w:rPr>
          <w:rFonts w:ascii="Calibri" w:hAnsi="Calibri" w:cs="Calibri"/>
        </w:rPr>
        <w:t xml:space="preserve"> each meeting.</w:t>
      </w:r>
    </w:p>
    <w:p w14:paraId="320A71AD" w14:textId="38AF7464" w:rsidR="00950B18" w:rsidRPr="00950B18" w:rsidRDefault="00950B18" w:rsidP="00722B16">
      <w:r w:rsidRPr="00950B18">
        <w:t xml:space="preserve">Consumers are </w:t>
      </w:r>
      <w:r>
        <w:t>important in</w:t>
      </w:r>
      <w:r w:rsidRPr="00950B18">
        <w:t xml:space="preserve"> MSAC considerations</w:t>
      </w:r>
      <w:r>
        <w:t>.</w:t>
      </w:r>
      <w:r w:rsidRPr="00950B18">
        <w:t> MSAC is committed to understanding consumer values, experiences and preferences</w:t>
      </w:r>
      <w:r>
        <w:t>,</w:t>
      </w:r>
      <w:r w:rsidRPr="00950B18">
        <w:t xml:space="preserve"> and integrating them into its consideration o</w:t>
      </w:r>
      <w:r w:rsidR="005228BA">
        <w:t>f</w:t>
      </w:r>
      <w:r w:rsidRPr="00950B18">
        <w:t xml:space="preserve"> a health technology</w:t>
      </w:r>
      <w:r>
        <w:t>.</w:t>
      </w:r>
    </w:p>
    <w:p w14:paraId="29F2F56E" w14:textId="340393F1" w:rsidR="00D84B68" w:rsidRPr="00020005" w:rsidRDefault="00877174" w:rsidP="00722B16">
      <w:r w:rsidRPr="00020005">
        <w:t>A</w:t>
      </w:r>
      <w:r w:rsidR="00D84B68" w:rsidRPr="00877174">
        <w:t xml:space="preserve">pplicants are encouraged to </w:t>
      </w:r>
      <w:r w:rsidR="005C3551">
        <w:t>inform</w:t>
      </w:r>
      <w:r w:rsidR="00D84B68" w:rsidRPr="00877174">
        <w:t xml:space="preserve"> consumers (</w:t>
      </w:r>
      <w:r>
        <w:t>such as</w:t>
      </w:r>
      <w:r w:rsidR="00D84B68" w:rsidRPr="00877174">
        <w:t xml:space="preserve"> consumer or patient groups) </w:t>
      </w:r>
      <w:r>
        <w:t>before</w:t>
      </w:r>
      <w:r w:rsidR="00D84B68" w:rsidRPr="00877174">
        <w:t xml:space="preserve"> or during the application process. A consu</w:t>
      </w:r>
      <w:r w:rsidR="00A25320" w:rsidRPr="00020005">
        <w:t>mer perspective from a relevant organ</w:t>
      </w:r>
      <w:r w:rsidR="00A25320" w:rsidRPr="00877174">
        <w:t xml:space="preserve">isation may be provided </w:t>
      </w:r>
      <w:r>
        <w:t>when the application is submitted</w:t>
      </w:r>
      <w:r w:rsidR="005228BA">
        <w:t>, or at a later time</w:t>
      </w:r>
      <w:r w:rsidR="00A25320" w:rsidRPr="00877174">
        <w:t xml:space="preserve">. </w:t>
      </w:r>
    </w:p>
    <w:p w14:paraId="7B55DCFD" w14:textId="6C880BBE" w:rsidR="00B90929" w:rsidRDefault="00021F74" w:rsidP="00722B16">
      <w:r>
        <w:t>The HTA C</w:t>
      </w:r>
      <w:r w:rsidR="00A25320">
        <w:t xml:space="preserve">onsumer </w:t>
      </w:r>
      <w:r>
        <w:t>E</w:t>
      </w:r>
      <w:r w:rsidR="00A25320">
        <w:t xml:space="preserve">vidence and </w:t>
      </w:r>
      <w:r>
        <w:t>E</w:t>
      </w:r>
      <w:r w:rsidR="00A25320">
        <w:t xml:space="preserve">ngagement </w:t>
      </w:r>
      <w:r>
        <w:t>U</w:t>
      </w:r>
      <w:r w:rsidR="00A25320">
        <w:t>nit</w:t>
      </w:r>
      <w:r>
        <w:t xml:space="preserve"> (</w:t>
      </w:r>
      <w:hyperlink r:id="rId12" w:history="1">
        <w:r w:rsidR="00262D27" w:rsidRPr="006C6665">
          <w:rPr>
            <w:rStyle w:val="Hyperlink"/>
            <w:rFonts w:cstheme="minorHAnsi"/>
            <w:shd w:val="clear" w:color="auto" w:fill="FFFFFF"/>
          </w:rPr>
          <w:t>HTAconsumerengagement@health.gov.au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>
        <w:t xml:space="preserve"> can provide specific details </w:t>
      </w:r>
      <w:r w:rsidR="00877174">
        <w:t xml:space="preserve">about </w:t>
      </w:r>
      <w:r>
        <w:t>how and when consumer evidence can be provided.</w:t>
      </w:r>
    </w:p>
    <w:p w14:paraId="2F243549" w14:textId="77777777" w:rsidR="001448E0" w:rsidRDefault="001448E0" w:rsidP="00CD75A3">
      <w:pPr>
        <w:jc w:val="both"/>
        <w:rPr>
          <w:rFonts w:ascii="Calibri" w:hAnsi="Calibri" w:cs="Calibri"/>
        </w:rPr>
      </w:pPr>
    </w:p>
    <w:sectPr w:rsidR="001448E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7260" w14:textId="77777777" w:rsidR="000A6897" w:rsidRDefault="000A6897" w:rsidP="00926921">
      <w:pPr>
        <w:spacing w:after="0"/>
      </w:pPr>
      <w:r>
        <w:separator/>
      </w:r>
    </w:p>
  </w:endnote>
  <w:endnote w:type="continuationSeparator" w:id="0">
    <w:p w14:paraId="2DA62063" w14:textId="77777777" w:rsidR="000A6897" w:rsidRDefault="000A6897" w:rsidP="00926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13837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F09EB6" w14:textId="182D0B74" w:rsidR="009132B0" w:rsidRDefault="009132B0" w:rsidP="00E731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AF135A" w14:textId="77777777" w:rsidR="009132B0" w:rsidRDefault="009132B0" w:rsidP="009132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E918" w14:textId="77777777" w:rsidR="009132B0" w:rsidRDefault="009132B0" w:rsidP="009132B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163683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183820" w14:textId="0A6EC6E7" w:rsidR="00E12455" w:rsidRDefault="00E12455" w:rsidP="00E731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C6665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092E0051" w14:textId="1F58FEBC" w:rsidR="00E12455" w:rsidRDefault="00E12455" w:rsidP="009132B0">
    <w:pPr>
      <w:pStyle w:val="Footer"/>
      <w:ind w:right="360"/>
    </w:pPr>
    <w:r>
      <w:t>MSAC Guidelines – Summary for stakeholders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5AE1" w14:textId="77777777" w:rsidR="000A6897" w:rsidRDefault="000A6897" w:rsidP="00926921">
      <w:pPr>
        <w:spacing w:after="0"/>
      </w:pPr>
      <w:r>
        <w:separator/>
      </w:r>
    </w:p>
  </w:footnote>
  <w:footnote w:type="continuationSeparator" w:id="0">
    <w:p w14:paraId="2FA3691E" w14:textId="77777777" w:rsidR="000A6897" w:rsidRDefault="000A6897" w:rsidP="00926921">
      <w:pPr>
        <w:spacing w:after="0"/>
      </w:pPr>
      <w:r>
        <w:continuationSeparator/>
      </w:r>
    </w:p>
  </w:footnote>
  <w:footnote w:id="1">
    <w:p w14:paraId="3C35020A" w14:textId="5670618A" w:rsidR="00020005" w:rsidRDefault="00020005" w:rsidP="000200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077DDF" w:rsidRPr="00077DDF">
          <w:rPr>
            <w:rStyle w:val="Hyperlink"/>
          </w:rPr>
          <w:t>HTAglossary.net</w:t>
        </w:r>
      </w:hyperlink>
      <w:r w:rsidR="00077DDF">
        <w:t xml:space="preserve">; </w:t>
      </w:r>
      <w:r w:rsidRPr="00506895">
        <w:t>http://htaglossary.net/health+technology?highlight=health+technology</w:t>
      </w:r>
    </w:p>
  </w:footnote>
  <w:footnote w:id="2">
    <w:p w14:paraId="6A6FEE83" w14:textId="20264F9F" w:rsidR="00926921" w:rsidRDefault="009269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077DDF" w:rsidRPr="00077DDF">
          <w:rPr>
            <w:rStyle w:val="Hyperlink"/>
          </w:rPr>
          <w:t>HTAglossary.net</w:t>
        </w:r>
      </w:hyperlink>
      <w:r w:rsidR="00077DDF">
        <w:t xml:space="preserve">; </w:t>
      </w:r>
      <w:r w:rsidRPr="00926921">
        <w:t>http://htaglossary.net/health+technology+assessment?highlight=health+technology+assessment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D9D"/>
    <w:multiLevelType w:val="hybridMultilevel"/>
    <w:tmpl w:val="915AB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2B5"/>
    <w:multiLevelType w:val="hybridMultilevel"/>
    <w:tmpl w:val="B7A6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4C4A"/>
    <w:multiLevelType w:val="multilevel"/>
    <w:tmpl w:val="B0A8B140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Technical Guidance 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TG 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81A03D7"/>
    <w:multiLevelType w:val="hybridMultilevel"/>
    <w:tmpl w:val="ED4E4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72F6A"/>
    <w:multiLevelType w:val="hybridMultilevel"/>
    <w:tmpl w:val="7C72A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F3259"/>
    <w:multiLevelType w:val="hybridMultilevel"/>
    <w:tmpl w:val="76A40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64868"/>
    <w:multiLevelType w:val="hybridMultilevel"/>
    <w:tmpl w:val="0E0AE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17C4"/>
    <w:multiLevelType w:val="hybridMultilevel"/>
    <w:tmpl w:val="E8A0D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0681E"/>
    <w:multiLevelType w:val="hybridMultilevel"/>
    <w:tmpl w:val="32766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A2A23"/>
    <w:multiLevelType w:val="hybridMultilevel"/>
    <w:tmpl w:val="7D522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A69A4"/>
    <w:multiLevelType w:val="hybridMultilevel"/>
    <w:tmpl w:val="0D9C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02FA9"/>
    <w:multiLevelType w:val="hybridMultilevel"/>
    <w:tmpl w:val="3A2E6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0318F"/>
    <w:multiLevelType w:val="hybridMultilevel"/>
    <w:tmpl w:val="E6FC0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F3471"/>
    <w:multiLevelType w:val="hybridMultilevel"/>
    <w:tmpl w:val="00E0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57FAC"/>
    <w:multiLevelType w:val="hybridMultilevel"/>
    <w:tmpl w:val="94B09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A0B74"/>
    <w:multiLevelType w:val="hybridMultilevel"/>
    <w:tmpl w:val="2ACE6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E8E"/>
    <w:multiLevelType w:val="hybridMultilevel"/>
    <w:tmpl w:val="83EC7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621DD"/>
    <w:multiLevelType w:val="hybridMultilevel"/>
    <w:tmpl w:val="BECA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C2D18"/>
    <w:multiLevelType w:val="hybridMultilevel"/>
    <w:tmpl w:val="6D548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91DD6"/>
    <w:multiLevelType w:val="hybridMultilevel"/>
    <w:tmpl w:val="B7780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40D6F"/>
    <w:multiLevelType w:val="hybridMultilevel"/>
    <w:tmpl w:val="FAB48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7416C"/>
    <w:multiLevelType w:val="hybridMultilevel"/>
    <w:tmpl w:val="1D326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881156">
    <w:abstractNumId w:val="2"/>
  </w:num>
  <w:num w:numId="2" w16cid:durableId="934557409">
    <w:abstractNumId w:val="4"/>
  </w:num>
  <w:num w:numId="3" w16cid:durableId="1594624338">
    <w:abstractNumId w:val="16"/>
  </w:num>
  <w:num w:numId="4" w16cid:durableId="1787239596">
    <w:abstractNumId w:val="5"/>
  </w:num>
  <w:num w:numId="5" w16cid:durableId="1880044391">
    <w:abstractNumId w:val="21"/>
  </w:num>
  <w:num w:numId="6" w16cid:durableId="1654525944">
    <w:abstractNumId w:val="2"/>
  </w:num>
  <w:num w:numId="7" w16cid:durableId="891304551">
    <w:abstractNumId w:val="2"/>
  </w:num>
  <w:num w:numId="8" w16cid:durableId="598949558">
    <w:abstractNumId w:val="2"/>
  </w:num>
  <w:num w:numId="9" w16cid:durableId="775373074">
    <w:abstractNumId w:val="2"/>
  </w:num>
  <w:num w:numId="10" w16cid:durableId="1125545301">
    <w:abstractNumId w:val="2"/>
  </w:num>
  <w:num w:numId="11" w16cid:durableId="965965313">
    <w:abstractNumId w:val="2"/>
  </w:num>
  <w:num w:numId="12" w16cid:durableId="829176628">
    <w:abstractNumId w:val="15"/>
  </w:num>
  <w:num w:numId="13" w16cid:durableId="1036349859">
    <w:abstractNumId w:val="6"/>
  </w:num>
  <w:num w:numId="14" w16cid:durableId="368921454">
    <w:abstractNumId w:val="0"/>
  </w:num>
  <w:num w:numId="15" w16cid:durableId="1219511444">
    <w:abstractNumId w:val="19"/>
  </w:num>
  <w:num w:numId="16" w16cid:durableId="2102293081">
    <w:abstractNumId w:val="20"/>
  </w:num>
  <w:num w:numId="17" w16cid:durableId="519439889">
    <w:abstractNumId w:val="18"/>
  </w:num>
  <w:num w:numId="18" w16cid:durableId="283468726">
    <w:abstractNumId w:val="8"/>
  </w:num>
  <w:num w:numId="19" w16cid:durableId="1214317201">
    <w:abstractNumId w:val="14"/>
  </w:num>
  <w:num w:numId="20" w16cid:durableId="2094817401">
    <w:abstractNumId w:val="13"/>
  </w:num>
  <w:num w:numId="21" w16cid:durableId="2084250923">
    <w:abstractNumId w:val="9"/>
  </w:num>
  <w:num w:numId="22" w16cid:durableId="1199583458">
    <w:abstractNumId w:val="17"/>
  </w:num>
  <w:num w:numId="23" w16cid:durableId="958102174">
    <w:abstractNumId w:val="1"/>
  </w:num>
  <w:num w:numId="24" w16cid:durableId="270356007">
    <w:abstractNumId w:val="10"/>
  </w:num>
  <w:num w:numId="25" w16cid:durableId="2105807018">
    <w:abstractNumId w:val="7"/>
  </w:num>
  <w:num w:numId="26" w16cid:durableId="1995067359">
    <w:abstractNumId w:val="3"/>
  </w:num>
  <w:num w:numId="27" w16cid:durableId="786656101">
    <w:abstractNumId w:val="12"/>
  </w:num>
  <w:num w:numId="28" w16cid:durableId="1911309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EE6"/>
    <w:rsid w:val="00010BAF"/>
    <w:rsid w:val="00012861"/>
    <w:rsid w:val="00020005"/>
    <w:rsid w:val="00021F74"/>
    <w:rsid w:val="000231A5"/>
    <w:rsid w:val="000368CF"/>
    <w:rsid w:val="00070188"/>
    <w:rsid w:val="00077DDF"/>
    <w:rsid w:val="00092910"/>
    <w:rsid w:val="000930F4"/>
    <w:rsid w:val="0009634F"/>
    <w:rsid w:val="000A6897"/>
    <w:rsid w:val="000A6E8F"/>
    <w:rsid w:val="000B0514"/>
    <w:rsid w:val="000B4D34"/>
    <w:rsid w:val="000D2703"/>
    <w:rsid w:val="000D7AAC"/>
    <w:rsid w:val="00127E9A"/>
    <w:rsid w:val="001310D7"/>
    <w:rsid w:val="001448E0"/>
    <w:rsid w:val="00146D37"/>
    <w:rsid w:val="00150D94"/>
    <w:rsid w:val="00152AB9"/>
    <w:rsid w:val="00155AE8"/>
    <w:rsid w:val="00156E27"/>
    <w:rsid w:val="00161963"/>
    <w:rsid w:val="00162277"/>
    <w:rsid w:val="00164B55"/>
    <w:rsid w:val="0017024A"/>
    <w:rsid w:val="001A56F4"/>
    <w:rsid w:val="001A6182"/>
    <w:rsid w:val="001B23F5"/>
    <w:rsid w:val="001B3150"/>
    <w:rsid w:val="001C3BF6"/>
    <w:rsid w:val="001D0854"/>
    <w:rsid w:val="001E2144"/>
    <w:rsid w:val="00215AE5"/>
    <w:rsid w:val="00221604"/>
    <w:rsid w:val="00221AD9"/>
    <w:rsid w:val="0025592E"/>
    <w:rsid w:val="00262D27"/>
    <w:rsid w:val="00272922"/>
    <w:rsid w:val="002D7FCA"/>
    <w:rsid w:val="002F2C6E"/>
    <w:rsid w:val="002F7E69"/>
    <w:rsid w:val="00307CFD"/>
    <w:rsid w:val="003130EB"/>
    <w:rsid w:val="00322C81"/>
    <w:rsid w:val="00327559"/>
    <w:rsid w:val="00346A4D"/>
    <w:rsid w:val="00347BDA"/>
    <w:rsid w:val="003530A6"/>
    <w:rsid w:val="00354460"/>
    <w:rsid w:val="003637E6"/>
    <w:rsid w:val="00381439"/>
    <w:rsid w:val="00384C58"/>
    <w:rsid w:val="003A0598"/>
    <w:rsid w:val="003B11FA"/>
    <w:rsid w:val="003C3B72"/>
    <w:rsid w:val="003E5DFB"/>
    <w:rsid w:val="00403AE6"/>
    <w:rsid w:val="00417FF3"/>
    <w:rsid w:val="00447D92"/>
    <w:rsid w:val="004548BD"/>
    <w:rsid w:val="0045607A"/>
    <w:rsid w:val="004636D3"/>
    <w:rsid w:val="00466BE8"/>
    <w:rsid w:val="00477F8B"/>
    <w:rsid w:val="00481121"/>
    <w:rsid w:val="004878B9"/>
    <w:rsid w:val="00497A11"/>
    <w:rsid w:val="004A3768"/>
    <w:rsid w:val="004A641B"/>
    <w:rsid w:val="004A7AE7"/>
    <w:rsid w:val="004B2225"/>
    <w:rsid w:val="004C3948"/>
    <w:rsid w:val="004C5541"/>
    <w:rsid w:val="004D297B"/>
    <w:rsid w:val="00506895"/>
    <w:rsid w:val="005228BA"/>
    <w:rsid w:val="00542135"/>
    <w:rsid w:val="005507F4"/>
    <w:rsid w:val="00557548"/>
    <w:rsid w:val="00561C68"/>
    <w:rsid w:val="00586750"/>
    <w:rsid w:val="00587C80"/>
    <w:rsid w:val="00587E04"/>
    <w:rsid w:val="00597324"/>
    <w:rsid w:val="005C3551"/>
    <w:rsid w:val="005C388F"/>
    <w:rsid w:val="005F6F35"/>
    <w:rsid w:val="00601ADC"/>
    <w:rsid w:val="0061390A"/>
    <w:rsid w:val="00617652"/>
    <w:rsid w:val="00623382"/>
    <w:rsid w:val="00644611"/>
    <w:rsid w:val="00663E01"/>
    <w:rsid w:val="00667FAE"/>
    <w:rsid w:val="006B2211"/>
    <w:rsid w:val="006C6665"/>
    <w:rsid w:val="006E2F2E"/>
    <w:rsid w:val="006E58AF"/>
    <w:rsid w:val="0070041E"/>
    <w:rsid w:val="00712603"/>
    <w:rsid w:val="0071610A"/>
    <w:rsid w:val="00716367"/>
    <w:rsid w:val="00722B16"/>
    <w:rsid w:val="007322BB"/>
    <w:rsid w:val="00740230"/>
    <w:rsid w:val="007627C2"/>
    <w:rsid w:val="00777B67"/>
    <w:rsid w:val="007875FC"/>
    <w:rsid w:val="00787D05"/>
    <w:rsid w:val="00791A84"/>
    <w:rsid w:val="0079338B"/>
    <w:rsid w:val="007A0A34"/>
    <w:rsid w:val="007C14BF"/>
    <w:rsid w:val="007C2BF4"/>
    <w:rsid w:val="007C7018"/>
    <w:rsid w:val="007E2D4C"/>
    <w:rsid w:val="007F1154"/>
    <w:rsid w:val="007F1E95"/>
    <w:rsid w:val="008023C5"/>
    <w:rsid w:val="008101D6"/>
    <w:rsid w:val="008321DC"/>
    <w:rsid w:val="008332CE"/>
    <w:rsid w:val="008371CE"/>
    <w:rsid w:val="0084786E"/>
    <w:rsid w:val="0085364B"/>
    <w:rsid w:val="0086415B"/>
    <w:rsid w:val="0086454D"/>
    <w:rsid w:val="00865DC1"/>
    <w:rsid w:val="00866F7D"/>
    <w:rsid w:val="00877174"/>
    <w:rsid w:val="008A20BF"/>
    <w:rsid w:val="008B775D"/>
    <w:rsid w:val="008F0EE0"/>
    <w:rsid w:val="008F2D04"/>
    <w:rsid w:val="00901EE6"/>
    <w:rsid w:val="009132B0"/>
    <w:rsid w:val="00920833"/>
    <w:rsid w:val="00921A60"/>
    <w:rsid w:val="00926921"/>
    <w:rsid w:val="00950B18"/>
    <w:rsid w:val="00965FEA"/>
    <w:rsid w:val="00970D16"/>
    <w:rsid w:val="009758E6"/>
    <w:rsid w:val="00986083"/>
    <w:rsid w:val="009B331B"/>
    <w:rsid w:val="009D518B"/>
    <w:rsid w:val="009E5AAE"/>
    <w:rsid w:val="009F51C8"/>
    <w:rsid w:val="00A14D3C"/>
    <w:rsid w:val="00A25320"/>
    <w:rsid w:val="00A25CFE"/>
    <w:rsid w:val="00A3363F"/>
    <w:rsid w:val="00A4356D"/>
    <w:rsid w:val="00A44FC5"/>
    <w:rsid w:val="00A63521"/>
    <w:rsid w:val="00A658DD"/>
    <w:rsid w:val="00A80A96"/>
    <w:rsid w:val="00A810E9"/>
    <w:rsid w:val="00A86DB9"/>
    <w:rsid w:val="00A92590"/>
    <w:rsid w:val="00AA3A07"/>
    <w:rsid w:val="00AA58BC"/>
    <w:rsid w:val="00AA6DC9"/>
    <w:rsid w:val="00AB0534"/>
    <w:rsid w:val="00AB12D0"/>
    <w:rsid w:val="00AD024B"/>
    <w:rsid w:val="00B00DEB"/>
    <w:rsid w:val="00B01742"/>
    <w:rsid w:val="00B37846"/>
    <w:rsid w:val="00B47578"/>
    <w:rsid w:val="00B54E8F"/>
    <w:rsid w:val="00B57945"/>
    <w:rsid w:val="00B90929"/>
    <w:rsid w:val="00BA73EE"/>
    <w:rsid w:val="00BB38F1"/>
    <w:rsid w:val="00BB7CE9"/>
    <w:rsid w:val="00BE2520"/>
    <w:rsid w:val="00BE431B"/>
    <w:rsid w:val="00C32DE4"/>
    <w:rsid w:val="00C5214D"/>
    <w:rsid w:val="00C66150"/>
    <w:rsid w:val="00C77027"/>
    <w:rsid w:val="00C963DE"/>
    <w:rsid w:val="00CB1A40"/>
    <w:rsid w:val="00CC2A3C"/>
    <w:rsid w:val="00CD75A3"/>
    <w:rsid w:val="00CF69C1"/>
    <w:rsid w:val="00D13B11"/>
    <w:rsid w:val="00D303B0"/>
    <w:rsid w:val="00D35E7D"/>
    <w:rsid w:val="00D45285"/>
    <w:rsid w:val="00D82883"/>
    <w:rsid w:val="00D84B68"/>
    <w:rsid w:val="00D867FF"/>
    <w:rsid w:val="00D93AC3"/>
    <w:rsid w:val="00DC093B"/>
    <w:rsid w:val="00DC193E"/>
    <w:rsid w:val="00DD6551"/>
    <w:rsid w:val="00DE2CBF"/>
    <w:rsid w:val="00DF7B9A"/>
    <w:rsid w:val="00E11F1F"/>
    <w:rsid w:val="00E12455"/>
    <w:rsid w:val="00E131DE"/>
    <w:rsid w:val="00E40601"/>
    <w:rsid w:val="00E66797"/>
    <w:rsid w:val="00E74F4F"/>
    <w:rsid w:val="00E8537A"/>
    <w:rsid w:val="00E91F1D"/>
    <w:rsid w:val="00EA740A"/>
    <w:rsid w:val="00EB24A6"/>
    <w:rsid w:val="00ED4A4A"/>
    <w:rsid w:val="00EE7635"/>
    <w:rsid w:val="00EF6387"/>
    <w:rsid w:val="00F03E7D"/>
    <w:rsid w:val="00F0488E"/>
    <w:rsid w:val="00F05D09"/>
    <w:rsid w:val="00F1179D"/>
    <w:rsid w:val="00F141A2"/>
    <w:rsid w:val="00F167DC"/>
    <w:rsid w:val="00FA7BD4"/>
    <w:rsid w:val="00FB244E"/>
    <w:rsid w:val="00FD2EF5"/>
    <w:rsid w:val="00FE3AF0"/>
    <w:rsid w:val="00FE4C5C"/>
    <w:rsid w:val="00FF27EE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F304"/>
  <w15:chartTrackingRefBased/>
  <w15:docId w15:val="{2618185E-8900-4F54-B58B-97A024EE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A3C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1EE6"/>
    <w:pPr>
      <w:keepNext/>
      <w:keepLines/>
      <w:pageBreakBefore/>
      <w:numPr>
        <w:numId w:val="1"/>
      </w:numPr>
      <w:pBdr>
        <w:bottom w:val="single" w:sz="4" w:space="1" w:color="auto"/>
      </w:pBdr>
      <w:spacing w:after="480"/>
      <w:outlineLvl w:val="0"/>
    </w:pPr>
    <w:rPr>
      <w:rFonts w:ascii="Franklin Gothic Medium" w:eastAsiaTheme="majorEastAsia" w:hAnsi="Franklin Gothic Medium" w:cstheme="majorBidi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534"/>
    <w:pPr>
      <w:keepNext/>
      <w:keepLines/>
      <w:tabs>
        <w:tab w:val="left" w:pos="1701"/>
      </w:tabs>
      <w:spacing w:before="120"/>
      <w:outlineLvl w:val="1"/>
    </w:pPr>
    <w:rPr>
      <w:rFonts w:ascii="Franklin Gothic Medium" w:eastAsiaTheme="majorEastAsia" w:hAnsi="Franklin Gothic Medium" w:cs="Calibr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534"/>
    <w:pPr>
      <w:keepNext/>
      <w:keepLines/>
      <w:spacing w:after="200"/>
      <w:outlineLvl w:val="2"/>
    </w:pPr>
    <w:rPr>
      <w:rFonts w:ascii="Franklin Gothic Medium" w:eastAsiaTheme="majorEastAsia" w:hAnsi="Franklin Gothic Medium" w:cstheme="majorBidi"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EE6"/>
    <w:pPr>
      <w:keepNext/>
      <w:keepLines/>
      <w:numPr>
        <w:ilvl w:val="3"/>
        <w:numId w:val="1"/>
      </w:numPr>
      <w:spacing w:before="120" w:after="120"/>
      <w:outlineLvl w:val="3"/>
    </w:pPr>
    <w:rPr>
      <w:rFonts w:ascii="Franklin Gothic Medium" w:eastAsiaTheme="majorEastAsia" w:hAnsi="Franklin Gothic Medium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1EE6"/>
    <w:pPr>
      <w:keepNext/>
      <w:keepLines/>
      <w:numPr>
        <w:ilvl w:val="4"/>
        <w:numId w:val="1"/>
      </w:numPr>
      <w:spacing w:after="4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1EE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EE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EE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EE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EE6"/>
    <w:rPr>
      <w:rFonts w:ascii="Franklin Gothic Medium" w:eastAsiaTheme="majorEastAsia" w:hAnsi="Franklin Gothic Medium" w:cstheme="majorBidi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0534"/>
    <w:rPr>
      <w:rFonts w:ascii="Franklin Gothic Medium" w:eastAsiaTheme="majorEastAsia" w:hAnsi="Franklin Gothic Medium" w:cs="Calibr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534"/>
    <w:rPr>
      <w:rFonts w:ascii="Franklin Gothic Medium" w:eastAsiaTheme="majorEastAsia" w:hAnsi="Franklin Gothic Medium" w:cstheme="majorBidi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1EE6"/>
    <w:rPr>
      <w:rFonts w:ascii="Franklin Gothic Medium" w:eastAsiaTheme="majorEastAsia" w:hAnsi="Franklin Gothic Medium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1EE6"/>
    <w:rPr>
      <w:rFonts w:eastAsiaTheme="majorEastAsia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1EE6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EE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EE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EE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1EE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1EE6"/>
  </w:style>
  <w:style w:type="paragraph" w:customStyle="1" w:styleId="SectionHeading">
    <w:name w:val="Section Heading"/>
    <w:basedOn w:val="Heading1"/>
    <w:qFormat/>
    <w:rsid w:val="00901EE6"/>
    <w:pPr>
      <w:numPr>
        <w:numId w:val="0"/>
      </w:numPr>
    </w:pPr>
  </w:style>
  <w:style w:type="character" w:customStyle="1" w:styleId="normaltextrun">
    <w:name w:val="normaltextrun"/>
    <w:basedOn w:val="DefaultParagraphFont"/>
    <w:rsid w:val="00901EE6"/>
  </w:style>
  <w:style w:type="character" w:styleId="CommentReference">
    <w:name w:val="annotation reference"/>
    <w:basedOn w:val="DefaultParagraphFont"/>
    <w:uiPriority w:val="99"/>
    <w:semiHidden/>
    <w:unhideWhenUsed/>
    <w:rsid w:val="004B2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2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2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E2CBF"/>
    <w:pPr>
      <w:pBdr>
        <w:top w:val="single" w:sz="4" w:space="1" w:color="auto"/>
      </w:pBdr>
      <w:spacing w:before="1920" w:after="960"/>
      <w:contextualSpacing/>
      <w:jc w:val="right"/>
    </w:pPr>
    <w:rPr>
      <w:rFonts w:ascii="Franklin Gothic Medium" w:eastAsiaTheme="majorEastAsia" w:hAnsi="Franklin Gothic Medium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CBF"/>
    <w:rPr>
      <w:rFonts w:ascii="Franklin Gothic Medium" w:eastAsiaTheme="majorEastAsia" w:hAnsi="Franklin Gothic Medium" w:cstheme="majorBidi"/>
      <w:spacing w:val="-10"/>
      <w:kern w:val="28"/>
      <w:sz w:val="52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92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69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692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310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62D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D2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50B18"/>
  </w:style>
  <w:style w:type="character" w:styleId="FollowedHyperlink">
    <w:name w:val="FollowedHyperlink"/>
    <w:basedOn w:val="DefaultParagraphFont"/>
    <w:uiPriority w:val="99"/>
    <w:semiHidden/>
    <w:unhideWhenUsed/>
    <w:rsid w:val="0084786E"/>
    <w:rPr>
      <w:color w:val="954F72" w:themeColor="followedHyperlink"/>
      <w:u w:val="single"/>
    </w:rPr>
  </w:style>
  <w:style w:type="paragraph" w:customStyle="1" w:styleId="NormalBeforeBullet">
    <w:name w:val="NormalBeforeBullet"/>
    <w:basedOn w:val="Normal"/>
    <w:qFormat/>
    <w:rsid w:val="00623382"/>
    <w:pPr>
      <w:keepNext/>
      <w:spacing w:after="120"/>
    </w:pPr>
    <w:rPr>
      <w:iCs/>
    </w:rPr>
  </w:style>
  <w:style w:type="paragraph" w:styleId="Header">
    <w:name w:val="header"/>
    <w:basedOn w:val="Normal"/>
    <w:link w:val="HeaderChar"/>
    <w:uiPriority w:val="99"/>
    <w:unhideWhenUsed/>
    <w:rsid w:val="009132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32B0"/>
  </w:style>
  <w:style w:type="paragraph" w:styleId="Footer">
    <w:name w:val="footer"/>
    <w:basedOn w:val="Normal"/>
    <w:link w:val="FooterChar"/>
    <w:uiPriority w:val="99"/>
    <w:unhideWhenUsed/>
    <w:rsid w:val="009132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32B0"/>
  </w:style>
  <w:style w:type="character" w:styleId="PageNumber">
    <w:name w:val="page number"/>
    <w:basedOn w:val="DefaultParagraphFont"/>
    <w:uiPriority w:val="99"/>
    <w:semiHidden/>
    <w:unhideWhenUsed/>
    <w:rsid w:val="0091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TAconsumerengagement@health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taglossary.net/health+technology+assessment?highlight=health+technology+assessment" TargetMode="External"/><Relationship Id="rId1" Type="http://schemas.openxmlformats.org/officeDocument/2006/relationships/hyperlink" Target="http://htaglossary.net/health+technology?highlight=health+techn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C1BA4-E09E-4031-A2F5-8D68DA74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2907</Words>
  <Characters>16575</Characters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preparing assessments for the Medical Services Advisory Committee - Summary for stakeholders</dc:title>
  <dc:subject/>
  <dc:creator/>
  <cp:keywords/>
  <dc:description/>
  <dcterms:created xsi:type="dcterms:W3CDTF">2021-05-18T07:04:00Z</dcterms:created>
  <dcterms:modified xsi:type="dcterms:W3CDTF">2024-09-25T08:31:00Z</dcterms:modified>
</cp:coreProperties>
</file>