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C7B1958" w14:textId="77777777" w:rsidR="002A2CE0" w:rsidRPr="00451E29" w:rsidRDefault="002A2CE0" w:rsidP="002A2CE0">
      <w:pPr>
        <w:pStyle w:val="Heading1"/>
        <w:ind w:left="0" w:firstLine="0"/>
        <w:jc w:val="both"/>
      </w:pPr>
      <w:r w:rsidRPr="00183E4D">
        <w:t>Executive Summary</w:t>
      </w:r>
      <w:bookmarkStart w:id="0" w:name="_Toc381796429"/>
    </w:p>
    <w:p w14:paraId="76DD2B87" w14:textId="77777777" w:rsidR="002A2CE0" w:rsidRDefault="002A2CE0" w:rsidP="002A2CE0">
      <w:pPr>
        <w:pStyle w:val="Heading2"/>
        <w:jc w:val="both"/>
        <w:rPr>
          <w:smallCaps w:val="0"/>
        </w:rPr>
      </w:pPr>
      <w:bookmarkStart w:id="1" w:name="_Toc59194338"/>
      <w:bookmarkEnd w:id="0"/>
      <w:proofErr w:type="spellStart"/>
      <w:r>
        <w:rPr>
          <w:smallCaps w:val="0"/>
        </w:rPr>
        <w:t>IMeRSe</w:t>
      </w:r>
      <w:proofErr w:type="spellEnd"/>
      <w:r>
        <w:rPr>
          <w:smallCaps w:val="0"/>
        </w:rPr>
        <w:t xml:space="preserve"> – Indigenous Medication Review Service</w:t>
      </w:r>
      <w:bookmarkEnd w:id="1"/>
    </w:p>
    <w:p w14:paraId="1DDBCB7D" w14:textId="77777777" w:rsidR="002A2CE0" w:rsidRDefault="002A2CE0" w:rsidP="002A2CE0">
      <w:pPr>
        <w:spacing w:line="276" w:lineRule="auto"/>
        <w:jc w:val="both"/>
      </w:pPr>
      <w:r w:rsidRPr="003E209B">
        <w:t xml:space="preserve">This submission-based assessment examines the evidence to support listing of the </w:t>
      </w:r>
      <w:r w:rsidRPr="003E209B">
        <w:rPr>
          <w:i/>
          <w:iCs/>
        </w:rPr>
        <w:t>Indigenous Medication Review Service</w:t>
      </w:r>
      <w:r w:rsidRPr="003E209B">
        <w:t xml:space="preserve"> </w:t>
      </w:r>
      <w:r>
        <w:t>(</w:t>
      </w:r>
      <w:proofErr w:type="spellStart"/>
      <w:r>
        <w:t>IMeRSe</w:t>
      </w:r>
      <w:proofErr w:type="spellEnd"/>
      <w:r>
        <w:t>)</w:t>
      </w:r>
      <w:r>
        <w:rPr>
          <w:rStyle w:val="FootnoteReference"/>
          <w:smallCaps/>
        </w:rPr>
        <w:footnoteReference w:id="1"/>
      </w:r>
      <w:r>
        <w:t xml:space="preserve"> </w:t>
      </w:r>
      <w:r w:rsidRPr="003E209B">
        <w:t>for funding by the Australian Government Department of Health. The service would be used in Aboriginal and Torres Strait Islander health setting</w:t>
      </w:r>
      <w:r>
        <w:t>s</w:t>
      </w:r>
      <w:r w:rsidRPr="003E209B">
        <w:t xml:space="preserve"> to promote integrated multidisciplinary management of medication safety in primary care. The target population are Aboriginal and Torres Strait Islander people with the potential for medication-related problems</w:t>
      </w:r>
      <w:r>
        <w:t xml:space="preserve"> (MRPs)</w:t>
      </w:r>
      <w:r w:rsidRPr="003E209B">
        <w:t xml:space="preserve">. </w:t>
      </w:r>
      <w:r w:rsidRPr="00BC3BA2">
        <w:t>We propose that the successful listing of the service in the target population and setting will lead to improved medication adherence and</w:t>
      </w:r>
      <w:r>
        <w:t xml:space="preserve"> fewer MRPs</w:t>
      </w:r>
      <w:r w:rsidRPr="008059D2">
        <w:t>.</w:t>
      </w:r>
      <w:r w:rsidRPr="00AF0DBC">
        <w:t xml:space="preserve"> </w:t>
      </w:r>
    </w:p>
    <w:p w14:paraId="141A2E30" w14:textId="6035BB3C" w:rsidR="002A2CE0" w:rsidRPr="0029444E" w:rsidRDefault="00E60762" w:rsidP="002A2CE0">
      <w:pPr>
        <w:spacing w:line="276" w:lineRule="auto"/>
        <w:jc w:val="both"/>
      </w:pPr>
      <w:r w:rsidRPr="0029444E">
        <w:t>[</w:t>
      </w:r>
      <w:r w:rsidRPr="0029444E">
        <w:rPr>
          <w:i/>
          <w:iCs/>
        </w:rPr>
        <w:t>redacted</w:t>
      </w:r>
      <w:r w:rsidRPr="0029444E">
        <w:t>]</w:t>
      </w:r>
    </w:p>
    <w:p w14:paraId="4B6AAE9E" w14:textId="77777777" w:rsidR="002A2CE0" w:rsidRPr="00183E4D" w:rsidRDefault="002A2CE0" w:rsidP="002A2CE0">
      <w:pPr>
        <w:pStyle w:val="ESNumberedSectionHeading"/>
        <w:numPr>
          <w:ilvl w:val="0"/>
          <w:numId w:val="0"/>
        </w:numPr>
        <w:ind w:left="1134" w:hanging="1134"/>
      </w:pPr>
      <w:bookmarkStart w:id="2" w:name="_Toc59194339"/>
      <w:r>
        <w:t>Alignment With Agreed PICO Confirmation</w:t>
      </w:r>
      <w:bookmarkEnd w:id="2"/>
    </w:p>
    <w:p w14:paraId="56B9D2AA" w14:textId="77777777" w:rsidR="002A2CE0" w:rsidRDefault="002A2CE0" w:rsidP="002A2CE0">
      <w:pPr>
        <w:spacing w:line="276" w:lineRule="auto"/>
        <w:jc w:val="both"/>
      </w:pPr>
      <w:r w:rsidRPr="00183E4D">
        <w:t>Thi</w:t>
      </w:r>
      <w:r w:rsidRPr="0016466B">
        <w:t xml:space="preserve">s submission-based assessment of </w:t>
      </w:r>
      <w:proofErr w:type="spellStart"/>
      <w:r w:rsidRPr="0016466B">
        <w:t>IMeRSe</w:t>
      </w:r>
      <w:proofErr w:type="spellEnd"/>
      <w:r w:rsidRPr="0016466B">
        <w:t xml:space="preserve"> addresses </w:t>
      </w:r>
      <w:proofErr w:type="gramStart"/>
      <w:r w:rsidRPr="0016466B">
        <w:t>all of</w:t>
      </w:r>
      <w:proofErr w:type="gramEnd"/>
      <w:r w:rsidRPr="0016466B">
        <w:t xml:space="preserve"> the PICO</w:t>
      </w:r>
      <w:r>
        <w:t xml:space="preserve"> (population, intervention, comparator, outcomes)</w:t>
      </w:r>
      <w:r w:rsidRPr="0016466B">
        <w:t xml:space="preserve"> elem</w:t>
      </w:r>
      <w:r w:rsidRPr="00183E4D">
        <w:t>ents</w:t>
      </w:r>
      <w:r>
        <w:t>.</w:t>
      </w:r>
    </w:p>
    <w:p w14:paraId="31D3B9D9" w14:textId="77777777" w:rsidR="002A2CE0" w:rsidRDefault="002A2CE0" w:rsidP="002A2CE0">
      <w:pPr>
        <w:spacing w:line="276" w:lineRule="auto"/>
        <w:jc w:val="both"/>
      </w:pPr>
      <w:r>
        <w:t xml:space="preserve">The PICO was not formally ratified by the PICO </w:t>
      </w:r>
      <w:r w:rsidRPr="00183E4D">
        <w:t>Advisory Sub</w:t>
      </w:r>
      <w:r>
        <w:t>-</w:t>
      </w:r>
      <w:r w:rsidRPr="00183E4D">
        <w:t>Committee (PASC).</w:t>
      </w:r>
    </w:p>
    <w:p w14:paraId="228D7780" w14:textId="77777777" w:rsidR="002A2CE0" w:rsidRPr="00183E4D" w:rsidRDefault="002A2CE0" w:rsidP="002A2CE0">
      <w:pPr>
        <w:spacing w:line="276" w:lineRule="auto"/>
        <w:jc w:val="both"/>
      </w:pPr>
      <w:r>
        <w:t xml:space="preserve">The study protocol was ratified by the Pharmacy Trials Advisory Group, an Independent expert advisory committee who provided advice to the Australian Government Department of Health on the development and implementation of trials under the Pharmacy Trial Program. </w:t>
      </w:r>
    </w:p>
    <w:p w14:paraId="282E2FC9" w14:textId="77777777" w:rsidR="002A2CE0" w:rsidRPr="00497C91" w:rsidRDefault="002A2CE0" w:rsidP="002A2CE0">
      <w:pPr>
        <w:pStyle w:val="Heading3"/>
      </w:pPr>
      <w:bookmarkStart w:id="3" w:name="_Toc395200742"/>
      <w:bookmarkStart w:id="4" w:name="_Toc59194340"/>
      <w:r w:rsidRPr="00497C91">
        <w:t>Proposed Medical Service</w:t>
      </w:r>
      <w:bookmarkEnd w:id="3"/>
      <w:bookmarkEnd w:id="4"/>
    </w:p>
    <w:p w14:paraId="0EEBF409" w14:textId="77777777" w:rsidR="002A2CE0" w:rsidRPr="007319F1" w:rsidRDefault="002A2CE0" w:rsidP="002A2CE0">
      <w:pPr>
        <w:spacing w:line="276" w:lineRule="auto"/>
        <w:jc w:val="both"/>
      </w:pPr>
      <w:bookmarkStart w:id="5" w:name="_Toc379118248"/>
      <w:bookmarkStart w:id="6" w:name="_Toc381796432"/>
      <w:bookmarkStart w:id="7" w:name="_Toc395200743"/>
      <w:r w:rsidRPr="0094158B">
        <w:t xml:space="preserve">The </w:t>
      </w:r>
      <w:proofErr w:type="spellStart"/>
      <w:r w:rsidRPr="0094158B">
        <w:t>IMeRSe</w:t>
      </w:r>
      <w:proofErr w:type="spellEnd"/>
      <w:r w:rsidRPr="0094158B">
        <w:t xml:space="preserve"> </w:t>
      </w:r>
      <w:r>
        <w:t>service</w:t>
      </w:r>
      <w:r w:rsidRPr="0094158B">
        <w:t xml:space="preserve"> is a six-step collaborative interve</w:t>
      </w:r>
      <w:r w:rsidRPr="007319F1">
        <w:t xml:space="preserve">ntion </w:t>
      </w:r>
      <w:r>
        <w:t>that reflects</w:t>
      </w:r>
      <w:r w:rsidRPr="007319F1">
        <w:t xml:space="preserve"> a primary healthcare team approach involving</w:t>
      </w:r>
      <w:r>
        <w:t xml:space="preserve">: </w:t>
      </w:r>
      <w:r w:rsidRPr="007319F1">
        <w:t>the consumer, Aboriginal Health Service staff (</w:t>
      </w:r>
      <w:r>
        <w:t>Aboriginal Health Worker [AHW]</w:t>
      </w:r>
      <w:r w:rsidRPr="007319F1">
        <w:t xml:space="preserve"> and/or </w:t>
      </w:r>
      <w:r>
        <w:t>Aboriginal Health Service [AHS]</w:t>
      </w:r>
      <w:r w:rsidRPr="007319F1">
        <w:t xml:space="preserve"> clinician), community pharmacist and </w:t>
      </w:r>
      <w:r>
        <w:t xml:space="preserve">a </w:t>
      </w:r>
      <w:r w:rsidRPr="007319F1">
        <w:t>general practitioner (GP)</w:t>
      </w:r>
      <w:r>
        <w:t>;</w:t>
      </w:r>
      <w:r w:rsidRPr="007319F1">
        <w:t xml:space="preserve"> each with their respective roles</w:t>
      </w:r>
      <w:r>
        <w:t>.</w:t>
      </w:r>
      <w:r w:rsidRPr="007319F1">
        <w:t xml:space="preserve"> </w:t>
      </w:r>
      <w:r>
        <w:t xml:space="preserve">AHWs </w:t>
      </w:r>
      <w:r w:rsidRPr="007319F1">
        <w:t xml:space="preserve">led consumer engagement and supported a community pharmacist-led medication review with the consumer participant and </w:t>
      </w:r>
      <w:r>
        <w:t xml:space="preserve">when preferred, additional </w:t>
      </w:r>
      <w:r w:rsidRPr="007319F1">
        <w:t>support person</w:t>
      </w:r>
      <w:r>
        <w:t>(s)</w:t>
      </w:r>
      <w:r w:rsidRPr="007319F1">
        <w:t xml:space="preserve"> (e.g. family)</w:t>
      </w:r>
      <w:r>
        <w:t>.</w:t>
      </w:r>
      <w:r w:rsidRPr="007319F1">
        <w:t xml:space="preserve"> </w:t>
      </w:r>
      <w:r>
        <w:t>The process</w:t>
      </w:r>
      <w:r w:rsidRPr="007319F1">
        <w:t xml:space="preserve"> was finalised by a GP-led medication plan in consultation with the consumer, </w:t>
      </w:r>
      <w:r>
        <w:t>AHW</w:t>
      </w:r>
      <w:r w:rsidRPr="007319F1">
        <w:t xml:space="preserve"> and community pharmacist. This initial medication review process was referred to as Tier 1. Additional, structured, follow-up and monitoring could be provided over the following 6-month period (referred to as Tier 2)</w:t>
      </w:r>
      <w:r>
        <w:t xml:space="preserve"> as required</w:t>
      </w:r>
      <w:r w:rsidRPr="007319F1">
        <w:t xml:space="preserve">, </w:t>
      </w:r>
      <w:r>
        <w:t xml:space="preserve">and </w:t>
      </w:r>
      <w:r w:rsidRPr="007319F1">
        <w:t>negotiated by the community pharmacist, consumer</w:t>
      </w:r>
      <w:r>
        <w:t xml:space="preserve">, AH, </w:t>
      </w:r>
      <w:r w:rsidRPr="007319F1">
        <w:t>and GP as part of the medication plan</w:t>
      </w:r>
      <w:r>
        <w:t xml:space="preserve"> tailored to individual needs</w:t>
      </w:r>
      <w:r w:rsidRPr="007319F1">
        <w:t xml:space="preserve">. </w:t>
      </w:r>
    </w:p>
    <w:p w14:paraId="0CFDB1B9" w14:textId="77777777" w:rsidR="002A2CE0" w:rsidRPr="0016466B" w:rsidRDefault="002A2CE0" w:rsidP="002A2CE0">
      <w:pPr>
        <w:spacing w:line="276" w:lineRule="auto"/>
        <w:jc w:val="both"/>
      </w:pPr>
      <w:proofErr w:type="spellStart"/>
      <w:r>
        <w:t>IMeRSe</w:t>
      </w:r>
      <w:proofErr w:type="spellEnd"/>
      <w:r>
        <w:t xml:space="preserve"> is not currently funded in Australia. </w:t>
      </w:r>
    </w:p>
    <w:p w14:paraId="7B97BF60" w14:textId="77777777" w:rsidR="002A2CE0" w:rsidRPr="00183E4D" w:rsidRDefault="002A2CE0" w:rsidP="002A2CE0">
      <w:pPr>
        <w:pStyle w:val="Heading3"/>
        <w:spacing w:line="276" w:lineRule="auto"/>
      </w:pPr>
      <w:r w:rsidRPr="00A34618">
        <w:rPr>
          <w:vanish/>
        </w:rPr>
        <w:lastRenderedPageBreak/>
        <w:t xml:space="preserve"> </w:t>
      </w:r>
      <w:bookmarkStart w:id="8" w:name="_Toc59194341"/>
      <w:r w:rsidRPr="00183E4D">
        <w:t>Proposal for Public Funding</w:t>
      </w:r>
      <w:bookmarkEnd w:id="8"/>
    </w:p>
    <w:p w14:paraId="0795B66C" w14:textId="77777777" w:rsidR="002A2CE0" w:rsidRPr="0016466B" w:rsidRDefault="002A2CE0" w:rsidP="002A2CE0">
      <w:pPr>
        <w:spacing w:line="276" w:lineRule="auto"/>
        <w:jc w:val="both"/>
      </w:pPr>
      <w:r>
        <w:t>As advised by the Pharmacy Trial Advisory Group, t</w:t>
      </w:r>
      <w:r w:rsidRPr="0016466B">
        <w:t xml:space="preserve">he PASC process has not been used. </w:t>
      </w:r>
    </w:p>
    <w:p w14:paraId="1583FA1F" w14:textId="77777777" w:rsidR="002A2CE0" w:rsidRPr="0016466B" w:rsidRDefault="002A2CE0" w:rsidP="002A2CE0">
      <w:pPr>
        <w:spacing w:line="276" w:lineRule="auto"/>
        <w:jc w:val="both"/>
      </w:pPr>
      <w:r w:rsidRPr="0016466B">
        <w:t xml:space="preserve">There are </w:t>
      </w:r>
      <w:r>
        <w:t>three</w:t>
      </w:r>
      <w:r w:rsidRPr="0016466B">
        <w:t xml:space="preserve"> proposed items descriptors: one for community pharmacists</w:t>
      </w:r>
      <w:r>
        <w:t xml:space="preserve">, </w:t>
      </w:r>
      <w:r w:rsidRPr="0016466B">
        <w:t xml:space="preserve">one for </w:t>
      </w:r>
      <w:r>
        <w:t xml:space="preserve">AHWs, and one for GPs, with additional proposed block funding to support cultural awareness training and clinical support for pharmacists providing the service. </w:t>
      </w:r>
      <w:r w:rsidRPr="0016466B">
        <w:t xml:space="preserve"> </w:t>
      </w:r>
    </w:p>
    <w:p w14:paraId="031F232C" w14:textId="77777777" w:rsidR="002A2CE0" w:rsidRPr="00DF1474" w:rsidRDefault="002A2CE0" w:rsidP="002A2CE0">
      <w:pPr>
        <w:pStyle w:val="Caption"/>
        <w:tabs>
          <w:tab w:val="left" w:pos="1134"/>
        </w:tabs>
        <w:ind w:left="851" w:hanging="851"/>
        <w:jc w:val="both"/>
        <w:rPr>
          <w:rFonts w:asciiTheme="minorHAnsi" w:hAnsiTheme="minorHAnsi" w:cstheme="minorHAnsi"/>
          <w:sz w:val="22"/>
        </w:rPr>
      </w:pPr>
      <w:bookmarkStart w:id="9" w:name="_Toc56970788"/>
      <w:r w:rsidRPr="00DF1474">
        <w:rPr>
          <w:rFonts w:asciiTheme="minorHAnsi" w:hAnsiTheme="minorHAnsi" w:cstheme="minorHAnsi"/>
          <w:sz w:val="22"/>
        </w:rPr>
        <w:t xml:space="preserve">Table </w:t>
      </w:r>
      <w:r w:rsidRPr="00DF1474">
        <w:rPr>
          <w:rFonts w:asciiTheme="minorHAnsi" w:hAnsiTheme="minorHAnsi" w:cstheme="minorHAnsi"/>
          <w:sz w:val="22"/>
        </w:rPr>
        <w:fldChar w:fldCharType="begin"/>
      </w:r>
      <w:r w:rsidRPr="00DF1474">
        <w:rPr>
          <w:rFonts w:asciiTheme="minorHAnsi" w:hAnsiTheme="minorHAnsi" w:cstheme="minorHAnsi"/>
          <w:sz w:val="22"/>
        </w:rPr>
        <w:instrText xml:space="preserve"> SEQ Table \* ARABIC </w:instrText>
      </w:r>
      <w:r w:rsidRPr="00DF1474">
        <w:rPr>
          <w:rFonts w:asciiTheme="minorHAnsi" w:hAnsiTheme="minorHAnsi" w:cstheme="minorHAnsi"/>
          <w:sz w:val="22"/>
        </w:rPr>
        <w:fldChar w:fldCharType="separate"/>
      </w:r>
      <w:r>
        <w:rPr>
          <w:rFonts w:asciiTheme="minorHAnsi" w:hAnsiTheme="minorHAnsi" w:cstheme="minorHAnsi"/>
          <w:noProof/>
          <w:sz w:val="22"/>
        </w:rPr>
        <w:t>1</w:t>
      </w:r>
      <w:r w:rsidRPr="00DF1474">
        <w:rPr>
          <w:rFonts w:asciiTheme="minorHAnsi" w:hAnsiTheme="minorHAnsi" w:cstheme="minorHAnsi"/>
          <w:noProof/>
          <w:sz w:val="22"/>
        </w:rPr>
        <w:fldChar w:fldCharType="end"/>
      </w:r>
      <w:r w:rsidRPr="00DF1474">
        <w:rPr>
          <w:rFonts w:asciiTheme="minorHAnsi" w:hAnsiTheme="minorHAnsi" w:cstheme="minorHAnsi"/>
          <w:sz w:val="22"/>
        </w:rPr>
        <w:tab/>
        <w:t>Proposed MBS Item Descriptors</w:t>
      </w:r>
      <w:bookmarkEnd w:id="9"/>
    </w:p>
    <w:tbl>
      <w:tblPr>
        <w:tblW w:w="8888"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11 Proposed MBS item descriptor"/>
        <w:tblDescription w:val="This table provides the proposed description of the requested Medicare Benefits Schedule item."/>
      </w:tblPr>
      <w:tblGrid>
        <w:gridCol w:w="8888"/>
      </w:tblGrid>
      <w:tr w:rsidR="002A2CE0" w:rsidRPr="00183E4D" w:rsidDel="00A134DA" w14:paraId="5E15DD50" w14:textId="77777777" w:rsidTr="0046761E">
        <w:tc>
          <w:tcPr>
            <w:tcW w:w="8888" w:type="dxa"/>
          </w:tcPr>
          <w:p w14:paraId="5C951364" w14:textId="77777777" w:rsidR="002A2CE0" w:rsidRPr="00990CD4" w:rsidDel="00A134DA" w:rsidRDefault="002A2CE0" w:rsidP="0046761E">
            <w:pPr>
              <w:pStyle w:val="Tabletext1"/>
              <w:numPr>
                <w:ilvl w:val="0"/>
                <w:numId w:val="28"/>
              </w:numPr>
              <w:ind w:left="316" w:hanging="283"/>
              <w:rPr>
                <w:b/>
                <w:bCs/>
              </w:rPr>
            </w:pPr>
            <w:r w:rsidRPr="00990CD4" w:rsidDel="00A134DA">
              <w:rPr>
                <w:b/>
                <w:bCs/>
              </w:rPr>
              <w:t xml:space="preserve">Category </w:t>
            </w:r>
            <w:r w:rsidRPr="00990CD4">
              <w:rPr>
                <w:b/>
                <w:bCs/>
              </w:rPr>
              <w:t>M3</w:t>
            </w:r>
            <w:r w:rsidRPr="00990CD4" w:rsidDel="00A134DA">
              <w:rPr>
                <w:b/>
                <w:bCs/>
              </w:rPr>
              <w:t xml:space="preserve"> – </w:t>
            </w:r>
            <w:r w:rsidRPr="00990CD4">
              <w:rPr>
                <w:b/>
                <w:bCs/>
              </w:rPr>
              <w:t>Allied Health Services</w:t>
            </w:r>
          </w:p>
        </w:tc>
      </w:tr>
      <w:tr w:rsidR="002A2CE0" w:rsidRPr="00183E4D" w:rsidDel="00A134DA" w14:paraId="0B15BE08" w14:textId="77777777" w:rsidTr="0046761E">
        <w:tc>
          <w:tcPr>
            <w:tcW w:w="8888" w:type="dxa"/>
          </w:tcPr>
          <w:p w14:paraId="07D82BD2" w14:textId="77777777" w:rsidR="002A2CE0" w:rsidRPr="00183E4D" w:rsidDel="00A134DA" w:rsidRDefault="002A2CE0" w:rsidP="0046761E">
            <w:pPr>
              <w:pStyle w:val="Tabletext1"/>
            </w:pPr>
            <w:r>
              <w:t>Aboriginal and Torres Strait Islander medication review service (</w:t>
            </w:r>
            <w:proofErr w:type="spellStart"/>
            <w:r>
              <w:t>IMeRSe</w:t>
            </w:r>
            <w:proofErr w:type="spellEnd"/>
            <w:r>
              <w:t>)</w:t>
            </w:r>
          </w:p>
        </w:tc>
      </w:tr>
      <w:tr w:rsidR="002A2CE0" w:rsidRPr="00183E4D" w:rsidDel="00A134DA" w14:paraId="7C0A4813" w14:textId="77777777" w:rsidTr="0046761E">
        <w:tc>
          <w:tcPr>
            <w:tcW w:w="8888" w:type="dxa"/>
          </w:tcPr>
          <w:p w14:paraId="5C27E8DC" w14:textId="77777777" w:rsidR="002A2CE0" w:rsidRDefault="002A2CE0" w:rsidP="0046761E">
            <w:pPr>
              <w:pStyle w:val="Tabletext1"/>
            </w:pPr>
            <w:r>
              <w:t xml:space="preserve">Participation by a </w:t>
            </w:r>
            <w:r w:rsidRPr="000F78C1">
              <w:rPr>
                <w:b/>
                <w:bCs/>
              </w:rPr>
              <w:t>pharmacis</w:t>
            </w:r>
            <w:r>
              <w:t xml:space="preserve">t in a culturally responsive medication management review with a consumer living in a community setting, in which the pharmacist, with the consumer’s consent: </w:t>
            </w:r>
          </w:p>
          <w:p w14:paraId="021D235B" w14:textId="77777777" w:rsidR="002A2CE0" w:rsidRDefault="002A2CE0" w:rsidP="0046761E">
            <w:pPr>
              <w:pStyle w:val="Tabletext1"/>
              <w:numPr>
                <w:ilvl w:val="0"/>
                <w:numId w:val="14"/>
              </w:numPr>
            </w:pPr>
            <w:r>
              <w:t>assesses and confirms the consumer is:</w:t>
            </w:r>
          </w:p>
          <w:p w14:paraId="32E20EF6" w14:textId="77777777" w:rsidR="002A2CE0" w:rsidRDefault="002A2CE0" w:rsidP="0046761E">
            <w:pPr>
              <w:pStyle w:val="Tabletext1"/>
              <w:numPr>
                <w:ilvl w:val="0"/>
                <w:numId w:val="15"/>
              </w:numPr>
            </w:pPr>
            <w:r>
              <w:t xml:space="preserve"> a self-identified Aboriginal or Torres Strait Islander </w:t>
            </w:r>
            <w:proofErr w:type="gramStart"/>
            <w:r>
              <w:t>Australian;</w:t>
            </w:r>
            <w:proofErr w:type="gramEnd"/>
          </w:p>
          <w:p w14:paraId="2564AFFD" w14:textId="77777777" w:rsidR="002A2CE0" w:rsidRDefault="002A2CE0" w:rsidP="0046761E">
            <w:pPr>
              <w:pStyle w:val="Tabletext1"/>
              <w:numPr>
                <w:ilvl w:val="0"/>
                <w:numId w:val="15"/>
              </w:numPr>
            </w:pPr>
            <w:r>
              <w:t xml:space="preserve">aged 18 years or </w:t>
            </w:r>
            <w:proofErr w:type="gramStart"/>
            <w:r>
              <w:t>over;</w:t>
            </w:r>
            <w:proofErr w:type="gramEnd"/>
          </w:p>
          <w:p w14:paraId="22C0455E" w14:textId="77777777" w:rsidR="002A2CE0" w:rsidRPr="009000B6" w:rsidRDefault="002A2CE0" w:rsidP="0046761E">
            <w:pPr>
              <w:pStyle w:val="Tabletext1"/>
              <w:numPr>
                <w:ilvl w:val="0"/>
                <w:numId w:val="15"/>
              </w:numPr>
            </w:pPr>
            <w:r w:rsidRPr="009000B6">
              <w:t>at risk of medication-related problems (as identified by any treating health professional</w:t>
            </w:r>
            <w:r>
              <w:t>, or</w:t>
            </w:r>
            <w:r w:rsidRPr="009000B6">
              <w:t xml:space="preserve"> family member</w:t>
            </w:r>
            <w:r>
              <w:t>,</w:t>
            </w:r>
            <w:r w:rsidRPr="009000B6">
              <w:t xml:space="preserve"> or self-identified) including but not limited to: </w:t>
            </w:r>
          </w:p>
          <w:p w14:paraId="4531F36D" w14:textId="77777777" w:rsidR="002A2CE0" w:rsidRDefault="002A2CE0" w:rsidP="0046761E">
            <w:pPr>
              <w:pStyle w:val="ListParagraph"/>
              <w:numPr>
                <w:ilvl w:val="2"/>
                <w:numId w:val="13"/>
              </w:numPr>
              <w:spacing w:before="40" w:after="40" w:line="240" w:lineRule="auto"/>
              <w:ind w:left="1797" w:hanging="357"/>
              <w:rPr>
                <w:rFonts w:ascii="Arial Narrow" w:hAnsi="Arial Narrow"/>
                <w:sz w:val="20"/>
                <w:szCs w:val="20"/>
              </w:rPr>
            </w:pPr>
            <w:r>
              <w:rPr>
                <w:rFonts w:ascii="Arial Narrow" w:hAnsi="Arial Narrow"/>
                <w:sz w:val="20"/>
                <w:szCs w:val="20"/>
              </w:rPr>
              <w:t xml:space="preserve">being </w:t>
            </w:r>
            <w:r w:rsidRPr="00833C18">
              <w:rPr>
                <w:rFonts w:ascii="Arial Narrow" w:hAnsi="Arial Narrow"/>
                <w:sz w:val="20"/>
                <w:szCs w:val="20"/>
              </w:rPr>
              <w:t xml:space="preserve">diagnosed with at least one chronic condition, which is current, and/or is pregnant, and/or is within 2 years </w:t>
            </w:r>
            <w:proofErr w:type="spellStart"/>
            <w:r w:rsidRPr="00833C18">
              <w:rPr>
                <w:rFonts w:ascii="Arial Narrow" w:hAnsi="Arial Narrow"/>
                <w:sz w:val="20"/>
                <w:szCs w:val="20"/>
              </w:rPr>
              <w:t xml:space="preserve">post </w:t>
            </w:r>
            <w:proofErr w:type="gramStart"/>
            <w:r w:rsidRPr="00833C18">
              <w:rPr>
                <w:rFonts w:ascii="Arial Narrow" w:hAnsi="Arial Narrow"/>
                <w:sz w:val="20"/>
                <w:szCs w:val="20"/>
              </w:rPr>
              <w:t>partum</w:t>
            </w:r>
            <w:proofErr w:type="spellEnd"/>
            <w:r w:rsidRPr="00833C18">
              <w:rPr>
                <w:rFonts w:ascii="Arial Narrow" w:hAnsi="Arial Narrow"/>
                <w:sz w:val="20"/>
                <w:szCs w:val="20"/>
              </w:rPr>
              <w:t>;</w:t>
            </w:r>
            <w:proofErr w:type="gramEnd"/>
            <w:r w:rsidRPr="00833C18">
              <w:rPr>
                <w:rFonts w:ascii="Arial Narrow" w:hAnsi="Arial Narrow"/>
                <w:sz w:val="20"/>
                <w:szCs w:val="20"/>
              </w:rPr>
              <w:t xml:space="preserve"> </w:t>
            </w:r>
          </w:p>
          <w:p w14:paraId="285472FE" w14:textId="77777777" w:rsidR="002A2CE0" w:rsidRPr="00833C18" w:rsidRDefault="002A2CE0" w:rsidP="0046761E">
            <w:pPr>
              <w:pStyle w:val="ListParagraph"/>
              <w:numPr>
                <w:ilvl w:val="2"/>
                <w:numId w:val="13"/>
              </w:numPr>
              <w:spacing w:after="0" w:line="276" w:lineRule="auto"/>
              <w:ind w:left="1797" w:hanging="357"/>
              <w:rPr>
                <w:rFonts w:ascii="Arial Narrow" w:hAnsi="Arial Narrow"/>
                <w:sz w:val="20"/>
                <w:szCs w:val="20"/>
              </w:rPr>
            </w:pPr>
            <w:r w:rsidRPr="00833C18">
              <w:rPr>
                <w:rFonts w:ascii="Arial Narrow" w:hAnsi="Arial Narrow"/>
                <w:sz w:val="20"/>
                <w:szCs w:val="20"/>
              </w:rPr>
              <w:t xml:space="preserve">instability of health status and/or medication </w:t>
            </w:r>
            <w:proofErr w:type="gramStart"/>
            <w:r w:rsidRPr="00833C18">
              <w:rPr>
                <w:rFonts w:ascii="Arial Narrow" w:hAnsi="Arial Narrow"/>
                <w:sz w:val="20"/>
                <w:szCs w:val="20"/>
              </w:rPr>
              <w:t>therapy;</w:t>
            </w:r>
            <w:proofErr w:type="gramEnd"/>
            <w:r w:rsidRPr="00833C18">
              <w:rPr>
                <w:rFonts w:ascii="Arial Narrow" w:hAnsi="Arial Narrow"/>
                <w:sz w:val="20"/>
                <w:szCs w:val="20"/>
              </w:rPr>
              <w:t xml:space="preserve"> </w:t>
            </w:r>
          </w:p>
          <w:p w14:paraId="4ACC3E4F" w14:textId="77777777" w:rsidR="002A2CE0" w:rsidRPr="009000B6" w:rsidRDefault="002A2CE0" w:rsidP="0046761E">
            <w:pPr>
              <w:pStyle w:val="ListParagraph"/>
              <w:numPr>
                <w:ilvl w:val="2"/>
                <w:numId w:val="13"/>
              </w:numPr>
              <w:spacing w:after="0" w:line="276" w:lineRule="auto"/>
              <w:ind w:left="1797" w:hanging="357"/>
              <w:contextualSpacing/>
              <w:jc w:val="both"/>
              <w:rPr>
                <w:rFonts w:ascii="Arial Narrow" w:hAnsi="Arial Narrow"/>
                <w:sz w:val="20"/>
                <w:szCs w:val="20"/>
              </w:rPr>
            </w:pPr>
            <w:r w:rsidRPr="009000B6">
              <w:rPr>
                <w:rFonts w:ascii="Arial Narrow" w:hAnsi="Arial Narrow"/>
                <w:sz w:val="20"/>
                <w:szCs w:val="20"/>
              </w:rPr>
              <w:t>using high-risk medication(s</w:t>
            </w:r>
            <w:proofErr w:type="gramStart"/>
            <w:r w:rsidRPr="009000B6">
              <w:rPr>
                <w:rFonts w:ascii="Arial Narrow" w:hAnsi="Arial Narrow"/>
                <w:sz w:val="20"/>
                <w:szCs w:val="20"/>
              </w:rPr>
              <w:t>);</w:t>
            </w:r>
            <w:proofErr w:type="gramEnd"/>
            <w:r w:rsidRPr="009000B6">
              <w:rPr>
                <w:rFonts w:ascii="Arial Narrow" w:hAnsi="Arial Narrow"/>
                <w:sz w:val="20"/>
                <w:szCs w:val="20"/>
              </w:rPr>
              <w:t xml:space="preserve"> </w:t>
            </w:r>
          </w:p>
          <w:p w14:paraId="187F33D8" w14:textId="77777777" w:rsidR="002A2CE0" w:rsidRPr="009000B6" w:rsidRDefault="002A2CE0" w:rsidP="0046761E">
            <w:pPr>
              <w:pStyle w:val="ListParagraph"/>
              <w:numPr>
                <w:ilvl w:val="2"/>
                <w:numId w:val="13"/>
              </w:numPr>
              <w:spacing w:after="0" w:line="276" w:lineRule="auto"/>
              <w:contextualSpacing/>
              <w:jc w:val="both"/>
              <w:rPr>
                <w:rFonts w:ascii="Arial Narrow" w:hAnsi="Arial Narrow"/>
                <w:sz w:val="20"/>
                <w:szCs w:val="20"/>
              </w:rPr>
            </w:pPr>
            <w:r w:rsidRPr="009000B6">
              <w:rPr>
                <w:rFonts w:ascii="Arial Narrow" w:hAnsi="Arial Narrow"/>
                <w:sz w:val="20"/>
                <w:szCs w:val="20"/>
              </w:rPr>
              <w:t xml:space="preserve">likelihood of compromised </w:t>
            </w:r>
            <w:proofErr w:type="gramStart"/>
            <w:r w:rsidRPr="009000B6">
              <w:rPr>
                <w:rFonts w:ascii="Arial Narrow" w:hAnsi="Arial Narrow"/>
                <w:sz w:val="20"/>
                <w:szCs w:val="20"/>
              </w:rPr>
              <w:t>adherence;</w:t>
            </w:r>
            <w:proofErr w:type="gramEnd"/>
            <w:r w:rsidRPr="009000B6">
              <w:rPr>
                <w:rFonts w:ascii="Arial Narrow" w:hAnsi="Arial Narrow"/>
                <w:sz w:val="20"/>
                <w:szCs w:val="20"/>
              </w:rPr>
              <w:t xml:space="preserve"> </w:t>
            </w:r>
          </w:p>
          <w:p w14:paraId="62F4A275" w14:textId="77777777" w:rsidR="002A2CE0" w:rsidRPr="009000B6" w:rsidRDefault="002A2CE0" w:rsidP="0046761E">
            <w:pPr>
              <w:pStyle w:val="ListParagraph"/>
              <w:numPr>
                <w:ilvl w:val="2"/>
                <w:numId w:val="13"/>
              </w:numPr>
              <w:spacing w:after="0" w:line="276" w:lineRule="auto"/>
              <w:contextualSpacing/>
              <w:jc w:val="both"/>
              <w:rPr>
                <w:rFonts w:ascii="Arial Narrow" w:hAnsi="Arial Narrow"/>
                <w:sz w:val="20"/>
                <w:szCs w:val="20"/>
              </w:rPr>
            </w:pPr>
            <w:r w:rsidRPr="009000B6">
              <w:rPr>
                <w:rFonts w:ascii="Arial Narrow" w:hAnsi="Arial Narrow"/>
                <w:sz w:val="20"/>
                <w:szCs w:val="20"/>
              </w:rPr>
              <w:t xml:space="preserve">new therapeutic </w:t>
            </w:r>
            <w:proofErr w:type="gramStart"/>
            <w:r w:rsidRPr="009000B6">
              <w:rPr>
                <w:rFonts w:ascii="Arial Narrow" w:hAnsi="Arial Narrow"/>
                <w:sz w:val="20"/>
                <w:szCs w:val="20"/>
              </w:rPr>
              <w:t>goals;</w:t>
            </w:r>
            <w:proofErr w:type="gramEnd"/>
            <w:r w:rsidRPr="009000B6">
              <w:rPr>
                <w:rFonts w:ascii="Arial Narrow" w:hAnsi="Arial Narrow"/>
                <w:sz w:val="20"/>
                <w:szCs w:val="20"/>
              </w:rPr>
              <w:t xml:space="preserve"> </w:t>
            </w:r>
          </w:p>
          <w:p w14:paraId="5E095D29" w14:textId="77777777" w:rsidR="002A2CE0" w:rsidRDefault="002A2CE0" w:rsidP="0046761E">
            <w:pPr>
              <w:pStyle w:val="ListParagraph"/>
              <w:numPr>
                <w:ilvl w:val="2"/>
                <w:numId w:val="13"/>
              </w:numPr>
              <w:spacing w:after="0" w:line="276" w:lineRule="auto"/>
              <w:contextualSpacing/>
              <w:jc w:val="both"/>
              <w:rPr>
                <w:rFonts w:ascii="Arial Narrow" w:hAnsi="Arial Narrow"/>
                <w:sz w:val="20"/>
                <w:szCs w:val="20"/>
              </w:rPr>
            </w:pPr>
            <w:r w:rsidRPr="009000B6">
              <w:rPr>
                <w:rFonts w:ascii="Arial Narrow" w:hAnsi="Arial Narrow"/>
                <w:sz w:val="20"/>
                <w:szCs w:val="20"/>
              </w:rPr>
              <w:t>potentially incomplete understanding of medication use; or</w:t>
            </w:r>
          </w:p>
          <w:p w14:paraId="2847D4FF" w14:textId="77777777" w:rsidR="002A2CE0" w:rsidRDefault="002A2CE0" w:rsidP="0046761E">
            <w:pPr>
              <w:pStyle w:val="ListParagraph"/>
              <w:numPr>
                <w:ilvl w:val="2"/>
                <w:numId w:val="13"/>
              </w:numPr>
              <w:spacing w:after="0" w:line="276" w:lineRule="auto"/>
              <w:contextualSpacing/>
              <w:jc w:val="both"/>
              <w:rPr>
                <w:rFonts w:ascii="Arial Narrow" w:hAnsi="Arial Narrow"/>
                <w:sz w:val="20"/>
                <w:szCs w:val="20"/>
              </w:rPr>
            </w:pPr>
            <w:r w:rsidRPr="009000B6">
              <w:rPr>
                <w:rFonts w:ascii="Arial Narrow" w:hAnsi="Arial Narrow"/>
                <w:sz w:val="20"/>
                <w:szCs w:val="20"/>
              </w:rPr>
              <w:t>failure to respond to treatment in an expected way</w:t>
            </w:r>
          </w:p>
          <w:p w14:paraId="66C31213" w14:textId="77777777" w:rsidR="002A2CE0" w:rsidRDefault="002A2CE0" w:rsidP="0046761E">
            <w:pPr>
              <w:pStyle w:val="Tabletext1"/>
              <w:numPr>
                <w:ilvl w:val="0"/>
                <w:numId w:val="14"/>
              </w:numPr>
            </w:pPr>
            <w:r>
              <w:t xml:space="preserve">following assessment, undertakes a medication management review (Tier 1), at a location agreed upon by the consumer, in conjunction with a recognised support worker (AHW or other clinic staff), and family member or carer as requested by the </w:t>
            </w:r>
            <w:proofErr w:type="gramStart"/>
            <w:r>
              <w:t>consumer;</w:t>
            </w:r>
            <w:proofErr w:type="gramEnd"/>
          </w:p>
          <w:p w14:paraId="64996221" w14:textId="77777777" w:rsidR="002A2CE0" w:rsidRPr="00A34618" w:rsidRDefault="002A2CE0" w:rsidP="0046761E">
            <w:pPr>
              <w:pStyle w:val="Tabletext1"/>
              <w:numPr>
                <w:ilvl w:val="0"/>
                <w:numId w:val="14"/>
              </w:numPr>
            </w:pPr>
            <w:r>
              <w:t xml:space="preserve">develops a written medication report for submission to the consumer’s usual GP within 2 weeks of </w:t>
            </w:r>
            <w:r w:rsidRPr="00A34618">
              <w:t xml:space="preserve">undertaking the medication </w:t>
            </w:r>
            <w:proofErr w:type="gramStart"/>
            <w:r w:rsidRPr="00A34618">
              <w:t>review;</w:t>
            </w:r>
            <w:proofErr w:type="gramEnd"/>
          </w:p>
          <w:p w14:paraId="6B567629" w14:textId="77777777" w:rsidR="002A2CE0" w:rsidRPr="00A34618" w:rsidRDefault="002A2CE0" w:rsidP="0046761E">
            <w:pPr>
              <w:pStyle w:val="Tabletext1"/>
              <w:numPr>
                <w:ilvl w:val="0"/>
                <w:numId w:val="14"/>
              </w:numPr>
            </w:pPr>
            <w:r w:rsidRPr="00A34618">
              <w:t xml:space="preserve">undertakes any follow-up (Tier 2) required by the consumer or GP, </w:t>
            </w:r>
            <w:r>
              <w:t>with up to</w:t>
            </w:r>
            <w:r w:rsidRPr="00A34618">
              <w:t xml:space="preserve"> 2 </w:t>
            </w:r>
            <w:r>
              <w:t>interactions</w:t>
            </w:r>
            <w:r w:rsidRPr="00A34618">
              <w:t xml:space="preserve"> in the subsequent </w:t>
            </w:r>
            <w:proofErr w:type="gramStart"/>
            <w:r w:rsidRPr="00A34618">
              <w:t>12 month</w:t>
            </w:r>
            <w:proofErr w:type="gramEnd"/>
            <w:r w:rsidRPr="00A34618">
              <w:t xml:space="preserve"> period.</w:t>
            </w:r>
          </w:p>
          <w:p w14:paraId="6EFFEB7E" w14:textId="77777777" w:rsidR="002A2CE0" w:rsidRPr="00C2347D" w:rsidRDefault="002A2CE0" w:rsidP="0046761E">
            <w:pPr>
              <w:pStyle w:val="Tabletext1"/>
              <w:rPr>
                <w:sz w:val="16"/>
                <w:szCs w:val="16"/>
              </w:rPr>
            </w:pPr>
          </w:p>
          <w:p w14:paraId="6AFA307D" w14:textId="33F805F0" w:rsidR="002A2CE0" w:rsidRDefault="002A2CE0" w:rsidP="0046761E">
            <w:pPr>
              <w:pStyle w:val="Tabletext1"/>
            </w:pPr>
            <w:r>
              <w:t xml:space="preserve">For any </w:t>
            </w:r>
            <w:proofErr w:type="gramStart"/>
            <w:r>
              <w:t>particular consumer</w:t>
            </w:r>
            <w:proofErr w:type="gramEnd"/>
            <w:r>
              <w:t xml:space="preserve"> – applicable not more than once in each </w:t>
            </w:r>
            <w:r w:rsidR="000F02A5">
              <w:t>12-month</w:t>
            </w:r>
            <w:r>
              <w:t xml:space="preserve"> period, except if there has been a significant change in the consumer’s condition or medication regimen requiring a new medication plan. Ineligible if a Domiciliary Medication Management Review (DMMR), Residential Medication Management Review (RMMR), or MedsCheck service has been provided in the previous 12 months.  </w:t>
            </w:r>
          </w:p>
          <w:p w14:paraId="1B232505" w14:textId="77777777" w:rsidR="002A2CE0" w:rsidRPr="00C2347D" w:rsidRDefault="002A2CE0" w:rsidP="0046761E">
            <w:pPr>
              <w:pStyle w:val="Tabletext1"/>
              <w:rPr>
                <w:sz w:val="16"/>
                <w:szCs w:val="16"/>
              </w:rPr>
            </w:pPr>
          </w:p>
          <w:p w14:paraId="2E50032A" w14:textId="6D7BE2EF" w:rsidR="002A2CE0" w:rsidRPr="001B0EBD" w:rsidRDefault="002A2CE0" w:rsidP="0046761E">
            <w:pPr>
              <w:pStyle w:val="Tabletext1"/>
            </w:pPr>
            <w:r w:rsidRPr="0084324D">
              <w:rPr>
                <w:b/>
                <w:bCs/>
              </w:rPr>
              <w:t>Fee:</w:t>
            </w:r>
            <w:r>
              <w:t xml:space="preserve"> </w:t>
            </w:r>
            <w:r w:rsidRPr="001B0EBD">
              <w:t xml:space="preserve">$ 222.77 </w:t>
            </w:r>
            <w:r w:rsidRPr="001B0EBD">
              <w:rPr>
                <w:b/>
                <w:bCs/>
              </w:rPr>
              <w:t>Benefit</w:t>
            </w:r>
            <w:r w:rsidRPr="001B0EBD">
              <w:t>: 100% = $222.77</w:t>
            </w:r>
          </w:p>
          <w:p w14:paraId="4E962DA3" w14:textId="77777777" w:rsidR="002A2CE0" w:rsidRPr="001B0EBD" w:rsidRDefault="002A2CE0" w:rsidP="0046761E">
            <w:pPr>
              <w:pStyle w:val="Tabletext1"/>
            </w:pPr>
            <w:r w:rsidRPr="001B0EBD">
              <w:t>First follow-up service</w:t>
            </w:r>
          </w:p>
          <w:p w14:paraId="726195B6" w14:textId="5E91210F" w:rsidR="002A2CE0" w:rsidRPr="001B0EBD" w:rsidRDefault="002A2CE0" w:rsidP="0046761E">
            <w:pPr>
              <w:pStyle w:val="Tabletext1"/>
            </w:pPr>
            <w:r w:rsidRPr="001B0EBD">
              <w:rPr>
                <w:b/>
                <w:bCs/>
              </w:rPr>
              <w:t>Fee:</w:t>
            </w:r>
            <w:r w:rsidRPr="001B0EBD">
              <w:t xml:space="preserve"> $ 111.39 </w:t>
            </w:r>
            <w:r w:rsidRPr="001B0EBD">
              <w:rPr>
                <w:b/>
                <w:bCs/>
              </w:rPr>
              <w:t>Benefit:</w:t>
            </w:r>
            <w:r w:rsidRPr="001B0EBD">
              <w:t xml:space="preserve"> 100% = $111.39</w:t>
            </w:r>
          </w:p>
          <w:p w14:paraId="24B95C9B" w14:textId="77777777" w:rsidR="002A2CE0" w:rsidRPr="001B0EBD" w:rsidRDefault="002A2CE0" w:rsidP="0046761E">
            <w:pPr>
              <w:pStyle w:val="Tabletext1"/>
            </w:pPr>
            <w:r w:rsidRPr="001B0EBD">
              <w:t>Second follow-up service</w:t>
            </w:r>
          </w:p>
          <w:p w14:paraId="762278F4" w14:textId="0AAA4161" w:rsidR="002A2CE0" w:rsidRDefault="002A2CE0" w:rsidP="0046761E">
            <w:pPr>
              <w:pStyle w:val="Tabletext1"/>
            </w:pPr>
            <w:r w:rsidRPr="001B0EBD">
              <w:rPr>
                <w:b/>
                <w:bCs/>
              </w:rPr>
              <w:t>Fee:</w:t>
            </w:r>
            <w:r w:rsidRPr="001B0EBD">
              <w:t xml:space="preserve"> $ 55.70 </w:t>
            </w:r>
            <w:r w:rsidRPr="001B0EBD">
              <w:rPr>
                <w:b/>
                <w:bCs/>
              </w:rPr>
              <w:t>Benefit:</w:t>
            </w:r>
            <w:r w:rsidRPr="001B0EBD">
              <w:t xml:space="preserve"> 100% = $55.70</w:t>
            </w:r>
          </w:p>
          <w:p w14:paraId="23870FE5" w14:textId="77777777" w:rsidR="002A2CE0" w:rsidRPr="00C2347D" w:rsidRDefault="002A2CE0" w:rsidP="0046761E">
            <w:pPr>
              <w:pStyle w:val="Tabletext1"/>
              <w:rPr>
                <w:sz w:val="16"/>
                <w:szCs w:val="16"/>
              </w:rPr>
            </w:pPr>
          </w:p>
          <w:p w14:paraId="0F79835C" w14:textId="77777777" w:rsidR="002A2CE0" w:rsidRPr="00C2347D" w:rsidRDefault="002A2CE0" w:rsidP="0046761E">
            <w:pPr>
              <w:pStyle w:val="Tabletext1"/>
              <w:rPr>
                <w:b/>
                <w:bCs/>
              </w:rPr>
            </w:pPr>
            <w:r w:rsidRPr="00C2347D">
              <w:rPr>
                <w:b/>
                <w:bCs/>
              </w:rPr>
              <w:t xml:space="preserve">Rural loading allowance </w:t>
            </w:r>
          </w:p>
          <w:p w14:paraId="43B1189E" w14:textId="6443F25A" w:rsidR="002A2CE0" w:rsidRPr="009000B6" w:rsidDel="00A134DA" w:rsidRDefault="002A2CE0" w:rsidP="0046761E">
            <w:pPr>
              <w:pStyle w:val="Tabletext1"/>
            </w:pPr>
            <w:r>
              <w:t xml:space="preserve">Up to </w:t>
            </w:r>
            <w:r w:rsidR="00FD2527">
              <w:t>[</w:t>
            </w:r>
            <w:r w:rsidR="00FD2527" w:rsidRPr="001B0EBD">
              <w:t>redacted</w:t>
            </w:r>
            <w:r w:rsidR="00FD2527">
              <w:t>]</w:t>
            </w:r>
            <w:r>
              <w:t xml:space="preserve"> – to contribute to travel costs or the cost of locum hire as required, to allow participation by the pharmacist. </w:t>
            </w:r>
          </w:p>
        </w:tc>
      </w:tr>
      <w:tr w:rsidR="002A2CE0" w:rsidRPr="00183E4D" w:rsidDel="00A134DA" w14:paraId="7E880BDD" w14:textId="77777777" w:rsidTr="0046761E">
        <w:tc>
          <w:tcPr>
            <w:tcW w:w="8888" w:type="dxa"/>
          </w:tcPr>
          <w:p w14:paraId="317C0993" w14:textId="77777777" w:rsidR="002A2CE0" w:rsidRPr="00990CD4" w:rsidDel="00A134DA" w:rsidRDefault="002A2CE0" w:rsidP="0046761E">
            <w:pPr>
              <w:pStyle w:val="Tabletext1"/>
              <w:numPr>
                <w:ilvl w:val="0"/>
                <w:numId w:val="28"/>
              </w:numPr>
              <w:ind w:left="316" w:hanging="283"/>
              <w:rPr>
                <w:b/>
                <w:bCs/>
              </w:rPr>
            </w:pPr>
            <w:r w:rsidRPr="00990CD4" w:rsidDel="00A134DA">
              <w:rPr>
                <w:b/>
                <w:bCs/>
              </w:rPr>
              <w:t xml:space="preserve">Category </w:t>
            </w:r>
            <w:r w:rsidRPr="00990CD4">
              <w:rPr>
                <w:b/>
                <w:bCs/>
              </w:rPr>
              <w:t>M3</w:t>
            </w:r>
            <w:r w:rsidRPr="00990CD4" w:rsidDel="00A134DA">
              <w:rPr>
                <w:b/>
                <w:bCs/>
              </w:rPr>
              <w:t xml:space="preserve"> – </w:t>
            </w:r>
            <w:r w:rsidRPr="00990CD4">
              <w:rPr>
                <w:b/>
                <w:bCs/>
              </w:rPr>
              <w:t>Allied Health Services</w:t>
            </w:r>
          </w:p>
        </w:tc>
      </w:tr>
      <w:tr w:rsidR="002A2CE0" w:rsidRPr="00183E4D" w:rsidDel="00A134DA" w14:paraId="5066C030" w14:textId="77777777" w:rsidTr="0046761E">
        <w:tc>
          <w:tcPr>
            <w:tcW w:w="8888" w:type="dxa"/>
          </w:tcPr>
          <w:p w14:paraId="443C17B8" w14:textId="77777777" w:rsidR="002A2CE0" w:rsidRPr="00183E4D" w:rsidDel="00A134DA" w:rsidRDefault="002A2CE0" w:rsidP="0046761E">
            <w:pPr>
              <w:pStyle w:val="Tabletext1"/>
            </w:pPr>
            <w:r>
              <w:t>Aboriginal and Torres Strait Islander medication review service (</w:t>
            </w:r>
            <w:proofErr w:type="spellStart"/>
            <w:r>
              <w:t>IMeRSe</w:t>
            </w:r>
            <w:proofErr w:type="spellEnd"/>
            <w:r>
              <w:t>)</w:t>
            </w:r>
          </w:p>
        </w:tc>
      </w:tr>
      <w:tr w:rsidR="002A2CE0" w:rsidRPr="00183E4D" w:rsidDel="00A134DA" w14:paraId="3CA48CDA" w14:textId="77777777" w:rsidTr="0046761E">
        <w:tc>
          <w:tcPr>
            <w:tcW w:w="8888" w:type="dxa"/>
          </w:tcPr>
          <w:p w14:paraId="10E7E32F" w14:textId="77777777" w:rsidR="002A2CE0" w:rsidRDefault="002A2CE0" w:rsidP="0046761E">
            <w:pPr>
              <w:pStyle w:val="Tabletext1"/>
            </w:pPr>
            <w:r>
              <w:lastRenderedPageBreak/>
              <w:t xml:space="preserve">Participation by an </w:t>
            </w:r>
            <w:r w:rsidRPr="000F78C1">
              <w:rPr>
                <w:b/>
                <w:bCs/>
              </w:rPr>
              <w:t>Aboriginal Health Worker</w:t>
            </w:r>
            <w:r>
              <w:t xml:space="preserve"> (AHW) in a culturally responsive medication management review for a consumer living in a community setting, in which the AHW, in conjunction with a pharmacist, with the consumer’s consent, </w:t>
            </w:r>
          </w:p>
          <w:p w14:paraId="2B032B36" w14:textId="77777777" w:rsidR="002A2CE0" w:rsidRDefault="002A2CE0" w:rsidP="0046761E">
            <w:pPr>
              <w:pStyle w:val="Tabletext1"/>
              <w:numPr>
                <w:ilvl w:val="0"/>
                <w:numId w:val="16"/>
              </w:numPr>
            </w:pPr>
            <w:r>
              <w:t>assesses and confirms the consumer is:</w:t>
            </w:r>
          </w:p>
          <w:p w14:paraId="339D85BE" w14:textId="77777777" w:rsidR="002A2CE0" w:rsidRDefault="002A2CE0" w:rsidP="0046761E">
            <w:pPr>
              <w:pStyle w:val="Tabletext1"/>
              <w:numPr>
                <w:ilvl w:val="0"/>
                <w:numId w:val="29"/>
              </w:numPr>
            </w:pPr>
            <w:r>
              <w:t xml:space="preserve">a self-identified Aboriginal or Torres Strait Islander </w:t>
            </w:r>
            <w:proofErr w:type="gramStart"/>
            <w:r>
              <w:t>Australian;</w:t>
            </w:r>
            <w:proofErr w:type="gramEnd"/>
          </w:p>
          <w:p w14:paraId="3D209CAB" w14:textId="77777777" w:rsidR="002A2CE0" w:rsidRDefault="002A2CE0" w:rsidP="0046761E">
            <w:pPr>
              <w:pStyle w:val="Tabletext1"/>
              <w:numPr>
                <w:ilvl w:val="0"/>
                <w:numId w:val="29"/>
              </w:numPr>
            </w:pPr>
            <w:r>
              <w:t xml:space="preserve">aged 18 years or </w:t>
            </w:r>
            <w:proofErr w:type="gramStart"/>
            <w:r>
              <w:t>over;</w:t>
            </w:r>
            <w:proofErr w:type="gramEnd"/>
          </w:p>
          <w:p w14:paraId="27273360" w14:textId="77777777" w:rsidR="002A2CE0" w:rsidRPr="009000B6" w:rsidRDefault="002A2CE0" w:rsidP="0046761E">
            <w:pPr>
              <w:pStyle w:val="Tabletext1"/>
              <w:numPr>
                <w:ilvl w:val="0"/>
                <w:numId w:val="29"/>
              </w:numPr>
            </w:pPr>
            <w:r w:rsidRPr="009000B6">
              <w:t>at risk of medication-related problems (as identified by any treating health professional</w:t>
            </w:r>
            <w:r>
              <w:t>, or</w:t>
            </w:r>
            <w:r w:rsidRPr="009000B6">
              <w:t xml:space="preserve"> family member</w:t>
            </w:r>
            <w:r>
              <w:t>,</w:t>
            </w:r>
            <w:r w:rsidRPr="009000B6">
              <w:t xml:space="preserve"> or self-identified) including but not limited to: </w:t>
            </w:r>
          </w:p>
          <w:p w14:paraId="25EAA8E4" w14:textId="77777777" w:rsidR="002A2CE0" w:rsidRDefault="002A2CE0" w:rsidP="0046761E">
            <w:pPr>
              <w:pStyle w:val="ListParagraph"/>
              <w:numPr>
                <w:ilvl w:val="2"/>
                <w:numId w:val="30"/>
              </w:numPr>
              <w:spacing w:before="40" w:after="40" w:line="240" w:lineRule="auto"/>
              <w:ind w:left="1741" w:hanging="284"/>
              <w:rPr>
                <w:rFonts w:ascii="Arial Narrow" w:hAnsi="Arial Narrow"/>
                <w:sz w:val="20"/>
                <w:szCs w:val="20"/>
              </w:rPr>
            </w:pPr>
            <w:r>
              <w:rPr>
                <w:rFonts w:ascii="Arial Narrow" w:hAnsi="Arial Narrow"/>
                <w:sz w:val="20"/>
                <w:szCs w:val="20"/>
              </w:rPr>
              <w:t xml:space="preserve">being </w:t>
            </w:r>
            <w:r w:rsidRPr="00833C18">
              <w:rPr>
                <w:rFonts w:ascii="Arial Narrow" w:hAnsi="Arial Narrow"/>
                <w:sz w:val="20"/>
                <w:szCs w:val="20"/>
              </w:rPr>
              <w:t xml:space="preserve">diagnosed with at least one chronic condition, which is current, and/or is pregnant, and/or is within 2 years </w:t>
            </w:r>
            <w:proofErr w:type="spellStart"/>
            <w:r w:rsidRPr="00833C18">
              <w:rPr>
                <w:rFonts w:ascii="Arial Narrow" w:hAnsi="Arial Narrow"/>
                <w:sz w:val="20"/>
                <w:szCs w:val="20"/>
              </w:rPr>
              <w:t xml:space="preserve">post </w:t>
            </w:r>
            <w:proofErr w:type="gramStart"/>
            <w:r w:rsidRPr="00833C18">
              <w:rPr>
                <w:rFonts w:ascii="Arial Narrow" w:hAnsi="Arial Narrow"/>
                <w:sz w:val="20"/>
                <w:szCs w:val="20"/>
              </w:rPr>
              <w:t>partum</w:t>
            </w:r>
            <w:proofErr w:type="spellEnd"/>
            <w:r w:rsidRPr="00833C18">
              <w:rPr>
                <w:rFonts w:ascii="Arial Narrow" w:hAnsi="Arial Narrow"/>
                <w:sz w:val="20"/>
                <w:szCs w:val="20"/>
              </w:rPr>
              <w:t>;</w:t>
            </w:r>
            <w:proofErr w:type="gramEnd"/>
            <w:r w:rsidRPr="00833C18">
              <w:rPr>
                <w:rFonts w:ascii="Arial Narrow" w:hAnsi="Arial Narrow"/>
                <w:sz w:val="20"/>
                <w:szCs w:val="20"/>
              </w:rPr>
              <w:t xml:space="preserve"> </w:t>
            </w:r>
          </w:p>
          <w:p w14:paraId="365E0374" w14:textId="77777777" w:rsidR="002A2CE0" w:rsidRPr="00833C18" w:rsidRDefault="002A2CE0" w:rsidP="0046761E">
            <w:pPr>
              <w:pStyle w:val="ListParagraph"/>
              <w:numPr>
                <w:ilvl w:val="2"/>
                <w:numId w:val="13"/>
              </w:numPr>
              <w:spacing w:after="0" w:line="276" w:lineRule="auto"/>
              <w:ind w:left="1797" w:hanging="357"/>
              <w:rPr>
                <w:rFonts w:ascii="Arial Narrow" w:hAnsi="Arial Narrow"/>
                <w:sz w:val="20"/>
                <w:szCs w:val="20"/>
              </w:rPr>
            </w:pPr>
            <w:r w:rsidRPr="00833C18">
              <w:rPr>
                <w:rFonts w:ascii="Arial Narrow" w:hAnsi="Arial Narrow"/>
                <w:sz w:val="20"/>
                <w:szCs w:val="20"/>
              </w:rPr>
              <w:t xml:space="preserve">instability of health status and/or medication </w:t>
            </w:r>
            <w:proofErr w:type="gramStart"/>
            <w:r w:rsidRPr="00833C18">
              <w:rPr>
                <w:rFonts w:ascii="Arial Narrow" w:hAnsi="Arial Narrow"/>
                <w:sz w:val="20"/>
                <w:szCs w:val="20"/>
              </w:rPr>
              <w:t>therapy;</w:t>
            </w:r>
            <w:proofErr w:type="gramEnd"/>
            <w:r w:rsidRPr="00833C18">
              <w:rPr>
                <w:rFonts w:ascii="Arial Narrow" w:hAnsi="Arial Narrow"/>
                <w:sz w:val="20"/>
                <w:szCs w:val="20"/>
              </w:rPr>
              <w:t xml:space="preserve"> </w:t>
            </w:r>
          </w:p>
          <w:p w14:paraId="4FB73DB3" w14:textId="77777777" w:rsidR="002A2CE0" w:rsidRPr="009000B6" w:rsidRDefault="002A2CE0" w:rsidP="0046761E">
            <w:pPr>
              <w:pStyle w:val="ListParagraph"/>
              <w:numPr>
                <w:ilvl w:val="2"/>
                <w:numId w:val="13"/>
              </w:numPr>
              <w:spacing w:after="0" w:line="276" w:lineRule="auto"/>
              <w:ind w:left="1797" w:hanging="357"/>
              <w:contextualSpacing/>
              <w:jc w:val="both"/>
              <w:rPr>
                <w:rFonts w:ascii="Arial Narrow" w:hAnsi="Arial Narrow"/>
                <w:sz w:val="20"/>
                <w:szCs w:val="20"/>
              </w:rPr>
            </w:pPr>
            <w:r w:rsidRPr="009000B6">
              <w:rPr>
                <w:rFonts w:ascii="Arial Narrow" w:hAnsi="Arial Narrow"/>
                <w:sz w:val="20"/>
                <w:szCs w:val="20"/>
              </w:rPr>
              <w:t>using high-risk medication(s</w:t>
            </w:r>
            <w:proofErr w:type="gramStart"/>
            <w:r w:rsidRPr="009000B6">
              <w:rPr>
                <w:rFonts w:ascii="Arial Narrow" w:hAnsi="Arial Narrow"/>
                <w:sz w:val="20"/>
                <w:szCs w:val="20"/>
              </w:rPr>
              <w:t>);</w:t>
            </w:r>
            <w:proofErr w:type="gramEnd"/>
            <w:r w:rsidRPr="009000B6">
              <w:rPr>
                <w:rFonts w:ascii="Arial Narrow" w:hAnsi="Arial Narrow"/>
                <w:sz w:val="20"/>
                <w:szCs w:val="20"/>
              </w:rPr>
              <w:t xml:space="preserve"> </w:t>
            </w:r>
          </w:p>
          <w:p w14:paraId="43C6DD96" w14:textId="77777777" w:rsidR="002A2CE0" w:rsidRPr="009000B6" w:rsidRDefault="002A2CE0" w:rsidP="0046761E">
            <w:pPr>
              <w:pStyle w:val="ListParagraph"/>
              <w:numPr>
                <w:ilvl w:val="2"/>
                <w:numId w:val="13"/>
              </w:numPr>
              <w:spacing w:after="0" w:line="276" w:lineRule="auto"/>
              <w:ind w:left="1797" w:hanging="357"/>
              <w:contextualSpacing/>
              <w:jc w:val="both"/>
              <w:rPr>
                <w:rFonts w:ascii="Arial Narrow" w:hAnsi="Arial Narrow"/>
                <w:sz w:val="20"/>
                <w:szCs w:val="20"/>
              </w:rPr>
            </w:pPr>
            <w:r w:rsidRPr="009000B6">
              <w:rPr>
                <w:rFonts w:ascii="Arial Narrow" w:hAnsi="Arial Narrow"/>
                <w:sz w:val="20"/>
                <w:szCs w:val="20"/>
              </w:rPr>
              <w:t xml:space="preserve">likelihood of compromised </w:t>
            </w:r>
            <w:proofErr w:type="gramStart"/>
            <w:r w:rsidRPr="009000B6">
              <w:rPr>
                <w:rFonts w:ascii="Arial Narrow" w:hAnsi="Arial Narrow"/>
                <w:sz w:val="20"/>
                <w:szCs w:val="20"/>
              </w:rPr>
              <w:t>adherence;</w:t>
            </w:r>
            <w:proofErr w:type="gramEnd"/>
            <w:r w:rsidRPr="009000B6">
              <w:rPr>
                <w:rFonts w:ascii="Arial Narrow" w:hAnsi="Arial Narrow"/>
                <w:sz w:val="20"/>
                <w:szCs w:val="20"/>
              </w:rPr>
              <w:t xml:space="preserve"> </w:t>
            </w:r>
          </w:p>
          <w:p w14:paraId="3F2F8A00" w14:textId="77777777" w:rsidR="002A2CE0" w:rsidRPr="009000B6" w:rsidRDefault="002A2CE0" w:rsidP="0046761E">
            <w:pPr>
              <w:pStyle w:val="ListParagraph"/>
              <w:numPr>
                <w:ilvl w:val="2"/>
                <w:numId w:val="13"/>
              </w:numPr>
              <w:spacing w:after="0" w:line="276" w:lineRule="auto"/>
              <w:ind w:left="1797" w:hanging="357"/>
              <w:contextualSpacing/>
              <w:jc w:val="both"/>
              <w:rPr>
                <w:rFonts w:ascii="Arial Narrow" w:hAnsi="Arial Narrow"/>
                <w:sz w:val="20"/>
                <w:szCs w:val="20"/>
              </w:rPr>
            </w:pPr>
            <w:r w:rsidRPr="009000B6">
              <w:rPr>
                <w:rFonts w:ascii="Arial Narrow" w:hAnsi="Arial Narrow"/>
                <w:sz w:val="20"/>
                <w:szCs w:val="20"/>
              </w:rPr>
              <w:t xml:space="preserve">new therapeutic </w:t>
            </w:r>
            <w:proofErr w:type="gramStart"/>
            <w:r w:rsidRPr="009000B6">
              <w:rPr>
                <w:rFonts w:ascii="Arial Narrow" w:hAnsi="Arial Narrow"/>
                <w:sz w:val="20"/>
                <w:szCs w:val="20"/>
              </w:rPr>
              <w:t>goals;</w:t>
            </w:r>
            <w:proofErr w:type="gramEnd"/>
            <w:r w:rsidRPr="009000B6">
              <w:rPr>
                <w:rFonts w:ascii="Arial Narrow" w:hAnsi="Arial Narrow"/>
                <w:sz w:val="20"/>
                <w:szCs w:val="20"/>
              </w:rPr>
              <w:t xml:space="preserve"> </w:t>
            </w:r>
          </w:p>
          <w:p w14:paraId="1DCDF8EB" w14:textId="77777777" w:rsidR="002A2CE0" w:rsidRDefault="002A2CE0" w:rsidP="0046761E">
            <w:pPr>
              <w:pStyle w:val="ListParagraph"/>
              <w:numPr>
                <w:ilvl w:val="2"/>
                <w:numId w:val="13"/>
              </w:numPr>
              <w:spacing w:after="0" w:line="276" w:lineRule="auto"/>
              <w:ind w:left="1797" w:hanging="357"/>
              <w:contextualSpacing/>
              <w:jc w:val="both"/>
              <w:rPr>
                <w:rFonts w:ascii="Arial Narrow" w:hAnsi="Arial Narrow"/>
                <w:sz w:val="20"/>
                <w:szCs w:val="20"/>
              </w:rPr>
            </w:pPr>
            <w:r w:rsidRPr="009000B6">
              <w:rPr>
                <w:rFonts w:ascii="Arial Narrow" w:hAnsi="Arial Narrow"/>
                <w:sz w:val="20"/>
                <w:szCs w:val="20"/>
              </w:rPr>
              <w:t>potentially incomplete understanding of medication use; or</w:t>
            </w:r>
          </w:p>
          <w:p w14:paraId="01D31DD3" w14:textId="77777777" w:rsidR="002A2CE0" w:rsidRDefault="002A2CE0" w:rsidP="0046761E">
            <w:pPr>
              <w:pStyle w:val="ListParagraph"/>
              <w:numPr>
                <w:ilvl w:val="2"/>
                <w:numId w:val="13"/>
              </w:numPr>
              <w:spacing w:after="0" w:line="276" w:lineRule="auto"/>
              <w:ind w:left="1797" w:hanging="357"/>
              <w:contextualSpacing/>
              <w:jc w:val="both"/>
              <w:rPr>
                <w:rFonts w:ascii="Arial Narrow" w:hAnsi="Arial Narrow"/>
                <w:sz w:val="20"/>
                <w:szCs w:val="20"/>
              </w:rPr>
            </w:pPr>
            <w:r w:rsidRPr="009000B6">
              <w:rPr>
                <w:rFonts w:ascii="Arial Narrow" w:hAnsi="Arial Narrow"/>
                <w:sz w:val="20"/>
                <w:szCs w:val="20"/>
              </w:rPr>
              <w:t>failure to respond to treatment in an expected way</w:t>
            </w:r>
          </w:p>
          <w:p w14:paraId="1B2BE1F3" w14:textId="77777777" w:rsidR="002A2CE0" w:rsidRDefault="002A2CE0" w:rsidP="0046761E">
            <w:pPr>
              <w:pStyle w:val="Tabletext1"/>
              <w:numPr>
                <w:ilvl w:val="0"/>
                <w:numId w:val="16"/>
              </w:numPr>
            </w:pPr>
            <w:r>
              <w:t xml:space="preserve">following assessment, participates in a medication management review, at a location agreed upon by the consumer, in conjunction with the AHW (or other clinic staff), and family member or carer as requested by the </w:t>
            </w:r>
            <w:proofErr w:type="gramStart"/>
            <w:r>
              <w:t>consumer;</w:t>
            </w:r>
            <w:proofErr w:type="gramEnd"/>
          </w:p>
          <w:p w14:paraId="7D87E6E4" w14:textId="77777777" w:rsidR="002A2CE0" w:rsidRDefault="002A2CE0" w:rsidP="0046761E">
            <w:pPr>
              <w:pStyle w:val="Tabletext1"/>
              <w:numPr>
                <w:ilvl w:val="0"/>
                <w:numId w:val="16"/>
              </w:numPr>
            </w:pPr>
            <w:r>
              <w:t xml:space="preserve">participates in a subsequent review with the consumer and GP and assists with finalisation of a medication plan for the consumer, as requested by the </w:t>
            </w:r>
            <w:proofErr w:type="gramStart"/>
            <w:r>
              <w:t>consumer;</w:t>
            </w:r>
            <w:proofErr w:type="gramEnd"/>
          </w:p>
          <w:p w14:paraId="79004611" w14:textId="432BB99B" w:rsidR="002A2CE0" w:rsidRDefault="002A2CE0" w:rsidP="00513446">
            <w:pPr>
              <w:pStyle w:val="Tabletext1"/>
              <w:numPr>
                <w:ilvl w:val="0"/>
                <w:numId w:val="16"/>
              </w:numPr>
            </w:pPr>
            <w:r>
              <w:t>participates in any</w:t>
            </w:r>
            <w:r w:rsidRPr="00A34618">
              <w:t xml:space="preserve"> follow-up (Tier 2) required by the consumer or GP, </w:t>
            </w:r>
            <w:r>
              <w:t>with up to</w:t>
            </w:r>
            <w:r w:rsidRPr="00A34618">
              <w:t xml:space="preserve"> 2 </w:t>
            </w:r>
            <w:r>
              <w:t>interactions</w:t>
            </w:r>
            <w:r w:rsidRPr="00A34618">
              <w:t xml:space="preserve"> in the subsequent </w:t>
            </w:r>
            <w:r w:rsidR="00513446" w:rsidRPr="00A34618">
              <w:t>12-month</w:t>
            </w:r>
            <w:r w:rsidRPr="00A34618">
              <w:t xml:space="preserve"> period.</w:t>
            </w:r>
          </w:p>
          <w:p w14:paraId="1A8CE686" w14:textId="77777777" w:rsidR="002A2CE0" w:rsidRPr="00C2347D" w:rsidRDefault="002A2CE0" w:rsidP="0046761E">
            <w:pPr>
              <w:pStyle w:val="Tabletext1"/>
              <w:rPr>
                <w:sz w:val="16"/>
                <w:szCs w:val="16"/>
              </w:rPr>
            </w:pPr>
          </w:p>
          <w:p w14:paraId="2A746F55" w14:textId="77777777" w:rsidR="002A2CE0" w:rsidRDefault="002A2CE0" w:rsidP="0046761E">
            <w:pPr>
              <w:pStyle w:val="Tabletext1"/>
            </w:pPr>
            <w:r>
              <w:t xml:space="preserve">For any particular consumer – applicable not more than once in each </w:t>
            </w:r>
            <w:proofErr w:type="gramStart"/>
            <w:r>
              <w:t>12 month</w:t>
            </w:r>
            <w:proofErr w:type="gramEnd"/>
            <w:r>
              <w:t xml:space="preserve"> period, except if there has been a significant change in the consumer’s condition or medication regimen requiring a new medication plan. Ineligible if a Domiciliary Medication Management Review (DMMR), Residential Medication Management Review (RMMR), or MedsCheck service has been provided in the previous 12 months.  </w:t>
            </w:r>
          </w:p>
          <w:p w14:paraId="4FDFE2C0" w14:textId="77777777" w:rsidR="002A2CE0" w:rsidRPr="00C2347D" w:rsidRDefault="002A2CE0" w:rsidP="0046761E">
            <w:pPr>
              <w:pStyle w:val="Tabletext1"/>
              <w:rPr>
                <w:sz w:val="16"/>
                <w:szCs w:val="16"/>
              </w:rPr>
            </w:pPr>
          </w:p>
          <w:p w14:paraId="5B0AB58B" w14:textId="3D5FA196" w:rsidR="002A2CE0" w:rsidRPr="001B0EBD" w:rsidRDefault="002A2CE0" w:rsidP="0046761E">
            <w:pPr>
              <w:pStyle w:val="Tabletext1"/>
            </w:pPr>
            <w:r w:rsidRPr="00171D0D">
              <w:rPr>
                <w:b/>
                <w:bCs/>
              </w:rPr>
              <w:t>Fee:</w:t>
            </w:r>
            <w:r>
              <w:t xml:space="preserve"> </w:t>
            </w:r>
            <w:r w:rsidRPr="001B0EBD">
              <w:t xml:space="preserve">$50.00 </w:t>
            </w:r>
            <w:r w:rsidRPr="001B0EBD">
              <w:rPr>
                <w:b/>
                <w:bCs/>
              </w:rPr>
              <w:t>Benefit:</w:t>
            </w:r>
            <w:r w:rsidRPr="001B0EBD">
              <w:t xml:space="preserve"> 100% = $50.00</w:t>
            </w:r>
          </w:p>
          <w:p w14:paraId="44E36E83" w14:textId="77777777" w:rsidR="002A2CE0" w:rsidRPr="001B0EBD" w:rsidRDefault="002A2CE0" w:rsidP="0046761E">
            <w:pPr>
              <w:pStyle w:val="Tabletext1"/>
            </w:pPr>
            <w:r w:rsidRPr="001B0EBD">
              <w:t>First follow-up service</w:t>
            </w:r>
          </w:p>
          <w:p w14:paraId="64136956" w14:textId="59D513BD" w:rsidR="002A2CE0" w:rsidRPr="001B0EBD" w:rsidRDefault="002A2CE0" w:rsidP="0046761E">
            <w:pPr>
              <w:pStyle w:val="Tabletext1"/>
            </w:pPr>
            <w:r w:rsidRPr="001B0EBD">
              <w:rPr>
                <w:b/>
                <w:bCs/>
              </w:rPr>
              <w:t>Fee:</w:t>
            </w:r>
            <w:r w:rsidRPr="001B0EBD">
              <w:t xml:space="preserve"> $25 </w:t>
            </w:r>
            <w:r w:rsidRPr="001B0EBD">
              <w:rPr>
                <w:b/>
                <w:bCs/>
              </w:rPr>
              <w:t>Benefit:</w:t>
            </w:r>
            <w:r w:rsidRPr="001B0EBD">
              <w:t xml:space="preserve"> 100% = $25</w:t>
            </w:r>
          </w:p>
          <w:p w14:paraId="57BCE899" w14:textId="77777777" w:rsidR="002A2CE0" w:rsidRPr="001B0EBD" w:rsidRDefault="002A2CE0" w:rsidP="0046761E">
            <w:pPr>
              <w:pStyle w:val="Tabletext1"/>
            </w:pPr>
            <w:r w:rsidRPr="001B0EBD">
              <w:t>Second follow-up service</w:t>
            </w:r>
          </w:p>
          <w:p w14:paraId="0534260E" w14:textId="0EA7F027" w:rsidR="002A2CE0" w:rsidRPr="009000B6" w:rsidDel="00A134DA" w:rsidRDefault="002A2CE0" w:rsidP="0046761E">
            <w:pPr>
              <w:pStyle w:val="Tabletext1"/>
            </w:pPr>
            <w:r w:rsidRPr="001B0EBD">
              <w:rPr>
                <w:b/>
                <w:bCs/>
              </w:rPr>
              <w:t>Fee:</w:t>
            </w:r>
            <w:r w:rsidRPr="001B0EBD">
              <w:t xml:space="preserve"> $12.50 </w:t>
            </w:r>
            <w:r w:rsidRPr="001B0EBD">
              <w:rPr>
                <w:b/>
                <w:bCs/>
              </w:rPr>
              <w:t>Benefit:</w:t>
            </w:r>
            <w:r w:rsidRPr="001B0EBD">
              <w:t xml:space="preserve"> 100% = $12.50</w:t>
            </w:r>
          </w:p>
        </w:tc>
      </w:tr>
      <w:tr w:rsidR="002A2CE0" w:rsidRPr="00183E4D" w:rsidDel="00A134DA" w14:paraId="464885F2" w14:textId="77777777" w:rsidTr="0046761E">
        <w:tc>
          <w:tcPr>
            <w:tcW w:w="8888" w:type="dxa"/>
          </w:tcPr>
          <w:p w14:paraId="0FBC4FA7" w14:textId="77777777" w:rsidR="002A2CE0" w:rsidRPr="00990CD4" w:rsidDel="00A134DA" w:rsidRDefault="002A2CE0" w:rsidP="0046761E">
            <w:pPr>
              <w:pStyle w:val="Tabletext1"/>
              <w:numPr>
                <w:ilvl w:val="0"/>
                <w:numId w:val="28"/>
              </w:numPr>
              <w:ind w:left="316" w:hanging="316"/>
              <w:rPr>
                <w:b/>
                <w:bCs/>
              </w:rPr>
            </w:pPr>
            <w:r w:rsidRPr="00990CD4" w:rsidDel="00A134DA">
              <w:rPr>
                <w:b/>
                <w:bCs/>
              </w:rPr>
              <w:t xml:space="preserve">Category </w:t>
            </w:r>
            <w:r w:rsidRPr="00990CD4">
              <w:rPr>
                <w:b/>
                <w:bCs/>
              </w:rPr>
              <w:t>A17</w:t>
            </w:r>
            <w:r w:rsidRPr="00990CD4" w:rsidDel="00A134DA">
              <w:rPr>
                <w:b/>
                <w:bCs/>
              </w:rPr>
              <w:t xml:space="preserve"> – </w:t>
            </w:r>
            <w:r w:rsidRPr="00990CD4">
              <w:rPr>
                <w:b/>
                <w:bCs/>
              </w:rPr>
              <w:t xml:space="preserve">Domiciliary and residential </w:t>
            </w:r>
            <w:r>
              <w:rPr>
                <w:b/>
                <w:bCs/>
              </w:rPr>
              <w:t xml:space="preserve">medication </w:t>
            </w:r>
            <w:r w:rsidRPr="00990CD4">
              <w:rPr>
                <w:b/>
                <w:bCs/>
              </w:rPr>
              <w:t>management reviews</w:t>
            </w:r>
          </w:p>
        </w:tc>
      </w:tr>
      <w:tr w:rsidR="002A2CE0" w:rsidRPr="00183E4D" w:rsidDel="00A134DA" w14:paraId="39EC79BC" w14:textId="77777777" w:rsidTr="0046761E">
        <w:tc>
          <w:tcPr>
            <w:tcW w:w="8888" w:type="dxa"/>
          </w:tcPr>
          <w:p w14:paraId="67476B4E" w14:textId="77777777" w:rsidR="002A2CE0" w:rsidRPr="00183E4D" w:rsidDel="00A134DA" w:rsidRDefault="002A2CE0" w:rsidP="0046761E">
            <w:pPr>
              <w:pStyle w:val="Tabletext1"/>
            </w:pPr>
            <w:r>
              <w:t>Aboriginal and Torres Strait Islander medication review service (</w:t>
            </w:r>
            <w:proofErr w:type="spellStart"/>
            <w:r>
              <w:t>IMeRSe</w:t>
            </w:r>
            <w:proofErr w:type="spellEnd"/>
            <w:r>
              <w:t>)</w:t>
            </w:r>
          </w:p>
        </w:tc>
      </w:tr>
      <w:tr w:rsidR="002A2CE0" w:rsidRPr="00183E4D" w:rsidDel="00A134DA" w14:paraId="32335900" w14:textId="77777777" w:rsidTr="0046761E">
        <w:tc>
          <w:tcPr>
            <w:tcW w:w="8888" w:type="dxa"/>
          </w:tcPr>
          <w:p w14:paraId="4006F870" w14:textId="77777777" w:rsidR="002A2CE0" w:rsidRDefault="002A2CE0" w:rsidP="0046761E">
            <w:pPr>
              <w:pStyle w:val="Tabletext1"/>
            </w:pPr>
            <w:r>
              <w:t xml:space="preserve">Participation by a </w:t>
            </w:r>
            <w:r>
              <w:rPr>
                <w:b/>
                <w:bCs/>
              </w:rPr>
              <w:t>general practitioner</w:t>
            </w:r>
            <w:r>
              <w:t xml:space="preserve"> (GP) in a culturally responsive medication management review for a consumer living in a community setting, in which the pharmacist, with the consumer’s consent, </w:t>
            </w:r>
          </w:p>
          <w:p w14:paraId="6675C40A" w14:textId="77777777" w:rsidR="002A2CE0" w:rsidRDefault="002A2CE0" w:rsidP="0046761E">
            <w:pPr>
              <w:pStyle w:val="Tabletext1"/>
              <w:numPr>
                <w:ilvl w:val="0"/>
                <w:numId w:val="18"/>
              </w:numPr>
            </w:pPr>
            <w:r>
              <w:t>assesses and confirms the consumer is:</w:t>
            </w:r>
          </w:p>
          <w:p w14:paraId="4EEEAE4A" w14:textId="77777777" w:rsidR="002A2CE0" w:rsidRDefault="002A2CE0" w:rsidP="0046761E">
            <w:pPr>
              <w:pStyle w:val="Tabletext1"/>
              <w:numPr>
                <w:ilvl w:val="0"/>
                <w:numId w:val="17"/>
              </w:numPr>
            </w:pPr>
            <w:r>
              <w:t xml:space="preserve">a self-identified Aboriginal or Torres Strait Islander </w:t>
            </w:r>
            <w:proofErr w:type="gramStart"/>
            <w:r>
              <w:t>Australian;</w:t>
            </w:r>
            <w:proofErr w:type="gramEnd"/>
          </w:p>
          <w:p w14:paraId="35A133FC" w14:textId="77777777" w:rsidR="002A2CE0" w:rsidRDefault="002A2CE0" w:rsidP="0046761E">
            <w:pPr>
              <w:pStyle w:val="Tabletext1"/>
              <w:numPr>
                <w:ilvl w:val="0"/>
                <w:numId w:val="17"/>
              </w:numPr>
            </w:pPr>
            <w:r>
              <w:t xml:space="preserve">aged 18 years or </w:t>
            </w:r>
            <w:proofErr w:type="gramStart"/>
            <w:r>
              <w:t>over;</w:t>
            </w:r>
            <w:proofErr w:type="gramEnd"/>
          </w:p>
          <w:p w14:paraId="045421FE" w14:textId="77777777" w:rsidR="002A2CE0" w:rsidRPr="009000B6" w:rsidRDefault="002A2CE0" w:rsidP="0046761E">
            <w:pPr>
              <w:pStyle w:val="Tabletext1"/>
              <w:numPr>
                <w:ilvl w:val="0"/>
                <w:numId w:val="17"/>
              </w:numPr>
            </w:pPr>
            <w:r w:rsidRPr="009000B6">
              <w:t>at risk of medication-related problems (as identified by any treating health professional</w:t>
            </w:r>
            <w:r>
              <w:t>, or</w:t>
            </w:r>
            <w:r w:rsidRPr="009000B6">
              <w:t xml:space="preserve"> family member</w:t>
            </w:r>
            <w:r>
              <w:t>,</w:t>
            </w:r>
            <w:r w:rsidRPr="009000B6">
              <w:t xml:space="preserve"> or self-identified) including but not limited to: </w:t>
            </w:r>
          </w:p>
          <w:p w14:paraId="2AA8BFC7" w14:textId="77777777" w:rsidR="002A2CE0" w:rsidRDefault="002A2CE0" w:rsidP="0046761E">
            <w:pPr>
              <w:pStyle w:val="ListParagraph"/>
              <w:numPr>
                <w:ilvl w:val="2"/>
                <w:numId w:val="30"/>
              </w:numPr>
              <w:spacing w:before="40" w:after="40" w:line="240" w:lineRule="auto"/>
              <w:ind w:left="1741" w:hanging="284"/>
              <w:rPr>
                <w:rFonts w:ascii="Arial Narrow" w:hAnsi="Arial Narrow"/>
                <w:sz w:val="20"/>
                <w:szCs w:val="20"/>
              </w:rPr>
            </w:pPr>
            <w:r>
              <w:rPr>
                <w:rFonts w:ascii="Arial Narrow" w:hAnsi="Arial Narrow"/>
                <w:sz w:val="20"/>
                <w:szCs w:val="20"/>
              </w:rPr>
              <w:t xml:space="preserve">being </w:t>
            </w:r>
            <w:r w:rsidRPr="00833C18">
              <w:rPr>
                <w:rFonts w:ascii="Arial Narrow" w:hAnsi="Arial Narrow"/>
                <w:sz w:val="20"/>
                <w:szCs w:val="20"/>
              </w:rPr>
              <w:t xml:space="preserve">diagnosed with at least one chronic condition, which is current, and/or is pregnant, and/or is within 2 years </w:t>
            </w:r>
            <w:proofErr w:type="spellStart"/>
            <w:r w:rsidRPr="00833C18">
              <w:rPr>
                <w:rFonts w:ascii="Arial Narrow" w:hAnsi="Arial Narrow"/>
                <w:sz w:val="20"/>
                <w:szCs w:val="20"/>
              </w:rPr>
              <w:t xml:space="preserve">post </w:t>
            </w:r>
            <w:proofErr w:type="gramStart"/>
            <w:r w:rsidRPr="00833C18">
              <w:rPr>
                <w:rFonts w:ascii="Arial Narrow" w:hAnsi="Arial Narrow"/>
                <w:sz w:val="20"/>
                <w:szCs w:val="20"/>
              </w:rPr>
              <w:t>partum</w:t>
            </w:r>
            <w:proofErr w:type="spellEnd"/>
            <w:r w:rsidRPr="00833C18">
              <w:rPr>
                <w:rFonts w:ascii="Arial Narrow" w:hAnsi="Arial Narrow"/>
                <w:sz w:val="20"/>
                <w:szCs w:val="20"/>
              </w:rPr>
              <w:t>;</w:t>
            </w:r>
            <w:proofErr w:type="gramEnd"/>
            <w:r w:rsidRPr="00833C18">
              <w:rPr>
                <w:rFonts w:ascii="Arial Narrow" w:hAnsi="Arial Narrow"/>
                <w:sz w:val="20"/>
                <w:szCs w:val="20"/>
              </w:rPr>
              <w:t xml:space="preserve"> </w:t>
            </w:r>
          </w:p>
          <w:p w14:paraId="26D1F91B" w14:textId="77777777" w:rsidR="002A2CE0" w:rsidRPr="00833C18" w:rsidRDefault="002A2CE0" w:rsidP="0046761E">
            <w:pPr>
              <w:pStyle w:val="ListParagraph"/>
              <w:numPr>
                <w:ilvl w:val="2"/>
                <w:numId w:val="13"/>
              </w:numPr>
              <w:spacing w:after="0" w:line="276" w:lineRule="auto"/>
              <w:ind w:left="1797" w:hanging="357"/>
              <w:rPr>
                <w:rFonts w:ascii="Arial Narrow" w:hAnsi="Arial Narrow"/>
                <w:sz w:val="20"/>
                <w:szCs w:val="20"/>
              </w:rPr>
            </w:pPr>
            <w:r w:rsidRPr="00833C18">
              <w:rPr>
                <w:rFonts w:ascii="Arial Narrow" w:hAnsi="Arial Narrow"/>
                <w:sz w:val="20"/>
                <w:szCs w:val="20"/>
              </w:rPr>
              <w:t xml:space="preserve">instability of health status and/or medication </w:t>
            </w:r>
            <w:proofErr w:type="gramStart"/>
            <w:r w:rsidRPr="00833C18">
              <w:rPr>
                <w:rFonts w:ascii="Arial Narrow" w:hAnsi="Arial Narrow"/>
                <w:sz w:val="20"/>
                <w:szCs w:val="20"/>
              </w:rPr>
              <w:t>therapy;</w:t>
            </w:r>
            <w:proofErr w:type="gramEnd"/>
            <w:r w:rsidRPr="00833C18">
              <w:rPr>
                <w:rFonts w:ascii="Arial Narrow" w:hAnsi="Arial Narrow"/>
                <w:sz w:val="20"/>
                <w:szCs w:val="20"/>
              </w:rPr>
              <w:t xml:space="preserve"> </w:t>
            </w:r>
          </w:p>
          <w:p w14:paraId="604E430B" w14:textId="77777777" w:rsidR="002A2CE0" w:rsidRPr="009000B6" w:rsidRDefault="002A2CE0" w:rsidP="0046761E">
            <w:pPr>
              <w:pStyle w:val="ListParagraph"/>
              <w:numPr>
                <w:ilvl w:val="2"/>
                <w:numId w:val="13"/>
              </w:numPr>
              <w:spacing w:after="0" w:line="276" w:lineRule="auto"/>
              <w:ind w:left="1797" w:hanging="357"/>
              <w:contextualSpacing/>
              <w:jc w:val="both"/>
              <w:rPr>
                <w:rFonts w:ascii="Arial Narrow" w:hAnsi="Arial Narrow"/>
                <w:sz w:val="20"/>
                <w:szCs w:val="20"/>
              </w:rPr>
            </w:pPr>
            <w:r w:rsidRPr="009000B6">
              <w:rPr>
                <w:rFonts w:ascii="Arial Narrow" w:hAnsi="Arial Narrow"/>
                <w:sz w:val="20"/>
                <w:szCs w:val="20"/>
              </w:rPr>
              <w:t>using high-risk medication(s</w:t>
            </w:r>
            <w:proofErr w:type="gramStart"/>
            <w:r w:rsidRPr="009000B6">
              <w:rPr>
                <w:rFonts w:ascii="Arial Narrow" w:hAnsi="Arial Narrow"/>
                <w:sz w:val="20"/>
                <w:szCs w:val="20"/>
              </w:rPr>
              <w:t>);</w:t>
            </w:r>
            <w:proofErr w:type="gramEnd"/>
            <w:r w:rsidRPr="009000B6">
              <w:rPr>
                <w:rFonts w:ascii="Arial Narrow" w:hAnsi="Arial Narrow"/>
                <w:sz w:val="20"/>
                <w:szCs w:val="20"/>
              </w:rPr>
              <w:t xml:space="preserve"> </w:t>
            </w:r>
          </w:p>
          <w:p w14:paraId="356EECB7" w14:textId="77777777" w:rsidR="002A2CE0" w:rsidRPr="009000B6" w:rsidRDefault="002A2CE0" w:rsidP="0046761E">
            <w:pPr>
              <w:pStyle w:val="ListParagraph"/>
              <w:numPr>
                <w:ilvl w:val="2"/>
                <w:numId w:val="13"/>
              </w:numPr>
              <w:spacing w:after="0" w:line="276" w:lineRule="auto"/>
              <w:ind w:left="1797" w:hanging="357"/>
              <w:contextualSpacing/>
              <w:jc w:val="both"/>
              <w:rPr>
                <w:rFonts w:ascii="Arial Narrow" w:hAnsi="Arial Narrow"/>
                <w:sz w:val="20"/>
                <w:szCs w:val="20"/>
              </w:rPr>
            </w:pPr>
            <w:r w:rsidRPr="009000B6">
              <w:rPr>
                <w:rFonts w:ascii="Arial Narrow" w:hAnsi="Arial Narrow"/>
                <w:sz w:val="20"/>
                <w:szCs w:val="20"/>
              </w:rPr>
              <w:t xml:space="preserve">likelihood of compromised </w:t>
            </w:r>
            <w:proofErr w:type="gramStart"/>
            <w:r w:rsidRPr="009000B6">
              <w:rPr>
                <w:rFonts w:ascii="Arial Narrow" w:hAnsi="Arial Narrow"/>
                <w:sz w:val="20"/>
                <w:szCs w:val="20"/>
              </w:rPr>
              <w:t>adherence;</w:t>
            </w:r>
            <w:proofErr w:type="gramEnd"/>
            <w:r w:rsidRPr="009000B6">
              <w:rPr>
                <w:rFonts w:ascii="Arial Narrow" w:hAnsi="Arial Narrow"/>
                <w:sz w:val="20"/>
                <w:szCs w:val="20"/>
              </w:rPr>
              <w:t xml:space="preserve"> </w:t>
            </w:r>
          </w:p>
          <w:p w14:paraId="7B7BFBA6" w14:textId="77777777" w:rsidR="002A2CE0" w:rsidRPr="009000B6" w:rsidRDefault="002A2CE0" w:rsidP="0046761E">
            <w:pPr>
              <w:pStyle w:val="ListParagraph"/>
              <w:numPr>
                <w:ilvl w:val="2"/>
                <w:numId w:val="13"/>
              </w:numPr>
              <w:spacing w:after="0" w:line="276" w:lineRule="auto"/>
              <w:ind w:left="1797" w:hanging="357"/>
              <w:contextualSpacing/>
              <w:jc w:val="both"/>
              <w:rPr>
                <w:rFonts w:ascii="Arial Narrow" w:hAnsi="Arial Narrow"/>
                <w:sz w:val="20"/>
                <w:szCs w:val="20"/>
              </w:rPr>
            </w:pPr>
            <w:r w:rsidRPr="009000B6">
              <w:rPr>
                <w:rFonts w:ascii="Arial Narrow" w:hAnsi="Arial Narrow"/>
                <w:sz w:val="20"/>
                <w:szCs w:val="20"/>
              </w:rPr>
              <w:t xml:space="preserve">new therapeutic </w:t>
            </w:r>
            <w:proofErr w:type="gramStart"/>
            <w:r w:rsidRPr="009000B6">
              <w:rPr>
                <w:rFonts w:ascii="Arial Narrow" w:hAnsi="Arial Narrow"/>
                <w:sz w:val="20"/>
                <w:szCs w:val="20"/>
              </w:rPr>
              <w:t>goals;</w:t>
            </w:r>
            <w:proofErr w:type="gramEnd"/>
            <w:r w:rsidRPr="009000B6">
              <w:rPr>
                <w:rFonts w:ascii="Arial Narrow" w:hAnsi="Arial Narrow"/>
                <w:sz w:val="20"/>
                <w:szCs w:val="20"/>
              </w:rPr>
              <w:t xml:space="preserve"> </w:t>
            </w:r>
          </w:p>
          <w:p w14:paraId="5E7200F8" w14:textId="77777777" w:rsidR="002A2CE0" w:rsidRDefault="002A2CE0" w:rsidP="0046761E">
            <w:pPr>
              <w:pStyle w:val="ListParagraph"/>
              <w:numPr>
                <w:ilvl w:val="2"/>
                <w:numId w:val="13"/>
              </w:numPr>
              <w:spacing w:after="0" w:line="276" w:lineRule="auto"/>
              <w:ind w:left="1797" w:hanging="357"/>
              <w:contextualSpacing/>
              <w:jc w:val="both"/>
              <w:rPr>
                <w:rFonts w:ascii="Arial Narrow" w:hAnsi="Arial Narrow"/>
                <w:sz w:val="20"/>
                <w:szCs w:val="20"/>
              </w:rPr>
            </w:pPr>
            <w:r w:rsidRPr="009000B6">
              <w:rPr>
                <w:rFonts w:ascii="Arial Narrow" w:hAnsi="Arial Narrow"/>
                <w:sz w:val="20"/>
                <w:szCs w:val="20"/>
              </w:rPr>
              <w:t>potentially incomplete understanding of medication use; or</w:t>
            </w:r>
          </w:p>
          <w:p w14:paraId="569C1910" w14:textId="714929EE" w:rsidR="002A2CE0" w:rsidRDefault="002A2CE0" w:rsidP="0046761E">
            <w:pPr>
              <w:pStyle w:val="ListParagraph"/>
              <w:numPr>
                <w:ilvl w:val="2"/>
                <w:numId w:val="13"/>
              </w:numPr>
              <w:spacing w:after="0" w:line="276" w:lineRule="auto"/>
              <w:ind w:left="1797" w:hanging="357"/>
              <w:contextualSpacing/>
              <w:jc w:val="both"/>
              <w:rPr>
                <w:rFonts w:ascii="Arial Narrow" w:hAnsi="Arial Narrow"/>
                <w:sz w:val="20"/>
                <w:szCs w:val="20"/>
              </w:rPr>
            </w:pPr>
            <w:r w:rsidRPr="009000B6">
              <w:rPr>
                <w:rFonts w:ascii="Arial Narrow" w:hAnsi="Arial Narrow"/>
                <w:sz w:val="20"/>
                <w:szCs w:val="20"/>
              </w:rPr>
              <w:t>failure to respond to treatment in an expected way</w:t>
            </w:r>
          </w:p>
          <w:p w14:paraId="1EDA78E3" w14:textId="3E5C65D2" w:rsidR="007B7D01" w:rsidRPr="0029444E" w:rsidRDefault="007B7D01" w:rsidP="0029444E">
            <w:pPr>
              <w:tabs>
                <w:tab w:val="left" w:pos="6043"/>
              </w:tabs>
            </w:pPr>
            <w:r>
              <w:lastRenderedPageBreak/>
              <w:tab/>
            </w:r>
          </w:p>
          <w:p w14:paraId="3D7A5507" w14:textId="77777777" w:rsidR="002A2CE0" w:rsidRDefault="002A2CE0" w:rsidP="0046761E">
            <w:pPr>
              <w:pStyle w:val="Tabletext1"/>
              <w:numPr>
                <w:ilvl w:val="0"/>
                <w:numId w:val="18"/>
              </w:numPr>
            </w:pPr>
            <w:r>
              <w:t>following assessment and submission of the medication management review by the pharmacist, develops a medication plan in consultation with the consumer, including the AHW, and family member or carer as appropriate, within 2 weeks of receiving the medication review; and</w:t>
            </w:r>
          </w:p>
          <w:p w14:paraId="191CBBB2" w14:textId="77777777" w:rsidR="002A2CE0" w:rsidRDefault="002A2CE0" w:rsidP="0046761E">
            <w:pPr>
              <w:pStyle w:val="Tabletext1"/>
              <w:numPr>
                <w:ilvl w:val="0"/>
                <w:numId w:val="18"/>
              </w:numPr>
            </w:pPr>
            <w:r>
              <w:t xml:space="preserve">submits the medication plan to the pharmacist who undertook the medication review, with suggestions for further follow up as deemed </w:t>
            </w:r>
            <w:proofErr w:type="gramStart"/>
            <w:r>
              <w:t>appropriate;</w:t>
            </w:r>
            <w:proofErr w:type="gramEnd"/>
            <w:r>
              <w:t xml:space="preserve"> </w:t>
            </w:r>
          </w:p>
          <w:p w14:paraId="7E596072" w14:textId="77777777" w:rsidR="002A2CE0" w:rsidRDefault="002A2CE0" w:rsidP="0046761E">
            <w:pPr>
              <w:pStyle w:val="Tabletext1"/>
              <w:numPr>
                <w:ilvl w:val="0"/>
                <w:numId w:val="18"/>
              </w:numPr>
            </w:pPr>
            <w:r>
              <w:t xml:space="preserve">reviews any documented follow-up actions submitted by the pharmacist (up to 2 interactions in the subsequent </w:t>
            </w:r>
            <w:proofErr w:type="gramStart"/>
            <w:r>
              <w:t>12 month</w:t>
            </w:r>
            <w:proofErr w:type="gramEnd"/>
            <w:r>
              <w:t xml:space="preserve"> period) and updates the medication plan as required. </w:t>
            </w:r>
          </w:p>
          <w:p w14:paraId="45D5EBE0" w14:textId="77777777" w:rsidR="002A2CE0" w:rsidRDefault="002A2CE0" w:rsidP="0046761E">
            <w:pPr>
              <w:pStyle w:val="Tabletext1"/>
              <w:rPr>
                <w:highlight w:val="yellow"/>
              </w:rPr>
            </w:pPr>
          </w:p>
          <w:p w14:paraId="3AC6D0F5" w14:textId="5FEC3302" w:rsidR="002A2CE0" w:rsidRDefault="002A2CE0" w:rsidP="0046761E">
            <w:pPr>
              <w:pStyle w:val="Tabletext1"/>
            </w:pPr>
            <w:r>
              <w:t xml:space="preserve">For any </w:t>
            </w:r>
            <w:proofErr w:type="gramStart"/>
            <w:r>
              <w:t>particular consumer</w:t>
            </w:r>
            <w:proofErr w:type="gramEnd"/>
            <w:r>
              <w:t xml:space="preserve"> – applicable not more than once in each </w:t>
            </w:r>
            <w:r w:rsidR="00513446">
              <w:t>12-month</w:t>
            </w:r>
            <w:r>
              <w:t xml:space="preserve"> period, except if there has been a significant change in the consumer’s condition or medication regimen requiring a new medication plan. Ineligible if a Domiciliary Medication Management Review (DMMR), Residential Medication Management Review (RMMR), or MedsCheck service has been provided in the previous 12 months.  </w:t>
            </w:r>
          </w:p>
          <w:p w14:paraId="784B2603" w14:textId="77777777" w:rsidR="002A2CE0" w:rsidRDefault="002A2CE0" w:rsidP="0046761E">
            <w:pPr>
              <w:pStyle w:val="Tabletext1"/>
            </w:pPr>
          </w:p>
          <w:p w14:paraId="75FE2737" w14:textId="36F3011A" w:rsidR="002A2CE0" w:rsidRPr="009000B6" w:rsidDel="00A134DA" w:rsidRDefault="002A2CE0" w:rsidP="0046761E">
            <w:pPr>
              <w:pStyle w:val="Tabletext1"/>
            </w:pPr>
            <w:r w:rsidRPr="001B0EBD">
              <w:rPr>
                <w:b/>
                <w:bCs/>
              </w:rPr>
              <w:t>Fee</w:t>
            </w:r>
            <w:r w:rsidRPr="001B0EBD">
              <w:t xml:space="preserve">: $ </w:t>
            </w:r>
            <w:proofErr w:type="gramStart"/>
            <w:r w:rsidRPr="001B0EBD">
              <w:t xml:space="preserve">75.05  </w:t>
            </w:r>
            <w:r w:rsidRPr="001B0EBD">
              <w:rPr>
                <w:b/>
                <w:bCs/>
              </w:rPr>
              <w:t>Benefit</w:t>
            </w:r>
            <w:proofErr w:type="gramEnd"/>
            <w:r w:rsidRPr="001B0EBD">
              <w:rPr>
                <w:b/>
                <w:bCs/>
              </w:rPr>
              <w:t>:</w:t>
            </w:r>
            <w:r w:rsidRPr="001B0EBD">
              <w:t xml:space="preserve"> 100% = $75.05</w:t>
            </w:r>
          </w:p>
        </w:tc>
      </w:tr>
      <w:tr w:rsidR="002A2CE0" w:rsidRPr="00183E4D" w:rsidDel="00A134DA" w14:paraId="0E845D44" w14:textId="77777777" w:rsidTr="0046761E">
        <w:tc>
          <w:tcPr>
            <w:tcW w:w="8885" w:type="dxa"/>
          </w:tcPr>
          <w:p w14:paraId="76EA1DC1" w14:textId="77777777" w:rsidR="002A2CE0" w:rsidRPr="00990CD4" w:rsidDel="00A134DA" w:rsidRDefault="002A2CE0" w:rsidP="0046761E">
            <w:pPr>
              <w:pStyle w:val="Tabletext1"/>
              <w:numPr>
                <w:ilvl w:val="0"/>
                <w:numId w:val="28"/>
              </w:numPr>
              <w:ind w:left="316" w:hanging="283"/>
              <w:rPr>
                <w:b/>
                <w:bCs/>
              </w:rPr>
            </w:pPr>
            <w:r w:rsidRPr="00990CD4">
              <w:rPr>
                <w:b/>
                <w:bCs/>
              </w:rPr>
              <w:lastRenderedPageBreak/>
              <w:t>Additional block funding to support implementation in Years 1-5</w:t>
            </w:r>
          </w:p>
        </w:tc>
      </w:tr>
      <w:tr w:rsidR="002A2CE0" w:rsidRPr="00183E4D" w:rsidDel="00A134DA" w14:paraId="5C9B6F4F" w14:textId="77777777" w:rsidTr="0046761E">
        <w:tc>
          <w:tcPr>
            <w:tcW w:w="8885" w:type="dxa"/>
          </w:tcPr>
          <w:p w14:paraId="06FABFC4" w14:textId="77777777" w:rsidR="002A2CE0" w:rsidRPr="00183E4D" w:rsidDel="00A134DA" w:rsidRDefault="002A2CE0" w:rsidP="0046761E">
            <w:pPr>
              <w:pStyle w:val="Tabletext1"/>
            </w:pPr>
            <w:r>
              <w:t>Aboriginal and Torres Strait Islander medication review service (</w:t>
            </w:r>
            <w:proofErr w:type="spellStart"/>
            <w:r>
              <w:t>IMeRSe</w:t>
            </w:r>
            <w:proofErr w:type="spellEnd"/>
            <w:r>
              <w:t>)</w:t>
            </w:r>
          </w:p>
        </w:tc>
      </w:tr>
      <w:tr w:rsidR="002A2CE0" w:rsidRPr="00183E4D" w:rsidDel="00A134DA" w14:paraId="4E24E270" w14:textId="77777777" w:rsidTr="0046761E">
        <w:tc>
          <w:tcPr>
            <w:tcW w:w="8885" w:type="dxa"/>
          </w:tcPr>
          <w:p w14:paraId="520A10E0" w14:textId="77777777" w:rsidR="002A2CE0" w:rsidRDefault="002A2CE0" w:rsidP="0046761E">
            <w:pPr>
              <w:pStyle w:val="Tabletext1"/>
            </w:pPr>
            <w:r>
              <w:t xml:space="preserve">To support the implementation of </w:t>
            </w:r>
            <w:proofErr w:type="spellStart"/>
            <w:r>
              <w:t>IMeRSe</w:t>
            </w:r>
            <w:proofErr w:type="spellEnd"/>
            <w:r>
              <w:t xml:space="preserve"> for Years 1-5, the following services will be provided, subject to the identification of a suitable provider: </w:t>
            </w:r>
          </w:p>
          <w:p w14:paraId="67363FC8" w14:textId="77777777" w:rsidR="002A2CE0" w:rsidRDefault="002A2CE0" w:rsidP="0046761E">
            <w:pPr>
              <w:pStyle w:val="Tabletext1"/>
              <w:numPr>
                <w:ilvl w:val="0"/>
                <w:numId w:val="31"/>
              </w:numPr>
            </w:pPr>
            <w:r>
              <w:t xml:space="preserve">provide cultural capability training for pharmacists, pharmacy staff and mainstream health clinic staff involved in the delivery of </w:t>
            </w:r>
            <w:proofErr w:type="spellStart"/>
            <w:r>
              <w:t>IMeRSe</w:t>
            </w:r>
            <w:proofErr w:type="spellEnd"/>
            <w:r>
              <w:t>, consisting of:</w:t>
            </w:r>
          </w:p>
          <w:p w14:paraId="2739D6C4" w14:textId="77777777" w:rsidR="002A2CE0" w:rsidRDefault="002A2CE0" w:rsidP="0046761E">
            <w:pPr>
              <w:pStyle w:val="Tabletext1"/>
              <w:numPr>
                <w:ilvl w:val="0"/>
                <w:numId w:val="32"/>
              </w:numPr>
            </w:pPr>
            <w:r>
              <w:t>an online training module (already developed and accredited); and</w:t>
            </w:r>
          </w:p>
          <w:p w14:paraId="70F0E163" w14:textId="77777777" w:rsidR="002A2CE0" w:rsidRDefault="002A2CE0" w:rsidP="0046761E">
            <w:pPr>
              <w:pStyle w:val="Tabletext1"/>
              <w:numPr>
                <w:ilvl w:val="0"/>
                <w:numId w:val="32"/>
              </w:numPr>
            </w:pPr>
            <w:r>
              <w:t xml:space="preserve">a face-to-face or video-conference interactive session with an appropriate provider of cross-cultural </w:t>
            </w:r>
            <w:proofErr w:type="gramStart"/>
            <w:r>
              <w:t>training;</w:t>
            </w:r>
            <w:proofErr w:type="gramEnd"/>
            <w:r>
              <w:t xml:space="preserve"> </w:t>
            </w:r>
          </w:p>
          <w:p w14:paraId="6403780B" w14:textId="77777777" w:rsidR="002A2CE0" w:rsidRPr="008A58CA" w:rsidRDefault="002A2CE0" w:rsidP="0046761E">
            <w:pPr>
              <w:pStyle w:val="Tabletext1"/>
              <w:numPr>
                <w:ilvl w:val="0"/>
                <w:numId w:val="33"/>
              </w:numPr>
            </w:pPr>
            <w:r>
              <w:t xml:space="preserve">an ongoing support line for cultural mentoring of any health practitioners or support staff involved in delivering the </w:t>
            </w:r>
            <w:proofErr w:type="spellStart"/>
            <w:r>
              <w:t>IMeRSe</w:t>
            </w:r>
            <w:proofErr w:type="spellEnd"/>
            <w:r>
              <w:t xml:space="preserve"> service, to be provided by a suitably qualified Aboriginal and Torres Strait Islander </w:t>
            </w:r>
            <w:r w:rsidRPr="008A58CA">
              <w:t>person/</w:t>
            </w:r>
            <w:proofErr w:type="gramStart"/>
            <w:r w:rsidRPr="008A58CA">
              <w:t>people;</w:t>
            </w:r>
            <w:proofErr w:type="gramEnd"/>
          </w:p>
          <w:p w14:paraId="7421192E" w14:textId="77777777" w:rsidR="002A2CE0" w:rsidRDefault="002A2CE0" w:rsidP="0046761E">
            <w:pPr>
              <w:pStyle w:val="Tabletext1"/>
              <w:numPr>
                <w:ilvl w:val="0"/>
                <w:numId w:val="33"/>
              </w:numPr>
            </w:pPr>
            <w:r>
              <w:t>a</w:t>
            </w:r>
            <w:r w:rsidRPr="008A58CA">
              <w:t xml:space="preserve">n ongoing clinical support line for pharmacists, provided by a clinical pharmacist with extensive medication review </w:t>
            </w:r>
            <w:proofErr w:type="gramStart"/>
            <w:r w:rsidRPr="008A58CA">
              <w:t>expertise;</w:t>
            </w:r>
            <w:proofErr w:type="gramEnd"/>
          </w:p>
          <w:p w14:paraId="34CFFC16" w14:textId="77777777" w:rsidR="002A2CE0" w:rsidRPr="008A58CA" w:rsidRDefault="002A2CE0" w:rsidP="0046761E">
            <w:pPr>
              <w:pStyle w:val="Tabletext1"/>
              <w:numPr>
                <w:ilvl w:val="0"/>
                <w:numId w:val="33"/>
              </w:numPr>
            </w:pPr>
            <w:r>
              <w:t xml:space="preserve">development and moderation of a secure chat line for pharmacists and other health professionals involved in the delivery of </w:t>
            </w:r>
            <w:proofErr w:type="spellStart"/>
            <w:proofErr w:type="gramStart"/>
            <w:r>
              <w:t>IMeRSe</w:t>
            </w:r>
            <w:proofErr w:type="spellEnd"/>
            <w:r>
              <w:t>;</w:t>
            </w:r>
            <w:proofErr w:type="gramEnd"/>
            <w:r>
              <w:t xml:space="preserve"> </w:t>
            </w:r>
          </w:p>
          <w:p w14:paraId="2A06B3EE" w14:textId="77777777" w:rsidR="002A2CE0" w:rsidRPr="008A58CA" w:rsidRDefault="002A2CE0" w:rsidP="0046761E">
            <w:pPr>
              <w:pStyle w:val="Tabletext1"/>
              <w:numPr>
                <w:ilvl w:val="0"/>
                <w:numId w:val="33"/>
              </w:numPr>
            </w:pPr>
            <w:r>
              <w:t>d</w:t>
            </w:r>
            <w:r w:rsidRPr="008A58CA">
              <w:t xml:space="preserve">ocumentation of all services provided for the purpose of external evaluation. </w:t>
            </w:r>
          </w:p>
          <w:p w14:paraId="5E31866E" w14:textId="77777777" w:rsidR="002A2CE0" w:rsidRPr="008A58CA" w:rsidRDefault="002A2CE0" w:rsidP="0046761E">
            <w:pPr>
              <w:pStyle w:val="Tabletext1"/>
            </w:pPr>
          </w:p>
          <w:p w14:paraId="2CFF030D" w14:textId="528CDEFC" w:rsidR="002A2CE0" w:rsidRPr="009000B6" w:rsidDel="00A134DA" w:rsidRDefault="002A2CE0" w:rsidP="0046761E">
            <w:pPr>
              <w:pStyle w:val="Tabletext1"/>
            </w:pPr>
            <w:r w:rsidRPr="00A34618">
              <w:rPr>
                <w:b/>
                <w:bCs/>
              </w:rPr>
              <w:t>Total</w:t>
            </w:r>
            <w:r w:rsidRPr="00A34618">
              <w:t xml:space="preserve">: </w:t>
            </w:r>
            <w:r w:rsidR="007B7D01">
              <w:t>[</w:t>
            </w:r>
            <w:r w:rsidR="007B7D01" w:rsidRPr="00934777">
              <w:rPr>
                <w:i/>
                <w:iCs/>
              </w:rPr>
              <w:t>redacted</w:t>
            </w:r>
            <w:r w:rsidR="007B7D01">
              <w:t>]</w:t>
            </w:r>
            <w:r w:rsidRPr="00A34618">
              <w:t xml:space="preserve"> (</w:t>
            </w:r>
            <w:r w:rsidR="007B7D01">
              <w:t>[</w:t>
            </w:r>
            <w:r w:rsidR="007B7D01" w:rsidRPr="00934777">
              <w:rPr>
                <w:i/>
                <w:iCs/>
              </w:rPr>
              <w:t>redacted</w:t>
            </w:r>
            <w:r w:rsidR="007B7D01">
              <w:t>]</w:t>
            </w:r>
            <w:r w:rsidRPr="00A34618">
              <w:t xml:space="preserve"> per year for 5 years)</w:t>
            </w:r>
          </w:p>
        </w:tc>
      </w:tr>
    </w:tbl>
    <w:p w14:paraId="780FBEEC" w14:textId="77777777" w:rsidR="002A2CE0" w:rsidRDefault="002A2CE0" w:rsidP="002A2CE0">
      <w:pPr>
        <w:pStyle w:val="Heading3"/>
        <w:spacing w:line="276" w:lineRule="auto"/>
      </w:pPr>
    </w:p>
    <w:p w14:paraId="0F1C5494" w14:textId="77777777" w:rsidR="002A2CE0" w:rsidRDefault="002A2CE0" w:rsidP="002A2CE0">
      <w:pPr>
        <w:spacing w:after="160" w:line="259" w:lineRule="auto"/>
        <w:rPr>
          <w:b/>
          <w:smallCaps/>
          <w:sz w:val="24"/>
          <w:szCs w:val="24"/>
        </w:rPr>
      </w:pPr>
      <w:r>
        <w:br w:type="page"/>
      </w:r>
    </w:p>
    <w:p w14:paraId="4CE57A85" w14:textId="77777777" w:rsidR="002A2CE0" w:rsidRDefault="002A2CE0" w:rsidP="002A2CE0">
      <w:pPr>
        <w:pStyle w:val="Heading3"/>
        <w:spacing w:line="276" w:lineRule="auto"/>
      </w:pPr>
      <w:bookmarkStart w:id="10" w:name="_Toc59194342"/>
      <w:r>
        <w:lastRenderedPageBreak/>
        <w:t>Population</w:t>
      </w:r>
      <w:bookmarkEnd w:id="10"/>
    </w:p>
    <w:p w14:paraId="1A9A2878" w14:textId="77777777" w:rsidR="002A2CE0" w:rsidRPr="00497C91" w:rsidRDefault="002A2CE0" w:rsidP="002A2CE0">
      <w:pPr>
        <w:spacing w:after="120" w:line="276" w:lineRule="auto"/>
        <w:rPr>
          <w:b/>
          <w:smallCaps/>
          <w:lang w:val="en-GB"/>
        </w:rPr>
      </w:pPr>
      <w:r w:rsidRPr="00497C91">
        <w:rPr>
          <w:lang w:val="en-GB"/>
        </w:rPr>
        <w:t>The proposed population is:</w:t>
      </w:r>
    </w:p>
    <w:p w14:paraId="270F4981" w14:textId="77777777" w:rsidR="002A2CE0" w:rsidRDefault="002A2CE0" w:rsidP="002A2CE0">
      <w:pPr>
        <w:pStyle w:val="ListParagraph"/>
        <w:numPr>
          <w:ilvl w:val="0"/>
          <w:numId w:val="35"/>
        </w:numPr>
        <w:spacing w:after="120" w:line="276" w:lineRule="auto"/>
        <w:ind w:left="567" w:hanging="567"/>
        <w:contextualSpacing/>
        <w:jc w:val="both"/>
        <w:rPr>
          <w:rFonts w:cs="Calibri"/>
          <w:lang w:val="en-GB"/>
        </w:rPr>
      </w:pPr>
      <w:r>
        <w:rPr>
          <w:rFonts w:cs="Calibri"/>
          <w:lang w:val="en-GB"/>
        </w:rPr>
        <w:t xml:space="preserve">self-identified Aboriginal or Torres Strait Islander </w:t>
      </w:r>
      <w:proofErr w:type="gramStart"/>
      <w:r>
        <w:rPr>
          <w:rFonts w:cs="Calibri"/>
          <w:lang w:val="en-GB"/>
        </w:rPr>
        <w:t>Australians;</w:t>
      </w:r>
      <w:proofErr w:type="gramEnd"/>
    </w:p>
    <w:p w14:paraId="10839F66" w14:textId="77777777" w:rsidR="002A2CE0" w:rsidRPr="00D05B7F" w:rsidRDefault="002A2CE0" w:rsidP="002A2CE0">
      <w:pPr>
        <w:pStyle w:val="ListParagraph"/>
        <w:numPr>
          <w:ilvl w:val="0"/>
          <w:numId w:val="35"/>
        </w:numPr>
        <w:spacing w:after="120" w:line="276" w:lineRule="auto"/>
        <w:ind w:left="567" w:hanging="567"/>
        <w:contextualSpacing/>
        <w:jc w:val="both"/>
        <w:rPr>
          <w:rFonts w:cs="Calibri"/>
          <w:lang w:val="en-GB"/>
        </w:rPr>
      </w:pPr>
      <w:r w:rsidRPr="006B63DC">
        <w:rPr>
          <w:rFonts w:cs="Calibri"/>
          <w:lang w:val="en-GB"/>
        </w:rPr>
        <w:t xml:space="preserve">aged 18 years and over and living in the </w:t>
      </w:r>
      <w:proofErr w:type="gramStart"/>
      <w:r w:rsidRPr="006B63DC">
        <w:rPr>
          <w:rFonts w:cs="Calibri"/>
          <w:lang w:val="en-GB"/>
        </w:rPr>
        <w:t>community;</w:t>
      </w:r>
      <w:proofErr w:type="gramEnd"/>
      <w:r w:rsidRPr="006B63DC">
        <w:rPr>
          <w:rFonts w:cs="Calibri"/>
          <w:lang w:val="en-GB"/>
        </w:rPr>
        <w:t xml:space="preserve"> </w:t>
      </w:r>
    </w:p>
    <w:p w14:paraId="2486D51D" w14:textId="77777777" w:rsidR="002A2CE0" w:rsidRPr="006B63DC" w:rsidRDefault="002A2CE0" w:rsidP="002A2CE0">
      <w:pPr>
        <w:pStyle w:val="ListParagraph"/>
        <w:numPr>
          <w:ilvl w:val="0"/>
          <w:numId w:val="35"/>
        </w:numPr>
        <w:spacing w:after="120" w:line="276" w:lineRule="auto"/>
        <w:ind w:left="567" w:hanging="567"/>
        <w:contextualSpacing/>
        <w:jc w:val="both"/>
        <w:rPr>
          <w:rFonts w:cs="Calibri"/>
          <w:lang w:val="en-GB"/>
        </w:rPr>
      </w:pPr>
      <w:r w:rsidRPr="006B63DC">
        <w:rPr>
          <w:rFonts w:cs="Calibri"/>
          <w:lang w:val="en-GB"/>
        </w:rPr>
        <w:t xml:space="preserve">at risk of </w:t>
      </w:r>
      <w:r>
        <w:rPr>
          <w:rFonts w:cs="Calibri"/>
          <w:noProof/>
          <w:lang w:val="en-GB"/>
        </w:rPr>
        <w:t>medication-related problems</w:t>
      </w:r>
      <w:r w:rsidRPr="006B63DC">
        <w:rPr>
          <w:rFonts w:cs="Calibri"/>
          <w:lang w:val="en-GB"/>
        </w:rPr>
        <w:t xml:space="preserve"> (as identified by any treating health professional, family member or self-identified) including but not limited to: </w:t>
      </w:r>
    </w:p>
    <w:p w14:paraId="63AA70D5" w14:textId="77777777" w:rsidR="002A2CE0" w:rsidRPr="00D05B7F" w:rsidRDefault="002A2CE0" w:rsidP="002A2CE0">
      <w:pPr>
        <w:pStyle w:val="ListParagraph"/>
        <w:numPr>
          <w:ilvl w:val="1"/>
          <w:numId w:val="36"/>
        </w:numPr>
        <w:spacing w:after="0" w:line="276" w:lineRule="auto"/>
        <w:ind w:left="1276" w:hanging="283"/>
        <w:rPr>
          <w:rFonts w:cs="Calibri"/>
        </w:rPr>
      </w:pPr>
      <w:r w:rsidRPr="00D05B7F">
        <w:rPr>
          <w:rFonts w:cs="Calibri"/>
        </w:rPr>
        <w:t>being diagnosed with at least one chronic condition and/or is pregnant and /or is within 2 years post</w:t>
      </w:r>
      <w:r>
        <w:rPr>
          <w:rFonts w:cs="Calibri"/>
        </w:rPr>
        <w:t>-</w:t>
      </w:r>
      <w:proofErr w:type="gramStart"/>
      <w:r w:rsidRPr="00D05B7F">
        <w:rPr>
          <w:rFonts w:cs="Calibri"/>
        </w:rPr>
        <w:t>partum;</w:t>
      </w:r>
      <w:proofErr w:type="gramEnd"/>
      <w:r w:rsidRPr="00D05B7F">
        <w:rPr>
          <w:rFonts w:cs="Calibri"/>
        </w:rPr>
        <w:t xml:space="preserve"> </w:t>
      </w:r>
    </w:p>
    <w:p w14:paraId="1CB7772B" w14:textId="77777777" w:rsidR="002A2CE0" w:rsidRPr="006B63DC" w:rsidRDefault="002A2CE0" w:rsidP="002A2CE0">
      <w:pPr>
        <w:pStyle w:val="ListParagraph"/>
        <w:numPr>
          <w:ilvl w:val="1"/>
          <w:numId w:val="36"/>
        </w:numPr>
        <w:spacing w:after="0" w:line="276" w:lineRule="auto"/>
        <w:ind w:left="1276" w:hanging="283"/>
        <w:contextualSpacing/>
        <w:jc w:val="both"/>
        <w:rPr>
          <w:rFonts w:cs="Calibri"/>
          <w:lang w:val="en-GB"/>
        </w:rPr>
      </w:pPr>
      <w:r w:rsidRPr="006B63DC">
        <w:rPr>
          <w:rFonts w:cs="Calibri"/>
          <w:lang w:val="en-GB"/>
        </w:rPr>
        <w:t xml:space="preserve">instability of health status </w:t>
      </w:r>
      <w:r w:rsidRPr="006B63DC">
        <w:rPr>
          <w:rFonts w:cs="Calibri"/>
          <w:noProof/>
          <w:lang w:val="en-GB"/>
        </w:rPr>
        <w:t>and/or</w:t>
      </w:r>
      <w:r w:rsidRPr="006B63DC">
        <w:rPr>
          <w:rFonts w:cs="Calibri"/>
          <w:lang w:val="en-GB"/>
        </w:rPr>
        <w:t xml:space="preserve"> medication </w:t>
      </w:r>
      <w:proofErr w:type="gramStart"/>
      <w:r w:rsidRPr="006B63DC">
        <w:rPr>
          <w:rFonts w:cs="Calibri"/>
          <w:lang w:val="en-GB"/>
        </w:rPr>
        <w:t>therapy;</w:t>
      </w:r>
      <w:proofErr w:type="gramEnd"/>
      <w:r w:rsidRPr="006B63DC">
        <w:rPr>
          <w:rFonts w:cs="Calibri"/>
          <w:lang w:val="en-GB"/>
        </w:rPr>
        <w:t xml:space="preserve"> </w:t>
      </w:r>
    </w:p>
    <w:p w14:paraId="456373A7" w14:textId="77777777" w:rsidR="002A2CE0" w:rsidRPr="006B63DC" w:rsidRDefault="002A2CE0" w:rsidP="002A2CE0">
      <w:pPr>
        <w:pStyle w:val="ListParagraph"/>
        <w:numPr>
          <w:ilvl w:val="1"/>
          <w:numId w:val="36"/>
        </w:numPr>
        <w:spacing w:after="120" w:line="276" w:lineRule="auto"/>
        <w:ind w:left="1276" w:hanging="283"/>
        <w:contextualSpacing/>
        <w:jc w:val="both"/>
        <w:rPr>
          <w:rFonts w:cs="Calibri"/>
          <w:lang w:val="en-GB"/>
        </w:rPr>
      </w:pPr>
      <w:r w:rsidRPr="006B63DC">
        <w:rPr>
          <w:rFonts w:cs="Calibri"/>
          <w:lang w:val="en-GB"/>
        </w:rPr>
        <w:t xml:space="preserve">using </w:t>
      </w:r>
      <w:r w:rsidRPr="006B63DC">
        <w:rPr>
          <w:rFonts w:cs="Calibri"/>
          <w:noProof/>
          <w:lang w:val="en-GB"/>
        </w:rPr>
        <w:t>high-risk</w:t>
      </w:r>
      <w:r w:rsidRPr="006B63DC">
        <w:rPr>
          <w:rFonts w:cs="Calibri"/>
          <w:lang w:val="en-GB"/>
        </w:rPr>
        <w:t xml:space="preserve"> medication(s</w:t>
      </w:r>
      <w:proofErr w:type="gramStart"/>
      <w:r w:rsidRPr="006B63DC">
        <w:rPr>
          <w:rFonts w:cs="Calibri"/>
          <w:lang w:val="en-GB"/>
        </w:rPr>
        <w:t>);</w:t>
      </w:r>
      <w:proofErr w:type="gramEnd"/>
      <w:r w:rsidRPr="006B63DC">
        <w:rPr>
          <w:rFonts w:cs="Calibri"/>
          <w:lang w:val="en-GB"/>
        </w:rPr>
        <w:t xml:space="preserve"> </w:t>
      </w:r>
    </w:p>
    <w:p w14:paraId="1358AF01" w14:textId="77777777" w:rsidR="002A2CE0" w:rsidRPr="00D23573" w:rsidRDefault="002A2CE0" w:rsidP="002A2CE0">
      <w:pPr>
        <w:pStyle w:val="ListParagraph"/>
        <w:numPr>
          <w:ilvl w:val="1"/>
          <w:numId w:val="36"/>
        </w:numPr>
        <w:spacing w:after="120" w:line="276" w:lineRule="auto"/>
        <w:ind w:left="1276" w:hanging="283"/>
        <w:contextualSpacing/>
        <w:jc w:val="both"/>
        <w:rPr>
          <w:rFonts w:cs="Calibri"/>
          <w:lang w:val="en-GB"/>
        </w:rPr>
      </w:pPr>
      <w:r w:rsidRPr="00D23573">
        <w:rPr>
          <w:rFonts w:cs="Calibri"/>
          <w:lang w:val="en-GB"/>
        </w:rPr>
        <w:t xml:space="preserve">likelihood of compromised </w:t>
      </w:r>
      <w:proofErr w:type="gramStart"/>
      <w:r w:rsidRPr="00D23573">
        <w:rPr>
          <w:rFonts w:cs="Calibri"/>
          <w:lang w:val="en-GB"/>
        </w:rPr>
        <w:t>adherence;</w:t>
      </w:r>
      <w:proofErr w:type="gramEnd"/>
      <w:r w:rsidRPr="00D23573">
        <w:rPr>
          <w:rFonts w:cs="Calibri"/>
          <w:lang w:val="en-GB"/>
        </w:rPr>
        <w:t xml:space="preserve"> </w:t>
      </w:r>
    </w:p>
    <w:p w14:paraId="4C3E6AF7" w14:textId="77777777" w:rsidR="002A2CE0" w:rsidRPr="00D23573" w:rsidRDefault="002A2CE0" w:rsidP="002A2CE0">
      <w:pPr>
        <w:pStyle w:val="ListParagraph"/>
        <w:numPr>
          <w:ilvl w:val="1"/>
          <w:numId w:val="36"/>
        </w:numPr>
        <w:spacing w:after="120" w:line="276" w:lineRule="auto"/>
        <w:ind w:left="1276" w:hanging="283"/>
        <w:contextualSpacing/>
        <w:jc w:val="both"/>
        <w:rPr>
          <w:rFonts w:cs="Calibri"/>
          <w:lang w:val="en-GB"/>
        </w:rPr>
      </w:pPr>
      <w:r w:rsidRPr="00D23573">
        <w:rPr>
          <w:rFonts w:cs="Calibri"/>
          <w:lang w:val="en-GB"/>
        </w:rPr>
        <w:t xml:space="preserve">new therapeutic </w:t>
      </w:r>
      <w:proofErr w:type="gramStart"/>
      <w:r w:rsidRPr="00D23573">
        <w:rPr>
          <w:rFonts w:cs="Calibri"/>
          <w:lang w:val="en-GB"/>
        </w:rPr>
        <w:t>goals;</w:t>
      </w:r>
      <w:proofErr w:type="gramEnd"/>
      <w:r w:rsidRPr="00D23573">
        <w:rPr>
          <w:rFonts w:cs="Calibri"/>
          <w:lang w:val="en-GB"/>
        </w:rPr>
        <w:t xml:space="preserve"> </w:t>
      </w:r>
    </w:p>
    <w:p w14:paraId="119A6903" w14:textId="77777777" w:rsidR="002A2CE0" w:rsidRPr="00D23573" w:rsidRDefault="002A2CE0" w:rsidP="002A2CE0">
      <w:pPr>
        <w:pStyle w:val="ListParagraph"/>
        <w:numPr>
          <w:ilvl w:val="1"/>
          <w:numId w:val="36"/>
        </w:numPr>
        <w:spacing w:after="120" w:line="276" w:lineRule="auto"/>
        <w:ind w:left="1276" w:hanging="283"/>
        <w:contextualSpacing/>
        <w:jc w:val="both"/>
        <w:rPr>
          <w:rFonts w:cs="Calibri"/>
          <w:lang w:val="en-GB"/>
        </w:rPr>
      </w:pPr>
      <w:r w:rsidRPr="00D23573">
        <w:rPr>
          <w:rFonts w:cs="Calibri"/>
          <w:lang w:val="en-GB"/>
        </w:rPr>
        <w:t>potentially incomplete understanding of medication use; or</w:t>
      </w:r>
    </w:p>
    <w:p w14:paraId="6BBB656A" w14:textId="77777777" w:rsidR="002A2CE0" w:rsidRPr="00D23573" w:rsidRDefault="002A2CE0" w:rsidP="002A2CE0">
      <w:pPr>
        <w:pStyle w:val="ListParagraph"/>
        <w:numPr>
          <w:ilvl w:val="1"/>
          <w:numId w:val="36"/>
        </w:numPr>
        <w:spacing w:line="276" w:lineRule="auto"/>
        <w:ind w:left="1276" w:hanging="283"/>
        <w:jc w:val="both"/>
        <w:rPr>
          <w:rFonts w:cs="Calibri"/>
          <w:lang w:val="en-GB"/>
        </w:rPr>
      </w:pPr>
      <w:r w:rsidRPr="00D23573">
        <w:rPr>
          <w:rFonts w:cs="Calibri"/>
          <w:lang w:val="en-GB"/>
        </w:rPr>
        <w:t>failure to respond to treatment in an expected way.</w:t>
      </w:r>
    </w:p>
    <w:p w14:paraId="0F2E7EBC" w14:textId="77777777" w:rsidR="002A2CE0" w:rsidRDefault="002A2CE0" w:rsidP="002A2CE0">
      <w:pPr>
        <w:spacing w:line="276" w:lineRule="auto"/>
      </w:pPr>
      <w:r w:rsidRPr="00555447">
        <w:t xml:space="preserve">It is proposed that eligible individuals can access </w:t>
      </w:r>
      <w:proofErr w:type="spellStart"/>
      <w:r w:rsidRPr="00555447">
        <w:t>IMeRSe</w:t>
      </w:r>
      <w:proofErr w:type="spellEnd"/>
      <w:r w:rsidRPr="00555447">
        <w:t xml:space="preserve"> </w:t>
      </w:r>
      <w:r>
        <w:t>onc</w:t>
      </w:r>
      <w:r w:rsidRPr="00555447">
        <w:t xml:space="preserve">e per year. </w:t>
      </w:r>
    </w:p>
    <w:p w14:paraId="05C0A314" w14:textId="77777777" w:rsidR="002A2CE0" w:rsidRPr="00555447" w:rsidRDefault="002A2CE0" w:rsidP="002A2CE0">
      <w:pPr>
        <w:spacing w:before="240" w:line="276" w:lineRule="auto"/>
        <w:jc w:val="both"/>
      </w:pPr>
      <w:r w:rsidRPr="00555447">
        <w:t xml:space="preserve">Data from the National Health Survey of Australia was used to estimate the likely prevalent population, based on age, having at least one chronic condition and taking </w:t>
      </w:r>
      <w:r>
        <w:t>five</w:t>
      </w:r>
      <w:r w:rsidRPr="00555447">
        <w:t xml:space="preserve"> or more prescription or complementary medicines. </w:t>
      </w:r>
      <w:r>
        <w:t>This will overestimate the eligible population as the subjective criteria of “being at risk of medication-related problems” cannot robustly be applied. In the submission, the estimated eligible population is 96,</w:t>
      </w:r>
      <w:r w:rsidRPr="00330F8C">
        <w:t xml:space="preserve">597 </w:t>
      </w:r>
      <w:r w:rsidRPr="00513446">
        <w:rPr>
          <w:strike/>
        </w:rPr>
        <w:t>(Table 29)</w:t>
      </w:r>
      <w:r w:rsidRPr="00330F8C">
        <w:t>.</w:t>
      </w:r>
    </w:p>
    <w:p w14:paraId="4A3CF342" w14:textId="77777777" w:rsidR="002A2CE0" w:rsidRPr="00183E4D" w:rsidRDefault="002A2CE0" w:rsidP="002A2CE0">
      <w:pPr>
        <w:pStyle w:val="Heading3"/>
        <w:spacing w:line="276" w:lineRule="auto"/>
      </w:pPr>
      <w:bookmarkStart w:id="11" w:name="_Toc395200744"/>
      <w:bookmarkStart w:id="12" w:name="_Toc59194343"/>
      <w:bookmarkStart w:id="13" w:name="_Toc379118249"/>
      <w:bookmarkStart w:id="14" w:name="_Toc381796433"/>
      <w:bookmarkEnd w:id="5"/>
      <w:bookmarkEnd w:id="6"/>
      <w:bookmarkEnd w:id="7"/>
      <w:r w:rsidRPr="00183E4D">
        <w:t>Comparator Details</w:t>
      </w:r>
      <w:bookmarkEnd w:id="11"/>
      <w:bookmarkEnd w:id="12"/>
      <w:r w:rsidRPr="00183E4D">
        <w:t xml:space="preserve"> </w:t>
      </w:r>
    </w:p>
    <w:p w14:paraId="1F4CFF46" w14:textId="77777777" w:rsidR="002A2CE0" w:rsidRPr="00BA79C8" w:rsidRDefault="002A2CE0" w:rsidP="002A2CE0">
      <w:pPr>
        <w:spacing w:line="276" w:lineRule="auto"/>
        <w:jc w:val="both"/>
      </w:pPr>
      <w:bookmarkStart w:id="15" w:name="_Toc395200745"/>
      <w:r w:rsidRPr="00BA79C8">
        <w:t xml:space="preserve">The comparator is usual care, which </w:t>
      </w:r>
      <w:r>
        <w:t>was</w:t>
      </w:r>
      <w:r w:rsidRPr="00BA79C8">
        <w:t xml:space="preserve"> the comparator ratified for the </w:t>
      </w:r>
      <w:proofErr w:type="spellStart"/>
      <w:r w:rsidRPr="00BA79C8">
        <w:t>IMeRSe</w:t>
      </w:r>
      <w:proofErr w:type="spellEnd"/>
      <w:r w:rsidRPr="00BA79C8">
        <w:t xml:space="preserve"> </w:t>
      </w:r>
      <w:r>
        <w:t xml:space="preserve">Feasibility Study </w:t>
      </w:r>
      <w:r w:rsidRPr="00BA79C8">
        <w:t>protocol by the Trial</w:t>
      </w:r>
      <w:r>
        <w:t>s</w:t>
      </w:r>
      <w:r w:rsidRPr="00BA79C8">
        <w:t xml:space="preserve"> Advisory Group</w:t>
      </w:r>
      <w:r>
        <w:t xml:space="preserve"> (TAG)</w:t>
      </w:r>
      <w:r w:rsidRPr="00BA79C8">
        <w:t>. Usual care can include ad</w:t>
      </w:r>
      <w:r>
        <w:t>-</w:t>
      </w:r>
      <w:r w:rsidRPr="00BA79C8">
        <w:t xml:space="preserve">hoc medication management advice by a range of health practitioners involved in the consumers care, including pharmacists, doctors, nurses and </w:t>
      </w:r>
      <w:r>
        <w:t>AHWs</w:t>
      </w:r>
      <w:r w:rsidRPr="00BA79C8">
        <w:t>. Usual care does not include other formal medication management review services, such as a Domiciliary Medication Management Review (DMMR), Residential Medication Management Review (RMMR), Diabetes MedsCheck or MedsCheck. This was an exclusion criteri</w:t>
      </w:r>
      <w:r>
        <w:t>on</w:t>
      </w:r>
      <w:r w:rsidRPr="00BA79C8">
        <w:t xml:space="preserve"> for participation in the </w:t>
      </w:r>
      <w:proofErr w:type="spellStart"/>
      <w:r w:rsidRPr="00BA79C8">
        <w:t>IMeRSe</w:t>
      </w:r>
      <w:proofErr w:type="spellEnd"/>
      <w:r w:rsidRPr="00BA79C8">
        <w:t xml:space="preserve"> feasibility study</w:t>
      </w:r>
      <w:r>
        <w:t xml:space="preserve"> and is included as a restriction within the relevant item descriptors</w:t>
      </w:r>
      <w:r w:rsidRPr="00BA79C8">
        <w:t xml:space="preserve">. </w:t>
      </w:r>
    </w:p>
    <w:p w14:paraId="67E9E12A" w14:textId="77777777" w:rsidR="002A2CE0" w:rsidRPr="00183E4D" w:rsidRDefault="002A2CE0" w:rsidP="002A2CE0">
      <w:pPr>
        <w:pStyle w:val="Heading3"/>
        <w:spacing w:line="276" w:lineRule="auto"/>
      </w:pPr>
      <w:bookmarkStart w:id="16" w:name="_Toc59194344"/>
      <w:r w:rsidRPr="00183E4D">
        <w:t xml:space="preserve">Clinical </w:t>
      </w:r>
      <w:bookmarkEnd w:id="13"/>
      <w:bookmarkEnd w:id="14"/>
      <w:bookmarkEnd w:id="15"/>
      <w:r>
        <w:t>M</w:t>
      </w:r>
      <w:r w:rsidRPr="0068456A">
        <w:t xml:space="preserve">anagement </w:t>
      </w:r>
      <w:r>
        <w:t>A</w:t>
      </w:r>
      <w:r w:rsidRPr="0068456A">
        <w:t>lgorithm(s)</w:t>
      </w:r>
      <w:bookmarkEnd w:id="16"/>
    </w:p>
    <w:p w14:paraId="12700611" w14:textId="77777777" w:rsidR="002A2CE0" w:rsidRPr="004008D0" w:rsidRDefault="002A2CE0" w:rsidP="002A2CE0">
      <w:pPr>
        <w:spacing w:line="276" w:lineRule="auto"/>
        <w:jc w:val="both"/>
      </w:pPr>
      <w:r w:rsidRPr="004008D0">
        <w:t xml:space="preserve">If listed, it is likely that </w:t>
      </w:r>
      <w:proofErr w:type="spellStart"/>
      <w:r w:rsidRPr="004008D0">
        <w:t>IMeRSe</w:t>
      </w:r>
      <w:proofErr w:type="spellEnd"/>
      <w:r w:rsidRPr="004008D0">
        <w:t xml:space="preserve"> would</w:t>
      </w:r>
      <w:r>
        <w:t xml:space="preserve"> </w:t>
      </w:r>
      <w:r w:rsidRPr="004008D0">
        <w:t xml:space="preserve">partially replace usual care for the eligible population, that is, </w:t>
      </w:r>
      <w:r>
        <w:t>some un</w:t>
      </w:r>
      <w:r w:rsidRPr="004008D0">
        <w:t xml:space="preserve">structured medication </w:t>
      </w:r>
      <w:r>
        <w:t>advice</w:t>
      </w:r>
      <w:r w:rsidRPr="004008D0">
        <w:t xml:space="preserve"> would </w:t>
      </w:r>
      <w:r>
        <w:t xml:space="preserve">be potentially </w:t>
      </w:r>
      <w:r w:rsidRPr="004008D0">
        <w:t>replace</w:t>
      </w:r>
      <w:r>
        <w:t>d</w:t>
      </w:r>
      <w:r w:rsidRPr="004008D0">
        <w:t xml:space="preserve"> by the structured </w:t>
      </w:r>
      <w:proofErr w:type="spellStart"/>
      <w:r w:rsidRPr="004008D0">
        <w:t>IMeRSe</w:t>
      </w:r>
      <w:proofErr w:type="spellEnd"/>
      <w:r w:rsidRPr="004008D0">
        <w:t xml:space="preserve">. Listing of </w:t>
      </w:r>
      <w:proofErr w:type="spellStart"/>
      <w:r w:rsidRPr="004008D0">
        <w:t>IMeRSe</w:t>
      </w:r>
      <w:proofErr w:type="spellEnd"/>
      <w:r w:rsidRPr="004008D0">
        <w:t xml:space="preserve"> does not remove the possibility that Aboriginal and Torres Strait Islander people </w:t>
      </w:r>
      <w:r>
        <w:t>will not</w:t>
      </w:r>
      <w:r w:rsidRPr="004008D0">
        <w:t xml:space="preserve"> access ad-hoc medication advice in addition to </w:t>
      </w:r>
      <w:proofErr w:type="spellStart"/>
      <w:r w:rsidRPr="004008D0">
        <w:t>IMeRSe</w:t>
      </w:r>
      <w:proofErr w:type="spellEnd"/>
      <w:r>
        <w:t xml:space="preserve"> </w:t>
      </w:r>
      <w:r w:rsidRPr="00513446">
        <w:rPr>
          <w:strike/>
        </w:rPr>
        <w:t>(Figure 1)</w:t>
      </w:r>
      <w:r>
        <w:t xml:space="preserve">. </w:t>
      </w:r>
    </w:p>
    <w:p w14:paraId="6EA56CAD" w14:textId="77777777" w:rsidR="002A2CE0" w:rsidRPr="00183E4D" w:rsidRDefault="002A2CE0" w:rsidP="002A2CE0">
      <w:pPr>
        <w:pStyle w:val="Heading3"/>
        <w:spacing w:line="276" w:lineRule="auto"/>
      </w:pPr>
      <w:bookmarkStart w:id="17" w:name="_Toc395200746"/>
      <w:bookmarkStart w:id="18" w:name="_Toc59194345"/>
      <w:bookmarkStart w:id="19" w:name="_Toc379118058"/>
      <w:bookmarkStart w:id="20" w:name="_Toc379118250"/>
      <w:bookmarkStart w:id="21" w:name="_Toc381796434"/>
      <w:r w:rsidRPr="00183E4D">
        <w:t>Key Differences in the Delivery of the Proposed Medical Service and the Main Comparator</w:t>
      </w:r>
      <w:bookmarkEnd w:id="17"/>
      <w:bookmarkEnd w:id="18"/>
      <w:r w:rsidRPr="00183E4D">
        <w:t xml:space="preserve"> </w:t>
      </w:r>
    </w:p>
    <w:p w14:paraId="5B471305" w14:textId="77777777" w:rsidR="002A2CE0" w:rsidRDefault="002A2CE0" w:rsidP="002A2CE0">
      <w:pPr>
        <w:spacing w:line="276" w:lineRule="auto"/>
        <w:jc w:val="both"/>
      </w:pPr>
      <w:bookmarkStart w:id="22" w:name="_Toc395200747"/>
      <w:bookmarkStart w:id="23" w:name="_Toc426968105"/>
      <w:proofErr w:type="spellStart"/>
      <w:r w:rsidRPr="00C24050">
        <w:t>IMeRSe</w:t>
      </w:r>
      <w:proofErr w:type="spellEnd"/>
      <w:r w:rsidRPr="00C24050">
        <w:t xml:space="preserve"> is a structured medication management review service, requiring the pharmacist and support staff involved in delivery to </w:t>
      </w:r>
      <w:r>
        <w:t>participate in cross-cultural training</w:t>
      </w:r>
      <w:r w:rsidRPr="00C24050">
        <w:t xml:space="preserve"> and </w:t>
      </w:r>
      <w:r>
        <w:t xml:space="preserve">optional </w:t>
      </w:r>
      <w:r w:rsidRPr="00C24050">
        <w:t xml:space="preserve">use of the </w:t>
      </w:r>
      <w:r w:rsidRPr="00015852">
        <w:rPr>
          <w:i/>
          <w:iCs/>
        </w:rPr>
        <w:t xml:space="preserve">Stay Strong </w:t>
      </w:r>
      <w:r w:rsidRPr="00015852">
        <w:rPr>
          <w:i/>
          <w:iCs/>
        </w:rPr>
        <w:lastRenderedPageBreak/>
        <w:t>Plan</w:t>
      </w:r>
      <w:r w:rsidRPr="00C24050">
        <w:t xml:space="preserve"> as a motivational interviewing</w:t>
      </w:r>
      <w:r>
        <w:t xml:space="preserve">, problem identification </w:t>
      </w:r>
      <w:r w:rsidRPr="00C24050">
        <w:t xml:space="preserve">and goal setting technique. Consumers have the choice of where the </w:t>
      </w:r>
      <w:r w:rsidRPr="00015852">
        <w:rPr>
          <w:i/>
          <w:iCs/>
        </w:rPr>
        <w:t>Medicines Talk</w:t>
      </w:r>
      <w:r w:rsidRPr="00C24050">
        <w:t xml:space="preserve"> (medication review) service occurs</w:t>
      </w:r>
      <w:r>
        <w:t xml:space="preserve"> (e.g. at the AHS, in the pharmacy or in the home)</w:t>
      </w:r>
      <w:r w:rsidRPr="00C24050">
        <w:t xml:space="preserve">, as well as the choice to include an </w:t>
      </w:r>
      <w:r>
        <w:t>AHW</w:t>
      </w:r>
      <w:r w:rsidRPr="00C24050">
        <w:t xml:space="preserve">, </w:t>
      </w:r>
      <w:r>
        <w:t xml:space="preserve">and </w:t>
      </w:r>
      <w:r w:rsidRPr="00C24050">
        <w:t>family member</w:t>
      </w:r>
      <w:r>
        <w:t>(s)</w:t>
      </w:r>
      <w:r w:rsidRPr="00C24050">
        <w:t xml:space="preserve"> or carer in this process to help build </w:t>
      </w:r>
      <w:r>
        <w:t xml:space="preserve">a </w:t>
      </w:r>
      <w:r w:rsidRPr="00C24050">
        <w:t xml:space="preserve">relationship with </w:t>
      </w:r>
      <w:r>
        <w:t xml:space="preserve">their pharmacist. </w:t>
      </w:r>
      <w:proofErr w:type="spellStart"/>
      <w:r>
        <w:t>IMeRSe</w:t>
      </w:r>
      <w:proofErr w:type="spellEnd"/>
      <w:r>
        <w:t xml:space="preserve"> does not require referral from the GP, allowing for opportunistic identification of the need for medication review by other health practitioner(s) or support person(s) within the team and decreasing the administrative burden for GPs. The process of requiring GPs to finalise a medication plan with the consumer, after considering the medicines report prepared by the pharmacist, and provide the consumer’s </w:t>
      </w:r>
      <w:r w:rsidRPr="00015852">
        <w:rPr>
          <w:i/>
          <w:iCs/>
        </w:rPr>
        <w:t>Medicines Plan</w:t>
      </w:r>
      <w:r>
        <w:t xml:space="preserve"> to the pharmacist, promotes two-way communication between pharmacists and GPs. Reimbursement of follow-up services provided by the pharmacist promotes continuity of care and relationship building between the pharmacist and consumer. </w:t>
      </w:r>
    </w:p>
    <w:p w14:paraId="50B18F7E" w14:textId="77777777" w:rsidR="002A2CE0" w:rsidRPr="007319F1" w:rsidRDefault="002A2CE0" w:rsidP="002A2CE0">
      <w:pPr>
        <w:spacing w:line="276" w:lineRule="auto"/>
        <w:jc w:val="both"/>
      </w:pPr>
      <w:r w:rsidRPr="0094158B">
        <w:t>In comparison, usual care currently includes no formal process of medication review. Medication advice may be provided in an ad</w:t>
      </w:r>
      <w:r>
        <w:t>-</w:t>
      </w:r>
      <w:r w:rsidRPr="0094158B">
        <w:t>hoc manner by any health practitioner involv</w:t>
      </w:r>
      <w:r w:rsidRPr="007319F1">
        <w:t xml:space="preserve">ed in the consumer’s care. Pharmacists are not </w:t>
      </w:r>
      <w:r>
        <w:t>routinely</w:t>
      </w:r>
      <w:r w:rsidRPr="007319F1">
        <w:t xml:space="preserve"> available to consumers at </w:t>
      </w:r>
      <w:r>
        <w:t>AHSs</w:t>
      </w:r>
      <w:r w:rsidRPr="007319F1">
        <w:t xml:space="preserve">.  </w:t>
      </w:r>
    </w:p>
    <w:p w14:paraId="46DAA519" w14:textId="77777777" w:rsidR="002A2CE0" w:rsidRPr="00183E4D" w:rsidRDefault="002A2CE0" w:rsidP="002A2CE0">
      <w:pPr>
        <w:pStyle w:val="ESNumberedSectionHeading"/>
        <w:numPr>
          <w:ilvl w:val="0"/>
          <w:numId w:val="0"/>
        </w:numPr>
        <w:spacing w:line="276" w:lineRule="auto"/>
        <w:jc w:val="both"/>
      </w:pPr>
      <w:bookmarkStart w:id="24" w:name="_Toc59194346"/>
      <w:r w:rsidRPr="00183E4D">
        <w:t>Clinical Claim</w:t>
      </w:r>
      <w:bookmarkEnd w:id="22"/>
      <w:bookmarkEnd w:id="23"/>
      <w:bookmarkEnd w:id="24"/>
    </w:p>
    <w:p w14:paraId="4CFC7F22" w14:textId="15573EA2" w:rsidR="002A2CE0" w:rsidRPr="00F91A1C" w:rsidRDefault="002A2CE0" w:rsidP="002A2CE0">
      <w:pPr>
        <w:spacing w:line="276" w:lineRule="auto"/>
        <w:jc w:val="both"/>
      </w:pPr>
      <w:bookmarkStart w:id="25" w:name="_Toc395200748"/>
      <w:r w:rsidRPr="00F91A1C">
        <w:t>Evidence f</w:t>
      </w:r>
      <w:r>
        <w:t>ro</w:t>
      </w:r>
      <w:r w:rsidRPr="00F91A1C">
        <w:t xml:space="preserve">m the </w:t>
      </w:r>
      <w:proofErr w:type="spellStart"/>
      <w:r w:rsidRPr="00F91A1C">
        <w:t>IMeRSe</w:t>
      </w:r>
      <w:proofErr w:type="spellEnd"/>
      <w:r w:rsidRPr="00F91A1C">
        <w:t xml:space="preserve"> </w:t>
      </w:r>
      <w:r>
        <w:t>F</w:t>
      </w:r>
      <w:r w:rsidRPr="00F91A1C">
        <w:t xml:space="preserve">easibility </w:t>
      </w:r>
      <w:r>
        <w:t>S</w:t>
      </w:r>
      <w:r w:rsidRPr="00F91A1C">
        <w:t xml:space="preserve">tudy shows that the intervention </w:t>
      </w:r>
      <w:r>
        <w:t xml:space="preserve">has </w:t>
      </w:r>
      <w:r w:rsidR="00D561E0">
        <w:t>[</w:t>
      </w:r>
      <w:r w:rsidR="00D561E0" w:rsidRPr="00934777">
        <w:rPr>
          <w:i/>
          <w:iCs/>
        </w:rPr>
        <w:t>redacted</w:t>
      </w:r>
      <w:proofErr w:type="gramStart"/>
      <w:r w:rsidR="00D561E0">
        <w:t>]..</w:t>
      </w:r>
      <w:proofErr w:type="gramEnd"/>
    </w:p>
    <w:p w14:paraId="0DA60708" w14:textId="77777777" w:rsidR="002A2CE0" w:rsidRPr="00F123BA" w:rsidRDefault="002A2CE0" w:rsidP="002A2CE0">
      <w:pPr>
        <w:spacing w:line="276" w:lineRule="auto"/>
        <w:jc w:val="both"/>
      </w:pPr>
      <w:r w:rsidRPr="00F91A1C">
        <w:t>The clinical claim has not been revised by PASC</w:t>
      </w:r>
      <w:r>
        <w:t xml:space="preserve"> as advised by the Pharmacy TAG</w:t>
      </w:r>
      <w:r w:rsidRPr="00F91A1C">
        <w:t>.</w:t>
      </w:r>
    </w:p>
    <w:p w14:paraId="356882EB" w14:textId="77777777" w:rsidR="002A2CE0" w:rsidRPr="00183E4D" w:rsidRDefault="002A2CE0" w:rsidP="002A2CE0">
      <w:pPr>
        <w:pStyle w:val="Heading3"/>
        <w:spacing w:line="276" w:lineRule="auto"/>
        <w:jc w:val="both"/>
      </w:pPr>
      <w:bookmarkStart w:id="26" w:name="_Toc59194347"/>
      <w:r w:rsidRPr="00183E4D">
        <w:rPr>
          <w:rStyle w:val="Heading3Char"/>
          <w:b/>
          <w:smallCaps/>
        </w:rPr>
        <w:t>Approach T</w:t>
      </w:r>
      <w:r w:rsidRPr="00183E4D">
        <w:t xml:space="preserve">aken to the </w:t>
      </w:r>
      <w:r w:rsidRPr="00183E4D">
        <w:rPr>
          <w:rStyle w:val="Heading3Char"/>
          <w:b/>
          <w:smallCaps/>
        </w:rPr>
        <w:t>E</w:t>
      </w:r>
      <w:r w:rsidRPr="00183E4D">
        <w:t xml:space="preserve">vidence </w:t>
      </w:r>
      <w:r w:rsidRPr="00183E4D">
        <w:rPr>
          <w:rStyle w:val="Heading3Char"/>
          <w:b/>
          <w:smallCaps/>
        </w:rPr>
        <w:t>A</w:t>
      </w:r>
      <w:r w:rsidRPr="00183E4D">
        <w:t>ssessment</w:t>
      </w:r>
      <w:bookmarkEnd w:id="25"/>
      <w:bookmarkEnd w:id="26"/>
    </w:p>
    <w:p w14:paraId="05733004" w14:textId="77777777" w:rsidR="002A2CE0" w:rsidRPr="00183E4D" w:rsidRDefault="002A2CE0" w:rsidP="002A2CE0">
      <w:pPr>
        <w:spacing w:line="276" w:lineRule="auto"/>
        <w:jc w:val="both"/>
      </w:pPr>
      <w:r w:rsidRPr="00183E4D">
        <w:t>A systematic review of published and unpublished literature was undertaken.</w:t>
      </w:r>
    </w:p>
    <w:p w14:paraId="2F05B73C" w14:textId="77777777" w:rsidR="002A2CE0" w:rsidRPr="004008D0" w:rsidRDefault="002A2CE0" w:rsidP="002A2CE0">
      <w:pPr>
        <w:spacing w:line="276" w:lineRule="auto"/>
        <w:jc w:val="both"/>
      </w:pPr>
      <w:r>
        <w:t>Health</w:t>
      </w:r>
      <w:r w:rsidRPr="004008D0">
        <w:t xml:space="preserve"> literature was searched to identify relevant studies</w:t>
      </w:r>
      <w:r>
        <w:t>, including</w:t>
      </w:r>
      <w:r w:rsidRPr="004008D0">
        <w:t xml:space="preserve"> systematic reviews</w:t>
      </w:r>
      <w:r>
        <w:t>,</w:t>
      </w:r>
      <w:r w:rsidRPr="004008D0">
        <w:t xml:space="preserve"> published during the period 1946 to </w:t>
      </w:r>
      <w:r w:rsidRPr="00330F8C">
        <w:t>August 2020.</w:t>
      </w:r>
      <w:r w:rsidRPr="004008D0">
        <w:t xml:space="preserve"> Searches were conducted using Medline (Ovid), Scopus, CINAHL Complete (EBSCO) and the Cochrane Library</w:t>
      </w:r>
      <w:r>
        <w:t xml:space="preserve"> (</w:t>
      </w:r>
      <w:r w:rsidRPr="001F0EE0">
        <w:rPr>
          <w:strike/>
        </w:rPr>
        <w:t>Table 8 and Appendix A</w:t>
      </w:r>
      <w:r>
        <w:t>)</w:t>
      </w:r>
      <w:r w:rsidRPr="004008D0">
        <w:t xml:space="preserve">. Attempts were also made to source unpublished or grey literature from published references, higher degree research theses and partner organisations in the </w:t>
      </w:r>
      <w:proofErr w:type="spellStart"/>
      <w:r w:rsidRPr="004008D0">
        <w:t>IMeRSe</w:t>
      </w:r>
      <w:proofErr w:type="spellEnd"/>
      <w:r w:rsidRPr="004008D0">
        <w:t xml:space="preserve"> </w:t>
      </w:r>
      <w:r>
        <w:t>F</w:t>
      </w:r>
      <w:r w:rsidRPr="004008D0">
        <w:t xml:space="preserve">easibility </w:t>
      </w:r>
      <w:r>
        <w:t>S</w:t>
      </w:r>
      <w:r w:rsidRPr="004008D0">
        <w:t xml:space="preserve">tudy (NACCHO and Pharmacy Guild of Australia). </w:t>
      </w:r>
    </w:p>
    <w:p w14:paraId="095351F7" w14:textId="77777777" w:rsidR="002A2CE0" w:rsidRPr="00183E4D" w:rsidRDefault="002A2CE0" w:rsidP="002A2CE0">
      <w:pPr>
        <w:pStyle w:val="Heading3"/>
        <w:spacing w:line="276" w:lineRule="auto"/>
        <w:jc w:val="both"/>
      </w:pPr>
      <w:bookmarkStart w:id="27" w:name="_Toc395200749"/>
      <w:bookmarkStart w:id="28" w:name="_Toc59194348"/>
      <w:r w:rsidRPr="00183E4D">
        <w:rPr>
          <w:rStyle w:val="Heading3Char"/>
          <w:b/>
          <w:smallCaps/>
        </w:rPr>
        <w:t>Characteristics of the Evidence Base</w:t>
      </w:r>
      <w:bookmarkEnd w:id="19"/>
      <w:bookmarkEnd w:id="20"/>
      <w:bookmarkEnd w:id="21"/>
      <w:bookmarkEnd w:id="27"/>
      <w:bookmarkEnd w:id="28"/>
    </w:p>
    <w:p w14:paraId="5C7C2A0D" w14:textId="6B98C965" w:rsidR="002A2CE0" w:rsidRDefault="002A2CE0" w:rsidP="002A2CE0">
      <w:pPr>
        <w:spacing w:line="276" w:lineRule="auto"/>
        <w:jc w:val="both"/>
      </w:pPr>
      <w:bookmarkStart w:id="29" w:name="_Toc395200750"/>
      <w:r>
        <w:t xml:space="preserve">Only one study that met the search criteria was found; that was the </w:t>
      </w:r>
      <w:proofErr w:type="spellStart"/>
      <w:r>
        <w:t>IMeRSe</w:t>
      </w:r>
      <w:proofErr w:type="spellEnd"/>
      <w:r>
        <w:t xml:space="preserve"> Feasibility Study </w:t>
      </w:r>
      <w:r w:rsidRPr="00480A9F">
        <w:rPr>
          <w:strike/>
        </w:rPr>
        <w:t>(Appendix B).</w:t>
      </w:r>
      <w:r>
        <w:t xml:space="preserve"> The study was undertaken in the population of interest and in relevant Australian healthcare settings. The feasibility study was designed to inform a future randomised controlled trial RCT); as such the study objectives included measuring feasibility and implementation success as well as clinical outcomes and feasibility of adopted measures</w:t>
      </w:r>
      <w:r w:rsidRPr="00330F8C">
        <w:t xml:space="preserve">. </w:t>
      </w:r>
      <w:r w:rsidRPr="005E700E">
        <w:t xml:space="preserve">Inherent with the design of a feasibility study, it was likely underpowered </w:t>
      </w:r>
      <w:r w:rsidR="00D561E0">
        <w:t>[</w:t>
      </w:r>
      <w:r w:rsidR="00D561E0" w:rsidRPr="00934777">
        <w:rPr>
          <w:i/>
          <w:iCs/>
        </w:rPr>
        <w:t>redacted</w:t>
      </w:r>
      <w:r w:rsidR="00D561E0">
        <w:t>]</w:t>
      </w:r>
      <w:r w:rsidRPr="005E700E">
        <w:t xml:space="preserve">. The study also collected a range of consumer-relevant secondary outcomes which showed </w:t>
      </w:r>
      <w:r w:rsidR="00D561E0">
        <w:t>[</w:t>
      </w:r>
      <w:r w:rsidR="00D561E0" w:rsidRPr="00934777">
        <w:rPr>
          <w:i/>
          <w:iCs/>
        </w:rPr>
        <w:t>redacted</w:t>
      </w:r>
      <w:r w:rsidR="00D561E0">
        <w:t>]</w:t>
      </w:r>
      <w:r w:rsidRPr="005E700E">
        <w:t>.</w:t>
      </w:r>
    </w:p>
    <w:p w14:paraId="22660CD7" w14:textId="77777777" w:rsidR="002A2CE0" w:rsidRPr="00183E4D" w:rsidRDefault="002A2CE0" w:rsidP="002A2CE0">
      <w:pPr>
        <w:spacing w:line="276" w:lineRule="auto"/>
        <w:jc w:val="both"/>
      </w:pPr>
      <w:r>
        <w:t xml:space="preserve">The study only included one of nine included sites where consumers accessed a mainstream general practice, rather than an AHS. This is important as not all Aboriginal and Torres Strait Islander peoples </w:t>
      </w:r>
      <w:r>
        <w:lastRenderedPageBreak/>
        <w:t xml:space="preserve">have access to AHSs. </w:t>
      </w:r>
      <w:r w:rsidRPr="005E700E">
        <w:t>As such, there is limited evidence of the success in mainstream general practice settings.</w:t>
      </w:r>
      <w:r>
        <w:t xml:space="preserve">  </w:t>
      </w:r>
    </w:p>
    <w:p w14:paraId="40075EF6" w14:textId="77777777" w:rsidR="002A2CE0" w:rsidRPr="00183E4D" w:rsidRDefault="002A2CE0" w:rsidP="002A2CE0">
      <w:pPr>
        <w:pStyle w:val="Heading3"/>
        <w:spacing w:line="276" w:lineRule="auto"/>
        <w:jc w:val="both"/>
      </w:pPr>
      <w:bookmarkStart w:id="30" w:name="_Toc59194349"/>
      <w:r w:rsidRPr="00183E4D">
        <w:t>Results</w:t>
      </w:r>
      <w:bookmarkEnd w:id="29"/>
      <w:bookmarkEnd w:id="30"/>
    </w:p>
    <w:p w14:paraId="75D2C873" w14:textId="77777777" w:rsidR="002A2CE0" w:rsidRPr="00183E4D" w:rsidRDefault="002A2CE0" w:rsidP="002A2CE0">
      <w:pPr>
        <w:pStyle w:val="Heading4"/>
        <w:spacing w:line="276" w:lineRule="auto"/>
        <w:jc w:val="both"/>
      </w:pPr>
      <w:r w:rsidRPr="00183E4D">
        <w:t xml:space="preserve">Safety </w:t>
      </w:r>
    </w:p>
    <w:p w14:paraId="3260CFC0" w14:textId="2B5A84B8" w:rsidR="002A2CE0" w:rsidRPr="00C10B51" w:rsidRDefault="002A2CE0" w:rsidP="002A2CE0">
      <w:pPr>
        <w:spacing w:line="276" w:lineRule="auto"/>
        <w:jc w:val="both"/>
      </w:pPr>
      <w:r w:rsidRPr="00C10B51">
        <w:t xml:space="preserve">No safety concerns were identified during the </w:t>
      </w:r>
      <w:proofErr w:type="spellStart"/>
      <w:r w:rsidRPr="00C10B51">
        <w:t>IMeRSe</w:t>
      </w:r>
      <w:proofErr w:type="spellEnd"/>
      <w:r w:rsidRPr="00C10B51">
        <w:t xml:space="preserve"> </w:t>
      </w:r>
      <w:r>
        <w:t>F</w:t>
      </w:r>
      <w:r w:rsidRPr="00C10B51">
        <w:t xml:space="preserve">easibility </w:t>
      </w:r>
      <w:r>
        <w:t>S</w:t>
      </w:r>
      <w:r w:rsidRPr="00C10B51">
        <w:t xml:space="preserve">tudy. </w:t>
      </w:r>
      <w:r w:rsidR="00D561E0">
        <w:t>[</w:t>
      </w:r>
      <w:r w:rsidR="00D561E0" w:rsidRPr="00934777">
        <w:rPr>
          <w:i/>
          <w:iCs/>
        </w:rPr>
        <w:t>redacted</w:t>
      </w:r>
      <w:r w:rsidR="00D561E0">
        <w:t>]</w:t>
      </w:r>
    </w:p>
    <w:p w14:paraId="470EC8D9" w14:textId="51E29111" w:rsidR="002A2CE0" w:rsidRPr="00C10B51" w:rsidRDefault="00D561E0" w:rsidP="002A2CE0">
      <w:pPr>
        <w:spacing w:line="276" w:lineRule="auto"/>
        <w:jc w:val="both"/>
      </w:pPr>
      <w:r>
        <w:t>[</w:t>
      </w:r>
      <w:r w:rsidRPr="00934777">
        <w:rPr>
          <w:i/>
          <w:iCs/>
        </w:rPr>
        <w:t>redacted</w:t>
      </w:r>
      <w:r>
        <w:t>]</w:t>
      </w:r>
      <w:r w:rsidR="002A2CE0" w:rsidRPr="00C10B51">
        <w:t xml:space="preserve"> no complaints about the intervention </w:t>
      </w:r>
      <w:r w:rsidR="002A2CE0">
        <w:t xml:space="preserve">itself </w:t>
      </w:r>
      <w:r w:rsidR="002A2CE0" w:rsidRPr="00C10B51">
        <w:t xml:space="preserve">were received. No other safety concerns were identified during the </w:t>
      </w:r>
      <w:proofErr w:type="spellStart"/>
      <w:r w:rsidR="002A2CE0" w:rsidRPr="00C10B51">
        <w:t>IMeRSe</w:t>
      </w:r>
      <w:proofErr w:type="spellEnd"/>
      <w:r w:rsidR="002A2CE0" w:rsidRPr="00C10B51">
        <w:t xml:space="preserve"> </w:t>
      </w:r>
      <w:r w:rsidR="002A2CE0">
        <w:t>F</w:t>
      </w:r>
      <w:r w:rsidR="002A2CE0" w:rsidRPr="00C10B51">
        <w:t xml:space="preserve">easibility </w:t>
      </w:r>
      <w:r w:rsidR="002A2CE0">
        <w:t>S</w:t>
      </w:r>
      <w:r w:rsidR="002A2CE0" w:rsidRPr="00C10B51">
        <w:t>tudy.</w:t>
      </w:r>
    </w:p>
    <w:p w14:paraId="1D3C0D58" w14:textId="77777777" w:rsidR="002A2CE0" w:rsidRPr="00183E4D" w:rsidRDefault="002A2CE0" w:rsidP="002A2CE0">
      <w:pPr>
        <w:pStyle w:val="Heading4"/>
        <w:spacing w:line="276" w:lineRule="auto"/>
        <w:jc w:val="both"/>
      </w:pPr>
      <w:r w:rsidRPr="00183E4D">
        <w:t xml:space="preserve">Effectiveness </w:t>
      </w:r>
    </w:p>
    <w:p w14:paraId="23D89AA6" w14:textId="0EE5CB0B" w:rsidR="002A2CE0" w:rsidRPr="00BF2FEB" w:rsidRDefault="002A2CE0" w:rsidP="002A2CE0">
      <w:pPr>
        <w:spacing w:line="276" w:lineRule="auto"/>
        <w:jc w:val="both"/>
      </w:pPr>
      <w:r w:rsidRPr="00BF2FEB">
        <w:t xml:space="preserve">Results from the </w:t>
      </w:r>
      <w:proofErr w:type="spellStart"/>
      <w:r w:rsidRPr="00BF2FEB">
        <w:t>IMeRSe</w:t>
      </w:r>
      <w:proofErr w:type="spellEnd"/>
      <w:r w:rsidRPr="00BF2FEB">
        <w:t xml:space="preserve"> </w:t>
      </w:r>
      <w:r>
        <w:t>F</w:t>
      </w:r>
      <w:r w:rsidRPr="00BF2FEB">
        <w:t xml:space="preserve">easibility </w:t>
      </w:r>
      <w:r>
        <w:t>S</w:t>
      </w:r>
      <w:r w:rsidRPr="00BF2FEB">
        <w:t xml:space="preserve">tudy showed </w:t>
      </w:r>
      <w:r w:rsidRPr="005E700E">
        <w:t xml:space="preserve">positive, clinically meaningful, outcomes for participants. The primary outcome showed </w:t>
      </w:r>
      <w:r w:rsidR="00D561E0">
        <w:t>[</w:t>
      </w:r>
      <w:r w:rsidR="00D561E0" w:rsidRPr="00934777">
        <w:rPr>
          <w:i/>
          <w:iCs/>
        </w:rPr>
        <w:t>redacted</w:t>
      </w:r>
      <w:r w:rsidR="00D561E0">
        <w:t>].</w:t>
      </w:r>
      <w:r w:rsidRPr="005E700E">
        <w:t xml:space="preserve"> By definition, these pre-specified clinical indicators</w:t>
      </w:r>
      <w:r w:rsidRPr="00BF2FEB">
        <w:t xml:space="preserve"> were selected on the basis that they are likely to increase the probability of experiencing a hospital admission if left unresolved. The realisation of serious </w:t>
      </w:r>
      <w:r>
        <w:t>MRPs</w:t>
      </w:r>
      <w:r w:rsidRPr="00BF2FEB">
        <w:t xml:space="preserve"> are potentially preventable medication-related hospitalisations</w:t>
      </w:r>
      <w:r>
        <w:t xml:space="preserve"> (PPMRHs)</w:t>
      </w:r>
      <w:r w:rsidRPr="00BF2FEB">
        <w:t xml:space="preserve">. </w:t>
      </w:r>
      <w:r w:rsidR="00D561E0">
        <w:t>[</w:t>
      </w:r>
      <w:r w:rsidR="00D561E0" w:rsidRPr="00934777">
        <w:rPr>
          <w:i/>
          <w:iCs/>
        </w:rPr>
        <w:t>redacted</w:t>
      </w:r>
      <w:r w:rsidR="00D561E0">
        <w:t>]</w:t>
      </w:r>
      <w:r>
        <w:t xml:space="preserve">). </w:t>
      </w:r>
    </w:p>
    <w:p w14:paraId="47B19631" w14:textId="33697151" w:rsidR="002A2CE0" w:rsidRPr="00BF2FEB" w:rsidRDefault="002A2CE0" w:rsidP="002A2CE0">
      <w:pPr>
        <w:spacing w:line="276" w:lineRule="auto"/>
        <w:jc w:val="both"/>
      </w:pPr>
      <w:r w:rsidRPr="00BF2FEB">
        <w:t xml:space="preserve">Other consumer-relevant secondary outcomes </w:t>
      </w:r>
      <w:r w:rsidRPr="005E700E">
        <w:t xml:space="preserve">showed </w:t>
      </w:r>
      <w:r w:rsidR="00D561E0">
        <w:t>[</w:t>
      </w:r>
      <w:r w:rsidR="00D561E0" w:rsidRPr="00934777">
        <w:rPr>
          <w:i/>
          <w:iCs/>
        </w:rPr>
        <w:t>redacted</w:t>
      </w:r>
      <w:r w:rsidR="00D561E0">
        <w:t>].</w:t>
      </w:r>
      <w:r w:rsidRPr="00BF2FEB">
        <w:t xml:space="preserve"> </w:t>
      </w:r>
    </w:p>
    <w:p w14:paraId="02DB9F03" w14:textId="2BF89B02" w:rsidR="002A2CE0" w:rsidRPr="00BF2FEB" w:rsidRDefault="002A2CE0" w:rsidP="002A2CE0">
      <w:pPr>
        <w:spacing w:line="276" w:lineRule="auto"/>
        <w:jc w:val="both"/>
      </w:pPr>
      <w:r w:rsidRPr="00BF2FEB">
        <w:t xml:space="preserve">Overall, the evidence suggests that participants in the </w:t>
      </w:r>
      <w:proofErr w:type="spellStart"/>
      <w:r w:rsidRPr="00BF2FEB">
        <w:t>IMeRSe</w:t>
      </w:r>
      <w:proofErr w:type="spellEnd"/>
      <w:r w:rsidRPr="00BF2FEB">
        <w:t xml:space="preserve"> </w:t>
      </w:r>
      <w:r>
        <w:t>Feasibility S</w:t>
      </w:r>
      <w:r w:rsidRPr="00BF2FEB">
        <w:t xml:space="preserve">tudy </w:t>
      </w:r>
      <w:r w:rsidRPr="005E700E">
        <w:t xml:space="preserve">felt </w:t>
      </w:r>
      <w:r w:rsidR="00D561E0">
        <w:t>[</w:t>
      </w:r>
      <w:r w:rsidR="00D561E0" w:rsidRPr="00934777">
        <w:rPr>
          <w:i/>
          <w:iCs/>
        </w:rPr>
        <w:t>redacted</w:t>
      </w:r>
      <w:r w:rsidR="00D561E0">
        <w:t>].</w:t>
      </w:r>
      <w:r w:rsidRPr="00BF2FEB">
        <w:t xml:space="preserve"> </w:t>
      </w:r>
    </w:p>
    <w:p w14:paraId="3E6FD4F6" w14:textId="77777777" w:rsidR="002A2CE0" w:rsidRDefault="002A2CE0" w:rsidP="002A2CE0">
      <w:pPr>
        <w:spacing w:after="0" w:line="276" w:lineRule="auto"/>
      </w:pPr>
      <w:r w:rsidRPr="00BF2FEB">
        <w:t xml:space="preserve">The summary of key findings is shown in </w:t>
      </w:r>
      <w:r>
        <w:rPr>
          <w:vanish/>
          <w:color w:val="C00000"/>
        </w:rPr>
        <w:fldChar w:fldCharType="begin"/>
      </w:r>
      <w:r>
        <w:rPr>
          <w:vanish/>
          <w:color w:val="C00000"/>
        </w:rPr>
        <w:instrText xml:space="preserve"> REF _Ref421184437 \h  \* MERGEFORMAT </w:instrText>
      </w:r>
      <w:r>
        <w:rPr>
          <w:vanish/>
          <w:color w:val="C00000"/>
        </w:rPr>
      </w:r>
      <w:r>
        <w:rPr>
          <w:vanish/>
          <w:color w:val="C00000"/>
        </w:rPr>
        <w:fldChar w:fldCharType="separate"/>
      </w:r>
      <w:r w:rsidRPr="00B55C0A">
        <w:t xml:space="preserve">Table </w:t>
      </w:r>
      <w:r w:rsidRPr="00B55C0A">
        <w:rPr>
          <w:noProof/>
        </w:rPr>
        <w:t>2</w:t>
      </w:r>
      <w:r>
        <w:rPr>
          <w:vanish/>
          <w:color w:val="C00000"/>
        </w:rPr>
        <w:fldChar w:fldCharType="end"/>
      </w:r>
      <w:r w:rsidRPr="004A1A89">
        <w:t xml:space="preserve">. </w:t>
      </w:r>
    </w:p>
    <w:p w14:paraId="6349B4EA" w14:textId="77777777" w:rsidR="002A2CE0" w:rsidRDefault="002A2CE0" w:rsidP="002A2CE0">
      <w:pPr>
        <w:spacing w:after="0" w:line="276" w:lineRule="auto"/>
      </w:pPr>
    </w:p>
    <w:p w14:paraId="1DAE53CB" w14:textId="77777777" w:rsidR="002A2CE0" w:rsidRDefault="002A2CE0" w:rsidP="002A2CE0">
      <w:pPr>
        <w:spacing w:line="276" w:lineRule="auto"/>
        <w:rPr>
          <w:rFonts w:ascii="Arial Narrow" w:hAnsi="Arial Narrow" w:cstheme="minorHAnsi"/>
          <w:vanish/>
          <w:color w:val="C00000"/>
          <w:sz w:val="20"/>
          <w:szCs w:val="20"/>
        </w:rPr>
      </w:pPr>
    </w:p>
    <w:p w14:paraId="43D163F8" w14:textId="77777777" w:rsidR="002A2CE0" w:rsidRDefault="002A2CE0" w:rsidP="002A2CE0">
      <w:pPr>
        <w:spacing w:line="276" w:lineRule="auto"/>
        <w:rPr>
          <w:rFonts w:ascii="Arial Narrow" w:hAnsi="Arial Narrow" w:cstheme="minorHAnsi"/>
          <w:vanish/>
          <w:color w:val="C00000"/>
          <w:sz w:val="20"/>
          <w:szCs w:val="20"/>
        </w:rPr>
      </w:pPr>
    </w:p>
    <w:p w14:paraId="52F4F709" w14:textId="77777777" w:rsidR="002A2CE0" w:rsidRPr="003615DE" w:rsidRDefault="002A2CE0" w:rsidP="002A2CE0">
      <w:pPr>
        <w:spacing w:line="276" w:lineRule="auto"/>
        <w:rPr>
          <w:rFonts w:ascii="Arial Narrow" w:hAnsi="Arial Narrow" w:cstheme="minorHAnsi"/>
          <w:vanish/>
          <w:color w:val="C00000"/>
          <w:sz w:val="20"/>
          <w:szCs w:val="20"/>
        </w:rPr>
      </w:pPr>
    </w:p>
    <w:p w14:paraId="1AB5FB39" w14:textId="77777777" w:rsidR="002A2CE0" w:rsidRPr="003615DE" w:rsidRDefault="002A2CE0" w:rsidP="002A2CE0">
      <w:pPr>
        <w:pStyle w:val="Caption"/>
        <w:tabs>
          <w:tab w:val="left" w:pos="851"/>
        </w:tabs>
        <w:ind w:left="720" w:hanging="720"/>
        <w:rPr>
          <w:rFonts w:cstheme="minorHAnsi"/>
          <w:snapToGrid w:val="0"/>
          <w:szCs w:val="20"/>
          <w:lang w:eastAsia="en-US"/>
        </w:rPr>
      </w:pPr>
      <w:bookmarkStart w:id="31" w:name="_Ref421184437"/>
      <w:bookmarkStart w:id="32" w:name="_Toc56970789"/>
      <w:r w:rsidRPr="003615DE">
        <w:rPr>
          <w:rFonts w:cstheme="minorHAnsi"/>
          <w:szCs w:val="20"/>
        </w:rPr>
        <w:t xml:space="preserve">Table </w:t>
      </w:r>
      <w:r w:rsidRPr="003615DE">
        <w:rPr>
          <w:rFonts w:cstheme="minorHAnsi"/>
          <w:szCs w:val="20"/>
        </w:rPr>
        <w:fldChar w:fldCharType="begin"/>
      </w:r>
      <w:r w:rsidRPr="003615DE">
        <w:rPr>
          <w:rFonts w:cstheme="minorHAnsi"/>
          <w:szCs w:val="20"/>
        </w:rPr>
        <w:instrText xml:space="preserve"> SEQ Table \* ARABIC </w:instrText>
      </w:r>
      <w:r w:rsidRPr="003615DE">
        <w:rPr>
          <w:rFonts w:cstheme="minorHAnsi"/>
          <w:szCs w:val="20"/>
        </w:rPr>
        <w:fldChar w:fldCharType="separate"/>
      </w:r>
      <w:r>
        <w:rPr>
          <w:rFonts w:cstheme="minorHAnsi"/>
          <w:noProof/>
          <w:szCs w:val="20"/>
        </w:rPr>
        <w:t>2</w:t>
      </w:r>
      <w:r w:rsidRPr="003615DE">
        <w:rPr>
          <w:rFonts w:cstheme="minorHAnsi"/>
          <w:noProof/>
          <w:szCs w:val="20"/>
        </w:rPr>
        <w:fldChar w:fldCharType="end"/>
      </w:r>
      <w:bookmarkEnd w:id="31"/>
      <w:r w:rsidRPr="003615DE">
        <w:rPr>
          <w:rFonts w:cstheme="minorHAnsi"/>
          <w:noProof/>
          <w:szCs w:val="20"/>
        </w:rPr>
        <w:tab/>
      </w:r>
      <w:r w:rsidRPr="003615DE">
        <w:rPr>
          <w:rFonts w:cstheme="minorHAnsi"/>
          <w:snapToGrid w:val="0"/>
          <w:szCs w:val="20"/>
          <w:lang w:eastAsia="en-US"/>
        </w:rPr>
        <w:t xml:space="preserve">Balance of Clinical Benefits and Harms of </w:t>
      </w:r>
      <w:proofErr w:type="spellStart"/>
      <w:r w:rsidRPr="003615DE">
        <w:rPr>
          <w:rFonts w:cstheme="minorHAnsi"/>
          <w:snapToGrid w:val="0"/>
          <w:szCs w:val="20"/>
          <w:lang w:eastAsia="en-US"/>
        </w:rPr>
        <w:t>IMeRSe</w:t>
      </w:r>
      <w:proofErr w:type="spellEnd"/>
      <w:r w:rsidRPr="003615DE">
        <w:rPr>
          <w:rFonts w:cstheme="minorHAnsi"/>
          <w:snapToGrid w:val="0"/>
          <w:szCs w:val="20"/>
          <w:lang w:eastAsia="en-US"/>
        </w:rPr>
        <w:t xml:space="preserve">, Relative to Usual Care, and as Measured by the </w:t>
      </w:r>
      <w:r w:rsidRPr="003615DE">
        <w:rPr>
          <w:rFonts w:cstheme="minorHAnsi"/>
          <w:snapToGrid w:val="0"/>
          <w:szCs w:val="20"/>
          <w:u w:val="single"/>
          <w:lang w:eastAsia="en-US"/>
        </w:rPr>
        <w:t>Critical</w:t>
      </w:r>
      <w:r w:rsidRPr="003615DE">
        <w:rPr>
          <w:rFonts w:cstheme="minorHAnsi"/>
          <w:snapToGrid w:val="0"/>
          <w:szCs w:val="20"/>
          <w:lang w:eastAsia="en-US"/>
        </w:rPr>
        <w:t xml:space="preserve"> Patient-Relevant Outcomes in the Key Studies</w:t>
      </w:r>
      <w:bookmarkEnd w:id="32"/>
      <w:r w:rsidRPr="003615DE">
        <w:rPr>
          <w:rFonts w:cstheme="minorHAnsi"/>
          <w:snapToGrid w:val="0"/>
          <w:szCs w:val="20"/>
          <w:lang w:eastAsia="en-US"/>
        </w:rPr>
        <w:t xml:space="preserve"> </w:t>
      </w:r>
    </w:p>
    <w:tbl>
      <w:tblPr>
        <w:tblW w:w="0" w:type="auto"/>
        <w:tblLayout w:type="fixed"/>
        <w:tblLook w:val="04A0" w:firstRow="1" w:lastRow="0" w:firstColumn="1" w:lastColumn="0" w:noHBand="0" w:noVBand="1"/>
        <w:tblDescription w:val="Summary of findings table"/>
      </w:tblPr>
      <w:tblGrid>
        <w:gridCol w:w="1555"/>
        <w:gridCol w:w="1275"/>
        <w:gridCol w:w="993"/>
        <w:gridCol w:w="1275"/>
        <w:gridCol w:w="1276"/>
        <w:gridCol w:w="1276"/>
        <w:gridCol w:w="1366"/>
      </w:tblGrid>
      <w:tr w:rsidR="0046761E" w14:paraId="33006066" w14:textId="77777777" w:rsidTr="0029444E">
        <w:tc>
          <w:tcPr>
            <w:tcW w:w="1555" w:type="dxa"/>
            <w:tcBorders>
              <w:top w:val="single" w:sz="4" w:space="0" w:color="auto"/>
              <w:left w:val="single" w:sz="4" w:space="0" w:color="auto"/>
              <w:bottom w:val="single" w:sz="4" w:space="0" w:color="auto"/>
              <w:right w:val="single" w:sz="4" w:space="0" w:color="auto"/>
            </w:tcBorders>
          </w:tcPr>
          <w:p w14:paraId="52738336" w14:textId="77777777" w:rsidR="002A2CE0" w:rsidRDefault="002A2CE0" w:rsidP="0046761E">
            <w:pPr>
              <w:pStyle w:val="TableHeading"/>
            </w:pPr>
            <w:r w:rsidRPr="000A1599">
              <w:t>Outcomes</w:t>
            </w:r>
            <w:r>
              <w:t xml:space="preserve"> </w:t>
            </w:r>
          </w:p>
          <w:p w14:paraId="347D8FBA" w14:textId="77777777" w:rsidR="002A2CE0" w:rsidRPr="000A1599" w:rsidRDefault="002A2CE0" w:rsidP="0046761E">
            <w:pPr>
              <w:pStyle w:val="TableHeading"/>
            </w:pPr>
          </w:p>
        </w:tc>
        <w:tc>
          <w:tcPr>
            <w:tcW w:w="1275" w:type="dxa"/>
            <w:tcBorders>
              <w:top w:val="single" w:sz="4" w:space="0" w:color="auto"/>
              <w:left w:val="single" w:sz="4" w:space="0" w:color="auto"/>
              <w:bottom w:val="single" w:sz="4" w:space="0" w:color="auto"/>
              <w:right w:val="single" w:sz="4" w:space="0" w:color="auto"/>
            </w:tcBorders>
          </w:tcPr>
          <w:p w14:paraId="4FFF95A1" w14:textId="77777777" w:rsidR="002A2CE0" w:rsidRDefault="002A2CE0" w:rsidP="0046761E">
            <w:pPr>
              <w:pStyle w:val="TableHeading"/>
            </w:pPr>
            <w:r>
              <w:t>Participants (studies)</w:t>
            </w:r>
          </w:p>
          <w:p w14:paraId="1B1C3122" w14:textId="77777777" w:rsidR="002A2CE0" w:rsidRPr="000A1599" w:rsidRDefault="002A2CE0" w:rsidP="0046761E">
            <w:pPr>
              <w:pStyle w:val="TableHeading"/>
            </w:pPr>
          </w:p>
        </w:tc>
        <w:tc>
          <w:tcPr>
            <w:tcW w:w="993" w:type="dxa"/>
            <w:tcBorders>
              <w:top w:val="single" w:sz="4" w:space="0" w:color="auto"/>
              <w:left w:val="single" w:sz="4" w:space="0" w:color="auto"/>
              <w:bottom w:val="single" w:sz="4" w:space="0" w:color="auto"/>
              <w:right w:val="single" w:sz="4" w:space="0" w:color="auto"/>
            </w:tcBorders>
          </w:tcPr>
          <w:p w14:paraId="2395B18E" w14:textId="77777777" w:rsidR="002A2CE0" w:rsidRPr="000A1599" w:rsidRDefault="002A2CE0" w:rsidP="0046761E">
            <w:pPr>
              <w:pStyle w:val="TableHeading"/>
            </w:pPr>
            <w:r>
              <w:t>Quality of evidence (GRADE) a</w:t>
            </w:r>
          </w:p>
        </w:tc>
        <w:tc>
          <w:tcPr>
            <w:tcW w:w="1275" w:type="dxa"/>
            <w:tcBorders>
              <w:top w:val="single" w:sz="4" w:space="0" w:color="auto"/>
              <w:left w:val="single" w:sz="4" w:space="0" w:color="auto"/>
              <w:bottom w:val="single" w:sz="4" w:space="0" w:color="auto"/>
              <w:right w:val="single" w:sz="4" w:space="0" w:color="auto"/>
            </w:tcBorders>
          </w:tcPr>
          <w:p w14:paraId="40C96403" w14:textId="77777777" w:rsidR="002A2CE0" w:rsidRPr="000A1599" w:rsidRDefault="002A2CE0" w:rsidP="0046761E">
            <w:pPr>
              <w:pStyle w:val="TableHeading"/>
            </w:pPr>
            <w:r>
              <w:t>Incidence rate ratio (95%CI)</w:t>
            </w:r>
          </w:p>
        </w:tc>
        <w:tc>
          <w:tcPr>
            <w:tcW w:w="1276" w:type="dxa"/>
            <w:tcBorders>
              <w:top w:val="single" w:sz="4" w:space="0" w:color="auto"/>
              <w:left w:val="single" w:sz="4" w:space="0" w:color="auto"/>
              <w:bottom w:val="single" w:sz="4" w:space="0" w:color="auto"/>
              <w:right w:val="single" w:sz="4" w:space="0" w:color="auto"/>
            </w:tcBorders>
          </w:tcPr>
          <w:p w14:paraId="090E8F40" w14:textId="77777777" w:rsidR="002A2CE0" w:rsidRPr="000A1599" w:rsidRDefault="002A2CE0" w:rsidP="0046761E">
            <w:pPr>
              <w:pStyle w:val="TableHeading"/>
            </w:pPr>
            <w:r>
              <w:t>Pre rate/score (95%CI/SD)</w:t>
            </w:r>
          </w:p>
        </w:tc>
        <w:tc>
          <w:tcPr>
            <w:tcW w:w="1276" w:type="dxa"/>
            <w:tcBorders>
              <w:top w:val="single" w:sz="4" w:space="0" w:color="auto"/>
              <w:left w:val="single" w:sz="4" w:space="0" w:color="auto"/>
              <w:bottom w:val="single" w:sz="4" w:space="0" w:color="auto"/>
              <w:right w:val="single" w:sz="4" w:space="0" w:color="auto"/>
            </w:tcBorders>
          </w:tcPr>
          <w:p w14:paraId="0E9A3AA8" w14:textId="77777777" w:rsidR="002A2CE0" w:rsidRPr="000A1599" w:rsidRDefault="002A2CE0" w:rsidP="0046761E">
            <w:pPr>
              <w:pStyle w:val="TableHeading"/>
            </w:pPr>
            <w:r>
              <w:t>Post rate/score (95%CI/SD)</w:t>
            </w:r>
          </w:p>
        </w:tc>
        <w:tc>
          <w:tcPr>
            <w:tcW w:w="1366" w:type="dxa"/>
            <w:tcBorders>
              <w:top w:val="single" w:sz="4" w:space="0" w:color="auto"/>
              <w:left w:val="single" w:sz="4" w:space="0" w:color="auto"/>
              <w:bottom w:val="single" w:sz="4" w:space="0" w:color="auto"/>
              <w:right w:val="single" w:sz="4" w:space="0" w:color="auto"/>
            </w:tcBorders>
          </w:tcPr>
          <w:p w14:paraId="4DC8FF8B" w14:textId="77777777" w:rsidR="002A2CE0" w:rsidRPr="000A1599" w:rsidRDefault="002A2CE0" w:rsidP="0046761E">
            <w:pPr>
              <w:pStyle w:val="TableHeading"/>
            </w:pPr>
            <w:r>
              <w:t>Comments</w:t>
            </w:r>
          </w:p>
        </w:tc>
      </w:tr>
      <w:tr w:rsidR="0046761E" w:rsidRPr="00B153ED" w14:paraId="05FB52C5" w14:textId="77777777" w:rsidTr="0029444E">
        <w:trPr>
          <w:trHeight w:val="263"/>
        </w:trPr>
        <w:tc>
          <w:tcPr>
            <w:tcW w:w="1555" w:type="dxa"/>
            <w:tcBorders>
              <w:top w:val="single" w:sz="4" w:space="0" w:color="auto"/>
              <w:left w:val="single" w:sz="4" w:space="0" w:color="auto"/>
              <w:bottom w:val="single" w:sz="4" w:space="0" w:color="auto"/>
              <w:right w:val="single" w:sz="4" w:space="0" w:color="auto"/>
            </w:tcBorders>
          </w:tcPr>
          <w:p w14:paraId="307EE7EC" w14:textId="77777777" w:rsidR="002A2CE0" w:rsidRPr="00B153ED" w:rsidRDefault="002A2CE0" w:rsidP="0046761E">
            <w:pPr>
              <w:spacing w:before="40" w:after="40" w:line="240" w:lineRule="auto"/>
              <w:rPr>
                <w:rFonts w:ascii="Arial Narrow" w:hAnsi="Arial Narrow" w:cs="Arial"/>
                <w:sz w:val="20"/>
                <w:szCs w:val="20"/>
              </w:rPr>
            </w:pPr>
            <w:r w:rsidRPr="00B153ED">
              <w:rPr>
                <w:rFonts w:ascii="Arial Narrow" w:hAnsi="Arial Narrow" w:cs="Arial"/>
                <w:sz w:val="20"/>
                <w:szCs w:val="20"/>
              </w:rPr>
              <w:t>Serious medication related problems (count</w:t>
            </w:r>
            <w:r>
              <w:rPr>
                <w:rFonts w:ascii="Arial Narrow" w:hAnsi="Arial Narrow" w:cs="Arial"/>
                <w:sz w:val="20"/>
                <w:szCs w:val="20"/>
              </w:rPr>
              <w:t>/rate</w:t>
            </w:r>
            <w:r w:rsidRPr="00B153ED">
              <w:rPr>
                <w:rFonts w:ascii="Arial Narrow" w:hAnsi="Arial Narrow"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F940B6D" w14:textId="77777777" w:rsidR="002A2CE0" w:rsidRPr="00B153ED" w:rsidRDefault="002A2CE0" w:rsidP="0046761E">
            <w:pPr>
              <w:spacing w:before="40" w:after="40" w:line="240" w:lineRule="auto"/>
              <w:rPr>
                <w:rFonts w:ascii="Arial Narrow" w:hAnsi="Arial Narrow" w:cs="Arial"/>
                <w:sz w:val="20"/>
                <w:szCs w:val="20"/>
              </w:rPr>
            </w:pPr>
            <w:proofErr w:type="spellStart"/>
            <w:r w:rsidRPr="00B153ED">
              <w:rPr>
                <w:rFonts w:ascii="Arial Narrow" w:hAnsi="Arial Narrow" w:cs="Arial"/>
                <w:sz w:val="20"/>
                <w:szCs w:val="20"/>
              </w:rPr>
              <w:t>IMeRSe</w:t>
            </w:r>
            <w:proofErr w:type="spellEnd"/>
            <w:r w:rsidRPr="00B153ED">
              <w:rPr>
                <w:rFonts w:ascii="Arial Narrow" w:hAnsi="Arial Narrow" w:cs="Arial"/>
                <w:sz w:val="20"/>
                <w:szCs w:val="20"/>
              </w:rPr>
              <w:t xml:space="preserve"> (2020), n=207</w:t>
            </w:r>
          </w:p>
        </w:tc>
        <w:tc>
          <w:tcPr>
            <w:tcW w:w="993" w:type="dxa"/>
            <w:tcBorders>
              <w:top w:val="single" w:sz="4" w:space="0" w:color="auto"/>
              <w:left w:val="single" w:sz="4" w:space="0" w:color="auto"/>
              <w:bottom w:val="single" w:sz="4" w:space="0" w:color="auto"/>
              <w:right w:val="single" w:sz="4" w:space="0" w:color="auto"/>
            </w:tcBorders>
          </w:tcPr>
          <w:p w14:paraId="3D86FB09" w14:textId="77777777" w:rsidR="002A2CE0" w:rsidRPr="00B153ED" w:rsidRDefault="002A2CE0" w:rsidP="0046761E">
            <w:pPr>
              <w:spacing w:before="40" w:after="40" w:line="240" w:lineRule="auto"/>
              <w:rPr>
                <w:rFonts w:ascii="Arial Narrow" w:hAnsi="Arial Narrow" w:cs="Arial"/>
                <w:sz w:val="20"/>
                <w:szCs w:val="20"/>
              </w:rPr>
            </w:pPr>
            <w:r w:rsidRPr="00B153ED">
              <w:rPr>
                <w:rFonts w:ascii="Cambria Math" w:hAnsi="Cambria Math"/>
                <w:color w:val="00B050"/>
                <w:sz w:val="20"/>
                <w:szCs w:val="20"/>
              </w:rPr>
              <w:t>⨁⨁⨁</w:t>
            </w:r>
            <w:r w:rsidRPr="00B153ED">
              <w:rPr>
                <w:rFonts w:ascii="Cambria Math" w:hAnsi="Cambria Math" w:cs="Cambria Math"/>
                <w:color w:val="C00000"/>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E596913" w14:textId="213AB947" w:rsidR="002A2CE0" w:rsidRPr="00AF5437" w:rsidRDefault="00D561E0" w:rsidP="0046761E">
            <w:pPr>
              <w:spacing w:before="40" w:after="40" w:line="240" w:lineRule="auto"/>
              <w:rPr>
                <w:rFonts w:ascii="Arial Narrow" w:hAnsi="Arial Narrow" w:cs="Arial"/>
                <w:sz w:val="20"/>
                <w:szCs w:val="20"/>
                <w:highlight w:val="black"/>
              </w:rPr>
            </w:pPr>
            <w:r w:rsidRPr="0029444E">
              <w:rPr>
                <w:sz w:val="20"/>
                <w:szCs w:val="20"/>
              </w:rPr>
              <w:t>[</w:t>
            </w:r>
            <w:r w:rsidRPr="0029444E">
              <w:rPr>
                <w:i/>
                <w:iCs/>
                <w:sz w:val="20"/>
                <w:szCs w:val="20"/>
              </w:rPr>
              <w:t>redacted</w:t>
            </w:r>
            <w:r w:rsidRPr="0029444E">
              <w:rPr>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4720F1D1" w14:textId="64E29901" w:rsidR="002A2CE0" w:rsidRPr="00AF5437" w:rsidRDefault="00D561E0" w:rsidP="0046761E">
            <w:pPr>
              <w:spacing w:before="40" w:after="40" w:line="240" w:lineRule="auto"/>
              <w:rPr>
                <w:rFonts w:ascii="Arial Narrow" w:hAnsi="Arial Narrow" w:cs="Arial"/>
                <w:sz w:val="20"/>
                <w:szCs w:val="20"/>
                <w:highlight w:val="black"/>
              </w:rPr>
            </w:pPr>
            <w:r w:rsidRPr="0029444E">
              <w:rPr>
                <w:sz w:val="20"/>
                <w:szCs w:val="20"/>
              </w:rPr>
              <w:t>[</w:t>
            </w:r>
            <w:r w:rsidRPr="0029444E">
              <w:rPr>
                <w:i/>
                <w:iCs/>
                <w:sz w:val="20"/>
                <w:szCs w:val="20"/>
              </w:rPr>
              <w:t>redacted</w:t>
            </w:r>
            <w:r w:rsidRPr="0029444E">
              <w:rPr>
                <w:sz w:val="20"/>
                <w:szCs w:val="20"/>
              </w:rPr>
              <w:t>]</w:t>
            </w:r>
            <w:r w:rsidR="002A2CE0" w:rsidRPr="00AF5437">
              <w:rPr>
                <w:rFonts w:ascii="Arial Narrow" w:hAnsi="Arial Narrow" w:cs="Arial"/>
                <w:sz w:val="20"/>
                <w:szCs w:val="20"/>
                <w:highlight w:val="black"/>
              </w:rPr>
              <w:t xml:space="preserve"> </w:t>
            </w:r>
          </w:p>
        </w:tc>
        <w:tc>
          <w:tcPr>
            <w:tcW w:w="1276" w:type="dxa"/>
            <w:tcBorders>
              <w:top w:val="single" w:sz="4" w:space="0" w:color="auto"/>
              <w:left w:val="single" w:sz="4" w:space="0" w:color="auto"/>
              <w:bottom w:val="single" w:sz="4" w:space="0" w:color="auto"/>
              <w:right w:val="single" w:sz="4" w:space="0" w:color="auto"/>
            </w:tcBorders>
          </w:tcPr>
          <w:p w14:paraId="55E9B8C4" w14:textId="6414AEC0" w:rsidR="002A2CE0" w:rsidRPr="00AF5437" w:rsidRDefault="00D561E0" w:rsidP="0046761E">
            <w:pPr>
              <w:spacing w:before="40" w:after="40" w:line="240" w:lineRule="auto"/>
              <w:rPr>
                <w:rFonts w:ascii="Arial Narrow" w:hAnsi="Arial Narrow" w:cs="Arial"/>
                <w:sz w:val="20"/>
                <w:szCs w:val="20"/>
                <w:highlight w:val="black"/>
              </w:rPr>
            </w:pPr>
            <w:r w:rsidRPr="0029444E">
              <w:rPr>
                <w:sz w:val="20"/>
                <w:szCs w:val="20"/>
              </w:rPr>
              <w:t>[</w:t>
            </w:r>
            <w:r w:rsidRPr="0029444E">
              <w:rPr>
                <w:i/>
                <w:iCs/>
                <w:sz w:val="20"/>
                <w:szCs w:val="20"/>
              </w:rPr>
              <w:t>redacted</w:t>
            </w:r>
            <w:r w:rsidRPr="0029444E">
              <w:rPr>
                <w:sz w:val="20"/>
                <w:szCs w:val="20"/>
              </w:rPr>
              <w:t>]</w:t>
            </w:r>
          </w:p>
        </w:tc>
        <w:tc>
          <w:tcPr>
            <w:tcW w:w="1366" w:type="dxa"/>
            <w:tcBorders>
              <w:top w:val="single" w:sz="4" w:space="0" w:color="auto"/>
              <w:left w:val="single" w:sz="4" w:space="0" w:color="auto"/>
              <w:bottom w:val="single" w:sz="4" w:space="0" w:color="auto"/>
              <w:right w:val="single" w:sz="4" w:space="0" w:color="auto"/>
            </w:tcBorders>
          </w:tcPr>
          <w:p w14:paraId="026208E1" w14:textId="0880F177" w:rsidR="002A2CE0" w:rsidRPr="00AF5437" w:rsidRDefault="00D561E0" w:rsidP="0046761E">
            <w:pPr>
              <w:spacing w:before="40" w:after="40" w:line="240" w:lineRule="auto"/>
              <w:rPr>
                <w:rFonts w:ascii="Arial Narrow" w:hAnsi="Arial Narrow" w:cs="Arial"/>
                <w:sz w:val="20"/>
                <w:szCs w:val="20"/>
                <w:highlight w:val="black"/>
              </w:rPr>
            </w:pPr>
            <w:r w:rsidRPr="0029444E">
              <w:rPr>
                <w:sz w:val="20"/>
                <w:szCs w:val="20"/>
              </w:rPr>
              <w:t>[</w:t>
            </w:r>
            <w:r w:rsidRPr="0029444E">
              <w:rPr>
                <w:i/>
                <w:iCs/>
                <w:sz w:val="20"/>
                <w:szCs w:val="20"/>
              </w:rPr>
              <w:t>redacted</w:t>
            </w:r>
            <w:r w:rsidRPr="0029444E">
              <w:rPr>
                <w:sz w:val="20"/>
                <w:szCs w:val="20"/>
              </w:rPr>
              <w:t>]</w:t>
            </w:r>
            <w:r w:rsidR="002A2CE0" w:rsidRPr="00AF5437">
              <w:rPr>
                <w:rFonts w:ascii="Arial Narrow" w:hAnsi="Arial Narrow" w:cs="Arial"/>
                <w:sz w:val="20"/>
                <w:szCs w:val="20"/>
                <w:highlight w:val="black"/>
              </w:rPr>
              <w:t xml:space="preserve"> </w:t>
            </w:r>
          </w:p>
        </w:tc>
      </w:tr>
      <w:tr w:rsidR="0046761E" w:rsidRPr="00B153ED" w14:paraId="7977C6F5" w14:textId="77777777" w:rsidTr="0029444E">
        <w:trPr>
          <w:trHeight w:val="263"/>
        </w:trPr>
        <w:tc>
          <w:tcPr>
            <w:tcW w:w="1555" w:type="dxa"/>
            <w:tcBorders>
              <w:top w:val="single" w:sz="4" w:space="0" w:color="auto"/>
              <w:left w:val="single" w:sz="4" w:space="0" w:color="auto"/>
              <w:bottom w:val="single" w:sz="4" w:space="0" w:color="auto"/>
              <w:right w:val="single" w:sz="4" w:space="0" w:color="auto"/>
            </w:tcBorders>
          </w:tcPr>
          <w:p w14:paraId="15A2F76F" w14:textId="77777777" w:rsidR="002A2CE0" w:rsidRPr="00B153ED" w:rsidRDefault="002A2CE0" w:rsidP="0046761E">
            <w:pPr>
              <w:spacing w:before="40" w:after="40" w:line="240" w:lineRule="auto"/>
              <w:rPr>
                <w:rFonts w:ascii="Arial Narrow" w:hAnsi="Arial Narrow" w:cs="Arial"/>
                <w:sz w:val="20"/>
                <w:szCs w:val="20"/>
              </w:rPr>
            </w:pPr>
            <w:r>
              <w:rPr>
                <w:rFonts w:ascii="Arial Narrow" w:hAnsi="Arial Narrow" w:cs="Arial"/>
                <w:sz w:val="20"/>
                <w:szCs w:val="20"/>
              </w:rPr>
              <w:t>Potentially preventable medication-related hospitalisations (count/rate)</w:t>
            </w:r>
          </w:p>
        </w:tc>
        <w:tc>
          <w:tcPr>
            <w:tcW w:w="1275" w:type="dxa"/>
            <w:tcBorders>
              <w:top w:val="single" w:sz="4" w:space="0" w:color="auto"/>
              <w:left w:val="single" w:sz="4" w:space="0" w:color="auto"/>
              <w:bottom w:val="single" w:sz="4" w:space="0" w:color="auto"/>
              <w:right w:val="single" w:sz="4" w:space="0" w:color="auto"/>
            </w:tcBorders>
          </w:tcPr>
          <w:p w14:paraId="27FB19B5" w14:textId="77777777" w:rsidR="002A2CE0" w:rsidRPr="00B153ED" w:rsidRDefault="002A2CE0" w:rsidP="0046761E">
            <w:pPr>
              <w:spacing w:before="40" w:after="40" w:line="240" w:lineRule="auto"/>
              <w:rPr>
                <w:rFonts w:ascii="Arial Narrow" w:hAnsi="Arial Narrow" w:cs="Arial"/>
                <w:sz w:val="20"/>
                <w:szCs w:val="20"/>
              </w:rPr>
            </w:pPr>
            <w:proofErr w:type="spellStart"/>
            <w:r w:rsidRPr="00B153ED">
              <w:rPr>
                <w:rFonts w:ascii="Arial Narrow" w:hAnsi="Arial Narrow" w:cs="Arial"/>
                <w:sz w:val="20"/>
                <w:szCs w:val="20"/>
              </w:rPr>
              <w:t>IMeRSe</w:t>
            </w:r>
            <w:proofErr w:type="spellEnd"/>
            <w:r w:rsidRPr="00B153ED">
              <w:rPr>
                <w:rFonts w:ascii="Arial Narrow" w:hAnsi="Arial Narrow" w:cs="Arial"/>
                <w:sz w:val="20"/>
                <w:szCs w:val="20"/>
              </w:rPr>
              <w:t xml:space="preserve"> (2020), n=207</w:t>
            </w:r>
          </w:p>
        </w:tc>
        <w:tc>
          <w:tcPr>
            <w:tcW w:w="993" w:type="dxa"/>
            <w:tcBorders>
              <w:top w:val="single" w:sz="4" w:space="0" w:color="auto"/>
              <w:left w:val="single" w:sz="4" w:space="0" w:color="auto"/>
              <w:bottom w:val="single" w:sz="4" w:space="0" w:color="auto"/>
              <w:right w:val="single" w:sz="4" w:space="0" w:color="auto"/>
            </w:tcBorders>
          </w:tcPr>
          <w:p w14:paraId="67160EC7" w14:textId="77777777" w:rsidR="002A2CE0" w:rsidRPr="00B153ED" w:rsidRDefault="002A2CE0" w:rsidP="0046761E">
            <w:pPr>
              <w:spacing w:before="40" w:after="40" w:line="240" w:lineRule="auto"/>
              <w:rPr>
                <w:rFonts w:ascii="Cambria Math" w:hAnsi="Cambria Math"/>
                <w:color w:val="00B050"/>
                <w:sz w:val="20"/>
                <w:szCs w:val="20"/>
              </w:rPr>
            </w:pPr>
            <w:r w:rsidRPr="00D4733A">
              <w:rPr>
                <w:rFonts w:ascii="Cambria Math" w:hAnsi="Cambria Math"/>
                <w:color w:val="00B050"/>
              </w:rPr>
              <w:t>⨁⨁⨁</w:t>
            </w:r>
            <w:r w:rsidRPr="00D4733A">
              <w:rPr>
                <w:rFonts w:ascii="Cambria Math" w:hAnsi="Cambria Math" w:cs="Cambria Math"/>
                <w:color w:val="C00000"/>
              </w:rPr>
              <w:t>⨀</w:t>
            </w:r>
          </w:p>
        </w:tc>
        <w:tc>
          <w:tcPr>
            <w:tcW w:w="1275" w:type="dxa"/>
            <w:tcBorders>
              <w:top w:val="single" w:sz="4" w:space="0" w:color="auto"/>
              <w:left w:val="single" w:sz="4" w:space="0" w:color="auto"/>
              <w:bottom w:val="single" w:sz="4" w:space="0" w:color="auto"/>
              <w:right w:val="single" w:sz="4" w:space="0" w:color="auto"/>
            </w:tcBorders>
          </w:tcPr>
          <w:p w14:paraId="5441DE91" w14:textId="11E8EAFB" w:rsidR="002A2CE0" w:rsidRPr="00AF5437" w:rsidRDefault="00D561E0" w:rsidP="0046761E">
            <w:pPr>
              <w:spacing w:before="40" w:after="40" w:line="240" w:lineRule="auto"/>
              <w:rPr>
                <w:rFonts w:ascii="Arial Narrow" w:hAnsi="Arial Narrow" w:cs="Arial"/>
                <w:sz w:val="20"/>
                <w:szCs w:val="20"/>
                <w:highlight w:val="black"/>
              </w:rPr>
            </w:pPr>
            <w:r w:rsidRPr="0029444E">
              <w:rPr>
                <w:sz w:val="20"/>
                <w:szCs w:val="20"/>
              </w:rPr>
              <w:t>[</w:t>
            </w:r>
            <w:r w:rsidRPr="0029444E">
              <w:rPr>
                <w:i/>
                <w:iCs/>
                <w:sz w:val="20"/>
                <w:szCs w:val="20"/>
              </w:rPr>
              <w:t>redacted</w:t>
            </w:r>
            <w:r w:rsidRPr="0029444E">
              <w:rPr>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7E0442FA" w14:textId="2F8B653E" w:rsidR="002A2CE0" w:rsidRPr="00AF5437" w:rsidRDefault="00D561E0" w:rsidP="0046761E">
            <w:pPr>
              <w:spacing w:before="40" w:after="40" w:line="240" w:lineRule="auto"/>
              <w:rPr>
                <w:rFonts w:ascii="Arial Narrow" w:hAnsi="Arial Narrow" w:cs="Arial"/>
                <w:sz w:val="20"/>
                <w:szCs w:val="20"/>
                <w:highlight w:val="black"/>
              </w:rPr>
            </w:pPr>
            <w:r w:rsidRPr="0029444E">
              <w:rPr>
                <w:sz w:val="20"/>
                <w:szCs w:val="20"/>
              </w:rPr>
              <w:t>[</w:t>
            </w:r>
            <w:r w:rsidRPr="0029444E">
              <w:rPr>
                <w:i/>
                <w:iCs/>
                <w:sz w:val="20"/>
                <w:szCs w:val="20"/>
              </w:rPr>
              <w:t>redacted</w:t>
            </w:r>
            <w:r w:rsidRPr="0029444E">
              <w:rPr>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048A7D04" w14:textId="11B7CEFF" w:rsidR="002A2CE0" w:rsidRPr="00AF5437" w:rsidRDefault="00D561E0" w:rsidP="0046761E">
            <w:pPr>
              <w:spacing w:before="40" w:after="40" w:line="240" w:lineRule="auto"/>
              <w:rPr>
                <w:rFonts w:ascii="Arial Narrow" w:hAnsi="Arial Narrow" w:cs="Arial"/>
                <w:sz w:val="20"/>
                <w:szCs w:val="20"/>
                <w:highlight w:val="black"/>
              </w:rPr>
            </w:pPr>
            <w:r w:rsidRPr="0029444E">
              <w:rPr>
                <w:sz w:val="20"/>
                <w:szCs w:val="20"/>
              </w:rPr>
              <w:t>[</w:t>
            </w:r>
            <w:r w:rsidRPr="0029444E">
              <w:rPr>
                <w:i/>
                <w:iCs/>
                <w:sz w:val="20"/>
                <w:szCs w:val="20"/>
              </w:rPr>
              <w:t>redacted</w:t>
            </w:r>
            <w:r w:rsidRPr="0029444E">
              <w:rPr>
                <w:sz w:val="20"/>
                <w:szCs w:val="20"/>
              </w:rPr>
              <w:t>]</w:t>
            </w:r>
          </w:p>
        </w:tc>
        <w:tc>
          <w:tcPr>
            <w:tcW w:w="1366" w:type="dxa"/>
            <w:tcBorders>
              <w:top w:val="single" w:sz="4" w:space="0" w:color="auto"/>
              <w:left w:val="single" w:sz="4" w:space="0" w:color="auto"/>
              <w:bottom w:val="single" w:sz="4" w:space="0" w:color="auto"/>
              <w:right w:val="single" w:sz="4" w:space="0" w:color="auto"/>
            </w:tcBorders>
          </w:tcPr>
          <w:p w14:paraId="4FEAB03C" w14:textId="538CCD73" w:rsidR="002A2CE0" w:rsidRPr="00AF5437" w:rsidRDefault="00D561E0" w:rsidP="0046761E">
            <w:pPr>
              <w:spacing w:before="40" w:after="40" w:line="240" w:lineRule="auto"/>
              <w:rPr>
                <w:rFonts w:ascii="Arial Narrow" w:hAnsi="Arial Narrow" w:cs="Arial"/>
                <w:sz w:val="20"/>
                <w:szCs w:val="20"/>
                <w:highlight w:val="black"/>
              </w:rPr>
            </w:pPr>
            <w:r w:rsidRPr="0029444E">
              <w:rPr>
                <w:sz w:val="20"/>
                <w:szCs w:val="20"/>
              </w:rPr>
              <w:t>[</w:t>
            </w:r>
            <w:r w:rsidRPr="0029444E">
              <w:rPr>
                <w:i/>
                <w:iCs/>
                <w:sz w:val="20"/>
                <w:szCs w:val="20"/>
              </w:rPr>
              <w:t>redacted</w:t>
            </w:r>
            <w:r w:rsidRPr="0029444E">
              <w:rPr>
                <w:sz w:val="20"/>
                <w:szCs w:val="20"/>
              </w:rPr>
              <w:t>]</w:t>
            </w:r>
          </w:p>
        </w:tc>
      </w:tr>
      <w:tr w:rsidR="0046761E" w:rsidRPr="00B153ED" w14:paraId="1A2ECC32" w14:textId="77777777" w:rsidTr="0029444E">
        <w:trPr>
          <w:trHeight w:val="25"/>
        </w:trPr>
        <w:tc>
          <w:tcPr>
            <w:tcW w:w="1555" w:type="dxa"/>
            <w:tcBorders>
              <w:top w:val="single" w:sz="4" w:space="0" w:color="auto"/>
              <w:left w:val="single" w:sz="4" w:space="0" w:color="auto"/>
              <w:bottom w:val="single" w:sz="4" w:space="0" w:color="auto"/>
              <w:right w:val="single" w:sz="4" w:space="0" w:color="auto"/>
            </w:tcBorders>
          </w:tcPr>
          <w:p w14:paraId="0318AB0E" w14:textId="77777777" w:rsidR="002A2CE0" w:rsidRPr="00B153ED" w:rsidRDefault="002A2CE0" w:rsidP="0046761E">
            <w:pPr>
              <w:spacing w:before="40" w:after="40" w:line="240" w:lineRule="auto"/>
              <w:rPr>
                <w:rFonts w:ascii="Arial Narrow" w:hAnsi="Arial Narrow" w:cs="Arial"/>
                <w:sz w:val="20"/>
                <w:szCs w:val="20"/>
              </w:rPr>
            </w:pPr>
            <w:r w:rsidRPr="00B153ED">
              <w:rPr>
                <w:rFonts w:ascii="Arial Narrow" w:hAnsi="Arial Narrow" w:cs="Arial"/>
                <w:sz w:val="20"/>
                <w:szCs w:val="20"/>
              </w:rPr>
              <w:t>Medication adherence (MPR)</w:t>
            </w:r>
          </w:p>
        </w:tc>
        <w:tc>
          <w:tcPr>
            <w:tcW w:w="1275" w:type="dxa"/>
            <w:tcBorders>
              <w:top w:val="single" w:sz="4" w:space="0" w:color="auto"/>
              <w:left w:val="single" w:sz="4" w:space="0" w:color="auto"/>
              <w:bottom w:val="single" w:sz="4" w:space="0" w:color="auto"/>
              <w:right w:val="single" w:sz="4" w:space="0" w:color="auto"/>
            </w:tcBorders>
          </w:tcPr>
          <w:p w14:paraId="6466E9E9" w14:textId="77777777" w:rsidR="002A2CE0" w:rsidRPr="00B153ED" w:rsidRDefault="002A2CE0" w:rsidP="0046761E">
            <w:pPr>
              <w:spacing w:before="40" w:after="40" w:line="240" w:lineRule="auto"/>
              <w:rPr>
                <w:rFonts w:ascii="Arial Narrow" w:hAnsi="Arial Narrow" w:cs="Arial"/>
                <w:sz w:val="20"/>
                <w:szCs w:val="20"/>
              </w:rPr>
            </w:pPr>
            <w:proofErr w:type="spellStart"/>
            <w:r w:rsidRPr="00B153ED">
              <w:rPr>
                <w:rFonts w:ascii="Arial Narrow" w:hAnsi="Arial Narrow" w:cs="Arial"/>
                <w:sz w:val="20"/>
                <w:szCs w:val="20"/>
              </w:rPr>
              <w:t>IMeRSe</w:t>
            </w:r>
            <w:proofErr w:type="spellEnd"/>
            <w:r w:rsidRPr="00B153ED">
              <w:rPr>
                <w:rFonts w:ascii="Arial Narrow" w:hAnsi="Arial Narrow" w:cs="Arial"/>
                <w:sz w:val="20"/>
                <w:szCs w:val="20"/>
              </w:rPr>
              <w:t xml:space="preserve"> </w:t>
            </w:r>
            <w:r>
              <w:rPr>
                <w:rFonts w:ascii="Arial Narrow" w:hAnsi="Arial Narrow" w:cs="Arial"/>
                <w:sz w:val="20"/>
                <w:szCs w:val="20"/>
              </w:rPr>
              <w:t xml:space="preserve">b </w:t>
            </w:r>
            <w:r w:rsidRPr="00B153ED">
              <w:rPr>
                <w:rFonts w:ascii="Arial Narrow" w:hAnsi="Arial Narrow" w:cs="Arial"/>
                <w:sz w:val="20"/>
                <w:szCs w:val="20"/>
              </w:rPr>
              <w:t>(2020), n=</w:t>
            </w:r>
            <w:r>
              <w:rPr>
                <w:rFonts w:ascii="Arial Narrow" w:hAnsi="Arial Narrow" w:cs="Arial"/>
                <w:sz w:val="20"/>
                <w:szCs w:val="20"/>
              </w:rPr>
              <w:t>599</w:t>
            </w:r>
          </w:p>
        </w:tc>
        <w:tc>
          <w:tcPr>
            <w:tcW w:w="993" w:type="dxa"/>
            <w:tcBorders>
              <w:top w:val="single" w:sz="4" w:space="0" w:color="auto"/>
              <w:left w:val="single" w:sz="4" w:space="0" w:color="auto"/>
              <w:bottom w:val="single" w:sz="4" w:space="0" w:color="auto"/>
              <w:right w:val="single" w:sz="4" w:space="0" w:color="auto"/>
            </w:tcBorders>
          </w:tcPr>
          <w:p w14:paraId="5B2887D5" w14:textId="77777777" w:rsidR="002A2CE0" w:rsidRPr="00B153ED" w:rsidRDefault="002A2CE0" w:rsidP="0046761E">
            <w:pPr>
              <w:spacing w:before="40" w:after="40" w:line="240" w:lineRule="auto"/>
              <w:rPr>
                <w:rFonts w:ascii="Arial Narrow" w:hAnsi="Arial Narrow" w:cs="Arial"/>
                <w:sz w:val="20"/>
                <w:szCs w:val="20"/>
              </w:rPr>
            </w:pPr>
            <w:r w:rsidRPr="00D4733A">
              <w:rPr>
                <w:rFonts w:ascii="Cambria Math" w:hAnsi="Cambria Math"/>
                <w:color w:val="00B050"/>
              </w:rPr>
              <w:t>⨁⨁⨁</w:t>
            </w:r>
            <w:r w:rsidRPr="00D4733A">
              <w:rPr>
                <w:rFonts w:ascii="Cambria Math" w:hAnsi="Cambria Math" w:cs="Cambria Math"/>
                <w:color w:val="C00000"/>
              </w:rPr>
              <w:t>⨀</w:t>
            </w:r>
          </w:p>
        </w:tc>
        <w:tc>
          <w:tcPr>
            <w:tcW w:w="1275" w:type="dxa"/>
            <w:tcBorders>
              <w:top w:val="single" w:sz="4" w:space="0" w:color="auto"/>
              <w:left w:val="single" w:sz="4" w:space="0" w:color="auto"/>
              <w:bottom w:val="single" w:sz="4" w:space="0" w:color="auto"/>
              <w:right w:val="single" w:sz="4" w:space="0" w:color="auto"/>
            </w:tcBorders>
          </w:tcPr>
          <w:p w14:paraId="3CEFCE58" w14:textId="77777777" w:rsidR="002A2CE0" w:rsidRPr="00AF5437" w:rsidRDefault="002A2CE0" w:rsidP="0046761E">
            <w:pPr>
              <w:spacing w:before="40" w:after="40" w:line="240" w:lineRule="auto"/>
              <w:rPr>
                <w:rFonts w:ascii="Arial Narrow" w:hAnsi="Arial Narrow" w:cs="Arial"/>
                <w:sz w:val="20"/>
                <w:szCs w:val="20"/>
                <w:highlight w:val="black"/>
              </w:rPr>
            </w:pPr>
          </w:p>
        </w:tc>
        <w:tc>
          <w:tcPr>
            <w:tcW w:w="1276" w:type="dxa"/>
            <w:tcBorders>
              <w:top w:val="single" w:sz="4" w:space="0" w:color="auto"/>
              <w:left w:val="single" w:sz="4" w:space="0" w:color="auto"/>
              <w:bottom w:val="single" w:sz="4" w:space="0" w:color="auto"/>
              <w:right w:val="single" w:sz="4" w:space="0" w:color="auto"/>
            </w:tcBorders>
          </w:tcPr>
          <w:p w14:paraId="56CBE93F" w14:textId="6CFA6842" w:rsidR="002A2CE0" w:rsidRPr="00AF5437" w:rsidRDefault="00D561E0" w:rsidP="0046761E">
            <w:pPr>
              <w:spacing w:before="40" w:after="40" w:line="240" w:lineRule="auto"/>
              <w:rPr>
                <w:rFonts w:ascii="Arial Narrow" w:hAnsi="Arial Narrow" w:cs="Arial"/>
                <w:sz w:val="20"/>
                <w:szCs w:val="20"/>
                <w:highlight w:val="black"/>
              </w:rPr>
            </w:pPr>
            <w:r w:rsidRPr="0029444E">
              <w:rPr>
                <w:sz w:val="20"/>
                <w:szCs w:val="20"/>
              </w:rPr>
              <w:t>[</w:t>
            </w:r>
            <w:r w:rsidRPr="0029444E">
              <w:rPr>
                <w:i/>
                <w:iCs/>
                <w:sz w:val="20"/>
                <w:szCs w:val="20"/>
              </w:rPr>
              <w:t>redacted</w:t>
            </w:r>
            <w:r w:rsidRPr="0029444E">
              <w:rPr>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67C00993" w14:textId="5D7E9134" w:rsidR="002A2CE0" w:rsidRPr="00AF5437" w:rsidRDefault="00D561E0" w:rsidP="0046761E">
            <w:pPr>
              <w:spacing w:before="40" w:after="40" w:line="240" w:lineRule="auto"/>
              <w:rPr>
                <w:rFonts w:ascii="Arial Narrow" w:hAnsi="Arial Narrow" w:cs="Arial"/>
                <w:sz w:val="20"/>
                <w:szCs w:val="20"/>
                <w:highlight w:val="black"/>
              </w:rPr>
            </w:pPr>
            <w:r w:rsidRPr="0029444E">
              <w:rPr>
                <w:sz w:val="20"/>
                <w:szCs w:val="20"/>
              </w:rPr>
              <w:t>[</w:t>
            </w:r>
            <w:r w:rsidRPr="0029444E">
              <w:rPr>
                <w:i/>
                <w:iCs/>
                <w:sz w:val="20"/>
                <w:szCs w:val="20"/>
              </w:rPr>
              <w:t>redacted</w:t>
            </w:r>
            <w:r w:rsidRPr="0029444E">
              <w:rPr>
                <w:sz w:val="20"/>
                <w:szCs w:val="20"/>
              </w:rPr>
              <w:t>]</w:t>
            </w:r>
          </w:p>
        </w:tc>
        <w:tc>
          <w:tcPr>
            <w:tcW w:w="1366" w:type="dxa"/>
            <w:tcBorders>
              <w:top w:val="single" w:sz="4" w:space="0" w:color="auto"/>
              <w:left w:val="single" w:sz="4" w:space="0" w:color="auto"/>
              <w:bottom w:val="single" w:sz="4" w:space="0" w:color="auto"/>
              <w:right w:val="single" w:sz="4" w:space="0" w:color="auto"/>
            </w:tcBorders>
          </w:tcPr>
          <w:p w14:paraId="4D3C37A0" w14:textId="5B956103" w:rsidR="002A2CE0" w:rsidRPr="00AF5437" w:rsidRDefault="00D561E0" w:rsidP="0046761E">
            <w:pPr>
              <w:spacing w:before="40" w:after="40" w:line="240" w:lineRule="auto"/>
              <w:rPr>
                <w:rFonts w:ascii="Arial Narrow" w:hAnsi="Arial Narrow" w:cs="Arial"/>
                <w:sz w:val="20"/>
                <w:szCs w:val="20"/>
                <w:highlight w:val="black"/>
              </w:rPr>
            </w:pPr>
            <w:r w:rsidRPr="0029444E">
              <w:rPr>
                <w:sz w:val="20"/>
                <w:szCs w:val="20"/>
              </w:rPr>
              <w:t>[</w:t>
            </w:r>
            <w:r w:rsidRPr="0029444E">
              <w:rPr>
                <w:i/>
                <w:iCs/>
                <w:sz w:val="20"/>
                <w:szCs w:val="20"/>
              </w:rPr>
              <w:t>redacted</w:t>
            </w:r>
            <w:r w:rsidRPr="0029444E">
              <w:rPr>
                <w:sz w:val="20"/>
                <w:szCs w:val="20"/>
              </w:rPr>
              <w:t>]</w:t>
            </w:r>
          </w:p>
        </w:tc>
      </w:tr>
      <w:tr w:rsidR="0046761E" w:rsidRPr="00B153ED" w14:paraId="3B8D1F3F" w14:textId="77777777" w:rsidTr="0029444E">
        <w:tc>
          <w:tcPr>
            <w:tcW w:w="1555" w:type="dxa"/>
            <w:tcBorders>
              <w:top w:val="single" w:sz="4" w:space="0" w:color="auto"/>
              <w:left w:val="single" w:sz="4" w:space="0" w:color="auto"/>
              <w:bottom w:val="single" w:sz="4" w:space="0" w:color="auto"/>
              <w:right w:val="single" w:sz="4" w:space="0" w:color="auto"/>
            </w:tcBorders>
          </w:tcPr>
          <w:p w14:paraId="105C5031" w14:textId="77777777" w:rsidR="002A2CE0" w:rsidRPr="00B153ED" w:rsidRDefault="002A2CE0" w:rsidP="0046761E">
            <w:pPr>
              <w:spacing w:before="40" w:after="40" w:line="240" w:lineRule="auto"/>
              <w:rPr>
                <w:rFonts w:ascii="Arial Narrow" w:hAnsi="Arial Narrow" w:cs="Arial"/>
                <w:sz w:val="20"/>
                <w:szCs w:val="20"/>
              </w:rPr>
            </w:pPr>
            <w:r w:rsidRPr="00B153ED">
              <w:rPr>
                <w:rFonts w:ascii="Arial Narrow" w:hAnsi="Arial Narrow" w:cs="Arial"/>
                <w:sz w:val="20"/>
                <w:szCs w:val="20"/>
              </w:rPr>
              <w:t>Empowerment (GEM)</w:t>
            </w:r>
          </w:p>
        </w:tc>
        <w:tc>
          <w:tcPr>
            <w:tcW w:w="1275" w:type="dxa"/>
            <w:tcBorders>
              <w:top w:val="single" w:sz="4" w:space="0" w:color="auto"/>
              <w:left w:val="single" w:sz="4" w:space="0" w:color="auto"/>
              <w:bottom w:val="single" w:sz="4" w:space="0" w:color="auto"/>
              <w:right w:val="single" w:sz="4" w:space="0" w:color="auto"/>
            </w:tcBorders>
          </w:tcPr>
          <w:p w14:paraId="407D19DA" w14:textId="77777777" w:rsidR="002A2CE0" w:rsidRPr="00B153ED" w:rsidRDefault="002A2CE0" w:rsidP="0046761E">
            <w:pPr>
              <w:spacing w:before="40" w:after="40" w:line="240" w:lineRule="auto"/>
              <w:rPr>
                <w:rFonts w:ascii="Arial Narrow" w:hAnsi="Arial Narrow" w:cs="Arial"/>
                <w:sz w:val="20"/>
                <w:szCs w:val="20"/>
              </w:rPr>
            </w:pPr>
            <w:proofErr w:type="spellStart"/>
            <w:r w:rsidRPr="00B153ED">
              <w:rPr>
                <w:rFonts w:ascii="Arial Narrow" w:hAnsi="Arial Narrow" w:cs="Arial"/>
                <w:sz w:val="20"/>
                <w:szCs w:val="20"/>
              </w:rPr>
              <w:t>IMeRSe</w:t>
            </w:r>
            <w:proofErr w:type="spellEnd"/>
            <w:r w:rsidRPr="00B153ED">
              <w:rPr>
                <w:rFonts w:ascii="Arial Narrow" w:hAnsi="Arial Narrow" w:cs="Arial"/>
                <w:sz w:val="20"/>
                <w:szCs w:val="20"/>
              </w:rPr>
              <w:t xml:space="preserve"> (2020), n=96</w:t>
            </w:r>
          </w:p>
        </w:tc>
        <w:tc>
          <w:tcPr>
            <w:tcW w:w="993" w:type="dxa"/>
            <w:tcBorders>
              <w:top w:val="single" w:sz="4" w:space="0" w:color="auto"/>
              <w:left w:val="single" w:sz="4" w:space="0" w:color="auto"/>
              <w:bottom w:val="single" w:sz="4" w:space="0" w:color="auto"/>
              <w:right w:val="single" w:sz="4" w:space="0" w:color="auto"/>
            </w:tcBorders>
          </w:tcPr>
          <w:p w14:paraId="1A55A6ED" w14:textId="77777777" w:rsidR="002A2CE0" w:rsidRPr="00B153ED" w:rsidRDefault="002A2CE0" w:rsidP="0046761E">
            <w:pPr>
              <w:spacing w:before="40" w:after="40" w:line="240" w:lineRule="auto"/>
              <w:rPr>
                <w:rFonts w:ascii="Arial Narrow" w:hAnsi="Arial Narrow" w:cs="Arial"/>
                <w:sz w:val="20"/>
                <w:szCs w:val="20"/>
              </w:rPr>
            </w:pPr>
            <w:r w:rsidRPr="00B153ED">
              <w:rPr>
                <w:rFonts w:ascii="Cambria Math" w:hAnsi="Cambria Math"/>
                <w:color w:val="00B050"/>
                <w:sz w:val="20"/>
                <w:szCs w:val="20"/>
              </w:rPr>
              <w:t>⨁⨁⨁</w:t>
            </w:r>
            <w:r w:rsidRPr="00B153ED">
              <w:rPr>
                <w:rFonts w:ascii="Cambria Math" w:hAnsi="Cambria Math" w:cs="Cambria Math"/>
                <w:color w:val="C00000"/>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2F186B2" w14:textId="77777777" w:rsidR="002A2CE0" w:rsidRPr="002A2CE0" w:rsidRDefault="002A2CE0" w:rsidP="0046761E">
            <w:pPr>
              <w:spacing w:before="40" w:after="40" w:line="240" w:lineRule="auto"/>
              <w:rPr>
                <w:rFonts w:ascii="Arial Narrow" w:hAnsi="Arial Narrow" w:cs="Arial"/>
                <w:sz w:val="20"/>
                <w:szCs w:val="20"/>
                <w:highlight w:val="black"/>
              </w:rPr>
            </w:pPr>
          </w:p>
        </w:tc>
        <w:tc>
          <w:tcPr>
            <w:tcW w:w="1276" w:type="dxa"/>
            <w:tcBorders>
              <w:top w:val="single" w:sz="4" w:space="0" w:color="auto"/>
              <w:left w:val="single" w:sz="4" w:space="0" w:color="auto"/>
              <w:bottom w:val="single" w:sz="4" w:space="0" w:color="auto"/>
              <w:right w:val="single" w:sz="4" w:space="0" w:color="auto"/>
            </w:tcBorders>
          </w:tcPr>
          <w:p w14:paraId="66C94822" w14:textId="09E2D59F" w:rsidR="002A2CE0" w:rsidRPr="00AF5437" w:rsidRDefault="00D561E0" w:rsidP="0046761E">
            <w:pPr>
              <w:spacing w:before="40" w:after="40" w:line="240" w:lineRule="auto"/>
              <w:rPr>
                <w:rFonts w:ascii="Arial Narrow" w:hAnsi="Arial Narrow" w:cs="Arial"/>
                <w:sz w:val="20"/>
                <w:szCs w:val="20"/>
                <w:highlight w:val="black"/>
              </w:rPr>
            </w:pPr>
            <w:r w:rsidRPr="0029444E">
              <w:rPr>
                <w:sz w:val="20"/>
                <w:szCs w:val="20"/>
              </w:rPr>
              <w:t>[</w:t>
            </w:r>
            <w:r w:rsidRPr="0029444E">
              <w:rPr>
                <w:i/>
                <w:iCs/>
                <w:sz w:val="20"/>
                <w:szCs w:val="20"/>
              </w:rPr>
              <w:t>redacted</w:t>
            </w:r>
            <w:r w:rsidRPr="0029444E">
              <w:rPr>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52E128A7" w14:textId="5E29E4A4" w:rsidR="002A2CE0" w:rsidRPr="00AF5437" w:rsidRDefault="00AF5437" w:rsidP="0046761E">
            <w:pPr>
              <w:spacing w:before="40" w:after="40" w:line="240" w:lineRule="auto"/>
              <w:rPr>
                <w:rFonts w:ascii="Arial Narrow" w:hAnsi="Arial Narrow" w:cs="Arial"/>
                <w:sz w:val="20"/>
                <w:szCs w:val="20"/>
                <w:highlight w:val="black"/>
              </w:rPr>
            </w:pPr>
            <w:r w:rsidRPr="0029444E">
              <w:rPr>
                <w:sz w:val="20"/>
                <w:szCs w:val="20"/>
              </w:rPr>
              <w:t>[</w:t>
            </w:r>
            <w:r w:rsidRPr="0029444E">
              <w:rPr>
                <w:i/>
                <w:iCs/>
                <w:sz w:val="20"/>
                <w:szCs w:val="20"/>
              </w:rPr>
              <w:t>redacted</w:t>
            </w:r>
            <w:r w:rsidRPr="0029444E">
              <w:rPr>
                <w:sz w:val="20"/>
                <w:szCs w:val="20"/>
              </w:rPr>
              <w:t>]</w:t>
            </w:r>
          </w:p>
        </w:tc>
        <w:tc>
          <w:tcPr>
            <w:tcW w:w="1366" w:type="dxa"/>
            <w:tcBorders>
              <w:top w:val="single" w:sz="4" w:space="0" w:color="auto"/>
              <w:left w:val="single" w:sz="4" w:space="0" w:color="auto"/>
              <w:bottom w:val="single" w:sz="4" w:space="0" w:color="auto"/>
              <w:right w:val="single" w:sz="4" w:space="0" w:color="auto"/>
            </w:tcBorders>
          </w:tcPr>
          <w:p w14:paraId="22E16284" w14:textId="0835440B" w:rsidR="002A2CE0" w:rsidRPr="00AF5437" w:rsidRDefault="00AF5437" w:rsidP="0046761E">
            <w:pPr>
              <w:spacing w:before="40" w:after="40" w:line="240" w:lineRule="auto"/>
              <w:rPr>
                <w:rFonts w:ascii="Arial Narrow" w:hAnsi="Arial Narrow" w:cs="Arial"/>
                <w:sz w:val="20"/>
                <w:szCs w:val="20"/>
                <w:highlight w:val="black"/>
              </w:rPr>
            </w:pPr>
            <w:r w:rsidRPr="0029444E">
              <w:rPr>
                <w:sz w:val="20"/>
                <w:szCs w:val="20"/>
              </w:rPr>
              <w:t>[</w:t>
            </w:r>
            <w:r w:rsidRPr="0029444E">
              <w:rPr>
                <w:i/>
                <w:iCs/>
                <w:sz w:val="20"/>
                <w:szCs w:val="20"/>
              </w:rPr>
              <w:t>redacted</w:t>
            </w:r>
            <w:r w:rsidRPr="0029444E">
              <w:rPr>
                <w:sz w:val="20"/>
                <w:szCs w:val="20"/>
              </w:rPr>
              <w:t>]</w:t>
            </w:r>
          </w:p>
        </w:tc>
      </w:tr>
    </w:tbl>
    <w:p w14:paraId="2FF47DB1" w14:textId="77777777" w:rsidR="002A2CE0" w:rsidRPr="003E209B" w:rsidRDefault="002A2CE0" w:rsidP="002A2CE0">
      <w:pPr>
        <w:spacing w:after="0" w:line="240" w:lineRule="auto"/>
        <w:rPr>
          <w:rFonts w:ascii="Arial Narrow" w:hAnsi="Arial Narrow" w:cs="Arial"/>
          <w:color w:val="FF0000"/>
          <w:sz w:val="18"/>
          <w:szCs w:val="18"/>
        </w:rPr>
      </w:pPr>
      <w:r w:rsidRPr="00B153ED">
        <w:rPr>
          <w:rFonts w:ascii="Arial Narrow" w:hAnsi="Arial Narrow" w:cs="Arial"/>
          <w:sz w:val="20"/>
          <w:szCs w:val="20"/>
        </w:rPr>
        <w:t xml:space="preserve">a </w:t>
      </w:r>
      <w:r w:rsidRPr="00B153ED">
        <w:rPr>
          <w:rFonts w:ascii="Arial Narrow" w:hAnsi="Arial Narrow" w:cs="Arial"/>
          <w:sz w:val="18"/>
          <w:szCs w:val="18"/>
        </w:rPr>
        <w:t>GRADE Working Group grades of evidence</w:t>
      </w:r>
      <w:r>
        <w:rPr>
          <w:rFonts w:ascii="Arial Narrow" w:hAnsi="Arial Narrow" w:cs="Arial"/>
          <w:sz w:val="18"/>
          <w:szCs w:val="18"/>
        </w:rPr>
        <w:t xml:space="preserve"> </w:t>
      </w:r>
      <w:r w:rsidRPr="00912590">
        <w:rPr>
          <w:rFonts w:ascii="Arial Narrow" w:hAnsi="Arial Narrow" w:cs="Arial"/>
          <w:noProof/>
          <w:sz w:val="18"/>
          <w:szCs w:val="18"/>
        </w:rPr>
        <w:t>[1]</w:t>
      </w:r>
      <w:r w:rsidRPr="00912590">
        <w:rPr>
          <w:rFonts w:ascii="Arial Narrow" w:hAnsi="Arial Narrow" w:cs="Arial"/>
          <w:sz w:val="18"/>
          <w:szCs w:val="18"/>
        </w:rPr>
        <w:t xml:space="preserve"> </w:t>
      </w:r>
    </w:p>
    <w:p w14:paraId="5186C5EB" w14:textId="77777777" w:rsidR="002A2CE0" w:rsidRPr="00912590" w:rsidRDefault="002A2CE0" w:rsidP="002A2CE0">
      <w:pPr>
        <w:spacing w:after="0" w:line="240" w:lineRule="auto"/>
        <w:rPr>
          <w:rFonts w:ascii="Arial Narrow" w:hAnsi="Arial Narrow" w:cs="Arial"/>
          <w:sz w:val="18"/>
          <w:szCs w:val="18"/>
        </w:rPr>
      </w:pPr>
      <w:r w:rsidRPr="00912590">
        <w:rPr>
          <w:rFonts w:ascii="Arial Narrow" w:hAnsi="Arial Narrow" w:cs="Arial"/>
          <w:sz w:val="18"/>
          <w:szCs w:val="18"/>
        </w:rPr>
        <w:t>b n = 599 is the number of paired comparisons for a particular medicine and individual from 207 participants with available data.</w:t>
      </w:r>
    </w:p>
    <w:p w14:paraId="3A63A150" w14:textId="77777777" w:rsidR="002A2CE0" w:rsidRPr="00D23573" w:rsidRDefault="002A2CE0" w:rsidP="002A2CE0">
      <w:pPr>
        <w:spacing w:line="240" w:lineRule="auto"/>
        <w:rPr>
          <w:rFonts w:ascii="Arial Narrow" w:hAnsi="Arial Narrow" w:cs="Arial"/>
          <w:sz w:val="18"/>
          <w:szCs w:val="18"/>
        </w:rPr>
      </w:pPr>
      <w:r w:rsidRPr="00912590">
        <w:rPr>
          <w:rFonts w:ascii="Arial Narrow" w:hAnsi="Arial Narrow" w:cs="Arial"/>
          <w:sz w:val="18"/>
          <w:szCs w:val="18"/>
        </w:rPr>
        <w:t>GEM=Growth and Empowerment; MPR=medication possession ratio</w:t>
      </w:r>
      <w:r>
        <w:rPr>
          <w:rFonts w:ascii="Arial Narrow" w:hAnsi="Arial Narrow" w:cs="Arial"/>
          <w:sz w:val="18"/>
          <w:szCs w:val="18"/>
        </w:rPr>
        <w:t>; CI=confidence interval; SD=standard deviation</w:t>
      </w:r>
      <w:r w:rsidRPr="00912590">
        <w:rPr>
          <w:rFonts w:ascii="Arial Narrow" w:hAnsi="Arial Narrow" w:cs="Arial"/>
          <w:sz w:val="18"/>
          <w:szCs w:val="18"/>
        </w:rPr>
        <w:t xml:space="preserve"> </w:t>
      </w:r>
      <w:r w:rsidRPr="00B153ED">
        <w:rPr>
          <w:rFonts w:ascii="Arial Narrow" w:hAnsi="Arial Narrow" w:cs="Arial"/>
          <w:sz w:val="20"/>
          <w:szCs w:val="20"/>
        </w:rPr>
        <w:br/>
      </w:r>
      <w:r w:rsidRPr="00D4733A">
        <w:rPr>
          <w:rFonts w:ascii="Cambria Math" w:hAnsi="Cambria Math"/>
          <w:color w:val="00B050"/>
        </w:rPr>
        <w:t>⨁⨁⨁⨁</w:t>
      </w:r>
      <w:r>
        <w:rPr>
          <w:rFonts w:ascii="Cambria Math" w:hAnsi="Cambria Math"/>
          <w:color w:val="00B050"/>
        </w:rPr>
        <w:t xml:space="preserve"> </w:t>
      </w:r>
      <w:r w:rsidRPr="00E10B76">
        <w:rPr>
          <w:rFonts w:ascii="Arial Narrow" w:hAnsi="Arial Narrow" w:cs="Arial"/>
          <w:b/>
          <w:bCs/>
          <w:sz w:val="18"/>
          <w:szCs w:val="18"/>
        </w:rPr>
        <w:t>High quality:</w:t>
      </w:r>
      <w:r w:rsidRPr="00E10B76">
        <w:rPr>
          <w:rFonts w:ascii="Arial Narrow" w:hAnsi="Arial Narrow" w:cs="Arial"/>
          <w:sz w:val="18"/>
          <w:szCs w:val="18"/>
        </w:rPr>
        <w:t xml:space="preserve"> </w:t>
      </w:r>
      <w:r>
        <w:rPr>
          <w:rFonts w:ascii="Arial Narrow" w:hAnsi="Arial Narrow" w:cs="Arial"/>
          <w:sz w:val="18"/>
          <w:szCs w:val="18"/>
        </w:rPr>
        <w:t>We are very confident that the true effect lies close to that of the estimate of effect.</w:t>
      </w:r>
      <w:r w:rsidRPr="00E10B76">
        <w:rPr>
          <w:rFonts w:ascii="Arial Narrow" w:hAnsi="Arial Narrow" w:cs="Arial"/>
          <w:sz w:val="18"/>
          <w:szCs w:val="18"/>
        </w:rPr>
        <w:t xml:space="preserve"> </w:t>
      </w:r>
      <w:r w:rsidRPr="00E10B76">
        <w:rPr>
          <w:rFonts w:ascii="Arial Narrow" w:hAnsi="Arial Narrow" w:cs="Arial"/>
          <w:sz w:val="18"/>
          <w:szCs w:val="18"/>
        </w:rPr>
        <w:br/>
      </w:r>
      <w:r w:rsidRPr="00D4733A">
        <w:rPr>
          <w:rFonts w:ascii="Cambria Math" w:hAnsi="Cambria Math"/>
          <w:color w:val="00B050"/>
        </w:rPr>
        <w:lastRenderedPageBreak/>
        <w:t>⨁⨁⨁</w:t>
      </w:r>
      <w:r w:rsidRPr="00D4733A">
        <w:rPr>
          <w:rFonts w:ascii="Cambria Math" w:hAnsi="Cambria Math" w:cs="Cambria Math"/>
          <w:color w:val="C00000"/>
        </w:rPr>
        <w:t>⨀</w:t>
      </w:r>
      <w:r>
        <w:rPr>
          <w:rFonts w:ascii="Cambria Math" w:hAnsi="Cambria Math" w:cs="Cambria Math"/>
          <w:color w:val="C00000"/>
        </w:rPr>
        <w:t xml:space="preserve"> </w:t>
      </w:r>
      <w:r w:rsidRPr="00E10B76">
        <w:rPr>
          <w:rFonts w:ascii="Arial Narrow" w:hAnsi="Arial Narrow" w:cs="Arial"/>
          <w:b/>
          <w:bCs/>
          <w:sz w:val="18"/>
          <w:szCs w:val="18"/>
        </w:rPr>
        <w:t>Moderate quality:</w:t>
      </w:r>
      <w:r w:rsidRPr="00E10B76">
        <w:rPr>
          <w:rFonts w:ascii="Arial Narrow" w:hAnsi="Arial Narrow" w:cs="Arial"/>
          <w:sz w:val="18"/>
          <w:szCs w:val="18"/>
        </w:rPr>
        <w:t xml:space="preserve"> </w:t>
      </w:r>
      <w:r>
        <w:rPr>
          <w:rFonts w:ascii="Arial Narrow" w:hAnsi="Arial Narrow" w:cs="Arial"/>
          <w:sz w:val="18"/>
          <w:szCs w:val="18"/>
        </w:rPr>
        <w:t xml:space="preserve">We are moderately confident in the effect estimate: The true effect is likely to be close to the estimate of the effect, but there is a possibility that it is substantially different. </w:t>
      </w:r>
      <w:r w:rsidRPr="00E10B76">
        <w:rPr>
          <w:rFonts w:ascii="Arial Narrow" w:hAnsi="Arial Narrow" w:cs="Arial"/>
          <w:sz w:val="18"/>
          <w:szCs w:val="18"/>
        </w:rPr>
        <w:br/>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rFonts w:ascii="Arial Narrow" w:hAnsi="Arial Narrow" w:cs="Arial"/>
          <w:b/>
          <w:bCs/>
          <w:sz w:val="18"/>
          <w:szCs w:val="18"/>
        </w:rPr>
        <w:t>Low quality:</w:t>
      </w:r>
      <w:r w:rsidRPr="00E10B76">
        <w:rPr>
          <w:rFonts w:ascii="Arial Narrow" w:hAnsi="Arial Narrow" w:cs="Arial"/>
          <w:sz w:val="18"/>
          <w:szCs w:val="18"/>
        </w:rPr>
        <w:t xml:space="preserve"> </w:t>
      </w:r>
      <w:r>
        <w:rPr>
          <w:rFonts w:ascii="Arial Narrow" w:hAnsi="Arial Narrow" w:cs="Arial"/>
          <w:sz w:val="18"/>
          <w:szCs w:val="18"/>
        </w:rPr>
        <w:t>Our confidence in the effect estimate is limited: The true effect may be substantially different from the estimate of the effect.</w:t>
      </w:r>
      <w:r w:rsidRPr="00E10B76">
        <w:rPr>
          <w:rFonts w:ascii="Arial Narrow" w:hAnsi="Arial Narrow" w:cs="Arial"/>
          <w:sz w:val="18"/>
          <w:szCs w:val="18"/>
        </w:rPr>
        <w:br/>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rFonts w:ascii="Arial Narrow" w:hAnsi="Arial Narrow" w:cs="Arial"/>
          <w:b/>
          <w:bCs/>
          <w:sz w:val="18"/>
          <w:szCs w:val="18"/>
        </w:rPr>
        <w:t>Very low quality:</w:t>
      </w:r>
      <w:r w:rsidRPr="00E10B76">
        <w:rPr>
          <w:rFonts w:ascii="Arial Narrow" w:hAnsi="Arial Narrow" w:cs="Arial"/>
          <w:sz w:val="18"/>
          <w:szCs w:val="18"/>
        </w:rPr>
        <w:t xml:space="preserve"> </w:t>
      </w:r>
      <w:r>
        <w:rPr>
          <w:rFonts w:ascii="Arial Narrow" w:hAnsi="Arial Narrow" w:cs="Arial"/>
          <w:sz w:val="18"/>
          <w:szCs w:val="18"/>
        </w:rPr>
        <w:t>We have very little confidence in the effect estimate: The true effect is likely to be substantially different from the estimate of effect</w:t>
      </w:r>
    </w:p>
    <w:p w14:paraId="3FBE3AE4" w14:textId="73267730" w:rsidR="00AF5437" w:rsidRPr="00934777" w:rsidRDefault="002A2CE0" w:rsidP="00AF5437">
      <w:pPr>
        <w:spacing w:line="276" w:lineRule="auto"/>
        <w:jc w:val="both"/>
      </w:pPr>
      <w:proofErr w:type="gramStart"/>
      <w:r>
        <w:t>On the basis of</w:t>
      </w:r>
      <w:proofErr w:type="gramEnd"/>
      <w:r>
        <w:t xml:space="preserve"> the benefits and harms reported in the evidence base (summarised above), </w:t>
      </w:r>
      <w:r w:rsidRPr="005E700E">
        <w:rPr>
          <w:b/>
        </w:rPr>
        <w:t xml:space="preserve">it is suggested that, relative to usual care, </w:t>
      </w:r>
      <w:proofErr w:type="spellStart"/>
      <w:r w:rsidRPr="005E700E">
        <w:rPr>
          <w:b/>
        </w:rPr>
        <w:t>IMeRSe</w:t>
      </w:r>
      <w:proofErr w:type="spellEnd"/>
      <w:r w:rsidRPr="005E700E">
        <w:rPr>
          <w:b/>
        </w:rPr>
        <w:t xml:space="preserve"> has </w:t>
      </w:r>
      <w:r w:rsidR="00AF5437" w:rsidRPr="00934777">
        <w:t>[</w:t>
      </w:r>
      <w:r w:rsidR="00AF5437" w:rsidRPr="00934777">
        <w:rPr>
          <w:i/>
          <w:iCs/>
        </w:rPr>
        <w:t>redacted</w:t>
      </w:r>
      <w:r w:rsidR="00AF5437" w:rsidRPr="00934777">
        <w:t>]</w:t>
      </w:r>
      <w:r w:rsidR="00AF5437">
        <w:t>.</w:t>
      </w:r>
    </w:p>
    <w:p w14:paraId="1B3044D8" w14:textId="6DB00845" w:rsidR="002A2CE0" w:rsidRPr="005331CA" w:rsidRDefault="002A2CE0" w:rsidP="002A2CE0">
      <w:pPr>
        <w:spacing w:line="276" w:lineRule="auto"/>
        <w:jc w:val="both"/>
        <w:rPr>
          <w:bCs/>
        </w:rPr>
      </w:pPr>
      <w:r w:rsidRPr="005331CA">
        <w:rPr>
          <w:bCs/>
        </w:rPr>
        <w:t xml:space="preserve">  </w:t>
      </w:r>
    </w:p>
    <w:p w14:paraId="25CDD096" w14:textId="77777777" w:rsidR="002A2CE0" w:rsidRPr="00BF2FEB" w:rsidRDefault="002A2CE0" w:rsidP="002A2CE0">
      <w:pPr>
        <w:pStyle w:val="Heading3"/>
        <w:spacing w:line="276" w:lineRule="auto"/>
        <w:jc w:val="both"/>
      </w:pPr>
      <w:bookmarkStart w:id="33" w:name="_Toc395200751"/>
      <w:bookmarkStart w:id="34" w:name="_Toc59194350"/>
      <w:bookmarkStart w:id="35" w:name="_Toc379118059"/>
      <w:bookmarkStart w:id="36" w:name="_Toc379118251"/>
      <w:bookmarkStart w:id="37" w:name="_Toc381796435"/>
      <w:r w:rsidRPr="00183E4D">
        <w:t>Translation Issues</w:t>
      </w:r>
      <w:bookmarkEnd w:id="33"/>
      <w:bookmarkEnd w:id="34"/>
    </w:p>
    <w:p w14:paraId="63C7D438" w14:textId="77777777" w:rsidR="002A2CE0" w:rsidRDefault="002A2CE0" w:rsidP="002A2CE0">
      <w:pPr>
        <w:spacing w:after="0" w:line="276" w:lineRule="auto"/>
        <w:jc w:val="both"/>
      </w:pPr>
      <w:r w:rsidRPr="00BF2FEB">
        <w:t>No translation issues of the clinical evidence were identified, and this is not presented.</w:t>
      </w:r>
      <w:r>
        <w:t xml:space="preserve"> This was a pragmatic study undertaken in Australia with the eligible population in relevant healthcare settings.  </w:t>
      </w:r>
    </w:p>
    <w:p w14:paraId="04255E5C" w14:textId="77777777" w:rsidR="002A2CE0" w:rsidRPr="00183E4D" w:rsidRDefault="002A2CE0" w:rsidP="002A2CE0">
      <w:pPr>
        <w:pStyle w:val="Heading3"/>
        <w:spacing w:line="276" w:lineRule="auto"/>
        <w:jc w:val="both"/>
      </w:pPr>
      <w:bookmarkStart w:id="38" w:name="_Toc395200752"/>
      <w:bookmarkStart w:id="39" w:name="_Toc59194351"/>
      <w:r w:rsidRPr="00183E4D">
        <w:t xml:space="preserve">Economic </w:t>
      </w:r>
      <w:bookmarkEnd w:id="35"/>
      <w:bookmarkEnd w:id="36"/>
      <w:bookmarkEnd w:id="37"/>
      <w:r w:rsidRPr="00183E4D">
        <w:t>Evaluation</w:t>
      </w:r>
      <w:bookmarkEnd w:id="38"/>
      <w:bookmarkEnd w:id="39"/>
    </w:p>
    <w:p w14:paraId="28A1A61F" w14:textId="761E714C" w:rsidR="002A2CE0" w:rsidRDefault="002A2CE0" w:rsidP="002A2CE0">
      <w:pPr>
        <w:spacing w:line="276" w:lineRule="auto"/>
        <w:jc w:val="both"/>
      </w:pPr>
      <w:bookmarkStart w:id="40" w:name="_Ref379404328"/>
      <w:r w:rsidRPr="009929BE">
        <w:t xml:space="preserve">The </w:t>
      </w:r>
      <w:r w:rsidRPr="007E2CB5">
        <w:t xml:space="preserve">clinical evaluation suggested that, relative to usual care, </w:t>
      </w:r>
      <w:proofErr w:type="spellStart"/>
      <w:r w:rsidRPr="005E700E">
        <w:t>IMeRSe</w:t>
      </w:r>
      <w:proofErr w:type="spellEnd"/>
      <w:r w:rsidRPr="005E700E">
        <w:t xml:space="preserve"> has </w:t>
      </w:r>
      <w:r w:rsidR="00AF5437" w:rsidRPr="00934777">
        <w:t>[</w:t>
      </w:r>
      <w:r w:rsidR="00AF5437" w:rsidRPr="00934777">
        <w:rPr>
          <w:i/>
          <w:iCs/>
        </w:rPr>
        <w:t>redacted</w:t>
      </w:r>
      <w:r w:rsidR="00AF5437" w:rsidRPr="00934777">
        <w:t>]</w:t>
      </w:r>
      <w:r w:rsidRPr="005E700E">
        <w:t xml:space="preserve"> based on the evidence profile given in Appendix C. It was therefore decided that a cost-consequence analysis would be undertaken for the economic evaluation (Table 3).</w:t>
      </w:r>
      <w:r>
        <w:t xml:space="preserve"> </w:t>
      </w:r>
    </w:p>
    <w:p w14:paraId="5C6EBDAA" w14:textId="77777777" w:rsidR="002A2CE0" w:rsidRDefault="002A2CE0" w:rsidP="002A2CE0">
      <w:pPr>
        <w:spacing w:before="240" w:line="276" w:lineRule="auto"/>
        <w:jc w:val="both"/>
      </w:pPr>
      <w:r>
        <w:t xml:space="preserve">A cost consequence analysis was undertaken to estimate the cost per serious MRP avoided. A trial-based evaluation with a one-year time horizon, based on the results from the </w:t>
      </w:r>
      <w:proofErr w:type="spellStart"/>
      <w:r>
        <w:t>IMeRSe</w:t>
      </w:r>
      <w:proofErr w:type="spellEnd"/>
      <w:r>
        <w:t xml:space="preserve"> Feasibility Study, is presented using the pre-intervention period as the usual care comparator. </w:t>
      </w:r>
      <w:r w:rsidRPr="00E01D3E">
        <w:t xml:space="preserve">An Australian government perspective was chosen for the </w:t>
      </w:r>
      <w:r>
        <w:t>b</w:t>
      </w:r>
      <w:r w:rsidRPr="00E01D3E">
        <w:t xml:space="preserve">ase </w:t>
      </w:r>
      <w:r>
        <w:t>c</w:t>
      </w:r>
      <w:r w:rsidRPr="00E01D3E">
        <w:t xml:space="preserve">ase, with </w:t>
      </w:r>
      <w:r>
        <w:t xml:space="preserve">a whole of government perspective in sensitivity analyses. </w:t>
      </w:r>
    </w:p>
    <w:p w14:paraId="1F6F0AC3" w14:textId="77777777" w:rsidR="002A2CE0" w:rsidRDefault="002A2CE0" w:rsidP="002A2CE0">
      <w:pPr>
        <w:spacing w:line="276" w:lineRule="auto"/>
        <w:jc w:val="both"/>
      </w:pPr>
    </w:p>
    <w:p w14:paraId="01FC92D1" w14:textId="77777777" w:rsidR="002A2CE0" w:rsidRPr="003615DE" w:rsidRDefault="002A2CE0" w:rsidP="002A2CE0">
      <w:pPr>
        <w:pStyle w:val="Caption"/>
        <w:tabs>
          <w:tab w:val="left" w:pos="851"/>
        </w:tabs>
        <w:ind w:left="851" w:hanging="851"/>
        <w:jc w:val="both"/>
        <w:rPr>
          <w:rFonts w:cstheme="minorHAnsi"/>
          <w:szCs w:val="20"/>
        </w:rPr>
      </w:pPr>
      <w:bookmarkStart w:id="41" w:name="_Ref379483368"/>
      <w:bookmarkStart w:id="42" w:name="_Ref394419656"/>
      <w:bookmarkStart w:id="43" w:name="_Toc56970790"/>
      <w:r w:rsidRPr="003615DE">
        <w:rPr>
          <w:rFonts w:cstheme="minorHAnsi"/>
          <w:szCs w:val="20"/>
        </w:rPr>
        <w:t xml:space="preserve">Table </w:t>
      </w:r>
      <w:r w:rsidRPr="003615DE">
        <w:rPr>
          <w:rFonts w:cstheme="minorHAnsi"/>
          <w:szCs w:val="20"/>
        </w:rPr>
        <w:fldChar w:fldCharType="begin"/>
      </w:r>
      <w:r w:rsidRPr="003615DE">
        <w:rPr>
          <w:rFonts w:cstheme="minorHAnsi"/>
          <w:szCs w:val="20"/>
        </w:rPr>
        <w:instrText xml:space="preserve"> SEQ Table \* ARABIC </w:instrText>
      </w:r>
      <w:r w:rsidRPr="003615DE">
        <w:rPr>
          <w:rFonts w:cstheme="minorHAnsi"/>
          <w:szCs w:val="20"/>
        </w:rPr>
        <w:fldChar w:fldCharType="separate"/>
      </w:r>
      <w:r>
        <w:rPr>
          <w:rFonts w:cstheme="minorHAnsi"/>
          <w:noProof/>
          <w:szCs w:val="20"/>
        </w:rPr>
        <w:t>3</w:t>
      </w:r>
      <w:r w:rsidRPr="003615DE">
        <w:rPr>
          <w:rFonts w:cstheme="minorHAnsi"/>
          <w:noProof/>
          <w:szCs w:val="20"/>
        </w:rPr>
        <w:fldChar w:fldCharType="end"/>
      </w:r>
      <w:bookmarkEnd w:id="40"/>
      <w:bookmarkEnd w:id="41"/>
      <w:r w:rsidRPr="003615DE">
        <w:rPr>
          <w:rFonts w:cstheme="minorHAnsi"/>
          <w:szCs w:val="20"/>
        </w:rPr>
        <w:tab/>
        <w:t>Summary of the Economic Evaluation</w:t>
      </w:r>
      <w:bookmarkEnd w:id="42"/>
      <w:bookmarkEnd w:id="43"/>
      <w:r w:rsidRPr="003615DE">
        <w:rPr>
          <w:rFonts w:cstheme="minorHAnsi"/>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20 Summary of the economic evaluation"/>
        <w:tblDescription w:val="This table describes the key constructs of the economic evaluation that is provided in the assessment report."/>
      </w:tblPr>
      <w:tblGrid>
        <w:gridCol w:w="3071"/>
        <w:gridCol w:w="5837"/>
      </w:tblGrid>
      <w:tr w:rsidR="002A2CE0" w:rsidRPr="00183E4D" w14:paraId="0DF12E5B" w14:textId="77777777" w:rsidTr="0046761E">
        <w:trPr>
          <w:trHeight w:val="20"/>
        </w:trPr>
        <w:tc>
          <w:tcPr>
            <w:tcW w:w="3071" w:type="dxa"/>
            <w:tcBorders>
              <w:top w:val="single" w:sz="4" w:space="0" w:color="auto"/>
              <w:left w:val="single" w:sz="4" w:space="0" w:color="auto"/>
              <w:bottom w:val="single" w:sz="4" w:space="0" w:color="auto"/>
              <w:right w:val="single" w:sz="4" w:space="0" w:color="auto"/>
            </w:tcBorders>
          </w:tcPr>
          <w:p w14:paraId="51990356" w14:textId="77777777" w:rsidR="002A2CE0" w:rsidRPr="00183E4D" w:rsidRDefault="002A2CE0" w:rsidP="0046761E">
            <w:pPr>
              <w:pStyle w:val="Tabletext1"/>
              <w:rPr>
                <w:b/>
              </w:rPr>
            </w:pPr>
            <w:r w:rsidRPr="00183E4D">
              <w:rPr>
                <w:b/>
              </w:rPr>
              <w:t>Perspective</w:t>
            </w:r>
          </w:p>
        </w:tc>
        <w:tc>
          <w:tcPr>
            <w:tcW w:w="5837" w:type="dxa"/>
            <w:tcBorders>
              <w:top w:val="single" w:sz="4" w:space="0" w:color="auto"/>
              <w:left w:val="single" w:sz="4" w:space="0" w:color="auto"/>
              <w:bottom w:val="single" w:sz="4" w:space="0" w:color="auto"/>
              <w:right w:val="single" w:sz="4" w:space="0" w:color="auto"/>
            </w:tcBorders>
          </w:tcPr>
          <w:p w14:paraId="7621E8E9" w14:textId="77777777" w:rsidR="002A2CE0" w:rsidRPr="007E2CB5" w:rsidRDefault="002A2CE0" w:rsidP="0046761E">
            <w:pPr>
              <w:pStyle w:val="Tabletext1"/>
            </w:pPr>
            <w:r>
              <w:t xml:space="preserve">Commonwealth </w:t>
            </w:r>
            <w:r w:rsidRPr="007E2CB5">
              <w:t>Government</w:t>
            </w:r>
            <w:r>
              <w:t xml:space="preserve"> (base case) and Commonwealth and state governments (sensitivity analysis)</w:t>
            </w:r>
          </w:p>
        </w:tc>
      </w:tr>
      <w:tr w:rsidR="002A2CE0" w:rsidRPr="00183E4D" w14:paraId="48DB5FB6" w14:textId="77777777" w:rsidTr="0046761E">
        <w:trPr>
          <w:trHeight w:val="20"/>
        </w:trPr>
        <w:tc>
          <w:tcPr>
            <w:tcW w:w="3071" w:type="dxa"/>
            <w:tcBorders>
              <w:top w:val="single" w:sz="4" w:space="0" w:color="auto"/>
              <w:left w:val="single" w:sz="4" w:space="0" w:color="auto"/>
              <w:bottom w:val="single" w:sz="4" w:space="0" w:color="auto"/>
              <w:right w:val="single" w:sz="4" w:space="0" w:color="auto"/>
            </w:tcBorders>
          </w:tcPr>
          <w:p w14:paraId="788C0856" w14:textId="77777777" w:rsidR="002A2CE0" w:rsidRPr="00183E4D" w:rsidRDefault="002A2CE0" w:rsidP="0046761E">
            <w:pPr>
              <w:pStyle w:val="Tabletext1"/>
              <w:rPr>
                <w:b/>
              </w:rPr>
            </w:pPr>
            <w:r w:rsidRPr="00183E4D">
              <w:rPr>
                <w:b/>
              </w:rPr>
              <w:t>Comparator</w:t>
            </w:r>
          </w:p>
        </w:tc>
        <w:tc>
          <w:tcPr>
            <w:tcW w:w="5837" w:type="dxa"/>
            <w:tcBorders>
              <w:top w:val="single" w:sz="4" w:space="0" w:color="auto"/>
              <w:left w:val="single" w:sz="4" w:space="0" w:color="auto"/>
              <w:bottom w:val="single" w:sz="4" w:space="0" w:color="auto"/>
              <w:right w:val="single" w:sz="4" w:space="0" w:color="auto"/>
            </w:tcBorders>
          </w:tcPr>
          <w:p w14:paraId="2F28BCAF" w14:textId="77777777" w:rsidR="002A2CE0" w:rsidRPr="007E2CB5" w:rsidRDefault="002A2CE0" w:rsidP="0046761E">
            <w:pPr>
              <w:pStyle w:val="Tabletext1"/>
            </w:pPr>
            <w:r w:rsidRPr="007E2CB5">
              <w:t>Usual care</w:t>
            </w:r>
          </w:p>
        </w:tc>
      </w:tr>
      <w:tr w:rsidR="002A2CE0" w:rsidRPr="00183E4D" w14:paraId="4E90297B" w14:textId="77777777" w:rsidTr="0046761E">
        <w:trPr>
          <w:trHeight w:val="20"/>
        </w:trPr>
        <w:tc>
          <w:tcPr>
            <w:tcW w:w="3071" w:type="dxa"/>
            <w:tcBorders>
              <w:top w:val="single" w:sz="4" w:space="0" w:color="auto"/>
              <w:left w:val="single" w:sz="4" w:space="0" w:color="auto"/>
              <w:bottom w:val="single" w:sz="4" w:space="0" w:color="auto"/>
              <w:right w:val="single" w:sz="4" w:space="0" w:color="auto"/>
            </w:tcBorders>
          </w:tcPr>
          <w:p w14:paraId="22F3B6AA" w14:textId="77777777" w:rsidR="002A2CE0" w:rsidRPr="00183E4D" w:rsidRDefault="002A2CE0" w:rsidP="0046761E">
            <w:pPr>
              <w:pStyle w:val="Tabletext1"/>
              <w:rPr>
                <w:b/>
              </w:rPr>
            </w:pPr>
            <w:r w:rsidRPr="00183E4D">
              <w:rPr>
                <w:b/>
              </w:rPr>
              <w:t>Type of economic evaluation</w:t>
            </w:r>
          </w:p>
        </w:tc>
        <w:tc>
          <w:tcPr>
            <w:tcW w:w="5837" w:type="dxa"/>
            <w:tcBorders>
              <w:top w:val="single" w:sz="4" w:space="0" w:color="auto"/>
              <w:left w:val="single" w:sz="4" w:space="0" w:color="auto"/>
              <w:bottom w:val="single" w:sz="4" w:space="0" w:color="auto"/>
              <w:right w:val="single" w:sz="4" w:space="0" w:color="auto"/>
            </w:tcBorders>
          </w:tcPr>
          <w:p w14:paraId="7AB360A9" w14:textId="77777777" w:rsidR="002A2CE0" w:rsidRPr="007E2CB5" w:rsidRDefault="002A2CE0" w:rsidP="0046761E">
            <w:pPr>
              <w:pStyle w:val="Tabletext1"/>
            </w:pPr>
            <w:r>
              <w:t>C</w:t>
            </w:r>
            <w:r w:rsidRPr="007E2CB5">
              <w:t>ost-consequence</w:t>
            </w:r>
          </w:p>
        </w:tc>
      </w:tr>
      <w:tr w:rsidR="002A2CE0" w:rsidRPr="00183E4D" w14:paraId="7D2A7A36" w14:textId="77777777" w:rsidTr="0046761E">
        <w:trPr>
          <w:trHeight w:val="20"/>
        </w:trPr>
        <w:tc>
          <w:tcPr>
            <w:tcW w:w="3071" w:type="dxa"/>
            <w:tcBorders>
              <w:top w:val="single" w:sz="4" w:space="0" w:color="auto"/>
              <w:left w:val="single" w:sz="4" w:space="0" w:color="auto"/>
              <w:bottom w:val="single" w:sz="4" w:space="0" w:color="auto"/>
              <w:right w:val="single" w:sz="4" w:space="0" w:color="auto"/>
            </w:tcBorders>
          </w:tcPr>
          <w:p w14:paraId="0B9437B7" w14:textId="77777777" w:rsidR="002A2CE0" w:rsidRPr="00183E4D" w:rsidRDefault="002A2CE0" w:rsidP="0046761E">
            <w:pPr>
              <w:pStyle w:val="Tabletext1"/>
              <w:rPr>
                <w:b/>
              </w:rPr>
            </w:pPr>
            <w:r w:rsidRPr="00183E4D">
              <w:rPr>
                <w:b/>
              </w:rPr>
              <w:t>Sources of evidence</w:t>
            </w:r>
          </w:p>
        </w:tc>
        <w:tc>
          <w:tcPr>
            <w:tcW w:w="5837" w:type="dxa"/>
            <w:tcBorders>
              <w:top w:val="single" w:sz="4" w:space="0" w:color="auto"/>
              <w:left w:val="single" w:sz="4" w:space="0" w:color="auto"/>
              <w:bottom w:val="single" w:sz="4" w:space="0" w:color="auto"/>
              <w:right w:val="single" w:sz="4" w:space="0" w:color="auto"/>
            </w:tcBorders>
          </w:tcPr>
          <w:p w14:paraId="502A2DC3" w14:textId="77777777" w:rsidR="002A2CE0" w:rsidRPr="007E2CB5" w:rsidRDefault="002A2CE0" w:rsidP="0046761E">
            <w:pPr>
              <w:pStyle w:val="Tabletext1"/>
            </w:pPr>
            <w:proofErr w:type="spellStart"/>
            <w:r w:rsidRPr="007E2CB5">
              <w:t>IMeRSe</w:t>
            </w:r>
            <w:proofErr w:type="spellEnd"/>
            <w:r w:rsidRPr="007E2CB5">
              <w:t xml:space="preserve"> </w:t>
            </w:r>
            <w:r>
              <w:t>F</w:t>
            </w:r>
            <w:r w:rsidRPr="007E2CB5">
              <w:t xml:space="preserve">easibility </w:t>
            </w:r>
            <w:r>
              <w:t>S</w:t>
            </w:r>
            <w:r w:rsidRPr="007E2CB5">
              <w:t>tudy</w:t>
            </w:r>
          </w:p>
        </w:tc>
      </w:tr>
      <w:tr w:rsidR="002A2CE0" w:rsidRPr="00183E4D" w14:paraId="54600D56" w14:textId="77777777" w:rsidTr="0046761E">
        <w:trPr>
          <w:trHeight w:val="20"/>
        </w:trPr>
        <w:tc>
          <w:tcPr>
            <w:tcW w:w="3071" w:type="dxa"/>
            <w:tcBorders>
              <w:top w:val="single" w:sz="4" w:space="0" w:color="auto"/>
              <w:left w:val="single" w:sz="4" w:space="0" w:color="auto"/>
              <w:bottom w:val="single" w:sz="4" w:space="0" w:color="auto"/>
              <w:right w:val="single" w:sz="4" w:space="0" w:color="auto"/>
            </w:tcBorders>
            <w:hideMark/>
          </w:tcPr>
          <w:p w14:paraId="619F6ACB" w14:textId="77777777" w:rsidR="002A2CE0" w:rsidRPr="00183E4D" w:rsidRDefault="002A2CE0" w:rsidP="0046761E">
            <w:pPr>
              <w:pStyle w:val="Tabletext1"/>
              <w:rPr>
                <w:b/>
              </w:rPr>
            </w:pPr>
            <w:r w:rsidRPr="00183E4D">
              <w:rPr>
                <w:b/>
              </w:rPr>
              <w:t>Time horizon</w:t>
            </w:r>
          </w:p>
        </w:tc>
        <w:tc>
          <w:tcPr>
            <w:tcW w:w="5837" w:type="dxa"/>
            <w:tcBorders>
              <w:top w:val="single" w:sz="4" w:space="0" w:color="auto"/>
              <w:left w:val="single" w:sz="4" w:space="0" w:color="auto"/>
              <w:bottom w:val="single" w:sz="4" w:space="0" w:color="auto"/>
              <w:right w:val="single" w:sz="4" w:space="0" w:color="auto"/>
            </w:tcBorders>
            <w:hideMark/>
          </w:tcPr>
          <w:p w14:paraId="3BD0CD48" w14:textId="77777777" w:rsidR="002A2CE0" w:rsidRPr="007E2CB5" w:rsidRDefault="002A2CE0" w:rsidP="0046761E">
            <w:pPr>
              <w:pStyle w:val="Tabletext1"/>
            </w:pPr>
            <w:r w:rsidRPr="00CD055E">
              <w:t>6 months (in-trial analysis)</w:t>
            </w:r>
          </w:p>
        </w:tc>
      </w:tr>
      <w:tr w:rsidR="002A2CE0" w:rsidRPr="00183E4D" w14:paraId="3B948A34" w14:textId="77777777" w:rsidTr="0046761E">
        <w:trPr>
          <w:trHeight w:val="20"/>
        </w:trPr>
        <w:tc>
          <w:tcPr>
            <w:tcW w:w="3071" w:type="dxa"/>
            <w:tcBorders>
              <w:top w:val="single" w:sz="4" w:space="0" w:color="auto"/>
              <w:left w:val="single" w:sz="4" w:space="0" w:color="auto"/>
              <w:bottom w:val="single" w:sz="4" w:space="0" w:color="auto"/>
              <w:right w:val="single" w:sz="4" w:space="0" w:color="auto"/>
            </w:tcBorders>
            <w:hideMark/>
          </w:tcPr>
          <w:p w14:paraId="03EC6F57" w14:textId="77777777" w:rsidR="002A2CE0" w:rsidRPr="00183E4D" w:rsidRDefault="002A2CE0" w:rsidP="0046761E">
            <w:pPr>
              <w:pStyle w:val="Tabletext1"/>
              <w:rPr>
                <w:b/>
              </w:rPr>
            </w:pPr>
            <w:r w:rsidRPr="00183E4D">
              <w:rPr>
                <w:b/>
              </w:rPr>
              <w:t>Outcome</w:t>
            </w:r>
          </w:p>
        </w:tc>
        <w:tc>
          <w:tcPr>
            <w:tcW w:w="5837" w:type="dxa"/>
            <w:tcBorders>
              <w:top w:val="single" w:sz="4" w:space="0" w:color="auto"/>
              <w:left w:val="single" w:sz="4" w:space="0" w:color="auto"/>
              <w:bottom w:val="single" w:sz="4" w:space="0" w:color="auto"/>
              <w:right w:val="single" w:sz="4" w:space="0" w:color="auto"/>
            </w:tcBorders>
          </w:tcPr>
          <w:p w14:paraId="207820F1" w14:textId="77777777" w:rsidR="002A2CE0" w:rsidRPr="00183E4D" w:rsidRDefault="002A2CE0" w:rsidP="0046761E">
            <w:pPr>
              <w:pStyle w:val="Tabletext1"/>
            </w:pPr>
            <w:r>
              <w:t>Serious medication related problems avoided</w:t>
            </w:r>
          </w:p>
        </w:tc>
      </w:tr>
      <w:tr w:rsidR="002A2CE0" w:rsidRPr="00183E4D" w14:paraId="494F2CDE" w14:textId="77777777" w:rsidTr="0046761E">
        <w:trPr>
          <w:trHeight w:val="20"/>
        </w:trPr>
        <w:tc>
          <w:tcPr>
            <w:tcW w:w="3071" w:type="dxa"/>
            <w:tcBorders>
              <w:top w:val="single" w:sz="4" w:space="0" w:color="auto"/>
              <w:left w:val="single" w:sz="4" w:space="0" w:color="auto"/>
              <w:bottom w:val="single" w:sz="4" w:space="0" w:color="auto"/>
              <w:right w:val="single" w:sz="4" w:space="0" w:color="auto"/>
            </w:tcBorders>
            <w:hideMark/>
          </w:tcPr>
          <w:p w14:paraId="4C86BFC3" w14:textId="77777777" w:rsidR="002A2CE0" w:rsidRPr="00183E4D" w:rsidRDefault="002A2CE0" w:rsidP="0046761E">
            <w:pPr>
              <w:pStyle w:val="Tabletext1"/>
              <w:rPr>
                <w:b/>
              </w:rPr>
            </w:pPr>
            <w:r w:rsidRPr="00183E4D">
              <w:rPr>
                <w:b/>
              </w:rPr>
              <w:t>Methods used to generate results</w:t>
            </w:r>
          </w:p>
        </w:tc>
        <w:tc>
          <w:tcPr>
            <w:tcW w:w="5837" w:type="dxa"/>
            <w:tcBorders>
              <w:top w:val="single" w:sz="4" w:space="0" w:color="auto"/>
              <w:left w:val="single" w:sz="4" w:space="0" w:color="auto"/>
              <w:bottom w:val="single" w:sz="4" w:space="0" w:color="auto"/>
              <w:right w:val="single" w:sz="4" w:space="0" w:color="auto"/>
            </w:tcBorders>
          </w:tcPr>
          <w:p w14:paraId="687771A1" w14:textId="77777777" w:rsidR="002A2CE0" w:rsidRPr="00183E4D" w:rsidRDefault="002A2CE0" w:rsidP="0046761E">
            <w:pPr>
              <w:pStyle w:val="Tabletext1"/>
            </w:pPr>
            <w:r w:rsidRPr="0055201D">
              <w:t>Trial based</w:t>
            </w:r>
          </w:p>
        </w:tc>
      </w:tr>
      <w:tr w:rsidR="002A2CE0" w:rsidRPr="00183E4D" w14:paraId="7106F5F9" w14:textId="77777777" w:rsidTr="0046761E">
        <w:trPr>
          <w:trHeight w:val="20"/>
        </w:trPr>
        <w:tc>
          <w:tcPr>
            <w:tcW w:w="3071" w:type="dxa"/>
            <w:tcBorders>
              <w:top w:val="single" w:sz="4" w:space="0" w:color="auto"/>
              <w:left w:val="single" w:sz="4" w:space="0" w:color="auto"/>
              <w:bottom w:val="single" w:sz="4" w:space="0" w:color="auto"/>
              <w:right w:val="single" w:sz="4" w:space="0" w:color="auto"/>
            </w:tcBorders>
            <w:hideMark/>
          </w:tcPr>
          <w:p w14:paraId="7D791264" w14:textId="77777777" w:rsidR="002A2CE0" w:rsidRPr="00183E4D" w:rsidRDefault="002A2CE0" w:rsidP="0046761E">
            <w:pPr>
              <w:pStyle w:val="Tabletext1"/>
              <w:rPr>
                <w:b/>
              </w:rPr>
            </w:pPr>
            <w:r w:rsidRPr="00183E4D">
              <w:rPr>
                <w:b/>
              </w:rPr>
              <w:t>Discount rate</w:t>
            </w:r>
          </w:p>
        </w:tc>
        <w:tc>
          <w:tcPr>
            <w:tcW w:w="5837" w:type="dxa"/>
            <w:tcBorders>
              <w:top w:val="single" w:sz="4" w:space="0" w:color="auto"/>
              <w:left w:val="single" w:sz="4" w:space="0" w:color="auto"/>
              <w:bottom w:val="single" w:sz="4" w:space="0" w:color="auto"/>
              <w:right w:val="single" w:sz="4" w:space="0" w:color="auto"/>
            </w:tcBorders>
          </w:tcPr>
          <w:p w14:paraId="28C38D0D" w14:textId="77777777" w:rsidR="002A2CE0" w:rsidRPr="00183E4D" w:rsidRDefault="002A2CE0" w:rsidP="0046761E">
            <w:pPr>
              <w:pStyle w:val="Tabletext1"/>
            </w:pPr>
            <w:r>
              <w:t xml:space="preserve">Not </w:t>
            </w:r>
            <w:r w:rsidRPr="00CD055E">
              <w:t>applicable (time horizon &lt;12 months</w:t>
            </w:r>
            <w:r>
              <w:t>)</w:t>
            </w:r>
          </w:p>
        </w:tc>
      </w:tr>
      <w:tr w:rsidR="002A2CE0" w:rsidRPr="00183E4D" w14:paraId="2F5D6CFB" w14:textId="77777777" w:rsidTr="0046761E">
        <w:trPr>
          <w:trHeight w:val="20"/>
        </w:trPr>
        <w:tc>
          <w:tcPr>
            <w:tcW w:w="3071" w:type="dxa"/>
            <w:tcBorders>
              <w:top w:val="single" w:sz="4" w:space="0" w:color="auto"/>
              <w:left w:val="single" w:sz="4" w:space="0" w:color="auto"/>
              <w:bottom w:val="single" w:sz="4" w:space="0" w:color="auto"/>
              <w:right w:val="single" w:sz="4" w:space="0" w:color="auto"/>
            </w:tcBorders>
            <w:hideMark/>
          </w:tcPr>
          <w:p w14:paraId="331751E3" w14:textId="77777777" w:rsidR="002A2CE0" w:rsidRPr="00183E4D" w:rsidRDefault="002A2CE0" w:rsidP="0046761E">
            <w:pPr>
              <w:pStyle w:val="Tabletext1"/>
              <w:rPr>
                <w:b/>
              </w:rPr>
            </w:pPr>
            <w:r w:rsidRPr="00183E4D">
              <w:rPr>
                <w:b/>
              </w:rPr>
              <w:t>Software packages used</w:t>
            </w:r>
          </w:p>
        </w:tc>
        <w:tc>
          <w:tcPr>
            <w:tcW w:w="5837" w:type="dxa"/>
            <w:tcBorders>
              <w:top w:val="single" w:sz="4" w:space="0" w:color="auto"/>
              <w:left w:val="single" w:sz="4" w:space="0" w:color="auto"/>
              <w:bottom w:val="single" w:sz="4" w:space="0" w:color="auto"/>
              <w:right w:val="single" w:sz="4" w:space="0" w:color="auto"/>
            </w:tcBorders>
          </w:tcPr>
          <w:p w14:paraId="20AD31D5" w14:textId="77777777" w:rsidR="002A2CE0" w:rsidRPr="00183E4D" w:rsidRDefault="002A2CE0" w:rsidP="0046761E">
            <w:pPr>
              <w:pStyle w:val="Tabletext1"/>
            </w:pPr>
            <w:r>
              <w:t>Excel</w:t>
            </w:r>
          </w:p>
        </w:tc>
      </w:tr>
    </w:tbl>
    <w:p w14:paraId="2E2AA04B" w14:textId="325D4C1D" w:rsidR="002A2CE0" w:rsidRPr="00183E4D" w:rsidRDefault="002A2CE0" w:rsidP="0029444E">
      <w:pPr>
        <w:spacing w:line="276" w:lineRule="auto"/>
        <w:jc w:val="both"/>
      </w:pPr>
      <w:r w:rsidRPr="00183E4D">
        <w:t xml:space="preserve">The overall costs and outcomes, and incremental costs and outcomes as calculated for the intervention and comparator in </w:t>
      </w:r>
      <w:r>
        <w:t>the model, and using</w:t>
      </w:r>
      <w:r w:rsidRPr="00183E4D">
        <w:t xml:space="preserve"> the base case assumptions, are shown in </w:t>
      </w:r>
      <w:r>
        <w:t>Table 4</w:t>
      </w:r>
      <w:r w:rsidRPr="00DB45CD">
        <w:t xml:space="preserve">. There was some </w:t>
      </w:r>
      <w:r w:rsidR="00AF5437" w:rsidRPr="00934777">
        <w:t>[</w:t>
      </w:r>
      <w:r w:rsidR="00AF5437" w:rsidRPr="00934777">
        <w:rPr>
          <w:i/>
          <w:iCs/>
        </w:rPr>
        <w:t>redacted</w:t>
      </w:r>
      <w:r w:rsidR="00AF5437" w:rsidRPr="00934777">
        <w:t>]</w:t>
      </w:r>
      <w:r w:rsidRPr="00DB45CD">
        <w:t xml:space="preserve">. It is important to note that the source of evidence for this application, the </w:t>
      </w:r>
      <w:proofErr w:type="spellStart"/>
      <w:r w:rsidRPr="00DB45CD">
        <w:t>IMeRSe</w:t>
      </w:r>
      <w:proofErr w:type="spellEnd"/>
      <w:r w:rsidRPr="00DB45CD">
        <w:t xml:space="preserve"> Feasibility Study, was not designed to provide RCT evidence of effectiveness and cost effectiveness. </w:t>
      </w:r>
    </w:p>
    <w:p w14:paraId="34541F2F" w14:textId="77777777" w:rsidR="002A2CE0" w:rsidRPr="003615DE" w:rsidRDefault="002A2CE0" w:rsidP="002A2CE0">
      <w:pPr>
        <w:pStyle w:val="Caption"/>
        <w:keepNext/>
        <w:tabs>
          <w:tab w:val="left" w:pos="851"/>
        </w:tabs>
        <w:jc w:val="both"/>
        <w:rPr>
          <w:rFonts w:cstheme="minorHAnsi"/>
          <w:szCs w:val="20"/>
        </w:rPr>
      </w:pPr>
      <w:bookmarkStart w:id="44" w:name="_Toc56970791"/>
      <w:r w:rsidRPr="003615DE">
        <w:rPr>
          <w:rFonts w:cstheme="minorHAnsi"/>
          <w:szCs w:val="20"/>
        </w:rPr>
        <w:lastRenderedPageBreak/>
        <w:t xml:space="preserve">Table </w:t>
      </w:r>
      <w:r w:rsidRPr="003615DE">
        <w:rPr>
          <w:rFonts w:cstheme="minorHAnsi"/>
          <w:szCs w:val="20"/>
        </w:rPr>
        <w:fldChar w:fldCharType="begin"/>
      </w:r>
      <w:r w:rsidRPr="003615DE">
        <w:rPr>
          <w:rFonts w:cstheme="minorHAnsi"/>
          <w:szCs w:val="20"/>
        </w:rPr>
        <w:instrText xml:space="preserve"> SEQ Table \* ARABIC </w:instrText>
      </w:r>
      <w:r w:rsidRPr="003615DE">
        <w:rPr>
          <w:rFonts w:cstheme="minorHAnsi"/>
          <w:szCs w:val="20"/>
        </w:rPr>
        <w:fldChar w:fldCharType="separate"/>
      </w:r>
      <w:r>
        <w:rPr>
          <w:rFonts w:cstheme="minorHAnsi"/>
          <w:noProof/>
          <w:szCs w:val="20"/>
        </w:rPr>
        <w:t>4</w:t>
      </w:r>
      <w:r w:rsidRPr="003615DE">
        <w:rPr>
          <w:rFonts w:cstheme="minorHAnsi"/>
          <w:noProof/>
          <w:szCs w:val="20"/>
        </w:rPr>
        <w:fldChar w:fldCharType="end"/>
      </w:r>
      <w:r w:rsidRPr="003615DE">
        <w:rPr>
          <w:rFonts w:cstheme="minorHAnsi"/>
          <w:szCs w:val="20"/>
        </w:rPr>
        <w:t xml:space="preserve"> </w:t>
      </w:r>
      <w:r w:rsidRPr="003615DE">
        <w:rPr>
          <w:rFonts w:cstheme="minorHAnsi"/>
          <w:szCs w:val="20"/>
        </w:rPr>
        <w:tab/>
        <w:t>Cost Consequence Analysis for One Serious Medication-Related Problem Avoided</w:t>
      </w:r>
      <w:bookmarkEnd w:id="44"/>
    </w:p>
    <w:tbl>
      <w:tblPr>
        <w:tblStyle w:val="TableGrid"/>
        <w:tblW w:w="0" w:type="auto"/>
        <w:tblLayout w:type="fixed"/>
        <w:tblLook w:val="04A0" w:firstRow="1" w:lastRow="0" w:firstColumn="1" w:lastColumn="0" w:noHBand="0" w:noVBand="1"/>
      </w:tblPr>
      <w:tblGrid>
        <w:gridCol w:w="988"/>
        <w:gridCol w:w="992"/>
        <w:gridCol w:w="1134"/>
        <w:gridCol w:w="1134"/>
        <w:gridCol w:w="992"/>
        <w:gridCol w:w="992"/>
        <w:gridCol w:w="1134"/>
        <w:gridCol w:w="1560"/>
      </w:tblGrid>
      <w:tr w:rsidR="002A2CE0" w:rsidRPr="00780D11" w14:paraId="51BF6D5D" w14:textId="77777777" w:rsidTr="0029444E">
        <w:tc>
          <w:tcPr>
            <w:tcW w:w="988" w:type="dxa"/>
            <w:tcBorders>
              <w:bottom w:val="single" w:sz="4" w:space="0" w:color="auto"/>
            </w:tcBorders>
          </w:tcPr>
          <w:p w14:paraId="1A3D21EC" w14:textId="77777777" w:rsidR="002A2CE0" w:rsidRPr="008B113C" w:rsidRDefault="002A2CE0" w:rsidP="0046761E">
            <w:pPr>
              <w:widowControl w:val="0"/>
              <w:tabs>
                <w:tab w:val="left" w:pos="851"/>
              </w:tabs>
              <w:spacing w:before="40" w:after="40" w:line="240" w:lineRule="auto"/>
              <w:ind w:left="0"/>
              <w:jc w:val="both"/>
              <w:rPr>
                <w:rFonts w:ascii="Arial Narrow" w:hAnsi="Arial Narrow"/>
                <w:b/>
                <w:bCs/>
              </w:rPr>
            </w:pPr>
            <w:r>
              <w:rPr>
                <w:rFonts w:ascii="Arial Narrow" w:hAnsi="Arial Narrow"/>
                <w:b/>
                <w:bCs/>
              </w:rPr>
              <w:t>Scenario</w:t>
            </w:r>
          </w:p>
        </w:tc>
        <w:tc>
          <w:tcPr>
            <w:tcW w:w="992" w:type="dxa"/>
            <w:tcBorders>
              <w:bottom w:val="single" w:sz="4" w:space="0" w:color="auto"/>
            </w:tcBorders>
            <w:shd w:val="clear" w:color="auto" w:fill="auto"/>
            <w:vAlign w:val="center"/>
          </w:tcPr>
          <w:p w14:paraId="364B1807" w14:textId="77777777" w:rsidR="002A2CE0" w:rsidRPr="000754FD" w:rsidRDefault="002A2CE0" w:rsidP="0046761E">
            <w:pPr>
              <w:widowControl w:val="0"/>
              <w:tabs>
                <w:tab w:val="left" w:pos="851"/>
              </w:tabs>
              <w:spacing w:before="40" w:after="40" w:line="240" w:lineRule="auto"/>
              <w:ind w:left="0"/>
              <w:jc w:val="center"/>
              <w:rPr>
                <w:rFonts w:ascii="Arial Narrow" w:hAnsi="Arial Narrow"/>
                <w:b/>
                <w:bCs/>
              </w:rPr>
            </w:pPr>
            <w:r>
              <w:rPr>
                <w:rFonts w:ascii="Arial Narrow" w:hAnsi="Arial Narrow"/>
                <w:b/>
                <w:bCs/>
              </w:rPr>
              <w:t xml:space="preserve">Pre-rate (95%CI) </w:t>
            </w:r>
          </w:p>
        </w:tc>
        <w:tc>
          <w:tcPr>
            <w:tcW w:w="1134" w:type="dxa"/>
            <w:tcBorders>
              <w:bottom w:val="single" w:sz="4" w:space="0" w:color="auto"/>
            </w:tcBorders>
            <w:shd w:val="clear" w:color="auto" w:fill="auto"/>
            <w:vAlign w:val="center"/>
          </w:tcPr>
          <w:p w14:paraId="79E58E58" w14:textId="77777777" w:rsidR="002A2CE0" w:rsidRPr="000754FD" w:rsidRDefault="002A2CE0" w:rsidP="0046761E">
            <w:pPr>
              <w:widowControl w:val="0"/>
              <w:tabs>
                <w:tab w:val="left" w:pos="851"/>
              </w:tabs>
              <w:spacing w:before="40" w:after="40" w:line="240" w:lineRule="auto"/>
              <w:ind w:left="0"/>
              <w:jc w:val="center"/>
              <w:rPr>
                <w:rFonts w:ascii="Arial Narrow" w:hAnsi="Arial Narrow"/>
                <w:b/>
                <w:bCs/>
              </w:rPr>
            </w:pPr>
            <w:r>
              <w:rPr>
                <w:rFonts w:ascii="Arial Narrow" w:hAnsi="Arial Narrow"/>
                <w:b/>
                <w:bCs/>
              </w:rPr>
              <w:t>Post-rate (95%CI)</w:t>
            </w:r>
          </w:p>
        </w:tc>
        <w:tc>
          <w:tcPr>
            <w:tcW w:w="1134" w:type="dxa"/>
            <w:tcBorders>
              <w:bottom w:val="single" w:sz="4" w:space="0" w:color="auto"/>
            </w:tcBorders>
            <w:shd w:val="clear" w:color="auto" w:fill="auto"/>
            <w:vAlign w:val="center"/>
          </w:tcPr>
          <w:p w14:paraId="7692C2F2" w14:textId="77777777" w:rsidR="002A2CE0" w:rsidRDefault="002A2CE0" w:rsidP="0046761E">
            <w:pPr>
              <w:widowControl w:val="0"/>
              <w:tabs>
                <w:tab w:val="left" w:pos="851"/>
              </w:tabs>
              <w:spacing w:before="40" w:after="40" w:line="240" w:lineRule="auto"/>
              <w:ind w:left="0"/>
              <w:jc w:val="center"/>
              <w:rPr>
                <w:rFonts w:ascii="Arial Narrow" w:hAnsi="Arial Narrow"/>
                <w:b/>
                <w:bCs/>
              </w:rPr>
            </w:pPr>
            <w:r>
              <w:rPr>
                <w:rFonts w:ascii="Arial Narrow" w:hAnsi="Arial Narrow"/>
                <w:b/>
                <w:bCs/>
              </w:rPr>
              <w:t xml:space="preserve">Difference </w:t>
            </w:r>
          </w:p>
          <w:p w14:paraId="774DBD37" w14:textId="77777777" w:rsidR="002A2CE0" w:rsidRPr="000754FD" w:rsidRDefault="002A2CE0" w:rsidP="0046761E">
            <w:pPr>
              <w:widowControl w:val="0"/>
              <w:tabs>
                <w:tab w:val="left" w:pos="851"/>
              </w:tabs>
              <w:spacing w:before="40" w:after="40" w:line="240" w:lineRule="auto"/>
              <w:ind w:left="0"/>
              <w:jc w:val="center"/>
              <w:rPr>
                <w:rFonts w:ascii="Arial Narrow" w:hAnsi="Arial Narrow"/>
                <w:b/>
                <w:bCs/>
              </w:rPr>
            </w:pPr>
            <w:r>
              <w:rPr>
                <w:rFonts w:ascii="Arial Narrow" w:hAnsi="Arial Narrow"/>
                <w:b/>
                <w:bCs/>
              </w:rPr>
              <w:t>(95% CI)</w:t>
            </w:r>
          </w:p>
        </w:tc>
        <w:tc>
          <w:tcPr>
            <w:tcW w:w="992" w:type="dxa"/>
            <w:tcBorders>
              <w:bottom w:val="single" w:sz="4" w:space="0" w:color="auto"/>
            </w:tcBorders>
            <w:shd w:val="clear" w:color="auto" w:fill="auto"/>
            <w:vAlign w:val="center"/>
          </w:tcPr>
          <w:p w14:paraId="7C60D832" w14:textId="77777777" w:rsidR="002A2CE0" w:rsidRPr="000754FD" w:rsidRDefault="002A2CE0" w:rsidP="0046761E">
            <w:pPr>
              <w:widowControl w:val="0"/>
              <w:tabs>
                <w:tab w:val="left" w:pos="851"/>
              </w:tabs>
              <w:spacing w:before="40" w:after="40" w:line="240" w:lineRule="auto"/>
              <w:ind w:left="0"/>
              <w:jc w:val="center"/>
              <w:rPr>
                <w:rFonts w:ascii="Arial Narrow" w:hAnsi="Arial Narrow"/>
                <w:b/>
                <w:bCs/>
              </w:rPr>
            </w:pPr>
            <w:r>
              <w:rPr>
                <w:rFonts w:ascii="Arial Narrow" w:hAnsi="Arial Narrow"/>
                <w:b/>
                <w:bCs/>
              </w:rPr>
              <w:t>p-value</w:t>
            </w:r>
          </w:p>
        </w:tc>
        <w:tc>
          <w:tcPr>
            <w:tcW w:w="992" w:type="dxa"/>
            <w:tcBorders>
              <w:bottom w:val="single" w:sz="4" w:space="0" w:color="auto"/>
            </w:tcBorders>
          </w:tcPr>
          <w:p w14:paraId="2A52E1B0" w14:textId="77777777" w:rsidR="002A2CE0" w:rsidRPr="000754FD" w:rsidRDefault="002A2CE0" w:rsidP="0046761E">
            <w:pPr>
              <w:widowControl w:val="0"/>
              <w:tabs>
                <w:tab w:val="left" w:pos="851"/>
              </w:tabs>
              <w:spacing w:before="40" w:after="40" w:line="240" w:lineRule="auto"/>
              <w:ind w:left="0"/>
              <w:jc w:val="center"/>
              <w:rPr>
                <w:rFonts w:ascii="Arial Narrow" w:hAnsi="Arial Narrow"/>
                <w:b/>
                <w:bCs/>
              </w:rPr>
            </w:pPr>
            <w:r>
              <w:rPr>
                <w:rFonts w:ascii="Arial Narrow" w:hAnsi="Arial Narrow"/>
                <w:b/>
                <w:bCs/>
              </w:rPr>
              <w:t xml:space="preserve">Cost per person </w:t>
            </w:r>
          </w:p>
        </w:tc>
        <w:tc>
          <w:tcPr>
            <w:tcW w:w="1134" w:type="dxa"/>
            <w:tcBorders>
              <w:bottom w:val="single" w:sz="4" w:space="0" w:color="auto"/>
            </w:tcBorders>
          </w:tcPr>
          <w:p w14:paraId="48A8E997" w14:textId="77777777" w:rsidR="002A2CE0" w:rsidRDefault="002A2CE0" w:rsidP="0046761E">
            <w:pPr>
              <w:widowControl w:val="0"/>
              <w:tabs>
                <w:tab w:val="left" w:pos="851"/>
              </w:tabs>
              <w:spacing w:before="40" w:after="40" w:line="240" w:lineRule="auto"/>
              <w:ind w:left="0"/>
              <w:jc w:val="center"/>
              <w:rPr>
                <w:rFonts w:ascii="Arial Narrow" w:hAnsi="Arial Narrow"/>
                <w:b/>
                <w:bCs/>
              </w:rPr>
            </w:pPr>
            <w:r>
              <w:rPr>
                <w:rFonts w:ascii="Arial Narrow" w:hAnsi="Arial Narrow"/>
                <w:b/>
                <w:bCs/>
              </w:rPr>
              <w:t>Cost per MRP avoided</w:t>
            </w:r>
          </w:p>
        </w:tc>
        <w:tc>
          <w:tcPr>
            <w:tcW w:w="1560" w:type="dxa"/>
            <w:tcBorders>
              <w:bottom w:val="single" w:sz="4" w:space="0" w:color="auto"/>
            </w:tcBorders>
          </w:tcPr>
          <w:p w14:paraId="131618BB" w14:textId="77777777" w:rsidR="002A2CE0" w:rsidRDefault="002A2CE0" w:rsidP="0046761E">
            <w:pPr>
              <w:widowControl w:val="0"/>
              <w:tabs>
                <w:tab w:val="left" w:pos="851"/>
              </w:tabs>
              <w:spacing w:before="40" w:after="40" w:line="240" w:lineRule="auto"/>
              <w:ind w:left="0"/>
              <w:jc w:val="center"/>
              <w:rPr>
                <w:rFonts w:ascii="Arial Narrow" w:hAnsi="Arial Narrow"/>
                <w:b/>
                <w:bCs/>
              </w:rPr>
            </w:pPr>
            <w:r>
              <w:rPr>
                <w:rFonts w:ascii="Arial Narrow" w:hAnsi="Arial Narrow"/>
                <w:b/>
                <w:bCs/>
              </w:rPr>
              <w:t>Assumption</w:t>
            </w:r>
          </w:p>
        </w:tc>
      </w:tr>
      <w:tr w:rsidR="002A2CE0" w14:paraId="3D52B392" w14:textId="77777777" w:rsidTr="0029444E">
        <w:tc>
          <w:tcPr>
            <w:tcW w:w="988" w:type="dxa"/>
            <w:tcBorders>
              <w:top w:val="single" w:sz="4" w:space="0" w:color="auto"/>
              <w:bottom w:val="single" w:sz="4" w:space="0" w:color="auto"/>
            </w:tcBorders>
            <w:shd w:val="clear" w:color="auto" w:fill="auto"/>
          </w:tcPr>
          <w:p w14:paraId="37D361CD" w14:textId="77777777" w:rsidR="002A2CE0" w:rsidRPr="00963633" w:rsidRDefault="002A2CE0" w:rsidP="0046761E">
            <w:pPr>
              <w:widowControl w:val="0"/>
              <w:tabs>
                <w:tab w:val="left" w:pos="851"/>
              </w:tabs>
              <w:spacing w:before="40" w:after="40" w:line="240" w:lineRule="auto"/>
              <w:ind w:left="0"/>
              <w:jc w:val="both"/>
              <w:rPr>
                <w:rFonts w:ascii="Arial Narrow" w:hAnsi="Arial Narrow"/>
                <w:b/>
                <w:bCs/>
              </w:rPr>
            </w:pPr>
            <w:r w:rsidRPr="00963633">
              <w:rPr>
                <w:rFonts w:ascii="Arial Narrow" w:hAnsi="Arial Narrow"/>
                <w:b/>
                <w:bCs/>
              </w:rPr>
              <w:t>Base case</w:t>
            </w:r>
          </w:p>
        </w:tc>
        <w:tc>
          <w:tcPr>
            <w:tcW w:w="992" w:type="dxa"/>
            <w:tcBorders>
              <w:top w:val="single" w:sz="4" w:space="0" w:color="auto"/>
              <w:bottom w:val="single" w:sz="4" w:space="0" w:color="auto"/>
            </w:tcBorders>
            <w:shd w:val="clear" w:color="auto" w:fill="auto"/>
          </w:tcPr>
          <w:p w14:paraId="435BC738" w14:textId="1402B6DE" w:rsidR="002A2CE0" w:rsidRPr="0029444E" w:rsidRDefault="00A70239" w:rsidP="0046761E">
            <w:pPr>
              <w:widowControl w:val="0"/>
              <w:tabs>
                <w:tab w:val="left" w:pos="851"/>
              </w:tabs>
              <w:spacing w:before="40" w:after="40" w:line="240" w:lineRule="auto"/>
              <w:ind w:left="0"/>
              <w:jc w:val="center"/>
              <w:rPr>
                <w:rFonts w:ascii="Arial Narrow" w:hAnsi="Arial Narrow"/>
              </w:rPr>
            </w:pPr>
            <w:r>
              <w:rPr>
                <w:rFonts w:ascii="Arial Narrow" w:hAnsi="Arial Narrow"/>
              </w:rPr>
              <w:t>[</w:t>
            </w:r>
            <w:r w:rsidRPr="0029444E">
              <w:rPr>
                <w:rFonts w:ascii="Arial Narrow" w:hAnsi="Arial Narrow"/>
                <w:i/>
                <w:iCs/>
              </w:rPr>
              <w:t>redacted</w:t>
            </w:r>
            <w:r>
              <w:rPr>
                <w:rFonts w:ascii="Arial Narrow" w:hAnsi="Arial Narrow"/>
              </w:rPr>
              <w:t>]</w:t>
            </w:r>
          </w:p>
        </w:tc>
        <w:tc>
          <w:tcPr>
            <w:tcW w:w="1134" w:type="dxa"/>
            <w:tcBorders>
              <w:top w:val="single" w:sz="4" w:space="0" w:color="auto"/>
              <w:bottom w:val="single" w:sz="4" w:space="0" w:color="auto"/>
            </w:tcBorders>
            <w:shd w:val="clear" w:color="auto" w:fill="auto"/>
          </w:tcPr>
          <w:p w14:paraId="32F68FB4" w14:textId="472E2AA8" w:rsidR="002A2CE0" w:rsidRPr="0029444E" w:rsidRDefault="00A70239" w:rsidP="0046761E">
            <w:pPr>
              <w:widowControl w:val="0"/>
              <w:tabs>
                <w:tab w:val="left" w:pos="851"/>
              </w:tabs>
              <w:spacing w:before="40" w:after="40" w:line="240" w:lineRule="auto"/>
              <w:ind w:left="0"/>
              <w:jc w:val="center"/>
              <w:rPr>
                <w:rFonts w:ascii="Arial Narrow" w:hAnsi="Arial Narrow"/>
              </w:rPr>
            </w:pPr>
            <w:r>
              <w:rPr>
                <w:rFonts w:ascii="Arial Narrow" w:hAnsi="Arial Narrow"/>
              </w:rPr>
              <w:t>[</w:t>
            </w:r>
            <w:r w:rsidRPr="00D20063">
              <w:rPr>
                <w:rFonts w:ascii="Arial Narrow" w:hAnsi="Arial Narrow"/>
                <w:i/>
                <w:iCs/>
              </w:rPr>
              <w:t>redacted</w:t>
            </w:r>
            <w:r>
              <w:rPr>
                <w:rFonts w:ascii="Arial Narrow" w:hAnsi="Arial Narrow"/>
              </w:rPr>
              <w:t>]</w:t>
            </w:r>
          </w:p>
        </w:tc>
        <w:tc>
          <w:tcPr>
            <w:tcW w:w="1134" w:type="dxa"/>
            <w:tcBorders>
              <w:top w:val="single" w:sz="4" w:space="0" w:color="auto"/>
              <w:bottom w:val="single" w:sz="4" w:space="0" w:color="auto"/>
            </w:tcBorders>
            <w:shd w:val="clear" w:color="auto" w:fill="auto"/>
          </w:tcPr>
          <w:p w14:paraId="1BACF244" w14:textId="7F6A81C8" w:rsidR="002A2CE0" w:rsidRPr="0029444E" w:rsidRDefault="00A70239" w:rsidP="0046761E">
            <w:pPr>
              <w:widowControl w:val="0"/>
              <w:tabs>
                <w:tab w:val="left" w:pos="851"/>
              </w:tabs>
              <w:spacing w:before="40" w:after="40" w:line="240" w:lineRule="auto"/>
              <w:ind w:left="0"/>
              <w:jc w:val="center"/>
              <w:rPr>
                <w:rFonts w:ascii="Arial Narrow" w:hAnsi="Arial Narrow"/>
              </w:rPr>
            </w:pPr>
            <w:r>
              <w:rPr>
                <w:rFonts w:ascii="Arial Narrow" w:hAnsi="Arial Narrow"/>
              </w:rPr>
              <w:t>[</w:t>
            </w:r>
            <w:r w:rsidRPr="00D20063">
              <w:rPr>
                <w:rFonts w:ascii="Arial Narrow" w:hAnsi="Arial Narrow"/>
                <w:i/>
                <w:iCs/>
              </w:rPr>
              <w:t>redacted</w:t>
            </w:r>
            <w:r>
              <w:rPr>
                <w:rFonts w:ascii="Arial Narrow" w:hAnsi="Arial Narrow"/>
              </w:rPr>
              <w:t>]</w:t>
            </w:r>
          </w:p>
        </w:tc>
        <w:tc>
          <w:tcPr>
            <w:tcW w:w="992" w:type="dxa"/>
            <w:tcBorders>
              <w:top w:val="single" w:sz="4" w:space="0" w:color="auto"/>
              <w:bottom w:val="single" w:sz="4" w:space="0" w:color="auto"/>
            </w:tcBorders>
            <w:shd w:val="clear" w:color="auto" w:fill="auto"/>
          </w:tcPr>
          <w:p w14:paraId="54D6E328" w14:textId="3401C1EE" w:rsidR="002A2CE0" w:rsidRPr="0029444E" w:rsidRDefault="00A70239" w:rsidP="0029444E">
            <w:pPr>
              <w:widowControl w:val="0"/>
              <w:tabs>
                <w:tab w:val="center" w:pos="246"/>
                <w:tab w:val="left" w:pos="851"/>
              </w:tabs>
              <w:spacing w:before="40" w:after="40" w:line="240" w:lineRule="auto"/>
              <w:ind w:left="0"/>
              <w:rPr>
                <w:rFonts w:ascii="Arial Narrow" w:hAnsi="Arial Narrow"/>
              </w:rPr>
            </w:pPr>
            <w:r>
              <w:rPr>
                <w:rFonts w:ascii="Arial Narrow" w:hAnsi="Arial Narrow"/>
              </w:rPr>
              <w:tab/>
              <w:t>[</w:t>
            </w:r>
            <w:r w:rsidRPr="00D20063">
              <w:rPr>
                <w:rFonts w:ascii="Arial Narrow" w:hAnsi="Arial Narrow"/>
                <w:i/>
                <w:iCs/>
              </w:rPr>
              <w:t>redacted</w:t>
            </w:r>
            <w:r>
              <w:rPr>
                <w:rFonts w:ascii="Arial Narrow" w:hAnsi="Arial Narrow"/>
              </w:rPr>
              <w:t>]</w:t>
            </w:r>
            <w:r>
              <w:rPr>
                <w:rFonts w:ascii="Arial Narrow" w:hAnsi="Arial Narrow"/>
              </w:rPr>
              <w:tab/>
            </w:r>
          </w:p>
        </w:tc>
        <w:tc>
          <w:tcPr>
            <w:tcW w:w="992" w:type="dxa"/>
            <w:tcBorders>
              <w:top w:val="single" w:sz="4" w:space="0" w:color="auto"/>
              <w:bottom w:val="single" w:sz="4" w:space="0" w:color="auto"/>
            </w:tcBorders>
          </w:tcPr>
          <w:p w14:paraId="52D5682C" w14:textId="42798D12" w:rsidR="002A2CE0" w:rsidRPr="0029444E" w:rsidRDefault="00A70239" w:rsidP="0046761E">
            <w:pPr>
              <w:widowControl w:val="0"/>
              <w:tabs>
                <w:tab w:val="left" w:pos="851"/>
              </w:tabs>
              <w:spacing w:before="40" w:after="40" w:line="240" w:lineRule="auto"/>
              <w:ind w:left="0"/>
              <w:jc w:val="center"/>
              <w:rPr>
                <w:rFonts w:ascii="Arial Narrow" w:hAnsi="Arial Narrow"/>
              </w:rPr>
            </w:pPr>
            <w:r>
              <w:rPr>
                <w:rFonts w:ascii="Arial Narrow" w:hAnsi="Arial Narrow"/>
              </w:rPr>
              <w:t>[</w:t>
            </w:r>
            <w:r w:rsidRPr="00D20063">
              <w:rPr>
                <w:rFonts w:ascii="Arial Narrow" w:hAnsi="Arial Narrow"/>
                <w:i/>
                <w:iCs/>
              </w:rPr>
              <w:t>redacted</w:t>
            </w:r>
            <w:r>
              <w:rPr>
                <w:rFonts w:ascii="Arial Narrow" w:hAnsi="Arial Narrow"/>
              </w:rPr>
              <w:t>]</w:t>
            </w:r>
          </w:p>
        </w:tc>
        <w:tc>
          <w:tcPr>
            <w:tcW w:w="1134" w:type="dxa"/>
            <w:tcBorders>
              <w:top w:val="single" w:sz="4" w:space="0" w:color="auto"/>
              <w:bottom w:val="single" w:sz="4" w:space="0" w:color="auto"/>
            </w:tcBorders>
          </w:tcPr>
          <w:p w14:paraId="600A3660" w14:textId="4C25BB90" w:rsidR="002A2CE0" w:rsidRPr="0029444E" w:rsidRDefault="00A70239" w:rsidP="0046761E">
            <w:pPr>
              <w:widowControl w:val="0"/>
              <w:tabs>
                <w:tab w:val="left" w:pos="851"/>
              </w:tabs>
              <w:spacing w:before="40" w:after="40" w:line="240" w:lineRule="auto"/>
              <w:ind w:left="0"/>
              <w:jc w:val="center"/>
              <w:rPr>
                <w:rFonts w:ascii="Arial Narrow" w:hAnsi="Arial Narrow"/>
              </w:rPr>
            </w:pPr>
            <w:r>
              <w:rPr>
                <w:rFonts w:ascii="Arial Narrow" w:hAnsi="Arial Narrow"/>
              </w:rPr>
              <w:t>[</w:t>
            </w:r>
            <w:r w:rsidRPr="00D20063">
              <w:rPr>
                <w:rFonts w:ascii="Arial Narrow" w:hAnsi="Arial Narrow"/>
                <w:i/>
                <w:iCs/>
              </w:rPr>
              <w:t>redacted</w:t>
            </w:r>
            <w:r>
              <w:rPr>
                <w:rFonts w:ascii="Arial Narrow" w:hAnsi="Arial Narrow"/>
              </w:rPr>
              <w:t>]</w:t>
            </w:r>
          </w:p>
        </w:tc>
        <w:tc>
          <w:tcPr>
            <w:tcW w:w="1560" w:type="dxa"/>
            <w:tcBorders>
              <w:top w:val="single" w:sz="4" w:space="0" w:color="auto"/>
              <w:bottom w:val="single" w:sz="4" w:space="0" w:color="auto"/>
            </w:tcBorders>
          </w:tcPr>
          <w:p w14:paraId="02D4EB47" w14:textId="77777777" w:rsidR="002A2CE0" w:rsidRDefault="002A2CE0" w:rsidP="0046761E">
            <w:pPr>
              <w:widowControl w:val="0"/>
              <w:tabs>
                <w:tab w:val="left" w:pos="851"/>
              </w:tabs>
              <w:spacing w:before="40" w:after="40" w:line="240" w:lineRule="auto"/>
              <w:ind w:left="0"/>
              <w:jc w:val="center"/>
              <w:rPr>
                <w:rFonts w:ascii="Arial Narrow" w:hAnsi="Arial Narrow"/>
              </w:rPr>
            </w:pPr>
            <w:proofErr w:type="spellStart"/>
            <w:r>
              <w:rPr>
                <w:rFonts w:ascii="Arial Narrow" w:hAnsi="Arial Narrow"/>
              </w:rPr>
              <w:t>IMeRSe</w:t>
            </w:r>
            <w:proofErr w:type="spellEnd"/>
            <w:r>
              <w:rPr>
                <w:rFonts w:ascii="Arial Narrow" w:hAnsi="Arial Narrow"/>
              </w:rPr>
              <w:t xml:space="preserve"> cost at MSAC fees; no cost usual care</w:t>
            </w:r>
          </w:p>
        </w:tc>
      </w:tr>
    </w:tbl>
    <w:p w14:paraId="28BFCB66" w14:textId="77777777" w:rsidR="002A2CE0" w:rsidRDefault="002A2CE0" w:rsidP="002A2CE0">
      <w:pPr>
        <w:pStyle w:val="Tablenotes0"/>
        <w:spacing w:after="0"/>
        <w:rPr>
          <w:szCs w:val="18"/>
        </w:rPr>
      </w:pPr>
      <w:r>
        <w:rPr>
          <w:szCs w:val="18"/>
        </w:rPr>
        <w:t>MRP=medication-related problems; CI=confidence interval; ED=emergency department</w:t>
      </w:r>
    </w:p>
    <w:p w14:paraId="60EACCFD" w14:textId="6003D3EE" w:rsidR="002A2CE0" w:rsidRPr="00A70239" w:rsidRDefault="002A2CE0" w:rsidP="0029444E">
      <w:pPr>
        <w:spacing w:line="276" w:lineRule="auto"/>
        <w:jc w:val="both"/>
        <w:rPr>
          <w:szCs w:val="18"/>
        </w:rPr>
      </w:pPr>
      <w:r w:rsidRPr="0029444E">
        <w:rPr>
          <w:rFonts w:ascii="Arial Narrow" w:hAnsi="Arial Narrow"/>
          <w:sz w:val="18"/>
          <w:szCs w:val="18"/>
        </w:rPr>
        <w:t xml:space="preserve">Note: The rate is reported as a rate per person per 6 months, estimated using a mixed effects Poisson model. </w:t>
      </w:r>
      <w:r w:rsidR="00831B80" w:rsidRPr="0029444E">
        <w:rPr>
          <w:rFonts w:ascii="Arial Narrow" w:hAnsi="Arial Narrow"/>
          <w:sz w:val="18"/>
          <w:szCs w:val="18"/>
        </w:rPr>
        <w:t>[</w:t>
      </w:r>
      <w:r w:rsidR="00831B80" w:rsidRPr="0029444E">
        <w:rPr>
          <w:rFonts w:ascii="Arial Narrow" w:hAnsi="Arial Narrow"/>
          <w:i/>
          <w:iCs/>
          <w:sz w:val="18"/>
          <w:szCs w:val="18"/>
        </w:rPr>
        <w:t>redacted</w:t>
      </w:r>
      <w:r w:rsidR="00831B80" w:rsidRPr="0029444E">
        <w:rPr>
          <w:rFonts w:ascii="Arial Narrow" w:hAnsi="Arial Narrow"/>
          <w:sz w:val="18"/>
          <w:szCs w:val="18"/>
        </w:rPr>
        <w:t>]</w:t>
      </w:r>
    </w:p>
    <w:p w14:paraId="2AC6E3F2" w14:textId="55E0AF10" w:rsidR="002A2CE0" w:rsidRDefault="002A2CE0" w:rsidP="0029444E">
      <w:pPr>
        <w:spacing w:line="276" w:lineRule="auto"/>
        <w:jc w:val="both"/>
      </w:pPr>
      <w:r w:rsidRPr="00183E4D">
        <w:t xml:space="preserve">The modelled results were </w:t>
      </w:r>
      <w:r w:rsidRPr="005E700E">
        <w:t xml:space="preserve">most sensitive to the effect of </w:t>
      </w:r>
      <w:proofErr w:type="spellStart"/>
      <w:r w:rsidRPr="005E700E">
        <w:t>IMeRSe</w:t>
      </w:r>
      <w:proofErr w:type="spellEnd"/>
      <w:r w:rsidRPr="005E700E">
        <w:t xml:space="preserve"> </w:t>
      </w:r>
      <w:r w:rsidR="00831B80" w:rsidRPr="00934777">
        <w:t>[</w:t>
      </w:r>
      <w:r w:rsidR="00831B80" w:rsidRPr="00934777">
        <w:rPr>
          <w:i/>
          <w:iCs/>
        </w:rPr>
        <w:t>redacted</w:t>
      </w:r>
      <w:r w:rsidR="00831B80" w:rsidRPr="00934777">
        <w:t>]</w:t>
      </w:r>
      <w:r>
        <w:t xml:space="preserve">. </w:t>
      </w:r>
    </w:p>
    <w:p w14:paraId="2B23932E" w14:textId="77777777" w:rsidR="002A2CE0" w:rsidRPr="003615DE" w:rsidRDefault="002A2CE0" w:rsidP="002A2CE0">
      <w:pPr>
        <w:pStyle w:val="Caption"/>
        <w:tabs>
          <w:tab w:val="left" w:pos="851"/>
        </w:tabs>
        <w:ind w:left="851" w:hanging="851"/>
        <w:rPr>
          <w:rFonts w:cstheme="minorHAnsi"/>
          <w:snapToGrid w:val="0"/>
          <w:szCs w:val="20"/>
          <w:lang w:eastAsia="en-US"/>
        </w:rPr>
      </w:pPr>
      <w:bookmarkStart w:id="45" w:name="_Toc56970792"/>
      <w:r w:rsidRPr="003615DE">
        <w:rPr>
          <w:rFonts w:cstheme="minorHAnsi"/>
          <w:szCs w:val="20"/>
        </w:rPr>
        <w:t xml:space="preserve">Table </w:t>
      </w:r>
      <w:r w:rsidRPr="003615DE">
        <w:rPr>
          <w:rFonts w:cstheme="minorHAnsi"/>
          <w:szCs w:val="20"/>
        </w:rPr>
        <w:fldChar w:fldCharType="begin"/>
      </w:r>
      <w:r w:rsidRPr="003615DE">
        <w:rPr>
          <w:rFonts w:cstheme="minorHAnsi"/>
          <w:szCs w:val="20"/>
        </w:rPr>
        <w:instrText xml:space="preserve"> SEQ Table \* ARABIC </w:instrText>
      </w:r>
      <w:r w:rsidRPr="003615DE">
        <w:rPr>
          <w:rFonts w:cstheme="minorHAnsi"/>
          <w:szCs w:val="20"/>
        </w:rPr>
        <w:fldChar w:fldCharType="separate"/>
      </w:r>
      <w:r>
        <w:rPr>
          <w:rFonts w:cstheme="minorHAnsi"/>
          <w:noProof/>
          <w:szCs w:val="20"/>
        </w:rPr>
        <w:t>5</w:t>
      </w:r>
      <w:r w:rsidRPr="003615DE">
        <w:rPr>
          <w:rFonts w:cstheme="minorHAnsi"/>
          <w:noProof/>
          <w:szCs w:val="20"/>
        </w:rPr>
        <w:fldChar w:fldCharType="end"/>
      </w:r>
      <w:r w:rsidRPr="003615DE">
        <w:rPr>
          <w:rFonts w:cstheme="minorHAnsi"/>
          <w:szCs w:val="20"/>
        </w:rPr>
        <w:tab/>
      </w:r>
      <w:r w:rsidRPr="003615DE">
        <w:rPr>
          <w:rFonts w:cstheme="minorHAnsi"/>
          <w:snapToGrid w:val="0"/>
          <w:szCs w:val="20"/>
          <w:lang w:eastAsia="en-US"/>
        </w:rPr>
        <w:t>Key Drivers of the Economic Model</w:t>
      </w:r>
      <w:bookmarkEnd w:id="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8 Key drivers of the economic model"/>
        <w:tblDescription w:val="This table describes what factors and assumptions in the economic model affect the incremental cost-effectiveness to the greatest extent."/>
      </w:tblPr>
      <w:tblGrid>
        <w:gridCol w:w="2379"/>
        <w:gridCol w:w="4073"/>
        <w:gridCol w:w="2564"/>
      </w:tblGrid>
      <w:tr w:rsidR="002A2CE0" w:rsidRPr="00183E4D" w14:paraId="2EA8BC84" w14:textId="77777777" w:rsidTr="0046761E">
        <w:tc>
          <w:tcPr>
            <w:tcW w:w="1319" w:type="pct"/>
            <w:shd w:val="clear" w:color="auto" w:fill="auto"/>
            <w:vAlign w:val="center"/>
          </w:tcPr>
          <w:p w14:paraId="0ED22481" w14:textId="77777777" w:rsidR="002A2CE0" w:rsidRPr="00183E4D" w:rsidRDefault="002A2CE0" w:rsidP="0046761E">
            <w:pPr>
              <w:pStyle w:val="TableHeading"/>
              <w:rPr>
                <w:snapToGrid w:val="0"/>
                <w:lang w:eastAsia="en-US"/>
              </w:rPr>
            </w:pPr>
            <w:r w:rsidRPr="00183E4D">
              <w:rPr>
                <w:snapToGrid w:val="0"/>
                <w:lang w:eastAsia="en-US"/>
              </w:rPr>
              <w:t>Description</w:t>
            </w:r>
          </w:p>
        </w:tc>
        <w:tc>
          <w:tcPr>
            <w:tcW w:w="2259" w:type="pct"/>
            <w:shd w:val="clear" w:color="auto" w:fill="auto"/>
            <w:vAlign w:val="center"/>
          </w:tcPr>
          <w:p w14:paraId="2ECF25B5" w14:textId="77777777" w:rsidR="002A2CE0" w:rsidRPr="00183E4D" w:rsidRDefault="002A2CE0" w:rsidP="0046761E">
            <w:pPr>
              <w:pStyle w:val="TableHeading"/>
              <w:rPr>
                <w:snapToGrid w:val="0"/>
                <w:lang w:eastAsia="en-US"/>
              </w:rPr>
            </w:pPr>
            <w:r w:rsidRPr="00183E4D">
              <w:rPr>
                <w:snapToGrid w:val="0"/>
                <w:lang w:eastAsia="en-US"/>
              </w:rPr>
              <w:t>Method/Value</w:t>
            </w:r>
          </w:p>
        </w:tc>
        <w:tc>
          <w:tcPr>
            <w:tcW w:w="1422" w:type="pct"/>
            <w:shd w:val="clear" w:color="auto" w:fill="auto"/>
            <w:vAlign w:val="center"/>
          </w:tcPr>
          <w:p w14:paraId="5BE6571C" w14:textId="77777777" w:rsidR="002A2CE0" w:rsidRPr="00183E4D" w:rsidRDefault="002A2CE0" w:rsidP="0046761E">
            <w:pPr>
              <w:pStyle w:val="TableHeading"/>
              <w:rPr>
                <w:snapToGrid w:val="0"/>
                <w:lang w:eastAsia="en-US"/>
              </w:rPr>
            </w:pPr>
            <w:r w:rsidRPr="00183E4D">
              <w:rPr>
                <w:snapToGrid w:val="0"/>
                <w:lang w:eastAsia="en-US"/>
              </w:rPr>
              <w:t>Impact</w:t>
            </w:r>
          </w:p>
        </w:tc>
      </w:tr>
      <w:tr w:rsidR="002A2CE0" w:rsidRPr="00183E4D" w14:paraId="2B68500D" w14:textId="77777777" w:rsidTr="0046761E">
        <w:trPr>
          <w:hidden/>
        </w:trPr>
        <w:tc>
          <w:tcPr>
            <w:tcW w:w="1319" w:type="pct"/>
            <w:shd w:val="clear" w:color="auto" w:fill="auto"/>
            <w:vAlign w:val="center"/>
          </w:tcPr>
          <w:p w14:paraId="1A54EAA6" w14:textId="77777777" w:rsidR="002A2CE0" w:rsidRPr="009F1F90" w:rsidRDefault="002A2CE0" w:rsidP="0046761E">
            <w:pPr>
              <w:pStyle w:val="Tabletext1"/>
              <w:rPr>
                <w:snapToGrid w:val="0"/>
                <w:vanish/>
                <w:lang w:eastAsia="en-US"/>
              </w:rPr>
            </w:pPr>
            <w:r w:rsidRPr="009F1F90">
              <w:rPr>
                <w:snapToGrid w:val="0"/>
                <w:vanish/>
                <w:lang w:eastAsia="en-US"/>
              </w:rPr>
              <w:t>Intervention effect size, 95% CI crosses zero</w:t>
            </w:r>
          </w:p>
        </w:tc>
        <w:tc>
          <w:tcPr>
            <w:tcW w:w="2259" w:type="pct"/>
            <w:shd w:val="clear" w:color="auto" w:fill="auto"/>
            <w:vAlign w:val="center"/>
          </w:tcPr>
          <w:p w14:paraId="46BA9BD9" w14:textId="77777777" w:rsidR="002A2CE0" w:rsidRPr="009F1F90" w:rsidRDefault="002A2CE0" w:rsidP="0046761E">
            <w:pPr>
              <w:pStyle w:val="Tabletext1"/>
              <w:rPr>
                <w:snapToGrid w:val="0"/>
                <w:vanish/>
                <w:lang w:eastAsia="en-US"/>
              </w:rPr>
            </w:pPr>
            <w:r w:rsidRPr="009F1F90">
              <w:rPr>
                <w:snapToGrid w:val="0"/>
                <w:vanish/>
                <w:lang w:eastAsia="en-US"/>
              </w:rPr>
              <w:t>Incidence rate ratio of intervention compared to usual care (per person per 6 months)</w:t>
            </w:r>
          </w:p>
        </w:tc>
        <w:tc>
          <w:tcPr>
            <w:tcW w:w="1422" w:type="pct"/>
            <w:shd w:val="clear" w:color="auto" w:fill="auto"/>
            <w:vAlign w:val="center"/>
          </w:tcPr>
          <w:p w14:paraId="7FF9C0D9" w14:textId="77777777" w:rsidR="002A2CE0" w:rsidRPr="009F1F90" w:rsidRDefault="002A2CE0" w:rsidP="0046761E">
            <w:pPr>
              <w:pStyle w:val="Tabletext1"/>
              <w:rPr>
                <w:snapToGrid w:val="0"/>
                <w:vanish/>
                <w:lang w:eastAsia="en-US"/>
              </w:rPr>
            </w:pPr>
            <w:r w:rsidRPr="00AB6D89">
              <w:rPr>
                <w:snapToGrid w:val="0"/>
                <w:vanish/>
                <w:highlight w:val="black"/>
                <w:lang w:eastAsia="en-US"/>
              </w:rPr>
              <w:t>High, comparator dominates at lower 95% CI</w:t>
            </w:r>
          </w:p>
        </w:tc>
      </w:tr>
      <w:tr w:rsidR="002A2CE0" w:rsidRPr="00183E4D" w14:paraId="56CF95B1" w14:textId="77777777" w:rsidTr="0046761E">
        <w:trPr>
          <w:hidden/>
        </w:trPr>
        <w:tc>
          <w:tcPr>
            <w:tcW w:w="1319" w:type="pct"/>
            <w:shd w:val="clear" w:color="auto" w:fill="auto"/>
            <w:vAlign w:val="center"/>
          </w:tcPr>
          <w:p w14:paraId="5BD3C914" w14:textId="77777777" w:rsidR="002A2CE0" w:rsidRPr="009F1F90" w:rsidRDefault="002A2CE0" w:rsidP="0046761E">
            <w:pPr>
              <w:pStyle w:val="Tabletext1"/>
              <w:rPr>
                <w:snapToGrid w:val="0"/>
                <w:vanish/>
                <w:lang w:eastAsia="en-US"/>
              </w:rPr>
            </w:pPr>
            <w:r>
              <w:rPr>
                <w:snapToGrid w:val="0"/>
                <w:vanish/>
                <w:lang w:eastAsia="en-US"/>
              </w:rPr>
              <w:t>C</w:t>
            </w:r>
            <w:r w:rsidRPr="009F1F90">
              <w:rPr>
                <w:snapToGrid w:val="0"/>
                <w:vanish/>
                <w:lang w:eastAsia="en-US"/>
              </w:rPr>
              <w:t>ost offsets</w:t>
            </w:r>
            <w:r>
              <w:rPr>
                <w:snapToGrid w:val="0"/>
                <w:vanish/>
                <w:lang w:eastAsia="en-US"/>
              </w:rPr>
              <w:t xml:space="preserve"> reduced hospitalisations</w:t>
            </w:r>
          </w:p>
        </w:tc>
        <w:tc>
          <w:tcPr>
            <w:tcW w:w="2259" w:type="pct"/>
            <w:shd w:val="clear" w:color="auto" w:fill="auto"/>
            <w:vAlign w:val="center"/>
          </w:tcPr>
          <w:p w14:paraId="66D5F39B" w14:textId="77777777" w:rsidR="002A2CE0" w:rsidRPr="009F1F90" w:rsidRDefault="002A2CE0" w:rsidP="0046761E">
            <w:pPr>
              <w:pStyle w:val="Tabletext1"/>
              <w:rPr>
                <w:snapToGrid w:val="0"/>
                <w:vanish/>
                <w:lang w:eastAsia="en-US"/>
              </w:rPr>
            </w:pPr>
            <w:r w:rsidRPr="009F1F90">
              <w:rPr>
                <w:snapToGrid w:val="0"/>
                <w:vanish/>
                <w:lang w:eastAsia="en-US"/>
              </w:rPr>
              <w:t>$3</w:t>
            </w:r>
            <w:r>
              <w:rPr>
                <w:snapToGrid w:val="0"/>
                <w:vanish/>
                <w:lang w:eastAsia="en-US"/>
              </w:rPr>
              <w:t>,475</w:t>
            </w:r>
            <w:r w:rsidRPr="009F1F90">
              <w:rPr>
                <w:snapToGrid w:val="0"/>
                <w:vanish/>
                <w:lang w:eastAsia="en-US"/>
              </w:rPr>
              <w:t xml:space="preserve"> per person per year</w:t>
            </w:r>
            <w:r>
              <w:rPr>
                <w:snapToGrid w:val="0"/>
                <w:vanish/>
                <w:lang w:eastAsia="en-US"/>
              </w:rPr>
              <w:t xml:space="preserve"> based on NSW data (case completes analysis)</w:t>
            </w:r>
          </w:p>
        </w:tc>
        <w:tc>
          <w:tcPr>
            <w:tcW w:w="1422" w:type="pct"/>
            <w:shd w:val="clear" w:color="auto" w:fill="auto"/>
            <w:vAlign w:val="center"/>
          </w:tcPr>
          <w:p w14:paraId="38EF7E5D" w14:textId="77777777" w:rsidR="002A2CE0" w:rsidRPr="009F1F90" w:rsidRDefault="002A2CE0" w:rsidP="0046761E">
            <w:pPr>
              <w:pStyle w:val="Tabletext1"/>
              <w:rPr>
                <w:snapToGrid w:val="0"/>
                <w:vanish/>
                <w:lang w:eastAsia="en-US"/>
              </w:rPr>
            </w:pPr>
            <w:r w:rsidRPr="00AB6D89">
              <w:rPr>
                <w:snapToGrid w:val="0"/>
                <w:vanish/>
                <w:highlight w:val="black"/>
                <w:lang w:eastAsia="en-US"/>
              </w:rPr>
              <w:t>High; IMeRSe dominates</w:t>
            </w:r>
            <w:r>
              <w:rPr>
                <w:snapToGrid w:val="0"/>
                <w:vanish/>
                <w:lang w:eastAsia="en-US"/>
              </w:rPr>
              <w:t xml:space="preserve"> </w:t>
            </w:r>
          </w:p>
        </w:tc>
      </w:tr>
    </w:tbl>
    <w:p w14:paraId="74AE9452" w14:textId="77777777" w:rsidR="002A2CE0" w:rsidRPr="00183E4D" w:rsidRDefault="002A2CE0" w:rsidP="002A2CE0">
      <w:pPr>
        <w:pStyle w:val="Heading3"/>
        <w:spacing w:line="276" w:lineRule="auto"/>
      </w:pPr>
      <w:bookmarkStart w:id="46" w:name="_Toc259437725"/>
      <w:bookmarkStart w:id="47" w:name="_Toc395200753"/>
      <w:bookmarkStart w:id="48" w:name="_Toc59194352"/>
      <w:r w:rsidRPr="00183E4D">
        <w:t>Estimated Extent of Use and Financial Im</w:t>
      </w:r>
      <w:bookmarkEnd w:id="46"/>
      <w:r w:rsidRPr="00183E4D">
        <w:t>plications</w:t>
      </w:r>
      <w:bookmarkEnd w:id="47"/>
      <w:bookmarkEnd w:id="48"/>
    </w:p>
    <w:p w14:paraId="687CF2A4" w14:textId="77777777" w:rsidR="002A2CE0" w:rsidRDefault="002A2CE0" w:rsidP="002A2CE0">
      <w:pPr>
        <w:spacing w:line="276" w:lineRule="auto"/>
        <w:jc w:val="both"/>
      </w:pPr>
      <w:r w:rsidRPr="005C061E">
        <w:t xml:space="preserve">An epidemiological approach has been used to estimate the financial implications of the introduction of </w:t>
      </w:r>
      <w:proofErr w:type="spellStart"/>
      <w:r>
        <w:t>IMeRSe</w:t>
      </w:r>
      <w:proofErr w:type="spellEnd"/>
      <w:r w:rsidRPr="005C061E">
        <w:t xml:space="preserve">. The financial implications to the MBS resulting from the proposed listing of </w:t>
      </w:r>
      <w:proofErr w:type="spellStart"/>
      <w:r>
        <w:t>IMeRSe</w:t>
      </w:r>
      <w:proofErr w:type="spellEnd"/>
      <w:r w:rsidRPr="005C061E">
        <w:t xml:space="preserve"> are summarised </w:t>
      </w:r>
      <w:r w:rsidRPr="009F1F90">
        <w:t xml:space="preserve">in </w:t>
      </w:r>
      <w:r w:rsidRPr="009F1F90">
        <w:fldChar w:fldCharType="begin"/>
      </w:r>
      <w:r w:rsidRPr="009F1F90">
        <w:instrText xml:space="preserve"> REF _Ref395200110 \h  \* MERGEFORMAT </w:instrText>
      </w:r>
      <w:r w:rsidRPr="009F1F90">
        <w:fldChar w:fldCharType="separate"/>
      </w:r>
      <w:r w:rsidRPr="00B55C0A">
        <w:t xml:space="preserve">Table </w:t>
      </w:r>
      <w:r w:rsidRPr="00B55C0A">
        <w:rPr>
          <w:noProof/>
        </w:rPr>
        <w:t>6</w:t>
      </w:r>
      <w:r w:rsidRPr="009F1F90">
        <w:fldChar w:fldCharType="end"/>
      </w:r>
      <w:r w:rsidRPr="009F1F90">
        <w:t>.</w:t>
      </w:r>
    </w:p>
    <w:p w14:paraId="5F7BD4F4" w14:textId="77777777" w:rsidR="002A2CE0" w:rsidRPr="003615DE" w:rsidRDefault="002A2CE0" w:rsidP="002A2CE0">
      <w:pPr>
        <w:pStyle w:val="Caption"/>
        <w:tabs>
          <w:tab w:val="left" w:pos="851"/>
        </w:tabs>
        <w:ind w:left="993" w:hanging="993"/>
        <w:rPr>
          <w:rFonts w:cstheme="minorHAnsi"/>
          <w:szCs w:val="20"/>
        </w:rPr>
      </w:pPr>
      <w:bookmarkStart w:id="49" w:name="_Ref395200110"/>
      <w:bookmarkStart w:id="50" w:name="_Toc393197779"/>
      <w:bookmarkStart w:id="51" w:name="_Toc393378192"/>
      <w:bookmarkStart w:id="52" w:name="_Toc56970793"/>
      <w:r w:rsidRPr="003615DE">
        <w:rPr>
          <w:rFonts w:cstheme="minorHAnsi"/>
          <w:szCs w:val="20"/>
        </w:rPr>
        <w:t xml:space="preserve">Table </w:t>
      </w:r>
      <w:r w:rsidRPr="003615DE">
        <w:rPr>
          <w:rFonts w:cstheme="minorHAnsi"/>
          <w:szCs w:val="20"/>
        </w:rPr>
        <w:fldChar w:fldCharType="begin"/>
      </w:r>
      <w:r w:rsidRPr="003615DE">
        <w:rPr>
          <w:rFonts w:cstheme="minorHAnsi"/>
          <w:szCs w:val="20"/>
        </w:rPr>
        <w:instrText xml:space="preserve"> SEQ Table \* ARABIC </w:instrText>
      </w:r>
      <w:r w:rsidRPr="003615DE">
        <w:rPr>
          <w:rFonts w:cstheme="minorHAnsi"/>
          <w:szCs w:val="20"/>
        </w:rPr>
        <w:fldChar w:fldCharType="separate"/>
      </w:r>
      <w:r>
        <w:rPr>
          <w:rFonts w:cstheme="minorHAnsi"/>
          <w:noProof/>
          <w:szCs w:val="20"/>
        </w:rPr>
        <w:t>6</w:t>
      </w:r>
      <w:r w:rsidRPr="003615DE">
        <w:rPr>
          <w:rFonts w:cstheme="minorHAnsi"/>
          <w:noProof/>
          <w:szCs w:val="20"/>
        </w:rPr>
        <w:fldChar w:fldCharType="end"/>
      </w:r>
      <w:bookmarkEnd w:id="49"/>
      <w:r w:rsidRPr="003615DE">
        <w:rPr>
          <w:rFonts w:cstheme="minorHAnsi"/>
          <w:szCs w:val="20"/>
        </w:rPr>
        <w:tab/>
        <w:t xml:space="preserve">Total Costs to the MBS Associated with </w:t>
      </w:r>
      <w:bookmarkEnd w:id="50"/>
      <w:bookmarkEnd w:id="51"/>
      <w:proofErr w:type="spellStart"/>
      <w:r w:rsidRPr="003615DE">
        <w:rPr>
          <w:rFonts w:cstheme="minorHAnsi"/>
          <w:szCs w:val="20"/>
        </w:rPr>
        <w:t>IMeRSe</w:t>
      </w:r>
      <w:bookmarkEnd w:id="52"/>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5 Total costs to the MBS associated with XXX"/>
        <w:tblDescription w:val="This table provides a summary of the financial impact of the proposed new medical service over the next five years."/>
      </w:tblPr>
      <w:tblGrid>
        <w:gridCol w:w="2689"/>
        <w:gridCol w:w="1275"/>
        <w:gridCol w:w="1275"/>
        <w:gridCol w:w="1277"/>
        <w:gridCol w:w="1277"/>
        <w:gridCol w:w="1223"/>
      </w:tblGrid>
      <w:tr w:rsidR="00CA3A5C" w:rsidRPr="00183E4D" w14:paraId="2A3E3BC6" w14:textId="77777777" w:rsidTr="0029444E">
        <w:trPr>
          <w:trHeight w:val="300"/>
          <w:tblHeader/>
        </w:trPr>
        <w:tc>
          <w:tcPr>
            <w:tcW w:w="1491" w:type="pct"/>
            <w:tcBorders>
              <w:bottom w:val="single" w:sz="4" w:space="0" w:color="auto"/>
            </w:tcBorders>
            <w:shd w:val="clear" w:color="auto" w:fill="auto"/>
            <w:vAlign w:val="center"/>
          </w:tcPr>
          <w:p w14:paraId="2CA56B56" w14:textId="77777777" w:rsidR="002A2CE0" w:rsidRPr="00183E4D" w:rsidRDefault="002A2CE0" w:rsidP="0046761E">
            <w:pPr>
              <w:keepNext/>
              <w:tabs>
                <w:tab w:val="left" w:pos="851"/>
              </w:tabs>
              <w:spacing w:before="40" w:after="40" w:line="240" w:lineRule="auto"/>
              <w:ind w:left="851" w:hanging="851"/>
              <w:rPr>
                <w:rFonts w:ascii="Arial Narrow" w:hAnsi="Arial Narrow"/>
                <w:b/>
                <w:sz w:val="20"/>
                <w:szCs w:val="20"/>
              </w:rPr>
            </w:pPr>
            <w:r w:rsidRPr="00183E4D">
              <w:rPr>
                <w:rFonts w:ascii="Arial Narrow" w:hAnsi="Arial Narrow"/>
                <w:b/>
                <w:color w:val="FFFFFF" w:themeColor="background1"/>
                <w:sz w:val="20"/>
                <w:szCs w:val="20"/>
              </w:rPr>
              <w:t>-</w:t>
            </w:r>
          </w:p>
        </w:tc>
        <w:tc>
          <w:tcPr>
            <w:tcW w:w="707" w:type="pct"/>
            <w:tcBorders>
              <w:bottom w:val="single" w:sz="4" w:space="0" w:color="auto"/>
            </w:tcBorders>
            <w:vAlign w:val="center"/>
          </w:tcPr>
          <w:p w14:paraId="61137BC9" w14:textId="77777777" w:rsidR="002A2CE0" w:rsidRPr="00183E4D" w:rsidRDefault="002A2CE0" w:rsidP="0046761E">
            <w:pPr>
              <w:keepNext/>
              <w:tabs>
                <w:tab w:val="left" w:pos="851"/>
              </w:tabs>
              <w:spacing w:before="40" w:after="40" w:line="240" w:lineRule="auto"/>
              <w:ind w:left="851" w:hanging="851"/>
              <w:jc w:val="center"/>
              <w:rPr>
                <w:rFonts w:ascii="Arial Narrow" w:hAnsi="Arial Narrow"/>
                <w:b/>
                <w:sz w:val="20"/>
                <w:szCs w:val="20"/>
              </w:rPr>
            </w:pPr>
            <w:r w:rsidRPr="00183E4D">
              <w:rPr>
                <w:rFonts w:ascii="Arial Narrow" w:hAnsi="Arial Narrow"/>
                <w:b/>
                <w:sz w:val="20"/>
                <w:szCs w:val="20"/>
              </w:rPr>
              <w:t>20</w:t>
            </w:r>
            <w:r>
              <w:rPr>
                <w:rFonts w:ascii="Arial Narrow" w:hAnsi="Arial Narrow"/>
                <w:b/>
                <w:sz w:val="20"/>
                <w:szCs w:val="20"/>
              </w:rPr>
              <w:t>21</w:t>
            </w:r>
            <w:r w:rsidRPr="00183E4D">
              <w:rPr>
                <w:rFonts w:ascii="Arial Narrow" w:hAnsi="Arial Narrow"/>
                <w:b/>
                <w:sz w:val="20"/>
                <w:szCs w:val="20"/>
              </w:rPr>
              <w:t>-</w:t>
            </w:r>
            <w:r>
              <w:rPr>
                <w:rFonts w:ascii="Arial Narrow" w:hAnsi="Arial Narrow"/>
                <w:b/>
                <w:sz w:val="20"/>
                <w:szCs w:val="20"/>
              </w:rPr>
              <w:t>22</w:t>
            </w:r>
          </w:p>
        </w:tc>
        <w:tc>
          <w:tcPr>
            <w:tcW w:w="707" w:type="pct"/>
            <w:tcBorders>
              <w:bottom w:val="single" w:sz="4" w:space="0" w:color="auto"/>
            </w:tcBorders>
            <w:shd w:val="clear" w:color="auto" w:fill="auto"/>
            <w:vAlign w:val="center"/>
          </w:tcPr>
          <w:p w14:paraId="4380BB0A" w14:textId="77777777" w:rsidR="002A2CE0" w:rsidRPr="00183E4D" w:rsidRDefault="002A2CE0" w:rsidP="0046761E">
            <w:pPr>
              <w:keepNext/>
              <w:tabs>
                <w:tab w:val="left" w:pos="851"/>
              </w:tabs>
              <w:spacing w:before="40" w:after="40" w:line="240" w:lineRule="auto"/>
              <w:ind w:left="851" w:hanging="851"/>
              <w:jc w:val="center"/>
              <w:rPr>
                <w:rFonts w:ascii="Arial Narrow" w:hAnsi="Arial Narrow"/>
                <w:b/>
                <w:sz w:val="20"/>
                <w:szCs w:val="20"/>
              </w:rPr>
            </w:pPr>
            <w:r w:rsidRPr="00183E4D">
              <w:rPr>
                <w:rFonts w:ascii="Arial Narrow" w:hAnsi="Arial Narrow"/>
                <w:b/>
                <w:sz w:val="20"/>
                <w:szCs w:val="20"/>
              </w:rPr>
              <w:t>20</w:t>
            </w:r>
            <w:r>
              <w:rPr>
                <w:rFonts w:ascii="Arial Narrow" w:hAnsi="Arial Narrow"/>
                <w:b/>
                <w:sz w:val="20"/>
                <w:szCs w:val="20"/>
              </w:rPr>
              <w:t>22</w:t>
            </w:r>
            <w:r w:rsidRPr="00183E4D">
              <w:rPr>
                <w:rFonts w:ascii="Arial Narrow" w:hAnsi="Arial Narrow"/>
                <w:b/>
                <w:sz w:val="20"/>
                <w:szCs w:val="20"/>
              </w:rPr>
              <w:t>-</w:t>
            </w:r>
            <w:r>
              <w:rPr>
                <w:rFonts w:ascii="Arial Narrow" w:hAnsi="Arial Narrow"/>
                <w:b/>
                <w:sz w:val="20"/>
                <w:szCs w:val="20"/>
              </w:rPr>
              <w:t>23</w:t>
            </w:r>
          </w:p>
        </w:tc>
        <w:tc>
          <w:tcPr>
            <w:tcW w:w="708" w:type="pct"/>
            <w:tcBorders>
              <w:bottom w:val="single" w:sz="4" w:space="0" w:color="auto"/>
            </w:tcBorders>
            <w:shd w:val="clear" w:color="auto" w:fill="auto"/>
            <w:vAlign w:val="center"/>
          </w:tcPr>
          <w:p w14:paraId="3C94537D" w14:textId="77777777" w:rsidR="002A2CE0" w:rsidRPr="00183E4D" w:rsidRDefault="002A2CE0" w:rsidP="0046761E">
            <w:pPr>
              <w:keepNext/>
              <w:tabs>
                <w:tab w:val="left" w:pos="851"/>
              </w:tabs>
              <w:spacing w:before="40" w:after="40" w:line="240" w:lineRule="auto"/>
              <w:ind w:left="851" w:hanging="851"/>
              <w:jc w:val="center"/>
              <w:rPr>
                <w:rFonts w:ascii="Arial Narrow" w:hAnsi="Arial Narrow"/>
                <w:b/>
                <w:sz w:val="20"/>
                <w:szCs w:val="20"/>
              </w:rPr>
            </w:pPr>
            <w:r w:rsidRPr="00183E4D">
              <w:rPr>
                <w:rFonts w:ascii="Arial Narrow" w:hAnsi="Arial Narrow"/>
                <w:b/>
                <w:sz w:val="20"/>
                <w:szCs w:val="20"/>
              </w:rPr>
              <w:t>20</w:t>
            </w:r>
            <w:r>
              <w:rPr>
                <w:rFonts w:ascii="Arial Narrow" w:hAnsi="Arial Narrow"/>
                <w:b/>
                <w:sz w:val="20"/>
                <w:szCs w:val="20"/>
              </w:rPr>
              <w:t>23</w:t>
            </w:r>
            <w:r w:rsidRPr="00183E4D">
              <w:rPr>
                <w:rFonts w:ascii="Arial Narrow" w:hAnsi="Arial Narrow"/>
                <w:b/>
                <w:sz w:val="20"/>
                <w:szCs w:val="20"/>
              </w:rPr>
              <w:t>-</w:t>
            </w:r>
            <w:r>
              <w:rPr>
                <w:rFonts w:ascii="Arial Narrow" w:hAnsi="Arial Narrow"/>
                <w:b/>
                <w:sz w:val="20"/>
                <w:szCs w:val="20"/>
              </w:rPr>
              <w:t>24</w:t>
            </w:r>
          </w:p>
        </w:tc>
        <w:tc>
          <w:tcPr>
            <w:tcW w:w="708" w:type="pct"/>
            <w:tcBorders>
              <w:bottom w:val="single" w:sz="4" w:space="0" w:color="auto"/>
            </w:tcBorders>
            <w:shd w:val="clear" w:color="auto" w:fill="auto"/>
            <w:vAlign w:val="center"/>
          </w:tcPr>
          <w:p w14:paraId="2153A89F" w14:textId="77777777" w:rsidR="002A2CE0" w:rsidRPr="00183E4D" w:rsidRDefault="002A2CE0" w:rsidP="0046761E">
            <w:pPr>
              <w:keepNext/>
              <w:tabs>
                <w:tab w:val="left" w:pos="851"/>
              </w:tabs>
              <w:spacing w:before="40" w:after="40" w:line="240" w:lineRule="auto"/>
              <w:ind w:left="851" w:hanging="851"/>
              <w:jc w:val="center"/>
              <w:rPr>
                <w:rFonts w:ascii="Arial Narrow" w:hAnsi="Arial Narrow"/>
                <w:b/>
                <w:sz w:val="20"/>
                <w:szCs w:val="20"/>
              </w:rPr>
            </w:pPr>
            <w:r w:rsidRPr="00183E4D">
              <w:rPr>
                <w:rFonts w:ascii="Arial Narrow" w:hAnsi="Arial Narrow"/>
                <w:b/>
                <w:sz w:val="20"/>
                <w:szCs w:val="20"/>
              </w:rPr>
              <w:t>20</w:t>
            </w:r>
            <w:r>
              <w:rPr>
                <w:rFonts w:ascii="Arial Narrow" w:hAnsi="Arial Narrow"/>
                <w:b/>
                <w:sz w:val="20"/>
                <w:szCs w:val="20"/>
              </w:rPr>
              <w:t>24</w:t>
            </w:r>
            <w:r w:rsidRPr="00183E4D">
              <w:rPr>
                <w:rFonts w:ascii="Arial Narrow" w:hAnsi="Arial Narrow"/>
                <w:b/>
                <w:sz w:val="20"/>
                <w:szCs w:val="20"/>
              </w:rPr>
              <w:t>-</w:t>
            </w:r>
            <w:r>
              <w:rPr>
                <w:rFonts w:ascii="Arial Narrow" w:hAnsi="Arial Narrow"/>
                <w:b/>
                <w:sz w:val="20"/>
                <w:szCs w:val="20"/>
              </w:rPr>
              <w:t>25</w:t>
            </w:r>
          </w:p>
        </w:tc>
        <w:tc>
          <w:tcPr>
            <w:tcW w:w="678" w:type="pct"/>
            <w:tcBorders>
              <w:bottom w:val="single" w:sz="4" w:space="0" w:color="auto"/>
            </w:tcBorders>
            <w:shd w:val="clear" w:color="auto" w:fill="auto"/>
            <w:vAlign w:val="center"/>
          </w:tcPr>
          <w:p w14:paraId="217896CF" w14:textId="77777777" w:rsidR="002A2CE0" w:rsidRPr="00183E4D" w:rsidRDefault="002A2CE0" w:rsidP="0046761E">
            <w:pPr>
              <w:keepNext/>
              <w:tabs>
                <w:tab w:val="left" w:pos="851"/>
              </w:tabs>
              <w:spacing w:before="40" w:after="40" w:line="240" w:lineRule="auto"/>
              <w:ind w:left="851" w:hanging="851"/>
              <w:jc w:val="center"/>
              <w:rPr>
                <w:rFonts w:ascii="Arial Narrow" w:hAnsi="Arial Narrow"/>
                <w:b/>
                <w:sz w:val="20"/>
                <w:szCs w:val="20"/>
              </w:rPr>
            </w:pPr>
            <w:r w:rsidRPr="00183E4D">
              <w:rPr>
                <w:rFonts w:ascii="Arial Narrow" w:hAnsi="Arial Narrow"/>
                <w:b/>
                <w:sz w:val="20"/>
                <w:szCs w:val="20"/>
              </w:rPr>
              <w:t>20</w:t>
            </w:r>
            <w:r>
              <w:rPr>
                <w:rFonts w:ascii="Arial Narrow" w:hAnsi="Arial Narrow"/>
                <w:b/>
                <w:sz w:val="20"/>
                <w:szCs w:val="20"/>
              </w:rPr>
              <w:t>25</w:t>
            </w:r>
            <w:r w:rsidRPr="00183E4D">
              <w:rPr>
                <w:rFonts w:ascii="Arial Narrow" w:hAnsi="Arial Narrow"/>
                <w:b/>
                <w:sz w:val="20"/>
                <w:szCs w:val="20"/>
              </w:rPr>
              <w:t>-2</w:t>
            </w:r>
            <w:r>
              <w:rPr>
                <w:rFonts w:ascii="Arial Narrow" w:hAnsi="Arial Narrow"/>
                <w:b/>
                <w:sz w:val="20"/>
                <w:szCs w:val="20"/>
              </w:rPr>
              <w:t>6</w:t>
            </w:r>
          </w:p>
        </w:tc>
      </w:tr>
      <w:tr w:rsidR="00C65925" w:rsidRPr="00C65925" w14:paraId="144D8AF9" w14:textId="77777777" w:rsidTr="00CA3A5C">
        <w:trPr>
          <w:trHeight w:val="300"/>
        </w:trPr>
        <w:tc>
          <w:tcPr>
            <w:tcW w:w="1491" w:type="pct"/>
            <w:tcBorders>
              <w:right w:val="nil"/>
            </w:tcBorders>
            <w:shd w:val="clear" w:color="auto" w:fill="auto"/>
          </w:tcPr>
          <w:p w14:paraId="24DB1355" w14:textId="5EB3F95F" w:rsidR="00C65925" w:rsidRPr="00C65925" w:rsidRDefault="00C65925" w:rsidP="00B33B03">
            <w:pPr>
              <w:widowControl w:val="0"/>
              <w:tabs>
                <w:tab w:val="left" w:pos="851"/>
              </w:tabs>
              <w:spacing w:before="40" w:after="40" w:line="240" w:lineRule="auto"/>
              <w:rPr>
                <w:rFonts w:ascii="Arial Narrow" w:hAnsi="Arial Narrow"/>
                <w:sz w:val="20"/>
                <w:szCs w:val="20"/>
              </w:rPr>
            </w:pPr>
            <w:r w:rsidRPr="00934777">
              <w:rPr>
                <w:rFonts w:ascii="Arial Narrow" w:hAnsi="Arial Narrow"/>
                <w:sz w:val="20"/>
                <w:szCs w:val="20"/>
              </w:rPr>
              <w:t>Block funding</w:t>
            </w:r>
          </w:p>
        </w:tc>
        <w:tc>
          <w:tcPr>
            <w:tcW w:w="707" w:type="pct"/>
            <w:tcBorders>
              <w:top w:val="single" w:sz="4" w:space="0" w:color="auto"/>
            </w:tcBorders>
          </w:tcPr>
          <w:p w14:paraId="03815915" w14:textId="27703FBA" w:rsidR="00C65925" w:rsidRPr="00C65925" w:rsidRDefault="00C65925" w:rsidP="009C75C5">
            <w:pPr>
              <w:widowControl w:val="0"/>
              <w:spacing w:before="40" w:after="40" w:line="240" w:lineRule="auto"/>
              <w:jc w:val="center"/>
              <w:rPr>
                <w:rFonts w:ascii="Arial Narrow" w:hAnsi="Arial Narrow"/>
                <w:sz w:val="18"/>
                <w:szCs w:val="18"/>
              </w:rPr>
            </w:pPr>
            <w:r w:rsidRPr="00934777">
              <w:rPr>
                <w:rFonts w:ascii="Arial Narrow" w:hAnsi="Arial Narrow"/>
                <w:sz w:val="18"/>
                <w:szCs w:val="18"/>
              </w:rPr>
              <w:t>[</w:t>
            </w:r>
            <w:r w:rsidRPr="00934777">
              <w:rPr>
                <w:rFonts w:ascii="Arial Narrow" w:hAnsi="Arial Narrow"/>
                <w:i/>
                <w:iCs/>
                <w:sz w:val="18"/>
                <w:szCs w:val="18"/>
              </w:rPr>
              <w:t>redacted</w:t>
            </w:r>
            <w:r w:rsidRPr="00934777">
              <w:rPr>
                <w:rFonts w:ascii="Arial Narrow" w:hAnsi="Arial Narrow"/>
                <w:sz w:val="18"/>
                <w:szCs w:val="18"/>
              </w:rPr>
              <w:t>]</w:t>
            </w:r>
          </w:p>
        </w:tc>
        <w:tc>
          <w:tcPr>
            <w:tcW w:w="707" w:type="pct"/>
            <w:tcBorders>
              <w:top w:val="single" w:sz="4" w:space="0" w:color="auto"/>
            </w:tcBorders>
            <w:shd w:val="clear" w:color="auto" w:fill="auto"/>
          </w:tcPr>
          <w:p w14:paraId="14432CC2" w14:textId="18497C58" w:rsidR="00C65925" w:rsidRPr="00C65925" w:rsidRDefault="00C65925" w:rsidP="009C75C5">
            <w:pPr>
              <w:widowControl w:val="0"/>
              <w:spacing w:before="40" w:after="40" w:line="240" w:lineRule="auto"/>
              <w:jc w:val="center"/>
              <w:rPr>
                <w:rFonts w:ascii="Arial Narrow" w:hAnsi="Arial Narrow"/>
                <w:sz w:val="18"/>
                <w:szCs w:val="18"/>
              </w:rPr>
            </w:pPr>
            <w:r w:rsidRPr="00934777">
              <w:rPr>
                <w:rFonts w:ascii="Arial Narrow" w:hAnsi="Arial Narrow"/>
                <w:sz w:val="18"/>
                <w:szCs w:val="18"/>
              </w:rPr>
              <w:t>[</w:t>
            </w:r>
            <w:r w:rsidRPr="00934777">
              <w:rPr>
                <w:rFonts w:ascii="Arial Narrow" w:hAnsi="Arial Narrow"/>
                <w:i/>
                <w:iCs/>
                <w:sz w:val="18"/>
                <w:szCs w:val="18"/>
              </w:rPr>
              <w:t>redacted</w:t>
            </w:r>
            <w:r w:rsidRPr="00934777">
              <w:rPr>
                <w:rFonts w:ascii="Arial Narrow" w:hAnsi="Arial Narrow"/>
                <w:sz w:val="18"/>
                <w:szCs w:val="18"/>
              </w:rPr>
              <w:t>]</w:t>
            </w:r>
          </w:p>
        </w:tc>
        <w:tc>
          <w:tcPr>
            <w:tcW w:w="708" w:type="pct"/>
            <w:tcBorders>
              <w:top w:val="single" w:sz="4" w:space="0" w:color="auto"/>
            </w:tcBorders>
            <w:shd w:val="clear" w:color="auto" w:fill="auto"/>
          </w:tcPr>
          <w:p w14:paraId="7018D5CE" w14:textId="5633F12B" w:rsidR="00C65925" w:rsidRPr="00C65925" w:rsidRDefault="00C65925" w:rsidP="009C75C5">
            <w:pPr>
              <w:widowControl w:val="0"/>
              <w:spacing w:before="40" w:after="40" w:line="240" w:lineRule="auto"/>
              <w:jc w:val="center"/>
              <w:rPr>
                <w:rFonts w:ascii="Arial Narrow" w:hAnsi="Arial Narrow"/>
                <w:sz w:val="18"/>
                <w:szCs w:val="18"/>
              </w:rPr>
            </w:pPr>
            <w:r w:rsidRPr="00934777">
              <w:rPr>
                <w:rFonts w:ascii="Arial Narrow" w:hAnsi="Arial Narrow"/>
                <w:sz w:val="18"/>
                <w:szCs w:val="18"/>
              </w:rPr>
              <w:t>[</w:t>
            </w:r>
            <w:r w:rsidRPr="00934777">
              <w:rPr>
                <w:rFonts w:ascii="Arial Narrow" w:hAnsi="Arial Narrow"/>
                <w:i/>
                <w:iCs/>
                <w:sz w:val="18"/>
                <w:szCs w:val="18"/>
              </w:rPr>
              <w:t>redacted</w:t>
            </w:r>
            <w:r w:rsidRPr="00934777">
              <w:rPr>
                <w:rFonts w:ascii="Arial Narrow" w:hAnsi="Arial Narrow"/>
                <w:sz w:val="18"/>
                <w:szCs w:val="18"/>
              </w:rPr>
              <w:t>]</w:t>
            </w:r>
          </w:p>
        </w:tc>
        <w:tc>
          <w:tcPr>
            <w:tcW w:w="708" w:type="pct"/>
            <w:tcBorders>
              <w:top w:val="single" w:sz="4" w:space="0" w:color="auto"/>
            </w:tcBorders>
            <w:shd w:val="clear" w:color="auto" w:fill="auto"/>
          </w:tcPr>
          <w:p w14:paraId="03CF3D0C" w14:textId="21B7D71D" w:rsidR="00C65925" w:rsidRPr="00C65925" w:rsidRDefault="00C65925" w:rsidP="009C75C5">
            <w:pPr>
              <w:widowControl w:val="0"/>
              <w:spacing w:before="40" w:after="40" w:line="240" w:lineRule="auto"/>
              <w:jc w:val="center"/>
              <w:rPr>
                <w:rFonts w:ascii="Arial Narrow" w:hAnsi="Arial Narrow"/>
                <w:sz w:val="18"/>
                <w:szCs w:val="18"/>
              </w:rPr>
            </w:pPr>
            <w:r w:rsidRPr="00934777">
              <w:rPr>
                <w:rFonts w:ascii="Arial Narrow" w:hAnsi="Arial Narrow"/>
                <w:sz w:val="18"/>
                <w:szCs w:val="18"/>
              </w:rPr>
              <w:t>[</w:t>
            </w:r>
            <w:r w:rsidRPr="00934777">
              <w:rPr>
                <w:rFonts w:ascii="Arial Narrow" w:hAnsi="Arial Narrow"/>
                <w:i/>
                <w:iCs/>
                <w:sz w:val="18"/>
                <w:szCs w:val="18"/>
              </w:rPr>
              <w:t>redacted</w:t>
            </w:r>
            <w:r w:rsidRPr="00934777">
              <w:rPr>
                <w:rFonts w:ascii="Arial Narrow" w:hAnsi="Arial Narrow"/>
                <w:sz w:val="18"/>
                <w:szCs w:val="18"/>
              </w:rPr>
              <w:t>]</w:t>
            </w:r>
          </w:p>
        </w:tc>
        <w:tc>
          <w:tcPr>
            <w:tcW w:w="678" w:type="pct"/>
            <w:tcBorders>
              <w:top w:val="single" w:sz="4" w:space="0" w:color="auto"/>
            </w:tcBorders>
            <w:shd w:val="clear" w:color="auto" w:fill="auto"/>
          </w:tcPr>
          <w:p w14:paraId="4065968E" w14:textId="24C43ADE" w:rsidR="00C65925" w:rsidRPr="00C65925" w:rsidRDefault="00C65925" w:rsidP="009C75C5">
            <w:pPr>
              <w:widowControl w:val="0"/>
              <w:spacing w:before="40" w:after="40" w:line="240" w:lineRule="auto"/>
              <w:jc w:val="center"/>
              <w:rPr>
                <w:rFonts w:ascii="Arial Narrow" w:hAnsi="Arial Narrow"/>
                <w:sz w:val="18"/>
                <w:szCs w:val="18"/>
              </w:rPr>
            </w:pPr>
            <w:r w:rsidRPr="00934777">
              <w:rPr>
                <w:rFonts w:ascii="Arial Narrow" w:hAnsi="Arial Narrow"/>
                <w:sz w:val="18"/>
                <w:szCs w:val="18"/>
              </w:rPr>
              <w:t>[</w:t>
            </w:r>
            <w:r w:rsidRPr="00934777">
              <w:rPr>
                <w:rFonts w:ascii="Arial Narrow" w:hAnsi="Arial Narrow"/>
                <w:i/>
                <w:iCs/>
                <w:sz w:val="18"/>
                <w:szCs w:val="18"/>
              </w:rPr>
              <w:t>redacted</w:t>
            </w:r>
            <w:r w:rsidRPr="00934777">
              <w:rPr>
                <w:rFonts w:ascii="Arial Narrow" w:hAnsi="Arial Narrow"/>
                <w:sz w:val="18"/>
                <w:szCs w:val="18"/>
              </w:rPr>
              <w:t>]</w:t>
            </w:r>
          </w:p>
        </w:tc>
      </w:tr>
      <w:tr w:rsidR="00CA3A5C" w:rsidRPr="00C65925" w14:paraId="418818BD" w14:textId="77777777" w:rsidTr="0029444E">
        <w:trPr>
          <w:trHeight w:val="300"/>
        </w:trPr>
        <w:tc>
          <w:tcPr>
            <w:tcW w:w="1491" w:type="pct"/>
            <w:tcBorders>
              <w:right w:val="nil"/>
            </w:tcBorders>
            <w:shd w:val="clear" w:color="auto" w:fill="auto"/>
          </w:tcPr>
          <w:p w14:paraId="6B220959" w14:textId="2C800130" w:rsidR="009C75C5" w:rsidRPr="0029444E" w:rsidRDefault="009C75C5" w:rsidP="0029444E">
            <w:pPr>
              <w:widowControl w:val="0"/>
              <w:tabs>
                <w:tab w:val="left" w:pos="851"/>
              </w:tabs>
              <w:spacing w:before="40" w:after="40" w:line="240" w:lineRule="auto"/>
              <w:rPr>
                <w:rFonts w:ascii="Arial Narrow" w:hAnsi="Arial Narrow"/>
                <w:b/>
                <w:sz w:val="20"/>
                <w:szCs w:val="20"/>
              </w:rPr>
            </w:pPr>
            <w:r w:rsidRPr="00C65925">
              <w:rPr>
                <w:rFonts w:ascii="Arial Narrow" w:hAnsi="Arial Narrow"/>
                <w:sz w:val="20"/>
                <w:szCs w:val="20"/>
              </w:rPr>
              <w:t>Number of services - urban</w:t>
            </w:r>
          </w:p>
        </w:tc>
        <w:tc>
          <w:tcPr>
            <w:tcW w:w="707" w:type="pct"/>
            <w:tcBorders>
              <w:top w:val="single" w:sz="4" w:space="0" w:color="auto"/>
            </w:tcBorders>
          </w:tcPr>
          <w:p w14:paraId="13CD795F" w14:textId="628523BC" w:rsidR="009C75C5" w:rsidRPr="0029444E" w:rsidRDefault="009C75C5" w:rsidP="009C75C5">
            <w:pPr>
              <w:widowControl w:val="0"/>
              <w:spacing w:before="40" w:after="40" w:line="240" w:lineRule="auto"/>
              <w:jc w:val="center"/>
              <w:rPr>
                <w:rFonts w:ascii="Arial Narrow" w:hAnsi="Arial Narrow"/>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c>
          <w:tcPr>
            <w:tcW w:w="707" w:type="pct"/>
            <w:tcBorders>
              <w:top w:val="single" w:sz="4" w:space="0" w:color="auto"/>
            </w:tcBorders>
            <w:shd w:val="clear" w:color="auto" w:fill="auto"/>
          </w:tcPr>
          <w:p w14:paraId="4CB5E37D" w14:textId="28B8CD2C" w:rsidR="009C75C5" w:rsidRPr="0029444E" w:rsidRDefault="009C75C5" w:rsidP="009C75C5">
            <w:pPr>
              <w:widowControl w:val="0"/>
              <w:spacing w:before="40" w:after="40" w:line="240" w:lineRule="auto"/>
              <w:jc w:val="center"/>
              <w:rPr>
                <w:rFonts w:ascii="Arial Narrow" w:hAnsi="Arial Narrow"/>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c>
          <w:tcPr>
            <w:tcW w:w="708" w:type="pct"/>
            <w:tcBorders>
              <w:top w:val="single" w:sz="4" w:space="0" w:color="auto"/>
            </w:tcBorders>
            <w:shd w:val="clear" w:color="auto" w:fill="auto"/>
          </w:tcPr>
          <w:p w14:paraId="78E5122A" w14:textId="54A3DDB6" w:rsidR="009C75C5" w:rsidRPr="0029444E" w:rsidRDefault="009C75C5" w:rsidP="009C75C5">
            <w:pPr>
              <w:widowControl w:val="0"/>
              <w:spacing w:before="40" w:after="40" w:line="240" w:lineRule="auto"/>
              <w:jc w:val="center"/>
              <w:rPr>
                <w:rFonts w:ascii="Arial Narrow" w:hAnsi="Arial Narrow"/>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c>
          <w:tcPr>
            <w:tcW w:w="708" w:type="pct"/>
            <w:tcBorders>
              <w:top w:val="single" w:sz="4" w:space="0" w:color="auto"/>
            </w:tcBorders>
            <w:shd w:val="clear" w:color="auto" w:fill="auto"/>
          </w:tcPr>
          <w:p w14:paraId="06F6DAB5" w14:textId="2D7D68F5" w:rsidR="009C75C5" w:rsidRPr="0029444E" w:rsidRDefault="009C75C5" w:rsidP="009C75C5">
            <w:pPr>
              <w:widowControl w:val="0"/>
              <w:spacing w:before="40" w:after="40" w:line="240" w:lineRule="auto"/>
              <w:jc w:val="center"/>
              <w:rPr>
                <w:rFonts w:ascii="Arial Narrow" w:hAnsi="Arial Narrow"/>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c>
          <w:tcPr>
            <w:tcW w:w="678" w:type="pct"/>
            <w:tcBorders>
              <w:top w:val="single" w:sz="4" w:space="0" w:color="auto"/>
            </w:tcBorders>
            <w:shd w:val="clear" w:color="auto" w:fill="auto"/>
          </w:tcPr>
          <w:p w14:paraId="47311890" w14:textId="3F3050AD" w:rsidR="009C75C5" w:rsidRPr="0029444E" w:rsidRDefault="009C75C5" w:rsidP="009C75C5">
            <w:pPr>
              <w:widowControl w:val="0"/>
              <w:spacing w:before="40" w:after="40" w:line="240" w:lineRule="auto"/>
              <w:jc w:val="center"/>
              <w:rPr>
                <w:rFonts w:ascii="Arial Narrow" w:hAnsi="Arial Narrow"/>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r>
      <w:tr w:rsidR="00CA3A5C" w:rsidRPr="00C65925" w14:paraId="05FE2878" w14:textId="77777777" w:rsidTr="0029444E">
        <w:trPr>
          <w:trHeight w:val="300"/>
        </w:trPr>
        <w:tc>
          <w:tcPr>
            <w:tcW w:w="1491" w:type="pct"/>
            <w:tcBorders>
              <w:right w:val="nil"/>
            </w:tcBorders>
            <w:shd w:val="clear" w:color="auto" w:fill="auto"/>
          </w:tcPr>
          <w:p w14:paraId="1D29EEFE" w14:textId="4A1191B8" w:rsidR="009C75C5" w:rsidRPr="0029444E" w:rsidRDefault="00B80DDA" w:rsidP="0029444E">
            <w:pPr>
              <w:widowControl w:val="0"/>
              <w:tabs>
                <w:tab w:val="left" w:pos="851"/>
              </w:tabs>
              <w:spacing w:before="40" w:after="40" w:line="240" w:lineRule="auto"/>
              <w:rPr>
                <w:rFonts w:ascii="Arial Narrow" w:hAnsi="Arial Narrow"/>
                <w:b/>
                <w:sz w:val="20"/>
                <w:szCs w:val="20"/>
              </w:rPr>
            </w:pPr>
            <w:r w:rsidRPr="00C65925">
              <w:rPr>
                <w:rFonts w:ascii="Arial Narrow" w:hAnsi="Arial Narrow"/>
                <w:sz w:val="20"/>
                <w:szCs w:val="20"/>
              </w:rPr>
              <w:t>Sub-total cost urban</w:t>
            </w:r>
          </w:p>
        </w:tc>
        <w:tc>
          <w:tcPr>
            <w:tcW w:w="707" w:type="pct"/>
          </w:tcPr>
          <w:p w14:paraId="6CC24210" w14:textId="1F100BD3" w:rsidR="009C75C5" w:rsidRPr="0029444E" w:rsidRDefault="009C75C5" w:rsidP="009C75C5">
            <w:pPr>
              <w:widowControl w:val="0"/>
              <w:spacing w:before="40" w:after="40" w:line="240" w:lineRule="auto"/>
              <w:jc w:val="center"/>
              <w:rPr>
                <w:rFonts w:ascii="Arial Narrow" w:hAnsi="Arial Narrow"/>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c>
          <w:tcPr>
            <w:tcW w:w="707" w:type="pct"/>
            <w:shd w:val="clear" w:color="auto" w:fill="auto"/>
          </w:tcPr>
          <w:p w14:paraId="736D5E10" w14:textId="45A2582C" w:rsidR="009C75C5" w:rsidRPr="0029444E" w:rsidRDefault="009C75C5" w:rsidP="009C75C5">
            <w:pPr>
              <w:widowControl w:val="0"/>
              <w:spacing w:before="40" w:after="40" w:line="240" w:lineRule="auto"/>
              <w:jc w:val="center"/>
              <w:rPr>
                <w:rFonts w:ascii="Arial Narrow" w:hAnsi="Arial Narrow"/>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c>
          <w:tcPr>
            <w:tcW w:w="708" w:type="pct"/>
            <w:shd w:val="clear" w:color="auto" w:fill="auto"/>
          </w:tcPr>
          <w:p w14:paraId="45BE8E90" w14:textId="001D6482" w:rsidR="009C75C5" w:rsidRPr="0029444E" w:rsidRDefault="009C75C5" w:rsidP="009C75C5">
            <w:pPr>
              <w:widowControl w:val="0"/>
              <w:spacing w:before="40" w:after="40" w:line="240" w:lineRule="auto"/>
              <w:jc w:val="center"/>
              <w:rPr>
                <w:rFonts w:ascii="Arial Narrow" w:hAnsi="Arial Narrow"/>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c>
          <w:tcPr>
            <w:tcW w:w="708" w:type="pct"/>
            <w:shd w:val="clear" w:color="auto" w:fill="auto"/>
          </w:tcPr>
          <w:p w14:paraId="3A7002CE" w14:textId="02A57E83" w:rsidR="009C75C5" w:rsidRPr="0029444E" w:rsidRDefault="009C75C5" w:rsidP="009C75C5">
            <w:pPr>
              <w:widowControl w:val="0"/>
              <w:spacing w:before="40" w:after="40" w:line="240" w:lineRule="auto"/>
              <w:jc w:val="center"/>
              <w:rPr>
                <w:rFonts w:ascii="Arial Narrow" w:hAnsi="Arial Narrow"/>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c>
          <w:tcPr>
            <w:tcW w:w="678" w:type="pct"/>
            <w:shd w:val="clear" w:color="auto" w:fill="auto"/>
          </w:tcPr>
          <w:p w14:paraId="7628602A" w14:textId="21F30C4F" w:rsidR="009C75C5" w:rsidRPr="0029444E" w:rsidRDefault="009C75C5" w:rsidP="009C75C5">
            <w:pPr>
              <w:widowControl w:val="0"/>
              <w:spacing w:before="40" w:after="40" w:line="240" w:lineRule="auto"/>
              <w:jc w:val="center"/>
              <w:rPr>
                <w:rFonts w:ascii="Arial Narrow" w:hAnsi="Arial Narrow"/>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r>
      <w:tr w:rsidR="00CA3A5C" w:rsidRPr="00C65925" w14:paraId="1D5ED14F" w14:textId="77777777" w:rsidTr="0029444E">
        <w:tc>
          <w:tcPr>
            <w:tcW w:w="1491" w:type="pct"/>
            <w:shd w:val="clear" w:color="auto" w:fill="auto"/>
          </w:tcPr>
          <w:p w14:paraId="026324CB" w14:textId="21EFD472" w:rsidR="00B80DDA" w:rsidRPr="00C65925" w:rsidRDefault="00B80DDA" w:rsidP="0029444E">
            <w:pPr>
              <w:widowControl w:val="0"/>
              <w:tabs>
                <w:tab w:val="left" w:pos="0"/>
              </w:tabs>
              <w:spacing w:before="40" w:after="40" w:line="240" w:lineRule="auto"/>
              <w:rPr>
                <w:rFonts w:ascii="Arial Narrow" w:hAnsi="Arial Narrow"/>
                <w:sz w:val="20"/>
                <w:szCs w:val="20"/>
              </w:rPr>
            </w:pPr>
            <w:r w:rsidRPr="00C65925">
              <w:rPr>
                <w:rFonts w:ascii="Arial Narrow" w:hAnsi="Arial Narrow"/>
                <w:sz w:val="20"/>
                <w:szCs w:val="20"/>
              </w:rPr>
              <w:t>Number of services - rural</w:t>
            </w:r>
          </w:p>
        </w:tc>
        <w:tc>
          <w:tcPr>
            <w:tcW w:w="707" w:type="pct"/>
          </w:tcPr>
          <w:p w14:paraId="30871EC5" w14:textId="08B5F099" w:rsidR="00B80DDA" w:rsidRPr="0029444E" w:rsidRDefault="00B80DDA" w:rsidP="00B80DDA">
            <w:pPr>
              <w:widowControl w:val="0"/>
              <w:spacing w:before="40" w:after="40" w:line="240" w:lineRule="auto"/>
              <w:jc w:val="center"/>
              <w:rPr>
                <w:rFonts w:ascii="Arial Narrow" w:hAnsi="Arial Narrow"/>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c>
          <w:tcPr>
            <w:tcW w:w="707" w:type="pct"/>
            <w:shd w:val="clear" w:color="auto" w:fill="auto"/>
          </w:tcPr>
          <w:p w14:paraId="4AB426B0" w14:textId="46DBCAE0" w:rsidR="00B80DDA" w:rsidRPr="0029444E" w:rsidRDefault="00B80DDA" w:rsidP="00B80DDA">
            <w:pPr>
              <w:widowControl w:val="0"/>
              <w:spacing w:before="40" w:after="40" w:line="240" w:lineRule="auto"/>
              <w:jc w:val="center"/>
              <w:rPr>
                <w:rFonts w:ascii="Arial Narrow" w:hAnsi="Arial Narrow"/>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c>
          <w:tcPr>
            <w:tcW w:w="708" w:type="pct"/>
            <w:shd w:val="clear" w:color="auto" w:fill="auto"/>
          </w:tcPr>
          <w:p w14:paraId="7C3D047A" w14:textId="7902D8CA" w:rsidR="00B80DDA" w:rsidRPr="0029444E" w:rsidRDefault="00B80DDA" w:rsidP="00B80DDA">
            <w:pPr>
              <w:widowControl w:val="0"/>
              <w:spacing w:before="40" w:after="40" w:line="240" w:lineRule="auto"/>
              <w:jc w:val="center"/>
              <w:rPr>
                <w:rFonts w:ascii="Arial Narrow" w:hAnsi="Arial Narrow"/>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c>
          <w:tcPr>
            <w:tcW w:w="708" w:type="pct"/>
            <w:shd w:val="clear" w:color="auto" w:fill="auto"/>
          </w:tcPr>
          <w:p w14:paraId="4BE1B4A8" w14:textId="7D43A4A1" w:rsidR="00B80DDA" w:rsidRPr="0029444E" w:rsidRDefault="00B80DDA" w:rsidP="00B80DDA">
            <w:pPr>
              <w:widowControl w:val="0"/>
              <w:spacing w:before="40" w:after="40" w:line="240" w:lineRule="auto"/>
              <w:jc w:val="center"/>
              <w:rPr>
                <w:rFonts w:ascii="Arial Narrow" w:hAnsi="Arial Narrow"/>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c>
          <w:tcPr>
            <w:tcW w:w="678" w:type="pct"/>
            <w:shd w:val="clear" w:color="auto" w:fill="auto"/>
          </w:tcPr>
          <w:p w14:paraId="2CDC6015" w14:textId="270FC062" w:rsidR="00B80DDA" w:rsidRPr="0029444E" w:rsidRDefault="00B80DDA" w:rsidP="00B80DDA">
            <w:pPr>
              <w:widowControl w:val="0"/>
              <w:spacing w:before="40" w:after="40" w:line="240" w:lineRule="auto"/>
              <w:jc w:val="center"/>
              <w:rPr>
                <w:rFonts w:ascii="Arial Narrow" w:hAnsi="Arial Narrow"/>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r>
      <w:tr w:rsidR="00CA3A5C" w:rsidRPr="00C65925" w14:paraId="131BDFC9" w14:textId="77777777" w:rsidTr="0029444E">
        <w:tc>
          <w:tcPr>
            <w:tcW w:w="1491" w:type="pct"/>
            <w:tcBorders>
              <w:bottom w:val="single" w:sz="4" w:space="0" w:color="auto"/>
            </w:tcBorders>
            <w:shd w:val="clear" w:color="auto" w:fill="auto"/>
          </w:tcPr>
          <w:p w14:paraId="599088B5" w14:textId="77777777" w:rsidR="009C75C5" w:rsidRPr="00C65925" w:rsidRDefault="009C75C5">
            <w:pPr>
              <w:widowControl w:val="0"/>
              <w:spacing w:before="40" w:after="40" w:line="240" w:lineRule="auto"/>
              <w:rPr>
                <w:rFonts w:ascii="Arial Narrow" w:hAnsi="Arial Narrow"/>
                <w:sz w:val="20"/>
                <w:szCs w:val="20"/>
              </w:rPr>
            </w:pPr>
            <w:r w:rsidRPr="00C65925">
              <w:rPr>
                <w:rFonts w:ascii="Arial Narrow" w:hAnsi="Arial Narrow"/>
                <w:sz w:val="20"/>
                <w:szCs w:val="20"/>
              </w:rPr>
              <w:t>Sub-total cost rural</w:t>
            </w:r>
          </w:p>
        </w:tc>
        <w:tc>
          <w:tcPr>
            <w:tcW w:w="707" w:type="pct"/>
            <w:tcBorders>
              <w:bottom w:val="single" w:sz="4" w:space="0" w:color="auto"/>
            </w:tcBorders>
          </w:tcPr>
          <w:p w14:paraId="18D96CC3" w14:textId="09505495" w:rsidR="009C75C5" w:rsidRPr="0029444E" w:rsidRDefault="009C75C5" w:rsidP="009C75C5">
            <w:pPr>
              <w:widowControl w:val="0"/>
              <w:spacing w:before="40" w:after="40" w:line="240" w:lineRule="auto"/>
              <w:jc w:val="center"/>
              <w:rPr>
                <w:rFonts w:ascii="Arial Narrow" w:hAnsi="Arial Narrow"/>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c>
          <w:tcPr>
            <w:tcW w:w="707" w:type="pct"/>
            <w:tcBorders>
              <w:bottom w:val="single" w:sz="4" w:space="0" w:color="auto"/>
            </w:tcBorders>
            <w:shd w:val="clear" w:color="auto" w:fill="auto"/>
          </w:tcPr>
          <w:p w14:paraId="682E229E" w14:textId="69C997F7" w:rsidR="009C75C5" w:rsidRPr="0029444E" w:rsidRDefault="009C75C5" w:rsidP="009C75C5">
            <w:pPr>
              <w:widowControl w:val="0"/>
              <w:spacing w:before="40" w:after="40" w:line="240" w:lineRule="auto"/>
              <w:jc w:val="center"/>
              <w:rPr>
                <w:rFonts w:ascii="Arial Narrow" w:hAnsi="Arial Narrow"/>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c>
          <w:tcPr>
            <w:tcW w:w="708" w:type="pct"/>
            <w:tcBorders>
              <w:bottom w:val="single" w:sz="4" w:space="0" w:color="auto"/>
            </w:tcBorders>
            <w:shd w:val="clear" w:color="auto" w:fill="auto"/>
          </w:tcPr>
          <w:p w14:paraId="4CF306ED" w14:textId="75D7D5A4" w:rsidR="009C75C5" w:rsidRPr="0029444E" w:rsidRDefault="009C75C5" w:rsidP="009C75C5">
            <w:pPr>
              <w:widowControl w:val="0"/>
              <w:spacing w:before="40" w:after="40" w:line="240" w:lineRule="auto"/>
              <w:jc w:val="center"/>
              <w:rPr>
                <w:rFonts w:ascii="Arial Narrow" w:hAnsi="Arial Narrow"/>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c>
          <w:tcPr>
            <w:tcW w:w="708" w:type="pct"/>
            <w:tcBorders>
              <w:bottom w:val="single" w:sz="4" w:space="0" w:color="auto"/>
            </w:tcBorders>
            <w:shd w:val="clear" w:color="auto" w:fill="auto"/>
          </w:tcPr>
          <w:p w14:paraId="225D91C9" w14:textId="742BD888" w:rsidR="009C75C5" w:rsidRPr="0029444E" w:rsidRDefault="009C75C5" w:rsidP="009C75C5">
            <w:pPr>
              <w:widowControl w:val="0"/>
              <w:spacing w:before="40" w:after="40" w:line="240" w:lineRule="auto"/>
              <w:jc w:val="center"/>
              <w:rPr>
                <w:rFonts w:ascii="Arial Narrow" w:hAnsi="Arial Narrow"/>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c>
          <w:tcPr>
            <w:tcW w:w="678" w:type="pct"/>
            <w:tcBorders>
              <w:bottom w:val="single" w:sz="4" w:space="0" w:color="auto"/>
            </w:tcBorders>
            <w:shd w:val="clear" w:color="auto" w:fill="auto"/>
          </w:tcPr>
          <w:p w14:paraId="7AAE7DC5" w14:textId="511EBF3C" w:rsidR="009C75C5" w:rsidRPr="0029444E" w:rsidRDefault="009C75C5" w:rsidP="009C75C5">
            <w:pPr>
              <w:widowControl w:val="0"/>
              <w:spacing w:before="40" w:after="40" w:line="240" w:lineRule="auto"/>
              <w:jc w:val="center"/>
              <w:rPr>
                <w:rFonts w:ascii="Arial Narrow" w:hAnsi="Arial Narrow"/>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r>
      <w:tr w:rsidR="00CA3A5C" w:rsidRPr="00C65925" w14:paraId="4C7AC20A" w14:textId="77777777" w:rsidTr="0029444E">
        <w:tc>
          <w:tcPr>
            <w:tcW w:w="1491" w:type="pct"/>
            <w:tcBorders>
              <w:bottom w:val="single" w:sz="4" w:space="0" w:color="auto"/>
            </w:tcBorders>
            <w:shd w:val="clear" w:color="auto" w:fill="auto"/>
          </w:tcPr>
          <w:p w14:paraId="53CC6BD7" w14:textId="15353B84" w:rsidR="00915176" w:rsidRPr="00C65925" w:rsidRDefault="00915176">
            <w:pPr>
              <w:widowControl w:val="0"/>
              <w:spacing w:before="40" w:after="40" w:line="240" w:lineRule="auto"/>
              <w:rPr>
                <w:rFonts w:ascii="Arial Narrow" w:hAnsi="Arial Narrow"/>
                <w:sz w:val="20"/>
                <w:szCs w:val="20"/>
              </w:rPr>
            </w:pPr>
            <w:r w:rsidRPr="00C65925">
              <w:rPr>
                <w:rFonts w:ascii="Arial Narrow" w:hAnsi="Arial Narrow"/>
                <w:sz w:val="20"/>
                <w:szCs w:val="20"/>
              </w:rPr>
              <w:t>Number of services - remote</w:t>
            </w:r>
          </w:p>
        </w:tc>
        <w:tc>
          <w:tcPr>
            <w:tcW w:w="707" w:type="pct"/>
            <w:tcBorders>
              <w:bottom w:val="single" w:sz="4" w:space="0" w:color="auto"/>
            </w:tcBorders>
          </w:tcPr>
          <w:p w14:paraId="6452082C" w14:textId="1A06D7DD" w:rsidR="00915176" w:rsidRPr="00C65925" w:rsidRDefault="00871F87">
            <w:pPr>
              <w:widowControl w:val="0"/>
              <w:spacing w:before="40" w:after="40" w:line="240" w:lineRule="auto"/>
              <w:jc w:val="center"/>
              <w:rPr>
                <w:rFonts w:ascii="Arial Narrow" w:hAnsi="Arial Narrow"/>
                <w:sz w:val="18"/>
                <w:szCs w:val="18"/>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c>
          <w:tcPr>
            <w:tcW w:w="707" w:type="pct"/>
            <w:tcBorders>
              <w:bottom w:val="single" w:sz="4" w:space="0" w:color="auto"/>
            </w:tcBorders>
            <w:shd w:val="clear" w:color="auto" w:fill="auto"/>
          </w:tcPr>
          <w:p w14:paraId="3A105D7F" w14:textId="53F34132" w:rsidR="00915176" w:rsidRPr="00C65925" w:rsidRDefault="00915176" w:rsidP="009C75C5">
            <w:pPr>
              <w:widowControl w:val="0"/>
              <w:spacing w:before="40" w:after="40" w:line="240" w:lineRule="auto"/>
              <w:jc w:val="center"/>
              <w:rPr>
                <w:rFonts w:ascii="Arial Narrow" w:hAnsi="Arial Narrow"/>
                <w:sz w:val="18"/>
                <w:szCs w:val="18"/>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c>
          <w:tcPr>
            <w:tcW w:w="708" w:type="pct"/>
            <w:tcBorders>
              <w:bottom w:val="single" w:sz="4" w:space="0" w:color="auto"/>
            </w:tcBorders>
            <w:shd w:val="clear" w:color="auto" w:fill="auto"/>
          </w:tcPr>
          <w:p w14:paraId="20DF9EFD" w14:textId="5B14BB6C" w:rsidR="00915176" w:rsidRPr="00C65925" w:rsidRDefault="00915176" w:rsidP="009C75C5">
            <w:pPr>
              <w:widowControl w:val="0"/>
              <w:spacing w:before="40" w:after="40" w:line="240" w:lineRule="auto"/>
              <w:jc w:val="center"/>
              <w:rPr>
                <w:rFonts w:ascii="Arial Narrow" w:hAnsi="Arial Narrow"/>
                <w:sz w:val="18"/>
                <w:szCs w:val="18"/>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c>
          <w:tcPr>
            <w:tcW w:w="708" w:type="pct"/>
            <w:tcBorders>
              <w:bottom w:val="single" w:sz="4" w:space="0" w:color="auto"/>
            </w:tcBorders>
            <w:shd w:val="clear" w:color="auto" w:fill="auto"/>
          </w:tcPr>
          <w:p w14:paraId="3DE31F2F" w14:textId="4566F66D" w:rsidR="00915176" w:rsidRPr="00C65925" w:rsidRDefault="00915176" w:rsidP="009C75C5">
            <w:pPr>
              <w:widowControl w:val="0"/>
              <w:spacing w:before="40" w:after="40" w:line="240" w:lineRule="auto"/>
              <w:jc w:val="center"/>
              <w:rPr>
                <w:rFonts w:ascii="Arial Narrow" w:hAnsi="Arial Narrow"/>
                <w:sz w:val="18"/>
                <w:szCs w:val="18"/>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c>
          <w:tcPr>
            <w:tcW w:w="678" w:type="pct"/>
            <w:tcBorders>
              <w:bottom w:val="single" w:sz="4" w:space="0" w:color="auto"/>
            </w:tcBorders>
            <w:shd w:val="clear" w:color="auto" w:fill="auto"/>
          </w:tcPr>
          <w:p w14:paraId="4D302EA8" w14:textId="1A08856C" w:rsidR="00915176" w:rsidRPr="00C65925" w:rsidRDefault="00915176" w:rsidP="009C75C5">
            <w:pPr>
              <w:widowControl w:val="0"/>
              <w:spacing w:before="40" w:after="40" w:line="240" w:lineRule="auto"/>
              <w:jc w:val="center"/>
              <w:rPr>
                <w:rFonts w:ascii="Arial Narrow" w:hAnsi="Arial Narrow"/>
                <w:sz w:val="18"/>
                <w:szCs w:val="18"/>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r>
      <w:tr w:rsidR="00CA3A5C" w:rsidRPr="00C65925" w14:paraId="2BFAD5BF" w14:textId="77777777" w:rsidTr="0029444E">
        <w:trPr>
          <w:trHeight w:val="300"/>
        </w:trPr>
        <w:tc>
          <w:tcPr>
            <w:tcW w:w="1491" w:type="pct"/>
            <w:tcBorders>
              <w:bottom w:val="single" w:sz="4" w:space="0" w:color="auto"/>
            </w:tcBorders>
            <w:shd w:val="clear" w:color="auto" w:fill="auto"/>
          </w:tcPr>
          <w:p w14:paraId="1251B592" w14:textId="77777777" w:rsidR="000C1029" w:rsidRPr="00C65925" w:rsidRDefault="000C1029">
            <w:pPr>
              <w:widowControl w:val="0"/>
              <w:spacing w:before="40" w:after="40" w:line="240" w:lineRule="auto"/>
              <w:rPr>
                <w:rFonts w:ascii="Arial Narrow" w:hAnsi="Arial Narrow"/>
                <w:sz w:val="20"/>
                <w:szCs w:val="20"/>
              </w:rPr>
            </w:pPr>
            <w:r w:rsidRPr="00C65925">
              <w:rPr>
                <w:rFonts w:ascii="Arial Narrow" w:hAnsi="Arial Narrow"/>
                <w:sz w:val="20"/>
                <w:szCs w:val="20"/>
              </w:rPr>
              <w:t>Sub-total cost remote</w:t>
            </w:r>
          </w:p>
        </w:tc>
        <w:tc>
          <w:tcPr>
            <w:tcW w:w="707" w:type="pct"/>
            <w:tcBorders>
              <w:bottom w:val="single" w:sz="4" w:space="0" w:color="auto"/>
            </w:tcBorders>
          </w:tcPr>
          <w:p w14:paraId="63AF59C9" w14:textId="1626266D" w:rsidR="000C1029" w:rsidRPr="0029444E" w:rsidRDefault="000C1029" w:rsidP="000C1029">
            <w:pPr>
              <w:widowControl w:val="0"/>
              <w:spacing w:before="40" w:after="40" w:line="240" w:lineRule="auto"/>
              <w:jc w:val="center"/>
              <w:rPr>
                <w:rFonts w:ascii="Arial Narrow" w:hAnsi="Arial Narrow"/>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c>
          <w:tcPr>
            <w:tcW w:w="707" w:type="pct"/>
            <w:tcBorders>
              <w:bottom w:val="single" w:sz="4" w:space="0" w:color="auto"/>
            </w:tcBorders>
            <w:shd w:val="clear" w:color="auto" w:fill="auto"/>
          </w:tcPr>
          <w:p w14:paraId="59145341" w14:textId="509CF39F" w:rsidR="000C1029" w:rsidRPr="0029444E" w:rsidRDefault="000C1029" w:rsidP="000C1029">
            <w:pPr>
              <w:widowControl w:val="0"/>
              <w:spacing w:before="40" w:after="40" w:line="240" w:lineRule="auto"/>
              <w:jc w:val="center"/>
              <w:rPr>
                <w:rFonts w:ascii="Arial Narrow" w:hAnsi="Arial Narrow"/>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c>
          <w:tcPr>
            <w:tcW w:w="708" w:type="pct"/>
            <w:tcBorders>
              <w:bottom w:val="single" w:sz="4" w:space="0" w:color="auto"/>
            </w:tcBorders>
            <w:shd w:val="clear" w:color="auto" w:fill="auto"/>
          </w:tcPr>
          <w:p w14:paraId="7BCAB947" w14:textId="303AF44D" w:rsidR="000C1029" w:rsidRPr="0029444E" w:rsidRDefault="000C1029" w:rsidP="000C1029">
            <w:pPr>
              <w:widowControl w:val="0"/>
              <w:spacing w:before="40" w:after="40" w:line="240" w:lineRule="auto"/>
              <w:jc w:val="center"/>
              <w:rPr>
                <w:rFonts w:ascii="Arial Narrow" w:hAnsi="Arial Narrow"/>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c>
          <w:tcPr>
            <w:tcW w:w="708" w:type="pct"/>
            <w:tcBorders>
              <w:bottom w:val="single" w:sz="4" w:space="0" w:color="auto"/>
            </w:tcBorders>
            <w:shd w:val="clear" w:color="auto" w:fill="auto"/>
          </w:tcPr>
          <w:p w14:paraId="2B32E2BD" w14:textId="60BB0A22" w:rsidR="000C1029" w:rsidRPr="0029444E" w:rsidRDefault="000C1029" w:rsidP="000C1029">
            <w:pPr>
              <w:widowControl w:val="0"/>
              <w:spacing w:before="40" w:after="40" w:line="240" w:lineRule="auto"/>
              <w:jc w:val="center"/>
              <w:rPr>
                <w:rFonts w:ascii="Arial Narrow" w:hAnsi="Arial Narrow"/>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c>
          <w:tcPr>
            <w:tcW w:w="678" w:type="pct"/>
            <w:tcBorders>
              <w:bottom w:val="single" w:sz="4" w:space="0" w:color="auto"/>
            </w:tcBorders>
            <w:shd w:val="clear" w:color="auto" w:fill="auto"/>
          </w:tcPr>
          <w:p w14:paraId="5A312F92" w14:textId="0280A43B" w:rsidR="000C1029" w:rsidRPr="0029444E" w:rsidRDefault="000C1029" w:rsidP="000C1029">
            <w:pPr>
              <w:widowControl w:val="0"/>
              <w:spacing w:before="40" w:after="40" w:line="240" w:lineRule="auto"/>
              <w:jc w:val="center"/>
              <w:rPr>
                <w:rFonts w:ascii="Arial Narrow" w:hAnsi="Arial Narrow"/>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r>
      <w:tr w:rsidR="00CA3A5C" w:rsidRPr="00C65925" w14:paraId="1DFC4CA9" w14:textId="77777777" w:rsidTr="0029444E">
        <w:trPr>
          <w:trHeight w:val="315"/>
        </w:trPr>
        <w:tc>
          <w:tcPr>
            <w:tcW w:w="1491" w:type="pct"/>
            <w:shd w:val="clear" w:color="auto" w:fill="auto"/>
          </w:tcPr>
          <w:p w14:paraId="50E6D4D5" w14:textId="77777777" w:rsidR="000C1029" w:rsidRPr="00C65925" w:rsidRDefault="000C1029" w:rsidP="000C1029">
            <w:pPr>
              <w:widowControl w:val="0"/>
              <w:spacing w:before="40" w:after="40" w:line="240" w:lineRule="auto"/>
              <w:rPr>
                <w:rFonts w:ascii="Arial Narrow" w:hAnsi="Arial Narrow"/>
                <w:b/>
                <w:sz w:val="20"/>
                <w:szCs w:val="20"/>
              </w:rPr>
            </w:pPr>
            <w:r w:rsidRPr="00C65925">
              <w:rPr>
                <w:rFonts w:ascii="Arial Narrow" w:hAnsi="Arial Narrow"/>
                <w:b/>
                <w:sz w:val="20"/>
                <w:szCs w:val="20"/>
              </w:rPr>
              <w:t>Total services</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427FBE0E" w14:textId="08A48AF5" w:rsidR="000C1029" w:rsidRPr="0029444E" w:rsidRDefault="000C1029" w:rsidP="000C1029">
            <w:pPr>
              <w:widowControl w:val="0"/>
              <w:spacing w:before="40" w:after="40" w:line="240" w:lineRule="auto"/>
              <w:jc w:val="center"/>
              <w:rPr>
                <w:rFonts w:ascii="Arial Narrow" w:hAnsi="Arial Narrow"/>
                <w:b/>
                <w:bCs/>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39AAEE49" w14:textId="2B73830A" w:rsidR="000C1029" w:rsidRPr="0029444E" w:rsidRDefault="000C1029" w:rsidP="000C1029">
            <w:pPr>
              <w:widowControl w:val="0"/>
              <w:spacing w:before="40" w:after="40" w:line="240" w:lineRule="auto"/>
              <w:jc w:val="center"/>
              <w:rPr>
                <w:rFonts w:ascii="Arial Narrow" w:hAnsi="Arial Narrow"/>
                <w:b/>
                <w:bCs/>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6D844022" w14:textId="0976ECA7" w:rsidR="000C1029" w:rsidRPr="0029444E" w:rsidRDefault="000C1029" w:rsidP="000C1029">
            <w:pPr>
              <w:widowControl w:val="0"/>
              <w:spacing w:before="40" w:after="40" w:line="240" w:lineRule="auto"/>
              <w:jc w:val="center"/>
              <w:rPr>
                <w:rFonts w:ascii="Arial Narrow" w:hAnsi="Arial Narrow"/>
                <w:b/>
                <w:bCs/>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059D3B7C" w14:textId="32618A3A" w:rsidR="000C1029" w:rsidRPr="0029444E" w:rsidRDefault="000C1029" w:rsidP="000C1029">
            <w:pPr>
              <w:widowControl w:val="0"/>
              <w:spacing w:before="40" w:after="40" w:line="240" w:lineRule="auto"/>
              <w:jc w:val="center"/>
              <w:rPr>
                <w:rFonts w:ascii="Arial Narrow" w:hAnsi="Arial Narrow"/>
                <w:b/>
                <w:bCs/>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7BFFC382" w14:textId="63009874" w:rsidR="000C1029" w:rsidRPr="0029444E" w:rsidRDefault="000C1029" w:rsidP="000C1029">
            <w:pPr>
              <w:widowControl w:val="0"/>
              <w:spacing w:before="40" w:after="40" w:line="240" w:lineRule="auto"/>
              <w:jc w:val="center"/>
              <w:rPr>
                <w:rFonts w:ascii="Arial Narrow" w:hAnsi="Arial Narrow"/>
                <w:b/>
                <w:bCs/>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r>
      <w:tr w:rsidR="00CA3A5C" w:rsidRPr="00D85E4C" w14:paraId="71C9EE44" w14:textId="77777777" w:rsidTr="0029444E">
        <w:trPr>
          <w:trHeight w:val="315"/>
        </w:trPr>
        <w:tc>
          <w:tcPr>
            <w:tcW w:w="1491" w:type="pct"/>
            <w:shd w:val="clear" w:color="auto" w:fill="auto"/>
          </w:tcPr>
          <w:p w14:paraId="7315C1BD" w14:textId="77777777" w:rsidR="000C1029" w:rsidRPr="00C65925" w:rsidRDefault="000C1029" w:rsidP="000C1029">
            <w:pPr>
              <w:widowControl w:val="0"/>
              <w:spacing w:before="40" w:after="40" w:line="240" w:lineRule="auto"/>
              <w:rPr>
                <w:rFonts w:ascii="Arial Narrow" w:hAnsi="Arial Narrow"/>
                <w:b/>
                <w:sz w:val="20"/>
                <w:szCs w:val="20"/>
              </w:rPr>
            </w:pPr>
            <w:r w:rsidRPr="00C65925">
              <w:rPr>
                <w:rFonts w:ascii="Arial Narrow" w:hAnsi="Arial Narrow"/>
                <w:b/>
                <w:sz w:val="20"/>
                <w:szCs w:val="20"/>
              </w:rPr>
              <w:t>Total cost</w:t>
            </w:r>
          </w:p>
        </w:tc>
        <w:tc>
          <w:tcPr>
            <w:tcW w:w="707" w:type="pct"/>
          </w:tcPr>
          <w:p w14:paraId="24B66167" w14:textId="37F01CCC" w:rsidR="000C1029" w:rsidRPr="0029444E" w:rsidRDefault="000C1029" w:rsidP="000C1029">
            <w:pPr>
              <w:widowControl w:val="0"/>
              <w:spacing w:before="40" w:after="40" w:line="240" w:lineRule="auto"/>
              <w:jc w:val="center"/>
              <w:rPr>
                <w:rFonts w:ascii="Arial Narrow" w:hAnsi="Arial Narrow"/>
                <w:b/>
                <w:bCs/>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c>
          <w:tcPr>
            <w:tcW w:w="707" w:type="pct"/>
            <w:shd w:val="clear" w:color="auto" w:fill="auto"/>
          </w:tcPr>
          <w:p w14:paraId="03C37C12" w14:textId="118D8C30" w:rsidR="000C1029" w:rsidRPr="0029444E" w:rsidRDefault="000C1029" w:rsidP="000C1029">
            <w:pPr>
              <w:widowControl w:val="0"/>
              <w:spacing w:before="40" w:after="40" w:line="240" w:lineRule="auto"/>
              <w:jc w:val="center"/>
              <w:rPr>
                <w:rFonts w:ascii="Arial Narrow" w:hAnsi="Arial Narrow"/>
                <w:b/>
                <w:bCs/>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c>
          <w:tcPr>
            <w:tcW w:w="708" w:type="pct"/>
            <w:shd w:val="clear" w:color="auto" w:fill="auto"/>
          </w:tcPr>
          <w:p w14:paraId="7D7B753C" w14:textId="7E47CB40" w:rsidR="000C1029" w:rsidRPr="0029444E" w:rsidRDefault="000C1029" w:rsidP="000C1029">
            <w:pPr>
              <w:widowControl w:val="0"/>
              <w:spacing w:before="40" w:after="40" w:line="240" w:lineRule="auto"/>
              <w:jc w:val="center"/>
              <w:rPr>
                <w:rFonts w:ascii="Arial Narrow" w:hAnsi="Arial Narrow"/>
                <w:b/>
                <w:bCs/>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c>
          <w:tcPr>
            <w:tcW w:w="708" w:type="pct"/>
            <w:shd w:val="clear" w:color="auto" w:fill="auto"/>
          </w:tcPr>
          <w:p w14:paraId="044D6F91" w14:textId="234D50D6" w:rsidR="000C1029" w:rsidRPr="0029444E" w:rsidRDefault="000C1029" w:rsidP="000C1029">
            <w:pPr>
              <w:widowControl w:val="0"/>
              <w:spacing w:before="40" w:after="40" w:line="240" w:lineRule="auto"/>
              <w:jc w:val="center"/>
              <w:rPr>
                <w:rFonts w:ascii="Arial Narrow" w:hAnsi="Arial Narrow"/>
                <w:b/>
                <w:bCs/>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c>
          <w:tcPr>
            <w:tcW w:w="678" w:type="pct"/>
            <w:shd w:val="clear" w:color="auto" w:fill="auto"/>
          </w:tcPr>
          <w:p w14:paraId="29BDCF64" w14:textId="6822DB83" w:rsidR="000C1029" w:rsidRPr="0029444E" w:rsidRDefault="000C1029" w:rsidP="000C1029">
            <w:pPr>
              <w:widowControl w:val="0"/>
              <w:spacing w:before="40" w:after="40" w:line="240" w:lineRule="auto"/>
              <w:jc w:val="center"/>
              <w:rPr>
                <w:rFonts w:ascii="Arial Narrow" w:hAnsi="Arial Narrow"/>
                <w:b/>
                <w:bCs/>
                <w:sz w:val="20"/>
                <w:szCs w:val="20"/>
              </w:rPr>
            </w:pPr>
            <w:r w:rsidRPr="00C65925">
              <w:rPr>
                <w:rFonts w:ascii="Arial Narrow" w:hAnsi="Arial Narrow"/>
                <w:sz w:val="18"/>
                <w:szCs w:val="18"/>
              </w:rPr>
              <w:t>[</w:t>
            </w:r>
            <w:r w:rsidRPr="00C65925">
              <w:rPr>
                <w:rFonts w:ascii="Arial Narrow" w:hAnsi="Arial Narrow"/>
                <w:i/>
                <w:iCs/>
                <w:sz w:val="18"/>
                <w:szCs w:val="18"/>
              </w:rPr>
              <w:t>redacted</w:t>
            </w:r>
            <w:r w:rsidRPr="00C65925">
              <w:rPr>
                <w:rFonts w:ascii="Arial Narrow" w:hAnsi="Arial Narrow"/>
                <w:sz w:val="18"/>
                <w:szCs w:val="18"/>
              </w:rPr>
              <w:t>]</w:t>
            </w:r>
          </w:p>
        </w:tc>
      </w:tr>
    </w:tbl>
    <w:p w14:paraId="6AC696B8" w14:textId="77777777" w:rsidR="002A2CE0" w:rsidRDefault="002A2CE0" w:rsidP="002A2CE0">
      <w:pPr>
        <w:pStyle w:val="Heading3"/>
        <w:spacing w:line="276" w:lineRule="auto"/>
      </w:pPr>
      <w:bookmarkStart w:id="53" w:name="_Toc426968112"/>
      <w:bookmarkStart w:id="54" w:name="_Toc59194353"/>
      <w:bookmarkStart w:id="55" w:name="_Toc395200754"/>
      <w:r>
        <w:t>Consumer Impact Summary</w:t>
      </w:r>
      <w:bookmarkEnd w:id="53"/>
      <w:bookmarkEnd w:id="54"/>
    </w:p>
    <w:p w14:paraId="5F90FFF6" w14:textId="77777777" w:rsidR="002A2CE0" w:rsidRPr="00D94CB2" w:rsidRDefault="002A2CE0" w:rsidP="002A2CE0">
      <w:pPr>
        <w:spacing w:line="276" w:lineRule="auto"/>
        <w:jc w:val="both"/>
      </w:pPr>
      <w:r w:rsidRPr="00D94CB2">
        <w:t xml:space="preserve">As the PICO was not formally ratified, there was no public consultation period prior to PICO </w:t>
      </w:r>
      <w:r>
        <w:t>c</w:t>
      </w:r>
      <w:r w:rsidRPr="00D94CB2">
        <w:t>onfirmation.</w:t>
      </w:r>
      <w:r>
        <w:t xml:space="preserve"> However, extensive qualitative research was undertaken with consumers during the </w:t>
      </w:r>
      <w:proofErr w:type="spellStart"/>
      <w:r>
        <w:t>IMeRSe</w:t>
      </w:r>
      <w:proofErr w:type="spellEnd"/>
      <w:r>
        <w:t xml:space="preserve"> Feasibility Study. </w:t>
      </w:r>
    </w:p>
    <w:p w14:paraId="58B86897" w14:textId="216A1B53" w:rsidR="002A2CE0" w:rsidRPr="00D81FDB" w:rsidRDefault="002A2CE0" w:rsidP="002A2CE0">
      <w:pPr>
        <w:pStyle w:val="ListParagraph"/>
        <w:spacing w:before="240" w:line="276" w:lineRule="auto"/>
        <w:jc w:val="both"/>
        <w:rPr>
          <w:rFonts w:asciiTheme="minorHAnsi" w:hAnsiTheme="minorHAnsi" w:cstheme="minorHAnsi"/>
          <w:color w:val="000000" w:themeColor="text1"/>
          <w:szCs w:val="24"/>
          <w:lang w:val="en-GB"/>
        </w:rPr>
      </w:pPr>
      <w:r w:rsidRPr="005E700E">
        <w:rPr>
          <w:rFonts w:cstheme="minorHAnsi"/>
          <w:color w:val="000000" w:themeColor="text1"/>
        </w:rPr>
        <w:t>Consumer participants spoke positively about</w:t>
      </w:r>
      <w:r w:rsidR="00B80DDA">
        <w:rPr>
          <w:rFonts w:cstheme="minorHAnsi"/>
          <w:color w:val="000000" w:themeColor="text1"/>
        </w:rPr>
        <w:t xml:space="preserve"> [</w:t>
      </w:r>
      <w:r w:rsidR="00B80DDA" w:rsidRPr="00934777">
        <w:rPr>
          <w:rFonts w:cstheme="minorHAnsi"/>
          <w:i/>
          <w:iCs/>
          <w:color w:val="000000" w:themeColor="text1"/>
        </w:rPr>
        <w:t>redacted</w:t>
      </w:r>
      <w:r w:rsidR="00B80DDA">
        <w:rPr>
          <w:rFonts w:cstheme="minorHAnsi"/>
          <w:color w:val="000000" w:themeColor="text1"/>
        </w:rPr>
        <w:t>].</w:t>
      </w:r>
    </w:p>
    <w:p w14:paraId="35915C19" w14:textId="77777777" w:rsidR="002A2CE0" w:rsidRPr="00183E4D" w:rsidRDefault="002A2CE0" w:rsidP="002A2CE0">
      <w:pPr>
        <w:pStyle w:val="Heading3"/>
        <w:spacing w:line="276" w:lineRule="auto"/>
      </w:pPr>
      <w:bookmarkStart w:id="56" w:name="_Toc59194354"/>
      <w:r w:rsidRPr="00183E4D">
        <w:t>Other Relevant Considerations</w:t>
      </w:r>
      <w:bookmarkEnd w:id="55"/>
      <w:bookmarkEnd w:id="56"/>
    </w:p>
    <w:p w14:paraId="2486EC7F" w14:textId="77777777" w:rsidR="002A2CE0" w:rsidRPr="007C6042" w:rsidRDefault="002A2CE0" w:rsidP="002A2CE0">
      <w:pPr>
        <w:spacing w:line="276" w:lineRule="auto"/>
        <w:jc w:val="both"/>
        <w:rPr>
          <w:b/>
          <w:bCs/>
        </w:rPr>
      </w:pPr>
      <w:r w:rsidRPr="007C6042">
        <w:rPr>
          <w:b/>
          <w:bCs/>
        </w:rPr>
        <w:t>Equitable access to health care</w:t>
      </w:r>
    </w:p>
    <w:p w14:paraId="672B8D90" w14:textId="63B232CA" w:rsidR="002A2CE0" w:rsidRPr="007C6042" w:rsidRDefault="002A2CE0" w:rsidP="002A2CE0">
      <w:pPr>
        <w:spacing w:before="240" w:line="276" w:lineRule="auto"/>
        <w:jc w:val="both"/>
      </w:pPr>
      <w:r w:rsidRPr="007C6042">
        <w:t xml:space="preserve">The </w:t>
      </w:r>
      <w:proofErr w:type="spellStart"/>
      <w:r w:rsidRPr="007C6042">
        <w:t>IMeRSe</w:t>
      </w:r>
      <w:proofErr w:type="spellEnd"/>
      <w:r w:rsidRPr="007C6042">
        <w:t xml:space="preserve"> intervention was shown to provide </w:t>
      </w:r>
      <w:r w:rsidRPr="005E700E">
        <w:t xml:space="preserve">culturally responsive, strengths-based, medication review services, integrated into a range of primary health care settings that addressed existing barriers </w:t>
      </w:r>
      <w:r w:rsidRPr="005E700E">
        <w:lastRenderedPageBreak/>
        <w:t xml:space="preserve">to the uptake of existing medication management services. </w:t>
      </w:r>
      <w:r w:rsidR="00B80DDA">
        <w:rPr>
          <w:rFonts w:cstheme="minorHAnsi"/>
          <w:color w:val="000000" w:themeColor="text1"/>
        </w:rPr>
        <w:t>[</w:t>
      </w:r>
      <w:r w:rsidR="00B80DDA" w:rsidRPr="00934777">
        <w:rPr>
          <w:rFonts w:cstheme="minorHAnsi"/>
          <w:i/>
          <w:iCs/>
          <w:color w:val="000000" w:themeColor="text1"/>
        </w:rPr>
        <w:t>redacted</w:t>
      </w:r>
      <w:r w:rsidR="00B80DDA">
        <w:rPr>
          <w:rFonts w:cstheme="minorHAnsi"/>
          <w:color w:val="000000" w:themeColor="text1"/>
        </w:rPr>
        <w:t>]</w:t>
      </w:r>
      <w:r w:rsidRPr="007C6042">
        <w:t xml:space="preserve"> Currently, no culturally </w:t>
      </w:r>
      <w:r>
        <w:t>responsive</w:t>
      </w:r>
      <w:r w:rsidRPr="007C6042">
        <w:t xml:space="preserve"> medication review service is available for Indigenous Australians, who typically </w:t>
      </w:r>
      <w:r>
        <w:t>endure</w:t>
      </w:r>
      <w:r w:rsidRPr="007C6042">
        <w:t xml:space="preserve"> worse health than other Australians. </w:t>
      </w:r>
    </w:p>
    <w:p w14:paraId="0CE2CDD1" w14:textId="2698061E" w:rsidR="002A2CE0" w:rsidRDefault="002A2CE0" w:rsidP="002A2CE0">
      <w:pPr>
        <w:spacing w:before="240" w:line="276" w:lineRule="auto"/>
        <w:jc w:val="both"/>
      </w:pPr>
      <w:r w:rsidRPr="007C6042">
        <w:t>Equitable access to quality health care, which is responsive to need and provides value for money</w:t>
      </w:r>
      <w:r>
        <w:t xml:space="preserve">, </w:t>
      </w:r>
      <w:r w:rsidRPr="007C6042">
        <w:t>are key ten</w:t>
      </w:r>
      <w:r>
        <w:t>e</w:t>
      </w:r>
      <w:r w:rsidRPr="007C6042">
        <w:t xml:space="preserve">ts of the National Medicines Policy. </w:t>
      </w:r>
    </w:p>
    <w:p w14:paraId="08380515" w14:textId="77777777" w:rsidR="002A2CE0" w:rsidRPr="007C6042" w:rsidRDefault="002A2CE0" w:rsidP="002A2CE0">
      <w:pPr>
        <w:spacing w:line="276" w:lineRule="auto"/>
        <w:jc w:val="both"/>
        <w:rPr>
          <w:b/>
          <w:bCs/>
        </w:rPr>
      </w:pPr>
      <w:r>
        <w:rPr>
          <w:b/>
          <w:bCs/>
        </w:rPr>
        <w:t>Comparison with existing medication management review services</w:t>
      </w:r>
    </w:p>
    <w:p w14:paraId="6827A010" w14:textId="77777777" w:rsidR="002A2CE0" w:rsidRPr="00796A06" w:rsidRDefault="002A2CE0" w:rsidP="002A2CE0">
      <w:pPr>
        <w:spacing w:before="240" w:line="276" w:lineRule="auto"/>
        <w:jc w:val="both"/>
      </w:pPr>
      <w:r>
        <w:t>Wh</w:t>
      </w:r>
      <w:r w:rsidRPr="00796A06">
        <w:t>ilst both HMR</w:t>
      </w:r>
      <w:r>
        <w:t>s</w:t>
      </w:r>
      <w:r w:rsidRPr="00796A06">
        <w:t xml:space="preserve"> and </w:t>
      </w:r>
      <w:proofErr w:type="spellStart"/>
      <w:r w:rsidRPr="00796A06">
        <w:t>IMeRSe</w:t>
      </w:r>
      <w:proofErr w:type="spellEnd"/>
      <w:r w:rsidRPr="00796A06">
        <w:t xml:space="preserve"> are comprehensive medication review services performed by registered pharmacists, </w:t>
      </w:r>
      <w:proofErr w:type="spellStart"/>
      <w:r w:rsidRPr="00796A06">
        <w:t>IMeRSe</w:t>
      </w:r>
      <w:proofErr w:type="spellEnd"/>
      <w:r w:rsidRPr="00796A06">
        <w:t xml:space="preserve"> is an innovative service that specifically addresses the existing barriers for Indigenous people to access medication management services: including the requirement for it to be held at home, to be referred by a GP, and </w:t>
      </w:r>
      <w:r>
        <w:t xml:space="preserve">the </w:t>
      </w:r>
      <w:r w:rsidRPr="00796A06">
        <w:t xml:space="preserve">lack of reimbursement for inclusion of </w:t>
      </w:r>
      <w:r>
        <w:t xml:space="preserve">Indigenous </w:t>
      </w:r>
      <w:r w:rsidRPr="00796A06">
        <w:t xml:space="preserve">support staff.  </w:t>
      </w:r>
    </w:p>
    <w:p w14:paraId="533470CF" w14:textId="2F2DA85B" w:rsidR="002A2CE0" w:rsidRPr="00796A06" w:rsidRDefault="002A2CE0" w:rsidP="002A2CE0">
      <w:pPr>
        <w:spacing w:before="240" w:line="276" w:lineRule="auto"/>
        <w:jc w:val="both"/>
      </w:pPr>
      <w:r w:rsidRPr="00796A06">
        <w:t>From a consumer perspective the biggest difference lies in the cultural safety aspects</w:t>
      </w:r>
      <w:r>
        <w:t>;</w:t>
      </w:r>
      <w:r w:rsidRPr="00796A06">
        <w:t xml:space="preserve"> inseparable from </w:t>
      </w:r>
      <w:proofErr w:type="spellStart"/>
      <w:r w:rsidRPr="00796A06">
        <w:t>IMeRSe</w:t>
      </w:r>
      <w:proofErr w:type="spellEnd"/>
      <w:r w:rsidRPr="00796A06">
        <w:t xml:space="preserve"> delivery. This is where </w:t>
      </w:r>
      <w:proofErr w:type="spellStart"/>
      <w:r w:rsidRPr="00796A06">
        <w:t>IMeRSe</w:t>
      </w:r>
      <w:proofErr w:type="spellEnd"/>
      <w:r w:rsidRPr="00796A06">
        <w:t xml:space="preserve"> departs from traditional medication review services such as HMR in that it required pharmacists and Aboriginal Health Services to establish </w:t>
      </w:r>
      <w:r>
        <w:t xml:space="preserve">and maintain quality </w:t>
      </w:r>
      <w:r w:rsidRPr="00796A06">
        <w:t xml:space="preserve">relationships and share workflow to identify, refer and provide medication review for </w:t>
      </w:r>
      <w:r>
        <w:t xml:space="preserve">their </w:t>
      </w:r>
      <w:r w:rsidRPr="00796A06">
        <w:t xml:space="preserve">consumers. Pharmacists involved in </w:t>
      </w:r>
      <w:proofErr w:type="spellStart"/>
      <w:r w:rsidRPr="00796A06">
        <w:t>IMeRSe</w:t>
      </w:r>
      <w:proofErr w:type="spellEnd"/>
      <w:r w:rsidRPr="00796A06">
        <w:t xml:space="preserve"> delivery completed cross-cultural training </w:t>
      </w:r>
      <w:r>
        <w:t xml:space="preserve">which </w:t>
      </w:r>
      <w:r w:rsidRPr="00796A06">
        <w:t>focus</w:t>
      </w:r>
      <w:r>
        <w:t>ed</w:t>
      </w:r>
      <w:r w:rsidRPr="00796A06">
        <w:t xml:space="preserve"> on</w:t>
      </w:r>
      <w:r>
        <w:t xml:space="preserve">: </w:t>
      </w:r>
      <w:r w:rsidRPr="00796A06">
        <w:t>cultural capability, confidence, and skills for working effectively with Indigenous people and their communities</w:t>
      </w:r>
      <w:r>
        <w:t>; a</w:t>
      </w:r>
      <w:r w:rsidRPr="00796A06">
        <w:t>nd us</w:t>
      </w:r>
      <w:r>
        <w:t>e of</w:t>
      </w:r>
      <w:r w:rsidRPr="00796A06">
        <w:t xml:space="preserve"> the Stay Strong Plan as a motivational interviewing, problem solving, and goal setting technique</w:t>
      </w:r>
      <w:r>
        <w:t xml:space="preserve"> developed for Indigenous Australians</w:t>
      </w:r>
      <w:r w:rsidRPr="00796A06">
        <w:t xml:space="preserve">. This was followed by mentoring (for clinical and cultural support) and ongoing cross-cultural seminars to support positive </w:t>
      </w:r>
      <w:r>
        <w:t xml:space="preserve">health </w:t>
      </w:r>
      <w:r w:rsidRPr="00796A06">
        <w:t>outcomes and consumer experience</w:t>
      </w:r>
      <w:r>
        <w:t>s</w:t>
      </w:r>
      <w:r w:rsidRPr="00796A06">
        <w:t xml:space="preserve">. Pharmacists </w:t>
      </w:r>
      <w:r>
        <w:t>delivering</w:t>
      </w:r>
      <w:r w:rsidRPr="00796A06">
        <w:t xml:space="preserve"> </w:t>
      </w:r>
      <w:proofErr w:type="spellStart"/>
      <w:r w:rsidRPr="00796A06">
        <w:t>IMeRSe</w:t>
      </w:r>
      <w:proofErr w:type="spellEnd"/>
      <w:r w:rsidRPr="00796A06">
        <w:t xml:space="preserve"> were not required to be HMR accredited. </w:t>
      </w:r>
    </w:p>
    <w:p w14:paraId="1DD89DBA" w14:textId="77777777" w:rsidR="002A2CE0" w:rsidRPr="007C6042" w:rsidRDefault="002A2CE0" w:rsidP="002A2CE0">
      <w:pPr>
        <w:spacing w:line="276" w:lineRule="auto"/>
        <w:jc w:val="both"/>
        <w:rPr>
          <w:b/>
          <w:bCs/>
        </w:rPr>
      </w:pPr>
      <w:r w:rsidRPr="007C6042">
        <w:rPr>
          <w:b/>
          <w:bCs/>
        </w:rPr>
        <w:t>Pharmacy workforce considerations</w:t>
      </w:r>
    </w:p>
    <w:p w14:paraId="1A27AAF6" w14:textId="06D342DD" w:rsidR="002A2CE0" w:rsidRDefault="002A2CE0" w:rsidP="002A2CE0">
      <w:pPr>
        <w:spacing w:before="240" w:line="276" w:lineRule="auto"/>
        <w:jc w:val="both"/>
      </w:pPr>
      <w:r>
        <w:t xml:space="preserve">In the </w:t>
      </w:r>
      <w:proofErr w:type="spellStart"/>
      <w:r>
        <w:t>IMeRSe</w:t>
      </w:r>
      <w:proofErr w:type="spellEnd"/>
      <w:r>
        <w:t xml:space="preserve"> Feasibility Study pharmacists were trained to deliver a culturally responsive service not currently part of existing medication management services.  This training equipped pharmacists with the skills necessary to successfully engage Aboriginal and Torres Strait Islander community members and overcome reported barriers to accessing other existing medication management services.  </w:t>
      </w:r>
      <w:r w:rsidR="00B80DDA">
        <w:rPr>
          <w:rFonts w:cstheme="minorHAnsi"/>
          <w:color w:val="000000" w:themeColor="text1"/>
        </w:rPr>
        <w:t>[</w:t>
      </w:r>
      <w:r w:rsidR="00B80DDA" w:rsidRPr="00934777">
        <w:rPr>
          <w:rFonts w:cstheme="minorHAnsi"/>
          <w:i/>
          <w:iCs/>
          <w:color w:val="000000" w:themeColor="text1"/>
        </w:rPr>
        <w:t>redacted</w:t>
      </w:r>
      <w:r w:rsidR="00B80DDA">
        <w:rPr>
          <w:rFonts w:cstheme="minorHAnsi"/>
          <w:color w:val="000000" w:themeColor="text1"/>
        </w:rPr>
        <w:t>]</w:t>
      </w:r>
      <w:r>
        <w:t xml:space="preserve"> </w:t>
      </w:r>
    </w:p>
    <w:p w14:paraId="7ED6504B" w14:textId="77777777" w:rsidR="002A2CE0" w:rsidRPr="007C6042" w:rsidRDefault="002A2CE0" w:rsidP="002A2CE0">
      <w:pPr>
        <w:spacing w:before="240" w:line="276" w:lineRule="auto"/>
        <w:jc w:val="both"/>
      </w:pPr>
      <w:r>
        <w:t xml:space="preserve">Whilst other medication management services exist (e.g. HMRs), there are both cultural and </w:t>
      </w:r>
      <w:r w:rsidRPr="00F133E8">
        <w:t xml:space="preserve">geographic barriers to service access. Most recently this was highlighted in research which mapped national polypharmacy rates, as a proxy for population need for medication review services, identifying that there were insufficient accredited pharmacists to provide medication review services in rural and remote Australia </w:t>
      </w:r>
      <w:r w:rsidRPr="00F133E8">
        <w:rPr>
          <w:noProof/>
        </w:rPr>
        <w:t>[51]</w:t>
      </w:r>
      <w:r w:rsidRPr="00F133E8">
        <w:t>.</w:t>
      </w:r>
      <w:r w:rsidRPr="007C6042">
        <w:t xml:space="preserve"> </w:t>
      </w:r>
    </w:p>
    <w:p w14:paraId="7ED33E89" w14:textId="77777777" w:rsidR="002A2CE0" w:rsidRDefault="002A2CE0" w:rsidP="002A2CE0">
      <w:pPr>
        <w:spacing w:before="240" w:line="276" w:lineRule="auto"/>
        <w:jc w:val="both"/>
      </w:pPr>
      <w:r w:rsidRPr="007C6042">
        <w:t xml:space="preserve">Additionally, special consideration of small pharmacies, particularly one-pharmacist pharmacies, is required for the </w:t>
      </w:r>
      <w:proofErr w:type="spellStart"/>
      <w:r w:rsidRPr="007C6042">
        <w:t>IMeRSe</w:t>
      </w:r>
      <w:proofErr w:type="spellEnd"/>
      <w:r w:rsidRPr="007C6042">
        <w:t xml:space="preserve"> service to be feasib</w:t>
      </w:r>
      <w:r>
        <w:t>ly</w:t>
      </w:r>
      <w:r w:rsidRPr="007C6042">
        <w:t xml:space="preserve"> delivered in rural and remote areas. Financial incentives that can be used to cover the cost of locum support and travel are required to provide pharmacists with sufficient time and resources to undertake medication review services</w:t>
      </w:r>
      <w:r>
        <w:t xml:space="preserve"> in these areas</w:t>
      </w:r>
      <w:r w:rsidRPr="007C6042">
        <w:t xml:space="preserve">. Making the </w:t>
      </w:r>
      <w:r w:rsidRPr="007C6042">
        <w:lastRenderedPageBreak/>
        <w:t xml:space="preserve">requirements for use of such financial incentives </w:t>
      </w:r>
      <w:r>
        <w:t>overly</w:t>
      </w:r>
      <w:r w:rsidRPr="007C6042">
        <w:t xml:space="preserve"> prescriptive </w:t>
      </w:r>
      <w:r>
        <w:t xml:space="preserve">however, </w:t>
      </w:r>
      <w:r w:rsidRPr="007C6042">
        <w:t xml:space="preserve">may reduce the ability of local health networks to implement local solutions to service delivery barriers. </w:t>
      </w:r>
    </w:p>
    <w:p w14:paraId="4F5DE64A" w14:textId="77777777" w:rsidR="007A5C87" w:rsidRDefault="007A5C87"/>
    <w:sectPr w:rsidR="007A5C8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58727" w14:textId="77777777" w:rsidR="00962DF7" w:rsidRDefault="00962DF7" w:rsidP="002A2CE0">
      <w:pPr>
        <w:spacing w:after="0" w:line="240" w:lineRule="auto"/>
      </w:pPr>
      <w:r>
        <w:separator/>
      </w:r>
    </w:p>
  </w:endnote>
  <w:endnote w:type="continuationSeparator" w:id="0">
    <w:p w14:paraId="31226513" w14:textId="77777777" w:rsidR="00962DF7" w:rsidRDefault="00962DF7" w:rsidP="002A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imes">
    <w:altName w:val="﷽﷽﷽﷽﷽﷽﷽﷽M"/>
    <w:panose1 w:val="02020603050405020304"/>
    <w:charset w:val="00"/>
    <w:family w:val="auto"/>
    <w:pitch w:val="variable"/>
    <w:sig w:usb0="E00002FF" w:usb1="5000205A"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8926971"/>
      <w:docPartObj>
        <w:docPartGallery w:val="Page Numbers (Bottom of Page)"/>
        <w:docPartUnique/>
      </w:docPartObj>
    </w:sdtPr>
    <w:sdtEndPr>
      <w:rPr>
        <w:noProof/>
      </w:rPr>
    </w:sdtEndPr>
    <w:sdtContent>
      <w:p w14:paraId="031FE21C" w14:textId="0F73E61C" w:rsidR="0046761E" w:rsidRDefault="0046761E" w:rsidP="002944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F72416" w14:textId="77777777" w:rsidR="0046761E" w:rsidRDefault="00467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86C90" w14:textId="77777777" w:rsidR="00962DF7" w:rsidRDefault="00962DF7" w:rsidP="002A2CE0">
      <w:pPr>
        <w:spacing w:after="0" w:line="240" w:lineRule="auto"/>
      </w:pPr>
      <w:r>
        <w:separator/>
      </w:r>
    </w:p>
  </w:footnote>
  <w:footnote w:type="continuationSeparator" w:id="0">
    <w:p w14:paraId="2649D58B" w14:textId="77777777" w:rsidR="00962DF7" w:rsidRDefault="00962DF7" w:rsidP="002A2CE0">
      <w:pPr>
        <w:spacing w:after="0" w:line="240" w:lineRule="auto"/>
      </w:pPr>
      <w:r>
        <w:continuationSeparator/>
      </w:r>
    </w:p>
  </w:footnote>
  <w:footnote w:id="1">
    <w:p w14:paraId="09130030" w14:textId="77777777" w:rsidR="0046761E" w:rsidRPr="006F5752" w:rsidRDefault="0046761E" w:rsidP="002A2CE0">
      <w:pPr>
        <w:pStyle w:val="FootnoteText"/>
        <w:spacing w:line="276" w:lineRule="auto"/>
        <w:rPr>
          <w:lang w:val="en-US"/>
        </w:rPr>
      </w:pPr>
      <w:r>
        <w:rPr>
          <w:rStyle w:val="FootnoteReference"/>
        </w:rPr>
        <w:footnoteRef/>
      </w:r>
      <w:r>
        <w:t xml:space="preserve"> In this report the use of the term ‘</w:t>
      </w:r>
      <w:r>
        <w:rPr>
          <w:lang w:val="en-US"/>
        </w:rPr>
        <w:t>Indigenous Australians’ refers respectfully to all Aboriginal and Torres Strait Islander people and acknowledges their rich traditions and heterogenous cultures.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155B2"/>
    <w:multiLevelType w:val="hybridMultilevel"/>
    <w:tmpl w:val="5CD6F532"/>
    <w:lvl w:ilvl="0" w:tplc="0DBC5886">
      <w:start w:val="1"/>
      <w:numFmt w:val="lowerLetter"/>
      <w:lvlText w:val="(%1)"/>
      <w:lvlJc w:val="left"/>
      <w:pPr>
        <w:ind w:left="927" w:hanging="360"/>
      </w:pPr>
      <w:rPr>
        <w:rFonts w:ascii="Arial Narrow" w:eastAsia="Times New Roman" w:hAnsi="Arial Narrow" w:cs="Tahoma"/>
        <w:b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1A745B"/>
    <w:multiLevelType w:val="hybridMultilevel"/>
    <w:tmpl w:val="2264CEC8"/>
    <w:lvl w:ilvl="0" w:tplc="A3F0BC58">
      <w:start w:val="1"/>
      <w:numFmt w:val="lowerLetter"/>
      <w:lvlText w:val="(%1)"/>
      <w:lvlJc w:val="left"/>
      <w:pPr>
        <w:ind w:left="720" w:hanging="360"/>
      </w:pPr>
      <w:rPr>
        <w:rFonts w:ascii="Arial Narrow" w:eastAsia="Times New Roman" w:hAnsi="Arial Narrow" w:cs="Tahoma" w:hint="default"/>
        <w:b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113B42"/>
    <w:multiLevelType w:val="singleLevel"/>
    <w:tmpl w:val="56CEB106"/>
    <w:lvl w:ilvl="0">
      <w:start w:val="1"/>
      <w:numFmt w:val="bullet"/>
      <w:pStyle w:val="Dash"/>
      <w:lvlText w:val="–"/>
      <w:lvlJc w:val="left"/>
      <w:pPr>
        <w:tabs>
          <w:tab w:val="num" w:pos="1800"/>
        </w:tabs>
        <w:ind w:left="1800" w:hanging="360"/>
      </w:pPr>
      <w:rPr>
        <w:rFonts w:ascii="Times New Roman" w:hAnsi="Times New Roman" w:hint="default"/>
        <w:sz w:val="20"/>
      </w:rPr>
    </w:lvl>
  </w:abstractNum>
  <w:abstractNum w:abstractNumId="3" w15:restartNumberingAfterBreak="0">
    <w:nsid w:val="13A41EAC"/>
    <w:multiLevelType w:val="hybridMultilevel"/>
    <w:tmpl w:val="5CD6F532"/>
    <w:lvl w:ilvl="0" w:tplc="0DBC5886">
      <w:start w:val="1"/>
      <w:numFmt w:val="lowerLetter"/>
      <w:lvlText w:val="(%1)"/>
      <w:lvlJc w:val="left"/>
      <w:pPr>
        <w:ind w:left="720" w:hanging="360"/>
      </w:pPr>
      <w:rPr>
        <w:rFonts w:ascii="Arial Narrow" w:eastAsia="Times New Roman" w:hAnsi="Arial Narrow" w:cs="Tahoma"/>
        <w:b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175817"/>
    <w:multiLevelType w:val="hybridMultilevel"/>
    <w:tmpl w:val="5CD6F532"/>
    <w:lvl w:ilvl="0" w:tplc="0DBC5886">
      <w:start w:val="1"/>
      <w:numFmt w:val="lowerLetter"/>
      <w:lvlText w:val="(%1)"/>
      <w:lvlJc w:val="left"/>
      <w:pPr>
        <w:ind w:left="720" w:hanging="360"/>
      </w:pPr>
      <w:rPr>
        <w:rFonts w:ascii="Arial Narrow" w:eastAsia="Times New Roman" w:hAnsi="Arial Narrow" w:cs="Tahoma"/>
        <w:b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5744F1"/>
    <w:multiLevelType w:val="hybridMultilevel"/>
    <w:tmpl w:val="6F708C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181ABB"/>
    <w:multiLevelType w:val="hybridMultilevel"/>
    <w:tmpl w:val="4F6A1200"/>
    <w:lvl w:ilvl="0" w:tplc="78B8877C">
      <w:start w:val="1"/>
      <w:numFmt w:val="lowerRoman"/>
      <w:lvlText w:val="%1."/>
      <w:lvlJc w:val="left"/>
      <w:pPr>
        <w:ind w:left="1080" w:hanging="360"/>
      </w:pPr>
      <w:rPr>
        <w:rFonts w:asciiTheme="minorHAnsi" w:eastAsiaTheme="minorHAnsi" w:hAnsiTheme="minorHAnsi" w:cstheme="minorBidi" w:hint="default"/>
        <w:b w:val="0"/>
      </w:r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0505413"/>
    <w:multiLevelType w:val="hybridMultilevel"/>
    <w:tmpl w:val="505C528E"/>
    <w:lvl w:ilvl="0" w:tplc="A6662B34">
      <w:start w:val="1"/>
      <w:numFmt w:val="lowerRoman"/>
      <w:lvlText w:val="%1."/>
      <w:lvlJc w:val="left"/>
      <w:pPr>
        <w:ind w:left="1080" w:hanging="360"/>
      </w:pPr>
      <w:rPr>
        <w:rFonts w:asciiTheme="minorHAnsi" w:eastAsiaTheme="minorHAnsi" w:hAnsiTheme="minorHAnsi" w:cstheme="minorBidi" w:hint="default"/>
        <w:b w:val="0"/>
      </w:r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1404141"/>
    <w:multiLevelType w:val="hybridMultilevel"/>
    <w:tmpl w:val="34E6EA82"/>
    <w:lvl w:ilvl="0" w:tplc="049083DE">
      <w:start w:val="1"/>
      <w:numFmt w:val="none"/>
      <w:lvlText w:val="ii)"/>
      <w:lvlJc w:val="right"/>
      <w:pPr>
        <w:ind w:left="360" w:hanging="360"/>
      </w:pPr>
      <w:rPr>
        <w:rFonts w:ascii="Calibri" w:eastAsiaTheme="minorHAnsi" w:hAnsi="Calibri" w:cs="Calibri" w:hint="default"/>
        <w:vertAlign w:val="baseli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0A07EC"/>
    <w:multiLevelType w:val="singleLevel"/>
    <w:tmpl w:val="FC24B238"/>
    <w:lvl w:ilvl="0">
      <w:start w:val="1"/>
      <w:numFmt w:val="decimal"/>
      <w:pStyle w:val="ESNumberedSectionHeading"/>
      <w:lvlText w:val="A.%1"/>
      <w:lvlJc w:val="left"/>
      <w:pPr>
        <w:ind w:left="644" w:hanging="360"/>
      </w:pPr>
      <w:rPr>
        <w:rFonts w:ascii="Calibri" w:hAnsi="Calibri" w:hint="default"/>
        <w:b/>
        <w:i w:val="0"/>
        <w:color w:val="auto"/>
        <w:sz w:val="24"/>
      </w:rPr>
    </w:lvl>
  </w:abstractNum>
  <w:abstractNum w:abstractNumId="10" w15:restartNumberingAfterBreak="0">
    <w:nsid w:val="23292474"/>
    <w:multiLevelType w:val="hybridMultilevel"/>
    <w:tmpl w:val="59242C72"/>
    <w:lvl w:ilvl="0" w:tplc="F2509350">
      <w:start w:val="1"/>
      <w:numFmt w:val="lowerRoman"/>
      <w:lvlText w:val="%1."/>
      <w:lvlJc w:val="left"/>
      <w:pPr>
        <w:ind w:left="1080" w:hanging="360"/>
      </w:pPr>
      <w:rPr>
        <w:rFonts w:asciiTheme="minorHAnsi" w:eastAsiaTheme="minorHAnsi" w:hAnsiTheme="minorHAnsi" w:cstheme="minorBidi" w:hint="default"/>
        <w:b w:val="0"/>
        <w:vertAlign w:val="baseli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344CDE"/>
    <w:multiLevelType w:val="hybridMultilevel"/>
    <w:tmpl w:val="5CD6F532"/>
    <w:lvl w:ilvl="0" w:tplc="0DBC5886">
      <w:start w:val="1"/>
      <w:numFmt w:val="lowerLetter"/>
      <w:lvlText w:val="(%1)"/>
      <w:lvlJc w:val="left"/>
      <w:pPr>
        <w:ind w:left="720" w:hanging="360"/>
      </w:pPr>
      <w:rPr>
        <w:rFonts w:ascii="Arial Narrow" w:eastAsia="Times New Roman" w:hAnsi="Arial Narrow" w:cs="Tahoma"/>
        <w:b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3" w15:restartNumberingAfterBreak="0">
    <w:nsid w:val="300B5CDE"/>
    <w:multiLevelType w:val="hybridMultilevel"/>
    <w:tmpl w:val="DA325ADA"/>
    <w:lvl w:ilvl="0" w:tplc="0C090001">
      <w:start w:val="1"/>
      <w:numFmt w:val="bullet"/>
      <w:lvlText w:val=""/>
      <w:lvlJc w:val="left"/>
      <w:pPr>
        <w:ind w:left="360" w:hanging="360"/>
      </w:pPr>
      <w:rPr>
        <w:rFonts w:ascii="Symbol" w:hAnsi="Symbol" w:hint="default"/>
      </w:rPr>
    </w:lvl>
    <w:lvl w:ilvl="1" w:tplc="6AF49496">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59F5D95"/>
    <w:multiLevelType w:val="hybridMultilevel"/>
    <w:tmpl w:val="7BF02916"/>
    <w:lvl w:ilvl="0" w:tplc="A6662B34">
      <w:start w:val="1"/>
      <w:numFmt w:val="lowerRoman"/>
      <w:lvlText w:val="%1."/>
      <w:lvlJc w:val="left"/>
      <w:pPr>
        <w:ind w:left="1080" w:hanging="360"/>
      </w:pPr>
      <w:rPr>
        <w:rFonts w:asciiTheme="minorHAnsi" w:eastAsiaTheme="minorHAnsi" w:hAnsiTheme="minorHAnsi" w:cstheme="minorBidi" w:hint="default"/>
        <w:b w:val="0"/>
      </w:r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771360D"/>
    <w:multiLevelType w:val="hybridMultilevel"/>
    <w:tmpl w:val="505C528E"/>
    <w:lvl w:ilvl="0" w:tplc="A6662B34">
      <w:start w:val="1"/>
      <w:numFmt w:val="lowerRoman"/>
      <w:lvlText w:val="%1."/>
      <w:lvlJc w:val="left"/>
      <w:pPr>
        <w:ind w:left="1080" w:hanging="360"/>
      </w:pPr>
      <w:rPr>
        <w:rFonts w:asciiTheme="minorHAnsi" w:eastAsiaTheme="minorHAnsi" w:hAnsiTheme="minorHAnsi" w:cstheme="minorBidi" w:hint="default"/>
        <w:b w:val="0"/>
      </w:r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7A61526"/>
    <w:multiLevelType w:val="hybridMultilevel"/>
    <w:tmpl w:val="2228C602"/>
    <w:lvl w:ilvl="0" w:tplc="625E047C">
      <w:start w:val="1"/>
      <w:numFmt w:val="lowerRoman"/>
      <w:lvlText w:val="%1."/>
      <w:lvlJc w:val="left"/>
      <w:pPr>
        <w:ind w:left="1080" w:hanging="360"/>
      </w:pPr>
      <w:rPr>
        <w:rFonts w:asciiTheme="minorHAnsi" w:eastAsiaTheme="minorHAnsi" w:hAnsiTheme="minorHAnsi" w:cstheme="minorBidi" w:hint="default"/>
        <w:b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45564B"/>
    <w:multiLevelType w:val="hybridMultilevel"/>
    <w:tmpl w:val="5CD6F532"/>
    <w:lvl w:ilvl="0" w:tplc="0DBC5886">
      <w:start w:val="1"/>
      <w:numFmt w:val="lowerLetter"/>
      <w:lvlText w:val="(%1)"/>
      <w:lvlJc w:val="left"/>
      <w:pPr>
        <w:ind w:left="720" w:hanging="360"/>
      </w:pPr>
      <w:rPr>
        <w:rFonts w:ascii="Arial Narrow" w:eastAsia="Times New Roman" w:hAnsi="Arial Narrow" w:cs="Tahoma"/>
        <w:b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F56EEF"/>
    <w:multiLevelType w:val="hybridMultilevel"/>
    <w:tmpl w:val="41000B20"/>
    <w:lvl w:ilvl="0" w:tplc="0C090001">
      <w:start w:val="1"/>
      <w:numFmt w:val="bullet"/>
      <w:lvlText w:val=""/>
      <w:lvlJc w:val="left"/>
      <w:pPr>
        <w:ind w:left="360" w:hanging="360"/>
      </w:pPr>
      <w:rPr>
        <w:rFonts w:ascii="Symbol" w:hAnsi="Symbol" w:hint="default"/>
      </w:rPr>
    </w:lvl>
    <w:lvl w:ilvl="1" w:tplc="04090005">
      <w:start w:val="1"/>
      <w:numFmt w:val="bullet"/>
      <w:lvlText w:val=""/>
      <w:lvlJc w:val="left"/>
      <w:pPr>
        <w:ind w:left="234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C792CD4"/>
    <w:multiLevelType w:val="multilevel"/>
    <w:tmpl w:val="FEE071C8"/>
    <w:numStyleLink w:val="ESSectionheading-numbered"/>
  </w:abstractNum>
  <w:abstractNum w:abstractNumId="20" w15:restartNumberingAfterBreak="0">
    <w:nsid w:val="4E5D04D9"/>
    <w:multiLevelType w:val="hybridMultilevel"/>
    <w:tmpl w:val="505C528E"/>
    <w:lvl w:ilvl="0" w:tplc="A6662B34">
      <w:start w:val="1"/>
      <w:numFmt w:val="lowerRoman"/>
      <w:lvlText w:val="%1."/>
      <w:lvlJc w:val="left"/>
      <w:pPr>
        <w:ind w:left="1080" w:hanging="360"/>
      </w:pPr>
      <w:rPr>
        <w:rFonts w:asciiTheme="minorHAnsi" w:eastAsiaTheme="minorHAnsi" w:hAnsiTheme="minorHAnsi" w:cstheme="minorBidi" w:hint="default"/>
        <w:b w:val="0"/>
      </w:r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E7F1CC3"/>
    <w:multiLevelType w:val="hybridMultilevel"/>
    <w:tmpl w:val="F42618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806D25"/>
    <w:multiLevelType w:val="hybridMultilevel"/>
    <w:tmpl w:val="18F0249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E94F50"/>
    <w:multiLevelType w:val="hybridMultilevel"/>
    <w:tmpl w:val="E0EEA3D4"/>
    <w:lvl w:ilvl="0" w:tplc="F2509350">
      <w:start w:val="1"/>
      <w:numFmt w:val="lowerRoman"/>
      <w:lvlText w:val="%1."/>
      <w:lvlJc w:val="left"/>
      <w:pPr>
        <w:ind w:left="1080" w:hanging="360"/>
      </w:pPr>
      <w:rPr>
        <w:rFonts w:asciiTheme="minorHAnsi" w:eastAsiaTheme="minorHAnsi" w:hAnsiTheme="minorHAnsi" w:cstheme="minorBidi" w:hint="default"/>
        <w:b w:val="0"/>
      </w:r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6891D8A"/>
    <w:multiLevelType w:val="multilevel"/>
    <w:tmpl w:val="FEE071C8"/>
    <w:numStyleLink w:val="ESSectionheading-numbered"/>
  </w:abstractNum>
  <w:abstractNum w:abstractNumId="25" w15:restartNumberingAfterBreak="0">
    <w:nsid w:val="5D903835"/>
    <w:multiLevelType w:val="singleLevel"/>
    <w:tmpl w:val="48C4148A"/>
    <w:lvl w:ilvl="0">
      <w:numFmt w:val="bullet"/>
      <w:pStyle w:val="Bullet"/>
      <w:lvlText w:val=""/>
      <w:lvlJc w:val="left"/>
      <w:pPr>
        <w:tabs>
          <w:tab w:val="num" w:pos="1440"/>
        </w:tabs>
        <w:ind w:left="1440" w:hanging="720"/>
      </w:pPr>
      <w:rPr>
        <w:rFonts w:ascii="Symbol" w:hAnsi="Symbol" w:hint="default"/>
        <w:sz w:val="22"/>
      </w:rPr>
    </w:lvl>
  </w:abstractNum>
  <w:abstractNum w:abstractNumId="26" w15:restartNumberingAfterBreak="0">
    <w:nsid w:val="5E7E5D97"/>
    <w:multiLevelType w:val="hybridMultilevel"/>
    <w:tmpl w:val="505C528E"/>
    <w:lvl w:ilvl="0" w:tplc="A6662B34">
      <w:start w:val="1"/>
      <w:numFmt w:val="lowerRoman"/>
      <w:lvlText w:val="%1."/>
      <w:lvlJc w:val="left"/>
      <w:pPr>
        <w:ind w:left="1080" w:hanging="360"/>
      </w:pPr>
      <w:rPr>
        <w:rFonts w:asciiTheme="minorHAnsi" w:eastAsiaTheme="minorHAnsi" w:hAnsiTheme="minorHAnsi" w:cstheme="minorBidi" w:hint="default"/>
        <w:b w:val="0"/>
      </w:r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0932A70"/>
    <w:multiLevelType w:val="hybridMultilevel"/>
    <w:tmpl w:val="5CD6F532"/>
    <w:lvl w:ilvl="0" w:tplc="0DBC5886">
      <w:start w:val="1"/>
      <w:numFmt w:val="lowerLetter"/>
      <w:lvlText w:val="(%1)"/>
      <w:lvlJc w:val="left"/>
      <w:pPr>
        <w:ind w:left="720" w:hanging="360"/>
      </w:pPr>
      <w:rPr>
        <w:rFonts w:ascii="Arial Narrow" w:eastAsia="Times New Roman" w:hAnsi="Arial Narrow" w:cs="Tahoma"/>
        <w:b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2AD61B8"/>
    <w:multiLevelType w:val="hybridMultilevel"/>
    <w:tmpl w:val="4DE474C0"/>
    <w:lvl w:ilvl="0" w:tplc="47D669D6">
      <w:start w:val="2"/>
      <w:numFmt w:val="lowerLetter"/>
      <w:lvlText w:val="(%1)"/>
      <w:lvlJc w:val="left"/>
      <w:pPr>
        <w:ind w:left="720" w:hanging="360"/>
      </w:pPr>
      <w:rPr>
        <w:rFonts w:ascii="Arial Narrow" w:eastAsia="Times New Roman" w:hAnsi="Arial Narrow" w:cs="Tahoma" w:hint="default"/>
        <w:b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4BB32BE"/>
    <w:multiLevelType w:val="hybridMultilevel"/>
    <w:tmpl w:val="2788D6C6"/>
    <w:lvl w:ilvl="0" w:tplc="B0DA2C7E">
      <w:start w:val="1"/>
      <w:numFmt w:val="decimal"/>
      <w:pStyle w:val="MainBodySectionHeading-numbered"/>
      <w:lvlText w:val="A.%1"/>
      <w:lvlJc w:val="left"/>
      <w:pPr>
        <w:ind w:left="720" w:hanging="360"/>
      </w:pPr>
      <w:rPr>
        <w:rFonts w:ascii="Calibri" w:hAnsi="Calibri" w:hint="default"/>
        <w:b/>
        <w:i w:val="0"/>
        <w:color w:val="auto"/>
        <w:sz w:val="28"/>
      </w:rPr>
    </w:lvl>
    <w:lvl w:ilvl="1" w:tplc="3412F0B6" w:tentative="1">
      <w:start w:val="1"/>
      <w:numFmt w:val="lowerLetter"/>
      <w:lvlText w:val="%2."/>
      <w:lvlJc w:val="left"/>
      <w:pPr>
        <w:ind w:left="1440" w:hanging="360"/>
      </w:pPr>
    </w:lvl>
    <w:lvl w:ilvl="2" w:tplc="0A2C92E8" w:tentative="1">
      <w:start w:val="1"/>
      <w:numFmt w:val="lowerRoman"/>
      <w:lvlText w:val="%3."/>
      <w:lvlJc w:val="right"/>
      <w:pPr>
        <w:ind w:left="2160" w:hanging="180"/>
      </w:pPr>
    </w:lvl>
    <w:lvl w:ilvl="3" w:tplc="51E06328" w:tentative="1">
      <w:start w:val="1"/>
      <w:numFmt w:val="decimal"/>
      <w:lvlText w:val="%4."/>
      <w:lvlJc w:val="left"/>
      <w:pPr>
        <w:ind w:left="2880" w:hanging="360"/>
      </w:pPr>
    </w:lvl>
    <w:lvl w:ilvl="4" w:tplc="55121EB0" w:tentative="1">
      <w:start w:val="1"/>
      <w:numFmt w:val="lowerLetter"/>
      <w:lvlText w:val="%5."/>
      <w:lvlJc w:val="left"/>
      <w:pPr>
        <w:ind w:left="3600" w:hanging="360"/>
      </w:pPr>
    </w:lvl>
    <w:lvl w:ilvl="5" w:tplc="C0BC6618" w:tentative="1">
      <w:start w:val="1"/>
      <w:numFmt w:val="lowerRoman"/>
      <w:lvlText w:val="%6."/>
      <w:lvlJc w:val="right"/>
      <w:pPr>
        <w:ind w:left="4320" w:hanging="180"/>
      </w:pPr>
    </w:lvl>
    <w:lvl w:ilvl="6" w:tplc="2C762004" w:tentative="1">
      <w:start w:val="1"/>
      <w:numFmt w:val="decimal"/>
      <w:lvlText w:val="%7."/>
      <w:lvlJc w:val="left"/>
      <w:pPr>
        <w:ind w:left="5040" w:hanging="360"/>
      </w:pPr>
    </w:lvl>
    <w:lvl w:ilvl="7" w:tplc="AAE0D5E4" w:tentative="1">
      <w:start w:val="1"/>
      <w:numFmt w:val="lowerLetter"/>
      <w:lvlText w:val="%8."/>
      <w:lvlJc w:val="left"/>
      <w:pPr>
        <w:ind w:left="5760" w:hanging="360"/>
      </w:pPr>
    </w:lvl>
    <w:lvl w:ilvl="8" w:tplc="37CCD67A" w:tentative="1">
      <w:start w:val="1"/>
      <w:numFmt w:val="lowerRoman"/>
      <w:lvlText w:val="%9."/>
      <w:lvlJc w:val="right"/>
      <w:pPr>
        <w:ind w:left="6480" w:hanging="180"/>
      </w:pPr>
    </w:lvl>
  </w:abstractNum>
  <w:abstractNum w:abstractNumId="30" w15:restartNumberingAfterBreak="0">
    <w:nsid w:val="6C252901"/>
    <w:multiLevelType w:val="multilevel"/>
    <w:tmpl w:val="77D0E56C"/>
    <w:lvl w:ilvl="0">
      <w:start w:val="1"/>
      <w:numFmt w:val="decimal"/>
      <w:lvlText w:val="A.%1."/>
      <w:lvlJc w:val="left"/>
      <w:pPr>
        <w:ind w:left="1134" w:hanging="1134"/>
      </w:pPr>
      <w:rPr>
        <w:rFonts w:hint="default"/>
        <w:b/>
        <w:i w:val="0"/>
        <w:color w:val="auto"/>
        <w:sz w:val="24"/>
      </w:rPr>
    </w:lvl>
    <w:lvl w:ilvl="1">
      <w:start w:val="1"/>
      <w:numFmt w:val="decimal"/>
      <w:lvlText w:val="%2."/>
      <w:lvlJc w:val="left"/>
      <w:pPr>
        <w:ind w:left="1701" w:hanging="737"/>
      </w:pPr>
      <w:rPr>
        <w:rFonts w:ascii="Calibri" w:hAnsi="Calibri" w:hint="default"/>
        <w:b/>
        <w:i w:val="0"/>
        <w:sz w:val="24"/>
      </w:rPr>
    </w:lvl>
    <w:lvl w:ilvl="2">
      <w:start w:val="1"/>
      <w:numFmt w:val="decimal"/>
      <w:lvlText w:val="B.%3."/>
      <w:lvlJc w:val="left"/>
      <w:pPr>
        <w:ind w:left="1134" w:hanging="1134"/>
      </w:pPr>
      <w:rPr>
        <w:rFonts w:ascii="Calibri" w:hAnsi="Calibri" w:hint="default"/>
        <w:b/>
        <w:i w:val="0"/>
        <w:sz w:val="24"/>
      </w:rPr>
    </w:lvl>
    <w:lvl w:ilvl="3">
      <w:start w:val="1"/>
      <w:numFmt w:val="decimal"/>
      <w:lvlText w:val="%4."/>
      <w:lvlJc w:val="left"/>
      <w:pPr>
        <w:ind w:left="1134" w:hanging="170"/>
      </w:pPr>
      <w:rPr>
        <w:rFonts w:ascii="Calibri" w:hAnsi="Calibri" w:hint="default"/>
        <w:b/>
        <w:i w:val="0"/>
        <w:sz w:val="24"/>
      </w:rPr>
    </w:lvl>
    <w:lvl w:ilvl="4">
      <w:start w:val="1"/>
      <w:numFmt w:val="decimal"/>
      <w:lvlText w:val="C.%5."/>
      <w:lvlJc w:val="left"/>
      <w:pPr>
        <w:ind w:left="1134" w:hanging="1134"/>
      </w:pPr>
      <w:rPr>
        <w:rFonts w:ascii="Calibri" w:hAnsi="Calibri" w:hint="default"/>
        <w:b/>
        <w:i w:val="0"/>
        <w:sz w:val="24"/>
      </w:rPr>
    </w:lvl>
    <w:lvl w:ilvl="5">
      <w:start w:val="1"/>
      <w:numFmt w:val="decimal"/>
      <w:lvlText w:val="%6"/>
      <w:lvlJc w:val="left"/>
      <w:pPr>
        <w:ind w:left="1134" w:hanging="170"/>
      </w:pPr>
      <w:rPr>
        <w:rFonts w:ascii="Calibri" w:hAnsi="Calibri" w:hint="default"/>
        <w:b/>
        <w:i w:val="0"/>
        <w:color w:val="auto"/>
        <w:sz w:val="24"/>
      </w:rPr>
    </w:lvl>
    <w:lvl w:ilvl="6">
      <w:start w:val="1"/>
      <w:numFmt w:val="decimal"/>
      <w:lvlText w:val="D.%7"/>
      <w:lvlJc w:val="left"/>
      <w:pPr>
        <w:ind w:left="1134" w:hanging="1134"/>
      </w:pPr>
      <w:rPr>
        <w:rFonts w:ascii="Calibri" w:hAnsi="Calibri" w:hint="default"/>
        <w:b/>
        <w:i w:val="0"/>
        <w:color w:val="auto"/>
        <w:sz w:val="24"/>
      </w:rPr>
    </w:lvl>
    <w:lvl w:ilvl="7">
      <w:start w:val="1"/>
      <w:numFmt w:val="decimal"/>
      <w:lvlText w:val="%8"/>
      <w:lvlJc w:val="left"/>
      <w:pPr>
        <w:ind w:left="1134" w:hanging="170"/>
      </w:pPr>
      <w:rPr>
        <w:rFonts w:ascii="Calibri" w:hAnsi="Calibri" w:hint="default"/>
        <w:b/>
        <w:i w:val="0"/>
        <w:color w:val="auto"/>
        <w:sz w:val="24"/>
      </w:rPr>
    </w:lvl>
    <w:lvl w:ilvl="8">
      <w:start w:val="1"/>
      <w:numFmt w:val="decimal"/>
      <w:lvlText w:val="E.%9"/>
      <w:lvlJc w:val="left"/>
      <w:pPr>
        <w:ind w:left="1134" w:hanging="1134"/>
      </w:pPr>
      <w:rPr>
        <w:rFonts w:ascii="Calibri" w:hAnsi="Calibri" w:hint="default"/>
        <w:b/>
        <w:i w:val="0"/>
        <w:color w:val="auto"/>
        <w:sz w:val="24"/>
      </w:rPr>
    </w:lvl>
  </w:abstractNum>
  <w:abstractNum w:abstractNumId="31" w15:restartNumberingAfterBreak="0">
    <w:nsid w:val="6FBC5E34"/>
    <w:multiLevelType w:val="hybridMultilevel"/>
    <w:tmpl w:val="70AA8A0C"/>
    <w:lvl w:ilvl="0" w:tplc="625E047C">
      <w:start w:val="1"/>
      <w:numFmt w:val="lowerRoman"/>
      <w:lvlText w:val="%1."/>
      <w:lvlJc w:val="left"/>
      <w:pPr>
        <w:ind w:left="1080" w:hanging="360"/>
      </w:pPr>
      <w:rPr>
        <w:rFonts w:asciiTheme="minorHAnsi" w:eastAsiaTheme="minorHAnsi" w:hAnsiTheme="minorHAnsi" w:cstheme="minorBidi" w:hint="default"/>
        <w:b w:val="0"/>
      </w:rPr>
    </w:lvl>
    <w:lvl w:ilvl="1" w:tplc="514C3EAC">
      <w:start w:val="1"/>
      <w:numFmt w:val="upperLetter"/>
      <w:lvlText w:val="%2."/>
      <w:lvlJc w:val="left"/>
      <w:pPr>
        <w:ind w:left="1440" w:hanging="360"/>
      </w:pPr>
      <w:rPr>
        <w:rFonts w:hint="default"/>
      </w:rPr>
    </w:lvl>
    <w:lvl w:ilvl="2" w:tplc="04090005">
      <w:start w:val="1"/>
      <w:numFmt w:val="bullet"/>
      <w:lvlText w:val=""/>
      <w:lvlJc w:val="left"/>
      <w:pPr>
        <w:ind w:left="2340" w:hanging="360"/>
      </w:pPr>
      <w:rPr>
        <w:rFonts w:ascii="Wingdings" w:hAnsi="Wingding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067353"/>
    <w:multiLevelType w:val="hybridMultilevel"/>
    <w:tmpl w:val="C7F6E1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4C31D6E"/>
    <w:multiLevelType w:val="hybridMultilevel"/>
    <w:tmpl w:val="5CD6F532"/>
    <w:lvl w:ilvl="0" w:tplc="0DBC5886">
      <w:start w:val="1"/>
      <w:numFmt w:val="lowerLetter"/>
      <w:lvlText w:val="(%1)"/>
      <w:lvlJc w:val="left"/>
      <w:pPr>
        <w:ind w:left="720" w:hanging="360"/>
      </w:pPr>
      <w:rPr>
        <w:rFonts w:ascii="Arial Narrow" w:eastAsia="Times New Roman" w:hAnsi="Arial Narrow" w:cs="Tahoma"/>
        <w:b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88302C2"/>
    <w:multiLevelType w:val="hybridMultilevel"/>
    <w:tmpl w:val="1C0EA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AE857AA"/>
    <w:multiLevelType w:val="hybridMultilevel"/>
    <w:tmpl w:val="5CD6F532"/>
    <w:lvl w:ilvl="0" w:tplc="0DBC5886">
      <w:start w:val="1"/>
      <w:numFmt w:val="lowerLetter"/>
      <w:lvlText w:val="(%1)"/>
      <w:lvlJc w:val="left"/>
      <w:pPr>
        <w:ind w:left="720" w:hanging="360"/>
      </w:pPr>
      <w:rPr>
        <w:rFonts w:ascii="Arial Narrow" w:eastAsia="Times New Roman" w:hAnsi="Arial Narrow" w:cs="Tahoma"/>
        <w:b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200C70"/>
    <w:multiLevelType w:val="multilevel"/>
    <w:tmpl w:val="37B0CA18"/>
    <w:lvl w:ilvl="0">
      <w:start w:val="1"/>
      <w:numFmt w:val="none"/>
      <w:pStyle w:val="ESSectionHeading-numbered0"/>
      <w:lvlText w:val="A.1"/>
      <w:lvlJc w:val="left"/>
      <w:pPr>
        <w:ind w:left="1134" w:hanging="1134"/>
      </w:pPr>
      <w:rPr>
        <w:rFonts w:ascii="Calibri" w:hAnsi="Calibri" w:hint="default"/>
        <w:b/>
        <w:i w:val="0"/>
        <w:color w:val="auto"/>
        <w:sz w:val="24"/>
      </w:rPr>
    </w:lvl>
    <w:lvl w:ilvl="1">
      <w:start w:val="2"/>
      <w:numFmt w:val="decimal"/>
      <w:lvlText w:val="B.%2"/>
      <w:lvlJc w:val="left"/>
      <w:pPr>
        <w:ind w:left="1134" w:hanging="1134"/>
      </w:pPr>
      <w:rPr>
        <w:rFonts w:ascii="Calibri" w:hAnsi="Calibri" w:hint="default"/>
        <w:b/>
        <w:i w:val="0"/>
        <w:color w:val="auto"/>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37"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25"/>
  </w:num>
  <w:num w:numId="2">
    <w:abstractNumId w:val="2"/>
  </w:num>
  <w:num w:numId="3">
    <w:abstractNumId w:val="37"/>
  </w:num>
  <w:num w:numId="4">
    <w:abstractNumId w:val="29"/>
  </w:num>
  <w:num w:numId="5">
    <w:abstractNumId w:val="12"/>
  </w:num>
  <w:num w:numId="6">
    <w:abstractNumId w:val="36"/>
  </w:num>
  <w:num w:numId="7">
    <w:abstractNumId w:val="9"/>
  </w:num>
  <w:num w:numId="8">
    <w:abstractNumId w:val="30"/>
  </w:num>
  <w:num w:numId="9">
    <w:abstractNumId w:val="19"/>
  </w:num>
  <w:num w:numId="10">
    <w:abstractNumId w:val="24"/>
  </w:num>
  <w:num w:numId="11">
    <w:abstractNumId w:val="34"/>
  </w:num>
  <w:num w:numId="12">
    <w:abstractNumId w:val="32"/>
  </w:num>
  <w:num w:numId="13">
    <w:abstractNumId w:val="13"/>
  </w:num>
  <w:num w:numId="14">
    <w:abstractNumId w:val="33"/>
  </w:num>
  <w:num w:numId="15">
    <w:abstractNumId w:val="23"/>
  </w:num>
  <w:num w:numId="16">
    <w:abstractNumId w:val="4"/>
  </w:num>
  <w:num w:numId="17">
    <w:abstractNumId w:val="26"/>
  </w:num>
  <w:num w:numId="18">
    <w:abstractNumId w:val="27"/>
  </w:num>
  <w:num w:numId="19">
    <w:abstractNumId w:val="0"/>
  </w:num>
  <w:num w:numId="20">
    <w:abstractNumId w:val="20"/>
  </w:num>
  <w:num w:numId="21">
    <w:abstractNumId w:val="17"/>
  </w:num>
  <w:num w:numId="22">
    <w:abstractNumId w:val="15"/>
  </w:num>
  <w:num w:numId="23">
    <w:abstractNumId w:val="3"/>
  </w:num>
  <w:num w:numId="24">
    <w:abstractNumId w:val="14"/>
  </w:num>
  <w:num w:numId="25">
    <w:abstractNumId w:val="11"/>
  </w:num>
  <w:num w:numId="26">
    <w:abstractNumId w:val="7"/>
  </w:num>
  <w:num w:numId="27">
    <w:abstractNumId w:val="5"/>
  </w:num>
  <w:num w:numId="28">
    <w:abstractNumId w:val="21"/>
  </w:num>
  <w:num w:numId="29">
    <w:abstractNumId w:val="16"/>
  </w:num>
  <w:num w:numId="30">
    <w:abstractNumId w:val="31"/>
  </w:num>
  <w:num w:numId="31">
    <w:abstractNumId w:val="1"/>
  </w:num>
  <w:num w:numId="32">
    <w:abstractNumId w:val="6"/>
  </w:num>
  <w:num w:numId="33">
    <w:abstractNumId w:val="28"/>
  </w:num>
  <w:num w:numId="34">
    <w:abstractNumId w:val="8"/>
  </w:num>
  <w:num w:numId="35">
    <w:abstractNumId w:val="10"/>
  </w:num>
  <w:num w:numId="36">
    <w:abstractNumId w:val="18"/>
  </w:num>
  <w:num w:numId="37">
    <w:abstractNumId w:val="22"/>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CE0"/>
    <w:rsid w:val="000155A3"/>
    <w:rsid w:val="000752F4"/>
    <w:rsid w:val="00087986"/>
    <w:rsid w:val="000C1029"/>
    <w:rsid w:val="000F02A5"/>
    <w:rsid w:val="00136D45"/>
    <w:rsid w:val="001B0EBD"/>
    <w:rsid w:val="001F0EE0"/>
    <w:rsid w:val="0029444E"/>
    <w:rsid w:val="002A2CE0"/>
    <w:rsid w:val="00392104"/>
    <w:rsid w:val="003C520A"/>
    <w:rsid w:val="0046761E"/>
    <w:rsid w:val="00480A9F"/>
    <w:rsid w:val="004D1682"/>
    <w:rsid w:val="00513446"/>
    <w:rsid w:val="0055541C"/>
    <w:rsid w:val="005A14BE"/>
    <w:rsid w:val="005E700E"/>
    <w:rsid w:val="006F5272"/>
    <w:rsid w:val="00763697"/>
    <w:rsid w:val="007A5C87"/>
    <w:rsid w:val="007B7D01"/>
    <w:rsid w:val="00823B78"/>
    <w:rsid w:val="00831B80"/>
    <w:rsid w:val="00871F87"/>
    <w:rsid w:val="00915176"/>
    <w:rsid w:val="00962DF7"/>
    <w:rsid w:val="009C75C5"/>
    <w:rsid w:val="00A70239"/>
    <w:rsid w:val="00A81513"/>
    <w:rsid w:val="00AA2A77"/>
    <w:rsid w:val="00AB6D89"/>
    <w:rsid w:val="00AF5437"/>
    <w:rsid w:val="00B33B03"/>
    <w:rsid w:val="00B80DDA"/>
    <w:rsid w:val="00C65925"/>
    <w:rsid w:val="00CA3A5C"/>
    <w:rsid w:val="00CA4C53"/>
    <w:rsid w:val="00D561E0"/>
    <w:rsid w:val="00D82AD8"/>
    <w:rsid w:val="00E532CC"/>
    <w:rsid w:val="00E60762"/>
    <w:rsid w:val="00FD25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3CD19E97"/>
  <w15:chartTrackingRefBased/>
  <w15:docId w15:val="{8173EE4E-441A-466E-8874-7CDB19DB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CE0"/>
    <w:pPr>
      <w:spacing w:after="240" w:line="312" w:lineRule="auto"/>
    </w:pPr>
    <w:rPr>
      <w:rFonts w:ascii="Calibri" w:eastAsia="Times New Roman" w:hAnsi="Calibri" w:cs="Tahoma"/>
      <w:lang w:eastAsia="en-AU"/>
    </w:rPr>
  </w:style>
  <w:style w:type="paragraph" w:styleId="Heading1">
    <w:name w:val="heading 1"/>
    <w:basedOn w:val="Normal"/>
    <w:next w:val="Normal"/>
    <w:link w:val="Heading1Char"/>
    <w:qFormat/>
    <w:rsid w:val="002A2CE0"/>
    <w:pPr>
      <w:keepNext/>
      <w:pageBreakBefore/>
      <w:pBdr>
        <w:bottom w:val="single" w:sz="4" w:space="1" w:color="auto"/>
      </w:pBdr>
      <w:spacing w:after="360"/>
      <w:ind w:left="3402" w:hanging="3402"/>
      <w:outlineLvl w:val="0"/>
    </w:pPr>
    <w:rPr>
      <w:b/>
      <w:smallCaps/>
      <w:sz w:val="44"/>
    </w:rPr>
  </w:style>
  <w:style w:type="paragraph" w:styleId="Heading2">
    <w:name w:val="heading 2"/>
    <w:basedOn w:val="Normal"/>
    <w:next w:val="Normal"/>
    <w:link w:val="Heading2Char"/>
    <w:qFormat/>
    <w:rsid w:val="002A2CE0"/>
    <w:pPr>
      <w:keepNext/>
      <w:spacing w:before="240"/>
      <w:outlineLvl w:val="1"/>
    </w:pPr>
    <w:rPr>
      <w:b/>
      <w:smallCaps/>
      <w:sz w:val="28"/>
    </w:rPr>
  </w:style>
  <w:style w:type="paragraph" w:styleId="Heading3">
    <w:name w:val="heading 3"/>
    <w:basedOn w:val="Normal"/>
    <w:next w:val="Normal"/>
    <w:link w:val="Heading3Char"/>
    <w:qFormat/>
    <w:rsid w:val="002A2CE0"/>
    <w:pPr>
      <w:keepNext/>
      <w:spacing w:before="240" w:after="120"/>
      <w:outlineLvl w:val="2"/>
    </w:pPr>
    <w:rPr>
      <w:b/>
      <w:smallCaps/>
      <w:sz w:val="24"/>
      <w:szCs w:val="24"/>
    </w:rPr>
  </w:style>
  <w:style w:type="paragraph" w:styleId="Heading4">
    <w:name w:val="heading 4"/>
    <w:basedOn w:val="ESSectionHeading-numbered0"/>
    <w:next w:val="Normal"/>
    <w:link w:val="Heading4Char"/>
    <w:qFormat/>
    <w:rsid w:val="002A2CE0"/>
    <w:pPr>
      <w:numPr>
        <w:numId w:val="0"/>
      </w:numPr>
      <w:outlineLvl w:val="3"/>
    </w:pPr>
    <w:rPr>
      <w:smallCaps w:val="0"/>
      <w:sz w:val="22"/>
    </w:rPr>
  </w:style>
  <w:style w:type="paragraph" w:styleId="Heading5">
    <w:name w:val="heading 5"/>
    <w:basedOn w:val="Normal"/>
    <w:next w:val="Normal"/>
    <w:link w:val="Heading5Char"/>
    <w:qFormat/>
    <w:rsid w:val="002A2CE0"/>
    <w:pPr>
      <w:keepNext/>
      <w:spacing w:after="60"/>
      <w:outlineLvl w:val="4"/>
    </w:pPr>
    <w:rPr>
      <w:b/>
      <w:i/>
    </w:rPr>
  </w:style>
  <w:style w:type="paragraph" w:styleId="Heading6">
    <w:name w:val="heading 6"/>
    <w:basedOn w:val="Normal"/>
    <w:next w:val="Normal"/>
    <w:link w:val="Heading6Char"/>
    <w:qFormat/>
    <w:rsid w:val="002A2CE0"/>
    <w:pPr>
      <w:keepNext/>
      <w:outlineLvl w:val="5"/>
    </w:pPr>
    <w:rPr>
      <w:u w:val="single"/>
    </w:rPr>
  </w:style>
  <w:style w:type="paragraph" w:styleId="Heading7">
    <w:name w:val="heading 7"/>
    <w:basedOn w:val="Normal"/>
    <w:next w:val="Normal"/>
    <w:link w:val="Heading7Char"/>
    <w:rsid w:val="002A2CE0"/>
    <w:pPr>
      <w:keepNext/>
      <w:outlineLvl w:val="6"/>
    </w:pPr>
    <w:rPr>
      <w:i/>
    </w:rPr>
  </w:style>
  <w:style w:type="paragraph" w:styleId="Heading8">
    <w:name w:val="heading 8"/>
    <w:basedOn w:val="Normal"/>
    <w:next w:val="Normal"/>
    <w:link w:val="Heading8Char"/>
    <w:rsid w:val="002A2CE0"/>
    <w:pPr>
      <w:keepNext/>
      <w:outlineLvl w:val="7"/>
    </w:pPr>
    <w:rPr>
      <w:u w:val="single"/>
    </w:rPr>
  </w:style>
  <w:style w:type="paragraph" w:styleId="Heading9">
    <w:name w:val="heading 9"/>
    <w:basedOn w:val="Normal"/>
    <w:next w:val="Normal"/>
    <w:link w:val="Heading9Char"/>
    <w:rsid w:val="002A2CE0"/>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2CE0"/>
    <w:rPr>
      <w:rFonts w:ascii="Calibri" w:eastAsia="Times New Roman" w:hAnsi="Calibri" w:cs="Tahoma"/>
      <w:b/>
      <w:smallCaps/>
      <w:sz w:val="44"/>
      <w:lang w:eastAsia="en-AU"/>
    </w:rPr>
  </w:style>
  <w:style w:type="character" w:customStyle="1" w:styleId="Heading2Char">
    <w:name w:val="Heading 2 Char"/>
    <w:basedOn w:val="DefaultParagraphFont"/>
    <w:link w:val="Heading2"/>
    <w:rsid w:val="002A2CE0"/>
    <w:rPr>
      <w:rFonts w:ascii="Calibri" w:eastAsia="Times New Roman" w:hAnsi="Calibri" w:cs="Tahoma"/>
      <w:b/>
      <w:smallCaps/>
      <w:sz w:val="28"/>
      <w:lang w:eastAsia="en-AU"/>
    </w:rPr>
  </w:style>
  <w:style w:type="character" w:customStyle="1" w:styleId="Heading3Char">
    <w:name w:val="Heading 3 Char"/>
    <w:basedOn w:val="DefaultParagraphFont"/>
    <w:link w:val="Heading3"/>
    <w:rsid w:val="002A2CE0"/>
    <w:rPr>
      <w:rFonts w:ascii="Calibri" w:eastAsia="Times New Roman" w:hAnsi="Calibri" w:cs="Tahoma"/>
      <w:b/>
      <w:smallCaps/>
      <w:sz w:val="24"/>
      <w:szCs w:val="24"/>
      <w:lang w:eastAsia="en-AU"/>
    </w:rPr>
  </w:style>
  <w:style w:type="character" w:customStyle="1" w:styleId="Heading4Char">
    <w:name w:val="Heading 4 Char"/>
    <w:basedOn w:val="DefaultParagraphFont"/>
    <w:link w:val="Heading4"/>
    <w:rsid w:val="002A2CE0"/>
    <w:rPr>
      <w:rFonts w:ascii="Calibri" w:eastAsia="Times New Roman" w:hAnsi="Calibri" w:cs="Tahoma"/>
      <w:b/>
      <w:szCs w:val="24"/>
      <w:lang w:eastAsia="en-AU"/>
    </w:rPr>
  </w:style>
  <w:style w:type="character" w:customStyle="1" w:styleId="Heading5Char">
    <w:name w:val="Heading 5 Char"/>
    <w:basedOn w:val="DefaultParagraphFont"/>
    <w:link w:val="Heading5"/>
    <w:rsid w:val="002A2CE0"/>
    <w:rPr>
      <w:rFonts w:ascii="Calibri" w:eastAsia="Times New Roman" w:hAnsi="Calibri" w:cs="Tahoma"/>
      <w:b/>
      <w:i/>
      <w:lang w:eastAsia="en-AU"/>
    </w:rPr>
  </w:style>
  <w:style w:type="character" w:customStyle="1" w:styleId="Heading6Char">
    <w:name w:val="Heading 6 Char"/>
    <w:basedOn w:val="DefaultParagraphFont"/>
    <w:link w:val="Heading6"/>
    <w:rsid w:val="002A2CE0"/>
    <w:rPr>
      <w:rFonts w:ascii="Calibri" w:eastAsia="Times New Roman" w:hAnsi="Calibri" w:cs="Tahoma"/>
      <w:u w:val="single"/>
      <w:lang w:eastAsia="en-AU"/>
    </w:rPr>
  </w:style>
  <w:style w:type="character" w:customStyle="1" w:styleId="Heading7Char">
    <w:name w:val="Heading 7 Char"/>
    <w:basedOn w:val="DefaultParagraphFont"/>
    <w:link w:val="Heading7"/>
    <w:rsid w:val="002A2CE0"/>
    <w:rPr>
      <w:rFonts w:ascii="Calibri" w:eastAsia="Times New Roman" w:hAnsi="Calibri" w:cs="Tahoma"/>
      <w:i/>
      <w:lang w:eastAsia="en-AU"/>
    </w:rPr>
  </w:style>
  <w:style w:type="character" w:customStyle="1" w:styleId="Heading8Char">
    <w:name w:val="Heading 8 Char"/>
    <w:basedOn w:val="DefaultParagraphFont"/>
    <w:link w:val="Heading8"/>
    <w:rsid w:val="002A2CE0"/>
    <w:rPr>
      <w:rFonts w:ascii="Calibri" w:eastAsia="Times New Roman" w:hAnsi="Calibri" w:cs="Tahoma"/>
      <w:u w:val="single"/>
      <w:lang w:eastAsia="en-AU"/>
    </w:rPr>
  </w:style>
  <w:style w:type="character" w:customStyle="1" w:styleId="Heading9Char">
    <w:name w:val="Heading 9 Char"/>
    <w:basedOn w:val="DefaultParagraphFont"/>
    <w:link w:val="Heading9"/>
    <w:rsid w:val="002A2CE0"/>
    <w:rPr>
      <w:rFonts w:ascii="Calibri" w:eastAsia="Times New Roman" w:hAnsi="Calibri" w:cs="Tahoma"/>
      <w:lang w:eastAsia="en-AU"/>
    </w:rPr>
  </w:style>
  <w:style w:type="paragraph" w:customStyle="1" w:styleId="Bullet">
    <w:name w:val="Bullet"/>
    <w:basedOn w:val="Normal"/>
    <w:rsid w:val="002A2CE0"/>
    <w:pPr>
      <w:numPr>
        <w:numId w:val="1"/>
      </w:numPr>
    </w:pPr>
  </w:style>
  <w:style w:type="character" w:styleId="CommentReference">
    <w:name w:val="annotation reference"/>
    <w:uiPriority w:val="99"/>
    <w:rsid w:val="002A2CE0"/>
    <w:rPr>
      <w:sz w:val="16"/>
    </w:rPr>
  </w:style>
  <w:style w:type="paragraph" w:styleId="CommentText">
    <w:name w:val="annotation text"/>
    <w:basedOn w:val="Normal"/>
    <w:link w:val="CommentTextChar"/>
    <w:uiPriority w:val="99"/>
    <w:rsid w:val="002A2CE0"/>
    <w:rPr>
      <w:sz w:val="20"/>
    </w:rPr>
  </w:style>
  <w:style w:type="character" w:customStyle="1" w:styleId="CommentTextChar">
    <w:name w:val="Comment Text Char"/>
    <w:basedOn w:val="DefaultParagraphFont"/>
    <w:link w:val="CommentText"/>
    <w:uiPriority w:val="99"/>
    <w:rsid w:val="002A2CE0"/>
    <w:rPr>
      <w:rFonts w:ascii="Calibri" w:eastAsia="Times New Roman" w:hAnsi="Calibri" w:cs="Tahoma"/>
      <w:sz w:val="20"/>
      <w:lang w:eastAsia="en-AU"/>
    </w:rPr>
  </w:style>
  <w:style w:type="paragraph" w:styleId="Date">
    <w:name w:val="Date"/>
    <w:basedOn w:val="Normal"/>
    <w:next w:val="Normal"/>
    <w:link w:val="DateChar"/>
    <w:rsid w:val="002A2CE0"/>
    <w:pPr>
      <w:ind w:right="113"/>
      <w:jc w:val="right"/>
    </w:pPr>
    <w:rPr>
      <w:rFonts w:ascii="Arial" w:hAnsi="Arial"/>
      <w:b/>
      <w:sz w:val="36"/>
    </w:rPr>
  </w:style>
  <w:style w:type="character" w:customStyle="1" w:styleId="DateChar">
    <w:name w:val="Date Char"/>
    <w:basedOn w:val="DefaultParagraphFont"/>
    <w:link w:val="Date"/>
    <w:rsid w:val="002A2CE0"/>
    <w:rPr>
      <w:rFonts w:ascii="Arial" w:eastAsia="Times New Roman" w:hAnsi="Arial" w:cs="Tahoma"/>
      <w:b/>
      <w:sz w:val="36"/>
      <w:lang w:eastAsia="en-AU"/>
    </w:rPr>
  </w:style>
  <w:style w:type="paragraph" w:customStyle="1" w:styleId="Summaryboxtext">
    <w:name w:val="Summary box text"/>
    <w:basedOn w:val="Normal"/>
    <w:rsid w:val="002A2CE0"/>
    <w:pPr>
      <w:spacing w:after="100" w:afterAutospacing="1"/>
    </w:pPr>
    <w:rPr>
      <w:rFonts w:ascii="Arial Narrow" w:hAnsi="Arial Narrow"/>
    </w:rPr>
  </w:style>
  <w:style w:type="paragraph" w:styleId="Footer">
    <w:name w:val="footer"/>
    <w:basedOn w:val="Normal"/>
    <w:link w:val="FooterChar"/>
    <w:uiPriority w:val="99"/>
    <w:rsid w:val="002A2CE0"/>
    <w:pPr>
      <w:pBdr>
        <w:top w:val="single" w:sz="4" w:space="9" w:color="auto"/>
      </w:pBdr>
      <w:tabs>
        <w:tab w:val="right" w:pos="9000"/>
      </w:tabs>
    </w:pPr>
    <w:rPr>
      <w:rFonts w:ascii="Arial" w:hAnsi="Arial"/>
      <w:b/>
      <w:sz w:val="20"/>
    </w:rPr>
  </w:style>
  <w:style w:type="character" w:customStyle="1" w:styleId="FooterChar">
    <w:name w:val="Footer Char"/>
    <w:basedOn w:val="DefaultParagraphFont"/>
    <w:link w:val="Footer"/>
    <w:uiPriority w:val="99"/>
    <w:rsid w:val="002A2CE0"/>
    <w:rPr>
      <w:rFonts w:ascii="Arial" w:eastAsia="Times New Roman" w:hAnsi="Arial" w:cs="Tahoma"/>
      <w:b/>
      <w:sz w:val="20"/>
      <w:lang w:eastAsia="en-AU"/>
    </w:rPr>
  </w:style>
  <w:style w:type="character" w:styleId="FootnoteReference">
    <w:name w:val="footnote reference"/>
    <w:uiPriority w:val="99"/>
    <w:qFormat/>
    <w:rsid w:val="002A2CE0"/>
    <w:rPr>
      <w:vertAlign w:val="superscript"/>
    </w:rPr>
  </w:style>
  <w:style w:type="paragraph" w:styleId="FootnoteText">
    <w:name w:val="footnote text"/>
    <w:basedOn w:val="Normal"/>
    <w:link w:val="FootnoteTextChar"/>
    <w:uiPriority w:val="99"/>
    <w:qFormat/>
    <w:rsid w:val="002A2CE0"/>
    <w:rPr>
      <w:sz w:val="20"/>
    </w:rPr>
  </w:style>
  <w:style w:type="character" w:customStyle="1" w:styleId="FootnoteTextChar">
    <w:name w:val="Footnote Text Char"/>
    <w:basedOn w:val="DefaultParagraphFont"/>
    <w:link w:val="FootnoteText"/>
    <w:uiPriority w:val="99"/>
    <w:rsid w:val="002A2CE0"/>
    <w:rPr>
      <w:rFonts w:ascii="Calibri" w:eastAsia="Times New Roman" w:hAnsi="Calibri" w:cs="Tahoma"/>
      <w:sz w:val="20"/>
      <w:lang w:eastAsia="en-AU"/>
    </w:rPr>
  </w:style>
  <w:style w:type="paragraph" w:styleId="Header">
    <w:name w:val="header"/>
    <w:basedOn w:val="Normal"/>
    <w:link w:val="HeaderChar"/>
    <w:rsid w:val="002A2CE0"/>
    <w:pPr>
      <w:tabs>
        <w:tab w:val="center" w:pos="4153"/>
        <w:tab w:val="right" w:pos="8306"/>
      </w:tabs>
    </w:pPr>
  </w:style>
  <w:style w:type="character" w:customStyle="1" w:styleId="HeaderChar">
    <w:name w:val="Header Char"/>
    <w:basedOn w:val="DefaultParagraphFont"/>
    <w:link w:val="Header"/>
    <w:rsid w:val="002A2CE0"/>
    <w:rPr>
      <w:rFonts w:ascii="Calibri" w:eastAsia="Times New Roman" w:hAnsi="Calibri" w:cs="Tahoma"/>
      <w:lang w:eastAsia="en-AU"/>
    </w:rPr>
  </w:style>
  <w:style w:type="paragraph" w:customStyle="1" w:styleId="Summaryboxheading">
    <w:name w:val="Summary box heading"/>
    <w:basedOn w:val="Summaryboxtext"/>
    <w:rsid w:val="002A2CE0"/>
    <w:pPr>
      <w:spacing w:before="120"/>
    </w:pPr>
    <w:rPr>
      <w:b/>
    </w:rPr>
  </w:style>
  <w:style w:type="paragraph" w:customStyle="1" w:styleId="Heading2a">
    <w:name w:val="Heading 2a"/>
    <w:basedOn w:val="Heading2"/>
    <w:rsid w:val="002A2CE0"/>
    <w:pPr>
      <w:outlineLvl w:val="9"/>
    </w:pPr>
    <w:rPr>
      <w:sz w:val="22"/>
    </w:rPr>
  </w:style>
  <w:style w:type="character" w:styleId="PageNumber">
    <w:name w:val="page number"/>
    <w:rsid w:val="002A2CE0"/>
    <w:rPr>
      <w:rFonts w:ascii="Tahoma" w:hAnsi="Tahoma"/>
      <w:b/>
      <w:sz w:val="18"/>
    </w:rPr>
  </w:style>
  <w:style w:type="paragraph" w:customStyle="1" w:styleId="PublicationTitle">
    <w:name w:val="PublicationTitle"/>
    <w:basedOn w:val="Normal"/>
    <w:rsid w:val="002A2CE0"/>
    <w:pPr>
      <w:spacing w:line="480" w:lineRule="exact"/>
      <w:ind w:right="113"/>
      <w:jc w:val="right"/>
    </w:pPr>
    <w:rPr>
      <w:rFonts w:ascii="Arial" w:hAnsi="Arial"/>
      <w:b/>
      <w:i/>
      <w:sz w:val="44"/>
    </w:rPr>
  </w:style>
  <w:style w:type="paragraph" w:customStyle="1" w:styleId="References">
    <w:name w:val="References"/>
    <w:basedOn w:val="Normal"/>
    <w:rsid w:val="002A2CE0"/>
    <w:pPr>
      <w:keepLines/>
      <w:ind w:left="1440" w:hanging="720"/>
    </w:pPr>
  </w:style>
  <w:style w:type="paragraph" w:customStyle="1" w:styleId="Sub-title">
    <w:name w:val="Sub-title"/>
    <w:basedOn w:val="Normal"/>
    <w:rsid w:val="002A2CE0"/>
    <w:pPr>
      <w:ind w:right="113"/>
      <w:jc w:val="right"/>
    </w:pPr>
    <w:rPr>
      <w:rFonts w:ascii="Arial" w:hAnsi="Arial"/>
      <w:b/>
      <w:sz w:val="32"/>
    </w:rPr>
  </w:style>
  <w:style w:type="paragraph" w:styleId="TableofFigures">
    <w:name w:val="table of figures"/>
    <w:basedOn w:val="Normal"/>
    <w:next w:val="Normal"/>
    <w:uiPriority w:val="99"/>
    <w:rsid w:val="002A2CE0"/>
    <w:pPr>
      <w:tabs>
        <w:tab w:val="left" w:pos="1800"/>
        <w:tab w:val="right" w:leader="dot" w:pos="9017"/>
      </w:tabs>
      <w:spacing w:after="120"/>
      <w:ind w:left="1800" w:right="720" w:hanging="1080"/>
    </w:pPr>
    <w:rPr>
      <w:noProof/>
    </w:rPr>
  </w:style>
  <w:style w:type="paragraph" w:customStyle="1" w:styleId="TableText">
    <w:name w:val="TableText"/>
    <w:basedOn w:val="Normal"/>
    <w:link w:val="TableTextChar"/>
    <w:rsid w:val="002A2CE0"/>
    <w:pPr>
      <w:keepNext/>
      <w:spacing w:before="40" w:after="40"/>
    </w:pPr>
    <w:rPr>
      <w:rFonts w:ascii="Arial Narrow" w:hAnsi="Arial Narrow"/>
      <w:sz w:val="18"/>
    </w:rPr>
  </w:style>
  <w:style w:type="character" w:customStyle="1" w:styleId="TableTextChar">
    <w:name w:val="TableText Char"/>
    <w:link w:val="TableText"/>
    <w:rsid w:val="002A2CE0"/>
    <w:rPr>
      <w:rFonts w:ascii="Arial Narrow" w:eastAsia="Times New Roman" w:hAnsi="Arial Narrow" w:cs="Tahoma"/>
      <w:sz w:val="18"/>
      <w:lang w:eastAsia="en-AU"/>
    </w:rPr>
  </w:style>
  <w:style w:type="paragraph" w:customStyle="1" w:styleId="TableHeading">
    <w:name w:val="TableHeading"/>
    <w:basedOn w:val="TableText"/>
    <w:link w:val="TableHeadingChar"/>
    <w:qFormat/>
    <w:rsid w:val="002A2CE0"/>
    <w:pPr>
      <w:spacing w:line="240" w:lineRule="auto"/>
    </w:pPr>
    <w:rPr>
      <w:b/>
      <w:sz w:val="20"/>
      <w:szCs w:val="20"/>
    </w:rPr>
  </w:style>
  <w:style w:type="character" w:customStyle="1" w:styleId="TableHeadingChar">
    <w:name w:val="TableHeading Char"/>
    <w:link w:val="TableHeading"/>
    <w:rsid w:val="002A2CE0"/>
    <w:rPr>
      <w:rFonts w:ascii="Arial Narrow" w:eastAsia="Times New Roman" w:hAnsi="Arial Narrow" w:cs="Tahoma"/>
      <w:b/>
      <w:sz w:val="20"/>
      <w:szCs w:val="20"/>
      <w:lang w:eastAsia="en-AU"/>
    </w:rPr>
  </w:style>
  <w:style w:type="paragraph" w:customStyle="1" w:styleId="TableName">
    <w:name w:val="TableName"/>
    <w:basedOn w:val="TableText"/>
    <w:link w:val="TableNameChar"/>
    <w:rsid w:val="002A2CE0"/>
    <w:pPr>
      <w:ind w:left="1440" w:hanging="720"/>
    </w:pPr>
    <w:rPr>
      <w:b/>
      <w:sz w:val="20"/>
    </w:rPr>
  </w:style>
  <w:style w:type="character" w:customStyle="1" w:styleId="TableNameChar">
    <w:name w:val="TableName Char"/>
    <w:link w:val="TableName"/>
    <w:rsid w:val="002A2CE0"/>
    <w:rPr>
      <w:rFonts w:ascii="Arial Narrow" w:eastAsia="Times New Roman" w:hAnsi="Arial Narrow" w:cs="Tahoma"/>
      <w:b/>
      <w:sz w:val="20"/>
      <w:lang w:eastAsia="en-AU"/>
    </w:rPr>
  </w:style>
  <w:style w:type="paragraph" w:customStyle="1" w:styleId="TableNotes">
    <w:name w:val="TableNotes"/>
    <w:basedOn w:val="TableText"/>
    <w:link w:val="TableNotesChar"/>
    <w:rsid w:val="002A2CE0"/>
    <w:pPr>
      <w:keepNext w:val="0"/>
      <w:keepLines/>
      <w:spacing w:before="0" w:after="360"/>
      <w:ind w:left="720"/>
      <w:contextualSpacing/>
    </w:pPr>
    <w:rPr>
      <w:sz w:val="16"/>
    </w:rPr>
  </w:style>
  <w:style w:type="character" w:customStyle="1" w:styleId="TableNotesChar">
    <w:name w:val="TableNotes Char"/>
    <w:link w:val="TableNotes"/>
    <w:rsid w:val="002A2CE0"/>
    <w:rPr>
      <w:rFonts w:ascii="Arial Narrow" w:eastAsia="Times New Roman" w:hAnsi="Arial Narrow" w:cs="Tahoma"/>
      <w:sz w:val="16"/>
      <w:lang w:eastAsia="en-AU"/>
    </w:rPr>
  </w:style>
  <w:style w:type="paragraph" w:styleId="Title">
    <w:name w:val="Title"/>
    <w:basedOn w:val="Normal"/>
    <w:link w:val="TitleChar"/>
    <w:qFormat/>
    <w:rsid w:val="002A2CE0"/>
    <w:pPr>
      <w:jc w:val="center"/>
    </w:pPr>
    <w:rPr>
      <w:rFonts w:ascii="Arial" w:hAnsi="Arial"/>
      <w:b/>
      <w:smallCaps/>
      <w:sz w:val="44"/>
    </w:rPr>
  </w:style>
  <w:style w:type="character" w:customStyle="1" w:styleId="TitleChar">
    <w:name w:val="Title Char"/>
    <w:basedOn w:val="DefaultParagraphFont"/>
    <w:link w:val="Title"/>
    <w:rsid w:val="002A2CE0"/>
    <w:rPr>
      <w:rFonts w:ascii="Arial" w:eastAsia="Times New Roman" w:hAnsi="Arial" w:cs="Tahoma"/>
      <w:b/>
      <w:smallCaps/>
      <w:sz w:val="44"/>
      <w:lang w:eastAsia="en-AU"/>
    </w:rPr>
  </w:style>
  <w:style w:type="paragraph" w:styleId="TOC1">
    <w:name w:val="toc 1"/>
    <w:basedOn w:val="Normal"/>
    <w:next w:val="Normal"/>
    <w:autoRedefine/>
    <w:uiPriority w:val="39"/>
    <w:qFormat/>
    <w:rsid w:val="002A2CE0"/>
    <w:pPr>
      <w:tabs>
        <w:tab w:val="left" w:pos="1276"/>
        <w:tab w:val="right" w:leader="dot" w:pos="9017"/>
      </w:tabs>
      <w:spacing w:before="120" w:after="60"/>
      <w:ind w:right="-46"/>
    </w:pPr>
    <w:rPr>
      <w:b/>
      <w:noProof/>
    </w:rPr>
  </w:style>
  <w:style w:type="paragraph" w:styleId="TOC2">
    <w:name w:val="toc 2"/>
    <w:basedOn w:val="Normal"/>
    <w:next w:val="Normal"/>
    <w:autoRedefine/>
    <w:uiPriority w:val="39"/>
    <w:qFormat/>
    <w:rsid w:val="002A2CE0"/>
    <w:pPr>
      <w:tabs>
        <w:tab w:val="left" w:pos="1540"/>
        <w:tab w:val="right" w:leader="dot" w:pos="9017"/>
      </w:tabs>
      <w:spacing w:after="60"/>
      <w:ind w:left="1440" w:right="720" w:hanging="720"/>
    </w:pPr>
    <w:rPr>
      <w:noProof/>
    </w:rPr>
  </w:style>
  <w:style w:type="paragraph" w:styleId="TOC3">
    <w:name w:val="toc 3"/>
    <w:basedOn w:val="Normal"/>
    <w:next w:val="Normal"/>
    <w:autoRedefine/>
    <w:uiPriority w:val="39"/>
    <w:qFormat/>
    <w:rsid w:val="002A2CE0"/>
    <w:pPr>
      <w:tabs>
        <w:tab w:val="right" w:leader="dot" w:pos="9016"/>
      </w:tabs>
      <w:spacing w:after="0"/>
      <w:ind w:left="720" w:right="720"/>
    </w:pPr>
    <w:rPr>
      <w:noProof/>
    </w:rPr>
  </w:style>
  <w:style w:type="paragraph" w:styleId="TOC4">
    <w:name w:val="toc 4"/>
    <w:basedOn w:val="Normal"/>
    <w:next w:val="Normal"/>
    <w:autoRedefine/>
    <w:uiPriority w:val="39"/>
    <w:rsid w:val="002A2CE0"/>
    <w:pPr>
      <w:ind w:left="660"/>
    </w:pPr>
  </w:style>
  <w:style w:type="paragraph" w:styleId="TOC5">
    <w:name w:val="toc 5"/>
    <w:basedOn w:val="Normal"/>
    <w:next w:val="Normal"/>
    <w:autoRedefine/>
    <w:uiPriority w:val="39"/>
    <w:rsid w:val="002A2CE0"/>
    <w:pPr>
      <w:ind w:left="880"/>
    </w:pPr>
  </w:style>
  <w:style w:type="paragraph" w:styleId="TOC6">
    <w:name w:val="toc 6"/>
    <w:basedOn w:val="Normal"/>
    <w:next w:val="Normal"/>
    <w:autoRedefine/>
    <w:uiPriority w:val="39"/>
    <w:rsid w:val="002A2CE0"/>
    <w:pPr>
      <w:ind w:left="1100"/>
    </w:pPr>
  </w:style>
  <w:style w:type="paragraph" w:styleId="TOC7">
    <w:name w:val="toc 7"/>
    <w:basedOn w:val="Normal"/>
    <w:next w:val="Normal"/>
    <w:autoRedefine/>
    <w:uiPriority w:val="39"/>
    <w:rsid w:val="002A2CE0"/>
    <w:pPr>
      <w:ind w:left="1320"/>
    </w:pPr>
  </w:style>
  <w:style w:type="paragraph" w:styleId="TOC8">
    <w:name w:val="toc 8"/>
    <w:basedOn w:val="Normal"/>
    <w:next w:val="Normal"/>
    <w:autoRedefine/>
    <w:uiPriority w:val="39"/>
    <w:rsid w:val="002A2CE0"/>
    <w:pPr>
      <w:ind w:left="1540"/>
    </w:pPr>
  </w:style>
  <w:style w:type="paragraph" w:styleId="TOC9">
    <w:name w:val="toc 9"/>
    <w:basedOn w:val="Normal"/>
    <w:next w:val="Normal"/>
    <w:autoRedefine/>
    <w:uiPriority w:val="39"/>
    <w:rsid w:val="002A2CE0"/>
    <w:pPr>
      <w:ind w:left="1760"/>
      <w:jc w:val="both"/>
    </w:pPr>
    <w:rPr>
      <w:sz w:val="144"/>
      <w:szCs w:val="144"/>
    </w:rPr>
  </w:style>
  <w:style w:type="paragraph" w:customStyle="1" w:styleId="Dash">
    <w:name w:val="Dash"/>
    <w:basedOn w:val="Normal"/>
    <w:rsid w:val="002A2CE0"/>
    <w:pPr>
      <w:numPr>
        <w:numId w:val="2"/>
      </w:numPr>
    </w:pPr>
  </w:style>
  <w:style w:type="paragraph" w:styleId="Quote">
    <w:name w:val="Quote"/>
    <w:basedOn w:val="Normal"/>
    <w:link w:val="QuoteChar"/>
    <w:uiPriority w:val="29"/>
    <w:qFormat/>
    <w:rsid w:val="002A2CE0"/>
    <w:pPr>
      <w:keepLines/>
      <w:ind w:left="1440" w:right="720"/>
    </w:pPr>
  </w:style>
  <w:style w:type="character" w:customStyle="1" w:styleId="QuoteChar">
    <w:name w:val="Quote Char"/>
    <w:basedOn w:val="DefaultParagraphFont"/>
    <w:link w:val="Quote"/>
    <w:uiPriority w:val="29"/>
    <w:rsid w:val="002A2CE0"/>
    <w:rPr>
      <w:rFonts w:ascii="Calibri" w:eastAsia="Times New Roman" w:hAnsi="Calibri" w:cs="Tahoma"/>
      <w:lang w:eastAsia="en-AU"/>
    </w:rPr>
  </w:style>
  <w:style w:type="paragraph" w:styleId="BodyText">
    <w:name w:val="Body Text"/>
    <w:basedOn w:val="Normal"/>
    <w:link w:val="BodyTextChar"/>
    <w:rsid w:val="002A2CE0"/>
    <w:pPr>
      <w:spacing w:after="0"/>
    </w:pPr>
    <w:rPr>
      <w:rFonts w:ascii="Helv" w:hAnsi="Helv"/>
      <w:b/>
      <w:i/>
      <w:snapToGrid w:val="0"/>
      <w:color w:val="000000"/>
      <w:sz w:val="28"/>
      <w:lang w:eastAsia="en-US"/>
    </w:rPr>
  </w:style>
  <w:style w:type="character" w:customStyle="1" w:styleId="BodyTextChar">
    <w:name w:val="Body Text Char"/>
    <w:basedOn w:val="DefaultParagraphFont"/>
    <w:link w:val="BodyText"/>
    <w:rsid w:val="002A2CE0"/>
    <w:rPr>
      <w:rFonts w:ascii="Helv" w:eastAsia="Times New Roman" w:hAnsi="Helv" w:cs="Tahoma"/>
      <w:b/>
      <w:i/>
      <w:snapToGrid w:val="0"/>
      <w:color w:val="000000"/>
      <w:sz w:val="28"/>
    </w:rPr>
  </w:style>
  <w:style w:type="paragraph" w:styleId="BalloonText">
    <w:name w:val="Balloon Text"/>
    <w:basedOn w:val="Normal"/>
    <w:link w:val="BalloonTextChar"/>
    <w:semiHidden/>
    <w:rsid w:val="002A2CE0"/>
    <w:rPr>
      <w:sz w:val="16"/>
      <w:szCs w:val="16"/>
    </w:rPr>
  </w:style>
  <w:style w:type="character" w:customStyle="1" w:styleId="BalloonTextChar">
    <w:name w:val="Balloon Text Char"/>
    <w:basedOn w:val="DefaultParagraphFont"/>
    <w:link w:val="BalloonText"/>
    <w:semiHidden/>
    <w:rsid w:val="002A2CE0"/>
    <w:rPr>
      <w:rFonts w:ascii="Calibri" w:eastAsia="Times New Roman" w:hAnsi="Calibri" w:cs="Tahoma"/>
      <w:sz w:val="16"/>
      <w:szCs w:val="16"/>
      <w:lang w:eastAsia="en-AU"/>
    </w:rPr>
  </w:style>
  <w:style w:type="character" w:styleId="Hyperlink">
    <w:name w:val="Hyperlink"/>
    <w:uiPriority w:val="99"/>
    <w:rsid w:val="002A2CE0"/>
    <w:rPr>
      <w:color w:val="0000FF"/>
      <w:u w:val="single"/>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qFormat/>
    <w:rsid w:val="002A2CE0"/>
    <w:pPr>
      <w:spacing w:after="120" w:line="240" w:lineRule="auto"/>
    </w:pPr>
    <w:rPr>
      <w:rFonts w:ascii="Arial Narrow" w:hAnsi="Arial Narrow"/>
      <w:b/>
      <w:bCs/>
      <w:sz w:val="20"/>
    </w:rPr>
  </w:style>
  <w:style w:type="paragraph" w:customStyle="1" w:styleId="TableHeading0">
    <w:name w:val="Table Heading"/>
    <w:basedOn w:val="Normal"/>
    <w:next w:val="Normal"/>
    <w:rsid w:val="002A2CE0"/>
    <w:pPr>
      <w:keepNext/>
      <w:spacing w:before="40" w:after="40"/>
    </w:pPr>
    <w:rPr>
      <w:rFonts w:ascii="Arial" w:hAnsi="Arial"/>
      <w:b/>
      <w:sz w:val="18"/>
      <w:lang w:val="en-GB" w:eastAsia="en-US"/>
    </w:rPr>
  </w:style>
  <w:style w:type="table" w:styleId="TableGrid">
    <w:name w:val="Table Grid"/>
    <w:basedOn w:val="TableNormal"/>
    <w:uiPriority w:val="59"/>
    <w:rsid w:val="002A2CE0"/>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0"/>
    <w:rsid w:val="002A2CE0"/>
    <w:pPr>
      <w:keepNext/>
      <w:spacing w:before="40" w:after="40" w:line="240" w:lineRule="auto"/>
    </w:pPr>
    <w:rPr>
      <w:rFonts w:ascii="Arial Narrow" w:hAnsi="Arial Narrow"/>
      <w:sz w:val="20"/>
      <w:lang w:eastAsia="en-US"/>
    </w:rPr>
  </w:style>
  <w:style w:type="character" w:customStyle="1" w:styleId="TableTextChar0">
    <w:name w:val="Table Text Char"/>
    <w:link w:val="TableText0"/>
    <w:rsid w:val="002A2CE0"/>
    <w:rPr>
      <w:rFonts w:ascii="Arial Narrow" w:eastAsia="Times New Roman" w:hAnsi="Arial Narrow" w:cs="Tahoma"/>
      <w:sz w:val="20"/>
    </w:rPr>
  </w:style>
  <w:style w:type="paragraph" w:customStyle="1" w:styleId="Boxname">
    <w:name w:val="Box name"/>
    <w:basedOn w:val="TableName"/>
    <w:link w:val="BoxnameChar"/>
    <w:rsid w:val="002A2CE0"/>
  </w:style>
  <w:style w:type="character" w:customStyle="1" w:styleId="BoxnameChar">
    <w:name w:val="Box name Char"/>
    <w:basedOn w:val="TableNameChar"/>
    <w:link w:val="Boxname"/>
    <w:rsid w:val="002A2CE0"/>
    <w:rPr>
      <w:rFonts w:ascii="Arial Narrow" w:eastAsia="Times New Roman" w:hAnsi="Arial Narrow" w:cs="Tahoma"/>
      <w:b/>
      <w:sz w:val="20"/>
      <w:lang w:eastAsia="en-AU"/>
    </w:rPr>
  </w:style>
  <w:style w:type="paragraph" w:styleId="CommentSubject">
    <w:name w:val="annotation subject"/>
    <w:basedOn w:val="CommentText"/>
    <w:next w:val="CommentText"/>
    <w:link w:val="CommentSubjectChar"/>
    <w:semiHidden/>
    <w:rsid w:val="002A2CE0"/>
    <w:rPr>
      <w:b/>
      <w:bCs/>
    </w:rPr>
  </w:style>
  <w:style w:type="character" w:customStyle="1" w:styleId="CommentSubjectChar">
    <w:name w:val="Comment Subject Char"/>
    <w:basedOn w:val="CommentTextChar"/>
    <w:link w:val="CommentSubject"/>
    <w:semiHidden/>
    <w:rsid w:val="002A2CE0"/>
    <w:rPr>
      <w:rFonts w:ascii="Calibri" w:eastAsia="Times New Roman" w:hAnsi="Calibri" w:cs="Tahoma"/>
      <w:b/>
      <w:bCs/>
      <w:sz w:val="20"/>
      <w:lang w:eastAsia="en-AU"/>
    </w:rPr>
  </w:style>
  <w:style w:type="paragraph" w:customStyle="1" w:styleId="StyleTableTextArialNarrowFirstline045cm">
    <w:name w:val="Style Table Text + Arial Narrow First line:  0.45 cm"/>
    <w:basedOn w:val="TableText0"/>
    <w:rsid w:val="002A2CE0"/>
    <w:pPr>
      <w:spacing w:after="360"/>
      <w:ind w:firstLine="720"/>
    </w:pPr>
  </w:style>
  <w:style w:type="character" w:styleId="FollowedHyperlink">
    <w:name w:val="FollowedHyperlink"/>
    <w:rsid w:val="002A2CE0"/>
    <w:rPr>
      <w:color w:val="800080"/>
      <w:u w:val="single"/>
    </w:rPr>
  </w:style>
  <w:style w:type="paragraph" w:customStyle="1" w:styleId="TableNamea">
    <w:name w:val="Table Name(a)"/>
    <w:basedOn w:val="Normal"/>
    <w:rsid w:val="002A2CE0"/>
    <w:pPr>
      <w:keepNext/>
      <w:spacing w:before="120" w:after="120"/>
      <w:ind w:left="1077" w:hanging="1077"/>
    </w:pPr>
    <w:rPr>
      <w:rFonts w:ascii="Arial" w:hAnsi="Arial"/>
      <w:b/>
      <w:sz w:val="20"/>
      <w:lang w:eastAsia="en-US"/>
    </w:rPr>
  </w:style>
  <w:style w:type="paragraph" w:styleId="DocumentMap">
    <w:name w:val="Document Map"/>
    <w:basedOn w:val="Normal"/>
    <w:link w:val="DocumentMapChar"/>
    <w:rsid w:val="002A2CE0"/>
    <w:rPr>
      <w:sz w:val="16"/>
      <w:szCs w:val="16"/>
    </w:rPr>
  </w:style>
  <w:style w:type="character" w:customStyle="1" w:styleId="DocumentMapChar">
    <w:name w:val="Document Map Char"/>
    <w:basedOn w:val="DefaultParagraphFont"/>
    <w:link w:val="DocumentMap"/>
    <w:rsid w:val="002A2CE0"/>
    <w:rPr>
      <w:rFonts w:ascii="Calibri" w:eastAsia="Times New Roman" w:hAnsi="Calibri" w:cs="Tahoma"/>
      <w:sz w:val="16"/>
      <w:szCs w:val="16"/>
      <w:lang w:eastAsia="en-AU"/>
    </w:rPr>
  </w:style>
  <w:style w:type="paragraph" w:styleId="ListParagraph">
    <w:name w:val="List Paragraph"/>
    <w:basedOn w:val="Normal"/>
    <w:link w:val="ListParagraphChar"/>
    <w:qFormat/>
    <w:rsid w:val="002A2CE0"/>
  </w:style>
  <w:style w:type="paragraph" w:customStyle="1" w:styleId="figureheading">
    <w:name w:val="figure heading"/>
    <w:basedOn w:val="Normal"/>
    <w:rsid w:val="002A2CE0"/>
    <w:pPr>
      <w:keepNext/>
      <w:spacing w:before="120" w:after="120"/>
      <w:ind w:left="1077" w:hanging="1077"/>
    </w:pPr>
    <w:rPr>
      <w:rFonts w:ascii="Arial" w:hAnsi="Arial"/>
      <w:b/>
      <w:sz w:val="20"/>
      <w:lang w:eastAsia="en-US"/>
    </w:rPr>
  </w:style>
  <w:style w:type="paragraph" w:customStyle="1" w:styleId="Nnumberedlist">
    <w:name w:val="Nnumbered list"/>
    <w:basedOn w:val="Normal"/>
    <w:rsid w:val="002A2CE0"/>
    <w:pPr>
      <w:numPr>
        <w:numId w:val="3"/>
      </w:numPr>
    </w:pPr>
  </w:style>
  <w:style w:type="paragraph" w:customStyle="1" w:styleId="Figure">
    <w:name w:val="Figure"/>
    <w:basedOn w:val="TableName"/>
    <w:rsid w:val="002A2CE0"/>
    <w:pPr>
      <w:spacing w:before="120" w:after="120"/>
      <w:ind w:left="1800" w:hanging="1080"/>
    </w:pPr>
  </w:style>
  <w:style w:type="paragraph" w:styleId="NormalWeb">
    <w:name w:val="Normal (Web)"/>
    <w:basedOn w:val="Normal"/>
    <w:uiPriority w:val="99"/>
    <w:rsid w:val="002A2CE0"/>
    <w:pPr>
      <w:spacing w:before="100" w:beforeAutospacing="1" w:after="100" w:afterAutospacing="1"/>
    </w:pPr>
    <w:rPr>
      <w:rFonts w:ascii="Times New Roman" w:hAnsi="Times New Roman"/>
      <w:color w:val="000000"/>
      <w:szCs w:val="24"/>
      <w:lang w:val="en-US" w:eastAsia="en-US"/>
    </w:rPr>
  </w:style>
  <w:style w:type="paragraph" w:customStyle="1" w:styleId="Equation">
    <w:name w:val="Equation"/>
    <w:basedOn w:val="Header"/>
    <w:rsid w:val="002A2CE0"/>
    <w:pPr>
      <w:tabs>
        <w:tab w:val="clear" w:pos="4153"/>
        <w:tab w:val="clear" w:pos="8306"/>
      </w:tabs>
    </w:pPr>
    <w:rPr>
      <w:rFonts w:ascii="Arial Narrow" w:hAnsi="Arial Narrow"/>
      <w:sz w:val="20"/>
    </w:rPr>
  </w:style>
  <w:style w:type="paragraph" w:customStyle="1" w:styleId="AHTAaddresslines">
    <w:name w:val="AHTA address lines"/>
    <w:basedOn w:val="PlainText"/>
    <w:rsid w:val="002A2CE0"/>
    <w:pPr>
      <w:spacing w:line="210" w:lineRule="exact"/>
    </w:pPr>
    <w:rPr>
      <w:rFonts w:ascii="Arial Narrow" w:eastAsia="Times" w:hAnsi="Arial Narrow" w:cs="Times New Roman"/>
      <w:i/>
      <w:color w:val="000080"/>
      <w:sz w:val="16"/>
    </w:rPr>
  </w:style>
  <w:style w:type="paragraph" w:styleId="PlainText">
    <w:name w:val="Plain Text"/>
    <w:basedOn w:val="Normal"/>
    <w:link w:val="PlainTextChar"/>
    <w:rsid w:val="002A2CE0"/>
    <w:pPr>
      <w:spacing w:after="0"/>
    </w:pPr>
    <w:rPr>
      <w:rFonts w:ascii="Courier New" w:hAnsi="Courier New" w:cs="Courier New"/>
      <w:sz w:val="20"/>
      <w:lang w:eastAsia="en-US"/>
    </w:rPr>
  </w:style>
  <w:style w:type="character" w:customStyle="1" w:styleId="PlainTextChar">
    <w:name w:val="Plain Text Char"/>
    <w:basedOn w:val="DefaultParagraphFont"/>
    <w:link w:val="PlainText"/>
    <w:rsid w:val="002A2CE0"/>
    <w:rPr>
      <w:rFonts w:ascii="Courier New" w:eastAsia="Times New Roman" w:hAnsi="Courier New" w:cs="Courier New"/>
      <w:sz w:val="20"/>
    </w:rPr>
  </w:style>
  <w:style w:type="character" w:styleId="Strong">
    <w:name w:val="Strong"/>
    <w:uiPriority w:val="22"/>
    <w:rsid w:val="002A2CE0"/>
    <w:rPr>
      <w:b/>
      <w:bCs/>
    </w:rPr>
  </w:style>
  <w:style w:type="character" w:customStyle="1" w:styleId="regulartext">
    <w:name w:val="regulartext"/>
    <w:basedOn w:val="DefaultParagraphFont"/>
    <w:rsid w:val="002A2CE0"/>
  </w:style>
  <w:style w:type="paragraph" w:customStyle="1" w:styleId="bodytext0">
    <w:name w:val="bodytext"/>
    <w:basedOn w:val="Normal"/>
    <w:rsid w:val="002A2CE0"/>
    <w:pPr>
      <w:spacing w:before="100" w:beforeAutospacing="1" w:after="100" w:afterAutospacing="1"/>
    </w:pPr>
    <w:rPr>
      <w:rFonts w:ascii="Times New Roman" w:hAnsi="Times New Roman"/>
      <w:szCs w:val="24"/>
    </w:rPr>
  </w:style>
  <w:style w:type="character" w:customStyle="1" w:styleId="mainsubheader1">
    <w:name w:val="mainsubheader1"/>
    <w:rsid w:val="002A2CE0"/>
    <w:rPr>
      <w:b/>
      <w:bCs/>
    </w:rPr>
  </w:style>
  <w:style w:type="paragraph" w:customStyle="1" w:styleId="Bullet12">
    <w:name w:val="Bullet+12"/>
    <w:basedOn w:val="Normal"/>
    <w:rsid w:val="002A2CE0"/>
    <w:pPr>
      <w:tabs>
        <w:tab w:val="num" w:pos="357"/>
      </w:tabs>
      <w:ind w:left="357" w:hanging="357"/>
    </w:pPr>
    <w:rPr>
      <w:rFonts w:ascii="Times New Roman" w:hAnsi="Times New Roman"/>
      <w:lang w:eastAsia="en-US"/>
    </w:rPr>
  </w:style>
  <w:style w:type="paragraph" w:customStyle="1" w:styleId="Bullet6">
    <w:name w:val="Bullet+6"/>
    <w:basedOn w:val="Normal"/>
    <w:rsid w:val="002A2CE0"/>
    <w:pPr>
      <w:tabs>
        <w:tab w:val="num" w:pos="578"/>
      </w:tabs>
      <w:spacing w:after="0"/>
      <w:ind w:left="578" w:hanging="360"/>
    </w:pPr>
    <w:rPr>
      <w:rFonts w:ascii="Times New Roman" w:hAnsi="Times New Roman"/>
      <w:szCs w:val="24"/>
    </w:rPr>
  </w:style>
  <w:style w:type="paragraph" w:customStyle="1" w:styleId="Tabletext1">
    <w:name w:val="Table text"/>
    <w:basedOn w:val="Normal"/>
    <w:link w:val="TabletextChar1"/>
    <w:qFormat/>
    <w:rsid w:val="002A2CE0"/>
    <w:pPr>
      <w:spacing w:before="40" w:after="40" w:line="240" w:lineRule="auto"/>
    </w:pPr>
    <w:rPr>
      <w:rFonts w:ascii="Arial Narrow" w:hAnsi="Arial Narrow"/>
      <w:sz w:val="20"/>
      <w:szCs w:val="20"/>
    </w:rPr>
  </w:style>
  <w:style w:type="character" w:customStyle="1" w:styleId="TabletextChar1">
    <w:name w:val="Table text Char"/>
    <w:link w:val="Tabletext1"/>
    <w:rsid w:val="002A2CE0"/>
    <w:rPr>
      <w:rFonts w:ascii="Arial Narrow" w:eastAsia="Times New Roman" w:hAnsi="Arial Narrow" w:cs="Tahoma"/>
      <w:sz w:val="20"/>
      <w:szCs w:val="20"/>
      <w:lang w:eastAsia="en-AU"/>
    </w:rPr>
  </w:style>
  <w:style w:type="paragraph" w:customStyle="1" w:styleId="Default">
    <w:name w:val="Default"/>
    <w:rsid w:val="002A2CE0"/>
    <w:pPr>
      <w:autoSpaceDE w:val="0"/>
      <w:autoSpaceDN w:val="0"/>
      <w:adjustRightInd w:val="0"/>
      <w:spacing w:after="0" w:line="240" w:lineRule="auto"/>
    </w:pPr>
    <w:rPr>
      <w:rFonts w:ascii="Arial Narrow" w:eastAsia="Times New Roman" w:hAnsi="Arial Narrow" w:cs="Arial Narrow"/>
      <w:color w:val="000000"/>
      <w:sz w:val="24"/>
      <w:szCs w:val="24"/>
      <w:lang w:eastAsia="en-AU"/>
    </w:rPr>
  </w:style>
  <w:style w:type="paragraph" w:styleId="Revision">
    <w:name w:val="Revision"/>
    <w:hidden/>
    <w:uiPriority w:val="99"/>
    <w:semiHidden/>
    <w:rsid w:val="002A2CE0"/>
    <w:pPr>
      <w:spacing w:after="0" w:line="240" w:lineRule="auto"/>
    </w:pPr>
    <w:rPr>
      <w:rFonts w:ascii="Tahoma" w:eastAsia="Times New Roman" w:hAnsi="Tahoma" w:cs="Tahoma"/>
      <w:lang w:eastAsia="en-AU"/>
    </w:rPr>
  </w:style>
  <w:style w:type="table" w:styleId="TableClassic1">
    <w:name w:val="Table Classic 1"/>
    <w:basedOn w:val="TableNormal"/>
    <w:rsid w:val="002A2CE0"/>
    <w:pPr>
      <w:spacing w:after="240" w:line="312"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ndnoteText">
    <w:name w:val="endnote text"/>
    <w:basedOn w:val="Normal"/>
    <w:link w:val="EndnoteTextChar"/>
    <w:rsid w:val="002A2CE0"/>
    <w:pPr>
      <w:spacing w:after="0" w:line="240" w:lineRule="auto"/>
    </w:pPr>
    <w:rPr>
      <w:rFonts w:ascii="Times New Roman" w:hAnsi="Times New Roman" w:cs="Times New Roman"/>
      <w:sz w:val="20"/>
      <w:szCs w:val="20"/>
      <w:lang w:eastAsia="en-US"/>
    </w:rPr>
  </w:style>
  <w:style w:type="character" w:customStyle="1" w:styleId="EndnoteTextChar">
    <w:name w:val="Endnote Text Char"/>
    <w:basedOn w:val="DefaultParagraphFont"/>
    <w:link w:val="EndnoteText"/>
    <w:rsid w:val="002A2CE0"/>
    <w:rPr>
      <w:rFonts w:ascii="Times New Roman" w:eastAsia="Times New Roman" w:hAnsi="Times New Roman" w:cs="Times New Roman"/>
      <w:sz w:val="20"/>
      <w:szCs w:val="20"/>
    </w:rPr>
  </w:style>
  <w:style w:type="paragraph" w:customStyle="1" w:styleId="Style1">
    <w:name w:val="Style1"/>
    <w:basedOn w:val="Normal"/>
    <w:rsid w:val="002A2CE0"/>
    <w:pPr>
      <w:tabs>
        <w:tab w:val="left" w:pos="720"/>
      </w:tabs>
      <w:spacing w:after="0" w:line="240" w:lineRule="auto"/>
    </w:pPr>
    <w:rPr>
      <w:rFonts w:ascii="Bookman Old Style" w:hAnsi="Bookman Old Style" w:cs="Times New Roman"/>
      <w:sz w:val="20"/>
      <w:szCs w:val="20"/>
      <w:lang w:val="en-US" w:eastAsia="en-US"/>
    </w:rPr>
  </w:style>
  <w:style w:type="character" w:styleId="Emphasis">
    <w:name w:val="Emphasis"/>
    <w:basedOn w:val="DefaultParagraphFont"/>
    <w:uiPriority w:val="20"/>
    <w:rsid w:val="002A2CE0"/>
    <w:rPr>
      <w:b/>
      <w:bCs/>
      <w:i w:val="0"/>
      <w:iCs w:val="0"/>
    </w:rPr>
  </w:style>
  <w:style w:type="character" w:customStyle="1" w:styleId="st1">
    <w:name w:val="st1"/>
    <w:basedOn w:val="DefaultParagraphFont"/>
    <w:rsid w:val="002A2CE0"/>
  </w:style>
  <w:style w:type="table" w:customStyle="1" w:styleId="TableGrid1">
    <w:name w:val="Table Grid1"/>
    <w:basedOn w:val="TableNormal"/>
    <w:next w:val="TableGrid"/>
    <w:rsid w:val="002A2CE0"/>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table" w:customStyle="1" w:styleId="TableGrid2">
    <w:name w:val="Table Grid2"/>
    <w:basedOn w:val="TableNormal"/>
    <w:next w:val="TableGrid"/>
    <w:rsid w:val="002A2CE0"/>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paragraph" w:customStyle="1" w:styleId="desc">
    <w:name w:val="desc"/>
    <w:basedOn w:val="Normal"/>
    <w:rsid w:val="002A2CE0"/>
    <w:pPr>
      <w:spacing w:before="100" w:beforeAutospacing="1" w:after="100" w:afterAutospacing="1" w:line="240" w:lineRule="auto"/>
    </w:pPr>
    <w:rPr>
      <w:rFonts w:ascii="Times New Roman" w:hAnsi="Times New Roman" w:cs="Times New Roman"/>
      <w:szCs w:val="24"/>
    </w:rPr>
  </w:style>
  <w:style w:type="paragraph" w:customStyle="1" w:styleId="details">
    <w:name w:val="details"/>
    <w:basedOn w:val="Normal"/>
    <w:rsid w:val="002A2CE0"/>
    <w:pPr>
      <w:spacing w:before="100" w:beforeAutospacing="1" w:after="100" w:afterAutospacing="1" w:line="240" w:lineRule="auto"/>
    </w:pPr>
    <w:rPr>
      <w:rFonts w:ascii="Times New Roman" w:hAnsi="Times New Roman" w:cs="Times New Roman"/>
      <w:szCs w:val="24"/>
    </w:rPr>
  </w:style>
  <w:style w:type="character" w:customStyle="1" w:styleId="jrnl">
    <w:name w:val="jrnl"/>
    <w:basedOn w:val="DefaultParagraphFont"/>
    <w:rsid w:val="002A2CE0"/>
  </w:style>
  <w:style w:type="character" w:customStyle="1" w:styleId="A5">
    <w:name w:val="A5"/>
    <w:uiPriority w:val="99"/>
    <w:rsid w:val="002A2CE0"/>
    <w:rPr>
      <w:rFonts w:cs="Humanist 77 7 BT"/>
      <w:color w:val="000000"/>
      <w:sz w:val="11"/>
      <w:szCs w:val="11"/>
    </w:rPr>
  </w:style>
  <w:style w:type="paragraph" w:styleId="TOCHeading">
    <w:name w:val="TOC Heading"/>
    <w:basedOn w:val="Heading1"/>
    <w:next w:val="Normal"/>
    <w:uiPriority w:val="39"/>
    <w:unhideWhenUsed/>
    <w:qFormat/>
    <w:rsid w:val="002A2CE0"/>
    <w:pPr>
      <w:keepLines/>
      <w:pageBreakBefore w:val="0"/>
      <w:pBdr>
        <w:bottom w:val="none" w:sz="0" w:space="0" w:color="auto"/>
      </w:pBdr>
      <w:spacing w:before="480" w:after="0" w:line="276" w:lineRule="auto"/>
      <w:ind w:left="0" w:firstLine="0"/>
      <w:outlineLvl w:val="9"/>
    </w:pPr>
    <w:rPr>
      <w:rFonts w:asciiTheme="majorHAnsi" w:eastAsiaTheme="majorEastAsia" w:hAnsiTheme="majorHAnsi" w:cstheme="majorBidi"/>
      <w:bCs/>
      <w:color w:val="2F5496" w:themeColor="accent1" w:themeShade="BF"/>
      <w:sz w:val="28"/>
      <w:szCs w:val="28"/>
      <w:lang w:val="en-US" w:eastAsia="en-US"/>
    </w:rPr>
  </w:style>
  <w:style w:type="character" w:customStyle="1" w:styleId="highlight">
    <w:name w:val="highlight"/>
    <w:basedOn w:val="DefaultParagraphFont"/>
    <w:rsid w:val="002A2CE0"/>
  </w:style>
  <w:style w:type="paragraph" w:customStyle="1" w:styleId="ESSectionHeading-numbered0">
    <w:name w:val="ES. Section Heading - numbered"/>
    <w:basedOn w:val="Heading3"/>
    <w:link w:val="ESSectionHeading-numberedChar"/>
    <w:rsid w:val="002A2CE0"/>
    <w:pPr>
      <w:numPr>
        <w:numId w:val="6"/>
      </w:numPr>
    </w:pPr>
  </w:style>
  <w:style w:type="paragraph" w:customStyle="1" w:styleId="MainBodySectionHeading-numbered">
    <w:name w:val="Main Body Section Heading - numbered"/>
    <w:basedOn w:val="Heading2"/>
    <w:link w:val="MainBodySectionHeading-numberedChar"/>
    <w:rsid w:val="002A2CE0"/>
    <w:pPr>
      <w:numPr>
        <w:numId w:val="4"/>
      </w:numPr>
      <w:ind w:left="567" w:hanging="567"/>
    </w:pPr>
  </w:style>
  <w:style w:type="character" w:customStyle="1" w:styleId="ESSectionHeading-numberedChar">
    <w:name w:val="ES. Section Heading - numbered Char"/>
    <w:basedOn w:val="Heading3Char"/>
    <w:link w:val="ESSectionHeading-numbered0"/>
    <w:rsid w:val="002A2CE0"/>
    <w:rPr>
      <w:rFonts w:ascii="Calibri" w:eastAsia="Times New Roman" w:hAnsi="Calibri" w:cs="Tahoma"/>
      <w:b/>
      <w:smallCaps/>
      <w:sz w:val="24"/>
      <w:szCs w:val="24"/>
      <w:lang w:eastAsia="en-AU"/>
    </w:rPr>
  </w:style>
  <w:style w:type="character" w:customStyle="1" w:styleId="MainBodySectionHeading-numberedChar">
    <w:name w:val="Main Body Section Heading - numbered Char"/>
    <w:basedOn w:val="Heading2Char"/>
    <w:link w:val="MainBodySectionHeading-numbered"/>
    <w:rsid w:val="002A2CE0"/>
    <w:rPr>
      <w:rFonts w:ascii="Calibri" w:eastAsia="Times New Roman" w:hAnsi="Calibri" w:cs="Tahoma"/>
      <w:b/>
      <w:smallCaps/>
      <w:sz w:val="28"/>
      <w:lang w:eastAsia="en-AU"/>
    </w:rPr>
  </w:style>
  <w:style w:type="numbering" w:customStyle="1" w:styleId="ESSectionheading-numbered">
    <w:name w:val="ES. Section heading - numbered"/>
    <w:uiPriority w:val="99"/>
    <w:rsid w:val="002A2CE0"/>
    <w:pPr>
      <w:numPr>
        <w:numId w:val="5"/>
      </w:numPr>
    </w:pPr>
  </w:style>
  <w:style w:type="paragraph" w:customStyle="1" w:styleId="ESNumberedSectionHeading">
    <w:name w:val="ES Numbered Section Heading"/>
    <w:basedOn w:val="ESSectionHeading-numbered0"/>
    <w:link w:val="ESNumberedSectionHeadingChar"/>
    <w:qFormat/>
    <w:rsid w:val="002A2CE0"/>
    <w:pPr>
      <w:numPr>
        <w:numId w:val="7"/>
      </w:numPr>
    </w:pPr>
  </w:style>
  <w:style w:type="character" w:customStyle="1" w:styleId="ESNumberedSectionHeadingChar">
    <w:name w:val="ES Numbered Section Heading Char"/>
    <w:basedOn w:val="ESSectionHeading-numberedChar"/>
    <w:link w:val="ESNumberedSectionHeading"/>
    <w:rsid w:val="002A2CE0"/>
    <w:rPr>
      <w:rFonts w:ascii="Calibri" w:eastAsia="Times New Roman" w:hAnsi="Calibri" w:cs="Tahoma"/>
      <w:b/>
      <w:smallCaps/>
      <w:sz w:val="24"/>
      <w:szCs w:val="24"/>
      <w:lang w:eastAsia="en-AU"/>
    </w:rPr>
  </w:style>
  <w:style w:type="paragraph" w:customStyle="1" w:styleId="Tablenotes0">
    <w:name w:val="Tablenotes"/>
    <w:basedOn w:val="Normal"/>
    <w:link w:val="TablenotesChar0"/>
    <w:qFormat/>
    <w:rsid w:val="002A2CE0"/>
    <w:pPr>
      <w:widowControl w:val="0"/>
      <w:spacing w:after="120" w:line="240" w:lineRule="auto"/>
      <w:jc w:val="both"/>
    </w:pPr>
    <w:rPr>
      <w:rFonts w:ascii="Arial Narrow" w:hAnsi="Arial Narrow" w:cs="Arial"/>
      <w:snapToGrid w:val="0"/>
      <w:sz w:val="18"/>
      <w:szCs w:val="20"/>
      <w:lang w:eastAsia="en-US"/>
    </w:rPr>
  </w:style>
  <w:style w:type="character" w:customStyle="1" w:styleId="TablenotesChar0">
    <w:name w:val="Tablenotes Char"/>
    <w:basedOn w:val="DefaultParagraphFont"/>
    <w:link w:val="Tablenotes0"/>
    <w:rsid w:val="002A2CE0"/>
    <w:rPr>
      <w:rFonts w:ascii="Arial Narrow" w:eastAsia="Times New Roman" w:hAnsi="Arial Narrow" w:cs="Arial"/>
      <w:snapToGrid w:val="0"/>
      <w:sz w:val="18"/>
      <w:szCs w:val="20"/>
    </w:rPr>
  </w:style>
  <w:style w:type="paragraph" w:customStyle="1" w:styleId="TableNotes18">
    <w:name w:val="TableNotes+18"/>
    <w:basedOn w:val="TableText"/>
    <w:uiPriority w:val="99"/>
    <w:rsid w:val="002A2CE0"/>
    <w:pPr>
      <w:keepNext w:val="0"/>
      <w:keepLines/>
      <w:spacing w:before="0" w:after="360" w:line="240" w:lineRule="auto"/>
      <w:ind w:left="720"/>
    </w:pPr>
    <w:rPr>
      <w:rFonts w:cs="Times New Roman"/>
      <w:color w:val="000000"/>
      <w:szCs w:val="21"/>
    </w:rPr>
  </w:style>
  <w:style w:type="paragraph" w:customStyle="1" w:styleId="TableNotes00">
    <w:name w:val="TableNotes+0"/>
    <w:basedOn w:val="TableNotes18"/>
    <w:uiPriority w:val="99"/>
    <w:rsid w:val="002A2CE0"/>
    <w:pPr>
      <w:keepNext/>
      <w:spacing w:after="0"/>
    </w:pPr>
  </w:style>
  <w:style w:type="paragraph" w:customStyle="1" w:styleId="TFAbbrevs0">
    <w:name w:val="TFAbbrevs+0"/>
    <w:basedOn w:val="Normal"/>
    <w:qFormat/>
    <w:rsid w:val="002A2CE0"/>
    <w:pPr>
      <w:keepNext/>
      <w:keepLines/>
      <w:spacing w:after="0" w:line="240" w:lineRule="auto"/>
    </w:pPr>
    <w:rPr>
      <w:rFonts w:ascii="Arial Narrow" w:hAnsi="Arial Narrow" w:cs="Times New Roman"/>
      <w:color w:val="000000"/>
      <w:sz w:val="18"/>
      <w:szCs w:val="18"/>
    </w:rPr>
  </w:style>
  <w:style w:type="paragraph" w:customStyle="1" w:styleId="TFAbbrevs18">
    <w:name w:val="TFAbbrevs+18"/>
    <w:basedOn w:val="TFAbbrevs0"/>
    <w:next w:val="Normal"/>
    <w:qFormat/>
    <w:rsid w:val="002A2CE0"/>
    <w:pPr>
      <w:spacing w:after="360"/>
    </w:pPr>
  </w:style>
  <w:style w:type="paragraph" w:customStyle="1" w:styleId="Comment">
    <w:name w:val="Comment"/>
    <w:basedOn w:val="Normal"/>
    <w:link w:val="CommentChar"/>
    <w:rsid w:val="002A2CE0"/>
    <w:pPr>
      <w:tabs>
        <w:tab w:val="num" w:pos="720"/>
      </w:tabs>
      <w:jc w:val="both"/>
    </w:pPr>
    <w:rPr>
      <w:i/>
    </w:rPr>
  </w:style>
  <w:style w:type="character" w:customStyle="1" w:styleId="CommentChar">
    <w:name w:val="Comment Char"/>
    <w:basedOn w:val="DefaultParagraphFont"/>
    <w:link w:val="Comment"/>
    <w:rsid w:val="002A2CE0"/>
    <w:rPr>
      <w:rFonts w:ascii="Calibri" w:eastAsia="Times New Roman" w:hAnsi="Calibri" w:cs="Tahoma"/>
      <w:i/>
      <w:lang w:eastAsia="en-AU"/>
    </w:rPr>
  </w:style>
  <w:style w:type="paragraph" w:customStyle="1" w:styleId="hidden">
    <w:name w:val="hidden"/>
    <w:basedOn w:val="Normal"/>
    <w:qFormat/>
    <w:rsid w:val="002A2CE0"/>
  </w:style>
  <w:style w:type="paragraph" w:customStyle="1" w:styleId="Guidelines">
    <w:name w:val="Guidelines"/>
    <w:basedOn w:val="Normal"/>
    <w:link w:val="GuidelinesChar"/>
    <w:qFormat/>
    <w:rsid w:val="002A2CE0"/>
    <w:pPr>
      <w:jc w:val="both"/>
    </w:pPr>
    <w:rPr>
      <w:vanish/>
      <w:color w:val="C00000"/>
    </w:rPr>
  </w:style>
  <w:style w:type="character" w:customStyle="1" w:styleId="GuidelinesChar">
    <w:name w:val="Guidelines Char"/>
    <w:basedOn w:val="DefaultParagraphFont"/>
    <w:link w:val="Guidelines"/>
    <w:rsid w:val="002A2CE0"/>
    <w:rPr>
      <w:rFonts w:ascii="Calibri" w:eastAsia="Times New Roman" w:hAnsi="Calibri" w:cs="Tahoma"/>
      <w:vanish/>
      <w:color w:val="C00000"/>
      <w:lang w:eastAsia="en-AU"/>
    </w:rPr>
  </w:style>
  <w:style w:type="character" w:customStyle="1" w:styleId="ListParagraphChar">
    <w:name w:val="List Paragraph Char"/>
    <w:link w:val="ListParagraph"/>
    <w:locked/>
    <w:rsid w:val="002A2CE0"/>
    <w:rPr>
      <w:rFonts w:ascii="Calibri" w:eastAsia="Times New Roman" w:hAnsi="Calibri" w:cs="Tahoma"/>
      <w:lang w:eastAsia="en-AU"/>
    </w:rPr>
  </w:style>
  <w:style w:type="character" w:styleId="UnresolvedMention">
    <w:name w:val="Unresolved Mention"/>
    <w:basedOn w:val="DefaultParagraphFont"/>
    <w:uiPriority w:val="99"/>
    <w:semiHidden/>
    <w:unhideWhenUsed/>
    <w:rsid w:val="002A2CE0"/>
    <w:rPr>
      <w:color w:val="605E5C"/>
      <w:shd w:val="clear" w:color="auto" w:fill="E1DFDD"/>
    </w:rPr>
  </w:style>
  <w:style w:type="character" w:styleId="BookTitle">
    <w:name w:val="Book Title"/>
    <w:basedOn w:val="DefaultParagraphFont"/>
    <w:uiPriority w:val="33"/>
    <w:qFormat/>
    <w:rsid w:val="002A2CE0"/>
    <w:rPr>
      <w:b/>
      <w:bCs/>
      <w:i/>
      <w:iCs/>
      <w:spacing w:val="5"/>
    </w:rPr>
  </w:style>
  <w:style w:type="paragraph" w:customStyle="1" w:styleId="Bulletpoints">
    <w:name w:val="Bullet points"/>
    <w:basedOn w:val="Normal"/>
    <w:qFormat/>
    <w:rsid w:val="002A2CE0"/>
    <w:pPr>
      <w:widowControl w:val="0"/>
      <w:autoSpaceDE w:val="0"/>
      <w:autoSpaceDN w:val="0"/>
      <w:adjustRightInd w:val="0"/>
      <w:spacing w:after="0" w:line="276" w:lineRule="auto"/>
      <w:jc w:val="both"/>
    </w:pPr>
    <w:rPr>
      <w:rFonts w:asciiTheme="minorHAnsi" w:hAnsiTheme="minorHAnsi" w:cs="Arial"/>
      <w:color w:val="000000"/>
      <w:lang w:val="en-US" w:eastAsia="en-US"/>
    </w:rPr>
  </w:style>
  <w:style w:type="paragraph" w:customStyle="1" w:styleId="EndNoteBibliographyTitle">
    <w:name w:val="EndNote Bibliography Title"/>
    <w:basedOn w:val="Normal"/>
    <w:link w:val="EndNoteBibliographyTitleChar"/>
    <w:rsid w:val="002A2CE0"/>
    <w:pPr>
      <w:spacing w:after="0"/>
      <w:jc w:val="center"/>
    </w:pPr>
    <w:rPr>
      <w:rFonts w:ascii="Tahoma" w:hAnsi="Tahoma"/>
      <w:noProof/>
    </w:rPr>
  </w:style>
  <w:style w:type="character" w:customStyle="1" w:styleId="EndNoteBibliographyTitleChar">
    <w:name w:val="EndNote Bibliography Title Char"/>
    <w:basedOn w:val="DefaultParagraphFont"/>
    <w:link w:val="EndNoteBibliographyTitle"/>
    <w:rsid w:val="002A2CE0"/>
    <w:rPr>
      <w:rFonts w:ascii="Tahoma" w:eastAsia="Times New Roman" w:hAnsi="Tahoma" w:cs="Tahoma"/>
      <w:noProof/>
      <w:lang w:eastAsia="en-AU"/>
    </w:rPr>
  </w:style>
  <w:style w:type="paragraph" w:customStyle="1" w:styleId="EndNoteBibliography">
    <w:name w:val="EndNote Bibliography"/>
    <w:basedOn w:val="Normal"/>
    <w:link w:val="EndNoteBibliographyChar"/>
    <w:rsid w:val="002A2CE0"/>
    <w:pPr>
      <w:spacing w:line="240" w:lineRule="auto"/>
      <w:jc w:val="both"/>
    </w:pPr>
    <w:rPr>
      <w:rFonts w:ascii="Tahoma" w:hAnsi="Tahoma"/>
      <w:noProof/>
    </w:rPr>
  </w:style>
  <w:style w:type="character" w:customStyle="1" w:styleId="EndNoteBibliographyChar">
    <w:name w:val="EndNote Bibliography Char"/>
    <w:basedOn w:val="DefaultParagraphFont"/>
    <w:link w:val="EndNoteBibliography"/>
    <w:rsid w:val="002A2CE0"/>
    <w:rPr>
      <w:rFonts w:ascii="Tahoma" w:eastAsia="Times New Roman" w:hAnsi="Tahoma" w:cs="Tahoma"/>
      <w:noProof/>
      <w:lang w:eastAsia="en-AU"/>
    </w:rPr>
  </w:style>
  <w:style w:type="character" w:customStyle="1" w:styleId="normaltextrun">
    <w:name w:val="normaltextrun"/>
    <w:basedOn w:val="DefaultParagraphFont"/>
    <w:rsid w:val="002A2CE0"/>
  </w:style>
  <w:style w:type="table" w:customStyle="1" w:styleId="TableGrid3">
    <w:name w:val="Table Grid3"/>
    <w:basedOn w:val="TableNormal"/>
    <w:next w:val="TableGrid"/>
    <w:uiPriority w:val="39"/>
    <w:rsid w:val="002A2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A2CE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gram Document" ma:contentTypeID="0x010100CE18B03B7697634F85FAC7456B839AEA00683240A61C2768468FC670878FA16B45" ma:contentTypeVersion="266" ma:contentTypeDescription="" ma:contentTypeScope="" ma:versionID="e048db965cc26bd74705a300d1cdabc8">
  <xsd:schema xmlns:xsd="http://www.w3.org/2001/XMLSchema" xmlns:xs="http://www.w3.org/2001/XMLSchema" xmlns:p="http://schemas.microsoft.com/office/2006/metadata/properties" xmlns:ns2="df256090-3126-408d-8106-7c21594c7876" xmlns:ns3="223a46be-bbab-4747-bf9e-8cb4be7b3797" xmlns:ns4="de6285dc-72dc-454f-b0cf-970add6c56c6" xmlns:ns5="23158526-d9f0-46fd-98f0-30fc5f523601" xmlns:ns6="afb29bfb-82af-4388-b101-21491675f089" targetNamespace="http://schemas.microsoft.com/office/2006/metadata/properties" ma:root="true" ma:fieldsID="c270d3248ac300efcf789ad229df831f" ns2:_="" ns3:_="" ns4:_="" ns5:_="" ns6:_="">
    <xsd:import namespace="df256090-3126-408d-8106-7c21594c7876"/>
    <xsd:import namespace="223a46be-bbab-4747-bf9e-8cb4be7b3797"/>
    <xsd:import namespace="de6285dc-72dc-454f-b0cf-970add6c56c6"/>
    <xsd:import namespace="23158526-d9f0-46fd-98f0-30fc5f523601"/>
    <xsd:import namespace="afb29bfb-82af-4388-b101-21491675f089"/>
    <xsd:element name="properties">
      <xsd:complexType>
        <xsd:sequence>
          <xsd:element name="documentManagement">
            <xsd:complexType>
              <xsd:all>
                <xsd:element ref="ns2:_dlc_DocId" minOccurs="0"/>
                <xsd:element ref="ns2:_dlc_DocIdUrl" minOccurs="0"/>
                <xsd:element ref="ns2:_dlc_DocIdPersistId" minOccurs="0"/>
                <xsd:element ref="ns3:b86352ed1ec9470c88320dc3b440141e" minOccurs="0"/>
                <xsd:element ref="ns2:TaxCatchAll" minOccurs="0"/>
                <xsd:element ref="ns2:TaxCatchAllLabel" minOccurs="0"/>
                <xsd:element ref="ns3:m7b3a26802b745769b197045f784b2ce" minOccurs="0"/>
                <xsd:element ref="ns3:a1c11f27edc94304aa5caadaa0bf6c70" minOccurs="0"/>
                <xsd:element ref="ns3:i188eafb49584ce69f1292970ce7aff0" minOccurs="0"/>
                <xsd:element ref="ns3:i799334a01834115882152c941025bdf" minOccurs="0"/>
                <xsd:element ref="ns3:l0f22799db9c45c4951ff58c7ad80a8c" minOccurs="0"/>
                <xsd:element ref="ns3:f73a5530aee247fd8ff8cebce07feb70" minOccurs="0"/>
                <xsd:element ref="ns4:ad5cb88fd81f4dab8952485668f376ff" minOccurs="0"/>
                <xsd:element ref="ns3:cb543f065f144184945857e90184fc39" minOccurs="0"/>
                <xsd:element ref="ns3:pca432edc2a04201bdb8e81abb86075b" minOccurs="0"/>
                <xsd:element ref="ns5:MediaServiceMetadata" minOccurs="0"/>
                <xsd:element ref="ns5:MediaServiceFastMetadata" minOccurs="0"/>
                <xsd:element ref="ns5:MediaServiceDateTaken"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56090-3126-408d-8106-7c21594c78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7a211f45-2782-4bde-bf1c-a7887d06137e}" ma:internalName="TaxCatchAll" ma:showField="CatchAllData" ma:web="df256090-3126-408d-8106-7c21594c78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a211f45-2782-4bde-bf1c-a7887d06137e}" ma:internalName="TaxCatchAllLabel" ma:readOnly="true" ma:showField="CatchAllDataLabel" ma:web="df256090-3126-408d-8106-7c21594c78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3a46be-bbab-4747-bf9e-8cb4be7b3797" elementFormDefault="qualified">
    <xsd:import namespace="http://schemas.microsoft.com/office/2006/documentManagement/types"/>
    <xsd:import namespace="http://schemas.microsoft.com/office/infopath/2007/PartnerControls"/>
    <xsd:element name="b86352ed1ec9470c88320dc3b440141e" ma:index="11" nillable="true" ma:taxonomy="true" ma:internalName="b86352ed1ec9470c88320dc3b440141e" ma:taxonomyFieldName="mtActivity" ma:displayName="Activity" ma:readOnly="false" ma:fieldId="{b86352ed-1ec9-470c-8832-0dc3b440141e}" ma:sspId="3e51ab83-6ab1-4829-8ca3-3618b8be85db" ma:termSetId="9d97d5f4-2ac9-4de6-8877-4b21d20e095d" ma:anchorId="00000000-0000-0000-0000-000000000000" ma:open="false" ma:isKeyword="false">
      <xsd:complexType>
        <xsd:sequence>
          <xsd:element ref="pc:Terms" minOccurs="0" maxOccurs="1"/>
        </xsd:sequence>
      </xsd:complexType>
    </xsd:element>
    <xsd:element name="m7b3a26802b745769b197045f784b2ce" ma:index="15" nillable="true" ma:taxonomy="true" ma:internalName="m7b3a26802b745769b197045f784b2ce" ma:taxonomyFieldName="mtBusinessFunction" ma:displayName="Business Topic" ma:readOnly="false" ma:fieldId="{67b3a268-02b7-4576-9b19-7045f784b2ce}" ma:sspId="3e51ab83-6ab1-4829-8ca3-3618b8be85db" ma:termSetId="bc18473f-a01c-460b-a911-718bf83c51de" ma:anchorId="00000000-0000-0000-0000-000000000000" ma:open="false" ma:isKeyword="false">
      <xsd:complexType>
        <xsd:sequence>
          <xsd:element ref="pc:Terms" minOccurs="0" maxOccurs="1"/>
        </xsd:sequence>
      </xsd:complexType>
    </xsd:element>
    <xsd:element name="a1c11f27edc94304aa5caadaa0bf6c70" ma:index="17" nillable="true" ma:taxonomy="true" ma:internalName="a1c11f27edc94304aa5caadaa0bf6c70" ma:taxonomyFieldName="mtDocumentType" ma:displayName="Document Type" ma:readOnly="false" ma:fieldId="{a1c11f27-edc9-4304-aa5c-aadaa0bf6c70}" ma:sspId="3e51ab83-6ab1-4829-8ca3-3618b8be85db" ma:termSetId="6fed94cc-4bcd-4825-b08a-f368679e6680" ma:anchorId="00000000-0000-0000-0000-000000000000" ma:open="false" ma:isKeyword="false">
      <xsd:complexType>
        <xsd:sequence>
          <xsd:element ref="pc:Terms" minOccurs="0" maxOccurs="1"/>
        </xsd:sequence>
      </xsd:complexType>
    </xsd:element>
    <xsd:element name="i188eafb49584ce69f1292970ce7aff0" ma:index="19" nillable="true" ma:taxonomy="true" ma:internalName="i188eafb49584ce69f1292970ce7aff0" ma:taxonomyFieldName="mtFunction" ma:displayName="Function" ma:readOnly="false" ma:fieldId="{2188eafb-4958-4ce6-9f12-92970ce7aff0}" ma:sspId="3e51ab83-6ab1-4829-8ca3-3618b8be85db" ma:termSetId="3c83deab-2a30-45ed-9ce7-da72d61f5531" ma:anchorId="00000000-0000-0000-0000-000000000000" ma:open="true" ma:isKeyword="false">
      <xsd:complexType>
        <xsd:sequence>
          <xsd:element ref="pc:Terms" minOccurs="0" maxOccurs="1"/>
        </xsd:sequence>
      </xsd:complexType>
    </xsd:element>
    <xsd:element name="i799334a01834115882152c941025bdf" ma:index="21" nillable="true" ma:taxonomy="true" ma:internalName="i799334a01834115882152c941025bdf" ma:taxonomyFieldName="mtGovernmentAgency" ma:displayName="Government Agency" ma:readOnly="false" ma:fieldId="{2799334a-0183-4115-8821-52c941025bdf}" ma:sspId="3e51ab83-6ab1-4829-8ca3-3618b8be85db" ma:termSetId="c974083f-13f5-4fd1-b9f0-645b401cce47" ma:anchorId="00000000-0000-0000-0000-000000000000" ma:open="false" ma:isKeyword="false">
      <xsd:complexType>
        <xsd:sequence>
          <xsd:element ref="pc:Terms" minOccurs="0" maxOccurs="1"/>
        </xsd:sequence>
      </xsd:complexType>
    </xsd:element>
    <xsd:element name="l0f22799db9c45c4951ff58c7ad80a8c" ma:index="23" nillable="true" ma:taxonomy="true" ma:internalName="l0f22799db9c45c4951ff58c7ad80a8c" ma:taxonomyFieldName="mtOrganisation" ma:displayName="Organisation" ma:readOnly="false" ma:fieldId="{50f22799-db9c-45c4-951f-f58c7ad80a8c}" ma:sspId="3e51ab83-6ab1-4829-8ca3-3618b8be85db" ma:termSetId="27f225be-19b9-4429-9c50-3d1bec74cc25" ma:anchorId="00000000-0000-0000-0000-000000000000" ma:open="true" ma:isKeyword="false">
      <xsd:complexType>
        <xsd:sequence>
          <xsd:element ref="pc:Terms" minOccurs="0" maxOccurs="1"/>
        </xsd:sequence>
      </xsd:complexType>
    </xsd:element>
    <xsd:element name="f73a5530aee247fd8ff8cebce07feb70" ma:index="25" nillable="true" ma:taxonomy="true" ma:internalName="f73a5530aee247fd8ff8cebce07feb70" ma:taxonomyFieldName="Year" ma:displayName="Year" ma:readOnly="false" ma:fieldId="{f73a5530-aee2-47fd-8ff8-cebce07feb70}" ma:sspId="3e51ab83-6ab1-4829-8ca3-3618b8be85db" ma:termSetId="e2b76660-70ae-4c36-9670-b4cb7b66d5ee" ma:anchorId="00000000-0000-0000-0000-000000000000" ma:open="false" ma:isKeyword="false">
      <xsd:complexType>
        <xsd:sequence>
          <xsd:element ref="pc:Terms" minOccurs="0" maxOccurs="1"/>
        </xsd:sequence>
      </xsd:complexType>
    </xsd:element>
    <xsd:element name="cb543f065f144184945857e90184fc39" ma:index="30" nillable="true" ma:taxonomy="true" ma:internalName="cb543f065f144184945857e90184fc39" ma:taxonomyFieldName="Program" ma:displayName="Program" ma:readOnly="false" ma:fieldId="{cb543f06-5f14-4184-9458-57e90184fc39}" ma:sspId="3e51ab83-6ab1-4829-8ca3-3618b8be85db" ma:termSetId="52d62182-54e0-4fb8-9a70-96b50e0752c5" ma:anchorId="00000000-0000-0000-0000-000000000000" ma:open="false" ma:isKeyword="false">
      <xsd:complexType>
        <xsd:sequence>
          <xsd:element ref="pc:Terms" minOccurs="0" maxOccurs="1"/>
        </xsd:sequence>
      </xsd:complexType>
    </xsd:element>
    <xsd:element name="pca432edc2a04201bdb8e81abb86075b" ma:index="32" nillable="true" ma:taxonomy="true" ma:internalName="pca432edc2a04201bdb8e81abb86075b" ma:taxonomyFieldName="Project" ma:displayName="Project" ma:readOnly="false" ma:fieldId="{9ca432ed-c2a0-4201-bdb8-e81abb86075b}" ma:sspId="3e51ab83-6ab1-4829-8ca3-3618b8be85db" ma:termSetId="3f146d80-1f05-4283-ad16-57df6aaed76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6285dc-72dc-454f-b0cf-970add6c56c6" elementFormDefault="qualified">
    <xsd:import namespace="http://schemas.microsoft.com/office/2006/documentManagement/types"/>
    <xsd:import namespace="http://schemas.microsoft.com/office/infopath/2007/PartnerControls"/>
    <xsd:element name="ad5cb88fd81f4dab8952485668f376ff" ma:index="28" nillable="true" ma:taxonomy="true" ma:internalName="ad5cb88fd81f4dab8952485668f376ff" ma:taxonomyFieldName="Health_x0020_Topic" ma:displayName="Health Topic" ma:readOnly="false" ma:fieldId="{ad5cb88f-d81f-4dab-8952-485668f376ff}" ma:sspId="3e51ab83-6ab1-4829-8ca3-3618b8be85db" ma:termSetId="bcf464c6-8575-4e5c-8106-0d544f8934a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158526-d9f0-46fd-98f0-30fc5f523601"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b29bfb-82af-4388-b101-21491675f089" elementFormDefault="qualified">
    <xsd:import namespace="http://schemas.microsoft.com/office/2006/documentManagement/types"/>
    <xsd:import namespace="http://schemas.microsoft.com/office/infopath/2007/PartnerControls"/>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ca432edc2a04201bdb8e81abb86075b xmlns="223a46be-bbab-4747-bf9e-8cb4be7b3797">
      <Terms xmlns="http://schemas.microsoft.com/office/infopath/2007/PartnerControls"/>
    </pca432edc2a04201bdb8e81abb86075b>
    <TaxCatchAll xmlns="df256090-3126-408d-8106-7c21594c7876"/>
    <i799334a01834115882152c941025bdf xmlns="223a46be-bbab-4747-bf9e-8cb4be7b3797">
      <Terms xmlns="http://schemas.microsoft.com/office/infopath/2007/PartnerControls"/>
    </i799334a01834115882152c941025bdf>
    <m7b3a26802b745769b197045f784b2ce xmlns="223a46be-bbab-4747-bf9e-8cb4be7b3797">
      <Terms xmlns="http://schemas.microsoft.com/office/infopath/2007/PartnerControls"/>
    </m7b3a26802b745769b197045f784b2ce>
    <l0f22799db9c45c4951ff58c7ad80a8c xmlns="223a46be-bbab-4747-bf9e-8cb4be7b3797">
      <Terms xmlns="http://schemas.microsoft.com/office/infopath/2007/PartnerControls"/>
    </l0f22799db9c45c4951ff58c7ad80a8c>
    <b86352ed1ec9470c88320dc3b440141e xmlns="223a46be-bbab-4747-bf9e-8cb4be7b3797">
      <Terms xmlns="http://schemas.microsoft.com/office/infopath/2007/PartnerControls"/>
    </b86352ed1ec9470c88320dc3b440141e>
    <i188eafb49584ce69f1292970ce7aff0 xmlns="223a46be-bbab-4747-bf9e-8cb4be7b3797">
      <Terms xmlns="http://schemas.microsoft.com/office/infopath/2007/PartnerControls"/>
    </i188eafb49584ce69f1292970ce7aff0>
    <cb543f065f144184945857e90184fc39 xmlns="223a46be-bbab-4747-bf9e-8cb4be7b3797">
      <Terms xmlns="http://schemas.microsoft.com/office/infopath/2007/PartnerControls"/>
    </cb543f065f144184945857e90184fc39>
    <ad5cb88fd81f4dab8952485668f376ff xmlns="de6285dc-72dc-454f-b0cf-970add6c56c6">
      <Terms xmlns="http://schemas.microsoft.com/office/infopath/2007/PartnerControls"/>
    </ad5cb88fd81f4dab8952485668f376ff>
    <a1c11f27edc94304aa5caadaa0bf6c70 xmlns="223a46be-bbab-4747-bf9e-8cb4be7b3797">
      <Terms xmlns="http://schemas.microsoft.com/office/infopath/2007/PartnerControls"/>
    </a1c11f27edc94304aa5caadaa0bf6c70>
    <f73a5530aee247fd8ff8cebce07feb70 xmlns="223a46be-bbab-4747-bf9e-8cb4be7b3797">
      <Terms xmlns="http://schemas.microsoft.com/office/infopath/2007/PartnerControls"/>
    </f73a5530aee247fd8ff8cebce07feb70>
    <_dlc_DocId xmlns="df256090-3126-408d-8106-7c21594c7876">SP1100-550871166-526</_dlc_DocId>
    <_dlc_DocIdUrl xmlns="df256090-3126-408d-8106-7c21594c7876">
      <Url>https://thepharmacyguild.sharepoint.com/sites/Agreements/6CPA/_layouts/15/DocIdRedir.aspx?ID=SP1100-550871166-526</Url>
      <Description>SP1100-550871166-526</Description>
    </_dlc_DocIdUrl>
  </documentManagement>
</p:properties>
</file>

<file path=customXml/itemProps1.xml><?xml version="1.0" encoding="utf-8"?>
<ds:datastoreItem xmlns:ds="http://schemas.openxmlformats.org/officeDocument/2006/customXml" ds:itemID="{E288DD3B-050B-403D-98D5-E01C8E48F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56090-3126-408d-8106-7c21594c7876"/>
    <ds:schemaRef ds:uri="223a46be-bbab-4747-bf9e-8cb4be7b3797"/>
    <ds:schemaRef ds:uri="de6285dc-72dc-454f-b0cf-970add6c56c6"/>
    <ds:schemaRef ds:uri="23158526-d9f0-46fd-98f0-30fc5f523601"/>
    <ds:schemaRef ds:uri="afb29bfb-82af-4388-b101-21491675f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0FAF0-2BBA-441C-ACC7-82316A7C8BB6}">
  <ds:schemaRefs>
    <ds:schemaRef ds:uri="http://schemas.microsoft.com/sharepoint/events"/>
  </ds:schemaRefs>
</ds:datastoreItem>
</file>

<file path=customXml/itemProps3.xml><?xml version="1.0" encoding="utf-8"?>
<ds:datastoreItem xmlns:ds="http://schemas.openxmlformats.org/officeDocument/2006/customXml" ds:itemID="{3422C9F7-72C6-4622-BB6F-A0B091E4C725}">
  <ds:schemaRefs>
    <ds:schemaRef ds:uri="http://schemas.microsoft.com/sharepoint/v3/contenttype/forms"/>
  </ds:schemaRefs>
</ds:datastoreItem>
</file>

<file path=customXml/itemProps4.xml><?xml version="1.0" encoding="utf-8"?>
<ds:datastoreItem xmlns:ds="http://schemas.openxmlformats.org/officeDocument/2006/customXml" ds:itemID="{23DF82CB-F63F-49B3-BCF6-336DE265ADC4}">
  <ds:schemaRefs>
    <ds:schemaRef ds:uri="http://schemas.microsoft.com/office/2006/metadata/properties"/>
    <ds:schemaRef ds:uri="http://schemas.microsoft.com/office/infopath/2007/PartnerControls"/>
    <ds:schemaRef ds:uri="223a46be-bbab-4747-bf9e-8cb4be7b3797"/>
    <ds:schemaRef ds:uri="df256090-3126-408d-8106-7c21594c7876"/>
    <ds:schemaRef ds:uri="de6285dc-72dc-454f-b0cf-970add6c56c6"/>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3983</Words>
  <Characters>22706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KUJANSUU, Helena</dc:creator>
  <cp:keywords/>
  <dc:description/>
  <cp:lastModifiedBy>KUJANSUU, Helena</cp:lastModifiedBy>
  <cp:revision>4</cp:revision>
  <dcterms:created xsi:type="dcterms:W3CDTF">2021-12-22T01:55:00Z</dcterms:created>
  <dcterms:modified xsi:type="dcterms:W3CDTF">2021-12-22T02:08:00Z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0x010100CE18B03B7697634F85FAC7456B839AEA00683240A61C2768468FC670878FA16B45</vt:lpwstr>
  </property>
  <property fmtid="{D5CDD505-2E9C-101B-9397-08002B2CF9AE}" pid="3" name="Project">
    <vt:lpwstr/>
  </property>
  <property fmtid="{D5CDD505-2E9C-101B-9397-08002B2CF9AE}" pid="4" name="mtFunction">
    <vt:lpwstr/>
  </property>
  <property fmtid="{D5CDD505-2E9C-101B-9397-08002B2CF9AE}" pid="5" name="mtDocumentType">
    <vt:lpwstr/>
  </property>
  <property fmtid="{D5CDD505-2E9C-101B-9397-08002B2CF9AE}" pid="6" name="mtBusinessFunction">
    <vt:lpwstr/>
  </property>
  <property fmtid="{D5CDD505-2E9C-101B-9397-08002B2CF9AE}" pid="7" name="mtActivity">
    <vt:lpwstr/>
  </property>
  <property fmtid="{D5CDD505-2E9C-101B-9397-08002B2CF9AE}" pid="8" name="Program">
    <vt:lpwstr/>
  </property>
  <property fmtid="{D5CDD505-2E9C-101B-9397-08002B2CF9AE}" pid="9" name="mtOrganisation">
    <vt:lpwstr/>
  </property>
  <property fmtid="{D5CDD505-2E9C-101B-9397-08002B2CF9AE}" pid="10" name="Health Topic">
    <vt:lpwstr/>
  </property>
  <property fmtid="{D5CDD505-2E9C-101B-9397-08002B2CF9AE}" pid="11" name="mtGovernmentAgency">
    <vt:lpwstr/>
  </property>
  <property fmtid="{D5CDD505-2E9C-101B-9397-08002B2CF9AE}" pid="12" name="Year">
    <vt:lpwstr/>
  </property>
  <property fmtid="{D5CDD505-2E9C-101B-9397-08002B2CF9AE}" pid="13" name="_dlc_DocIdItemGuid">
    <vt:lpwstr>152bddde-e3ba-4852-a899-260e15a2309b</vt:lpwstr>
  </property>
</Properties>
</file>