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D6619" w14:textId="421DE962"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E3875FB" wp14:editId="2712D75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39293D1" w14:textId="036A5140" w:rsidR="00BC1364" w:rsidRPr="00F715D1" w:rsidRDefault="00BF479B" w:rsidP="00E07673">
      <w:pPr>
        <w:pStyle w:val="Title"/>
      </w:pPr>
      <w:r w:rsidRPr="00F715D1">
        <w:t>Public Summary Document</w:t>
      </w:r>
    </w:p>
    <w:p w14:paraId="493D7E62" w14:textId="77777777" w:rsidR="00BC1364" w:rsidRPr="00F715D1" w:rsidRDefault="00BC1364" w:rsidP="00F715D1">
      <w:pPr>
        <w:pStyle w:val="Subtitle"/>
      </w:pPr>
      <w:r w:rsidRPr="00F715D1">
        <w:t xml:space="preserve">Application No. </w:t>
      </w:r>
      <w:r w:rsidR="00CA408A" w:rsidRPr="00CA408A">
        <w:t>1510.1 – Emicizumab for routine prophylaxis to prevent or reduce the frequency of bleeding episodes in patients with haemophilia A with factor VIII inhibitors</w:t>
      </w:r>
    </w:p>
    <w:p w14:paraId="57265E0D"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CA408A" w:rsidRPr="00CA408A">
        <w:rPr>
          <w:rFonts w:ascii="Arial" w:hAnsi="Arial" w:cs="Arial"/>
          <w:b/>
          <w:szCs w:val="24"/>
        </w:rPr>
        <w:t>Roche Products Pty Ltd</w:t>
      </w:r>
    </w:p>
    <w:p w14:paraId="75F2FA80"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CA408A">
        <w:rPr>
          <w:rFonts w:ascii="Arial" w:hAnsi="Arial" w:cs="Arial"/>
          <w:b/>
          <w:szCs w:val="24"/>
        </w:rPr>
        <w:t>76</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CA408A">
        <w:rPr>
          <w:rFonts w:ascii="Arial" w:hAnsi="Arial" w:cs="Arial"/>
          <w:b/>
          <w:szCs w:val="24"/>
        </w:rPr>
        <w:t>1-2 August 2019</w:t>
      </w:r>
    </w:p>
    <w:p w14:paraId="05810248"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41412859" w14:textId="77777777" w:rsidR="003D7F29" w:rsidRPr="00F715D1" w:rsidRDefault="003D7F29" w:rsidP="0019438A">
      <w:pPr>
        <w:pStyle w:val="Heading1"/>
        <w:ind w:hanging="720"/>
      </w:pPr>
      <w:r w:rsidRPr="00F715D1">
        <w:t>Purpose of application</w:t>
      </w:r>
    </w:p>
    <w:p w14:paraId="7BB5ADE7" w14:textId="515D4C2D" w:rsidR="00CA408A" w:rsidRPr="00B02E35" w:rsidRDefault="00CA408A" w:rsidP="00CA408A">
      <w:r>
        <w:t>A resubmission provid</w:t>
      </w:r>
      <w:r w:rsidR="00451AAC">
        <w:t>ing</w:t>
      </w:r>
      <w:r>
        <w:t xml:space="preserve"> a proposal for weighted pricing</w:t>
      </w:r>
      <w:r w:rsidR="003B21BD">
        <w:t>,</w:t>
      </w:r>
      <w:r>
        <w:t xml:space="preserve"> including an annual price reduction for use across all requested patients</w:t>
      </w:r>
      <w:r w:rsidR="00E7415C">
        <w:t xml:space="preserve"> with haemophilia A (HMA)</w:t>
      </w:r>
      <w:r w:rsidR="00451AAC">
        <w:t xml:space="preserve"> was received </w:t>
      </w:r>
      <w:r w:rsidR="00A174EF">
        <w:t>from</w:t>
      </w:r>
      <w:r w:rsidR="00451AAC">
        <w:t xml:space="preserve"> </w:t>
      </w:r>
      <w:r w:rsidR="00A174EF">
        <w:t xml:space="preserve">Roche Products Pty Ltd by </w:t>
      </w:r>
      <w:r w:rsidR="00451AAC">
        <w:t>the Department of Health</w:t>
      </w:r>
      <w:r>
        <w:t>.</w:t>
      </w:r>
    </w:p>
    <w:p w14:paraId="03DD7361" w14:textId="77777777" w:rsidR="00E977EE" w:rsidRPr="00F715D1" w:rsidRDefault="00E977EE" w:rsidP="0019438A">
      <w:pPr>
        <w:pStyle w:val="Heading1"/>
        <w:ind w:hanging="720"/>
      </w:pPr>
      <w:r w:rsidRPr="00F715D1">
        <w:t>MSAC’s advice to the Minister</w:t>
      </w:r>
    </w:p>
    <w:p w14:paraId="510C288D" w14:textId="4C62010F" w:rsidR="00EF167B" w:rsidRDefault="00EF167B" w:rsidP="00655FBB">
      <w:pPr>
        <w:spacing w:after="240"/>
        <w:rPr>
          <w:color w:val="000000" w:themeColor="text1"/>
        </w:rPr>
      </w:pPr>
      <w:r w:rsidRPr="001342D1">
        <w:t xml:space="preserve">After considering the strength of the available evidence in relation to comparative safety, </w:t>
      </w:r>
      <w:r>
        <w:t>clinical effectiveness and cost-</w:t>
      </w:r>
      <w:r w:rsidRPr="001342D1">
        <w:t xml:space="preserve">effectiveness, </w:t>
      </w:r>
      <w:r w:rsidRPr="007F0E27">
        <w:rPr>
          <w:color w:val="000000" w:themeColor="text1"/>
        </w:rPr>
        <w:t xml:space="preserve">MSAC supported funding of emicizumab via the National Blood Authority on the basis of acceptable clinical effectiveness and safety compared with by-passing agents </w:t>
      </w:r>
      <w:r w:rsidR="00E7415C">
        <w:rPr>
          <w:color w:val="000000" w:themeColor="text1"/>
        </w:rPr>
        <w:t>(BPA</w:t>
      </w:r>
      <w:r w:rsidR="002D00C5">
        <w:rPr>
          <w:color w:val="000000" w:themeColor="text1"/>
        </w:rPr>
        <w:t>s</w:t>
      </w:r>
      <w:r w:rsidR="00E7415C">
        <w:rPr>
          <w:color w:val="000000" w:themeColor="text1"/>
        </w:rPr>
        <w:t xml:space="preserve">) </w:t>
      </w:r>
      <w:r w:rsidRPr="007F0E27">
        <w:rPr>
          <w:color w:val="000000" w:themeColor="text1"/>
        </w:rPr>
        <w:t xml:space="preserve">in patients with haemophilia A </w:t>
      </w:r>
      <w:r>
        <w:rPr>
          <w:color w:val="000000" w:themeColor="text1"/>
        </w:rPr>
        <w:t>with</w:t>
      </w:r>
      <w:r w:rsidRPr="007F0E27">
        <w:rPr>
          <w:color w:val="000000" w:themeColor="text1"/>
        </w:rPr>
        <w:t xml:space="preserve"> </w:t>
      </w:r>
      <w:r w:rsidR="00E7415C">
        <w:rPr>
          <w:color w:val="000000" w:themeColor="text1"/>
        </w:rPr>
        <w:t xml:space="preserve">factor VIII </w:t>
      </w:r>
      <w:r w:rsidRPr="007F0E27">
        <w:rPr>
          <w:color w:val="000000" w:themeColor="text1"/>
        </w:rPr>
        <w:t>inhibitor</w:t>
      </w:r>
      <w:r>
        <w:rPr>
          <w:color w:val="000000" w:themeColor="text1"/>
        </w:rPr>
        <w:t>s</w:t>
      </w:r>
      <w:r w:rsidRPr="007F0E27">
        <w:rPr>
          <w:color w:val="000000" w:themeColor="text1"/>
        </w:rPr>
        <w:t xml:space="preserve">. MSAC advised on the appropriate prices for different subpopulations it considered should be applied </w:t>
      </w:r>
      <w:r w:rsidR="003B21BD">
        <w:rPr>
          <w:color w:val="000000" w:themeColor="text1"/>
        </w:rPr>
        <w:t>(</w:t>
      </w:r>
      <w:r w:rsidRPr="007F0E27">
        <w:rPr>
          <w:color w:val="000000" w:themeColor="text1"/>
        </w:rPr>
        <w:t>in setting the overall subsidy price</w:t>
      </w:r>
      <w:r w:rsidR="003B21BD">
        <w:rPr>
          <w:color w:val="000000" w:themeColor="text1"/>
        </w:rPr>
        <w:t>),</w:t>
      </w:r>
      <w:r w:rsidRPr="007F0E27">
        <w:rPr>
          <w:color w:val="000000" w:themeColor="text1"/>
        </w:rPr>
        <w:t xml:space="preserve"> and in the calculation of the financial impact of funding. MSAC considered the </w:t>
      </w:r>
      <w:r>
        <w:rPr>
          <w:color w:val="000000" w:themeColor="text1"/>
        </w:rPr>
        <w:t>applicant</w:t>
      </w:r>
      <w:r w:rsidRPr="007F0E27">
        <w:rPr>
          <w:color w:val="000000" w:themeColor="text1"/>
        </w:rPr>
        <w:t xml:space="preserve">’s proposed risk sharing arrangement </w:t>
      </w:r>
      <w:r>
        <w:rPr>
          <w:color w:val="000000" w:themeColor="text1"/>
        </w:rPr>
        <w:t xml:space="preserve">(RSA) </w:t>
      </w:r>
      <w:r w:rsidRPr="007F0E27">
        <w:rPr>
          <w:color w:val="000000" w:themeColor="text1"/>
        </w:rPr>
        <w:t>was not adequate for addressing risk of use outside the proposed patient population.</w:t>
      </w:r>
    </w:p>
    <w:p w14:paraId="5A7C86F5" w14:textId="4ACD4567" w:rsidR="00E7415C" w:rsidRDefault="00E7415C" w:rsidP="0026114F">
      <w:pPr>
        <w:spacing w:after="120"/>
        <w:rPr>
          <w:bCs/>
        </w:rPr>
      </w:pPr>
      <w:r>
        <w:rPr>
          <w:bCs/>
        </w:rPr>
        <w:t xml:space="preserve">Specifically, </w:t>
      </w:r>
      <w:r w:rsidR="00EF167B" w:rsidRPr="00435F25">
        <w:rPr>
          <w:bCs/>
        </w:rPr>
        <w:t xml:space="preserve">MSAC </w:t>
      </w:r>
      <w:r>
        <w:rPr>
          <w:bCs/>
        </w:rPr>
        <w:t>advised</w:t>
      </w:r>
      <w:r w:rsidR="00EF167B">
        <w:rPr>
          <w:bCs/>
        </w:rPr>
        <w:t xml:space="preserve"> that this support was subject to pricing negotiations</w:t>
      </w:r>
      <w:r w:rsidR="003B21BD">
        <w:rPr>
          <w:bCs/>
        </w:rPr>
        <w:t>,</w:t>
      </w:r>
      <w:r>
        <w:rPr>
          <w:bCs/>
        </w:rPr>
        <w:t xml:space="preserve"> based on the following shadow prices in </w:t>
      </w:r>
      <w:r w:rsidRPr="00422F28">
        <w:t xml:space="preserve">the </w:t>
      </w:r>
      <w:r>
        <w:t>re-</w:t>
      </w:r>
      <w:r w:rsidRPr="00422F28">
        <w:t xml:space="preserve">calculation of </w:t>
      </w:r>
      <w:r>
        <w:t xml:space="preserve">weighted average price and </w:t>
      </w:r>
      <w:r w:rsidRPr="00422F28">
        <w:t xml:space="preserve">the proposed </w:t>
      </w:r>
      <w:r>
        <w:t>RSA</w:t>
      </w:r>
      <w:r w:rsidR="00EF167B">
        <w:rPr>
          <w:bCs/>
        </w:rPr>
        <w:t xml:space="preserve">, to be </w:t>
      </w:r>
      <w:r>
        <w:rPr>
          <w:bCs/>
        </w:rPr>
        <w:t>implemented</w:t>
      </w:r>
      <w:r w:rsidR="00EF167B">
        <w:rPr>
          <w:bCs/>
        </w:rPr>
        <w:t xml:space="preserve"> alongside </w:t>
      </w:r>
      <w:r>
        <w:rPr>
          <w:bCs/>
        </w:rPr>
        <w:t xml:space="preserve">the related shadow prices in the MSAC advice for </w:t>
      </w:r>
      <w:r w:rsidR="00EF167B">
        <w:rPr>
          <w:bCs/>
        </w:rPr>
        <w:t>Application 1579 (</w:t>
      </w:r>
      <w:r>
        <w:rPr>
          <w:bCs/>
        </w:rPr>
        <w:t xml:space="preserve">HMA </w:t>
      </w:r>
      <w:r w:rsidR="00EF167B">
        <w:rPr>
          <w:bCs/>
        </w:rPr>
        <w:t>without FVIII inhibitors)</w:t>
      </w:r>
      <w:r w:rsidR="008D24B9">
        <w:rPr>
          <w:bCs/>
        </w:rPr>
        <w:t xml:space="preserve">, </w:t>
      </w:r>
      <w:r w:rsidR="008D24B9" w:rsidRPr="00422F28">
        <w:t xml:space="preserve">noting some of the </w:t>
      </w:r>
      <w:r w:rsidR="008D24B9">
        <w:t xml:space="preserve">shadow </w:t>
      </w:r>
      <w:r w:rsidR="008D24B9" w:rsidRPr="00422F28">
        <w:t>prices relate to possible use of emicizumab beyond that requested</w:t>
      </w:r>
      <w:r>
        <w:rPr>
          <w:bCs/>
        </w:rPr>
        <w:t>:</w:t>
      </w:r>
    </w:p>
    <w:p w14:paraId="765247C2" w14:textId="19915B60" w:rsidR="00E7415C" w:rsidRPr="00422F28" w:rsidRDefault="00E7415C" w:rsidP="00E7415C">
      <w:pPr>
        <w:pStyle w:val="Bullet"/>
        <w:rPr>
          <w:szCs w:val="24"/>
        </w:rPr>
      </w:pPr>
      <w:r w:rsidRPr="00422F28">
        <w:rPr>
          <w:szCs w:val="24"/>
        </w:rPr>
        <w:t xml:space="preserve">patients with </w:t>
      </w:r>
      <w:r w:rsidR="008D24B9">
        <w:rPr>
          <w:szCs w:val="24"/>
        </w:rPr>
        <w:t xml:space="preserve">HMA and </w:t>
      </w:r>
      <w:r w:rsidRPr="00422F28">
        <w:rPr>
          <w:szCs w:val="24"/>
        </w:rPr>
        <w:t xml:space="preserve">inhibitors </w:t>
      </w:r>
      <w:r w:rsidR="007165A4">
        <w:rPr>
          <w:szCs w:val="24"/>
        </w:rPr>
        <w:t xml:space="preserve">who </w:t>
      </w:r>
      <w:r>
        <w:rPr>
          <w:szCs w:val="24"/>
        </w:rPr>
        <w:t>previously</w:t>
      </w:r>
      <w:r w:rsidRPr="00422F28">
        <w:rPr>
          <w:szCs w:val="24"/>
        </w:rPr>
        <w:t xml:space="preserve"> receiv</w:t>
      </w:r>
      <w:r w:rsidR="007165A4">
        <w:rPr>
          <w:szCs w:val="24"/>
        </w:rPr>
        <w:t>ed</w:t>
      </w:r>
      <w:r w:rsidRPr="00422F28">
        <w:rPr>
          <w:szCs w:val="24"/>
        </w:rPr>
        <w:t xml:space="preserve"> </w:t>
      </w:r>
      <w:r>
        <w:rPr>
          <w:szCs w:val="24"/>
        </w:rPr>
        <w:t>BPA</w:t>
      </w:r>
      <w:r w:rsidRPr="00422F28">
        <w:rPr>
          <w:szCs w:val="24"/>
        </w:rPr>
        <w:t xml:space="preserve"> prophylaxis: $</w:t>
      </w:r>
      <w:r w:rsidR="00A872DE" w:rsidRPr="00A872DE">
        <w:rPr>
          <w:b/>
          <w:szCs w:val="24"/>
        </w:rPr>
        <w:t>redacted</w:t>
      </w:r>
      <w:r w:rsidRPr="00422F28">
        <w:rPr>
          <w:szCs w:val="24"/>
        </w:rPr>
        <w:t>/mg</w:t>
      </w:r>
    </w:p>
    <w:p w14:paraId="0A6BCD44" w14:textId="5A03C2C4" w:rsidR="008D24B9" w:rsidRDefault="00E7415C" w:rsidP="00E7415C">
      <w:pPr>
        <w:pStyle w:val="Bullet"/>
        <w:rPr>
          <w:szCs w:val="24"/>
        </w:rPr>
      </w:pPr>
      <w:r w:rsidRPr="00422F28">
        <w:rPr>
          <w:szCs w:val="24"/>
        </w:rPr>
        <w:t xml:space="preserve">patients with </w:t>
      </w:r>
      <w:r w:rsidR="008D24B9">
        <w:rPr>
          <w:szCs w:val="24"/>
        </w:rPr>
        <w:t xml:space="preserve">HMA and </w:t>
      </w:r>
      <w:r w:rsidRPr="00422F28">
        <w:rPr>
          <w:szCs w:val="24"/>
        </w:rPr>
        <w:t xml:space="preserve">inhibitors </w:t>
      </w:r>
      <w:r w:rsidR="007165A4">
        <w:rPr>
          <w:szCs w:val="24"/>
        </w:rPr>
        <w:t xml:space="preserve">who </w:t>
      </w:r>
      <w:r>
        <w:rPr>
          <w:szCs w:val="24"/>
        </w:rPr>
        <w:t>previously</w:t>
      </w:r>
      <w:r w:rsidRPr="00422F28">
        <w:rPr>
          <w:szCs w:val="24"/>
        </w:rPr>
        <w:t xml:space="preserve"> receiv</w:t>
      </w:r>
      <w:r w:rsidR="007165A4">
        <w:rPr>
          <w:szCs w:val="24"/>
        </w:rPr>
        <w:t>ed</w:t>
      </w:r>
      <w:r w:rsidRPr="00422F28">
        <w:rPr>
          <w:szCs w:val="24"/>
        </w:rPr>
        <w:t xml:space="preserve"> </w:t>
      </w:r>
      <w:r>
        <w:rPr>
          <w:szCs w:val="24"/>
        </w:rPr>
        <w:t>BPA on demand</w:t>
      </w:r>
      <w:r w:rsidRPr="00422F28">
        <w:rPr>
          <w:szCs w:val="24"/>
        </w:rPr>
        <w:t>: $</w:t>
      </w:r>
      <w:r w:rsidR="00A872DE" w:rsidRPr="00D67508">
        <w:rPr>
          <w:b/>
          <w:szCs w:val="24"/>
        </w:rPr>
        <w:t>redacted</w:t>
      </w:r>
      <w:r w:rsidRPr="00422F28">
        <w:rPr>
          <w:szCs w:val="24"/>
        </w:rPr>
        <w:t>/mg</w:t>
      </w:r>
    </w:p>
    <w:p w14:paraId="4D97C6C0" w14:textId="557B088A" w:rsidR="00EF167B" w:rsidRPr="00240FA8" w:rsidRDefault="008D24B9" w:rsidP="00E7415C">
      <w:pPr>
        <w:pStyle w:val="Bullet"/>
        <w:rPr>
          <w:szCs w:val="24"/>
        </w:rPr>
      </w:pPr>
      <w:r>
        <w:rPr>
          <w:szCs w:val="24"/>
        </w:rPr>
        <w:t>patients with HMA and inhibitors who previously received interrupted immune tolerance induction therapy: $</w:t>
      </w:r>
      <w:r w:rsidR="00A872DE" w:rsidRPr="00D67508">
        <w:rPr>
          <w:b/>
          <w:szCs w:val="24"/>
        </w:rPr>
        <w:t>redacted</w:t>
      </w:r>
      <w:r>
        <w:rPr>
          <w:szCs w:val="24"/>
        </w:rPr>
        <w:t>/mg</w:t>
      </w:r>
      <w:r w:rsidR="00EF167B" w:rsidRPr="00435F25">
        <w:t>.</w:t>
      </w:r>
    </w:p>
    <w:tbl>
      <w:tblPr>
        <w:tblStyle w:val="TableGrid"/>
        <w:tblW w:w="0" w:type="auto"/>
        <w:tblLook w:val="04A0" w:firstRow="1" w:lastRow="0" w:firstColumn="1" w:lastColumn="0" w:noHBand="0" w:noVBand="1"/>
        <w:tblDescription w:val="Consumer summary of the MSAC consideration"/>
      </w:tblPr>
      <w:tblGrid>
        <w:gridCol w:w="9016"/>
      </w:tblGrid>
      <w:tr w:rsidR="00240FA8" w14:paraId="0E5B58C5" w14:textId="77777777" w:rsidTr="00B81560">
        <w:trPr>
          <w:tblHeader/>
        </w:trPr>
        <w:tc>
          <w:tcPr>
            <w:tcW w:w="9242" w:type="dxa"/>
          </w:tcPr>
          <w:p w14:paraId="6471FF8C" w14:textId="77777777" w:rsidR="00240FA8" w:rsidRPr="00240FA8" w:rsidRDefault="00240FA8" w:rsidP="00240FA8">
            <w:pPr>
              <w:pStyle w:val="Bullet"/>
              <w:numPr>
                <w:ilvl w:val="0"/>
                <w:numId w:val="0"/>
              </w:numPr>
              <w:spacing w:before="120"/>
              <w:ind w:hanging="11"/>
              <w:rPr>
                <w:rFonts w:ascii="Times New Roman" w:hAnsi="Times New Roman" w:cs="Times New Roman"/>
                <w:b/>
                <w:szCs w:val="24"/>
              </w:rPr>
            </w:pPr>
            <w:r w:rsidRPr="00240FA8">
              <w:rPr>
                <w:rFonts w:ascii="Times New Roman" w:hAnsi="Times New Roman" w:cs="Times New Roman"/>
                <w:b/>
                <w:szCs w:val="24"/>
              </w:rPr>
              <w:lastRenderedPageBreak/>
              <w:t>Consumer summary</w:t>
            </w:r>
          </w:p>
          <w:p w14:paraId="7249B344" w14:textId="0DE9FBEA" w:rsidR="00240FA8" w:rsidRPr="00240FA8" w:rsidRDefault="00240FA8" w:rsidP="00240FA8">
            <w:pPr>
              <w:pStyle w:val="Bullet"/>
              <w:numPr>
                <w:ilvl w:val="0"/>
                <w:numId w:val="0"/>
              </w:numPr>
              <w:ind w:hanging="11"/>
              <w:rPr>
                <w:rFonts w:ascii="Times New Roman" w:hAnsi="Times New Roman" w:cs="Times New Roman"/>
                <w:szCs w:val="24"/>
              </w:rPr>
            </w:pPr>
            <w:r w:rsidRPr="00240FA8">
              <w:rPr>
                <w:rFonts w:ascii="Times New Roman" w:hAnsi="Times New Roman" w:cs="Times New Roman"/>
                <w:szCs w:val="24"/>
              </w:rPr>
              <w:t>Roche Products Pty Ltd applied for public funding for routine administration of emicizumab to prevent or reduce the frequency of bleeding episodes in patients with haemophilia A with factor VIII inhibitors.</w:t>
            </w:r>
          </w:p>
          <w:p w14:paraId="116DE2E6" w14:textId="158C98FC" w:rsidR="00240FA8" w:rsidRPr="00240FA8" w:rsidRDefault="00240FA8" w:rsidP="00240FA8">
            <w:pPr>
              <w:pStyle w:val="Bullet"/>
              <w:numPr>
                <w:ilvl w:val="0"/>
                <w:numId w:val="0"/>
              </w:numPr>
              <w:spacing w:before="240" w:after="240"/>
              <w:rPr>
                <w:rFonts w:ascii="Times New Roman" w:hAnsi="Times New Roman" w:cs="Times New Roman"/>
                <w:szCs w:val="24"/>
              </w:rPr>
            </w:pPr>
            <w:r w:rsidRPr="00240FA8">
              <w:rPr>
                <w:rFonts w:ascii="Times New Roman" w:hAnsi="Times New Roman" w:cs="Times New Roman"/>
                <w:szCs w:val="24"/>
              </w:rPr>
              <w:t>People with haemophilia A (HMA) cannot clot blood properly, which results in spontaneous bleeds or excessive bleeding from injury. People with severe or moderate HMA are often treated with the clotting factor VIII. However, some people develop inhibitors to FVIII, which means FVIII no longer works. They mostly receive another kind of medicine to prevent or stop bleeds, called bypassing agents (BPAs).</w:t>
            </w:r>
          </w:p>
          <w:p w14:paraId="6706C8D8" w14:textId="0B427696" w:rsidR="00240FA8" w:rsidRDefault="00240FA8" w:rsidP="00240FA8">
            <w:pPr>
              <w:pStyle w:val="Bullet"/>
              <w:numPr>
                <w:ilvl w:val="0"/>
                <w:numId w:val="0"/>
              </w:numPr>
              <w:spacing w:after="240"/>
              <w:ind w:hanging="11"/>
              <w:rPr>
                <w:rFonts w:ascii="Times New Roman" w:hAnsi="Times New Roman" w:cs="Times New Roman"/>
                <w:szCs w:val="24"/>
              </w:rPr>
            </w:pPr>
            <w:r w:rsidRPr="00240FA8">
              <w:rPr>
                <w:rFonts w:ascii="Times New Roman" w:hAnsi="Times New Roman" w:cs="Times New Roman"/>
                <w:szCs w:val="24"/>
              </w:rPr>
              <w:t>This application is for emicizumab, a medicine that also reduces rates of bleeding and also reduces the need for BPAs to manage those bleeds which do occur. People who have inhibitors to FVIII c</w:t>
            </w:r>
            <w:r>
              <w:rPr>
                <w:rFonts w:ascii="Times New Roman" w:hAnsi="Times New Roman" w:cs="Times New Roman"/>
                <w:szCs w:val="24"/>
              </w:rPr>
              <w:t xml:space="preserve">an use emicizumab effectively. </w:t>
            </w:r>
          </w:p>
          <w:p w14:paraId="2B42AD5F" w14:textId="77777777" w:rsidR="00240FA8" w:rsidRPr="000A0160" w:rsidRDefault="00240FA8" w:rsidP="00240FA8">
            <w:pPr>
              <w:spacing w:after="120"/>
              <w:rPr>
                <w:rFonts w:ascii="Times New Roman" w:hAnsi="Times New Roman" w:cs="Times New Roman"/>
                <w:b/>
              </w:rPr>
            </w:pPr>
            <w:r w:rsidRPr="000A0160">
              <w:rPr>
                <w:rFonts w:ascii="Times New Roman" w:hAnsi="Times New Roman" w:cs="Times New Roman"/>
                <w:b/>
              </w:rPr>
              <w:t>MSAC’s recommendation to the Commonwealth Health Minister</w:t>
            </w:r>
          </w:p>
          <w:p w14:paraId="683D2FB0" w14:textId="0A540673" w:rsidR="00240FA8" w:rsidRDefault="00240FA8" w:rsidP="00240FA8">
            <w:pPr>
              <w:pStyle w:val="Bullet"/>
              <w:numPr>
                <w:ilvl w:val="0"/>
                <w:numId w:val="0"/>
              </w:numPr>
              <w:ind w:hanging="11"/>
              <w:rPr>
                <w:szCs w:val="24"/>
              </w:rPr>
            </w:pPr>
            <w:r w:rsidRPr="00240FA8">
              <w:rPr>
                <w:rFonts w:ascii="Times New Roman" w:hAnsi="Times New Roman" w:cs="Times New Roman"/>
                <w:szCs w:val="24"/>
              </w:rPr>
              <w:t>MSAC considered that emicizumab is easier to administer and works better than BPAs for people who have FVIII inhibitors, and is acceptably safe. MSAC supported public funding on the National Product List for people with HMA who have FVIII inhibitors. However, MSAC advised that the application did not justify the expense of emicizumab for this subpopulation, and this supportive advice was subject to pricing negotiations with the applicant.</w:t>
            </w:r>
          </w:p>
        </w:tc>
      </w:tr>
    </w:tbl>
    <w:p w14:paraId="52B09588" w14:textId="77777777" w:rsidR="00550354" w:rsidRPr="00F715D1" w:rsidRDefault="00550354" w:rsidP="0019438A">
      <w:pPr>
        <w:pStyle w:val="Heading1"/>
        <w:ind w:hanging="720"/>
      </w:pPr>
      <w:r w:rsidRPr="00F715D1">
        <w:t xml:space="preserve">Summary of consideration </w:t>
      </w:r>
      <w:r w:rsidR="002D00C5">
        <w:t>and rationale for MSAC’s advice</w:t>
      </w:r>
    </w:p>
    <w:p w14:paraId="5ACD0BD7" w14:textId="21889972" w:rsidR="00DE2112" w:rsidRDefault="00DE2112" w:rsidP="00AF78A1">
      <w:pPr>
        <w:spacing w:after="240"/>
      </w:pPr>
      <w:r>
        <w:t xml:space="preserve">MSAC </w:t>
      </w:r>
      <w:r w:rsidR="002D00C5">
        <w:t xml:space="preserve">recalled its </w:t>
      </w:r>
      <w:r>
        <w:t>consider</w:t>
      </w:r>
      <w:r w:rsidR="002D00C5">
        <w:t>ation of</w:t>
      </w:r>
      <w:r>
        <w:t xml:space="preserve"> Application 1510 at its November 2018 meeting, where it accepted </w:t>
      </w:r>
      <w:r w:rsidR="00533C47">
        <w:t xml:space="preserve">the clinical need for </w:t>
      </w:r>
      <w:r w:rsidR="00533C47" w:rsidRPr="000D2193">
        <w:t xml:space="preserve">emicizumab, </w:t>
      </w:r>
      <w:r w:rsidR="00533C47">
        <w:t xml:space="preserve">and </w:t>
      </w:r>
      <w:r>
        <w:t>that</w:t>
      </w:r>
      <w:r w:rsidR="00533C47">
        <w:t>, compared with BPAs,</w:t>
      </w:r>
      <w:r>
        <w:t xml:space="preserve"> emicizumab decreases bleed frequency</w:t>
      </w:r>
      <w:r w:rsidR="00533C47">
        <w:t>,</w:t>
      </w:r>
      <w:r w:rsidR="00533C47" w:rsidRPr="00533C47">
        <w:t xml:space="preserve"> </w:t>
      </w:r>
      <w:r w:rsidR="00533C47">
        <w:t xml:space="preserve">is easier to administer and has an </w:t>
      </w:r>
      <w:r w:rsidR="00533C47" w:rsidRPr="000D2193">
        <w:t>acceptable safety profile</w:t>
      </w:r>
      <w:r>
        <w:t xml:space="preserve">. However, MSAC </w:t>
      </w:r>
      <w:r w:rsidR="002D00C5">
        <w:t xml:space="preserve">had </w:t>
      </w:r>
      <w:r>
        <w:t xml:space="preserve">queried </w:t>
      </w:r>
      <w:r w:rsidR="002D00C5">
        <w:t xml:space="preserve">the </w:t>
      </w:r>
      <w:r>
        <w:t>cost-effectiveness</w:t>
      </w:r>
      <w:r w:rsidR="002D00C5">
        <w:t xml:space="preserve"> of emicizumab</w:t>
      </w:r>
      <w:r w:rsidR="00AF2EE3">
        <w:t xml:space="preserve"> in patients with </w:t>
      </w:r>
      <w:r w:rsidR="002D00C5">
        <w:t xml:space="preserve">FVIII </w:t>
      </w:r>
      <w:r w:rsidR="00AF2EE3">
        <w:t>inhibitors</w:t>
      </w:r>
      <w:r>
        <w:t>, as it was compared with BPAs</w:t>
      </w:r>
      <w:r w:rsidR="00D05A44">
        <w:t>,</w:t>
      </w:r>
      <w:r w:rsidR="002D00C5">
        <w:t xml:space="preserve"> which ha</w:t>
      </w:r>
      <w:r w:rsidR="00D05A44">
        <w:t>ve</w:t>
      </w:r>
      <w:r w:rsidR="002D00C5">
        <w:t xml:space="preserve"> a high cost per patient and </w:t>
      </w:r>
      <w:r w:rsidR="00C60F46" w:rsidRPr="00C60F46">
        <w:t>had not been assessed for cost-effectiveness</w:t>
      </w:r>
      <w:r>
        <w:t xml:space="preserve">. MSAC noted the </w:t>
      </w:r>
      <w:r w:rsidR="002D00C5">
        <w:t xml:space="preserve">resulting </w:t>
      </w:r>
      <w:r>
        <w:t>high cost of emicizumab</w:t>
      </w:r>
      <w:r w:rsidR="002D00C5">
        <w:t xml:space="preserve"> per patient</w:t>
      </w:r>
      <w:r>
        <w:t>, and considered that th</w:t>
      </w:r>
      <w:r w:rsidR="002D00C5">
        <w:t>is</w:t>
      </w:r>
      <w:r>
        <w:t xml:space="preserve"> cost would need to decrease before it could consider </w:t>
      </w:r>
      <w:r w:rsidR="002D00C5">
        <w:t>emicizumab</w:t>
      </w:r>
      <w:r>
        <w:t xml:space="preserve"> to be </w:t>
      </w:r>
      <w:r w:rsidR="002D00C5">
        <w:t xml:space="preserve">acceptably </w:t>
      </w:r>
      <w:r>
        <w:t>cost-effective</w:t>
      </w:r>
      <w:r w:rsidR="002D00C5">
        <w:t xml:space="preserve"> for the HMA population with FVIII inhibitors</w:t>
      </w:r>
      <w:r>
        <w:t xml:space="preserve">. MSAC also </w:t>
      </w:r>
      <w:r w:rsidR="002D00C5">
        <w:t xml:space="preserve">expressed </w:t>
      </w:r>
      <w:r>
        <w:t xml:space="preserve">concern about leakage into the </w:t>
      </w:r>
      <w:r w:rsidR="002D00C5">
        <w:t xml:space="preserve">HMA </w:t>
      </w:r>
      <w:r>
        <w:t>population without inhibitors.</w:t>
      </w:r>
    </w:p>
    <w:p w14:paraId="6572B7E5" w14:textId="2C0A4E8B" w:rsidR="000D53C1" w:rsidRDefault="00DE2112" w:rsidP="00AF78A1">
      <w:pPr>
        <w:spacing w:after="240"/>
      </w:pPr>
      <w:r>
        <w:t xml:space="preserve">This </w:t>
      </w:r>
      <w:r w:rsidR="00533C47">
        <w:t>re</w:t>
      </w:r>
      <w:r w:rsidR="00487704">
        <w:t>submissio</w:t>
      </w:r>
      <w:r w:rsidR="00D05A44">
        <w:t>n</w:t>
      </w:r>
      <w:r>
        <w:t xml:space="preserve"> proposed a weighted </w:t>
      </w:r>
      <w:r w:rsidR="00533C47">
        <w:t xml:space="preserve">average </w:t>
      </w:r>
      <w:r>
        <w:t xml:space="preserve">price arrangement </w:t>
      </w:r>
      <w:r w:rsidR="00533C47">
        <w:t>across the requested HMA subpopulations with and without FVIII inhibitors and an associated risk sharing arrangement (RSA)</w:t>
      </w:r>
      <w:r>
        <w:t xml:space="preserve">. MSAC noted that these prices are contingent on funding emicizumab for both </w:t>
      </w:r>
      <w:r w:rsidRPr="000D2193">
        <w:t xml:space="preserve">populations. </w:t>
      </w:r>
      <w:r>
        <w:t xml:space="preserve">The applicant proposed a shadow price of </w:t>
      </w:r>
      <w:r w:rsidR="001F492A">
        <w:t>$</w:t>
      </w:r>
      <w:r w:rsidR="00A872DE" w:rsidRPr="00D67508">
        <w:rPr>
          <w:b/>
          <w:szCs w:val="24"/>
        </w:rPr>
        <w:t>redacted</w:t>
      </w:r>
      <w:r w:rsidR="001F492A">
        <w:t>/mg for all requested patients without inhibitors</w:t>
      </w:r>
      <w:r w:rsidR="001F492A" w:rsidRPr="006B3AEA">
        <w:t xml:space="preserve"> and $</w:t>
      </w:r>
      <w:r w:rsidR="00A872DE" w:rsidRPr="00D67508">
        <w:rPr>
          <w:b/>
          <w:szCs w:val="24"/>
        </w:rPr>
        <w:t>redacted</w:t>
      </w:r>
      <w:r w:rsidR="001F492A" w:rsidRPr="006B3AEA">
        <w:t>/</w:t>
      </w:r>
      <w:r w:rsidR="001F492A">
        <w:t>m</w:t>
      </w:r>
      <w:r w:rsidR="001F492A" w:rsidRPr="006B3AEA">
        <w:t xml:space="preserve">g for </w:t>
      </w:r>
      <w:r w:rsidR="001F492A">
        <w:t>all requested patients with inhibitors</w:t>
      </w:r>
      <w:r w:rsidR="001F492A" w:rsidRPr="006B3AEA">
        <w:t xml:space="preserve"> in year 1 (</w:t>
      </w:r>
      <w:r w:rsidR="001F492A">
        <w:t xml:space="preserve">estimating a </w:t>
      </w:r>
      <w:r w:rsidR="001F492A" w:rsidRPr="006B3AEA">
        <w:t xml:space="preserve">weighted </w:t>
      </w:r>
      <w:r w:rsidR="001F492A">
        <w:t xml:space="preserve">average </w:t>
      </w:r>
      <w:r w:rsidR="001F492A" w:rsidRPr="006B3AEA">
        <w:t>price of $</w:t>
      </w:r>
      <w:r w:rsidR="00A872DE" w:rsidRPr="00D67508">
        <w:rPr>
          <w:b/>
          <w:szCs w:val="24"/>
        </w:rPr>
        <w:t>redacted</w:t>
      </w:r>
      <w:r w:rsidR="001F492A" w:rsidRPr="006B3AEA">
        <w:t>/</w:t>
      </w:r>
      <w:r w:rsidR="001F492A">
        <w:t>m</w:t>
      </w:r>
      <w:r w:rsidR="001F492A" w:rsidRPr="006B3AEA">
        <w:t xml:space="preserve">g). The </w:t>
      </w:r>
      <w:r w:rsidR="001F492A">
        <w:t xml:space="preserve">shadow </w:t>
      </w:r>
      <w:r w:rsidR="001F492A" w:rsidRPr="006B3AEA">
        <w:t xml:space="preserve">price for the population </w:t>
      </w:r>
      <w:r w:rsidR="001F492A">
        <w:t xml:space="preserve">with inhibitors </w:t>
      </w:r>
      <w:r w:rsidR="00236D7D">
        <w:t xml:space="preserve">would </w:t>
      </w:r>
      <w:r w:rsidR="001F492A">
        <w:t xml:space="preserve">then </w:t>
      </w:r>
      <w:r w:rsidR="001F492A" w:rsidRPr="006B3AEA">
        <w:t xml:space="preserve">decrease </w:t>
      </w:r>
      <w:r w:rsidR="001F492A">
        <w:t xml:space="preserve">each year </w:t>
      </w:r>
      <w:r w:rsidR="001F492A" w:rsidRPr="006B3AEA">
        <w:t>to $</w:t>
      </w:r>
      <w:r w:rsidR="00A872DE" w:rsidRPr="00D67508">
        <w:rPr>
          <w:b/>
          <w:szCs w:val="24"/>
        </w:rPr>
        <w:t>redacted</w:t>
      </w:r>
      <w:r w:rsidR="001F492A" w:rsidRPr="006B3AEA">
        <w:t>/</w:t>
      </w:r>
      <w:r w:rsidR="001F492A">
        <w:t>m</w:t>
      </w:r>
      <w:r w:rsidR="001F492A" w:rsidRPr="006B3AEA">
        <w:t xml:space="preserve">g </w:t>
      </w:r>
      <w:r w:rsidR="001F492A">
        <w:t>at</w:t>
      </w:r>
      <w:r w:rsidR="001F492A" w:rsidRPr="006B3AEA">
        <w:t xml:space="preserve"> year 5</w:t>
      </w:r>
      <w:r w:rsidR="00236D7D">
        <w:t>,</w:t>
      </w:r>
      <w:r w:rsidR="001F492A" w:rsidRPr="006B3AEA">
        <w:t xml:space="preserve"> with the </w:t>
      </w:r>
      <w:r w:rsidR="001F492A">
        <w:t xml:space="preserve">shadow price for the </w:t>
      </w:r>
      <w:r w:rsidR="001F492A" w:rsidRPr="006B3AEA">
        <w:t xml:space="preserve">population </w:t>
      </w:r>
      <w:r w:rsidR="001F492A">
        <w:t>with</w:t>
      </w:r>
      <w:r w:rsidR="000D6ED0">
        <w:t>out</w:t>
      </w:r>
      <w:r w:rsidR="001F492A">
        <w:t xml:space="preserve"> inhibitors </w:t>
      </w:r>
      <w:r w:rsidR="001F492A" w:rsidRPr="006B3AEA">
        <w:t xml:space="preserve">remaining the same, giving a weighted </w:t>
      </w:r>
      <w:r w:rsidR="001F492A">
        <w:t xml:space="preserve">average </w:t>
      </w:r>
      <w:r w:rsidR="001F492A" w:rsidRPr="006B3AEA">
        <w:t>price of $</w:t>
      </w:r>
      <w:r w:rsidR="00A872DE" w:rsidRPr="00D67508">
        <w:rPr>
          <w:b/>
          <w:szCs w:val="24"/>
        </w:rPr>
        <w:t>redacted</w:t>
      </w:r>
      <w:r w:rsidR="001F492A" w:rsidRPr="006B3AEA">
        <w:t>/</w:t>
      </w:r>
      <w:r w:rsidR="001F492A">
        <w:t>m</w:t>
      </w:r>
      <w:r w:rsidR="001F492A" w:rsidRPr="006B3AEA">
        <w:t>g</w:t>
      </w:r>
      <w:r w:rsidR="001F492A">
        <w:t xml:space="preserve"> in year 5</w:t>
      </w:r>
      <w:r w:rsidR="001F492A" w:rsidRPr="006B3AEA">
        <w:t>.</w:t>
      </w:r>
      <w:r w:rsidR="001F492A">
        <w:t xml:space="preserve"> These proposed shadow prices were contingent on funding emicizumab for both </w:t>
      </w:r>
      <w:r w:rsidR="001F492A" w:rsidRPr="000D2193">
        <w:t>populations</w:t>
      </w:r>
      <w:r w:rsidR="001F492A">
        <w:t xml:space="preserve"> before the end of 2019</w:t>
      </w:r>
      <w:r w:rsidR="001F492A" w:rsidRPr="000D2193">
        <w:t xml:space="preserve">. </w:t>
      </w:r>
      <w:r w:rsidR="003134A2">
        <w:t>For the reasons given in its November 2018 consideration, MSAC did not accept these shadow prices as a basis to support public funding for patients with HMA and inhibitors.</w:t>
      </w:r>
    </w:p>
    <w:p w14:paraId="1B5E8D6C" w14:textId="70A5EECF" w:rsidR="00DE2112" w:rsidRDefault="001F492A" w:rsidP="00E408EF">
      <w:pPr>
        <w:spacing w:after="240"/>
      </w:pPr>
      <w:r w:rsidRPr="000D2193">
        <w:t xml:space="preserve">The </w:t>
      </w:r>
      <w:r w:rsidR="00236D7D">
        <w:t>resu</w:t>
      </w:r>
      <w:r w:rsidR="003134A2">
        <w:t xml:space="preserve">bmission then calculated </w:t>
      </w:r>
      <w:r w:rsidRPr="000D2193">
        <w:t xml:space="preserve">weighted </w:t>
      </w:r>
      <w:r>
        <w:t xml:space="preserve">average </w:t>
      </w:r>
      <w:r w:rsidRPr="000D2193">
        <w:t>price</w:t>
      </w:r>
      <w:r w:rsidR="003134A2">
        <w:t>s</w:t>
      </w:r>
      <w:r w:rsidRPr="000D2193">
        <w:t xml:space="preserve"> </w:t>
      </w:r>
      <w:r w:rsidR="00236D7D">
        <w:t>reflect</w:t>
      </w:r>
      <w:r w:rsidR="003134A2">
        <w:t>ing</w:t>
      </w:r>
      <w:r w:rsidRPr="000D2193">
        <w:t xml:space="preserve"> </w:t>
      </w:r>
      <w:r>
        <w:t>the applicant’s estimated</w:t>
      </w:r>
      <w:r w:rsidRPr="000D2193">
        <w:t xml:space="preserve"> ratio of 9% </w:t>
      </w:r>
      <w:r>
        <w:t xml:space="preserve">with inhibitors to </w:t>
      </w:r>
      <w:r w:rsidRPr="000D2193">
        <w:t xml:space="preserve">91% </w:t>
      </w:r>
      <w:r>
        <w:t>without inhibitors</w:t>
      </w:r>
      <w:r w:rsidRPr="000D2193">
        <w:t xml:space="preserve"> </w:t>
      </w:r>
      <w:r w:rsidR="00CA12B1">
        <w:t>in the target</w:t>
      </w:r>
      <w:r w:rsidR="00327B06">
        <w:t xml:space="preserve"> HMA</w:t>
      </w:r>
      <w:r w:rsidR="00CA12B1">
        <w:t xml:space="preserve"> </w:t>
      </w:r>
      <w:r w:rsidRPr="000D2193">
        <w:t xml:space="preserve">population. MSAC noted that the population </w:t>
      </w:r>
      <w:r>
        <w:t xml:space="preserve">with inhibitors </w:t>
      </w:r>
      <w:r w:rsidRPr="000D2193">
        <w:t>w</w:t>
      </w:r>
      <w:r>
        <w:t>ould</w:t>
      </w:r>
      <w:r w:rsidRPr="000D2193">
        <w:t xml:space="preserve"> likely decrease over time, </w:t>
      </w:r>
      <w:r>
        <w:t xml:space="preserve">but so slowly as </w:t>
      </w:r>
      <w:r>
        <w:lastRenderedPageBreak/>
        <w:t xml:space="preserve">unlikely to affect the 4-year timeframe of the proposed initial RSA. MSAC also noted that Australian Bleeding Disorders Registry (ABDR) data shows that the proportion of </w:t>
      </w:r>
      <w:r w:rsidR="00CA12B1">
        <w:t xml:space="preserve">patients </w:t>
      </w:r>
      <w:r>
        <w:t>with inhibitors is approximately 2%</w:t>
      </w:r>
      <w:r w:rsidR="00CA12B1">
        <w:t xml:space="preserve"> in the overall HMA population</w:t>
      </w:r>
      <w:r>
        <w:t xml:space="preserve">, not 9%. MSAC considered that this was a significant difference </w:t>
      </w:r>
      <w:r w:rsidR="00236D7D">
        <w:t xml:space="preserve">in estimate </w:t>
      </w:r>
      <w:r>
        <w:t>and the true proportion needs to be determined.</w:t>
      </w:r>
    </w:p>
    <w:p w14:paraId="08D35567" w14:textId="101F65CF" w:rsidR="00DE2112" w:rsidRDefault="00DE2112" w:rsidP="00E408EF">
      <w:pPr>
        <w:spacing w:after="240"/>
      </w:pPr>
      <w:r>
        <w:t xml:space="preserve">MSAC noted the </w:t>
      </w:r>
      <w:r w:rsidR="001F492A">
        <w:t>re</w:t>
      </w:r>
      <w:r w:rsidR="00487704">
        <w:t>submission</w:t>
      </w:r>
      <w:r w:rsidR="001F492A">
        <w:t xml:space="preserve"> </w:t>
      </w:r>
      <w:r w:rsidR="00236D7D">
        <w:t>also proposed expenditure caps</w:t>
      </w:r>
      <w:r w:rsidR="00236D7D" w:rsidRPr="004E4C79">
        <w:t xml:space="preserve"> </w:t>
      </w:r>
      <w:r w:rsidR="00236D7D">
        <w:t>for emicizumab of $</w:t>
      </w:r>
      <w:r w:rsidR="00A872DE" w:rsidRPr="00D67508">
        <w:rPr>
          <w:b/>
          <w:szCs w:val="24"/>
        </w:rPr>
        <w:t>redacted</w:t>
      </w:r>
      <w:r w:rsidR="00A872DE" w:rsidDel="00A872DE">
        <w:t xml:space="preserve"> </w:t>
      </w:r>
      <w:r w:rsidR="00236D7D">
        <w:t>million in year 1</w:t>
      </w:r>
      <w:r w:rsidR="003B21BD">
        <w:t>,</w:t>
      </w:r>
      <w:r w:rsidR="00236D7D">
        <w:t xml:space="preserve"> increasing each year to $</w:t>
      </w:r>
      <w:r w:rsidR="00A872DE" w:rsidRPr="00D67508">
        <w:rPr>
          <w:b/>
          <w:szCs w:val="24"/>
        </w:rPr>
        <w:t>redacted</w:t>
      </w:r>
      <w:r w:rsidR="00A872DE" w:rsidDel="00A872DE">
        <w:t xml:space="preserve"> </w:t>
      </w:r>
      <w:r w:rsidR="00236D7D">
        <w:t>million in year 5. If an expenditure cap is exceeded, the lower price of $</w:t>
      </w:r>
      <w:r w:rsidR="00A872DE" w:rsidRPr="00D67508">
        <w:rPr>
          <w:b/>
          <w:szCs w:val="24"/>
        </w:rPr>
        <w:t>redacted</w:t>
      </w:r>
      <w:r w:rsidR="00236D7D">
        <w:t>/mg would apply to all emicizumab usage beyond the cap. MSAC considered this RSA to be inadequate, as it would not disincentivise treating mild patients and thus does not address the concern of leakage beyond the requested subpopulations. MSAC noted that, currently, very few patients with mild HMA are treated prophylactically, but the RSA should still account for emicizumab prophylaxis as a future possibility for such patients. MSAC also noted that the RSA is based on the cost of FVIII. MSAC considered that the cost of FVIII would decrease in the future, and thus the cost of emicizumab could be linked to the falling cost of FVIII.</w:t>
      </w:r>
    </w:p>
    <w:p w14:paraId="49E9E624" w14:textId="575685B6" w:rsidR="00030083" w:rsidRDefault="00B603B7" w:rsidP="00E408EF">
      <w:pPr>
        <w:spacing w:after="240"/>
      </w:pPr>
      <w:r>
        <w:t xml:space="preserve">MSAC advised that using the proposed weighted average price was not adequately justified in economic terms, and would also still result in uncertainties for overall financial impact, as on-demand patients are not accounted for, and leakage into the mild and untreated HMA populations remains a concern. On-demand patients </w:t>
      </w:r>
      <w:r w:rsidR="00900FE5">
        <w:t>have a higher annualised bleeding rate as compared to those receiving prophylaxis</w:t>
      </w:r>
      <w:r>
        <w:t>, and treating these bleeds is costly and must be factored into the financial calculations. In addition, the applicant’s RSA did not eliminate all financial risks of leakage.</w:t>
      </w:r>
    </w:p>
    <w:p w14:paraId="53239157" w14:textId="6C3CC60E" w:rsidR="00B603B7" w:rsidRDefault="00B603B7" w:rsidP="00E408EF">
      <w:pPr>
        <w:spacing w:after="240"/>
      </w:pPr>
      <w:r>
        <w:t>In this context, MSAC also noted the strong consumer and industry support for emicizumab, and their expectations of an increase in patient quality of life and flow-on consequences for families and productivity associated with using it compared with BPAs.</w:t>
      </w:r>
    </w:p>
    <w:p w14:paraId="0373541E" w14:textId="40C64C1E" w:rsidR="00B603B7" w:rsidRDefault="00B603B7" w:rsidP="00E408EF">
      <w:pPr>
        <w:spacing w:after="240"/>
      </w:pPr>
      <w:r>
        <w:t>MSAC therefore advised that alternative approaches were needed to generate shadow prices and a revised RSA for emicizumab across all the affected HMA subpopulations, whether requested or not.</w:t>
      </w:r>
      <w:r w:rsidR="00193516">
        <w:t xml:space="preserve"> These approaches are outlined in more detail in the attachment.</w:t>
      </w:r>
      <w:r w:rsidR="00E07673">
        <w:t xml:space="preserve"> MSAC further advised that the most recent ABDR data be used in calculating these shadow prices and so the calculations and results of this approach in this MSAC-ratified document were finalised using ABDR data that became available soon</w:t>
      </w:r>
      <w:r w:rsidR="00E07673" w:rsidRPr="006C6834">
        <w:t xml:space="preserve"> </w:t>
      </w:r>
      <w:r w:rsidR="00E07673">
        <w:t>after the MSAC meeting itself.</w:t>
      </w:r>
    </w:p>
    <w:p w14:paraId="7F75175A" w14:textId="0DAB9186" w:rsidR="00D05A44" w:rsidRDefault="00D05A44" w:rsidP="00E408EF">
      <w:pPr>
        <w:spacing w:after="240"/>
      </w:pPr>
      <w:r>
        <w:t xml:space="preserve">As part of its advice for </w:t>
      </w:r>
      <w:r>
        <w:rPr>
          <w:bCs/>
        </w:rPr>
        <w:t xml:space="preserve">Application No. 1579 (HMA without FVIII inhibitors), </w:t>
      </w:r>
      <w:r>
        <w:t>MSAC advised that the application’s economic evaluation provided an acceptable basis for calculating a price for emicizumab of $</w:t>
      </w:r>
      <w:r w:rsidR="000F4FF2" w:rsidRPr="00D67508">
        <w:rPr>
          <w:b/>
          <w:szCs w:val="24"/>
        </w:rPr>
        <w:t>redacted</w:t>
      </w:r>
      <w:r>
        <w:t>/mg for patients with severe HMA without inhibitors</w:t>
      </w:r>
      <w:r w:rsidR="007E0368">
        <w:t xml:space="preserve"> who previously received FVIII prophylaxis</w:t>
      </w:r>
      <w:r>
        <w:t>.</w:t>
      </w:r>
    </w:p>
    <w:p w14:paraId="0191527F" w14:textId="2C8308A0" w:rsidR="00B603B7" w:rsidRDefault="00B603B7" w:rsidP="00E408EF">
      <w:pPr>
        <w:spacing w:after="240"/>
      </w:pPr>
      <w:r>
        <w:t>For patients starting emicizumab who previously received prophylaxis, MSAC advised that the shadow price for emicizumab be linked to its ability to reduce annualised bleed rates, noting the consequences of bleeds for patient outcomes and extra costs. MSAC noted the growing clinical trend towards achieving zero annualised bleeds, and accepted this as clinically valuable, and possibly more important clinically. However, MSAC considered that estimates of annualised bleed rates have been estimated with greater confidence, and are therefore a preferred basis by which to benchmark shadow prices for emicizumab for patients starting emicizumab who previously received prophylaxis.</w:t>
      </w:r>
    </w:p>
    <w:p w14:paraId="3AE144EC" w14:textId="0E96FC0C" w:rsidR="001522B3" w:rsidRDefault="00B603B7" w:rsidP="00E408EF">
      <w:pPr>
        <w:spacing w:after="240"/>
      </w:pPr>
      <w:r>
        <w:t>At the requested price of $</w:t>
      </w:r>
      <w:r w:rsidR="000F4FF2" w:rsidRPr="00D67508">
        <w:rPr>
          <w:b/>
          <w:szCs w:val="24"/>
        </w:rPr>
        <w:t>redacted</w:t>
      </w:r>
      <w:r>
        <w:t xml:space="preserve">/mg justified </w:t>
      </w:r>
      <w:r w:rsidR="000E17D0">
        <w:t xml:space="preserve">by the applicant using </w:t>
      </w:r>
      <w:r>
        <w:t xml:space="preserve">a cost- </w:t>
      </w:r>
      <w:r w:rsidR="00FF2807">
        <w:t>consequences</w:t>
      </w:r>
      <w:r w:rsidR="000E17D0">
        <w:t xml:space="preserve"> analysis </w:t>
      </w:r>
      <w:r>
        <w:t xml:space="preserve">for </w:t>
      </w:r>
      <w:r w:rsidR="007E0368">
        <w:t xml:space="preserve">patients with </w:t>
      </w:r>
      <w:r>
        <w:t xml:space="preserve">severe </w:t>
      </w:r>
      <w:r w:rsidR="00DF277A">
        <w:t xml:space="preserve">and moderate </w:t>
      </w:r>
      <w:r w:rsidR="007E0368">
        <w:t xml:space="preserve">HMA </w:t>
      </w:r>
      <w:r w:rsidR="00D05A44">
        <w:t xml:space="preserve">without inhibitors </w:t>
      </w:r>
      <w:r w:rsidR="007E0368">
        <w:t xml:space="preserve">who previously </w:t>
      </w:r>
      <w:r>
        <w:lastRenderedPageBreak/>
        <w:t>receiv</w:t>
      </w:r>
      <w:r w:rsidR="007E0368">
        <w:t>ed FVIII</w:t>
      </w:r>
      <w:r>
        <w:t xml:space="preserve"> prophylaxis, </w:t>
      </w:r>
      <w:r w:rsidR="007E0368">
        <w:t xml:space="preserve">MSAC calculated </w:t>
      </w:r>
      <w:r>
        <w:t xml:space="preserve">the cost per annualised bleed </w:t>
      </w:r>
      <w:r w:rsidR="00B72E35">
        <w:t xml:space="preserve">for severe HMA patients on a cost-minimisation basis </w:t>
      </w:r>
      <w:r w:rsidR="007E0368">
        <w:t>as</w:t>
      </w:r>
      <w:r>
        <w:t xml:space="preserve"> $</w:t>
      </w:r>
      <w:r w:rsidR="000F4FF2" w:rsidRPr="00D67508">
        <w:rPr>
          <w:b/>
          <w:szCs w:val="24"/>
        </w:rPr>
        <w:t>redacted</w:t>
      </w:r>
      <w:r>
        <w:t>/(4.8-1.5) = $</w:t>
      </w:r>
      <w:r w:rsidR="000F4FF2" w:rsidRPr="00D67508">
        <w:rPr>
          <w:b/>
          <w:szCs w:val="24"/>
        </w:rPr>
        <w:t>redacted</w:t>
      </w:r>
      <w:r w:rsidR="008B037A">
        <w:t>/mg</w:t>
      </w:r>
    </w:p>
    <w:p w14:paraId="4A54EBF7" w14:textId="79A7C2FD" w:rsidR="001522B3" w:rsidRDefault="001522B3" w:rsidP="00E408EF">
      <w:pPr>
        <w:spacing w:after="240"/>
      </w:pPr>
      <w:r>
        <w:t xml:space="preserve">Applying this cost per annualised bleed averted </w:t>
      </w:r>
      <w:r w:rsidR="007E0368">
        <w:t>for</w:t>
      </w:r>
      <w:r>
        <w:t xml:space="preserve"> patients with inhibitors who previously received BPA prophylaxis</w:t>
      </w:r>
      <w:r w:rsidR="007E0368">
        <w:t xml:space="preserve">, and reflecting </w:t>
      </w:r>
      <w:r>
        <w:t>2.9 bleeds per year for emicizumab from Arm A of HAVEN 1 and 15.7 bleeds per year for BPAs from the NIS BPA study</w:t>
      </w:r>
      <w:r w:rsidR="007E0368">
        <w:t>,</w:t>
      </w:r>
      <w:r>
        <w:t xml:space="preserve"> gives: (15.7-2.9) x $</w:t>
      </w:r>
      <w:r w:rsidR="000F4FF2" w:rsidRPr="00D67508">
        <w:rPr>
          <w:b/>
          <w:szCs w:val="24"/>
        </w:rPr>
        <w:t>redacted</w:t>
      </w:r>
      <w:r w:rsidR="000F4FF2" w:rsidDel="000F4FF2">
        <w:t xml:space="preserve"> </w:t>
      </w:r>
      <w:r>
        <w:t>= $</w:t>
      </w:r>
      <w:r w:rsidR="000F4FF2" w:rsidRPr="00D67508">
        <w:rPr>
          <w:b/>
          <w:szCs w:val="24"/>
        </w:rPr>
        <w:t>redacted</w:t>
      </w:r>
      <w:r>
        <w:t>/mg.</w:t>
      </w:r>
    </w:p>
    <w:p w14:paraId="2E52A80A" w14:textId="1C0C6E59" w:rsidR="008B037A" w:rsidRDefault="001522B3" w:rsidP="00E408EF">
      <w:pPr>
        <w:spacing w:after="240"/>
      </w:pPr>
      <w:r>
        <w:t xml:space="preserve">MSAC advised that, to generate a corresponding </w:t>
      </w:r>
      <w:r w:rsidR="008B037A">
        <w:t xml:space="preserve">shadow price for emicizumab in patients with inhibitors who previously received </w:t>
      </w:r>
      <w:r w:rsidR="007056D0">
        <w:t xml:space="preserve">a </w:t>
      </w:r>
      <w:r w:rsidR="008B037A">
        <w:t xml:space="preserve">BPA on demand, </w:t>
      </w:r>
      <w:r>
        <w:t xml:space="preserve">a similar approach </w:t>
      </w:r>
      <w:r w:rsidR="008B037A">
        <w:t>should be taken as advised for patients without inhibitors, which gives: $</w:t>
      </w:r>
      <w:r w:rsidR="000F4FF2" w:rsidRPr="00D67508">
        <w:rPr>
          <w:b/>
          <w:szCs w:val="24"/>
        </w:rPr>
        <w:t>redacted</w:t>
      </w:r>
      <w:r w:rsidR="00B112B1">
        <w:rPr>
          <w:b/>
          <w:szCs w:val="24"/>
        </w:rPr>
        <w:t xml:space="preserve"> </w:t>
      </w:r>
      <w:r w:rsidR="008B037A">
        <w:t>x (</w:t>
      </w:r>
      <w:r w:rsidR="003B2899" w:rsidRPr="003B2899">
        <w:t>($</w:t>
      </w:r>
      <w:r w:rsidR="0065588C" w:rsidRPr="00B112B1">
        <w:rPr>
          <w:b/>
        </w:rPr>
        <w:t>redacted</w:t>
      </w:r>
      <w:r w:rsidR="008B037A">
        <w:t>) = $</w:t>
      </w:r>
      <w:r w:rsidR="000F4FF2" w:rsidRPr="00D67508">
        <w:rPr>
          <w:b/>
          <w:szCs w:val="24"/>
        </w:rPr>
        <w:t>redacted</w:t>
      </w:r>
      <w:r w:rsidR="008B037A">
        <w:t>/mg.</w:t>
      </w:r>
    </w:p>
    <w:p w14:paraId="22A4900B" w14:textId="504BAD2A" w:rsidR="007056D0" w:rsidRDefault="008B037A" w:rsidP="00E408EF">
      <w:pPr>
        <w:spacing w:after="240"/>
      </w:pPr>
      <w:r>
        <w:t>MSAC noted that the ABDR data indicated that some patients with inhibitors were receiving immune tolerance induction therapy. MSAC considered it highly unlikely that such a course of therapy would be interrupted to start emicizumab</w:t>
      </w:r>
      <w:r w:rsidR="007056D0">
        <w:t>, so advised that the shadow price of $</w:t>
      </w:r>
      <w:r w:rsidR="000F4FF2" w:rsidRPr="00D67508">
        <w:rPr>
          <w:b/>
          <w:szCs w:val="24"/>
        </w:rPr>
        <w:t>redacted</w:t>
      </w:r>
      <w:r w:rsidR="007056D0">
        <w:t xml:space="preserve">/mg </w:t>
      </w:r>
      <w:r w:rsidR="00EC2692">
        <w:t xml:space="preserve">could </w:t>
      </w:r>
      <w:r w:rsidR="007056D0">
        <w:t xml:space="preserve">be used for this </w:t>
      </w:r>
      <w:r w:rsidR="00EC2692">
        <w:t xml:space="preserve">unlikely </w:t>
      </w:r>
      <w:r w:rsidR="007056D0">
        <w:t xml:space="preserve">use beyond the requested </w:t>
      </w:r>
      <w:r w:rsidR="00EC2692">
        <w:t>sub</w:t>
      </w:r>
      <w:r w:rsidR="007056D0">
        <w:t>population</w:t>
      </w:r>
      <w:r w:rsidR="00EC2692">
        <w:t>s</w:t>
      </w:r>
      <w:r w:rsidR="007056D0">
        <w:t>.</w:t>
      </w:r>
    </w:p>
    <w:p w14:paraId="2C3BD3A9" w14:textId="6D8DD3D1" w:rsidR="00EC2692" w:rsidRDefault="00EC2692" w:rsidP="00EC2692">
      <w:r>
        <w:t xml:space="preserve">MSAC further advised that the Department of Health should negotiate with the applicant to finalise how these shadow prices should be aggregated to generate the weighted average price for inclusion in the financial analyses for all requested subpopulations (including patients without inhibitors), and also how they should be best incorporated into the proposed RSA to account for any usage of emicizumab in patients with HMA beyond the requested subpopulations. Noting the proposed 4-year timeframe of this proposed initial RSA, MSAC also advised that </w:t>
      </w:r>
      <w:r w:rsidR="007C45D5">
        <w:t xml:space="preserve">the fact of </w:t>
      </w:r>
      <w:r>
        <w:t>it</w:t>
      </w:r>
      <w:r w:rsidR="007C45D5">
        <w:t xml:space="preserve">s existence should be public, and it </w:t>
      </w:r>
      <w:r>
        <w:t>should not inadvertently exclude the possibility of funding other emerging therapies for HMA.</w:t>
      </w:r>
    </w:p>
    <w:p w14:paraId="38A265FD" w14:textId="0B7B209C" w:rsidR="00A45FDE" w:rsidRDefault="00EC2692" w:rsidP="00E408EF">
      <w:pPr>
        <w:spacing w:before="240" w:after="240"/>
      </w:pPr>
      <w:r>
        <w:t>Reflecting the residual uncertainty about expected rates of emicizumab uptake across the subpopulations, MSAC advised that this approach would also inform a review 12 to 24 months after emicizumab listing using data from the ABDR and haemophilia treatment centres to confirm the nature of the previous treatment and the HMA severity for each patient who starts emicizumab. Further, as this approach is most relevant to the prevalent pool of patients at the time that emicizumab is listed, consideration of how this approach might need to deal with incident patients could be considered at the time of this recommended review.</w:t>
      </w:r>
    </w:p>
    <w:p w14:paraId="252E7C4A" w14:textId="7E127D27" w:rsidR="00DE2112" w:rsidRPr="00DE2112" w:rsidRDefault="00A45FDE" w:rsidP="00E408EF">
      <w:pPr>
        <w:spacing w:after="240"/>
      </w:pPr>
      <w:r>
        <w:t>For implementation purposes, MSAC advised that prescription of funded emicizumab should be limited to haematologists working in Haemophilia Treatment Centres, and that BPAs would still be needed to manage breakthrough bleeds.</w:t>
      </w:r>
    </w:p>
    <w:p w14:paraId="0362DA69" w14:textId="0C7F5F0A" w:rsidR="00DE2112" w:rsidRDefault="00DE2112" w:rsidP="00DE2112">
      <w:r>
        <w:t>MSAC noted that cost-effectiveness studies have never been</w:t>
      </w:r>
      <w:r w:rsidR="00EC2692">
        <w:t xml:space="preserve"> used to inform the existing prices</w:t>
      </w:r>
      <w:r>
        <w:t xml:space="preserve"> for BPAs, making economic evaluations difficult for applications such as this</w:t>
      </w:r>
      <w:r w:rsidR="00EC2692">
        <w:t xml:space="preserve"> which rely on accepting that BPAs are acceptably cost-effective</w:t>
      </w:r>
      <w:r>
        <w:t xml:space="preserve">. MSAC wondered if </w:t>
      </w:r>
      <w:r w:rsidR="00EC2692">
        <w:t xml:space="preserve">it would be informative to </w:t>
      </w:r>
      <w:r>
        <w:t xml:space="preserve">commission a study </w:t>
      </w:r>
      <w:r w:rsidR="00EC2692">
        <w:t xml:space="preserve">to identify the reduction in prices at which </w:t>
      </w:r>
      <w:r>
        <w:t xml:space="preserve">BPAs would be </w:t>
      </w:r>
      <w:r w:rsidR="00EC2692">
        <w:t>acceptably cost-effective</w:t>
      </w:r>
      <w:r>
        <w:t>, especially since there are products on the horizon that are similar to emicizumab, and that would likely be put forward for public funding in the future. Such treatments are currently in Phase 2 trials.</w:t>
      </w:r>
    </w:p>
    <w:p w14:paraId="3B2BAAE3" w14:textId="77777777" w:rsidR="00BC1364" w:rsidRPr="00F715D1" w:rsidRDefault="00BC1364" w:rsidP="0019438A">
      <w:pPr>
        <w:pStyle w:val="Heading1"/>
        <w:ind w:hanging="720"/>
      </w:pPr>
      <w:r w:rsidRPr="00F715D1">
        <w:t>Background</w:t>
      </w:r>
    </w:p>
    <w:p w14:paraId="1547AA59" w14:textId="77777777" w:rsidR="00CA408A" w:rsidRPr="00DF4DBE" w:rsidRDefault="00CA408A" w:rsidP="00CA408A">
      <w:pPr>
        <w:pStyle w:val="Default"/>
        <w:spacing w:after="240"/>
        <w:rPr>
          <w:b/>
          <w:color w:val="auto"/>
        </w:rPr>
      </w:pPr>
      <w:r>
        <w:t xml:space="preserve">At its November 2018 meeting, MSAC </w:t>
      </w:r>
      <w:r w:rsidRPr="0079037D">
        <w:rPr>
          <w:color w:val="auto"/>
        </w:rPr>
        <w:t>did not support emicizumab for routine prophylaxis to prevent bleeding or reduce frequency of bleeding episodes in patients with haemophilia</w:t>
      </w:r>
      <w:r>
        <w:rPr>
          <w:color w:val="auto"/>
        </w:rPr>
        <w:t> </w:t>
      </w:r>
      <w:r w:rsidRPr="0079037D">
        <w:rPr>
          <w:color w:val="auto"/>
        </w:rPr>
        <w:t>A with factor</w:t>
      </w:r>
      <w:r>
        <w:rPr>
          <w:color w:val="auto"/>
        </w:rPr>
        <w:t> </w:t>
      </w:r>
      <w:r w:rsidRPr="0079037D">
        <w:rPr>
          <w:color w:val="auto"/>
        </w:rPr>
        <w:t xml:space="preserve">VIII inhibitors. MSAC accepted that there was strong evidence that emicizumab substantially reduced the frequency of bleeding episodes; however, MSAC was concerned </w:t>
      </w:r>
      <w:r w:rsidRPr="0079037D">
        <w:rPr>
          <w:color w:val="auto"/>
        </w:rPr>
        <w:lastRenderedPageBreak/>
        <w:t>that the economic justification for funding came from reductions in current practice, which has not itself been shown to be acceptably cost-effective. Rather than consolidate potentially cost-ineffective practice, MSAC requested that the cost-effectiveness of current practice be determined as a means to then determine the cost-effectiveness of emicizumab in the proposed population. MSAC was also concerned that there were practical difficulties in ensuring that, over time, emicizumab would remain limited to the propose</w:t>
      </w:r>
      <w:r>
        <w:rPr>
          <w:color w:val="auto"/>
        </w:rPr>
        <w:t>d target population [</w:t>
      </w:r>
      <w:r>
        <w:t>Public Summary Document (PSD) Application No. 1510.1 2018, p1]</w:t>
      </w:r>
      <w:r w:rsidRPr="00335A16">
        <w:t>.</w:t>
      </w:r>
    </w:p>
    <w:p w14:paraId="795ED0AD" w14:textId="73101DE4" w:rsidR="00CA408A" w:rsidRPr="003700A9" w:rsidRDefault="00CA408A" w:rsidP="00CA408A">
      <w:r>
        <w:t xml:space="preserve">The Department outlined two options for consideration in order to progress Application 1510. The first option was for the applicant to undertake the review of current practice involving </w:t>
      </w:r>
      <w:r w:rsidRPr="009415F1">
        <w:t>bypass agents (</w:t>
      </w:r>
      <w:r>
        <w:t>BPAs) as outline</w:t>
      </w:r>
      <w:r w:rsidR="00746035">
        <w:t>d</w:t>
      </w:r>
      <w:r>
        <w:t xml:space="preserve"> in the 1510 PSD, noting that this would be an extended and uncertain process requiring considerable resources. The second option was to adopt the reduced price offered in Application 1579 across all requested patients. The applicant instead offered a weighted pricing approach across all requested HMA patients, involving </w:t>
      </w:r>
      <w:r w:rsidR="00820070" w:rsidRPr="00D67508">
        <w:rPr>
          <w:b/>
          <w:szCs w:val="24"/>
        </w:rPr>
        <w:t>redacted</w:t>
      </w:r>
      <w:r>
        <w:t>%/year reductions over the first five years of listing.</w:t>
      </w:r>
    </w:p>
    <w:p w14:paraId="45786D77" w14:textId="77777777" w:rsidR="00BC1364" w:rsidRPr="00F715D1" w:rsidRDefault="00BC1364" w:rsidP="0019438A">
      <w:pPr>
        <w:pStyle w:val="Heading1"/>
        <w:ind w:hanging="720"/>
      </w:pPr>
      <w:r w:rsidRPr="00F715D1">
        <w:t>Prerequisites to implementation of any funding advice</w:t>
      </w:r>
    </w:p>
    <w:p w14:paraId="380C485F" w14:textId="77777777" w:rsidR="00CA408A" w:rsidRPr="00F7484F" w:rsidRDefault="00CA408A" w:rsidP="00CA408A">
      <w:r>
        <w:t>Refer to Application 1510 PSD 2018, p3 for details of the four relevant items listed on the ARTG.</w:t>
      </w:r>
    </w:p>
    <w:p w14:paraId="4A412BB1" w14:textId="77777777" w:rsidR="00BC1364" w:rsidRPr="00F715D1" w:rsidRDefault="00BC1364" w:rsidP="0019438A">
      <w:pPr>
        <w:pStyle w:val="Heading1"/>
        <w:ind w:hanging="720"/>
      </w:pPr>
      <w:r w:rsidRPr="00F715D1">
        <w:t>Proposal for public funding</w:t>
      </w:r>
    </w:p>
    <w:p w14:paraId="52BFF4C3" w14:textId="158D8B29" w:rsidR="00CA408A" w:rsidRDefault="00CA408A" w:rsidP="00E408EF">
      <w:pPr>
        <w:spacing w:after="240"/>
      </w:pPr>
      <w:r>
        <w:t xml:space="preserve">The prices offered to the NBA for the inhibitor subgroup (Application 1510), considered by MSAC at its November 2018 meeting </w:t>
      </w:r>
      <w:r w:rsidR="0005302F">
        <w:t>are</w:t>
      </w:r>
      <w:r>
        <w:t xml:space="preserve"> show in </w:t>
      </w:r>
      <w:r w:rsidR="00030083">
        <w:t xml:space="preserve">Table </w:t>
      </w:r>
      <w:r>
        <w:t>1. These prices are equivalent to $</w:t>
      </w:r>
      <w:r w:rsidR="00820070" w:rsidRPr="00D67508">
        <w:rPr>
          <w:b/>
          <w:szCs w:val="24"/>
        </w:rPr>
        <w:t>redacted</w:t>
      </w:r>
      <w:r>
        <w:t>/mg.</w:t>
      </w:r>
    </w:p>
    <w:p w14:paraId="291DC0DF" w14:textId="171C5DA4" w:rsidR="00CA408A" w:rsidRPr="00B81560" w:rsidRDefault="00CA408A" w:rsidP="00B81560">
      <w:pPr>
        <w:rPr>
          <w:rFonts w:ascii="Arial Narrow" w:hAnsi="Arial Narrow"/>
          <w:b/>
          <w:sz w:val="20"/>
        </w:rPr>
      </w:pPr>
      <w:bookmarkStart w:id="1" w:name="_Ref4482684"/>
      <w:bookmarkStart w:id="2" w:name="_Toc5278995"/>
      <w:bookmarkStart w:id="3" w:name="_Toc5361455"/>
      <w:r w:rsidRPr="00B81560">
        <w:rPr>
          <w:rFonts w:ascii="Arial Narrow" w:hAnsi="Arial Narrow"/>
          <w:b/>
          <w:sz w:val="20"/>
        </w:rPr>
        <w:t xml:space="preserve">Table </w:t>
      </w:r>
      <w:bookmarkEnd w:id="1"/>
      <w:r w:rsidRPr="00B81560">
        <w:rPr>
          <w:rFonts w:ascii="Arial Narrow" w:hAnsi="Arial Narrow"/>
          <w:b/>
          <w:sz w:val="20"/>
        </w:rPr>
        <w:t>1</w:t>
      </w:r>
      <w:r w:rsidRPr="00B81560">
        <w:rPr>
          <w:rFonts w:ascii="Arial Narrow" w:hAnsi="Arial Narrow"/>
          <w:b/>
          <w:sz w:val="20"/>
        </w:rPr>
        <w:tab/>
        <w:t>Previous price for emicizumab in inhibitor patients</w:t>
      </w:r>
      <w:bookmarkEnd w:id="2"/>
      <w:bookmarkEnd w:id="3"/>
    </w:p>
    <w:tbl>
      <w:tblPr>
        <w:tblStyle w:val="TableGrid"/>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1304"/>
        <w:gridCol w:w="1412"/>
        <w:gridCol w:w="3072"/>
        <w:gridCol w:w="2096"/>
        <w:gridCol w:w="1132"/>
      </w:tblGrid>
      <w:tr w:rsidR="00CA408A" w:rsidRPr="0026114F" w:rsidDel="00A134DA" w14:paraId="4ADFA472" w14:textId="77777777" w:rsidTr="00B81560">
        <w:trPr>
          <w:trHeight w:val="250"/>
          <w:tblHeader/>
        </w:trPr>
        <w:tc>
          <w:tcPr>
            <w:tcW w:w="1308" w:type="dxa"/>
          </w:tcPr>
          <w:p w14:paraId="757CF14B" w14:textId="77777777" w:rsidR="00CA408A" w:rsidRPr="0026114F" w:rsidDel="00A134DA" w:rsidRDefault="00CA408A" w:rsidP="00EC2692">
            <w:pPr>
              <w:pStyle w:val="TableText"/>
              <w:rPr>
                <w:rFonts w:ascii="Arial Narrow" w:hAnsi="Arial Narrow"/>
                <w:b/>
              </w:rPr>
            </w:pPr>
            <w:r w:rsidRPr="0026114F">
              <w:rPr>
                <w:rFonts w:ascii="Arial Narrow" w:hAnsi="Arial Narrow"/>
                <w:b/>
              </w:rPr>
              <w:t>Product Type</w:t>
            </w:r>
          </w:p>
        </w:tc>
        <w:tc>
          <w:tcPr>
            <w:tcW w:w="1418" w:type="dxa"/>
          </w:tcPr>
          <w:p w14:paraId="5541B29F" w14:textId="77777777" w:rsidR="00CA408A" w:rsidRPr="0026114F" w:rsidDel="00A134DA" w:rsidRDefault="00CA408A" w:rsidP="00EC2692">
            <w:pPr>
              <w:pStyle w:val="TableText"/>
              <w:rPr>
                <w:rFonts w:ascii="Arial Narrow" w:hAnsi="Arial Narrow"/>
                <w:b/>
              </w:rPr>
            </w:pPr>
            <w:r w:rsidRPr="0026114F">
              <w:rPr>
                <w:rFonts w:ascii="Arial Narrow" w:hAnsi="Arial Narrow"/>
                <w:b/>
              </w:rPr>
              <w:t>Name</w:t>
            </w:r>
          </w:p>
        </w:tc>
        <w:tc>
          <w:tcPr>
            <w:tcW w:w="3118" w:type="dxa"/>
          </w:tcPr>
          <w:p w14:paraId="546E58A6" w14:textId="77777777" w:rsidR="00CA408A" w:rsidRPr="0026114F" w:rsidDel="00A134DA" w:rsidRDefault="00CA408A" w:rsidP="00EC2692">
            <w:pPr>
              <w:pStyle w:val="TableText"/>
              <w:rPr>
                <w:rFonts w:ascii="Arial Narrow" w:hAnsi="Arial Narrow"/>
                <w:b/>
              </w:rPr>
            </w:pPr>
            <w:r w:rsidRPr="0026114F">
              <w:rPr>
                <w:rFonts w:ascii="Arial Narrow" w:hAnsi="Arial Narrow"/>
                <w:b/>
              </w:rPr>
              <w:t>Presentation</w:t>
            </w:r>
          </w:p>
        </w:tc>
        <w:tc>
          <w:tcPr>
            <w:tcW w:w="2126" w:type="dxa"/>
          </w:tcPr>
          <w:p w14:paraId="284BBECF" w14:textId="77777777" w:rsidR="00CA408A" w:rsidRPr="0026114F" w:rsidDel="00A134DA" w:rsidRDefault="00CA408A" w:rsidP="00EC2692">
            <w:pPr>
              <w:pStyle w:val="TableText"/>
              <w:rPr>
                <w:rFonts w:ascii="Arial Narrow" w:hAnsi="Arial Narrow"/>
                <w:b/>
              </w:rPr>
            </w:pPr>
            <w:r w:rsidRPr="0026114F">
              <w:rPr>
                <w:rFonts w:ascii="Arial Narrow" w:hAnsi="Arial Narrow"/>
                <w:b/>
              </w:rPr>
              <w:t>Supplier</w:t>
            </w:r>
          </w:p>
        </w:tc>
        <w:tc>
          <w:tcPr>
            <w:tcW w:w="1134" w:type="dxa"/>
          </w:tcPr>
          <w:p w14:paraId="7CE3D141" w14:textId="77777777" w:rsidR="00CA408A" w:rsidRPr="0026114F" w:rsidDel="00A134DA" w:rsidRDefault="00CA408A" w:rsidP="00EC2692">
            <w:pPr>
              <w:pStyle w:val="TableText"/>
              <w:rPr>
                <w:rFonts w:ascii="Arial Narrow" w:hAnsi="Arial Narrow"/>
                <w:b/>
              </w:rPr>
            </w:pPr>
            <w:r w:rsidRPr="0026114F">
              <w:rPr>
                <w:rFonts w:ascii="Arial Narrow" w:hAnsi="Arial Narrow"/>
                <w:b/>
              </w:rPr>
              <w:t>Price</w:t>
            </w:r>
          </w:p>
        </w:tc>
      </w:tr>
      <w:tr w:rsidR="00CA408A" w:rsidRPr="0026114F" w:rsidDel="00A134DA" w14:paraId="5F2BF82A" w14:textId="77777777" w:rsidTr="00B81560">
        <w:trPr>
          <w:trHeight w:val="250"/>
        </w:trPr>
        <w:tc>
          <w:tcPr>
            <w:tcW w:w="1308" w:type="dxa"/>
          </w:tcPr>
          <w:p w14:paraId="00B490BF" w14:textId="16C87A85" w:rsidR="00CA408A" w:rsidRPr="0026114F" w:rsidDel="00A134DA" w:rsidRDefault="00CA408A" w:rsidP="00852B59">
            <w:pPr>
              <w:pStyle w:val="TableText"/>
              <w:rPr>
                <w:rFonts w:ascii="Arial Narrow" w:hAnsi="Arial Narrow"/>
              </w:rPr>
            </w:pPr>
            <w:r w:rsidRPr="0026114F">
              <w:rPr>
                <w:rFonts w:ascii="Arial Narrow" w:hAnsi="Arial Narrow"/>
              </w:rPr>
              <w:t>Emicizumab</w:t>
            </w:r>
          </w:p>
        </w:tc>
        <w:tc>
          <w:tcPr>
            <w:tcW w:w="1418" w:type="dxa"/>
          </w:tcPr>
          <w:p w14:paraId="2A218F02" w14:textId="77777777" w:rsidR="00CA408A" w:rsidRPr="0026114F" w:rsidDel="00A134DA" w:rsidRDefault="00CA408A" w:rsidP="00EC2692">
            <w:pPr>
              <w:pStyle w:val="TableText"/>
              <w:rPr>
                <w:rFonts w:ascii="Arial Narrow" w:hAnsi="Arial Narrow"/>
              </w:rPr>
            </w:pPr>
            <w:r w:rsidRPr="0026114F">
              <w:rPr>
                <w:rFonts w:ascii="Arial Narrow" w:hAnsi="Arial Narrow"/>
              </w:rPr>
              <w:t>HEMLIBRA®</w:t>
            </w:r>
          </w:p>
        </w:tc>
        <w:tc>
          <w:tcPr>
            <w:tcW w:w="3118" w:type="dxa"/>
          </w:tcPr>
          <w:p w14:paraId="64780C3A" w14:textId="77777777" w:rsidR="00CA408A" w:rsidRPr="0026114F" w:rsidRDefault="00CA408A" w:rsidP="00EC2692">
            <w:pPr>
              <w:pStyle w:val="TableText"/>
              <w:rPr>
                <w:rFonts w:ascii="Arial Narrow" w:hAnsi="Arial Narrow"/>
              </w:rPr>
            </w:pPr>
            <w:r w:rsidRPr="0026114F">
              <w:rPr>
                <w:rFonts w:ascii="Arial Narrow" w:hAnsi="Arial Narrow"/>
              </w:rPr>
              <w:t>30 mg/1 mL (30 mg/mL), 1 vial</w:t>
            </w:r>
          </w:p>
          <w:p w14:paraId="6C7A03DE" w14:textId="77777777" w:rsidR="00CA408A" w:rsidRPr="0026114F" w:rsidRDefault="00CA408A" w:rsidP="00EC2692">
            <w:pPr>
              <w:pStyle w:val="TableText"/>
              <w:rPr>
                <w:rFonts w:ascii="Arial Narrow" w:hAnsi="Arial Narrow"/>
              </w:rPr>
            </w:pPr>
            <w:r w:rsidRPr="0026114F">
              <w:rPr>
                <w:rFonts w:ascii="Arial Narrow" w:hAnsi="Arial Narrow"/>
              </w:rPr>
              <w:t>60 mg/0.4 mL (150 mg/mL), 1 vial</w:t>
            </w:r>
          </w:p>
          <w:p w14:paraId="1FF3484C" w14:textId="77777777" w:rsidR="00CA408A" w:rsidRPr="0026114F" w:rsidRDefault="00CA408A" w:rsidP="00EC2692">
            <w:pPr>
              <w:pStyle w:val="TableText"/>
              <w:rPr>
                <w:rFonts w:ascii="Arial Narrow" w:hAnsi="Arial Narrow"/>
              </w:rPr>
            </w:pPr>
            <w:r w:rsidRPr="0026114F">
              <w:rPr>
                <w:rFonts w:ascii="Arial Narrow" w:hAnsi="Arial Narrow"/>
              </w:rPr>
              <w:t>105 mg/0.7 mL (150 mg/mL), 1 vial</w:t>
            </w:r>
          </w:p>
          <w:p w14:paraId="53294DC5" w14:textId="77777777" w:rsidR="00CA408A" w:rsidRPr="0026114F" w:rsidDel="00A134DA" w:rsidRDefault="00CA408A" w:rsidP="00EC2692">
            <w:pPr>
              <w:pStyle w:val="TableText"/>
              <w:rPr>
                <w:rFonts w:ascii="Arial Narrow" w:hAnsi="Arial Narrow"/>
              </w:rPr>
            </w:pPr>
            <w:r w:rsidRPr="0026114F">
              <w:rPr>
                <w:rFonts w:ascii="Arial Narrow" w:hAnsi="Arial Narrow"/>
              </w:rPr>
              <w:t>150 mg/1 mL (150 mg/mL), 1 vial</w:t>
            </w:r>
          </w:p>
        </w:tc>
        <w:tc>
          <w:tcPr>
            <w:tcW w:w="2126" w:type="dxa"/>
          </w:tcPr>
          <w:p w14:paraId="72996750" w14:textId="77777777" w:rsidR="00CA408A" w:rsidRPr="0026114F" w:rsidDel="00A134DA" w:rsidRDefault="00CA408A" w:rsidP="00EC2692">
            <w:pPr>
              <w:pStyle w:val="TableText"/>
              <w:rPr>
                <w:rFonts w:ascii="Arial Narrow" w:hAnsi="Arial Narrow"/>
              </w:rPr>
            </w:pPr>
            <w:r w:rsidRPr="0026114F">
              <w:rPr>
                <w:rFonts w:ascii="Arial Narrow" w:hAnsi="Arial Narrow"/>
              </w:rPr>
              <w:t>Roche Products Pty Ltd</w:t>
            </w:r>
          </w:p>
        </w:tc>
        <w:tc>
          <w:tcPr>
            <w:tcW w:w="1134" w:type="dxa"/>
          </w:tcPr>
          <w:p w14:paraId="021D65B9" w14:textId="32516CA4" w:rsidR="00CA408A" w:rsidRPr="0026114F" w:rsidRDefault="00CA408A" w:rsidP="00EC2692">
            <w:pPr>
              <w:pStyle w:val="TableText"/>
              <w:rPr>
                <w:rFonts w:ascii="Arial Narrow" w:hAnsi="Arial Narrow"/>
              </w:rPr>
            </w:pPr>
            <w:r w:rsidRPr="0026114F">
              <w:rPr>
                <w:rFonts w:ascii="Arial Narrow" w:hAnsi="Arial Narrow"/>
              </w:rPr>
              <w:t>$</w:t>
            </w:r>
            <w:r w:rsidR="00820070" w:rsidRPr="00D67508">
              <w:rPr>
                <w:b/>
                <w:szCs w:val="24"/>
              </w:rPr>
              <w:t>redacted</w:t>
            </w:r>
          </w:p>
          <w:p w14:paraId="3CD40ED9" w14:textId="58FA6A46" w:rsidR="00CA408A" w:rsidRPr="0026114F" w:rsidRDefault="00CA408A" w:rsidP="00EC2692">
            <w:pPr>
              <w:pStyle w:val="TableText"/>
              <w:rPr>
                <w:rFonts w:ascii="Arial Narrow" w:hAnsi="Arial Narrow"/>
              </w:rPr>
            </w:pPr>
            <w:r w:rsidRPr="0026114F">
              <w:rPr>
                <w:rFonts w:ascii="Arial Narrow" w:hAnsi="Arial Narrow"/>
              </w:rPr>
              <w:t>$</w:t>
            </w:r>
            <w:r w:rsidR="00820070" w:rsidRPr="00D67508">
              <w:rPr>
                <w:b/>
                <w:szCs w:val="24"/>
              </w:rPr>
              <w:t>redacted</w:t>
            </w:r>
          </w:p>
          <w:p w14:paraId="2E4A6DDB" w14:textId="0C335466" w:rsidR="00CA408A" w:rsidRPr="0026114F" w:rsidRDefault="00CA408A" w:rsidP="00EC2692">
            <w:pPr>
              <w:pStyle w:val="TableText"/>
              <w:rPr>
                <w:rFonts w:ascii="Arial Narrow" w:hAnsi="Arial Narrow"/>
              </w:rPr>
            </w:pPr>
            <w:r w:rsidRPr="0026114F">
              <w:rPr>
                <w:rFonts w:ascii="Arial Narrow" w:hAnsi="Arial Narrow"/>
              </w:rPr>
              <w:t>$</w:t>
            </w:r>
            <w:r w:rsidR="00820070" w:rsidRPr="00D67508">
              <w:rPr>
                <w:b/>
                <w:szCs w:val="24"/>
              </w:rPr>
              <w:t>redacted</w:t>
            </w:r>
          </w:p>
          <w:p w14:paraId="78653EED" w14:textId="073862A1" w:rsidR="00CA408A" w:rsidRPr="0026114F" w:rsidDel="00A134DA" w:rsidRDefault="00CA408A" w:rsidP="00EC2692">
            <w:pPr>
              <w:pStyle w:val="TableText"/>
              <w:rPr>
                <w:rFonts w:ascii="Arial Narrow" w:hAnsi="Arial Narrow"/>
              </w:rPr>
            </w:pPr>
            <w:r w:rsidRPr="0026114F">
              <w:rPr>
                <w:rFonts w:ascii="Arial Narrow" w:hAnsi="Arial Narrow"/>
              </w:rPr>
              <w:t>$</w:t>
            </w:r>
            <w:r w:rsidR="00820070" w:rsidRPr="00D67508">
              <w:rPr>
                <w:b/>
                <w:szCs w:val="24"/>
              </w:rPr>
              <w:t>redacted</w:t>
            </w:r>
          </w:p>
        </w:tc>
      </w:tr>
    </w:tbl>
    <w:p w14:paraId="03AF2FEE" w14:textId="747DE6D6" w:rsidR="00CA408A" w:rsidRDefault="00CA408A" w:rsidP="00E408EF">
      <w:pPr>
        <w:spacing w:before="240" w:after="240"/>
        <w:rPr>
          <w:lang w:eastAsia="en-US"/>
        </w:rPr>
      </w:pPr>
      <w:r>
        <w:rPr>
          <w:lang w:eastAsia="en-US"/>
        </w:rPr>
        <w:t>The new varying shadow prices of emicizumab proposed for the inhibitor subgroup in this resubmission remains $</w:t>
      </w:r>
      <w:r w:rsidR="00820070" w:rsidRPr="00D67508">
        <w:rPr>
          <w:b/>
          <w:szCs w:val="24"/>
        </w:rPr>
        <w:t>redacted</w:t>
      </w:r>
      <w:r>
        <w:rPr>
          <w:lang w:eastAsia="en-US"/>
        </w:rPr>
        <w:t>/mg in Year 1, then reducing gradually each year to $</w:t>
      </w:r>
      <w:r w:rsidR="00820070" w:rsidRPr="00D67508">
        <w:rPr>
          <w:b/>
          <w:szCs w:val="24"/>
        </w:rPr>
        <w:t>redacted</w:t>
      </w:r>
      <w:r>
        <w:rPr>
          <w:lang w:eastAsia="en-US"/>
        </w:rPr>
        <w:t xml:space="preserve">/mg (representing a maximum </w:t>
      </w:r>
      <w:r w:rsidR="00820070" w:rsidRPr="00D67508">
        <w:rPr>
          <w:b/>
          <w:szCs w:val="24"/>
        </w:rPr>
        <w:t>redacted</w:t>
      </w:r>
      <w:r>
        <w:rPr>
          <w:lang w:eastAsia="en-US"/>
        </w:rPr>
        <w:t>% price reduction) in Year 5.</w:t>
      </w:r>
    </w:p>
    <w:p w14:paraId="04F8C7BC" w14:textId="78F71912" w:rsidR="00E408EF" w:rsidRDefault="00CA408A" w:rsidP="00CA408A">
      <w:pPr>
        <w:rPr>
          <w:lang w:eastAsia="en-US"/>
        </w:rPr>
      </w:pPr>
      <w:r>
        <w:rPr>
          <w:lang w:eastAsia="en-US"/>
        </w:rPr>
        <w:t>The new weighted prices of emicizumab proposed across the inhibitor and non-inhibitor subgroups in this resubmission (Table 2) are equivalent to $</w:t>
      </w:r>
      <w:r w:rsidR="00820070" w:rsidRPr="00D67508">
        <w:rPr>
          <w:b/>
          <w:szCs w:val="24"/>
        </w:rPr>
        <w:t>redacted</w:t>
      </w:r>
      <w:r>
        <w:rPr>
          <w:lang w:eastAsia="en-US"/>
        </w:rPr>
        <w:t xml:space="preserve">/mg in Year 1, then reducing by </w:t>
      </w:r>
      <w:r w:rsidR="00820070" w:rsidRPr="00D67508">
        <w:rPr>
          <w:b/>
          <w:szCs w:val="24"/>
        </w:rPr>
        <w:t>redacted</w:t>
      </w:r>
      <w:r>
        <w:rPr>
          <w:lang w:eastAsia="en-US"/>
        </w:rPr>
        <w:t>% each year to $</w:t>
      </w:r>
      <w:r w:rsidR="00820070" w:rsidRPr="00D67508">
        <w:rPr>
          <w:b/>
          <w:szCs w:val="24"/>
        </w:rPr>
        <w:t>redacted</w:t>
      </w:r>
      <w:r>
        <w:rPr>
          <w:lang w:eastAsia="en-US"/>
        </w:rPr>
        <w:t>/mg in Year 5 (these weighted prices also reflect a fixed shadow price of $</w:t>
      </w:r>
      <w:r w:rsidR="00820070" w:rsidRPr="00D67508">
        <w:rPr>
          <w:b/>
          <w:szCs w:val="24"/>
        </w:rPr>
        <w:t>redacted</w:t>
      </w:r>
      <w:r>
        <w:rPr>
          <w:lang w:eastAsia="en-US"/>
        </w:rPr>
        <w:t>/mg in the larger non-inhibitor subgroup).</w:t>
      </w:r>
    </w:p>
    <w:p w14:paraId="6448375E" w14:textId="45CAA61C" w:rsidR="00CA408A" w:rsidRPr="00B81560" w:rsidRDefault="00CA408A" w:rsidP="00B81560">
      <w:pPr>
        <w:keepNext/>
        <w:keepLines/>
        <w:rPr>
          <w:rFonts w:ascii="Arial Narrow" w:hAnsi="Arial Narrow"/>
          <w:b/>
          <w:sz w:val="20"/>
        </w:rPr>
      </w:pPr>
      <w:bookmarkStart w:id="4" w:name="_Ref4752188"/>
      <w:bookmarkStart w:id="5" w:name="_Toc4752147"/>
      <w:bookmarkStart w:id="6" w:name="_Toc5279009"/>
      <w:bookmarkStart w:id="7" w:name="_Toc5361469"/>
      <w:r w:rsidRPr="00B81560">
        <w:rPr>
          <w:rFonts w:ascii="Arial Narrow" w:hAnsi="Arial Narrow"/>
          <w:b/>
          <w:sz w:val="20"/>
        </w:rPr>
        <w:lastRenderedPageBreak/>
        <w:t>Table</w:t>
      </w:r>
      <w:bookmarkEnd w:id="4"/>
      <w:r w:rsidR="00852B59" w:rsidRPr="00B81560">
        <w:rPr>
          <w:rFonts w:ascii="Arial Narrow" w:hAnsi="Arial Narrow"/>
          <w:b/>
          <w:sz w:val="20"/>
        </w:rPr>
        <w:t xml:space="preserve"> </w:t>
      </w:r>
      <w:r w:rsidRPr="00B81560">
        <w:rPr>
          <w:rFonts w:ascii="Arial Narrow" w:hAnsi="Arial Narrow"/>
          <w:b/>
          <w:sz w:val="20"/>
        </w:rPr>
        <w:t>2</w:t>
      </w:r>
      <w:r w:rsidRPr="00B81560">
        <w:rPr>
          <w:rFonts w:ascii="Arial Narrow" w:hAnsi="Arial Narrow"/>
          <w:b/>
          <w:sz w:val="20"/>
        </w:rPr>
        <w:tab/>
        <w:t>Proposed prices of emicizumab</w:t>
      </w:r>
      <w:bookmarkEnd w:id="5"/>
      <w:bookmarkEnd w:id="6"/>
      <w:bookmarkEnd w:id="7"/>
    </w:p>
    <w:tbl>
      <w:tblPr>
        <w:tblStyle w:val="TableGrid"/>
        <w:tblW w:w="0" w:type="auto"/>
        <w:tblLayout w:type="fixed"/>
        <w:tblLook w:val="04A0" w:firstRow="1" w:lastRow="0" w:firstColumn="1" w:lastColumn="0" w:noHBand="0" w:noVBand="1"/>
        <w:tblCaption w:val="Proposed prices of emicizumab"/>
        <w:tblDescription w:val="Applicant's summary of proposed pricing"/>
      </w:tblPr>
      <w:tblGrid>
        <w:gridCol w:w="4979"/>
        <w:gridCol w:w="1017"/>
        <w:gridCol w:w="1017"/>
        <w:gridCol w:w="1116"/>
        <w:gridCol w:w="1113"/>
      </w:tblGrid>
      <w:tr w:rsidR="00CA408A" w:rsidRPr="00CA408A" w14:paraId="7597C741" w14:textId="77777777" w:rsidTr="00455178">
        <w:trPr>
          <w:trHeight w:val="285"/>
          <w:tblHeader/>
        </w:trPr>
        <w:tc>
          <w:tcPr>
            <w:tcW w:w="4979" w:type="dxa"/>
            <w:noWrap/>
            <w:hideMark/>
          </w:tcPr>
          <w:p w14:paraId="4180F16E" w14:textId="77777777" w:rsidR="00CA408A" w:rsidRPr="00CA408A" w:rsidRDefault="00CA408A" w:rsidP="00B81560">
            <w:pPr>
              <w:pStyle w:val="TableHeadingRow"/>
              <w:keepLines/>
              <w:rPr>
                <w:rFonts w:ascii="Arial Narrow" w:hAnsi="Arial Narrow"/>
              </w:rPr>
            </w:pPr>
            <w:r w:rsidRPr="00CA408A">
              <w:rPr>
                <w:rFonts w:ascii="Arial Narrow" w:hAnsi="Arial Narrow"/>
              </w:rPr>
              <w:t>Strength</w:t>
            </w:r>
          </w:p>
        </w:tc>
        <w:tc>
          <w:tcPr>
            <w:tcW w:w="1017" w:type="dxa"/>
            <w:noWrap/>
            <w:hideMark/>
          </w:tcPr>
          <w:p w14:paraId="0ABAF277" w14:textId="7C6FA088" w:rsidR="00CA408A" w:rsidRPr="00CA408A" w:rsidRDefault="00CA408A" w:rsidP="00B81560">
            <w:pPr>
              <w:pStyle w:val="TableHeadingRow"/>
              <w:keepLines/>
              <w:jc w:val="center"/>
              <w:rPr>
                <w:rFonts w:ascii="Arial Narrow" w:hAnsi="Arial Narrow"/>
              </w:rPr>
            </w:pPr>
            <w:r w:rsidRPr="00CA408A">
              <w:rPr>
                <w:rFonts w:ascii="Arial Narrow" w:hAnsi="Arial Narrow"/>
              </w:rPr>
              <w:t>30</w:t>
            </w:r>
            <w:r w:rsidR="00852B59">
              <w:rPr>
                <w:rFonts w:ascii="Arial Narrow" w:hAnsi="Arial Narrow"/>
              </w:rPr>
              <w:t xml:space="preserve"> </w:t>
            </w:r>
            <w:r w:rsidRPr="00CA408A">
              <w:rPr>
                <w:rFonts w:ascii="Arial Narrow" w:hAnsi="Arial Narrow"/>
              </w:rPr>
              <w:t>mg</w:t>
            </w:r>
          </w:p>
        </w:tc>
        <w:tc>
          <w:tcPr>
            <w:tcW w:w="1017" w:type="dxa"/>
            <w:noWrap/>
            <w:hideMark/>
          </w:tcPr>
          <w:p w14:paraId="40F4691E" w14:textId="16C7801F" w:rsidR="00CA408A" w:rsidRPr="00CA408A" w:rsidRDefault="00CA408A" w:rsidP="00B81560">
            <w:pPr>
              <w:pStyle w:val="TableHeadingRow"/>
              <w:keepLines/>
              <w:jc w:val="center"/>
              <w:rPr>
                <w:rFonts w:ascii="Arial Narrow" w:hAnsi="Arial Narrow"/>
              </w:rPr>
            </w:pPr>
            <w:r w:rsidRPr="00CA408A">
              <w:rPr>
                <w:rFonts w:ascii="Arial Narrow" w:hAnsi="Arial Narrow"/>
              </w:rPr>
              <w:t>60</w:t>
            </w:r>
            <w:r w:rsidR="00852B59">
              <w:rPr>
                <w:rFonts w:ascii="Arial Narrow" w:hAnsi="Arial Narrow"/>
              </w:rPr>
              <w:t xml:space="preserve"> </w:t>
            </w:r>
            <w:r w:rsidRPr="00CA408A">
              <w:rPr>
                <w:rFonts w:ascii="Arial Narrow" w:hAnsi="Arial Narrow"/>
              </w:rPr>
              <w:t>mg</w:t>
            </w:r>
          </w:p>
        </w:tc>
        <w:tc>
          <w:tcPr>
            <w:tcW w:w="1116" w:type="dxa"/>
            <w:noWrap/>
            <w:hideMark/>
          </w:tcPr>
          <w:p w14:paraId="7B716BFA" w14:textId="05AADDAF" w:rsidR="00CA408A" w:rsidRPr="00CA408A" w:rsidRDefault="00CA408A" w:rsidP="00B81560">
            <w:pPr>
              <w:pStyle w:val="TableHeadingRow"/>
              <w:keepLines/>
              <w:jc w:val="center"/>
              <w:rPr>
                <w:rFonts w:ascii="Arial Narrow" w:hAnsi="Arial Narrow"/>
              </w:rPr>
            </w:pPr>
            <w:r w:rsidRPr="00CA408A">
              <w:rPr>
                <w:rFonts w:ascii="Arial Narrow" w:hAnsi="Arial Narrow"/>
              </w:rPr>
              <w:t>105</w:t>
            </w:r>
            <w:r w:rsidR="00852B59">
              <w:rPr>
                <w:rFonts w:ascii="Arial Narrow" w:hAnsi="Arial Narrow"/>
              </w:rPr>
              <w:t xml:space="preserve"> </w:t>
            </w:r>
            <w:r w:rsidRPr="00CA408A">
              <w:rPr>
                <w:rFonts w:ascii="Arial Narrow" w:hAnsi="Arial Narrow"/>
              </w:rPr>
              <w:t>mg</w:t>
            </w:r>
          </w:p>
        </w:tc>
        <w:tc>
          <w:tcPr>
            <w:tcW w:w="1113" w:type="dxa"/>
            <w:noWrap/>
            <w:hideMark/>
          </w:tcPr>
          <w:p w14:paraId="49484BFB" w14:textId="4A419CE1" w:rsidR="00CA408A" w:rsidRPr="00CA408A" w:rsidRDefault="00CA408A" w:rsidP="00B81560">
            <w:pPr>
              <w:pStyle w:val="TableHeadingRow"/>
              <w:keepLines/>
              <w:jc w:val="center"/>
              <w:rPr>
                <w:rFonts w:ascii="Arial Narrow" w:hAnsi="Arial Narrow"/>
              </w:rPr>
            </w:pPr>
            <w:r w:rsidRPr="00CA408A">
              <w:rPr>
                <w:rFonts w:ascii="Arial Narrow" w:hAnsi="Arial Narrow"/>
              </w:rPr>
              <w:t>150</w:t>
            </w:r>
            <w:r w:rsidR="00852B59">
              <w:rPr>
                <w:rFonts w:ascii="Arial Narrow" w:hAnsi="Arial Narrow"/>
              </w:rPr>
              <w:t xml:space="preserve"> </w:t>
            </w:r>
            <w:r w:rsidRPr="00CA408A">
              <w:rPr>
                <w:rFonts w:ascii="Arial Narrow" w:hAnsi="Arial Narrow"/>
              </w:rPr>
              <w:t>mg</w:t>
            </w:r>
          </w:p>
        </w:tc>
      </w:tr>
      <w:tr w:rsidR="00455178" w:rsidRPr="00CA408A" w14:paraId="594E324D" w14:textId="77777777" w:rsidTr="00455178">
        <w:trPr>
          <w:trHeight w:val="285"/>
        </w:trPr>
        <w:tc>
          <w:tcPr>
            <w:tcW w:w="4979" w:type="dxa"/>
            <w:noWrap/>
          </w:tcPr>
          <w:p w14:paraId="5AC3F81B" w14:textId="77777777" w:rsidR="00455178" w:rsidRPr="00CA408A" w:rsidRDefault="00455178" w:rsidP="00EC2692">
            <w:pPr>
              <w:keepNext/>
              <w:spacing w:before="40" w:after="40"/>
              <w:rPr>
                <w:rFonts w:ascii="Arial Narrow" w:hAnsi="Arial Narrow"/>
                <w:sz w:val="20"/>
              </w:rPr>
            </w:pPr>
            <w:r w:rsidRPr="00CA408A">
              <w:rPr>
                <w:rFonts w:ascii="Arial Narrow" w:hAnsi="Arial Narrow"/>
                <w:b/>
                <w:sz w:val="20"/>
              </w:rPr>
              <w:t>Proposed price MSAC Application 1510 (INH) and Application 1579 (NIH)</w:t>
            </w:r>
          </w:p>
        </w:tc>
        <w:tc>
          <w:tcPr>
            <w:tcW w:w="1017" w:type="dxa"/>
            <w:noWrap/>
          </w:tcPr>
          <w:p w14:paraId="2B120870" w14:textId="77777777" w:rsidR="00455178" w:rsidRPr="00CA408A" w:rsidRDefault="00455178" w:rsidP="00EC2692">
            <w:pPr>
              <w:keepNext/>
              <w:spacing w:before="40" w:after="40"/>
              <w:jc w:val="center"/>
              <w:rPr>
                <w:rFonts w:ascii="Arial Narrow" w:hAnsi="Arial Narrow"/>
                <w:sz w:val="20"/>
              </w:rPr>
            </w:pPr>
          </w:p>
        </w:tc>
        <w:tc>
          <w:tcPr>
            <w:tcW w:w="1017" w:type="dxa"/>
            <w:noWrap/>
          </w:tcPr>
          <w:p w14:paraId="6DDA885A" w14:textId="77777777" w:rsidR="00455178" w:rsidRPr="00CA408A" w:rsidRDefault="00455178" w:rsidP="00EC2692">
            <w:pPr>
              <w:keepNext/>
              <w:spacing w:before="40" w:after="40"/>
              <w:jc w:val="center"/>
              <w:rPr>
                <w:rFonts w:ascii="Arial Narrow" w:hAnsi="Arial Narrow"/>
                <w:sz w:val="20"/>
              </w:rPr>
            </w:pPr>
          </w:p>
        </w:tc>
        <w:tc>
          <w:tcPr>
            <w:tcW w:w="1116" w:type="dxa"/>
            <w:noWrap/>
          </w:tcPr>
          <w:p w14:paraId="73ADD276" w14:textId="77777777" w:rsidR="00455178" w:rsidRPr="00CA408A" w:rsidRDefault="00455178" w:rsidP="00EC2692">
            <w:pPr>
              <w:keepNext/>
              <w:spacing w:before="40" w:after="40"/>
              <w:jc w:val="center"/>
              <w:rPr>
                <w:rFonts w:ascii="Arial Narrow" w:hAnsi="Arial Narrow"/>
                <w:sz w:val="20"/>
              </w:rPr>
            </w:pPr>
          </w:p>
        </w:tc>
        <w:tc>
          <w:tcPr>
            <w:tcW w:w="1113" w:type="dxa"/>
            <w:noWrap/>
          </w:tcPr>
          <w:p w14:paraId="6E6FFD1D" w14:textId="77777777" w:rsidR="00455178" w:rsidRPr="00CA408A" w:rsidRDefault="00455178" w:rsidP="00EC2692">
            <w:pPr>
              <w:keepNext/>
              <w:spacing w:before="40" w:after="40"/>
              <w:jc w:val="center"/>
              <w:rPr>
                <w:rFonts w:ascii="Arial Narrow" w:hAnsi="Arial Narrow"/>
                <w:sz w:val="20"/>
              </w:rPr>
            </w:pPr>
          </w:p>
        </w:tc>
      </w:tr>
      <w:tr w:rsidR="00CA408A" w:rsidRPr="00CA408A" w14:paraId="7AC5A6CA" w14:textId="77777777" w:rsidTr="00455178">
        <w:trPr>
          <w:trHeight w:val="285"/>
        </w:trPr>
        <w:tc>
          <w:tcPr>
            <w:tcW w:w="4979" w:type="dxa"/>
            <w:noWrap/>
          </w:tcPr>
          <w:p w14:paraId="27EC9C0D" w14:textId="5067004C" w:rsidR="00CA408A" w:rsidRPr="00CA408A" w:rsidRDefault="00CA408A" w:rsidP="00EC2692">
            <w:pPr>
              <w:keepNext/>
              <w:spacing w:before="40" w:after="40"/>
              <w:rPr>
                <w:rFonts w:ascii="Arial Narrow" w:hAnsi="Arial Narrow"/>
                <w:sz w:val="20"/>
              </w:rPr>
            </w:pPr>
            <w:r w:rsidRPr="00CA408A">
              <w:rPr>
                <w:rFonts w:ascii="Arial Narrow" w:hAnsi="Arial Narrow"/>
                <w:sz w:val="20"/>
              </w:rPr>
              <w:t>Original INH price</w:t>
            </w:r>
          </w:p>
        </w:tc>
        <w:tc>
          <w:tcPr>
            <w:tcW w:w="1017" w:type="dxa"/>
            <w:noWrap/>
          </w:tcPr>
          <w:p w14:paraId="3B2B5DAA" w14:textId="1364006D"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017" w:type="dxa"/>
            <w:noWrap/>
          </w:tcPr>
          <w:p w14:paraId="09B50C6A" w14:textId="7E710027"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6" w:type="dxa"/>
            <w:noWrap/>
          </w:tcPr>
          <w:p w14:paraId="01AA0731" w14:textId="501FDEF7"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3" w:type="dxa"/>
            <w:noWrap/>
          </w:tcPr>
          <w:p w14:paraId="72E29D9E" w14:textId="71B97AE0"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r>
      <w:tr w:rsidR="00CA408A" w:rsidRPr="00CA408A" w14:paraId="058BB3CF" w14:textId="77777777" w:rsidTr="00455178">
        <w:trPr>
          <w:trHeight w:val="285"/>
        </w:trPr>
        <w:tc>
          <w:tcPr>
            <w:tcW w:w="4979" w:type="dxa"/>
            <w:noWrap/>
            <w:hideMark/>
          </w:tcPr>
          <w:p w14:paraId="0B9C8A73" w14:textId="75FB483E" w:rsidR="00CA408A" w:rsidRPr="00CA408A" w:rsidRDefault="00CA408A" w:rsidP="00EC2692">
            <w:pPr>
              <w:keepNext/>
              <w:spacing w:before="40" w:after="40"/>
              <w:rPr>
                <w:rFonts w:ascii="Arial Narrow" w:hAnsi="Arial Narrow"/>
                <w:sz w:val="20"/>
              </w:rPr>
            </w:pPr>
            <w:r w:rsidRPr="00CA408A">
              <w:rPr>
                <w:rFonts w:ascii="Arial Narrow" w:hAnsi="Arial Narrow"/>
                <w:sz w:val="20"/>
              </w:rPr>
              <w:t>Original NIH price</w:t>
            </w:r>
          </w:p>
        </w:tc>
        <w:tc>
          <w:tcPr>
            <w:tcW w:w="1017" w:type="dxa"/>
            <w:noWrap/>
            <w:hideMark/>
          </w:tcPr>
          <w:p w14:paraId="0F780305" w14:textId="73ABD8B6"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017" w:type="dxa"/>
            <w:noWrap/>
            <w:hideMark/>
          </w:tcPr>
          <w:p w14:paraId="0A1894DC" w14:textId="22A5A957"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6" w:type="dxa"/>
            <w:noWrap/>
            <w:hideMark/>
          </w:tcPr>
          <w:p w14:paraId="6C137EAE" w14:textId="485E45BF"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3" w:type="dxa"/>
            <w:noWrap/>
            <w:hideMark/>
          </w:tcPr>
          <w:p w14:paraId="42EFD358" w14:textId="63A693BD"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r>
      <w:tr w:rsidR="00455178" w:rsidRPr="00CA408A" w14:paraId="445A9EEC" w14:textId="77777777" w:rsidTr="00455178">
        <w:trPr>
          <w:trHeight w:val="285"/>
        </w:trPr>
        <w:tc>
          <w:tcPr>
            <w:tcW w:w="4979" w:type="dxa"/>
            <w:noWrap/>
          </w:tcPr>
          <w:p w14:paraId="5B7DC1B2" w14:textId="77777777" w:rsidR="00455178" w:rsidRPr="00CA408A" w:rsidRDefault="00455178" w:rsidP="00455178">
            <w:pPr>
              <w:keepNext/>
              <w:spacing w:before="40" w:after="40"/>
              <w:rPr>
                <w:rFonts w:ascii="Arial Narrow" w:hAnsi="Arial Narrow"/>
                <w:sz w:val="20"/>
              </w:rPr>
            </w:pPr>
            <w:r w:rsidRPr="00CA408A">
              <w:rPr>
                <w:rFonts w:ascii="Arial Narrow" w:hAnsi="Arial Narrow"/>
                <w:b/>
                <w:sz w:val="20"/>
              </w:rPr>
              <w:t>Proposed weighted INH + NIH price: Years 1-5</w:t>
            </w:r>
          </w:p>
        </w:tc>
        <w:tc>
          <w:tcPr>
            <w:tcW w:w="1017" w:type="dxa"/>
            <w:noWrap/>
          </w:tcPr>
          <w:p w14:paraId="027CBE08" w14:textId="77777777" w:rsidR="00455178" w:rsidRPr="00CA408A" w:rsidRDefault="00455178" w:rsidP="00EC2692">
            <w:pPr>
              <w:keepNext/>
              <w:spacing w:before="40" w:after="40"/>
              <w:jc w:val="center"/>
              <w:rPr>
                <w:rFonts w:ascii="Arial Narrow" w:hAnsi="Arial Narrow"/>
                <w:sz w:val="20"/>
              </w:rPr>
            </w:pPr>
          </w:p>
        </w:tc>
        <w:tc>
          <w:tcPr>
            <w:tcW w:w="1017" w:type="dxa"/>
            <w:noWrap/>
          </w:tcPr>
          <w:p w14:paraId="0692EFC2" w14:textId="77777777" w:rsidR="00455178" w:rsidRPr="00CA408A" w:rsidRDefault="00455178" w:rsidP="00EC2692">
            <w:pPr>
              <w:keepNext/>
              <w:spacing w:before="40" w:after="40"/>
              <w:jc w:val="center"/>
              <w:rPr>
                <w:rFonts w:ascii="Arial Narrow" w:hAnsi="Arial Narrow"/>
                <w:sz w:val="20"/>
              </w:rPr>
            </w:pPr>
          </w:p>
        </w:tc>
        <w:tc>
          <w:tcPr>
            <w:tcW w:w="1116" w:type="dxa"/>
            <w:noWrap/>
          </w:tcPr>
          <w:p w14:paraId="4E049775" w14:textId="77777777" w:rsidR="00455178" w:rsidRPr="00CA408A" w:rsidRDefault="00455178" w:rsidP="00EC2692">
            <w:pPr>
              <w:keepNext/>
              <w:spacing w:before="40" w:after="40"/>
              <w:jc w:val="center"/>
              <w:rPr>
                <w:rFonts w:ascii="Arial Narrow" w:hAnsi="Arial Narrow"/>
                <w:sz w:val="20"/>
              </w:rPr>
            </w:pPr>
          </w:p>
        </w:tc>
        <w:tc>
          <w:tcPr>
            <w:tcW w:w="1113" w:type="dxa"/>
            <w:noWrap/>
          </w:tcPr>
          <w:p w14:paraId="213333E5" w14:textId="77777777" w:rsidR="00455178" w:rsidRPr="00CA408A" w:rsidRDefault="00455178" w:rsidP="00EC2692">
            <w:pPr>
              <w:keepNext/>
              <w:spacing w:before="40" w:after="40"/>
              <w:jc w:val="center"/>
              <w:rPr>
                <w:rFonts w:ascii="Arial Narrow" w:hAnsi="Arial Narrow"/>
                <w:sz w:val="20"/>
              </w:rPr>
            </w:pPr>
          </w:p>
        </w:tc>
      </w:tr>
      <w:tr w:rsidR="00CA408A" w:rsidRPr="00CA408A" w14:paraId="4DD183A4" w14:textId="77777777" w:rsidTr="00455178">
        <w:trPr>
          <w:trHeight w:val="285"/>
        </w:trPr>
        <w:tc>
          <w:tcPr>
            <w:tcW w:w="4979" w:type="dxa"/>
            <w:noWrap/>
            <w:hideMark/>
          </w:tcPr>
          <w:p w14:paraId="638FAF8E" w14:textId="610C2AAE" w:rsidR="00CA408A" w:rsidRPr="00CA408A" w:rsidRDefault="00CA408A" w:rsidP="00EC2692">
            <w:pPr>
              <w:keepNext/>
              <w:spacing w:before="40" w:after="40"/>
              <w:ind w:left="284"/>
              <w:rPr>
                <w:rFonts w:ascii="Arial Narrow" w:hAnsi="Arial Narrow"/>
                <w:sz w:val="20"/>
              </w:rPr>
            </w:pPr>
            <w:r w:rsidRPr="00CA408A">
              <w:rPr>
                <w:rFonts w:ascii="Arial Narrow" w:hAnsi="Arial Narrow"/>
                <w:sz w:val="20"/>
              </w:rPr>
              <w:t>Year 1</w:t>
            </w:r>
          </w:p>
        </w:tc>
        <w:tc>
          <w:tcPr>
            <w:tcW w:w="1017" w:type="dxa"/>
            <w:noWrap/>
            <w:hideMark/>
          </w:tcPr>
          <w:p w14:paraId="1A4EC30A" w14:textId="087EB452"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017" w:type="dxa"/>
            <w:noWrap/>
            <w:hideMark/>
          </w:tcPr>
          <w:p w14:paraId="5A9D120D" w14:textId="7FD86E86"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6" w:type="dxa"/>
            <w:noWrap/>
            <w:hideMark/>
          </w:tcPr>
          <w:p w14:paraId="56CA5822" w14:textId="2D15087C"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3" w:type="dxa"/>
            <w:noWrap/>
            <w:hideMark/>
          </w:tcPr>
          <w:p w14:paraId="2BA40145" w14:textId="1AF355FD"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r>
      <w:tr w:rsidR="00CA408A" w:rsidRPr="00CA408A" w14:paraId="44038EBE" w14:textId="77777777" w:rsidTr="00455178">
        <w:trPr>
          <w:trHeight w:val="285"/>
        </w:trPr>
        <w:tc>
          <w:tcPr>
            <w:tcW w:w="4979" w:type="dxa"/>
            <w:noWrap/>
            <w:hideMark/>
          </w:tcPr>
          <w:p w14:paraId="79B400AB" w14:textId="010CE1D7" w:rsidR="00CA408A" w:rsidRPr="00CA408A" w:rsidRDefault="00CA408A" w:rsidP="00EC2692">
            <w:pPr>
              <w:keepNext/>
              <w:spacing w:before="40" w:after="40"/>
              <w:ind w:left="284"/>
              <w:rPr>
                <w:rFonts w:ascii="Arial Narrow" w:hAnsi="Arial Narrow"/>
                <w:sz w:val="20"/>
              </w:rPr>
            </w:pPr>
            <w:r w:rsidRPr="00CA408A">
              <w:rPr>
                <w:rFonts w:ascii="Arial Narrow" w:hAnsi="Arial Narrow"/>
                <w:sz w:val="20"/>
              </w:rPr>
              <w:t>Year 2</w:t>
            </w:r>
          </w:p>
        </w:tc>
        <w:tc>
          <w:tcPr>
            <w:tcW w:w="1017" w:type="dxa"/>
            <w:noWrap/>
            <w:hideMark/>
          </w:tcPr>
          <w:p w14:paraId="098A9503" w14:textId="043695B1"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017" w:type="dxa"/>
            <w:noWrap/>
            <w:hideMark/>
          </w:tcPr>
          <w:p w14:paraId="2483555B" w14:textId="3D19656B"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6" w:type="dxa"/>
            <w:noWrap/>
            <w:hideMark/>
          </w:tcPr>
          <w:p w14:paraId="5D6E3F8D" w14:textId="1254839B"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3" w:type="dxa"/>
            <w:noWrap/>
            <w:hideMark/>
          </w:tcPr>
          <w:p w14:paraId="6988E69A" w14:textId="4F497A98"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r>
      <w:tr w:rsidR="00CA408A" w:rsidRPr="00CA408A" w14:paraId="43AC55F4" w14:textId="77777777" w:rsidTr="00455178">
        <w:trPr>
          <w:trHeight w:val="285"/>
        </w:trPr>
        <w:tc>
          <w:tcPr>
            <w:tcW w:w="4979" w:type="dxa"/>
            <w:noWrap/>
            <w:hideMark/>
          </w:tcPr>
          <w:p w14:paraId="5787DEF9" w14:textId="32510DFE" w:rsidR="00CA408A" w:rsidRPr="00CA408A" w:rsidRDefault="00CA408A" w:rsidP="00EC2692">
            <w:pPr>
              <w:keepNext/>
              <w:spacing w:before="40" w:after="40"/>
              <w:ind w:left="284"/>
              <w:rPr>
                <w:rFonts w:ascii="Arial Narrow" w:hAnsi="Arial Narrow"/>
                <w:sz w:val="20"/>
              </w:rPr>
            </w:pPr>
            <w:r w:rsidRPr="00CA408A">
              <w:rPr>
                <w:rFonts w:ascii="Arial Narrow" w:hAnsi="Arial Narrow"/>
                <w:sz w:val="20"/>
              </w:rPr>
              <w:t>Year 3</w:t>
            </w:r>
          </w:p>
        </w:tc>
        <w:tc>
          <w:tcPr>
            <w:tcW w:w="1017" w:type="dxa"/>
            <w:noWrap/>
            <w:hideMark/>
          </w:tcPr>
          <w:p w14:paraId="1281C908" w14:textId="50F0F647"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017" w:type="dxa"/>
            <w:noWrap/>
            <w:hideMark/>
          </w:tcPr>
          <w:p w14:paraId="1809F1D4" w14:textId="4724F28F"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6" w:type="dxa"/>
            <w:noWrap/>
            <w:hideMark/>
          </w:tcPr>
          <w:p w14:paraId="508F1527" w14:textId="6F7A3FF2"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3" w:type="dxa"/>
            <w:noWrap/>
            <w:hideMark/>
          </w:tcPr>
          <w:p w14:paraId="1C2B496B" w14:textId="3FF42B9D"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r>
      <w:tr w:rsidR="00CA408A" w:rsidRPr="00CA408A" w14:paraId="5345247D" w14:textId="77777777" w:rsidTr="00455178">
        <w:trPr>
          <w:trHeight w:val="285"/>
        </w:trPr>
        <w:tc>
          <w:tcPr>
            <w:tcW w:w="4979" w:type="dxa"/>
            <w:noWrap/>
            <w:hideMark/>
          </w:tcPr>
          <w:p w14:paraId="456A4170" w14:textId="5F682868" w:rsidR="00CA408A" w:rsidRPr="00CA408A" w:rsidRDefault="00CA408A" w:rsidP="00EC2692">
            <w:pPr>
              <w:keepNext/>
              <w:spacing w:before="40" w:after="40"/>
              <w:ind w:left="284"/>
              <w:rPr>
                <w:rFonts w:ascii="Arial Narrow" w:hAnsi="Arial Narrow"/>
                <w:sz w:val="20"/>
              </w:rPr>
            </w:pPr>
            <w:r w:rsidRPr="00CA408A">
              <w:rPr>
                <w:rFonts w:ascii="Arial Narrow" w:hAnsi="Arial Narrow"/>
                <w:sz w:val="20"/>
              </w:rPr>
              <w:t>Year 4</w:t>
            </w:r>
          </w:p>
        </w:tc>
        <w:tc>
          <w:tcPr>
            <w:tcW w:w="1017" w:type="dxa"/>
            <w:noWrap/>
            <w:hideMark/>
          </w:tcPr>
          <w:p w14:paraId="185D50B0" w14:textId="1539F3E3"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017" w:type="dxa"/>
            <w:noWrap/>
            <w:hideMark/>
          </w:tcPr>
          <w:p w14:paraId="4EED3219" w14:textId="6B4E1ABD"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6" w:type="dxa"/>
            <w:noWrap/>
            <w:hideMark/>
          </w:tcPr>
          <w:p w14:paraId="7CA7D1D4" w14:textId="2E64A53E"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3" w:type="dxa"/>
            <w:noWrap/>
            <w:hideMark/>
          </w:tcPr>
          <w:p w14:paraId="4D29AFAB" w14:textId="66241A9B"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r>
      <w:tr w:rsidR="00CA408A" w:rsidRPr="00CA408A" w14:paraId="7FE7B08C" w14:textId="77777777" w:rsidTr="00455178">
        <w:trPr>
          <w:trHeight w:val="285"/>
        </w:trPr>
        <w:tc>
          <w:tcPr>
            <w:tcW w:w="4979" w:type="dxa"/>
            <w:noWrap/>
            <w:hideMark/>
          </w:tcPr>
          <w:p w14:paraId="1E95A26F" w14:textId="5F1E5914" w:rsidR="00CA408A" w:rsidRPr="00CA408A" w:rsidRDefault="00CA408A" w:rsidP="00EC2692">
            <w:pPr>
              <w:keepNext/>
              <w:spacing w:before="40" w:after="40"/>
              <w:ind w:left="284"/>
              <w:rPr>
                <w:rFonts w:ascii="Arial Narrow" w:hAnsi="Arial Narrow"/>
                <w:sz w:val="20"/>
              </w:rPr>
            </w:pPr>
            <w:r w:rsidRPr="00CA408A">
              <w:rPr>
                <w:rFonts w:ascii="Arial Narrow" w:hAnsi="Arial Narrow"/>
                <w:sz w:val="20"/>
              </w:rPr>
              <w:t>Year 5</w:t>
            </w:r>
          </w:p>
        </w:tc>
        <w:tc>
          <w:tcPr>
            <w:tcW w:w="1017" w:type="dxa"/>
            <w:noWrap/>
            <w:hideMark/>
          </w:tcPr>
          <w:p w14:paraId="6D8539B0" w14:textId="121D9968"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017" w:type="dxa"/>
            <w:noWrap/>
            <w:hideMark/>
          </w:tcPr>
          <w:p w14:paraId="2B030C13" w14:textId="1492F03E"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6" w:type="dxa"/>
            <w:noWrap/>
            <w:hideMark/>
          </w:tcPr>
          <w:p w14:paraId="2EF3078D" w14:textId="64173C9C"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c>
          <w:tcPr>
            <w:tcW w:w="1113" w:type="dxa"/>
            <w:noWrap/>
            <w:hideMark/>
          </w:tcPr>
          <w:p w14:paraId="3C756D1C" w14:textId="6A7D0E73" w:rsidR="00CA408A" w:rsidRPr="00CA408A" w:rsidRDefault="00CA408A" w:rsidP="00EC2692">
            <w:pPr>
              <w:keepNext/>
              <w:spacing w:before="40" w:after="40"/>
              <w:jc w:val="center"/>
              <w:rPr>
                <w:rFonts w:ascii="Arial Narrow" w:hAnsi="Arial Narrow"/>
                <w:sz w:val="20"/>
              </w:rPr>
            </w:pPr>
            <w:r w:rsidRPr="00CA408A">
              <w:rPr>
                <w:rFonts w:ascii="Arial Narrow" w:hAnsi="Arial Narrow"/>
                <w:sz w:val="20"/>
              </w:rPr>
              <w:t>$</w:t>
            </w:r>
            <w:r w:rsidR="00CC5EA2" w:rsidRPr="00CC5EA2">
              <w:rPr>
                <w:rFonts w:ascii="Arial Narrow" w:hAnsi="Arial Narrow"/>
                <w:sz w:val="20"/>
              </w:rPr>
              <w:t>redacted</w:t>
            </w:r>
          </w:p>
        </w:tc>
      </w:tr>
    </w:tbl>
    <w:p w14:paraId="2FB6B262" w14:textId="6513C64F" w:rsidR="00852B59" w:rsidRDefault="00852B59" w:rsidP="00CA408A">
      <w:pPr>
        <w:pStyle w:val="TableNotes"/>
        <w:ind w:left="709" w:hanging="709"/>
      </w:pPr>
      <w:r>
        <w:t>INH = haemophilia A with FVIII inhibitors; NIH = haemophilia A without FVIII inhibitors</w:t>
      </w:r>
    </w:p>
    <w:p w14:paraId="4A210664" w14:textId="3418254D" w:rsidR="00CA408A" w:rsidRDefault="00CA408A" w:rsidP="00E408EF">
      <w:pPr>
        <w:pStyle w:val="TableNotes"/>
        <w:spacing w:after="240"/>
        <w:ind w:left="709" w:hanging="709"/>
      </w:pPr>
      <w:r w:rsidRPr="00E2553F">
        <w:t>Source:</w:t>
      </w:r>
      <w:r w:rsidRPr="00E2553F">
        <w:tab/>
      </w:r>
      <w:r w:rsidRPr="00287BAB">
        <w:t>Emicizumab Integrated INH+NIH BIA.xlsx</w:t>
      </w:r>
      <w:r>
        <w:t>, worksheet ‘Vial combinations INH’ and ‘Vial combinations NIH’</w:t>
      </w:r>
    </w:p>
    <w:p w14:paraId="6FFF0BF5" w14:textId="77777777" w:rsidR="00CA408A" w:rsidRDefault="00CA408A" w:rsidP="00CA408A">
      <w:pPr>
        <w:keepNext/>
        <w:rPr>
          <w:lang w:eastAsia="en-US"/>
        </w:rPr>
      </w:pPr>
      <w:r>
        <w:rPr>
          <w:lang w:eastAsia="en-US"/>
        </w:rPr>
        <w:t xml:space="preserve">The resubmission stated that the weighted price </w:t>
      </w:r>
      <w:r w:rsidRPr="004A10EF">
        <w:rPr>
          <w:lang w:eastAsia="en-US"/>
        </w:rPr>
        <w:t xml:space="preserve">across the two </w:t>
      </w:r>
      <w:r>
        <w:rPr>
          <w:lang w:eastAsia="en-US"/>
        </w:rPr>
        <w:t>subgroup</w:t>
      </w:r>
      <w:r w:rsidRPr="004A10EF">
        <w:rPr>
          <w:lang w:eastAsia="en-US"/>
        </w:rPr>
        <w:t>s</w:t>
      </w:r>
      <w:r>
        <w:rPr>
          <w:lang w:eastAsia="en-US"/>
        </w:rPr>
        <w:t xml:space="preserve"> </w:t>
      </w:r>
      <w:r w:rsidRPr="004A10EF">
        <w:rPr>
          <w:lang w:eastAsia="en-US"/>
        </w:rPr>
        <w:t xml:space="preserve">was calculated using </w:t>
      </w:r>
      <w:r>
        <w:rPr>
          <w:lang w:eastAsia="en-US"/>
        </w:rPr>
        <w:t>an</w:t>
      </w:r>
      <w:r w:rsidRPr="004A10EF">
        <w:rPr>
          <w:lang w:eastAsia="en-US"/>
        </w:rPr>
        <w:t xml:space="preserve"> epidemiological approach</w:t>
      </w:r>
      <w:r>
        <w:rPr>
          <w:lang w:eastAsia="en-US"/>
        </w:rPr>
        <w:t>, which assumes uptake in 9% inhibitor and 91% non-inhibitor patients across the total emicizumab-treated subgroup; for example, in Year 1:</w:t>
      </w:r>
    </w:p>
    <w:p w14:paraId="4AD2966A" w14:textId="69000678" w:rsidR="00CA408A" w:rsidRDefault="00CA408A" w:rsidP="00E408EF">
      <w:pPr>
        <w:keepNext/>
        <w:spacing w:after="240"/>
        <w:ind w:firstLine="720"/>
        <w:rPr>
          <w:lang w:eastAsia="en-US"/>
        </w:rPr>
      </w:pPr>
      <w:r>
        <w:rPr>
          <w:lang w:eastAsia="en-US"/>
        </w:rPr>
        <w:t>($</w:t>
      </w:r>
      <w:r w:rsidR="00CC5EA2" w:rsidRPr="00CC5EA2">
        <w:rPr>
          <w:b/>
          <w:lang w:eastAsia="en-US"/>
        </w:rPr>
        <w:t>redacted</w:t>
      </w:r>
      <w:r w:rsidR="00CC5EA2">
        <w:rPr>
          <w:b/>
          <w:lang w:eastAsia="en-US"/>
        </w:rPr>
        <w:t xml:space="preserve"> </w:t>
      </w:r>
      <w:r>
        <w:rPr>
          <w:lang w:eastAsia="en-US"/>
        </w:rPr>
        <w:t>x 9%) + ($</w:t>
      </w:r>
      <w:r w:rsidR="00CC5EA2" w:rsidRPr="00CC5EA2">
        <w:rPr>
          <w:b/>
          <w:lang w:eastAsia="en-US"/>
        </w:rPr>
        <w:t>redacted</w:t>
      </w:r>
      <w:r w:rsidR="00CC5EA2" w:rsidDel="00CC5EA2">
        <w:rPr>
          <w:lang w:eastAsia="en-US"/>
        </w:rPr>
        <w:t xml:space="preserve"> </w:t>
      </w:r>
      <w:r>
        <w:rPr>
          <w:lang w:eastAsia="en-US"/>
        </w:rPr>
        <w:t>x 91%) = $</w:t>
      </w:r>
      <w:r w:rsidR="00CC5EA2" w:rsidRPr="00CC5EA2">
        <w:rPr>
          <w:b/>
          <w:lang w:eastAsia="en-US"/>
        </w:rPr>
        <w:t>redacted</w:t>
      </w:r>
      <w:r>
        <w:rPr>
          <w:lang w:eastAsia="en-US"/>
        </w:rPr>
        <w:t>.</w:t>
      </w:r>
    </w:p>
    <w:p w14:paraId="0BE13D46" w14:textId="6E7B5309" w:rsidR="00CA408A" w:rsidRDefault="00CA408A" w:rsidP="00CA408A">
      <w:r>
        <w:t xml:space="preserve">The proposed price reduction of </w:t>
      </w:r>
      <w:r w:rsidR="00CC5EA2" w:rsidRPr="00CC5EA2">
        <w:rPr>
          <w:b/>
          <w:lang w:eastAsia="en-US"/>
        </w:rPr>
        <w:t>redacted</w:t>
      </w:r>
      <w:r>
        <w:t>% per year for the weighted prices provide greater proportional reductions for the shadow prices for the inhibitor subgroup.</w:t>
      </w:r>
    </w:p>
    <w:p w14:paraId="5AF854F5" w14:textId="77777777" w:rsidR="00BC1364" w:rsidRPr="00F715D1" w:rsidRDefault="00BC1364" w:rsidP="0019438A">
      <w:pPr>
        <w:pStyle w:val="Heading1"/>
        <w:ind w:hanging="720"/>
      </w:pPr>
      <w:r w:rsidRPr="00F715D1">
        <w:t xml:space="preserve">Summary of </w:t>
      </w:r>
      <w:r w:rsidR="003D7F29" w:rsidRPr="00F715D1">
        <w:t>Public Consultation</w:t>
      </w:r>
      <w:r w:rsidRPr="00F715D1">
        <w:t xml:space="preserve"> Feedback</w:t>
      </w:r>
      <w:r w:rsidR="003D7F29" w:rsidRPr="00F715D1">
        <w:t>/Consumer Issues</w:t>
      </w:r>
    </w:p>
    <w:p w14:paraId="74714C98" w14:textId="09DDCA2D" w:rsidR="00696B58" w:rsidRPr="00C22C2D" w:rsidRDefault="00696B58" w:rsidP="00696B58">
      <w:r>
        <w:t>During the resubmission phase (application 1510.1), one response was received from a professional organisation, expressing disappointment with MSAC’s recommendation for application 1510, and asking that the recommendation be reconsidered (through resubmitted application 1510.1). The feedback highlighted the life-changing benefits of subcutaneous and less frequent injections, with evidence demonstrating reduced bleeding episodes in patients with inhibitors. The feedback also claimed that current intravenous bypassing agents are predominantly used on-demand, after bleeding episodes that are costly, with worsening morbidity and increased mortality risk for patients.</w:t>
      </w:r>
    </w:p>
    <w:p w14:paraId="4B241F3F" w14:textId="77777777" w:rsidR="00BC1364" w:rsidRPr="00F715D1" w:rsidRDefault="00BC1364" w:rsidP="0019438A">
      <w:pPr>
        <w:pStyle w:val="Heading1"/>
        <w:ind w:hanging="720"/>
      </w:pPr>
      <w:r w:rsidRPr="00F715D1">
        <w:t>Proposed intervention’s place in clinical management</w:t>
      </w:r>
    </w:p>
    <w:p w14:paraId="43CF8FC0" w14:textId="77777777" w:rsidR="00CA408A" w:rsidRPr="00472171" w:rsidRDefault="00CA408A" w:rsidP="00CA408A">
      <w:pPr>
        <w:rPr>
          <w:szCs w:val="24"/>
        </w:rPr>
      </w:pPr>
      <w:r w:rsidRPr="00472171">
        <w:t>This was unchanged, refer to</w:t>
      </w:r>
      <w:r w:rsidRPr="00472171">
        <w:rPr>
          <w:szCs w:val="24"/>
        </w:rPr>
        <w:t xml:space="preserve"> </w:t>
      </w:r>
      <w:r w:rsidRPr="00472171">
        <w:t>Application 1510 PSD 2018, p4.</w:t>
      </w:r>
    </w:p>
    <w:p w14:paraId="0CCA86C1" w14:textId="7AAA07F9" w:rsidR="00BC1364" w:rsidRPr="00F715D1" w:rsidRDefault="00852B59" w:rsidP="0019438A">
      <w:pPr>
        <w:pStyle w:val="Heading1"/>
        <w:ind w:hanging="720"/>
      </w:pPr>
      <w:r>
        <w:t>Comparator</w:t>
      </w:r>
    </w:p>
    <w:p w14:paraId="50A050F6" w14:textId="77777777" w:rsidR="00CA408A" w:rsidRPr="00472171" w:rsidRDefault="00CA408A" w:rsidP="00CA408A">
      <w:pPr>
        <w:rPr>
          <w:szCs w:val="24"/>
        </w:rPr>
      </w:pPr>
      <w:r w:rsidRPr="00472171">
        <w:t>This was unchanged, refer to</w:t>
      </w:r>
      <w:r w:rsidRPr="00472171">
        <w:rPr>
          <w:szCs w:val="24"/>
        </w:rPr>
        <w:t xml:space="preserve"> </w:t>
      </w:r>
      <w:r w:rsidRPr="00472171">
        <w:t>Application 1510 PSD 2018, p5.</w:t>
      </w:r>
    </w:p>
    <w:p w14:paraId="314EC5B5" w14:textId="77777777" w:rsidR="00BC1364" w:rsidRPr="00F715D1" w:rsidRDefault="00BC1364" w:rsidP="0019438A">
      <w:pPr>
        <w:pStyle w:val="Heading1"/>
        <w:ind w:hanging="720"/>
      </w:pPr>
      <w:r w:rsidRPr="00F715D1">
        <w:t>Comparative safety</w:t>
      </w:r>
    </w:p>
    <w:p w14:paraId="36039083" w14:textId="77777777" w:rsidR="00CA408A" w:rsidRDefault="00CA408A" w:rsidP="00CA408A">
      <w:r w:rsidRPr="00DF4DBE">
        <w:t>This was unchanged, refer to</w:t>
      </w:r>
      <w:r>
        <w:rPr>
          <w:color w:val="3366FF"/>
          <w:szCs w:val="24"/>
        </w:rPr>
        <w:t xml:space="preserve"> </w:t>
      </w:r>
      <w:r>
        <w:t>Application 1510 PSD 2018, p5.</w:t>
      </w:r>
    </w:p>
    <w:p w14:paraId="41CBD0AD" w14:textId="77777777" w:rsidR="00BC1364" w:rsidRPr="00F715D1" w:rsidRDefault="00BC1364" w:rsidP="0019438A">
      <w:pPr>
        <w:pStyle w:val="Heading1"/>
        <w:ind w:hanging="720"/>
      </w:pPr>
      <w:r w:rsidRPr="00F715D1">
        <w:t>Comparative effectiveness</w:t>
      </w:r>
    </w:p>
    <w:p w14:paraId="43114395" w14:textId="77777777" w:rsidR="00CA408A" w:rsidRPr="00CA408A" w:rsidRDefault="00CA408A" w:rsidP="00CA408A">
      <w:r w:rsidRPr="00DF4DBE">
        <w:t>This was unchanged, refer to</w:t>
      </w:r>
      <w:r>
        <w:rPr>
          <w:color w:val="3366FF"/>
          <w:szCs w:val="24"/>
        </w:rPr>
        <w:t xml:space="preserve"> </w:t>
      </w:r>
      <w:r>
        <w:t>Application 1510 PSD 2018, pp6-7.</w:t>
      </w:r>
    </w:p>
    <w:p w14:paraId="085A7097" w14:textId="77777777" w:rsidR="00BC1364" w:rsidRPr="00F715D1" w:rsidRDefault="00BC1364" w:rsidP="0019438A">
      <w:pPr>
        <w:pStyle w:val="Heading1"/>
        <w:ind w:hanging="720"/>
      </w:pPr>
      <w:r w:rsidRPr="00F715D1">
        <w:lastRenderedPageBreak/>
        <w:t>Economic evaluation</w:t>
      </w:r>
    </w:p>
    <w:p w14:paraId="109E12F2" w14:textId="77777777" w:rsidR="00CA408A" w:rsidRDefault="00CA408A" w:rsidP="00CA408A">
      <w:r>
        <w:t xml:space="preserve">The applicant did not provide new estimates for the economic evaluation, </w:t>
      </w:r>
      <w:r w:rsidRPr="00DF4DBE">
        <w:t>refer to</w:t>
      </w:r>
      <w:r>
        <w:rPr>
          <w:color w:val="3366FF"/>
        </w:rPr>
        <w:t xml:space="preserve"> </w:t>
      </w:r>
      <w:r>
        <w:t>Application 1510 PSD 2018, pp7-9.</w:t>
      </w:r>
    </w:p>
    <w:p w14:paraId="1B498956" w14:textId="77777777" w:rsidR="00BC1364" w:rsidRPr="00F715D1" w:rsidRDefault="00BC1364" w:rsidP="0019438A">
      <w:pPr>
        <w:pStyle w:val="Heading1"/>
        <w:ind w:hanging="720"/>
      </w:pPr>
      <w:r w:rsidRPr="00F715D1">
        <w:t>Financial/budgetary impacts</w:t>
      </w:r>
    </w:p>
    <w:p w14:paraId="2DD5D0CD" w14:textId="6AC09DB8" w:rsidR="00CA408A" w:rsidRDefault="00CA408A" w:rsidP="00E408EF">
      <w:pPr>
        <w:spacing w:after="240"/>
      </w:pPr>
      <w:r>
        <w:t xml:space="preserve">Consistent with the previous </w:t>
      </w:r>
      <w:r w:rsidR="00240FA8">
        <w:t>application</w:t>
      </w:r>
      <w:r>
        <w:t xml:space="preserve">, an epidemiological approach </w:t>
      </w:r>
      <w:r w:rsidR="00AD0048">
        <w:t xml:space="preserve">was </w:t>
      </w:r>
      <w:r>
        <w:t xml:space="preserve">used to estimate the financial implications (Table 3), which included an assumption that freed hospital resources would be realised as financial savings, rather than being redeployed. ESC noted that, as the shadow price per mg for emicizumab for the population with inhibitors in Year 1 is unchanged from Application 1510, the total price per patient per year is the same as that considered by MSAC at its November 2018 meeting. This shadow price reduces by roughly the same proportion each year to a maximum </w:t>
      </w:r>
      <w:r w:rsidR="00CC5EA2" w:rsidRPr="00CC5EA2">
        <w:rPr>
          <w:b/>
          <w:lang w:eastAsia="en-US"/>
        </w:rPr>
        <w:t>redacted</w:t>
      </w:r>
      <w:r>
        <w:t>% reduction from Year 5.</w:t>
      </w:r>
    </w:p>
    <w:p w14:paraId="7EB8181E" w14:textId="77777777" w:rsidR="00CA408A" w:rsidRPr="00B81560" w:rsidRDefault="00CA408A" w:rsidP="00B81560">
      <w:pPr>
        <w:rPr>
          <w:rFonts w:ascii="Arial Narrow" w:hAnsi="Arial Narrow"/>
          <w:b/>
          <w:sz w:val="20"/>
        </w:rPr>
      </w:pPr>
      <w:bookmarkStart w:id="8" w:name="_Ref499213278"/>
      <w:bookmarkStart w:id="9" w:name="_Toc4752156"/>
      <w:bookmarkStart w:id="10" w:name="_Toc5279016"/>
      <w:bookmarkStart w:id="11" w:name="_Toc5361476"/>
      <w:r w:rsidRPr="00B81560">
        <w:rPr>
          <w:rFonts w:ascii="Arial Narrow" w:hAnsi="Arial Narrow"/>
          <w:b/>
          <w:sz w:val="20"/>
        </w:rPr>
        <w:t>Table</w:t>
      </w:r>
      <w:bookmarkEnd w:id="8"/>
      <w:r w:rsidRPr="00B81560">
        <w:rPr>
          <w:rFonts w:ascii="Arial Narrow" w:hAnsi="Arial Narrow"/>
          <w:b/>
          <w:sz w:val="20"/>
        </w:rPr>
        <w:t xml:space="preserve"> 3</w:t>
      </w:r>
      <w:r w:rsidRPr="00B81560">
        <w:rPr>
          <w:rFonts w:ascii="Arial Narrow" w:hAnsi="Arial Narrow"/>
          <w:b/>
          <w:sz w:val="20"/>
        </w:rPr>
        <w:tab/>
      </w:r>
      <w:bookmarkEnd w:id="9"/>
      <w:bookmarkEnd w:id="10"/>
      <w:bookmarkEnd w:id="11"/>
      <w:r w:rsidRPr="00B81560">
        <w:rPr>
          <w:rFonts w:ascii="Arial Narrow" w:hAnsi="Arial Narrow"/>
          <w:b/>
          <w:sz w:val="20"/>
        </w:rPr>
        <w:t>Total net cost of listing emicizumab</w:t>
      </w:r>
    </w:p>
    <w:tbl>
      <w:tblPr>
        <w:tblStyle w:val="TableGrid"/>
        <w:tblW w:w="0" w:type="auto"/>
        <w:tblLayout w:type="fixed"/>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689"/>
        <w:gridCol w:w="1275"/>
        <w:gridCol w:w="1276"/>
        <w:gridCol w:w="1276"/>
        <w:gridCol w:w="1276"/>
        <w:gridCol w:w="1224"/>
      </w:tblGrid>
      <w:tr w:rsidR="00CA408A" w:rsidRPr="00455178" w14:paraId="1D4AE143" w14:textId="77777777" w:rsidTr="00B81560">
        <w:trPr>
          <w:trHeight w:val="300"/>
          <w:tblHeader/>
        </w:trPr>
        <w:tc>
          <w:tcPr>
            <w:tcW w:w="2689" w:type="dxa"/>
          </w:tcPr>
          <w:p w14:paraId="77823A52" w14:textId="77777777" w:rsidR="00CA408A" w:rsidRPr="00455178" w:rsidRDefault="00CA408A" w:rsidP="00EC2692">
            <w:pPr>
              <w:pStyle w:val="TableHeadingRow"/>
              <w:jc w:val="center"/>
              <w:rPr>
                <w:rFonts w:ascii="Arial Narrow" w:hAnsi="Arial Narrow"/>
              </w:rPr>
            </w:pPr>
          </w:p>
        </w:tc>
        <w:tc>
          <w:tcPr>
            <w:tcW w:w="1275" w:type="dxa"/>
          </w:tcPr>
          <w:p w14:paraId="5A044CB4" w14:textId="77777777" w:rsidR="00CA408A" w:rsidRPr="00455178" w:rsidRDefault="00CA408A" w:rsidP="00EC2692">
            <w:pPr>
              <w:pStyle w:val="TableHeadingRow"/>
              <w:jc w:val="center"/>
              <w:rPr>
                <w:rFonts w:ascii="Arial Narrow" w:hAnsi="Arial Narrow"/>
              </w:rPr>
            </w:pPr>
            <w:r w:rsidRPr="00455178">
              <w:rPr>
                <w:rFonts w:ascii="Arial Narrow" w:hAnsi="Arial Narrow"/>
              </w:rPr>
              <w:t>Year 1</w:t>
            </w:r>
          </w:p>
        </w:tc>
        <w:tc>
          <w:tcPr>
            <w:tcW w:w="1276" w:type="dxa"/>
          </w:tcPr>
          <w:p w14:paraId="71FF8B66" w14:textId="77777777" w:rsidR="00CA408A" w:rsidRPr="00455178" w:rsidRDefault="00CA408A" w:rsidP="00EC2692">
            <w:pPr>
              <w:pStyle w:val="TableHeadingRow"/>
              <w:jc w:val="center"/>
              <w:rPr>
                <w:rFonts w:ascii="Arial Narrow" w:hAnsi="Arial Narrow"/>
              </w:rPr>
            </w:pPr>
            <w:r w:rsidRPr="00455178">
              <w:rPr>
                <w:rFonts w:ascii="Arial Narrow" w:hAnsi="Arial Narrow"/>
              </w:rPr>
              <w:t>Year 2</w:t>
            </w:r>
          </w:p>
        </w:tc>
        <w:tc>
          <w:tcPr>
            <w:tcW w:w="1276" w:type="dxa"/>
          </w:tcPr>
          <w:p w14:paraId="7393CB7A" w14:textId="77777777" w:rsidR="00CA408A" w:rsidRPr="00455178" w:rsidRDefault="00CA408A" w:rsidP="00EC2692">
            <w:pPr>
              <w:pStyle w:val="TableHeadingRow"/>
              <w:jc w:val="center"/>
              <w:rPr>
                <w:rFonts w:ascii="Arial Narrow" w:hAnsi="Arial Narrow"/>
              </w:rPr>
            </w:pPr>
            <w:r w:rsidRPr="00455178">
              <w:rPr>
                <w:rFonts w:ascii="Arial Narrow" w:hAnsi="Arial Narrow"/>
              </w:rPr>
              <w:t>Year 3</w:t>
            </w:r>
          </w:p>
        </w:tc>
        <w:tc>
          <w:tcPr>
            <w:tcW w:w="1276" w:type="dxa"/>
          </w:tcPr>
          <w:p w14:paraId="07F1F83E" w14:textId="77777777" w:rsidR="00CA408A" w:rsidRPr="00455178" w:rsidRDefault="00CA408A" w:rsidP="00EC2692">
            <w:pPr>
              <w:pStyle w:val="TableHeadingRow"/>
              <w:jc w:val="center"/>
              <w:rPr>
                <w:rFonts w:ascii="Arial Narrow" w:hAnsi="Arial Narrow"/>
              </w:rPr>
            </w:pPr>
            <w:r w:rsidRPr="00455178">
              <w:rPr>
                <w:rFonts w:ascii="Arial Narrow" w:hAnsi="Arial Narrow"/>
              </w:rPr>
              <w:t>Year 4</w:t>
            </w:r>
          </w:p>
        </w:tc>
        <w:tc>
          <w:tcPr>
            <w:tcW w:w="1224" w:type="dxa"/>
          </w:tcPr>
          <w:p w14:paraId="68CD0BCF" w14:textId="77777777" w:rsidR="00CA408A" w:rsidRPr="00455178" w:rsidRDefault="00CA408A" w:rsidP="00EC2692">
            <w:pPr>
              <w:pStyle w:val="TableHeadingRow"/>
              <w:jc w:val="center"/>
              <w:rPr>
                <w:rFonts w:ascii="Arial Narrow" w:hAnsi="Arial Narrow"/>
              </w:rPr>
            </w:pPr>
            <w:r w:rsidRPr="00455178">
              <w:rPr>
                <w:rFonts w:ascii="Arial Narrow" w:hAnsi="Arial Narrow"/>
              </w:rPr>
              <w:t>Year 5</w:t>
            </w:r>
          </w:p>
        </w:tc>
      </w:tr>
      <w:tr w:rsidR="00CA408A" w:rsidRPr="00455178" w14:paraId="7CD40E05" w14:textId="77777777" w:rsidTr="00B81560">
        <w:trPr>
          <w:trHeight w:val="300"/>
        </w:trPr>
        <w:tc>
          <w:tcPr>
            <w:tcW w:w="9016" w:type="dxa"/>
            <w:gridSpan w:val="6"/>
          </w:tcPr>
          <w:p w14:paraId="5CB091BE" w14:textId="0333ED3B" w:rsidR="00CA408A" w:rsidRPr="00455178" w:rsidRDefault="00CA408A" w:rsidP="00EC2692">
            <w:pPr>
              <w:pStyle w:val="TableText"/>
              <w:keepNext/>
              <w:rPr>
                <w:rFonts w:ascii="Arial Narrow" w:hAnsi="Arial Narrow"/>
                <w:b/>
              </w:rPr>
            </w:pPr>
            <w:r w:rsidRPr="00455178">
              <w:rPr>
                <w:rFonts w:ascii="Arial Narrow" w:hAnsi="Arial Narrow"/>
                <w:b/>
              </w:rPr>
              <w:t>Patients treated</w:t>
            </w:r>
          </w:p>
        </w:tc>
      </w:tr>
      <w:tr w:rsidR="00CA408A" w:rsidRPr="00455178" w14:paraId="13AF727C" w14:textId="77777777" w:rsidTr="00B81560">
        <w:trPr>
          <w:trHeight w:val="300"/>
        </w:trPr>
        <w:tc>
          <w:tcPr>
            <w:tcW w:w="2689" w:type="dxa"/>
          </w:tcPr>
          <w:p w14:paraId="6E2ADA83" w14:textId="65E5CC17" w:rsidR="00CA408A" w:rsidRPr="00455178" w:rsidRDefault="00CA408A" w:rsidP="00EC2692">
            <w:pPr>
              <w:pStyle w:val="TableText"/>
              <w:keepNext/>
              <w:rPr>
                <w:rFonts w:ascii="Arial Narrow" w:hAnsi="Arial Narrow"/>
              </w:rPr>
            </w:pPr>
            <w:r w:rsidRPr="00455178">
              <w:rPr>
                <w:rFonts w:ascii="Arial Narrow" w:hAnsi="Arial Narrow"/>
              </w:rPr>
              <w:t>Total patients treated - INH</w:t>
            </w:r>
          </w:p>
        </w:tc>
        <w:tc>
          <w:tcPr>
            <w:tcW w:w="1275" w:type="dxa"/>
          </w:tcPr>
          <w:p w14:paraId="7D0DC7CD"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19</w:t>
            </w:r>
          </w:p>
        </w:tc>
        <w:tc>
          <w:tcPr>
            <w:tcW w:w="1276" w:type="dxa"/>
          </w:tcPr>
          <w:p w14:paraId="14B6F930"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34</w:t>
            </w:r>
          </w:p>
        </w:tc>
        <w:tc>
          <w:tcPr>
            <w:tcW w:w="1276" w:type="dxa"/>
          </w:tcPr>
          <w:p w14:paraId="4A8267B3"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35</w:t>
            </w:r>
          </w:p>
        </w:tc>
        <w:tc>
          <w:tcPr>
            <w:tcW w:w="1276" w:type="dxa"/>
          </w:tcPr>
          <w:p w14:paraId="07D11FE3"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35</w:t>
            </w:r>
          </w:p>
        </w:tc>
        <w:tc>
          <w:tcPr>
            <w:tcW w:w="1224" w:type="dxa"/>
          </w:tcPr>
          <w:p w14:paraId="7CC1037B"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36</w:t>
            </w:r>
          </w:p>
        </w:tc>
      </w:tr>
      <w:tr w:rsidR="00CA408A" w:rsidRPr="00455178" w14:paraId="7F047F0D" w14:textId="77777777" w:rsidTr="00B81560">
        <w:trPr>
          <w:trHeight w:val="300"/>
        </w:trPr>
        <w:tc>
          <w:tcPr>
            <w:tcW w:w="2689" w:type="dxa"/>
          </w:tcPr>
          <w:p w14:paraId="4CC7A8A2" w14:textId="121A2807" w:rsidR="00CA408A" w:rsidRPr="00455178" w:rsidRDefault="00CA408A" w:rsidP="00EC2692">
            <w:pPr>
              <w:pStyle w:val="TableText"/>
              <w:keepNext/>
              <w:rPr>
                <w:rFonts w:ascii="Arial Narrow" w:hAnsi="Arial Narrow"/>
              </w:rPr>
            </w:pPr>
            <w:r w:rsidRPr="00455178">
              <w:rPr>
                <w:rFonts w:ascii="Arial Narrow" w:hAnsi="Arial Narrow"/>
              </w:rPr>
              <w:t>Total patients treated - NIH</w:t>
            </w:r>
          </w:p>
        </w:tc>
        <w:tc>
          <w:tcPr>
            <w:tcW w:w="1275" w:type="dxa"/>
          </w:tcPr>
          <w:p w14:paraId="229D216D"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158</w:t>
            </w:r>
          </w:p>
        </w:tc>
        <w:tc>
          <w:tcPr>
            <w:tcW w:w="1276" w:type="dxa"/>
          </w:tcPr>
          <w:p w14:paraId="01180C85"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366</w:t>
            </w:r>
          </w:p>
        </w:tc>
        <w:tc>
          <w:tcPr>
            <w:tcW w:w="1276" w:type="dxa"/>
          </w:tcPr>
          <w:p w14:paraId="12A50D75"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398</w:t>
            </w:r>
          </w:p>
        </w:tc>
        <w:tc>
          <w:tcPr>
            <w:tcW w:w="1276" w:type="dxa"/>
          </w:tcPr>
          <w:p w14:paraId="6101EB63"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405</w:t>
            </w:r>
          </w:p>
        </w:tc>
        <w:tc>
          <w:tcPr>
            <w:tcW w:w="1224" w:type="dxa"/>
          </w:tcPr>
          <w:p w14:paraId="21B02EEA" w14:textId="77777777" w:rsidR="00CA408A" w:rsidRPr="00455178" w:rsidRDefault="00CA408A" w:rsidP="00EC2692">
            <w:pPr>
              <w:pStyle w:val="TableText"/>
              <w:keepNext/>
              <w:jc w:val="center"/>
              <w:rPr>
                <w:rFonts w:ascii="Arial Narrow" w:hAnsi="Arial Narrow"/>
                <w:color w:val="000000"/>
              </w:rPr>
            </w:pPr>
            <w:r w:rsidRPr="00455178">
              <w:rPr>
                <w:rFonts w:ascii="Arial Narrow" w:hAnsi="Arial Narrow"/>
                <w:color w:val="000000"/>
              </w:rPr>
              <w:t>413</w:t>
            </w:r>
          </w:p>
        </w:tc>
      </w:tr>
      <w:tr w:rsidR="00CA408A" w:rsidRPr="00455178" w14:paraId="72D59532" w14:textId="77777777" w:rsidTr="00B81560">
        <w:trPr>
          <w:trHeight w:val="315"/>
        </w:trPr>
        <w:tc>
          <w:tcPr>
            <w:tcW w:w="2689" w:type="dxa"/>
          </w:tcPr>
          <w:p w14:paraId="6A8B10D4" w14:textId="10B2B25A" w:rsidR="00CA408A" w:rsidRPr="00455178" w:rsidRDefault="00CA408A" w:rsidP="00EC2692">
            <w:pPr>
              <w:pStyle w:val="TableText"/>
              <w:keepNext/>
              <w:rPr>
                <w:rFonts w:ascii="Arial Narrow" w:hAnsi="Arial Narrow"/>
                <w:b/>
              </w:rPr>
            </w:pPr>
            <w:r w:rsidRPr="00455178">
              <w:rPr>
                <w:rFonts w:ascii="Arial Narrow" w:hAnsi="Arial Narrow"/>
                <w:b/>
              </w:rPr>
              <w:t>Total patients treated - INH + NIH</w:t>
            </w:r>
          </w:p>
        </w:tc>
        <w:tc>
          <w:tcPr>
            <w:tcW w:w="1275" w:type="dxa"/>
          </w:tcPr>
          <w:p w14:paraId="74117FA3" w14:textId="77777777" w:rsidR="00CA408A" w:rsidRPr="00455178" w:rsidRDefault="00CA408A" w:rsidP="00EC2692">
            <w:pPr>
              <w:pStyle w:val="TableText"/>
              <w:keepNext/>
              <w:jc w:val="center"/>
              <w:rPr>
                <w:rFonts w:ascii="Arial Narrow" w:hAnsi="Arial Narrow"/>
                <w:b/>
                <w:color w:val="000000"/>
              </w:rPr>
            </w:pPr>
            <w:r w:rsidRPr="00455178">
              <w:rPr>
                <w:rFonts w:ascii="Arial Narrow" w:hAnsi="Arial Narrow"/>
                <w:b/>
                <w:color w:val="000000"/>
              </w:rPr>
              <w:t>178</w:t>
            </w:r>
          </w:p>
        </w:tc>
        <w:tc>
          <w:tcPr>
            <w:tcW w:w="1276" w:type="dxa"/>
          </w:tcPr>
          <w:p w14:paraId="5E5A7C43" w14:textId="77777777" w:rsidR="00CA408A" w:rsidRPr="00455178" w:rsidRDefault="00CA408A" w:rsidP="00EC2692">
            <w:pPr>
              <w:pStyle w:val="TableText"/>
              <w:keepNext/>
              <w:jc w:val="center"/>
              <w:rPr>
                <w:rFonts w:ascii="Arial Narrow" w:hAnsi="Arial Narrow"/>
                <w:b/>
                <w:color w:val="000000"/>
              </w:rPr>
            </w:pPr>
            <w:r w:rsidRPr="00455178">
              <w:rPr>
                <w:rFonts w:ascii="Arial Narrow" w:hAnsi="Arial Narrow"/>
                <w:b/>
                <w:color w:val="000000"/>
              </w:rPr>
              <w:t>400</w:t>
            </w:r>
          </w:p>
        </w:tc>
        <w:tc>
          <w:tcPr>
            <w:tcW w:w="1276" w:type="dxa"/>
          </w:tcPr>
          <w:p w14:paraId="505DED7B" w14:textId="77777777" w:rsidR="00CA408A" w:rsidRPr="00455178" w:rsidRDefault="00CA408A" w:rsidP="00EC2692">
            <w:pPr>
              <w:pStyle w:val="TableText"/>
              <w:keepNext/>
              <w:jc w:val="center"/>
              <w:rPr>
                <w:rFonts w:ascii="Arial Narrow" w:hAnsi="Arial Narrow"/>
                <w:b/>
                <w:color w:val="000000"/>
              </w:rPr>
            </w:pPr>
            <w:r w:rsidRPr="00455178">
              <w:rPr>
                <w:rFonts w:ascii="Arial Narrow" w:hAnsi="Arial Narrow"/>
                <w:b/>
                <w:color w:val="000000"/>
              </w:rPr>
              <w:t>433</w:t>
            </w:r>
          </w:p>
        </w:tc>
        <w:tc>
          <w:tcPr>
            <w:tcW w:w="1276" w:type="dxa"/>
          </w:tcPr>
          <w:p w14:paraId="3E6C6B0A" w14:textId="77777777" w:rsidR="00CA408A" w:rsidRPr="00455178" w:rsidRDefault="00CA408A" w:rsidP="00EC2692">
            <w:pPr>
              <w:pStyle w:val="TableText"/>
              <w:keepNext/>
              <w:jc w:val="center"/>
              <w:rPr>
                <w:rFonts w:ascii="Arial Narrow" w:hAnsi="Arial Narrow"/>
                <w:b/>
                <w:color w:val="000000"/>
              </w:rPr>
            </w:pPr>
            <w:r w:rsidRPr="00455178">
              <w:rPr>
                <w:rFonts w:ascii="Arial Narrow" w:hAnsi="Arial Narrow"/>
                <w:b/>
                <w:color w:val="000000"/>
              </w:rPr>
              <w:t>441</w:t>
            </w:r>
          </w:p>
        </w:tc>
        <w:tc>
          <w:tcPr>
            <w:tcW w:w="1224" w:type="dxa"/>
          </w:tcPr>
          <w:p w14:paraId="605332ED" w14:textId="77777777" w:rsidR="00CA408A" w:rsidRPr="00455178" w:rsidRDefault="00CA408A" w:rsidP="00EC2692">
            <w:pPr>
              <w:pStyle w:val="TableText"/>
              <w:keepNext/>
              <w:jc w:val="center"/>
              <w:rPr>
                <w:rFonts w:ascii="Arial Narrow" w:hAnsi="Arial Narrow"/>
                <w:b/>
                <w:color w:val="000000"/>
              </w:rPr>
            </w:pPr>
            <w:r w:rsidRPr="00455178">
              <w:rPr>
                <w:rFonts w:ascii="Arial Narrow" w:hAnsi="Arial Narrow"/>
                <w:b/>
                <w:color w:val="000000"/>
              </w:rPr>
              <w:t>449</w:t>
            </w:r>
          </w:p>
        </w:tc>
      </w:tr>
      <w:tr w:rsidR="00CA408A" w:rsidRPr="00455178" w14:paraId="7F97AF08" w14:textId="77777777" w:rsidTr="00B81560">
        <w:trPr>
          <w:trHeight w:val="70"/>
        </w:trPr>
        <w:tc>
          <w:tcPr>
            <w:tcW w:w="9016" w:type="dxa"/>
            <w:gridSpan w:val="6"/>
          </w:tcPr>
          <w:p w14:paraId="06C99CF9" w14:textId="49A1BA70" w:rsidR="00CA408A" w:rsidRPr="00455178" w:rsidRDefault="00CA408A" w:rsidP="00EC2692">
            <w:pPr>
              <w:pStyle w:val="TableText"/>
              <w:keepNext/>
              <w:rPr>
                <w:rFonts w:ascii="Arial Narrow" w:hAnsi="Arial Narrow"/>
                <w:b/>
              </w:rPr>
            </w:pPr>
            <w:r w:rsidRPr="00455178">
              <w:rPr>
                <w:rFonts w:ascii="Arial Narrow" w:hAnsi="Arial Narrow"/>
                <w:b/>
              </w:rPr>
              <w:t>Net cost to government – INH subgroup</w:t>
            </w:r>
          </w:p>
        </w:tc>
      </w:tr>
      <w:tr w:rsidR="00CA408A" w:rsidRPr="00455178" w14:paraId="71DD9F1D" w14:textId="77777777" w:rsidTr="00B81560">
        <w:trPr>
          <w:trHeight w:val="300"/>
        </w:trPr>
        <w:tc>
          <w:tcPr>
            <w:tcW w:w="2689" w:type="dxa"/>
          </w:tcPr>
          <w:p w14:paraId="7922B70B" w14:textId="27C9AF46" w:rsidR="00CA408A" w:rsidRPr="00455178" w:rsidRDefault="00CA408A" w:rsidP="00EC2692">
            <w:pPr>
              <w:pStyle w:val="TableText"/>
              <w:keepNext/>
              <w:rPr>
                <w:rFonts w:ascii="Arial Narrow" w:hAnsi="Arial Narrow"/>
              </w:rPr>
            </w:pPr>
            <w:r w:rsidRPr="00455178">
              <w:rPr>
                <w:rFonts w:ascii="Arial Narrow" w:hAnsi="Arial Narrow"/>
              </w:rPr>
              <w:t>Cost of emicizumab</w:t>
            </w:r>
          </w:p>
        </w:tc>
        <w:tc>
          <w:tcPr>
            <w:tcW w:w="1275" w:type="dxa"/>
          </w:tcPr>
          <w:p w14:paraId="43D52BFD" w14:textId="1FE69369" w:rsidR="00CA408A" w:rsidRPr="00455178" w:rsidRDefault="00CA408A" w:rsidP="0073298A">
            <w:pPr>
              <w:pStyle w:val="TableText"/>
              <w:keepNext/>
              <w:ind w:left="-108"/>
              <w:jc w:val="center"/>
              <w:rPr>
                <w:rFonts w:ascii="Arial Narrow" w:hAnsi="Arial Narrow"/>
                <w:color w:val="000000"/>
              </w:rPr>
            </w:pPr>
            <w:r w:rsidRPr="00455178">
              <w:rPr>
                <w:rFonts w:ascii="Arial Narrow" w:hAnsi="Arial Narrow"/>
                <w:color w:val="000000"/>
              </w:rPr>
              <w:t>$</w:t>
            </w:r>
            <w:r w:rsidR="0073298A" w:rsidRPr="00CC5EA2">
              <w:rPr>
                <w:b/>
              </w:rPr>
              <w:t>redacted</w:t>
            </w:r>
          </w:p>
        </w:tc>
        <w:tc>
          <w:tcPr>
            <w:tcW w:w="1276" w:type="dxa"/>
          </w:tcPr>
          <w:p w14:paraId="640560A6" w14:textId="1FDBD72D" w:rsidR="00CA40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3D59B50B" w14:textId="69420DA6" w:rsidR="00CA40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358340B0" w14:textId="11D1325A" w:rsidR="00CA40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075563AD" w14:textId="1107C706" w:rsidR="00CA40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73298A" w:rsidRPr="00455178" w14:paraId="167AFA08" w14:textId="77777777" w:rsidTr="00B81560">
        <w:trPr>
          <w:trHeight w:val="300"/>
        </w:trPr>
        <w:tc>
          <w:tcPr>
            <w:tcW w:w="2689" w:type="dxa"/>
          </w:tcPr>
          <w:p w14:paraId="5E2E0F5F" w14:textId="33DADB19" w:rsidR="0073298A" w:rsidRPr="00455178" w:rsidRDefault="0073298A" w:rsidP="0073298A">
            <w:pPr>
              <w:pStyle w:val="TableText"/>
              <w:keepNext/>
              <w:rPr>
                <w:rFonts w:ascii="Arial Narrow" w:hAnsi="Arial Narrow"/>
              </w:rPr>
            </w:pPr>
            <w:r w:rsidRPr="00455178">
              <w:rPr>
                <w:rFonts w:ascii="Arial Narrow" w:hAnsi="Arial Narrow"/>
              </w:rPr>
              <w:t>Other costs associated with emicizumab</w:t>
            </w:r>
          </w:p>
        </w:tc>
        <w:tc>
          <w:tcPr>
            <w:tcW w:w="1275" w:type="dxa"/>
          </w:tcPr>
          <w:p w14:paraId="2810A8D3" w14:textId="6BB1E12F"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22295D0D" w14:textId="2218B133"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27E3909E" w14:textId="2852C560"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602FCF85" w14:textId="0A6AB12C"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2538FE28" w14:textId="3A1B886D"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73298A" w:rsidRPr="00455178" w14:paraId="6582B0B2" w14:textId="77777777" w:rsidTr="00B81560">
        <w:trPr>
          <w:trHeight w:val="315"/>
        </w:trPr>
        <w:tc>
          <w:tcPr>
            <w:tcW w:w="2689" w:type="dxa"/>
          </w:tcPr>
          <w:p w14:paraId="06D6D2E9" w14:textId="2D0DB02C" w:rsidR="0073298A" w:rsidRPr="00455178" w:rsidRDefault="0073298A" w:rsidP="0073298A">
            <w:pPr>
              <w:pStyle w:val="TableText"/>
              <w:keepNext/>
              <w:rPr>
                <w:rFonts w:ascii="Arial Narrow" w:hAnsi="Arial Narrow"/>
              </w:rPr>
            </w:pPr>
            <w:r w:rsidRPr="00455178">
              <w:rPr>
                <w:rFonts w:ascii="Arial Narrow" w:hAnsi="Arial Narrow"/>
              </w:rPr>
              <w:t>Cost of substituted treatments</w:t>
            </w:r>
          </w:p>
        </w:tc>
        <w:tc>
          <w:tcPr>
            <w:tcW w:w="1275" w:type="dxa"/>
          </w:tcPr>
          <w:p w14:paraId="7A65EB7D" w14:textId="774A5A82"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3308191D" w14:textId="7A7F3811"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58B84D5E" w14:textId="7D96D457"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317CF534" w14:textId="1E5D0AAA"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21D78E81" w14:textId="726ED560"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73298A" w:rsidRPr="00455178" w14:paraId="6D0481B3" w14:textId="77777777" w:rsidTr="00B81560">
        <w:trPr>
          <w:trHeight w:val="315"/>
        </w:trPr>
        <w:tc>
          <w:tcPr>
            <w:tcW w:w="2689" w:type="dxa"/>
          </w:tcPr>
          <w:p w14:paraId="61C18197" w14:textId="01A54031" w:rsidR="0073298A" w:rsidRPr="00455178" w:rsidRDefault="0073298A" w:rsidP="0073298A">
            <w:pPr>
              <w:pStyle w:val="TableText"/>
              <w:keepNext/>
              <w:rPr>
                <w:rFonts w:ascii="Arial Narrow" w:hAnsi="Arial Narrow"/>
              </w:rPr>
            </w:pPr>
            <w:r w:rsidRPr="00455178">
              <w:rPr>
                <w:rFonts w:ascii="Arial Narrow" w:hAnsi="Arial Narrow"/>
              </w:rPr>
              <w:t>Cost of substituted hospitalisation</w:t>
            </w:r>
          </w:p>
        </w:tc>
        <w:tc>
          <w:tcPr>
            <w:tcW w:w="1275" w:type="dxa"/>
          </w:tcPr>
          <w:p w14:paraId="57957165" w14:textId="20FCB7DE"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1B2C0CFB" w14:textId="1A267A05"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03FAB222" w14:textId="5123D866"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439077A0" w14:textId="67319EF0"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184A1496" w14:textId="75AB4DE0" w:rsidR="0073298A" w:rsidRPr="00455178" w:rsidRDefault="0073298A" w:rsidP="0073298A">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7154E899" w14:textId="77777777" w:rsidTr="00B81560">
        <w:trPr>
          <w:trHeight w:val="315"/>
        </w:trPr>
        <w:tc>
          <w:tcPr>
            <w:tcW w:w="2689" w:type="dxa"/>
          </w:tcPr>
          <w:p w14:paraId="60F0AD9B" w14:textId="1C9076FC" w:rsidR="00E4631F" w:rsidRPr="00455178" w:rsidRDefault="00E4631F" w:rsidP="00E4631F">
            <w:pPr>
              <w:pStyle w:val="TableText"/>
              <w:keepNext/>
              <w:rPr>
                <w:rFonts w:ascii="Arial Narrow" w:hAnsi="Arial Narrow"/>
                <w:b/>
              </w:rPr>
            </w:pPr>
            <w:r w:rsidRPr="00455178">
              <w:rPr>
                <w:rFonts w:ascii="Arial Narrow" w:hAnsi="Arial Narrow"/>
                <w:b/>
              </w:rPr>
              <w:t>Net cost to government – INH</w:t>
            </w:r>
          </w:p>
        </w:tc>
        <w:tc>
          <w:tcPr>
            <w:tcW w:w="1275" w:type="dxa"/>
          </w:tcPr>
          <w:p w14:paraId="0C40FDA3" w14:textId="47D791C5"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p>
        </w:tc>
        <w:tc>
          <w:tcPr>
            <w:tcW w:w="1276" w:type="dxa"/>
          </w:tcPr>
          <w:p w14:paraId="344F0007" w14:textId="34001519"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55C0CDA8" w14:textId="02363475"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609E79F3" w14:textId="74870DD8"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3AB949E7" w14:textId="7C2B1127"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0EEAF6AF" w14:textId="77777777" w:rsidTr="00B81560">
        <w:trPr>
          <w:trHeight w:val="315"/>
        </w:trPr>
        <w:tc>
          <w:tcPr>
            <w:tcW w:w="9016" w:type="dxa"/>
            <w:gridSpan w:val="6"/>
          </w:tcPr>
          <w:p w14:paraId="616C32EF" w14:textId="77777777" w:rsidR="00E4631F" w:rsidRPr="00455178" w:rsidRDefault="00E4631F" w:rsidP="00E4631F">
            <w:pPr>
              <w:pStyle w:val="TableText"/>
              <w:keepNext/>
              <w:rPr>
                <w:rFonts w:ascii="Arial Narrow" w:hAnsi="Arial Narrow"/>
                <w:color w:val="000000"/>
              </w:rPr>
            </w:pPr>
            <w:r w:rsidRPr="00455178">
              <w:rPr>
                <w:rFonts w:ascii="Arial Narrow" w:hAnsi="Arial Narrow"/>
                <w:b/>
              </w:rPr>
              <w:t>Net cost to government – NIH subgroup</w:t>
            </w:r>
          </w:p>
        </w:tc>
      </w:tr>
      <w:tr w:rsidR="00E4631F" w:rsidRPr="00455178" w14:paraId="3E3960D9" w14:textId="77777777" w:rsidTr="00B81560">
        <w:trPr>
          <w:trHeight w:val="315"/>
        </w:trPr>
        <w:tc>
          <w:tcPr>
            <w:tcW w:w="2689" w:type="dxa"/>
          </w:tcPr>
          <w:p w14:paraId="670654B7" w14:textId="61F3CDF3" w:rsidR="00E4631F" w:rsidRPr="00455178" w:rsidRDefault="00E4631F" w:rsidP="00E4631F">
            <w:pPr>
              <w:pStyle w:val="TableText"/>
              <w:keepNext/>
              <w:rPr>
                <w:rFonts w:ascii="Arial Narrow" w:hAnsi="Arial Narrow"/>
              </w:rPr>
            </w:pPr>
            <w:r w:rsidRPr="00455178">
              <w:rPr>
                <w:rFonts w:ascii="Arial Narrow" w:hAnsi="Arial Narrow"/>
              </w:rPr>
              <w:t>Cost of emicizumab</w:t>
            </w:r>
          </w:p>
        </w:tc>
        <w:tc>
          <w:tcPr>
            <w:tcW w:w="1275" w:type="dxa"/>
          </w:tcPr>
          <w:p w14:paraId="78ECD2B5" w14:textId="1B3DF57D"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305C6EFA" w14:textId="32FF7AAD"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651A4529" w14:textId="0E121684"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3BDC15A7" w14:textId="66F68D5C"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053786C2" w14:textId="1B99E03C"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78D1BD07" w14:textId="77777777" w:rsidTr="00B81560">
        <w:trPr>
          <w:trHeight w:val="315"/>
        </w:trPr>
        <w:tc>
          <w:tcPr>
            <w:tcW w:w="2689" w:type="dxa"/>
          </w:tcPr>
          <w:p w14:paraId="3A452A4B" w14:textId="5D369AD6" w:rsidR="00E4631F" w:rsidRPr="00455178" w:rsidRDefault="00E4631F" w:rsidP="00E4631F">
            <w:pPr>
              <w:pStyle w:val="TableText"/>
              <w:keepNext/>
              <w:rPr>
                <w:rFonts w:ascii="Arial Narrow" w:hAnsi="Arial Narrow"/>
              </w:rPr>
            </w:pPr>
            <w:r w:rsidRPr="00455178">
              <w:rPr>
                <w:rFonts w:ascii="Arial Narrow" w:hAnsi="Arial Narrow"/>
              </w:rPr>
              <w:t>Other costs associated with emicizumab</w:t>
            </w:r>
          </w:p>
        </w:tc>
        <w:tc>
          <w:tcPr>
            <w:tcW w:w="1275" w:type="dxa"/>
          </w:tcPr>
          <w:p w14:paraId="0A744156" w14:textId="793C2127"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28FB3BA9" w14:textId="12D0E0B0"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492C9DCF" w14:textId="72487BCD"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4FAED8C1" w14:textId="61C26CB2"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01BE33B1" w14:textId="7AD0C100"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321B1FC3" w14:textId="77777777" w:rsidTr="00B81560">
        <w:trPr>
          <w:trHeight w:val="315"/>
        </w:trPr>
        <w:tc>
          <w:tcPr>
            <w:tcW w:w="2689" w:type="dxa"/>
          </w:tcPr>
          <w:p w14:paraId="214DAA70" w14:textId="5328178C" w:rsidR="00E4631F" w:rsidRPr="00455178" w:rsidRDefault="00E4631F" w:rsidP="00E4631F">
            <w:pPr>
              <w:pStyle w:val="TableText"/>
              <w:keepNext/>
              <w:rPr>
                <w:rFonts w:ascii="Arial Narrow" w:hAnsi="Arial Narrow"/>
              </w:rPr>
            </w:pPr>
            <w:r w:rsidRPr="00455178">
              <w:rPr>
                <w:rFonts w:ascii="Arial Narrow" w:hAnsi="Arial Narrow"/>
              </w:rPr>
              <w:t>Cost of substituted treatments</w:t>
            </w:r>
          </w:p>
        </w:tc>
        <w:tc>
          <w:tcPr>
            <w:tcW w:w="1275" w:type="dxa"/>
          </w:tcPr>
          <w:p w14:paraId="3B903CAA" w14:textId="3589231F"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27742585" w14:textId="69153B7E"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2DD0180A" w14:textId="6E984BCE"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2336FE5E" w14:textId="63A1016A"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0FC9219C" w14:textId="32C028C8"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26640788" w14:textId="77777777" w:rsidTr="00B81560">
        <w:trPr>
          <w:trHeight w:val="315"/>
        </w:trPr>
        <w:tc>
          <w:tcPr>
            <w:tcW w:w="2689" w:type="dxa"/>
          </w:tcPr>
          <w:p w14:paraId="559E3742" w14:textId="464E8275" w:rsidR="00E4631F" w:rsidRPr="00455178" w:rsidRDefault="00E4631F" w:rsidP="00E4631F">
            <w:pPr>
              <w:pStyle w:val="TableText"/>
              <w:keepNext/>
              <w:rPr>
                <w:rFonts w:ascii="Arial Narrow" w:hAnsi="Arial Narrow"/>
              </w:rPr>
            </w:pPr>
            <w:r w:rsidRPr="00455178">
              <w:rPr>
                <w:rFonts w:ascii="Arial Narrow" w:hAnsi="Arial Narrow"/>
              </w:rPr>
              <w:t>Cost of substituted hospitalisation</w:t>
            </w:r>
          </w:p>
        </w:tc>
        <w:tc>
          <w:tcPr>
            <w:tcW w:w="1275" w:type="dxa"/>
          </w:tcPr>
          <w:p w14:paraId="31BABA64" w14:textId="10E9625E"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638D58E1" w14:textId="646F5E3A"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4097A5AD" w14:textId="1F7ECC1C"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14BBB3F1" w14:textId="5E691D5F"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7FF2F312" w14:textId="01989F21"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158E5600" w14:textId="77777777" w:rsidTr="00B81560">
        <w:trPr>
          <w:trHeight w:val="315"/>
        </w:trPr>
        <w:tc>
          <w:tcPr>
            <w:tcW w:w="2689" w:type="dxa"/>
          </w:tcPr>
          <w:p w14:paraId="6681A7F9" w14:textId="77777777" w:rsidR="00E4631F" w:rsidRPr="00455178" w:rsidRDefault="00E4631F" w:rsidP="00E4631F">
            <w:pPr>
              <w:pStyle w:val="TableText"/>
              <w:keepNext/>
              <w:rPr>
                <w:rFonts w:ascii="Arial Narrow" w:hAnsi="Arial Narrow"/>
                <w:b/>
              </w:rPr>
            </w:pPr>
            <w:r w:rsidRPr="00455178">
              <w:rPr>
                <w:rFonts w:ascii="Arial Narrow" w:hAnsi="Arial Narrow"/>
                <w:b/>
              </w:rPr>
              <w:t>Net cost to government - NIH</w:t>
            </w:r>
          </w:p>
        </w:tc>
        <w:tc>
          <w:tcPr>
            <w:tcW w:w="1275" w:type="dxa"/>
          </w:tcPr>
          <w:p w14:paraId="1715E4CF" w14:textId="571D71C1"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p>
        </w:tc>
        <w:tc>
          <w:tcPr>
            <w:tcW w:w="1276" w:type="dxa"/>
          </w:tcPr>
          <w:p w14:paraId="3DF79B83" w14:textId="1FA1DEDF"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5F15C0E9" w14:textId="1FEFC337"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6096A00E" w14:textId="4C20E348"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0D872B21" w14:textId="24BC13E1"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7F39F3B8" w14:textId="77777777" w:rsidTr="00B81560">
        <w:trPr>
          <w:trHeight w:val="315"/>
        </w:trPr>
        <w:tc>
          <w:tcPr>
            <w:tcW w:w="9016" w:type="dxa"/>
            <w:gridSpan w:val="6"/>
          </w:tcPr>
          <w:p w14:paraId="1085FCA5" w14:textId="77777777" w:rsidR="00E4631F" w:rsidRPr="00455178" w:rsidRDefault="00E4631F" w:rsidP="00E4631F">
            <w:pPr>
              <w:pStyle w:val="TableText"/>
              <w:keepNext/>
              <w:rPr>
                <w:rFonts w:ascii="Arial Narrow" w:hAnsi="Arial Narrow"/>
                <w:color w:val="000000"/>
              </w:rPr>
            </w:pPr>
            <w:r w:rsidRPr="00455178">
              <w:rPr>
                <w:rFonts w:ascii="Arial Narrow" w:hAnsi="Arial Narrow"/>
                <w:b/>
              </w:rPr>
              <w:t>Overall net cost to government – INH + NIH</w:t>
            </w:r>
          </w:p>
        </w:tc>
      </w:tr>
      <w:tr w:rsidR="00E4631F" w:rsidRPr="00455178" w14:paraId="583BFF69" w14:textId="77777777" w:rsidTr="00B81560">
        <w:trPr>
          <w:trHeight w:val="315"/>
        </w:trPr>
        <w:tc>
          <w:tcPr>
            <w:tcW w:w="2689" w:type="dxa"/>
          </w:tcPr>
          <w:p w14:paraId="6D47D95F" w14:textId="114D0C9D" w:rsidR="00E4631F" w:rsidRPr="00455178" w:rsidRDefault="00E4631F" w:rsidP="00E4631F">
            <w:pPr>
              <w:pStyle w:val="TableText"/>
              <w:keepNext/>
              <w:rPr>
                <w:rFonts w:ascii="Arial Narrow" w:hAnsi="Arial Narrow"/>
              </w:rPr>
            </w:pPr>
            <w:r w:rsidRPr="00455178">
              <w:rPr>
                <w:rFonts w:ascii="Arial Narrow" w:hAnsi="Arial Narrow"/>
              </w:rPr>
              <w:t>Cost of emicizumab</w:t>
            </w:r>
          </w:p>
        </w:tc>
        <w:tc>
          <w:tcPr>
            <w:tcW w:w="1275" w:type="dxa"/>
          </w:tcPr>
          <w:p w14:paraId="786AF158" w14:textId="5E536698"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39B9A319" w14:textId="4093B67A"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21B2BFBD" w14:textId="7DCC3750"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61727E57" w14:textId="1E7305D4"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0065B0CB" w14:textId="3DB362F8"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4BD98B37" w14:textId="77777777" w:rsidTr="00B81560">
        <w:trPr>
          <w:trHeight w:val="315"/>
        </w:trPr>
        <w:tc>
          <w:tcPr>
            <w:tcW w:w="2689" w:type="dxa"/>
          </w:tcPr>
          <w:p w14:paraId="10C24AAC" w14:textId="7D5D4279" w:rsidR="00E4631F" w:rsidRPr="00455178" w:rsidRDefault="00E4631F" w:rsidP="00E4631F">
            <w:pPr>
              <w:pStyle w:val="TableText"/>
              <w:keepNext/>
              <w:rPr>
                <w:rFonts w:ascii="Arial Narrow" w:hAnsi="Arial Narrow"/>
              </w:rPr>
            </w:pPr>
            <w:r w:rsidRPr="00455178">
              <w:rPr>
                <w:rFonts w:ascii="Arial Narrow" w:hAnsi="Arial Narrow"/>
              </w:rPr>
              <w:t>Other costs associated with emicizumab</w:t>
            </w:r>
          </w:p>
        </w:tc>
        <w:tc>
          <w:tcPr>
            <w:tcW w:w="1275" w:type="dxa"/>
          </w:tcPr>
          <w:p w14:paraId="08B75D16" w14:textId="25E88C7A"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7D7ADC19" w14:textId="6561E9A1"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6D5A9361" w14:textId="784CA000"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46D4EA72" w14:textId="2EA30A06"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7132FB24" w14:textId="3FC462EB"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6FDA52DD" w14:textId="77777777" w:rsidTr="00B81560">
        <w:trPr>
          <w:trHeight w:val="315"/>
        </w:trPr>
        <w:tc>
          <w:tcPr>
            <w:tcW w:w="2689" w:type="dxa"/>
          </w:tcPr>
          <w:p w14:paraId="73BE8FA0" w14:textId="1C8F0209" w:rsidR="00E4631F" w:rsidRPr="00455178" w:rsidRDefault="00E4631F" w:rsidP="00E4631F">
            <w:pPr>
              <w:pStyle w:val="TableText"/>
              <w:keepNext/>
              <w:rPr>
                <w:rFonts w:ascii="Arial Narrow" w:hAnsi="Arial Narrow"/>
              </w:rPr>
            </w:pPr>
            <w:r w:rsidRPr="00455178">
              <w:rPr>
                <w:rFonts w:ascii="Arial Narrow" w:hAnsi="Arial Narrow"/>
              </w:rPr>
              <w:t>Cost of substituted treatments</w:t>
            </w:r>
          </w:p>
        </w:tc>
        <w:tc>
          <w:tcPr>
            <w:tcW w:w="1275" w:type="dxa"/>
          </w:tcPr>
          <w:p w14:paraId="7098D460" w14:textId="6C13A9EF"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32184C67" w14:textId="496B2A7D"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6937EA0D" w14:textId="2F49D035"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211ADE60" w14:textId="3DC55014"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1ED1C0B3" w14:textId="559DEC67"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5DAFC57A" w14:textId="77777777" w:rsidTr="00B81560">
        <w:trPr>
          <w:trHeight w:val="315"/>
        </w:trPr>
        <w:tc>
          <w:tcPr>
            <w:tcW w:w="2689" w:type="dxa"/>
          </w:tcPr>
          <w:p w14:paraId="25A9DF33" w14:textId="18A1BDE0" w:rsidR="00E4631F" w:rsidRPr="00455178" w:rsidRDefault="00E4631F" w:rsidP="00E4631F">
            <w:pPr>
              <w:pStyle w:val="TableText"/>
              <w:keepNext/>
              <w:rPr>
                <w:rFonts w:ascii="Arial Narrow" w:hAnsi="Arial Narrow"/>
              </w:rPr>
            </w:pPr>
            <w:r w:rsidRPr="00455178">
              <w:rPr>
                <w:rFonts w:ascii="Arial Narrow" w:hAnsi="Arial Narrow"/>
              </w:rPr>
              <w:t>Cost of substituted hospitalisation</w:t>
            </w:r>
          </w:p>
        </w:tc>
        <w:tc>
          <w:tcPr>
            <w:tcW w:w="1275" w:type="dxa"/>
          </w:tcPr>
          <w:p w14:paraId="00E46533" w14:textId="2682FCCB"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p>
        </w:tc>
        <w:tc>
          <w:tcPr>
            <w:tcW w:w="1276" w:type="dxa"/>
          </w:tcPr>
          <w:p w14:paraId="550AF572" w14:textId="0A28B544"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2076FECB" w14:textId="56BEAA0C"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101971AA" w14:textId="6B8E7EF9"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3B2A37E9" w14:textId="54AA16E2" w:rsidR="00E4631F" w:rsidRPr="00455178" w:rsidRDefault="00E4631F" w:rsidP="00E4631F">
            <w:pPr>
              <w:pStyle w:val="TableText"/>
              <w:keepNext/>
              <w:ind w:left="-108"/>
              <w:jc w:val="center"/>
              <w:rPr>
                <w:rFonts w:ascii="Arial Narrow" w:hAnsi="Arial Narrow"/>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r w:rsidR="00E4631F" w:rsidRPr="00455178" w14:paraId="54583080" w14:textId="77777777" w:rsidTr="00B81560">
        <w:trPr>
          <w:trHeight w:val="315"/>
        </w:trPr>
        <w:tc>
          <w:tcPr>
            <w:tcW w:w="2689" w:type="dxa"/>
          </w:tcPr>
          <w:p w14:paraId="3B37BF60" w14:textId="1B4FC52C" w:rsidR="00E4631F" w:rsidRPr="00455178" w:rsidRDefault="00E4631F" w:rsidP="00E4631F">
            <w:pPr>
              <w:pStyle w:val="TableText"/>
              <w:keepNext/>
              <w:rPr>
                <w:rFonts w:ascii="Arial Narrow" w:hAnsi="Arial Narrow"/>
                <w:b/>
              </w:rPr>
            </w:pPr>
            <w:r w:rsidRPr="00455178">
              <w:rPr>
                <w:rFonts w:ascii="Arial Narrow" w:hAnsi="Arial Narrow"/>
                <w:b/>
              </w:rPr>
              <w:t>Overall net cost to government - INH + NIH</w:t>
            </w:r>
          </w:p>
        </w:tc>
        <w:tc>
          <w:tcPr>
            <w:tcW w:w="1275" w:type="dxa"/>
          </w:tcPr>
          <w:p w14:paraId="64B5887C" w14:textId="1C3CC2D5"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p>
        </w:tc>
        <w:tc>
          <w:tcPr>
            <w:tcW w:w="1276" w:type="dxa"/>
          </w:tcPr>
          <w:p w14:paraId="2341E93F" w14:textId="620B19FA"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329DD474" w14:textId="5EF0794A"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76" w:type="dxa"/>
          </w:tcPr>
          <w:p w14:paraId="6BEC3350" w14:textId="4A69F42F"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c>
          <w:tcPr>
            <w:tcW w:w="1224" w:type="dxa"/>
          </w:tcPr>
          <w:p w14:paraId="5F7987B6" w14:textId="5DC982EB" w:rsidR="00E4631F" w:rsidRPr="00455178" w:rsidRDefault="00E4631F" w:rsidP="00E4631F">
            <w:pPr>
              <w:pStyle w:val="TableText"/>
              <w:keepNext/>
              <w:ind w:left="-108"/>
              <w:jc w:val="center"/>
              <w:rPr>
                <w:rFonts w:ascii="Arial Narrow" w:hAnsi="Arial Narrow"/>
                <w:b/>
                <w:color w:val="000000"/>
              </w:rPr>
            </w:pPr>
            <w:r w:rsidRPr="00455178">
              <w:rPr>
                <w:rFonts w:ascii="Arial Narrow" w:hAnsi="Arial Narrow"/>
                <w:color w:val="000000"/>
              </w:rPr>
              <w:t>$</w:t>
            </w:r>
            <w:r w:rsidRPr="00CC5EA2">
              <w:rPr>
                <w:b/>
              </w:rPr>
              <w:t>redacted</w:t>
            </w:r>
            <w:r w:rsidRPr="00455178">
              <w:rPr>
                <w:rFonts w:ascii="Arial Narrow" w:hAnsi="Arial Narrow"/>
                <w:color w:val="000000"/>
              </w:rPr>
              <w:t xml:space="preserve"> </w:t>
            </w:r>
          </w:p>
        </w:tc>
      </w:tr>
    </w:tbl>
    <w:p w14:paraId="52B5DE9F" w14:textId="77777777" w:rsidR="00852B59" w:rsidRDefault="00852B59" w:rsidP="00852B59">
      <w:pPr>
        <w:pStyle w:val="TableNotes"/>
        <w:ind w:left="709" w:hanging="709"/>
      </w:pPr>
      <w:r>
        <w:t>INH = haemophilia A with FVIII inhibitors; NIH = haemophilia A without FVIII inhibitors</w:t>
      </w:r>
    </w:p>
    <w:p w14:paraId="5649811B" w14:textId="77777777" w:rsidR="00CA408A" w:rsidRPr="00455178" w:rsidRDefault="00CA408A" w:rsidP="00455178">
      <w:pPr>
        <w:pStyle w:val="TableNotes"/>
        <w:ind w:left="709" w:hanging="709"/>
        <w:rPr>
          <w:szCs w:val="24"/>
          <w:u w:val="single"/>
        </w:rPr>
      </w:pPr>
      <w:r w:rsidRPr="00FC1B01">
        <w:t>Source:</w:t>
      </w:r>
      <w:r w:rsidRPr="00FC1B01">
        <w:tab/>
      </w:r>
      <w:r w:rsidRPr="00287BAB">
        <w:t>Integrated Section E: Emicizumab Integrated INH+NIH BIA.xlsx, worksheet ‘</w:t>
      </w:r>
      <w:r>
        <w:t>Overall net cost to gov INH+NIH</w:t>
      </w:r>
      <w:r w:rsidRPr="00287BAB">
        <w:t>’</w:t>
      </w:r>
      <w:r w:rsidRPr="00B02E35">
        <w:rPr>
          <w:szCs w:val="24"/>
          <w:u w:val="single"/>
        </w:rPr>
        <w:t xml:space="preserve"> </w:t>
      </w:r>
    </w:p>
    <w:p w14:paraId="31363506" w14:textId="763906A7" w:rsidR="006A0D97" w:rsidRPr="00F715D1" w:rsidRDefault="006A0D97" w:rsidP="0019438A">
      <w:pPr>
        <w:pStyle w:val="Heading1"/>
        <w:ind w:hanging="720"/>
      </w:pPr>
      <w:r w:rsidRPr="00F715D1">
        <w:lastRenderedPageBreak/>
        <w:t>Key issues from ESC for MSAC</w:t>
      </w:r>
    </w:p>
    <w:tbl>
      <w:tblPr>
        <w:tblStyle w:val="TableGrid"/>
        <w:tblW w:w="0" w:type="auto"/>
        <w:tblLook w:val="04A0" w:firstRow="1" w:lastRow="0" w:firstColumn="1" w:lastColumn="0" w:noHBand="0" w:noVBand="1"/>
        <w:tblCaption w:val="14. Key issues from ESC for MSAC"/>
      </w:tblPr>
      <w:tblGrid>
        <w:gridCol w:w="3936"/>
        <w:gridCol w:w="5080"/>
      </w:tblGrid>
      <w:tr w:rsidR="00CA408A" w:rsidRPr="00240FA8" w14:paraId="64754AD0" w14:textId="77777777" w:rsidTr="00EC2692">
        <w:trPr>
          <w:trHeight w:val="556"/>
          <w:tblHeader/>
        </w:trPr>
        <w:tc>
          <w:tcPr>
            <w:tcW w:w="3936" w:type="dxa"/>
            <w:tcBorders>
              <w:top w:val="single" w:sz="4" w:space="0" w:color="auto"/>
              <w:left w:val="single" w:sz="4" w:space="0" w:color="auto"/>
              <w:bottom w:val="single" w:sz="4" w:space="0" w:color="auto"/>
              <w:right w:val="single" w:sz="4" w:space="0" w:color="auto"/>
            </w:tcBorders>
            <w:vAlign w:val="center"/>
            <w:hideMark/>
          </w:tcPr>
          <w:p w14:paraId="079CFCE7" w14:textId="77777777" w:rsidR="00CA408A" w:rsidRPr="00240FA8" w:rsidRDefault="00CA408A" w:rsidP="00EC2692">
            <w:pPr>
              <w:rPr>
                <w:rFonts w:ascii="Arial" w:hAnsi="Arial" w:cs="Arial"/>
                <w:b/>
                <w:sz w:val="20"/>
                <w:szCs w:val="22"/>
              </w:rPr>
            </w:pPr>
            <w:r w:rsidRPr="00240FA8">
              <w:rPr>
                <w:rFonts w:ascii="Arial" w:hAnsi="Arial" w:cs="Arial"/>
                <w:b/>
                <w:sz w:val="20"/>
                <w:szCs w:val="22"/>
              </w:rPr>
              <w:t>ESC key issue</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C9ED59A" w14:textId="77777777" w:rsidR="00CA408A" w:rsidRPr="00240FA8" w:rsidRDefault="00CA408A" w:rsidP="00EC2692">
            <w:pPr>
              <w:rPr>
                <w:rFonts w:ascii="Arial" w:hAnsi="Arial" w:cs="Arial"/>
                <w:b/>
                <w:sz w:val="20"/>
                <w:szCs w:val="22"/>
              </w:rPr>
            </w:pPr>
            <w:r w:rsidRPr="00240FA8">
              <w:rPr>
                <w:rFonts w:ascii="Arial" w:hAnsi="Arial" w:cs="Arial"/>
                <w:b/>
                <w:sz w:val="20"/>
                <w:szCs w:val="22"/>
              </w:rPr>
              <w:t>ESC advice to MSAC</w:t>
            </w:r>
          </w:p>
        </w:tc>
      </w:tr>
      <w:tr w:rsidR="00CA408A" w:rsidRPr="00240FA8" w14:paraId="1EE332C9" w14:textId="77777777" w:rsidTr="00852B59">
        <w:trPr>
          <w:trHeight w:val="409"/>
        </w:trPr>
        <w:tc>
          <w:tcPr>
            <w:tcW w:w="3936" w:type="dxa"/>
            <w:tcBorders>
              <w:top w:val="single" w:sz="4" w:space="0" w:color="auto"/>
              <w:left w:val="single" w:sz="4" w:space="0" w:color="auto"/>
              <w:bottom w:val="single" w:sz="4" w:space="0" w:color="auto"/>
              <w:right w:val="single" w:sz="4" w:space="0" w:color="auto"/>
            </w:tcBorders>
          </w:tcPr>
          <w:p w14:paraId="02C3ED8D" w14:textId="77777777" w:rsidR="00CA408A" w:rsidRPr="00240FA8" w:rsidRDefault="00CA408A" w:rsidP="00EC2692">
            <w:pPr>
              <w:rPr>
                <w:rFonts w:ascii="Arial" w:hAnsi="Arial" w:cs="Arial"/>
                <w:sz w:val="20"/>
                <w:szCs w:val="22"/>
              </w:rPr>
            </w:pPr>
            <w:r w:rsidRPr="00240FA8">
              <w:rPr>
                <w:rFonts w:ascii="Arial" w:hAnsi="Arial" w:cs="Arial"/>
                <w:sz w:val="20"/>
                <w:szCs w:val="22"/>
              </w:rPr>
              <w:t>Weighting of price may not accurately reflect the relative proportion of patients with and without inhibitors, and changes in this relative proportion over time once emicizumab is available</w:t>
            </w:r>
          </w:p>
        </w:tc>
        <w:tc>
          <w:tcPr>
            <w:tcW w:w="5080" w:type="dxa"/>
            <w:tcBorders>
              <w:top w:val="single" w:sz="4" w:space="0" w:color="auto"/>
              <w:left w:val="single" w:sz="4" w:space="0" w:color="auto"/>
              <w:bottom w:val="single" w:sz="4" w:space="0" w:color="auto"/>
              <w:right w:val="single" w:sz="4" w:space="0" w:color="auto"/>
            </w:tcBorders>
          </w:tcPr>
          <w:p w14:paraId="317CE17C" w14:textId="77777777" w:rsidR="00CA408A" w:rsidRPr="00240FA8" w:rsidDel="00CF461C" w:rsidRDefault="00CA408A" w:rsidP="00EC2692">
            <w:pPr>
              <w:spacing w:after="120"/>
              <w:rPr>
                <w:rFonts w:ascii="Arial" w:hAnsi="Arial" w:cs="Arial"/>
                <w:sz w:val="20"/>
                <w:szCs w:val="22"/>
              </w:rPr>
            </w:pPr>
            <w:r w:rsidRPr="00240FA8">
              <w:rPr>
                <w:rFonts w:ascii="Arial" w:hAnsi="Arial" w:cs="Arial"/>
                <w:sz w:val="20"/>
                <w:szCs w:val="22"/>
              </w:rPr>
              <w:t>This changes the overall spend. Implementation of a risk share arrangement (RSA), including with early review within 1–2 years of listing, using utilisation data from the NBA and possibly supplemented with switch data from the Australian Bleeding Disorders Registry (ABDR), could help mitigate the risk of unjustified expenditure.</w:t>
            </w:r>
          </w:p>
        </w:tc>
      </w:tr>
      <w:tr w:rsidR="00CA408A" w:rsidRPr="00240FA8" w14:paraId="28DD3E20" w14:textId="77777777" w:rsidTr="00EC2692">
        <w:trPr>
          <w:trHeight w:val="981"/>
        </w:trPr>
        <w:tc>
          <w:tcPr>
            <w:tcW w:w="3936" w:type="dxa"/>
            <w:tcBorders>
              <w:top w:val="single" w:sz="4" w:space="0" w:color="auto"/>
              <w:left w:val="single" w:sz="4" w:space="0" w:color="auto"/>
              <w:bottom w:val="single" w:sz="4" w:space="0" w:color="auto"/>
              <w:right w:val="single" w:sz="4" w:space="0" w:color="auto"/>
            </w:tcBorders>
          </w:tcPr>
          <w:p w14:paraId="0D20003F" w14:textId="77777777" w:rsidR="00CA408A" w:rsidRPr="00240FA8" w:rsidRDefault="00CA408A" w:rsidP="00EC2692">
            <w:pPr>
              <w:rPr>
                <w:rFonts w:ascii="Arial" w:hAnsi="Arial" w:cs="Arial"/>
                <w:sz w:val="20"/>
                <w:szCs w:val="22"/>
              </w:rPr>
            </w:pPr>
            <w:r w:rsidRPr="00240FA8">
              <w:rPr>
                <w:rFonts w:ascii="Arial" w:hAnsi="Arial" w:cs="Arial"/>
                <w:sz w:val="20"/>
                <w:szCs w:val="22"/>
              </w:rPr>
              <w:t>Emicizumab used beyond HMA patients with a need for routine factor VIII (FVIII) prophylaxis (emicizumab price has been cost-minimised to FVIII prophylaxis not FVIII on-demand)</w:t>
            </w:r>
          </w:p>
        </w:tc>
        <w:tc>
          <w:tcPr>
            <w:tcW w:w="5080" w:type="dxa"/>
            <w:tcBorders>
              <w:top w:val="single" w:sz="4" w:space="0" w:color="auto"/>
              <w:left w:val="single" w:sz="4" w:space="0" w:color="auto"/>
              <w:bottom w:val="single" w:sz="4" w:space="0" w:color="auto"/>
              <w:right w:val="single" w:sz="4" w:space="0" w:color="auto"/>
            </w:tcBorders>
          </w:tcPr>
          <w:p w14:paraId="1FB61F58" w14:textId="77777777" w:rsidR="00CA408A" w:rsidRPr="00240FA8" w:rsidRDefault="00CA408A" w:rsidP="00EC2692">
            <w:pPr>
              <w:spacing w:after="120"/>
              <w:rPr>
                <w:rFonts w:ascii="Arial" w:hAnsi="Arial" w:cs="Arial"/>
                <w:sz w:val="20"/>
                <w:szCs w:val="22"/>
              </w:rPr>
            </w:pPr>
            <w:r w:rsidRPr="00240FA8">
              <w:rPr>
                <w:rFonts w:ascii="Arial" w:hAnsi="Arial" w:cs="Arial"/>
                <w:sz w:val="20"/>
                <w:szCs w:val="22"/>
              </w:rPr>
              <w:t>This changes both the cost-effectiveness and overall spend. Ensure total number of patients treated for the purpose of the proposed risk share arrangement is not greater than the current use of FVIII in the requested subgroup(s) as per ABDR data. Consider what price of emicizumab is justified for any use beyond this amount.</w:t>
            </w:r>
          </w:p>
        </w:tc>
      </w:tr>
      <w:tr w:rsidR="00CA408A" w:rsidRPr="00240FA8" w14:paraId="02B10BE8" w14:textId="77777777" w:rsidTr="00EC2692">
        <w:trPr>
          <w:trHeight w:val="981"/>
        </w:trPr>
        <w:tc>
          <w:tcPr>
            <w:tcW w:w="3936" w:type="dxa"/>
            <w:tcBorders>
              <w:top w:val="single" w:sz="4" w:space="0" w:color="auto"/>
              <w:left w:val="single" w:sz="4" w:space="0" w:color="auto"/>
              <w:bottom w:val="single" w:sz="4" w:space="0" w:color="auto"/>
              <w:right w:val="single" w:sz="4" w:space="0" w:color="auto"/>
            </w:tcBorders>
          </w:tcPr>
          <w:p w14:paraId="4AA50C38" w14:textId="77777777" w:rsidR="00CA408A" w:rsidRPr="00240FA8" w:rsidRDefault="00CA408A" w:rsidP="00EC2692">
            <w:pPr>
              <w:rPr>
                <w:rFonts w:ascii="Arial" w:hAnsi="Arial" w:cs="Arial"/>
                <w:sz w:val="20"/>
                <w:szCs w:val="22"/>
              </w:rPr>
            </w:pPr>
            <w:r w:rsidRPr="00240FA8">
              <w:rPr>
                <w:rFonts w:ascii="Arial" w:hAnsi="Arial" w:cs="Arial"/>
                <w:sz w:val="20"/>
                <w:szCs w:val="22"/>
              </w:rPr>
              <w:t>Emicizumab used beyond patients with moderate or severe HMA (including emicizumab used by patients with mild HMA</w:t>
            </w:r>
          </w:p>
        </w:tc>
        <w:tc>
          <w:tcPr>
            <w:tcW w:w="5080" w:type="dxa"/>
            <w:tcBorders>
              <w:top w:val="single" w:sz="4" w:space="0" w:color="auto"/>
              <w:left w:val="single" w:sz="4" w:space="0" w:color="auto"/>
              <w:bottom w:val="single" w:sz="4" w:space="0" w:color="auto"/>
              <w:right w:val="single" w:sz="4" w:space="0" w:color="auto"/>
            </w:tcBorders>
          </w:tcPr>
          <w:p w14:paraId="38D29BD5" w14:textId="77777777" w:rsidR="00CA408A" w:rsidRPr="00240FA8" w:rsidRDefault="00CA408A" w:rsidP="00EC2692">
            <w:pPr>
              <w:spacing w:after="120"/>
              <w:rPr>
                <w:rFonts w:ascii="Arial" w:hAnsi="Arial" w:cs="Arial"/>
                <w:sz w:val="20"/>
                <w:szCs w:val="22"/>
              </w:rPr>
            </w:pPr>
            <w:r w:rsidRPr="00240FA8">
              <w:rPr>
                <w:rFonts w:ascii="Arial" w:hAnsi="Arial" w:cs="Arial"/>
                <w:sz w:val="20"/>
                <w:szCs w:val="22"/>
              </w:rPr>
              <w:t>This changes both the cost-effectiveness and overall spend. Ensure total number of patients treated for the purpose of the proposed risk share arrangement is not greater than the current use of FVIII in the requested subgroup(s) as per ABDR data. Consider what price of emicizumab is justified for any use beyond this amount.</w:t>
            </w:r>
          </w:p>
        </w:tc>
      </w:tr>
      <w:tr w:rsidR="00CA408A" w:rsidRPr="00240FA8" w14:paraId="177FB131" w14:textId="77777777" w:rsidTr="00EC2692">
        <w:tc>
          <w:tcPr>
            <w:tcW w:w="3936" w:type="dxa"/>
            <w:tcBorders>
              <w:top w:val="single" w:sz="4" w:space="0" w:color="auto"/>
              <w:left w:val="single" w:sz="4" w:space="0" w:color="auto"/>
              <w:bottom w:val="single" w:sz="4" w:space="0" w:color="auto"/>
              <w:right w:val="single" w:sz="4" w:space="0" w:color="auto"/>
            </w:tcBorders>
          </w:tcPr>
          <w:p w14:paraId="5D22685F" w14:textId="77777777" w:rsidR="00CA408A" w:rsidRPr="00240FA8" w:rsidRDefault="00CA408A" w:rsidP="00EC2692">
            <w:pPr>
              <w:rPr>
                <w:rFonts w:ascii="Arial" w:hAnsi="Arial" w:cs="Arial"/>
                <w:sz w:val="20"/>
                <w:szCs w:val="22"/>
              </w:rPr>
            </w:pPr>
            <w:r w:rsidRPr="00240FA8">
              <w:rPr>
                <w:rFonts w:ascii="Arial" w:hAnsi="Arial" w:cs="Arial"/>
                <w:sz w:val="20"/>
                <w:szCs w:val="22"/>
              </w:rPr>
              <w:t>Whether the reduction in price offered for the subgroup with FVIII inhibitors satisfactorily addresses MSAC’s concerns regarding the previously high annual cost per patient for emicizumab, and the absence of any formal cost-effectiveness analysis for bypass agents (BPAs)</w:t>
            </w:r>
          </w:p>
        </w:tc>
        <w:tc>
          <w:tcPr>
            <w:tcW w:w="5080" w:type="dxa"/>
            <w:tcBorders>
              <w:top w:val="single" w:sz="4" w:space="0" w:color="auto"/>
              <w:left w:val="single" w:sz="4" w:space="0" w:color="auto"/>
              <w:bottom w:val="single" w:sz="4" w:space="0" w:color="auto"/>
              <w:right w:val="single" w:sz="4" w:space="0" w:color="auto"/>
            </w:tcBorders>
          </w:tcPr>
          <w:p w14:paraId="0C0ADAFC" w14:textId="77777777" w:rsidR="00CA408A" w:rsidRPr="00240FA8" w:rsidRDefault="00CA408A" w:rsidP="00EC2692">
            <w:pPr>
              <w:spacing w:after="120"/>
              <w:rPr>
                <w:rFonts w:ascii="Arial" w:hAnsi="Arial" w:cs="Arial"/>
                <w:sz w:val="20"/>
                <w:szCs w:val="22"/>
              </w:rPr>
            </w:pPr>
            <w:r w:rsidRPr="00240FA8">
              <w:rPr>
                <w:rFonts w:ascii="Arial" w:hAnsi="Arial" w:cs="Arial"/>
                <w:sz w:val="20"/>
                <w:szCs w:val="22"/>
              </w:rPr>
              <w:t>It is difficult for ESC to comment on this. From a technical perspective, it would have been informative to understand the cost-effectiveness of BPAs, without which there is no new basis to reconsider the shadow prices offered for this subgroup. The resubmission instead emphasises the weighted prices across the two requested subgroups.</w:t>
            </w:r>
          </w:p>
        </w:tc>
      </w:tr>
      <w:tr w:rsidR="00CA408A" w:rsidRPr="00240FA8" w14:paraId="07285ED3" w14:textId="77777777" w:rsidTr="00EC2692">
        <w:tc>
          <w:tcPr>
            <w:tcW w:w="3936" w:type="dxa"/>
            <w:tcBorders>
              <w:top w:val="single" w:sz="4" w:space="0" w:color="auto"/>
              <w:left w:val="single" w:sz="4" w:space="0" w:color="auto"/>
              <w:bottom w:val="single" w:sz="4" w:space="0" w:color="auto"/>
              <w:right w:val="single" w:sz="4" w:space="0" w:color="auto"/>
            </w:tcBorders>
          </w:tcPr>
          <w:p w14:paraId="18BD6EC2" w14:textId="77777777" w:rsidR="00CA408A" w:rsidRPr="00240FA8" w:rsidRDefault="00CA408A" w:rsidP="00EC2692">
            <w:pPr>
              <w:rPr>
                <w:rFonts w:ascii="Arial" w:hAnsi="Arial" w:cs="Arial"/>
                <w:sz w:val="20"/>
                <w:szCs w:val="22"/>
              </w:rPr>
            </w:pPr>
            <w:r w:rsidRPr="00240FA8">
              <w:rPr>
                <w:rFonts w:ascii="Arial" w:hAnsi="Arial" w:cs="Arial"/>
                <w:sz w:val="20"/>
                <w:szCs w:val="22"/>
              </w:rPr>
              <w:t>In the absence of a formal evaluation, what advice can ESC provide to facilitate MSAC’s consideration of the overall proposal for emicizumab (e.g. is there a basis for concurrent consideration by MSAC of 1579 and expedited 1510.1)?</w:t>
            </w:r>
          </w:p>
        </w:tc>
        <w:tc>
          <w:tcPr>
            <w:tcW w:w="5080" w:type="dxa"/>
            <w:tcBorders>
              <w:top w:val="single" w:sz="4" w:space="0" w:color="auto"/>
              <w:left w:val="single" w:sz="4" w:space="0" w:color="auto"/>
              <w:bottom w:val="single" w:sz="4" w:space="0" w:color="auto"/>
              <w:right w:val="single" w:sz="4" w:space="0" w:color="auto"/>
            </w:tcBorders>
          </w:tcPr>
          <w:p w14:paraId="364EC6AB" w14:textId="77777777" w:rsidR="00CA408A" w:rsidRPr="00240FA8" w:rsidRDefault="00CA408A" w:rsidP="00EC2692">
            <w:pPr>
              <w:spacing w:after="120"/>
              <w:rPr>
                <w:rFonts w:ascii="Arial" w:hAnsi="Arial" w:cs="Arial"/>
                <w:sz w:val="20"/>
                <w:szCs w:val="22"/>
              </w:rPr>
            </w:pPr>
            <w:r w:rsidRPr="00240FA8">
              <w:rPr>
                <w:rFonts w:ascii="Arial" w:hAnsi="Arial" w:cs="Arial"/>
                <w:sz w:val="20"/>
                <w:szCs w:val="22"/>
              </w:rPr>
              <w:t>ESC notes that the two subgroups for whom listing is sought are dynamically interrelated and that over time the availability of emicizumab will likely increase the relative proportion of HMA patients without FVIII inhibitors. Consequently, the interplay between the subgroups and the impact of emicizumab treatment has implications for managing utilisation and for determining the weighted price of emicizumab. Implementing restrictions on NBA-funded use (both to specify the eligible subgroups and to limit prescribing of NPL-funded emicizumab to haematologists managing HMA), and backing this up by a risk-share arrangement are likely to be needed to ensure the intention of the requested emicizumab listing.</w:t>
            </w:r>
          </w:p>
        </w:tc>
      </w:tr>
    </w:tbl>
    <w:p w14:paraId="30933AAB" w14:textId="7F2D6E78" w:rsidR="00CA408A" w:rsidRPr="00240FA8" w:rsidRDefault="00CA408A" w:rsidP="00E408EF">
      <w:pPr>
        <w:tabs>
          <w:tab w:val="left" w:pos="2265"/>
          <w:tab w:val="left" w:pos="3420"/>
          <w:tab w:val="left" w:pos="4320"/>
        </w:tabs>
        <w:spacing w:before="240" w:after="120"/>
      </w:pPr>
      <w:r w:rsidRPr="00240FA8">
        <w:rPr>
          <w:b/>
        </w:rPr>
        <w:t>ESC discussion</w:t>
      </w:r>
    </w:p>
    <w:p w14:paraId="4894F929" w14:textId="7B124288" w:rsidR="00CA408A" w:rsidRDefault="00CA408A" w:rsidP="00CA408A">
      <w:r w:rsidRPr="00C01743">
        <w:t xml:space="preserve">Application </w:t>
      </w:r>
      <w:r>
        <w:t>1510.1</w:t>
      </w:r>
      <w:r w:rsidRPr="00C01743">
        <w:t xml:space="preserve"> </w:t>
      </w:r>
      <w:r>
        <w:t xml:space="preserve">is for </w:t>
      </w:r>
      <w:r w:rsidRPr="0080137F">
        <w:t xml:space="preserve">National Product Listing </w:t>
      </w:r>
      <w:r>
        <w:t xml:space="preserve">of emicizumab for use in </w:t>
      </w:r>
      <w:r w:rsidRPr="004F208F">
        <w:t>patients with moderate to severe haemophilia</w:t>
      </w:r>
      <w:r>
        <w:t> </w:t>
      </w:r>
      <w:r w:rsidRPr="004F208F">
        <w:t>A (</w:t>
      </w:r>
      <w:r>
        <w:t xml:space="preserve">HMA; also called </w:t>
      </w:r>
      <w:r w:rsidRPr="004F208F">
        <w:t xml:space="preserve">congenital factor VIII deficiency) </w:t>
      </w:r>
      <w:r w:rsidRPr="005171F3">
        <w:rPr>
          <w:u w:val="single"/>
        </w:rPr>
        <w:t>with</w:t>
      </w:r>
      <w:r w:rsidRPr="004F208F">
        <w:t xml:space="preserve"> factor VIII </w:t>
      </w:r>
      <w:r>
        <w:t xml:space="preserve">(FVIII) </w:t>
      </w:r>
      <w:r w:rsidRPr="004F208F">
        <w:t>inhibitors</w:t>
      </w:r>
      <w:r>
        <w:t xml:space="preserve">. The major difference between this and the original </w:t>
      </w:r>
      <w:r w:rsidR="00240FA8">
        <w:t>application</w:t>
      </w:r>
      <w:r>
        <w:t xml:space="preserve"> is the price, which is achieved by seeking concurrent consideration of the HMA populations with and without inhibitors. This resubmission proposes a weighted price that is predicated on MSAC supporting the related application for patients </w:t>
      </w:r>
      <w:r w:rsidRPr="005171F3">
        <w:rPr>
          <w:u w:val="single"/>
        </w:rPr>
        <w:t>without</w:t>
      </w:r>
      <w:r>
        <w:t xml:space="preserve"> FVIII inhibitors (see Application 1579).</w:t>
      </w:r>
    </w:p>
    <w:p w14:paraId="03DD35F9" w14:textId="3C718B31" w:rsidR="00CA408A" w:rsidRDefault="00CA408A" w:rsidP="00E408EF">
      <w:pPr>
        <w:spacing w:after="240"/>
      </w:pPr>
      <w:r>
        <w:lastRenderedPageBreak/>
        <w:t xml:space="preserve">ESC noted that </w:t>
      </w:r>
      <w:r w:rsidR="00EA53B9">
        <w:t>a</w:t>
      </w:r>
      <w:r w:rsidR="00EA53B9" w:rsidRPr="00EA53B9">
        <w:t xml:space="preserve">s a result of an agreed shortened timeframe for the resubmission there was </w:t>
      </w:r>
      <w:r>
        <w:t>insufficient time to complete a full independent critique of the resubmission. Rather, the Department has provided a brief overview, to which the applicant has responded. ESC considered that this was not an optimal basis on which to advise on options for listing.</w:t>
      </w:r>
    </w:p>
    <w:p w14:paraId="49E5B5CB" w14:textId="73621862" w:rsidR="00CA408A" w:rsidRDefault="00CA408A" w:rsidP="00E408EF">
      <w:pPr>
        <w:spacing w:after="240"/>
      </w:pPr>
      <w:r>
        <w:t xml:space="preserve">ESC noted that the applicant’s claim that the new weighted prices offered for the HMA population with inhibitors was a significant </w:t>
      </w:r>
      <w:r w:rsidR="00CC5EA2" w:rsidRPr="00CC5EA2">
        <w:rPr>
          <w:b/>
          <w:lang w:eastAsia="en-US"/>
        </w:rPr>
        <w:t>redacted</w:t>
      </w:r>
      <w:r>
        <w:t xml:space="preserve">% to </w:t>
      </w:r>
      <w:r w:rsidR="00CC5EA2" w:rsidRPr="00CC5EA2">
        <w:rPr>
          <w:b/>
          <w:lang w:eastAsia="en-US"/>
        </w:rPr>
        <w:t>redacted</w:t>
      </w:r>
      <w:r>
        <w:t>% reduction compared to application 1510. ESC noted that that basis of this claim was a reliance on calculating weighted prices across both HMA subgroups (i.e. with and without inhibitors), in which the shadowed price reductions in the calculations for the HMA population with inhibitors were relatively small (</w:t>
      </w:r>
      <w:r w:rsidR="00CC5EA2" w:rsidRPr="00CC5EA2">
        <w:rPr>
          <w:b/>
          <w:lang w:eastAsia="en-US"/>
        </w:rPr>
        <w:t>redacted</w:t>
      </w:r>
      <w:r>
        <w:t xml:space="preserve">% to </w:t>
      </w:r>
      <w:r w:rsidR="00CC5EA2" w:rsidRPr="00CC5EA2">
        <w:rPr>
          <w:b/>
          <w:lang w:eastAsia="en-US"/>
        </w:rPr>
        <w:t>redacted</w:t>
      </w:r>
      <w:r>
        <w:t>%).</w:t>
      </w:r>
    </w:p>
    <w:p w14:paraId="0CFE7B34" w14:textId="1D2C7346" w:rsidR="00CA408A" w:rsidRDefault="00CA408A" w:rsidP="00E408EF">
      <w:pPr>
        <w:spacing w:after="240"/>
      </w:pPr>
      <w:r>
        <w:t>ESC noted that patients can develop and lose inhibitors, so patients can be in flux between the two subgroups throughout their life. This makes it difficult to define the numbers of patients in each subgroup, as this may change at any given time. However, ESC noted that wider use of emicizumab may eliminate the subgroup of patients with FVIII inhibitors in the future, leaving more of the treated population in the without inhibitors subgroup (Application 1579). ESC queried whether the discounted weighted price offered for the first five years of listing was an accurate reflection of the shift of patient numbers towards the ‘without inhibitors’ subgroup.</w:t>
      </w:r>
    </w:p>
    <w:p w14:paraId="54FE0AE8" w14:textId="3BCF86E9" w:rsidR="00CA408A" w:rsidRDefault="00CA408A" w:rsidP="00E408EF">
      <w:pPr>
        <w:spacing w:after="240"/>
      </w:pPr>
      <w:r>
        <w:t>ESC noted that the utilisation estimates for the with</w:t>
      </w:r>
      <w:r w:rsidR="006664D4">
        <w:t>-</w:t>
      </w:r>
      <w:r>
        <w:t xml:space="preserve"> and without</w:t>
      </w:r>
      <w:r w:rsidR="006664D4">
        <w:t>-</w:t>
      </w:r>
      <w:r>
        <w:t xml:space="preserve">inhibitor subgroups are not well defined, in particular, wastage for the with inhibitor subgroup. ESC also noted that, compared with the 1579 </w:t>
      </w:r>
      <w:r w:rsidR="00240FA8">
        <w:t>application</w:t>
      </w:r>
      <w:r>
        <w:t>, the resubmission changed the uptake proportions in the utilisation estimates for the without inhibitor subgroup, which the applicant contends represented a more realistic combined scenario, where uptake will be higher in the initial years as people switch to emicizumab from other treatments. ESC noted that, although emicizumab uptake rates will be fluid, close monitoring of utilisation data by the NBA might help manage the risk of greater than expected use in both requested subgroups. Noting that emicizumab should not be used in combination with either FVIII prophylaxis or BPA prophylaxis (although both FVIII and BPA would need to be retained on the NPL for on-demand use in the event of a bleeding episode and for patients with mild HMA), the total numbers of patients on emicizumab should not be greater than the current numbers of patients with moderate or severe HMA receiving FVIII treatment.</w:t>
      </w:r>
    </w:p>
    <w:p w14:paraId="4DC61E9F" w14:textId="65E29E7D" w:rsidR="00CA408A" w:rsidRDefault="00CA408A" w:rsidP="00E408EF">
      <w:pPr>
        <w:spacing w:after="240"/>
      </w:pPr>
      <w:r>
        <w:t>ESC considered that it is of concern that the utilisation estimates have not been independently verified, and that this overarching resubmission is hampered by the lack of a usual critique. ESC queried whether the RSA should employ different weights each year to calculate the weighted prices to better reflect the relative proportion of HMA patients with and without inhibitors.</w:t>
      </w:r>
    </w:p>
    <w:p w14:paraId="1EA79A54" w14:textId="6AE2083C" w:rsidR="00CA408A" w:rsidRDefault="00CA408A" w:rsidP="00E408EF">
      <w:pPr>
        <w:spacing w:after="240"/>
      </w:pPr>
      <w:r>
        <w:t>ESC noted that the leakage of emicizumab into the mild HMA subgroup is a significant risk that needs to be mitigated through a strict risk-sharing arrangement (RSA). The applicant stated that such leakage would be addressed by reinforcing the clinical restriction, weighted pricing and the RSA.</w:t>
      </w:r>
    </w:p>
    <w:p w14:paraId="6AAA381D" w14:textId="54B092F8" w:rsidR="00CA408A" w:rsidRDefault="00CA408A" w:rsidP="00CA408A">
      <w:r>
        <w:t xml:space="preserve">ESC commented that the appropriateness of the weighted splits is unknown, and there are unclear assumptions around costs per patient, especially as a result of reduced bleeding rates, which the applicant has not justified. Implementation of an RSA, including with early review within 1–2 years of listing, using utilisation and HMA severity data from the NBA and possibly supplemented with switch and HMA severity data from the </w:t>
      </w:r>
      <w:r w:rsidRPr="00D526DD">
        <w:t>Australian Bleeding Disorders Registry</w:t>
      </w:r>
      <w:r>
        <w:t xml:space="preserve"> (ABDR), could help mitigate this risk.</w:t>
      </w:r>
    </w:p>
    <w:p w14:paraId="32DAFE7E" w14:textId="54D04FE6" w:rsidR="00CA408A" w:rsidRDefault="00CA408A" w:rsidP="00E408EF">
      <w:pPr>
        <w:spacing w:after="240"/>
      </w:pPr>
      <w:r>
        <w:lastRenderedPageBreak/>
        <w:t>ESC considered that any set of annual expenditure caps must be set carefully, as the manufacturer should not be reimbursed for expenditure beyond each cap.</w:t>
      </w:r>
    </w:p>
    <w:p w14:paraId="166201EA" w14:textId="664D84DB" w:rsidR="00CA408A" w:rsidRDefault="00CA408A" w:rsidP="00CA408A">
      <w:r>
        <w:t>ESC determined that it is unable to advise any further regarding the price calculations and utilisation numbers due to the complexity and inter-play of the many assumptions and calculations presented in the resubmission. ESC considered that the RSA proposed by the applicant should be more completely assessed and independently verified. ESC suggested that a more complex pricing model based on appropriate sources including the Australian Bleeding Disorders Registry data could be considered.</w:t>
      </w:r>
    </w:p>
    <w:p w14:paraId="48F03531" w14:textId="77777777" w:rsidR="00D90A38" w:rsidRPr="00F715D1" w:rsidRDefault="00BC1364" w:rsidP="0019438A">
      <w:pPr>
        <w:pStyle w:val="Heading1"/>
        <w:ind w:hanging="720"/>
      </w:pPr>
      <w:r w:rsidRPr="00F715D1">
        <w:t>Other significant factors</w:t>
      </w:r>
    </w:p>
    <w:p w14:paraId="423561B5" w14:textId="05D48599" w:rsidR="00BC1364" w:rsidRPr="00C71D64" w:rsidRDefault="00BC1364" w:rsidP="00F715D1">
      <w:pPr>
        <w:spacing w:after="240"/>
        <w:rPr>
          <w:szCs w:val="24"/>
        </w:rPr>
      </w:pPr>
      <w:r w:rsidRPr="00C71D64">
        <w:rPr>
          <w:szCs w:val="24"/>
        </w:rPr>
        <w:t>Nil</w:t>
      </w:r>
      <w:r w:rsidR="00C71D64" w:rsidRPr="00C71D64">
        <w:rPr>
          <w:szCs w:val="24"/>
        </w:rPr>
        <w:t>.</w:t>
      </w:r>
    </w:p>
    <w:p w14:paraId="14F22C7B" w14:textId="77777777" w:rsidR="00BC1364" w:rsidRPr="00F715D1" w:rsidRDefault="00BC1364" w:rsidP="0019438A">
      <w:pPr>
        <w:pStyle w:val="Heading1"/>
        <w:ind w:hanging="720"/>
      </w:pPr>
      <w:r w:rsidRPr="00F715D1">
        <w:t xml:space="preserve">Applicant’s comments on MSAC’s </w:t>
      </w:r>
      <w:r w:rsidR="00DA56AA" w:rsidRPr="00F715D1">
        <w:t>Public Summary Document</w:t>
      </w:r>
    </w:p>
    <w:p w14:paraId="5ED78EA1" w14:textId="250CEAFF" w:rsidR="00E4631F" w:rsidRPr="00B81560" w:rsidRDefault="006631A7" w:rsidP="00B81560">
      <w:r w:rsidRPr="00B81560">
        <w:t xml:space="preserve">While Roche welcomes MSAC’s </w:t>
      </w:r>
      <w:r w:rsidR="00694224" w:rsidRPr="00B81560">
        <w:t>support for</w:t>
      </w:r>
      <w:r w:rsidR="00E368E5" w:rsidRPr="00B81560">
        <w:t xml:space="preserve"> funding</w:t>
      </w:r>
      <w:r w:rsidR="00694224" w:rsidRPr="00B81560">
        <w:t xml:space="preserve"> </w:t>
      </w:r>
      <w:r w:rsidRPr="00B81560">
        <w:t xml:space="preserve">of emicizumab, </w:t>
      </w:r>
      <w:r w:rsidR="00711411" w:rsidRPr="00B81560">
        <w:t xml:space="preserve">Roche contends </w:t>
      </w:r>
      <w:r w:rsidRPr="00B81560">
        <w:t xml:space="preserve">the manner in which the alternative pricing methodology </w:t>
      </w:r>
      <w:r w:rsidR="00133AD5" w:rsidRPr="00B81560">
        <w:t>as</w:t>
      </w:r>
      <w:r w:rsidRPr="00B81560">
        <w:t xml:space="preserve"> applied is inappropriate and contains multiple inaccuracies and erroneous assumptions. Roche has worked for several years with the haemophilia community to validate the assumptions and inputs used in our pricing approach. Roche will continue to work with the Department to enable access to emicizumab as a matter of priority and is confident that agreement on fair pricing can be reached. This will ensure that all eligible Australian patients are able to realise the significant benefits associated with emicizumab treatment, rather than continuing suboptimal treatment with the considerably more expensive and less effective BPAs, and that the government does not forego the substantial savings offered by emicizumab. </w:t>
      </w:r>
    </w:p>
    <w:p w14:paraId="2695CAFB" w14:textId="16ABFB62" w:rsidR="00BC1364" w:rsidRPr="00F715D1" w:rsidRDefault="00271F18" w:rsidP="0019438A">
      <w:pPr>
        <w:pStyle w:val="Heading1"/>
        <w:ind w:hanging="720"/>
      </w:pPr>
      <w:r w:rsidRPr="00F715D1">
        <w:t>Further information on MSAC</w:t>
      </w:r>
    </w:p>
    <w:p w14:paraId="5B98C132"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68DF2" w14:textId="77777777" w:rsidR="00D962A1" w:rsidRDefault="00D962A1" w:rsidP="00065623">
      <w:r>
        <w:separator/>
      </w:r>
    </w:p>
  </w:endnote>
  <w:endnote w:type="continuationSeparator" w:id="0">
    <w:p w14:paraId="1A3D8292" w14:textId="77777777" w:rsidR="00D962A1" w:rsidRDefault="00D962A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CFEE" w14:textId="77777777" w:rsidR="00806954" w:rsidRDefault="00806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B63842C" w14:textId="4C062577" w:rsidR="002225C2" w:rsidRDefault="002225C2">
        <w:pPr>
          <w:pStyle w:val="Footer"/>
          <w:jc w:val="right"/>
        </w:pPr>
        <w:r>
          <w:fldChar w:fldCharType="begin"/>
        </w:r>
        <w:r>
          <w:instrText xml:space="preserve"> PAGE   \* MERGEFORMAT </w:instrText>
        </w:r>
        <w:r>
          <w:fldChar w:fldCharType="separate"/>
        </w:r>
        <w:r w:rsidR="003E0ABC">
          <w:rPr>
            <w:noProof/>
          </w:rPr>
          <w:t>1</w:t>
        </w:r>
        <w:r>
          <w:rPr>
            <w:noProof/>
          </w:rPr>
          <w:fldChar w:fldCharType="end"/>
        </w:r>
      </w:p>
    </w:sdtContent>
  </w:sdt>
  <w:p w14:paraId="13D27C74" w14:textId="77777777" w:rsidR="002225C2" w:rsidRDefault="0022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3341" w14:textId="77777777" w:rsidR="00806954" w:rsidRDefault="00806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E8052" w14:textId="77777777" w:rsidR="00D962A1" w:rsidRDefault="00D962A1" w:rsidP="00065623">
      <w:r>
        <w:separator/>
      </w:r>
    </w:p>
  </w:footnote>
  <w:footnote w:type="continuationSeparator" w:id="0">
    <w:p w14:paraId="680E8128" w14:textId="77777777" w:rsidR="00D962A1" w:rsidRDefault="00D962A1"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D478" w14:textId="77777777" w:rsidR="00806954" w:rsidRDefault="00806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4B3AC" w14:textId="77777777" w:rsidR="00806954" w:rsidRDefault="00806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EF89" w14:textId="77777777" w:rsidR="00806954" w:rsidRDefault="00806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D903835"/>
    <w:multiLevelType w:val="singleLevel"/>
    <w:tmpl w:val="48C4148A"/>
    <w:lvl w:ilvl="0">
      <w:numFmt w:val="bullet"/>
      <w:lvlText w:val=""/>
      <w:lvlJc w:val="left"/>
      <w:pPr>
        <w:tabs>
          <w:tab w:val="num" w:pos="1440"/>
        </w:tabs>
        <w:ind w:left="1440" w:hanging="720"/>
      </w:pPr>
      <w:rPr>
        <w:rFonts w:ascii="Symbol" w:hAnsi="Symbol" w:hint="default"/>
        <w:sz w:val="22"/>
      </w:rPr>
    </w:lvl>
  </w:abstractNum>
  <w:abstractNum w:abstractNumId="18"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19"/>
  </w:num>
  <w:num w:numId="8">
    <w:abstractNumId w:val="10"/>
  </w:num>
  <w:num w:numId="9">
    <w:abstractNumId w:val="26"/>
  </w:num>
  <w:num w:numId="10">
    <w:abstractNumId w:val="0"/>
  </w:num>
  <w:num w:numId="11">
    <w:abstractNumId w:val="18"/>
  </w:num>
  <w:num w:numId="12">
    <w:abstractNumId w:val="20"/>
  </w:num>
  <w:num w:numId="13">
    <w:abstractNumId w:val="4"/>
  </w:num>
  <w:num w:numId="14">
    <w:abstractNumId w:val="24"/>
  </w:num>
  <w:num w:numId="15">
    <w:abstractNumId w:val="16"/>
  </w:num>
  <w:num w:numId="16">
    <w:abstractNumId w:val="21"/>
  </w:num>
  <w:num w:numId="17">
    <w:abstractNumId w:val="11"/>
  </w:num>
  <w:num w:numId="18">
    <w:abstractNumId w:val="12"/>
  </w:num>
  <w:num w:numId="19">
    <w:abstractNumId w:val="23"/>
  </w:num>
  <w:num w:numId="20">
    <w:abstractNumId w:val="22"/>
  </w:num>
  <w:num w:numId="21">
    <w:abstractNumId w:val="3"/>
  </w:num>
  <w:num w:numId="22">
    <w:abstractNumId w:val="8"/>
  </w:num>
  <w:num w:numId="23">
    <w:abstractNumId w:val="2"/>
  </w:num>
  <w:num w:numId="24">
    <w:abstractNumId w:val="7"/>
  </w:num>
  <w:num w:numId="25">
    <w:abstractNumId w:val="5"/>
  </w:num>
  <w:num w:numId="26">
    <w:abstractNumId w:val="25"/>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2022"/>
    <w:rsid w:val="00007312"/>
    <w:rsid w:val="00011A36"/>
    <w:rsid w:val="00030083"/>
    <w:rsid w:val="00047606"/>
    <w:rsid w:val="0005302F"/>
    <w:rsid w:val="00065623"/>
    <w:rsid w:val="000756B9"/>
    <w:rsid w:val="00096B67"/>
    <w:rsid w:val="00096DAF"/>
    <w:rsid w:val="000C2F47"/>
    <w:rsid w:val="000D2B9A"/>
    <w:rsid w:val="000D53C1"/>
    <w:rsid w:val="000D6C00"/>
    <w:rsid w:val="000D6ED0"/>
    <w:rsid w:val="000E17D0"/>
    <w:rsid w:val="000E4E04"/>
    <w:rsid w:val="000F14B4"/>
    <w:rsid w:val="000F4FF2"/>
    <w:rsid w:val="000F75DF"/>
    <w:rsid w:val="0010075C"/>
    <w:rsid w:val="001023DC"/>
    <w:rsid w:val="001328FA"/>
    <w:rsid w:val="00133AD5"/>
    <w:rsid w:val="0013634B"/>
    <w:rsid w:val="001439F1"/>
    <w:rsid w:val="00147AAF"/>
    <w:rsid w:val="001522B3"/>
    <w:rsid w:val="001552C0"/>
    <w:rsid w:val="001640B1"/>
    <w:rsid w:val="0018435E"/>
    <w:rsid w:val="00193516"/>
    <w:rsid w:val="0019438A"/>
    <w:rsid w:val="001949E5"/>
    <w:rsid w:val="001C7C70"/>
    <w:rsid w:val="001D006E"/>
    <w:rsid w:val="001E366B"/>
    <w:rsid w:val="001F492A"/>
    <w:rsid w:val="002041A1"/>
    <w:rsid w:val="002054F0"/>
    <w:rsid w:val="002225C2"/>
    <w:rsid w:val="00230D6B"/>
    <w:rsid w:val="00232068"/>
    <w:rsid w:val="002330F2"/>
    <w:rsid w:val="00236D7D"/>
    <w:rsid w:val="00240462"/>
    <w:rsid w:val="00240FA8"/>
    <w:rsid w:val="00243D9E"/>
    <w:rsid w:val="00252259"/>
    <w:rsid w:val="00253B66"/>
    <w:rsid w:val="0026114F"/>
    <w:rsid w:val="00261DF1"/>
    <w:rsid w:val="00271F18"/>
    <w:rsid w:val="00282779"/>
    <w:rsid w:val="0028334D"/>
    <w:rsid w:val="002B7FFA"/>
    <w:rsid w:val="002C2BCF"/>
    <w:rsid w:val="002D00C5"/>
    <w:rsid w:val="002D2385"/>
    <w:rsid w:val="002F279D"/>
    <w:rsid w:val="002F43B8"/>
    <w:rsid w:val="003134A2"/>
    <w:rsid w:val="003140BD"/>
    <w:rsid w:val="00327B06"/>
    <w:rsid w:val="00336856"/>
    <w:rsid w:val="0034554D"/>
    <w:rsid w:val="00352224"/>
    <w:rsid w:val="00363319"/>
    <w:rsid w:val="003671E6"/>
    <w:rsid w:val="00384272"/>
    <w:rsid w:val="00386D67"/>
    <w:rsid w:val="003945B8"/>
    <w:rsid w:val="003B1197"/>
    <w:rsid w:val="003B21BD"/>
    <w:rsid w:val="003B2899"/>
    <w:rsid w:val="003D7F29"/>
    <w:rsid w:val="003E07C2"/>
    <w:rsid w:val="003E0ABC"/>
    <w:rsid w:val="0040306B"/>
    <w:rsid w:val="00405A6B"/>
    <w:rsid w:val="00407B1F"/>
    <w:rsid w:val="0041184F"/>
    <w:rsid w:val="00414C57"/>
    <w:rsid w:val="0041758C"/>
    <w:rsid w:val="00447823"/>
    <w:rsid w:val="00451AAC"/>
    <w:rsid w:val="004539DE"/>
    <w:rsid w:val="00455178"/>
    <w:rsid w:val="00464ADC"/>
    <w:rsid w:val="00487704"/>
    <w:rsid w:val="004A2CF1"/>
    <w:rsid w:val="004B1A46"/>
    <w:rsid w:val="004B6AB5"/>
    <w:rsid w:val="004C3035"/>
    <w:rsid w:val="004C307F"/>
    <w:rsid w:val="004E4BA8"/>
    <w:rsid w:val="004F340F"/>
    <w:rsid w:val="004F7B7C"/>
    <w:rsid w:val="0052243D"/>
    <w:rsid w:val="00532435"/>
    <w:rsid w:val="00533C47"/>
    <w:rsid w:val="00550354"/>
    <w:rsid w:val="00567D77"/>
    <w:rsid w:val="00571236"/>
    <w:rsid w:val="0057331B"/>
    <w:rsid w:val="005953A1"/>
    <w:rsid w:val="005A4362"/>
    <w:rsid w:val="005B5434"/>
    <w:rsid w:val="005D0332"/>
    <w:rsid w:val="005D0D8C"/>
    <w:rsid w:val="005D1758"/>
    <w:rsid w:val="005D7CBA"/>
    <w:rsid w:val="005E70D0"/>
    <w:rsid w:val="00604139"/>
    <w:rsid w:val="00607478"/>
    <w:rsid w:val="0065588C"/>
    <w:rsid w:val="00655FBB"/>
    <w:rsid w:val="006631A7"/>
    <w:rsid w:val="0066390E"/>
    <w:rsid w:val="006664D4"/>
    <w:rsid w:val="006776AE"/>
    <w:rsid w:val="00682802"/>
    <w:rsid w:val="00686155"/>
    <w:rsid w:val="00694224"/>
    <w:rsid w:val="00696B58"/>
    <w:rsid w:val="00696DEE"/>
    <w:rsid w:val="006A0D97"/>
    <w:rsid w:val="006B1F86"/>
    <w:rsid w:val="006B378E"/>
    <w:rsid w:val="006C0A91"/>
    <w:rsid w:val="006C784F"/>
    <w:rsid w:val="006D544D"/>
    <w:rsid w:val="007054BB"/>
    <w:rsid w:val="007056D0"/>
    <w:rsid w:val="00707064"/>
    <w:rsid w:val="00711411"/>
    <w:rsid w:val="007165A4"/>
    <w:rsid w:val="0072620F"/>
    <w:rsid w:val="00730683"/>
    <w:rsid w:val="0073298A"/>
    <w:rsid w:val="00746035"/>
    <w:rsid w:val="0075261F"/>
    <w:rsid w:val="0075468E"/>
    <w:rsid w:val="00763586"/>
    <w:rsid w:val="007665D8"/>
    <w:rsid w:val="00766E36"/>
    <w:rsid w:val="007765F4"/>
    <w:rsid w:val="00776633"/>
    <w:rsid w:val="00780226"/>
    <w:rsid w:val="00784D53"/>
    <w:rsid w:val="00797797"/>
    <w:rsid w:val="007A63C9"/>
    <w:rsid w:val="007B32D1"/>
    <w:rsid w:val="007B7095"/>
    <w:rsid w:val="007C45D5"/>
    <w:rsid w:val="007D24E1"/>
    <w:rsid w:val="007D6288"/>
    <w:rsid w:val="007E0368"/>
    <w:rsid w:val="007E7B45"/>
    <w:rsid w:val="007F4CE9"/>
    <w:rsid w:val="007F4E20"/>
    <w:rsid w:val="00803E2A"/>
    <w:rsid w:val="00806954"/>
    <w:rsid w:val="00820070"/>
    <w:rsid w:val="00822C7E"/>
    <w:rsid w:val="00847060"/>
    <w:rsid w:val="00847A36"/>
    <w:rsid w:val="00852B59"/>
    <w:rsid w:val="00854558"/>
    <w:rsid w:val="00856A33"/>
    <w:rsid w:val="00861BD4"/>
    <w:rsid w:val="00873D51"/>
    <w:rsid w:val="00892620"/>
    <w:rsid w:val="008B037A"/>
    <w:rsid w:val="008C7D37"/>
    <w:rsid w:val="008D24B9"/>
    <w:rsid w:val="008D4755"/>
    <w:rsid w:val="008D5885"/>
    <w:rsid w:val="008D682B"/>
    <w:rsid w:val="008E3CCA"/>
    <w:rsid w:val="008F2AD1"/>
    <w:rsid w:val="00900FE5"/>
    <w:rsid w:val="00923FA2"/>
    <w:rsid w:val="0094374B"/>
    <w:rsid w:val="0096060D"/>
    <w:rsid w:val="00974A50"/>
    <w:rsid w:val="0097585A"/>
    <w:rsid w:val="009924B0"/>
    <w:rsid w:val="009942C9"/>
    <w:rsid w:val="009B35C4"/>
    <w:rsid w:val="009B715C"/>
    <w:rsid w:val="009C630A"/>
    <w:rsid w:val="009E0D98"/>
    <w:rsid w:val="009F4DBE"/>
    <w:rsid w:val="00A068A1"/>
    <w:rsid w:val="00A1207D"/>
    <w:rsid w:val="00A12FD8"/>
    <w:rsid w:val="00A174EF"/>
    <w:rsid w:val="00A346FC"/>
    <w:rsid w:val="00A45FDE"/>
    <w:rsid w:val="00A63907"/>
    <w:rsid w:val="00A71056"/>
    <w:rsid w:val="00A7505E"/>
    <w:rsid w:val="00A846F2"/>
    <w:rsid w:val="00A84DF9"/>
    <w:rsid w:val="00A84F93"/>
    <w:rsid w:val="00A872DE"/>
    <w:rsid w:val="00AB1AC5"/>
    <w:rsid w:val="00AB3BFC"/>
    <w:rsid w:val="00AC4F2E"/>
    <w:rsid w:val="00AC70C6"/>
    <w:rsid w:val="00AD0048"/>
    <w:rsid w:val="00AD0C37"/>
    <w:rsid w:val="00AD385F"/>
    <w:rsid w:val="00AE6E2A"/>
    <w:rsid w:val="00AF0603"/>
    <w:rsid w:val="00AF2EE3"/>
    <w:rsid w:val="00AF4502"/>
    <w:rsid w:val="00AF78A1"/>
    <w:rsid w:val="00B03EAB"/>
    <w:rsid w:val="00B112B1"/>
    <w:rsid w:val="00B31E9C"/>
    <w:rsid w:val="00B352B0"/>
    <w:rsid w:val="00B35595"/>
    <w:rsid w:val="00B51C6D"/>
    <w:rsid w:val="00B562F3"/>
    <w:rsid w:val="00B603B7"/>
    <w:rsid w:val="00B72E35"/>
    <w:rsid w:val="00B749FB"/>
    <w:rsid w:val="00B81560"/>
    <w:rsid w:val="00B83DD2"/>
    <w:rsid w:val="00B86D64"/>
    <w:rsid w:val="00BA3738"/>
    <w:rsid w:val="00BA4AC5"/>
    <w:rsid w:val="00BC1364"/>
    <w:rsid w:val="00BC2667"/>
    <w:rsid w:val="00BC7DE9"/>
    <w:rsid w:val="00BD6C54"/>
    <w:rsid w:val="00BF479B"/>
    <w:rsid w:val="00C02577"/>
    <w:rsid w:val="00C067CF"/>
    <w:rsid w:val="00C204FB"/>
    <w:rsid w:val="00C20BEE"/>
    <w:rsid w:val="00C2158D"/>
    <w:rsid w:val="00C60F46"/>
    <w:rsid w:val="00C67DD2"/>
    <w:rsid w:val="00C71D64"/>
    <w:rsid w:val="00C725CB"/>
    <w:rsid w:val="00C76F5C"/>
    <w:rsid w:val="00C96BAD"/>
    <w:rsid w:val="00CA12B1"/>
    <w:rsid w:val="00CA302D"/>
    <w:rsid w:val="00CA408A"/>
    <w:rsid w:val="00CA5940"/>
    <w:rsid w:val="00CA6944"/>
    <w:rsid w:val="00CB0F8E"/>
    <w:rsid w:val="00CB7E7D"/>
    <w:rsid w:val="00CC2911"/>
    <w:rsid w:val="00CC5EA2"/>
    <w:rsid w:val="00CD1F9F"/>
    <w:rsid w:val="00CE4E44"/>
    <w:rsid w:val="00CF0C6D"/>
    <w:rsid w:val="00CF7307"/>
    <w:rsid w:val="00CF7C68"/>
    <w:rsid w:val="00D01A9D"/>
    <w:rsid w:val="00D05A44"/>
    <w:rsid w:val="00D124FA"/>
    <w:rsid w:val="00D340DE"/>
    <w:rsid w:val="00D553DF"/>
    <w:rsid w:val="00D55723"/>
    <w:rsid w:val="00D62FAD"/>
    <w:rsid w:val="00D64355"/>
    <w:rsid w:val="00D6458A"/>
    <w:rsid w:val="00D70450"/>
    <w:rsid w:val="00D83BFD"/>
    <w:rsid w:val="00D90A38"/>
    <w:rsid w:val="00D962A1"/>
    <w:rsid w:val="00D968DD"/>
    <w:rsid w:val="00DA0515"/>
    <w:rsid w:val="00DA171E"/>
    <w:rsid w:val="00DA313F"/>
    <w:rsid w:val="00DA56AA"/>
    <w:rsid w:val="00DB5833"/>
    <w:rsid w:val="00DD2858"/>
    <w:rsid w:val="00DE2112"/>
    <w:rsid w:val="00DF277A"/>
    <w:rsid w:val="00E03E33"/>
    <w:rsid w:val="00E059E0"/>
    <w:rsid w:val="00E07673"/>
    <w:rsid w:val="00E24145"/>
    <w:rsid w:val="00E24B8F"/>
    <w:rsid w:val="00E3642A"/>
    <w:rsid w:val="00E368E5"/>
    <w:rsid w:val="00E408EF"/>
    <w:rsid w:val="00E415C4"/>
    <w:rsid w:val="00E4631F"/>
    <w:rsid w:val="00E50016"/>
    <w:rsid w:val="00E50EAA"/>
    <w:rsid w:val="00E656D6"/>
    <w:rsid w:val="00E7415C"/>
    <w:rsid w:val="00E7477C"/>
    <w:rsid w:val="00E86489"/>
    <w:rsid w:val="00E977EE"/>
    <w:rsid w:val="00EA2F24"/>
    <w:rsid w:val="00EA53B9"/>
    <w:rsid w:val="00EA67A2"/>
    <w:rsid w:val="00EB61F0"/>
    <w:rsid w:val="00EB630F"/>
    <w:rsid w:val="00EB6B6F"/>
    <w:rsid w:val="00EC2692"/>
    <w:rsid w:val="00EC4F98"/>
    <w:rsid w:val="00EF167B"/>
    <w:rsid w:val="00F12F02"/>
    <w:rsid w:val="00F32E0D"/>
    <w:rsid w:val="00F35134"/>
    <w:rsid w:val="00F37B9C"/>
    <w:rsid w:val="00F41812"/>
    <w:rsid w:val="00F4493E"/>
    <w:rsid w:val="00F715D1"/>
    <w:rsid w:val="00F72715"/>
    <w:rsid w:val="00F72AF8"/>
    <w:rsid w:val="00F73333"/>
    <w:rsid w:val="00F95D8F"/>
    <w:rsid w:val="00FA1AA8"/>
    <w:rsid w:val="00FB350A"/>
    <w:rsid w:val="00FB4C5D"/>
    <w:rsid w:val="00FE1A46"/>
    <w:rsid w:val="00FE1C3F"/>
    <w:rsid w:val="00FE731D"/>
    <w:rsid w:val="00FF2807"/>
    <w:rsid w:val="00FF43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34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outlineLvl w:val="0"/>
    </w:pPr>
    <w:rPr>
      <w:rFonts w:ascii="Arial" w:hAnsi="Arial"/>
      <w:b/>
      <w:bCs/>
      <w:szCs w:val="28"/>
    </w:rPr>
  </w:style>
  <w:style w:type="paragraph" w:styleId="Heading2">
    <w:name w:val="heading 2"/>
    <w:basedOn w:val="Normal"/>
    <w:next w:val="Normal"/>
    <w:link w:val="Heading2Char"/>
    <w:unhideWhenUsed/>
    <w:qFormat/>
    <w:locked/>
    <w:rsid w:val="00CA408A"/>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CA408A"/>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CA408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2"/>
    <w:unhideWhenUsed/>
    <w:qFormat/>
    <w:locked/>
    <w:rsid w:val="00CA408A"/>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A408A"/>
    <w:rPr>
      <w:rFonts w:ascii="Arial Narrow" w:eastAsia="Times New Roman" w:hAnsi="Arial Narrow" w:cs="Arial"/>
      <w:b/>
      <w:bCs/>
      <w:iCs/>
      <w:sz w:val="20"/>
      <w:szCs w:val="20"/>
      <w:lang w:eastAsia="en-US"/>
    </w:rPr>
  </w:style>
  <w:style w:type="paragraph" w:customStyle="1" w:styleId="TableText">
    <w:name w:val="TableText"/>
    <w:basedOn w:val="Normal"/>
    <w:link w:val="TableTextChar"/>
    <w:uiPriority w:val="3"/>
    <w:qFormat/>
    <w:rsid w:val="00CA408A"/>
    <w:pPr>
      <w:spacing w:before="40" w:after="40"/>
    </w:pPr>
    <w:rPr>
      <w:rFonts w:ascii="Calibri" w:hAnsi="Calibri" w:cstheme="minorHAnsi"/>
      <w:bCs/>
      <w:sz w:val="20"/>
      <w:lang w:eastAsia="en-US"/>
    </w:rPr>
  </w:style>
  <w:style w:type="character" w:customStyle="1" w:styleId="TableTextChar">
    <w:name w:val="TableText Char"/>
    <w:basedOn w:val="DefaultParagraphFont"/>
    <w:link w:val="TableText"/>
    <w:uiPriority w:val="3"/>
    <w:rsid w:val="00CA408A"/>
    <w:rPr>
      <w:rFonts w:ascii="Calibri" w:eastAsia="Times New Roman" w:hAnsi="Calibri" w:cstheme="minorHAnsi"/>
      <w:bCs/>
      <w:sz w:val="20"/>
      <w:szCs w:val="20"/>
      <w:lang w:eastAsia="en-US"/>
    </w:rPr>
  </w:style>
  <w:style w:type="paragraph" w:customStyle="1" w:styleId="TableHeadingRow">
    <w:name w:val="TableHeadingRow"/>
    <w:basedOn w:val="Normal"/>
    <w:uiPriority w:val="3"/>
    <w:qFormat/>
    <w:rsid w:val="00CA408A"/>
    <w:pPr>
      <w:keepNext/>
      <w:spacing w:before="20" w:after="20"/>
    </w:pPr>
    <w:rPr>
      <w:rFonts w:ascii="Calibri" w:hAnsi="Calibri" w:cstheme="minorHAnsi"/>
      <w:b/>
      <w:sz w:val="20"/>
      <w:lang w:eastAsia="en-US"/>
    </w:rPr>
  </w:style>
  <w:style w:type="paragraph" w:customStyle="1" w:styleId="TableNotes">
    <w:name w:val="TableNotes"/>
    <w:basedOn w:val="Normal"/>
    <w:next w:val="Normal"/>
    <w:link w:val="TableNotesChar"/>
    <w:uiPriority w:val="3"/>
    <w:qFormat/>
    <w:rsid w:val="00CA408A"/>
    <w:pPr>
      <w:tabs>
        <w:tab w:val="left" w:pos="1134"/>
      </w:tabs>
      <w:ind w:left="1134" w:hanging="1134"/>
    </w:pPr>
    <w:rPr>
      <w:rFonts w:ascii="Calibri" w:eastAsiaTheme="minorEastAsia" w:hAnsi="Calibri" w:cstheme="minorBidi"/>
      <w:sz w:val="18"/>
      <w:szCs w:val="18"/>
      <w:lang w:eastAsia="en-US"/>
    </w:rPr>
  </w:style>
  <w:style w:type="character" w:customStyle="1" w:styleId="TableNotesChar">
    <w:name w:val="TableNotes Char"/>
    <w:basedOn w:val="DefaultParagraphFont"/>
    <w:link w:val="TableNotes"/>
    <w:uiPriority w:val="3"/>
    <w:rsid w:val="00CA408A"/>
    <w:rPr>
      <w:rFonts w:ascii="Calibri" w:eastAsiaTheme="minorEastAsia" w:hAnsi="Calibri" w:cstheme="minorBidi"/>
      <w:sz w:val="18"/>
      <w:szCs w:val="18"/>
      <w:lang w:eastAsia="en-US"/>
    </w:rPr>
  </w:style>
  <w:style w:type="paragraph" w:customStyle="1" w:styleId="BulletBeforeDash">
    <w:name w:val="BulletBeforeDash"/>
    <w:basedOn w:val="Normal"/>
    <w:rsid w:val="00DE2112"/>
    <w:pPr>
      <w:numPr>
        <w:numId w:val="26"/>
      </w:numPr>
      <w:ind w:left="720"/>
    </w:pPr>
    <w:rPr>
      <w:color w:val="000000"/>
    </w:rPr>
  </w:style>
  <w:style w:type="paragraph" w:customStyle="1" w:styleId="Bullet">
    <w:name w:val="Bullet"/>
    <w:basedOn w:val="BulletBeforeDash"/>
    <w:qFormat/>
    <w:rsid w:val="00DE2112"/>
    <w:pPr>
      <w:spacing w:after="120"/>
    </w:pPr>
  </w:style>
  <w:style w:type="paragraph" w:customStyle="1" w:styleId="BulletLast">
    <w:name w:val="BulletLast"/>
    <w:basedOn w:val="Bullet"/>
    <w:qFormat/>
    <w:rsid w:val="00DE2112"/>
    <w:pPr>
      <w:spacing w:after="240"/>
    </w:pPr>
  </w:style>
  <w:style w:type="paragraph" w:customStyle="1" w:styleId="NormalBeforeBullet">
    <w:name w:val="NormalBeforeBullet"/>
    <w:basedOn w:val="Normal"/>
    <w:qFormat/>
    <w:rsid w:val="00DE2112"/>
    <w:pPr>
      <w:keepNext/>
      <w:spacing w:after="1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034">
      <w:bodyDiv w:val="1"/>
      <w:marLeft w:val="0"/>
      <w:marRight w:val="0"/>
      <w:marTop w:val="0"/>
      <w:marBottom w:val="0"/>
      <w:divBdr>
        <w:top w:val="none" w:sz="0" w:space="0" w:color="auto"/>
        <w:left w:val="none" w:sz="0" w:space="0" w:color="auto"/>
        <w:bottom w:val="none" w:sz="0" w:space="0" w:color="auto"/>
        <w:right w:val="none" w:sz="0" w:space="0" w:color="auto"/>
      </w:divBdr>
    </w:div>
    <w:div w:id="68117873">
      <w:bodyDiv w:val="1"/>
      <w:marLeft w:val="0"/>
      <w:marRight w:val="0"/>
      <w:marTop w:val="0"/>
      <w:marBottom w:val="0"/>
      <w:divBdr>
        <w:top w:val="none" w:sz="0" w:space="0" w:color="auto"/>
        <w:left w:val="none" w:sz="0" w:space="0" w:color="auto"/>
        <w:bottom w:val="none" w:sz="0" w:space="0" w:color="auto"/>
        <w:right w:val="none" w:sz="0" w:space="0" w:color="auto"/>
      </w:divBdr>
    </w:div>
    <w:div w:id="77679368">
      <w:bodyDiv w:val="1"/>
      <w:marLeft w:val="0"/>
      <w:marRight w:val="0"/>
      <w:marTop w:val="0"/>
      <w:marBottom w:val="0"/>
      <w:divBdr>
        <w:top w:val="none" w:sz="0" w:space="0" w:color="auto"/>
        <w:left w:val="none" w:sz="0" w:space="0" w:color="auto"/>
        <w:bottom w:val="none" w:sz="0" w:space="0" w:color="auto"/>
        <w:right w:val="none" w:sz="0" w:space="0" w:color="auto"/>
      </w:divBdr>
    </w:div>
    <w:div w:id="81492449">
      <w:bodyDiv w:val="1"/>
      <w:marLeft w:val="0"/>
      <w:marRight w:val="0"/>
      <w:marTop w:val="0"/>
      <w:marBottom w:val="0"/>
      <w:divBdr>
        <w:top w:val="none" w:sz="0" w:space="0" w:color="auto"/>
        <w:left w:val="none" w:sz="0" w:space="0" w:color="auto"/>
        <w:bottom w:val="none" w:sz="0" w:space="0" w:color="auto"/>
        <w:right w:val="none" w:sz="0" w:space="0" w:color="auto"/>
      </w:divBdr>
    </w:div>
    <w:div w:id="261962798">
      <w:bodyDiv w:val="1"/>
      <w:marLeft w:val="0"/>
      <w:marRight w:val="0"/>
      <w:marTop w:val="0"/>
      <w:marBottom w:val="0"/>
      <w:divBdr>
        <w:top w:val="none" w:sz="0" w:space="0" w:color="auto"/>
        <w:left w:val="none" w:sz="0" w:space="0" w:color="auto"/>
        <w:bottom w:val="none" w:sz="0" w:space="0" w:color="auto"/>
        <w:right w:val="none" w:sz="0" w:space="0" w:color="auto"/>
      </w:divBdr>
    </w:div>
    <w:div w:id="364989538">
      <w:bodyDiv w:val="1"/>
      <w:marLeft w:val="0"/>
      <w:marRight w:val="0"/>
      <w:marTop w:val="0"/>
      <w:marBottom w:val="0"/>
      <w:divBdr>
        <w:top w:val="none" w:sz="0" w:space="0" w:color="auto"/>
        <w:left w:val="none" w:sz="0" w:space="0" w:color="auto"/>
        <w:bottom w:val="none" w:sz="0" w:space="0" w:color="auto"/>
        <w:right w:val="none" w:sz="0" w:space="0" w:color="auto"/>
      </w:divBdr>
    </w:div>
    <w:div w:id="380399197">
      <w:bodyDiv w:val="1"/>
      <w:marLeft w:val="0"/>
      <w:marRight w:val="0"/>
      <w:marTop w:val="0"/>
      <w:marBottom w:val="0"/>
      <w:divBdr>
        <w:top w:val="none" w:sz="0" w:space="0" w:color="auto"/>
        <w:left w:val="none" w:sz="0" w:space="0" w:color="auto"/>
        <w:bottom w:val="none" w:sz="0" w:space="0" w:color="auto"/>
        <w:right w:val="none" w:sz="0" w:space="0" w:color="auto"/>
      </w:divBdr>
    </w:div>
    <w:div w:id="457914089">
      <w:bodyDiv w:val="1"/>
      <w:marLeft w:val="0"/>
      <w:marRight w:val="0"/>
      <w:marTop w:val="0"/>
      <w:marBottom w:val="0"/>
      <w:divBdr>
        <w:top w:val="none" w:sz="0" w:space="0" w:color="auto"/>
        <w:left w:val="none" w:sz="0" w:space="0" w:color="auto"/>
        <w:bottom w:val="none" w:sz="0" w:space="0" w:color="auto"/>
        <w:right w:val="none" w:sz="0" w:space="0" w:color="auto"/>
      </w:divBdr>
    </w:div>
    <w:div w:id="484781056">
      <w:bodyDiv w:val="1"/>
      <w:marLeft w:val="0"/>
      <w:marRight w:val="0"/>
      <w:marTop w:val="0"/>
      <w:marBottom w:val="0"/>
      <w:divBdr>
        <w:top w:val="none" w:sz="0" w:space="0" w:color="auto"/>
        <w:left w:val="none" w:sz="0" w:space="0" w:color="auto"/>
        <w:bottom w:val="none" w:sz="0" w:space="0" w:color="auto"/>
        <w:right w:val="none" w:sz="0" w:space="0" w:color="auto"/>
      </w:divBdr>
    </w:div>
    <w:div w:id="492571347">
      <w:bodyDiv w:val="1"/>
      <w:marLeft w:val="0"/>
      <w:marRight w:val="0"/>
      <w:marTop w:val="0"/>
      <w:marBottom w:val="0"/>
      <w:divBdr>
        <w:top w:val="none" w:sz="0" w:space="0" w:color="auto"/>
        <w:left w:val="none" w:sz="0" w:space="0" w:color="auto"/>
        <w:bottom w:val="none" w:sz="0" w:space="0" w:color="auto"/>
        <w:right w:val="none" w:sz="0" w:space="0" w:color="auto"/>
      </w:divBdr>
    </w:div>
    <w:div w:id="518352426">
      <w:bodyDiv w:val="1"/>
      <w:marLeft w:val="0"/>
      <w:marRight w:val="0"/>
      <w:marTop w:val="0"/>
      <w:marBottom w:val="0"/>
      <w:divBdr>
        <w:top w:val="none" w:sz="0" w:space="0" w:color="auto"/>
        <w:left w:val="none" w:sz="0" w:space="0" w:color="auto"/>
        <w:bottom w:val="none" w:sz="0" w:space="0" w:color="auto"/>
        <w:right w:val="none" w:sz="0" w:space="0" w:color="auto"/>
      </w:divBdr>
    </w:div>
    <w:div w:id="546838363">
      <w:bodyDiv w:val="1"/>
      <w:marLeft w:val="0"/>
      <w:marRight w:val="0"/>
      <w:marTop w:val="0"/>
      <w:marBottom w:val="0"/>
      <w:divBdr>
        <w:top w:val="none" w:sz="0" w:space="0" w:color="auto"/>
        <w:left w:val="none" w:sz="0" w:space="0" w:color="auto"/>
        <w:bottom w:val="none" w:sz="0" w:space="0" w:color="auto"/>
        <w:right w:val="none" w:sz="0" w:space="0" w:color="auto"/>
      </w:divBdr>
    </w:div>
    <w:div w:id="578053705">
      <w:bodyDiv w:val="1"/>
      <w:marLeft w:val="0"/>
      <w:marRight w:val="0"/>
      <w:marTop w:val="0"/>
      <w:marBottom w:val="0"/>
      <w:divBdr>
        <w:top w:val="none" w:sz="0" w:space="0" w:color="auto"/>
        <w:left w:val="none" w:sz="0" w:space="0" w:color="auto"/>
        <w:bottom w:val="none" w:sz="0" w:space="0" w:color="auto"/>
        <w:right w:val="none" w:sz="0" w:space="0" w:color="auto"/>
      </w:divBdr>
    </w:div>
    <w:div w:id="585922896">
      <w:bodyDiv w:val="1"/>
      <w:marLeft w:val="0"/>
      <w:marRight w:val="0"/>
      <w:marTop w:val="0"/>
      <w:marBottom w:val="0"/>
      <w:divBdr>
        <w:top w:val="none" w:sz="0" w:space="0" w:color="auto"/>
        <w:left w:val="none" w:sz="0" w:space="0" w:color="auto"/>
        <w:bottom w:val="none" w:sz="0" w:space="0" w:color="auto"/>
        <w:right w:val="none" w:sz="0" w:space="0" w:color="auto"/>
      </w:divBdr>
    </w:div>
    <w:div w:id="643970177">
      <w:bodyDiv w:val="1"/>
      <w:marLeft w:val="0"/>
      <w:marRight w:val="0"/>
      <w:marTop w:val="0"/>
      <w:marBottom w:val="0"/>
      <w:divBdr>
        <w:top w:val="none" w:sz="0" w:space="0" w:color="auto"/>
        <w:left w:val="none" w:sz="0" w:space="0" w:color="auto"/>
        <w:bottom w:val="none" w:sz="0" w:space="0" w:color="auto"/>
        <w:right w:val="none" w:sz="0" w:space="0" w:color="auto"/>
      </w:divBdr>
    </w:div>
    <w:div w:id="644966723">
      <w:bodyDiv w:val="1"/>
      <w:marLeft w:val="0"/>
      <w:marRight w:val="0"/>
      <w:marTop w:val="0"/>
      <w:marBottom w:val="0"/>
      <w:divBdr>
        <w:top w:val="none" w:sz="0" w:space="0" w:color="auto"/>
        <w:left w:val="none" w:sz="0" w:space="0" w:color="auto"/>
        <w:bottom w:val="none" w:sz="0" w:space="0" w:color="auto"/>
        <w:right w:val="none" w:sz="0" w:space="0" w:color="auto"/>
      </w:divBdr>
    </w:div>
    <w:div w:id="650329574">
      <w:bodyDiv w:val="1"/>
      <w:marLeft w:val="0"/>
      <w:marRight w:val="0"/>
      <w:marTop w:val="0"/>
      <w:marBottom w:val="0"/>
      <w:divBdr>
        <w:top w:val="none" w:sz="0" w:space="0" w:color="auto"/>
        <w:left w:val="none" w:sz="0" w:space="0" w:color="auto"/>
        <w:bottom w:val="none" w:sz="0" w:space="0" w:color="auto"/>
        <w:right w:val="none" w:sz="0" w:space="0" w:color="auto"/>
      </w:divBdr>
    </w:div>
    <w:div w:id="655916424">
      <w:bodyDiv w:val="1"/>
      <w:marLeft w:val="0"/>
      <w:marRight w:val="0"/>
      <w:marTop w:val="0"/>
      <w:marBottom w:val="0"/>
      <w:divBdr>
        <w:top w:val="none" w:sz="0" w:space="0" w:color="auto"/>
        <w:left w:val="none" w:sz="0" w:space="0" w:color="auto"/>
        <w:bottom w:val="none" w:sz="0" w:space="0" w:color="auto"/>
        <w:right w:val="none" w:sz="0" w:space="0" w:color="auto"/>
      </w:divBdr>
    </w:div>
    <w:div w:id="777916400">
      <w:bodyDiv w:val="1"/>
      <w:marLeft w:val="0"/>
      <w:marRight w:val="0"/>
      <w:marTop w:val="0"/>
      <w:marBottom w:val="0"/>
      <w:divBdr>
        <w:top w:val="none" w:sz="0" w:space="0" w:color="auto"/>
        <w:left w:val="none" w:sz="0" w:space="0" w:color="auto"/>
        <w:bottom w:val="none" w:sz="0" w:space="0" w:color="auto"/>
        <w:right w:val="none" w:sz="0" w:space="0" w:color="auto"/>
      </w:divBdr>
    </w:div>
    <w:div w:id="887451671">
      <w:bodyDiv w:val="1"/>
      <w:marLeft w:val="0"/>
      <w:marRight w:val="0"/>
      <w:marTop w:val="0"/>
      <w:marBottom w:val="0"/>
      <w:divBdr>
        <w:top w:val="none" w:sz="0" w:space="0" w:color="auto"/>
        <w:left w:val="none" w:sz="0" w:space="0" w:color="auto"/>
        <w:bottom w:val="none" w:sz="0" w:space="0" w:color="auto"/>
        <w:right w:val="none" w:sz="0" w:space="0" w:color="auto"/>
      </w:divBdr>
    </w:div>
    <w:div w:id="995838048">
      <w:bodyDiv w:val="1"/>
      <w:marLeft w:val="0"/>
      <w:marRight w:val="0"/>
      <w:marTop w:val="0"/>
      <w:marBottom w:val="0"/>
      <w:divBdr>
        <w:top w:val="none" w:sz="0" w:space="0" w:color="auto"/>
        <w:left w:val="none" w:sz="0" w:space="0" w:color="auto"/>
        <w:bottom w:val="none" w:sz="0" w:space="0" w:color="auto"/>
        <w:right w:val="none" w:sz="0" w:space="0" w:color="auto"/>
      </w:divBdr>
    </w:div>
    <w:div w:id="999579250">
      <w:bodyDiv w:val="1"/>
      <w:marLeft w:val="0"/>
      <w:marRight w:val="0"/>
      <w:marTop w:val="0"/>
      <w:marBottom w:val="0"/>
      <w:divBdr>
        <w:top w:val="none" w:sz="0" w:space="0" w:color="auto"/>
        <w:left w:val="none" w:sz="0" w:space="0" w:color="auto"/>
        <w:bottom w:val="none" w:sz="0" w:space="0" w:color="auto"/>
        <w:right w:val="none" w:sz="0" w:space="0" w:color="auto"/>
      </w:divBdr>
    </w:div>
    <w:div w:id="1005858129">
      <w:bodyDiv w:val="1"/>
      <w:marLeft w:val="0"/>
      <w:marRight w:val="0"/>
      <w:marTop w:val="0"/>
      <w:marBottom w:val="0"/>
      <w:divBdr>
        <w:top w:val="none" w:sz="0" w:space="0" w:color="auto"/>
        <w:left w:val="none" w:sz="0" w:space="0" w:color="auto"/>
        <w:bottom w:val="none" w:sz="0" w:space="0" w:color="auto"/>
        <w:right w:val="none" w:sz="0" w:space="0" w:color="auto"/>
      </w:divBdr>
    </w:div>
    <w:div w:id="1119837427">
      <w:bodyDiv w:val="1"/>
      <w:marLeft w:val="0"/>
      <w:marRight w:val="0"/>
      <w:marTop w:val="0"/>
      <w:marBottom w:val="0"/>
      <w:divBdr>
        <w:top w:val="none" w:sz="0" w:space="0" w:color="auto"/>
        <w:left w:val="none" w:sz="0" w:space="0" w:color="auto"/>
        <w:bottom w:val="none" w:sz="0" w:space="0" w:color="auto"/>
        <w:right w:val="none" w:sz="0" w:space="0" w:color="auto"/>
      </w:divBdr>
    </w:div>
    <w:div w:id="1135677857">
      <w:bodyDiv w:val="1"/>
      <w:marLeft w:val="0"/>
      <w:marRight w:val="0"/>
      <w:marTop w:val="0"/>
      <w:marBottom w:val="0"/>
      <w:divBdr>
        <w:top w:val="none" w:sz="0" w:space="0" w:color="auto"/>
        <w:left w:val="none" w:sz="0" w:space="0" w:color="auto"/>
        <w:bottom w:val="none" w:sz="0" w:space="0" w:color="auto"/>
        <w:right w:val="none" w:sz="0" w:space="0" w:color="auto"/>
      </w:divBdr>
    </w:div>
    <w:div w:id="1183741285">
      <w:bodyDiv w:val="1"/>
      <w:marLeft w:val="0"/>
      <w:marRight w:val="0"/>
      <w:marTop w:val="0"/>
      <w:marBottom w:val="0"/>
      <w:divBdr>
        <w:top w:val="none" w:sz="0" w:space="0" w:color="auto"/>
        <w:left w:val="none" w:sz="0" w:space="0" w:color="auto"/>
        <w:bottom w:val="none" w:sz="0" w:space="0" w:color="auto"/>
        <w:right w:val="none" w:sz="0" w:space="0" w:color="auto"/>
      </w:divBdr>
    </w:div>
    <w:div w:id="1212112149">
      <w:bodyDiv w:val="1"/>
      <w:marLeft w:val="0"/>
      <w:marRight w:val="0"/>
      <w:marTop w:val="0"/>
      <w:marBottom w:val="0"/>
      <w:divBdr>
        <w:top w:val="none" w:sz="0" w:space="0" w:color="auto"/>
        <w:left w:val="none" w:sz="0" w:space="0" w:color="auto"/>
        <w:bottom w:val="none" w:sz="0" w:space="0" w:color="auto"/>
        <w:right w:val="none" w:sz="0" w:space="0" w:color="auto"/>
      </w:divBdr>
    </w:div>
    <w:div w:id="129618120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417633056">
      <w:bodyDiv w:val="1"/>
      <w:marLeft w:val="0"/>
      <w:marRight w:val="0"/>
      <w:marTop w:val="0"/>
      <w:marBottom w:val="0"/>
      <w:divBdr>
        <w:top w:val="none" w:sz="0" w:space="0" w:color="auto"/>
        <w:left w:val="none" w:sz="0" w:space="0" w:color="auto"/>
        <w:bottom w:val="none" w:sz="0" w:space="0" w:color="auto"/>
        <w:right w:val="none" w:sz="0" w:space="0" w:color="auto"/>
      </w:divBdr>
    </w:div>
    <w:div w:id="1498304047">
      <w:bodyDiv w:val="1"/>
      <w:marLeft w:val="0"/>
      <w:marRight w:val="0"/>
      <w:marTop w:val="0"/>
      <w:marBottom w:val="0"/>
      <w:divBdr>
        <w:top w:val="none" w:sz="0" w:space="0" w:color="auto"/>
        <w:left w:val="none" w:sz="0" w:space="0" w:color="auto"/>
        <w:bottom w:val="none" w:sz="0" w:space="0" w:color="auto"/>
        <w:right w:val="none" w:sz="0" w:space="0" w:color="auto"/>
      </w:divBdr>
    </w:div>
    <w:div w:id="1505321958">
      <w:bodyDiv w:val="1"/>
      <w:marLeft w:val="0"/>
      <w:marRight w:val="0"/>
      <w:marTop w:val="0"/>
      <w:marBottom w:val="0"/>
      <w:divBdr>
        <w:top w:val="none" w:sz="0" w:space="0" w:color="auto"/>
        <w:left w:val="none" w:sz="0" w:space="0" w:color="auto"/>
        <w:bottom w:val="none" w:sz="0" w:space="0" w:color="auto"/>
        <w:right w:val="none" w:sz="0" w:space="0" w:color="auto"/>
      </w:divBdr>
    </w:div>
    <w:div w:id="1606112272">
      <w:bodyDiv w:val="1"/>
      <w:marLeft w:val="0"/>
      <w:marRight w:val="0"/>
      <w:marTop w:val="0"/>
      <w:marBottom w:val="0"/>
      <w:divBdr>
        <w:top w:val="none" w:sz="0" w:space="0" w:color="auto"/>
        <w:left w:val="none" w:sz="0" w:space="0" w:color="auto"/>
        <w:bottom w:val="none" w:sz="0" w:space="0" w:color="auto"/>
        <w:right w:val="none" w:sz="0" w:space="0" w:color="auto"/>
      </w:divBdr>
    </w:div>
    <w:div w:id="1621909412">
      <w:bodyDiv w:val="1"/>
      <w:marLeft w:val="0"/>
      <w:marRight w:val="0"/>
      <w:marTop w:val="0"/>
      <w:marBottom w:val="0"/>
      <w:divBdr>
        <w:top w:val="none" w:sz="0" w:space="0" w:color="auto"/>
        <w:left w:val="none" w:sz="0" w:space="0" w:color="auto"/>
        <w:bottom w:val="none" w:sz="0" w:space="0" w:color="auto"/>
        <w:right w:val="none" w:sz="0" w:space="0" w:color="auto"/>
      </w:divBdr>
    </w:div>
    <w:div w:id="1957833498">
      <w:bodyDiv w:val="1"/>
      <w:marLeft w:val="0"/>
      <w:marRight w:val="0"/>
      <w:marTop w:val="0"/>
      <w:marBottom w:val="0"/>
      <w:divBdr>
        <w:top w:val="none" w:sz="0" w:space="0" w:color="auto"/>
        <w:left w:val="none" w:sz="0" w:space="0" w:color="auto"/>
        <w:bottom w:val="none" w:sz="0" w:space="0" w:color="auto"/>
        <w:right w:val="none" w:sz="0" w:space="0" w:color="auto"/>
      </w:divBdr>
    </w:div>
    <w:div w:id="20571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3C81-882D-48B0-A2FC-DD762BAA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4427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1510.1 - Final PSD_redacted</dc:title>
  <dc:subject/>
  <dc:creator/>
  <cp:keywords/>
  <dc:description/>
  <cp:lastModifiedBy/>
  <cp:revision>1</cp:revision>
  <dcterms:created xsi:type="dcterms:W3CDTF">2019-12-02T06:46:00Z</dcterms:created>
  <dcterms:modified xsi:type="dcterms:W3CDTF">2019-12-09T21:26:00Z</dcterms:modified>
</cp:coreProperties>
</file>